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BA164CE" w:rsidR="00662C69"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w:t>
      </w:r>
      <w:r w:rsidR="00523640">
        <w:rPr>
          <w:rFonts w:ascii="Palatino Linotype" w:hAnsi="Palatino Linotype"/>
          <w:color w:val="000000" w:themeColor="text1"/>
        </w:rPr>
        <w:t>de seis (06) de abril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6ACB8F36"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523640">
        <w:rPr>
          <w:rFonts w:ascii="Palatino Linotype" w:hAnsi="Palatino Linotype"/>
          <w:b/>
          <w:bCs/>
          <w:color w:val="000000" w:themeColor="text1"/>
        </w:rPr>
        <w:t>01118/INFOEM/IP/RR/2022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5A339D">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 por lo que en lo sucesivo se le denominará como</w:t>
      </w:r>
      <w:r w:rsidR="00F17EFA">
        <w:rPr>
          <w:rFonts w:ascii="Palatino Linotype" w:eastAsia="Times New Roman" w:hAnsi="Palatino Linotype" w:cs="Times New Roman"/>
          <w:color w:val="000000" w:themeColor="text1"/>
        </w:rPr>
        <w:t xml:space="preserve"> </w:t>
      </w:r>
      <w:r w:rsidR="005A339D">
        <w:rPr>
          <w:rFonts w:ascii="Palatino Linotype" w:eastAsia="Times New Roman" w:hAnsi="Palatino Linotype" w:cs="Times New Roman"/>
          <w:color w:val="000000" w:themeColor="text1"/>
        </w:rPr>
        <w:t>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523640">
        <w:rPr>
          <w:rFonts w:ascii="Palatino Linotype" w:eastAsia="Times New Roman" w:hAnsi="Palatino Linotype" w:cs="Arial"/>
          <w:b/>
          <w:color w:val="000000" w:themeColor="text1"/>
        </w:rPr>
        <w:t>Sistema Municipal para el Desarrollo Integral de la Familia de Ixtlahuaca</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86945038"/>
      <w:r w:rsidRPr="00A85CB7">
        <w:rPr>
          <w:b/>
          <w:color w:val="000000" w:themeColor="text1"/>
        </w:rPr>
        <w:t>ANTECEDENTES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8F2B16C"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5A339D">
        <w:rPr>
          <w:rFonts w:ascii="Palatino Linotype" w:eastAsia="Calibri" w:hAnsi="Palatino Linotype" w:cs="Arial"/>
          <w:color w:val="000000" w:themeColor="text1"/>
          <w:lang w:val="es-ES"/>
        </w:rPr>
        <w:t>treinta y uno (31) de enero de dos mil veintidós</w:t>
      </w:r>
      <w:r w:rsidR="005F1362" w:rsidRPr="00A85CB7">
        <w:rPr>
          <w:rFonts w:ascii="Palatino Linotype" w:eastAsia="Calibri" w:hAnsi="Palatino Linotype" w:cs="Arial"/>
          <w:color w:val="000000" w:themeColor="text1"/>
          <w:lang w:val="es-ES"/>
        </w:rPr>
        <w:t xml:space="preserve">, </w:t>
      </w:r>
      <w:r w:rsidR="005A339D">
        <w:rPr>
          <w:rFonts w:ascii="Palatino Linotype" w:hAnsi="Palatino Linotype"/>
          <w:color w:val="000000" w:themeColor="text1"/>
        </w:rPr>
        <w:t>el</w:t>
      </w:r>
      <w:r w:rsidR="00B31E90">
        <w:rPr>
          <w:rFonts w:ascii="Palatino Linotype" w:hAnsi="Palatino Linotype"/>
          <w:color w:val="000000" w:themeColor="text1"/>
        </w:rPr>
        <w:t xml:space="preserve"> particular</w:t>
      </w:r>
      <w:r w:rsidR="005F1362" w:rsidRPr="00A85CB7">
        <w:rPr>
          <w:rFonts w:ascii="Palatino Linotype" w:hAnsi="Palatino Linotype"/>
          <w:color w:val="000000" w:themeColor="text1"/>
        </w:rPr>
        <w:t xml:space="preserve"> presentó</w:t>
      </w:r>
      <w:r w:rsidR="005A339D">
        <w:rPr>
          <w:rFonts w:ascii="Palatino Linotype" w:hAnsi="Palatino Linotype"/>
          <w:color w:val="000000" w:themeColor="text1"/>
        </w:rPr>
        <w:t>,</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 xml:space="preserve">del </w:t>
      </w:r>
      <w:r w:rsidR="005A339D">
        <w:rPr>
          <w:rFonts w:ascii="Palatino Linotype" w:eastAsia="Calibri" w:hAnsi="Palatino Linotype" w:cs="Arial"/>
          <w:color w:val="000000" w:themeColor="text1"/>
          <w:lang w:val="es-ES"/>
        </w:rPr>
        <w:t>SAIMEX</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523640">
        <w:rPr>
          <w:rFonts w:ascii="Palatino Linotype" w:hAnsi="Palatino Linotype"/>
          <w:b/>
          <w:bCs/>
          <w:color w:val="000000" w:themeColor="text1"/>
        </w:rPr>
        <w:t>00004/DIFIXTLAHU/IP/2022</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E2E1ADA"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5A339D" w:rsidRPr="005A339D">
        <w:rPr>
          <w:rFonts w:ascii="Palatino Linotype" w:hAnsi="Palatino Linotype"/>
          <w:i/>
          <w:iCs/>
          <w:color w:val="000000" w:themeColor="text1"/>
          <w:sz w:val="22"/>
          <w:szCs w:val="22"/>
        </w:rPr>
        <w:t xml:space="preserve">solicito el nombre de la persona responsable de juridico y su nombramiento solicito el nombre de la persona responsable de la uippe y su nombramiento solicito el nombre de la persona responsable de la contraloria y su nombramiento solicito el nombre de la persona responsable de desayunos frios y calientes , con su respectivo nombramiento solicito el nombre de la persona responsable de tesoreria y su nombramiento solicito el nombre de la persona responsable de adulto mayory su nombramiento solicito el nombre </w:t>
      </w:r>
      <w:r w:rsidR="005A339D" w:rsidRPr="005A339D">
        <w:rPr>
          <w:rFonts w:ascii="Palatino Linotype" w:hAnsi="Palatino Linotype"/>
          <w:i/>
          <w:iCs/>
          <w:color w:val="000000" w:themeColor="text1"/>
          <w:sz w:val="22"/>
          <w:szCs w:val="22"/>
        </w:rPr>
        <w:lastRenderedPageBreak/>
        <w:t>de la persona responsable hortadif y su nombramiento solicito el nombre de la persona responsable de las ares de psicologia y su nombramiento</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BD524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1ABC9D0"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5A339D">
        <w:rPr>
          <w:rFonts w:ascii="Palatino Linotype" w:eastAsia="MS Mincho" w:hAnsi="Palatino Linotype" w:cs="Times New Roman"/>
          <w:color w:val="000000" w:themeColor="text1"/>
        </w:rPr>
        <w:t>veintidós (22) de febrero de dos mil 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6573A390" w14:textId="77777777" w:rsidR="005A339D" w:rsidRPr="005A339D" w:rsidRDefault="005F1362" w:rsidP="005A339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5A339D" w:rsidRPr="005A339D">
        <w:rPr>
          <w:rFonts w:ascii="Palatino Linotype" w:hAnsi="Palatino Linotype"/>
          <w:i/>
          <w:noProof/>
          <w:color w:val="000000" w:themeColor="text1"/>
          <w:sz w:val="22"/>
          <w:szCs w:val="22"/>
          <w:lang w:val="es-MX" w:eastAsia="es-MX"/>
        </w:rPr>
        <w:t xml:space="preserve">l Para el Desarrollo Integral de la Familia de Ixtlahuaca, México a 22 de febrero de 2022 Nombre del solicitante: A QUIEN CORRESPONDA Folio de la solicitud: 00004/IXTLAHUA/IP/2022 Ixtlahuaca, México a 22 de febrero de 2022 Nombre del solicitante: A QUIEN CORRESPONDA, Folio de la solicitud: 00004/DIFIXTLAHU/IP/2022 Ixtlahuaca de Rayón; México, a 31 de enero de 2022 A QUIEN CORRESPONDA P R E S E N T E Por medio del presente me permito enviarle un cordial y afectuoso saludo, al mismo tiempo y en atención a su solicitud 00004/DIFIXTLAHU/IP/2022 de fecha treinta uno de enero de dos mil veintidós; donde solicita lo siguiente: “…solicito el nombre de la persona responsable de jurídico y su nombramiento solicito el nombre de la persona responsable de la uippe y su nombramiento solicito el nombre de la persona responsable de la contraloría y su nombramiento solicito el nombre de la persona responsable de desayunos fríos y calientes , con su respectivo nombramiento solicito el nombre de la persona responsable de tesorería y su nombramiento solicito el nombre de la persona responsable de adulto mayor y su nombramiento solicito el nombre de la persona responsable hortadif y su nombramiento solicito el nombre de la persona responsable de las ares de psicología y su nombramiento...”;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w:t>
      </w:r>
      <w:r w:rsidR="005A339D" w:rsidRPr="005A339D">
        <w:rPr>
          <w:rFonts w:ascii="Palatino Linotype" w:hAnsi="Palatino Linotype"/>
          <w:i/>
          <w:noProof/>
          <w:color w:val="000000" w:themeColor="text1"/>
          <w:sz w:val="22"/>
          <w:szCs w:val="22"/>
          <w:lang w:val="es-MX" w:eastAsia="es-MX"/>
        </w:rPr>
        <w:lastRenderedPageBreak/>
        <w:t>información siguiente: envió en formato PDF (RESP.SOL.0004) Sin otro particular por el momento quedo de Usted; para cualquier duda y/o aclaración al respecto. A T E N T A M E N T E P. D. MIRIAM VELÁZQUEZ GONZÁLEZ DIRECTORA GENERAL. ATENTAMENTE P. D. MIRIAM VELÁZQUEZ GONZÁLEZ DIRECTORA GENERAL Sistema Municipal Para el Desarrollo Integral de la Familia de Ixtlahuaca</w:t>
      </w:r>
    </w:p>
    <w:p w14:paraId="76CBD1E5" w14:textId="77777777" w:rsidR="005A339D" w:rsidRDefault="005A339D" w:rsidP="005A339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056BE7B" w14:textId="45DAD28A" w:rsidR="005A339D" w:rsidRPr="005A339D" w:rsidRDefault="005A339D" w:rsidP="005A339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A339D">
        <w:rPr>
          <w:rFonts w:ascii="Palatino Linotype" w:hAnsi="Palatino Linotype"/>
          <w:i/>
          <w:noProof/>
          <w:color w:val="000000" w:themeColor="text1"/>
          <w:sz w:val="22"/>
          <w:szCs w:val="22"/>
          <w:lang w:val="es-MX" w:eastAsia="es-MX"/>
        </w:rPr>
        <w:t>ATENTAMENTE</w:t>
      </w:r>
    </w:p>
    <w:p w14:paraId="35A36DE0" w14:textId="3AD62F21" w:rsidR="0039142B" w:rsidRPr="009A593A" w:rsidRDefault="005A339D" w:rsidP="005A339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A339D">
        <w:rPr>
          <w:rFonts w:ascii="Palatino Linotype" w:hAnsi="Palatino Linotype"/>
          <w:i/>
          <w:noProof/>
          <w:color w:val="000000" w:themeColor="text1"/>
          <w:sz w:val="22"/>
          <w:szCs w:val="22"/>
          <w:lang w:val="es-MX" w:eastAsia="es-MX"/>
        </w:rPr>
        <w:t>C. OMAR ALVAREZ .</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316441D2"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w:t>
      </w:r>
      <w:r w:rsidR="000411E2">
        <w:rPr>
          <w:rFonts w:ascii="Palatino Linotype" w:hAnsi="Palatino Linotype"/>
          <w:color w:val="000000" w:themeColor="text1"/>
          <w:szCs w:val="22"/>
        </w:rPr>
        <w:t>respuesta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5A339D">
        <w:rPr>
          <w:rFonts w:ascii="Palatino Linotype" w:hAnsi="Palatino Linotype"/>
          <w:color w:val="000000" w:themeColor="text1"/>
          <w:szCs w:val="22"/>
        </w:rPr>
        <w:t>el</w:t>
      </w:r>
      <w:r>
        <w:rPr>
          <w:rFonts w:ascii="Palatino Linotype" w:hAnsi="Palatino Linotype"/>
          <w:color w:val="000000" w:themeColor="text1"/>
          <w:szCs w:val="22"/>
        </w:rPr>
        <w:t xml:space="preserve"> documento que se describe a continuación:</w:t>
      </w:r>
    </w:p>
    <w:p w14:paraId="6F01E6D1" w14:textId="64738336" w:rsidR="00C52FCF" w:rsidRDefault="00C52FCF" w:rsidP="00123F6A">
      <w:pPr>
        <w:pStyle w:val="Prrafodelista"/>
        <w:numPr>
          <w:ilvl w:val="0"/>
          <w:numId w:val="6"/>
        </w:numPr>
        <w:spacing w:line="360" w:lineRule="auto"/>
        <w:ind w:left="1134"/>
        <w:contextualSpacing w:val="0"/>
        <w:jc w:val="both"/>
        <w:rPr>
          <w:rFonts w:ascii="Palatino Linotype" w:hAnsi="Palatino Linotype" w:cs="Arial"/>
        </w:rPr>
      </w:pPr>
      <w:r w:rsidRPr="00C52FCF">
        <w:rPr>
          <w:rFonts w:ascii="Palatino Linotype" w:hAnsi="Palatino Linotype" w:cs="Arial"/>
          <w:b/>
          <w:i/>
        </w:rPr>
        <w:t>“</w:t>
      </w:r>
      <w:r w:rsidR="005A339D">
        <w:rPr>
          <w:rFonts w:ascii="Palatino Linotype" w:hAnsi="Palatino Linotype" w:cs="Arial"/>
          <w:b/>
          <w:i/>
        </w:rPr>
        <w:t>SOLICITUD # 00004 DIF.pdf</w:t>
      </w:r>
      <w:r w:rsidRPr="00C52FCF">
        <w:rPr>
          <w:rFonts w:ascii="Palatino Linotype" w:hAnsi="Palatino Linotype" w:cs="Arial"/>
          <w:b/>
          <w:i/>
        </w:rPr>
        <w:t>”</w:t>
      </w:r>
      <w:r>
        <w:rPr>
          <w:rFonts w:ascii="Palatino Linotype" w:hAnsi="Palatino Linotype" w:cs="Arial"/>
        </w:rPr>
        <w:t xml:space="preserve">: Documento de </w:t>
      </w:r>
      <w:r w:rsidR="005A339D">
        <w:rPr>
          <w:rFonts w:ascii="Palatino Linotype" w:hAnsi="Palatino Linotype" w:cs="Arial"/>
        </w:rPr>
        <w:t>dos fojas consistente en los siguientes instrumentos:</w:t>
      </w:r>
    </w:p>
    <w:p w14:paraId="3E7D9DE3" w14:textId="4D1C5174" w:rsidR="005A339D" w:rsidRDefault="005A339D" w:rsidP="005A339D">
      <w:pPr>
        <w:pStyle w:val="Prrafodelista"/>
        <w:numPr>
          <w:ilvl w:val="1"/>
          <w:numId w:val="11"/>
        </w:numPr>
        <w:spacing w:line="360" w:lineRule="auto"/>
        <w:ind w:left="1701"/>
        <w:contextualSpacing w:val="0"/>
        <w:jc w:val="both"/>
        <w:rPr>
          <w:rFonts w:ascii="Palatino Linotype" w:hAnsi="Palatino Linotype" w:cs="Arial"/>
        </w:rPr>
      </w:pPr>
      <w:r>
        <w:rPr>
          <w:rFonts w:ascii="Palatino Linotype" w:hAnsi="Palatino Linotype" w:cs="Arial"/>
        </w:rPr>
        <w:t>Oficio número SMDIFI/TD/004/2022, de diecisiete (17) de febrero de dos mil veintidós, emitido por la Tesorera de</w:t>
      </w:r>
      <w:r w:rsidR="00B970A2">
        <w:rPr>
          <w:rFonts w:ascii="Palatino Linotype" w:hAnsi="Palatino Linotype" w:cs="Arial"/>
        </w:rPr>
        <w:t xml:space="preserve">l </w:t>
      </w:r>
      <w:r w:rsidR="00B970A2">
        <w:rPr>
          <w:rFonts w:ascii="Palatino Linotype" w:hAnsi="Palatino Linotype" w:cs="Arial"/>
          <w:b/>
          <w:bCs/>
        </w:rPr>
        <w:t>SUJETO OBLIGADO</w:t>
      </w:r>
      <w:r w:rsidR="00B970A2">
        <w:rPr>
          <w:rFonts w:ascii="Palatino Linotype" w:hAnsi="Palatino Linotype" w:cs="Arial"/>
        </w:rPr>
        <w:t xml:space="preserve">, mediante el cual, informa que no se cuenta con un área jurídica, y enlista el nombre de los responsables de cada una de las áreas administrativas referidas por el entonces </w:t>
      </w:r>
      <w:r w:rsidR="00B970A2">
        <w:rPr>
          <w:rFonts w:ascii="Palatino Linotype" w:hAnsi="Palatino Linotype" w:cs="Arial"/>
          <w:b/>
          <w:bCs/>
        </w:rPr>
        <w:t>SOLICITANTE</w:t>
      </w:r>
      <w:r w:rsidR="00B970A2">
        <w:rPr>
          <w:rFonts w:ascii="Palatino Linotype" w:hAnsi="Palatino Linotype" w:cs="Arial"/>
        </w:rPr>
        <w:t>, junto con el estado que guarda el nombramiento de cada uno.</w:t>
      </w:r>
    </w:p>
    <w:p w14:paraId="526DA083" w14:textId="613E85DD" w:rsidR="00B970A2" w:rsidRDefault="00B970A2" w:rsidP="005A339D">
      <w:pPr>
        <w:pStyle w:val="Prrafodelista"/>
        <w:numPr>
          <w:ilvl w:val="1"/>
          <w:numId w:val="11"/>
        </w:numPr>
        <w:spacing w:line="360" w:lineRule="auto"/>
        <w:ind w:left="1701"/>
        <w:contextualSpacing w:val="0"/>
        <w:jc w:val="both"/>
        <w:rPr>
          <w:rFonts w:ascii="Palatino Linotype" w:hAnsi="Palatino Linotype" w:cs="Arial"/>
        </w:rPr>
      </w:pPr>
      <w:bookmarkStart w:id="4" w:name="_Hlk99579726"/>
      <w:r>
        <w:rPr>
          <w:rFonts w:ascii="Palatino Linotype" w:hAnsi="Palatino Linotype" w:cs="Arial"/>
        </w:rPr>
        <w:t xml:space="preserve">Nombramiento expedido por la Presidenta del Sistema Municipal para el Desarrollo Integral de la Familia de Ixtlahuaca, en favor de la </w:t>
      </w:r>
      <w:r>
        <w:rPr>
          <w:rFonts w:ascii="Palatino Linotype" w:hAnsi="Palatino Linotype" w:cs="Arial"/>
          <w:i/>
          <w:iCs/>
        </w:rPr>
        <w:t>P.L.C. Marisol Sánchez Alcántara</w:t>
      </w:r>
      <w:r>
        <w:rPr>
          <w:rFonts w:ascii="Palatino Linotype" w:hAnsi="Palatino Linotype" w:cs="Arial"/>
        </w:rPr>
        <w:t>, por el que se le designa el cargo de Tesorera.</w:t>
      </w:r>
    </w:p>
    <w:bookmarkEnd w:id="4"/>
    <w:p w14:paraId="11423777" w14:textId="77777777" w:rsidR="00F96460" w:rsidRPr="00F96460" w:rsidRDefault="00F96460" w:rsidP="00F96460">
      <w:pPr>
        <w:spacing w:line="360" w:lineRule="auto"/>
        <w:jc w:val="both"/>
        <w:rPr>
          <w:rFonts w:ascii="Palatino Linotype" w:hAnsi="Palatino Linotype" w:cs="Arial"/>
        </w:rPr>
      </w:pPr>
    </w:p>
    <w:p w14:paraId="272B63B3" w14:textId="4F547D31"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B970A2">
        <w:rPr>
          <w:rFonts w:ascii="Palatino Linotype" w:eastAsia="Times New Roman" w:hAnsi="Palatino Linotype" w:cs="Arial"/>
          <w:color w:val="000000" w:themeColor="text1"/>
          <w:lang w:val="es-ES"/>
        </w:rPr>
        <w:t>veintidós (22) de febrero de dos mil veintidós</w:t>
      </w:r>
      <w:r w:rsidR="00FE49E3" w:rsidRPr="00A85CB7">
        <w:rPr>
          <w:rFonts w:ascii="Palatino Linotype" w:eastAsia="Times New Roman" w:hAnsi="Palatino Linotype" w:cs="Arial"/>
          <w:color w:val="000000" w:themeColor="text1"/>
          <w:lang w:val="es-ES"/>
        </w:rPr>
        <w:t xml:space="preserve">, </w:t>
      </w:r>
      <w:r w:rsidR="00B970A2">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523640">
        <w:rPr>
          <w:rFonts w:ascii="Palatino Linotype" w:eastAsia="Calibri" w:hAnsi="Palatino Linotype" w:cs="Arial"/>
          <w:b/>
          <w:color w:val="000000" w:themeColor="text1"/>
          <w:lang w:val="es-ES"/>
        </w:rPr>
        <w:t>01118/INFOEM/IP/RR/2022</w:t>
      </w:r>
      <w:r w:rsidR="009A0461" w:rsidRPr="00B970A2">
        <w:rPr>
          <w:rFonts w:ascii="Palatino Linotype" w:eastAsia="Calibri" w:hAnsi="Palatino Linotype" w:cs="Arial"/>
          <w:bCs/>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FE42F68" w:rsidR="00E34622" w:rsidRPr="00A85CB7"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B970A2" w:rsidRPr="00B970A2">
        <w:rPr>
          <w:rFonts w:ascii="Palatino Linotype" w:eastAsia="Times New Roman" w:hAnsi="Palatino Linotype" w:cs="Arial"/>
          <w:i/>
          <w:color w:val="000000" w:themeColor="text1"/>
        </w:rPr>
        <w:t>la respuesta no se basa al proceso de la ley de transparencia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0C249E7F" w:rsidR="00E34622" w:rsidRPr="00A85CB7"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B970A2" w:rsidRPr="00B970A2">
        <w:rPr>
          <w:rFonts w:ascii="Palatino Linotype" w:hAnsi="Palatino Linotype"/>
          <w:i/>
          <w:iCs/>
          <w:color w:val="000000"/>
        </w:rPr>
        <w:t>la respuesta no se basa al proceso de la ley de transparencia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552A742"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w:t>
      </w:r>
      <w:r w:rsidR="00B970A2">
        <w:rPr>
          <w:rFonts w:ascii="Palatino Linotype" w:hAnsi="Palatino Linotype" w:cs="Arial"/>
          <w:bCs/>
          <w:color w:val="000000" w:themeColor="text1"/>
        </w:rPr>
        <w:t>;</w:t>
      </w:r>
      <w:r w:rsidR="004F785F" w:rsidRPr="00A85CB7">
        <w:rPr>
          <w:rFonts w:ascii="Palatino Linotype" w:hAnsi="Palatino Linotype" w:cs="Arial"/>
          <w:bCs/>
          <w:color w:val="000000" w:themeColor="text1"/>
        </w:rPr>
        <w:t xml:space="preserve">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B970A2">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B970A2">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w:t>
      </w:r>
      <w:r w:rsidR="00B970A2">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w:t>
      </w:r>
      <w:r w:rsidR="0096234B" w:rsidRPr="00B970A2">
        <w:rPr>
          <w:rFonts w:ascii="Palatino Linotype" w:eastAsia="Times New Roman" w:hAnsi="Palatino Linotype" w:cs="Arial"/>
          <w:b/>
          <w:color w:val="000000" w:themeColor="text1"/>
          <w:lang w:val="es-ES"/>
        </w:rPr>
        <w:t xml:space="preserve">Comisionada </w:t>
      </w:r>
      <w:r w:rsidR="00D12402" w:rsidRPr="00B970A2">
        <w:rPr>
          <w:rFonts w:ascii="Palatino Linotype" w:eastAsia="Times New Roman" w:hAnsi="Palatino Linotype" w:cs="Arial"/>
          <w:b/>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5EA7CD2"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w:t>
      </w:r>
      <w:r w:rsidR="00B970A2">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fracción II</w:t>
      </w:r>
      <w:r w:rsidR="00B970A2">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A33B22">
        <w:rPr>
          <w:rFonts w:ascii="Palatino Linotype" w:eastAsia="Calibri" w:hAnsi="Palatino Linotype" w:cs="Arial"/>
          <w:color w:val="000000" w:themeColor="text1"/>
          <w:lang w:val="es-ES"/>
        </w:rPr>
        <w:t>veinticinco (25) de febrero de dos mil veintidós</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w:t>
      </w:r>
      <w:r w:rsidR="00A33B22">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rPr>
        <w:t xml:space="preserve">vía </w:t>
      </w:r>
      <w:r w:rsidR="00A33B22">
        <w:rPr>
          <w:rFonts w:ascii="Palatino Linotype" w:eastAsia="Calibri" w:hAnsi="Palatino Linotype" w:cs="Arial"/>
          <w:color w:val="000000" w:themeColor="text1"/>
          <w:lang w:val="es-ES"/>
        </w:rPr>
        <w:t>SAIMEX,</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68B83B61" w:rsidR="001E4152" w:rsidRPr="00894767"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F85E14">
        <w:rPr>
          <w:rFonts w:ascii="Palatino Linotype" w:eastAsia="Calibri" w:hAnsi="Palatino Linotype" w:cs="Arial"/>
          <w:color w:val="000000" w:themeColor="text1"/>
          <w:lang w:val="es-ES"/>
        </w:rPr>
        <w:t xml:space="preserve">siete (07) de </w:t>
      </w:r>
      <w:r w:rsidR="00A33B22">
        <w:rPr>
          <w:rFonts w:ascii="Palatino Linotype" w:eastAsia="Calibri" w:hAnsi="Palatino Linotype" w:cs="Arial"/>
          <w:color w:val="000000" w:themeColor="text1"/>
          <w:lang w:val="es-ES"/>
        </w:rPr>
        <w:t>marzo de dos mil veintidós</w:t>
      </w:r>
      <w:r w:rsidRPr="0096234B">
        <w:rPr>
          <w:rFonts w:ascii="Palatino Linotype" w:eastAsia="Calibri" w:hAnsi="Palatino Linotype" w:cs="Arial"/>
          <w:color w:val="000000" w:themeColor="text1"/>
          <w:lang w:val="es-ES"/>
        </w:rPr>
        <w:t xml:space="preserve">, el </w:t>
      </w:r>
      <w:r w:rsidRPr="0096234B">
        <w:rPr>
          <w:rFonts w:ascii="Palatino Linotype" w:eastAsia="Calibri" w:hAnsi="Palatino Linotype" w:cs="Arial"/>
          <w:b/>
          <w:bCs/>
          <w:color w:val="000000" w:themeColor="text1"/>
          <w:lang w:val="es-ES"/>
        </w:rPr>
        <w:t>SUJETO OBLIGADO</w:t>
      </w:r>
      <w:r w:rsidRPr="0096234B">
        <w:rPr>
          <w:rFonts w:ascii="Palatino Linotype" w:eastAsia="Calibri" w:hAnsi="Palatino Linotype" w:cs="Arial"/>
          <w:color w:val="000000" w:themeColor="text1"/>
          <w:lang w:val="es-ES"/>
        </w:rPr>
        <w:t xml:space="preserve"> presentó su Informe Justificado mediante </w:t>
      </w:r>
      <w:r w:rsidR="00A33B22">
        <w:rPr>
          <w:rFonts w:ascii="Palatino Linotype" w:eastAsia="Calibri" w:hAnsi="Palatino Linotype" w:cs="Arial"/>
          <w:color w:val="000000" w:themeColor="text1"/>
          <w:lang w:val="es-ES"/>
        </w:rPr>
        <w:t>el</w:t>
      </w:r>
      <w:r w:rsidRPr="0096234B">
        <w:rPr>
          <w:rFonts w:ascii="Palatino Linotype" w:eastAsia="Calibri" w:hAnsi="Palatino Linotype" w:cs="Arial"/>
          <w:color w:val="000000" w:themeColor="text1"/>
          <w:lang w:val="es-ES"/>
        </w:rPr>
        <w:t xml:space="preserve"> archivo electrónic</w:t>
      </w:r>
      <w:r w:rsidR="00894767">
        <w:rPr>
          <w:rFonts w:ascii="Palatino Linotype" w:eastAsia="Calibri" w:hAnsi="Palatino Linotype" w:cs="Arial"/>
          <w:color w:val="000000" w:themeColor="text1"/>
          <w:lang w:val="es-ES"/>
        </w:rPr>
        <w:t>o</w:t>
      </w:r>
      <w:r w:rsidRPr="0096234B">
        <w:rPr>
          <w:rFonts w:ascii="Palatino Linotype" w:eastAsia="Calibri" w:hAnsi="Palatino Linotype" w:cs="Arial"/>
          <w:color w:val="000000" w:themeColor="text1"/>
          <w:lang w:val="es-ES"/>
        </w:rPr>
        <w:t xml:space="preserve"> descrito a continuación:</w:t>
      </w:r>
    </w:p>
    <w:p w14:paraId="21C768AE" w14:textId="0EEA72CB" w:rsidR="00C65726" w:rsidRPr="00A33B22" w:rsidRDefault="00894767" w:rsidP="00A33B22">
      <w:pPr>
        <w:pStyle w:val="Prrafodelista"/>
        <w:numPr>
          <w:ilvl w:val="1"/>
          <w:numId w:val="5"/>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lastRenderedPageBreak/>
        <w:t>“</w:t>
      </w:r>
      <w:r w:rsidR="00A33B22">
        <w:rPr>
          <w:rFonts w:ascii="Palatino Linotype" w:eastAsia="Calibri" w:hAnsi="Palatino Linotype" w:cs="Arial"/>
          <w:b/>
          <w:i/>
          <w:color w:val="000000" w:themeColor="text1"/>
          <w:lang w:val="es-ES"/>
        </w:rPr>
        <w:t>INFORME JUSTIFICADO SOL 04.pdf</w:t>
      </w:r>
      <w:r>
        <w:rPr>
          <w:rFonts w:ascii="Palatino Linotype" w:eastAsia="Calibri" w:hAnsi="Palatino Linotype" w:cs="Arial"/>
          <w:b/>
          <w:i/>
          <w:color w:val="000000" w:themeColor="text1"/>
          <w:lang w:val="es-ES"/>
        </w:rPr>
        <w:t>”</w:t>
      </w:r>
      <w:r>
        <w:rPr>
          <w:rFonts w:ascii="Palatino Linotype" w:eastAsia="Calibri" w:hAnsi="Palatino Linotype" w:cs="Arial"/>
          <w:color w:val="000000" w:themeColor="text1"/>
          <w:lang w:val="es-ES"/>
        </w:rPr>
        <w:t xml:space="preserve">: Documento </w:t>
      </w:r>
      <w:r w:rsidR="00C65726">
        <w:rPr>
          <w:rFonts w:ascii="Palatino Linotype" w:eastAsia="Calibri" w:hAnsi="Palatino Linotype" w:cs="Arial"/>
          <w:color w:val="000000" w:themeColor="text1"/>
          <w:lang w:val="es-ES"/>
        </w:rPr>
        <w:t xml:space="preserve">de </w:t>
      </w:r>
      <w:r w:rsidR="00A33B22">
        <w:rPr>
          <w:rFonts w:ascii="Palatino Linotype" w:eastAsia="Calibri" w:hAnsi="Palatino Linotype" w:cs="Arial"/>
          <w:color w:val="000000" w:themeColor="text1"/>
          <w:lang w:val="es-ES"/>
        </w:rPr>
        <w:t>10 fojas consistente en los siguientes instrumentos:</w:t>
      </w:r>
    </w:p>
    <w:p w14:paraId="5342A1A6" w14:textId="58BF65E3" w:rsidR="00A33B22" w:rsidRPr="00A33B22" w:rsidRDefault="00A33B22" w:rsidP="00A33B22">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Informe justificado de siete (07) de marzo de dos mil veintidós, signado por el Titular de la Unidad de Transparencia, por el que esencialmente, informa sobre la modificación de la respuesta inicial emitida por la Tesorería.</w:t>
      </w:r>
    </w:p>
    <w:p w14:paraId="41B496A6" w14:textId="3601DD94" w:rsidR="00A33B22" w:rsidRPr="00B26A5F" w:rsidRDefault="00B26A5F" w:rsidP="00A33B22">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Nombramiento </w:t>
      </w:r>
      <w:r>
        <w:rPr>
          <w:rFonts w:ascii="Palatino Linotype" w:hAnsi="Palatino Linotype" w:cs="Arial"/>
        </w:rPr>
        <w:t xml:space="preserve">expedido por la Presidenta del Sistema Municipal para el Desarrollo Integral de la Familia de Ixtlahuaca, en favor de la </w:t>
      </w:r>
      <w:r>
        <w:rPr>
          <w:rFonts w:ascii="Palatino Linotype" w:hAnsi="Palatino Linotype" w:cs="Arial"/>
          <w:i/>
          <w:iCs/>
        </w:rPr>
        <w:t>P.L.C. Marisol Sánchez Alcántara</w:t>
      </w:r>
      <w:r>
        <w:rPr>
          <w:rFonts w:ascii="Palatino Linotype" w:hAnsi="Palatino Linotype" w:cs="Arial"/>
        </w:rPr>
        <w:t>, por el que se le designa el cargo de Tesorera.</w:t>
      </w:r>
    </w:p>
    <w:p w14:paraId="6C626DFA" w14:textId="0FED064D" w:rsidR="00B26A5F" w:rsidRPr="00B26A5F" w:rsidRDefault="00B26A5F" w:rsidP="00B26A5F">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Nombramiento </w:t>
      </w:r>
      <w:r>
        <w:rPr>
          <w:rFonts w:ascii="Palatino Linotype" w:hAnsi="Palatino Linotype" w:cs="Arial"/>
        </w:rPr>
        <w:t xml:space="preserve">expedido por la Presidenta del Sistema Municipal para el Desarrollo Integral de la Familia de Ixtlahuaca, en favor de la </w:t>
      </w:r>
      <w:r>
        <w:rPr>
          <w:rFonts w:ascii="Palatino Linotype" w:hAnsi="Palatino Linotype" w:cs="Arial"/>
          <w:i/>
          <w:iCs/>
        </w:rPr>
        <w:t>C. Esmeralda Sámano Sánchez</w:t>
      </w:r>
      <w:r>
        <w:rPr>
          <w:rFonts w:ascii="Palatino Linotype" w:hAnsi="Palatino Linotype" w:cs="Arial"/>
        </w:rPr>
        <w:t>, por el que se le designa el cargo de Coordinadora de Adulto Mayor y Representante de INAPAM.</w:t>
      </w:r>
    </w:p>
    <w:p w14:paraId="131781B5" w14:textId="2E5D9B18" w:rsidR="00B26A5F" w:rsidRPr="00B26A5F" w:rsidRDefault="00B26A5F" w:rsidP="00B26A5F">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Nombramiento </w:t>
      </w:r>
      <w:r>
        <w:rPr>
          <w:rFonts w:ascii="Palatino Linotype" w:hAnsi="Palatino Linotype" w:cs="Arial"/>
        </w:rPr>
        <w:t xml:space="preserve">expedido por la Presidenta del Sistema Municipal para el Desarrollo Integral de la Familia de Ixtlahuaca, en favor de la </w:t>
      </w:r>
      <w:r>
        <w:rPr>
          <w:rFonts w:ascii="Palatino Linotype" w:hAnsi="Palatino Linotype" w:cs="Arial"/>
          <w:i/>
          <w:iCs/>
        </w:rPr>
        <w:t>Lic. María de los Ángeles López Ramírez</w:t>
      </w:r>
      <w:r>
        <w:rPr>
          <w:rFonts w:ascii="Palatino Linotype" w:hAnsi="Palatino Linotype" w:cs="Arial"/>
        </w:rPr>
        <w:t>, por el que se le designa el cargo de Titular de la Contraloría.</w:t>
      </w:r>
    </w:p>
    <w:p w14:paraId="5813A4B6" w14:textId="51890B0F" w:rsidR="00B26A5F" w:rsidRPr="00B26A5F" w:rsidRDefault="00B26A5F" w:rsidP="00B26A5F">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Nombramiento </w:t>
      </w:r>
      <w:r>
        <w:rPr>
          <w:rFonts w:ascii="Palatino Linotype" w:hAnsi="Palatino Linotype" w:cs="Arial"/>
        </w:rPr>
        <w:t xml:space="preserve">expedido por la Presidenta del Sistema Municipal para el Desarrollo Integral de la Familia de Ixtlahuaca, en favor del </w:t>
      </w:r>
      <w:r>
        <w:rPr>
          <w:rFonts w:ascii="Palatino Linotype" w:hAnsi="Palatino Linotype" w:cs="Arial"/>
          <w:i/>
          <w:iCs/>
        </w:rPr>
        <w:t>Lic. Juan Javier Becerril García</w:t>
      </w:r>
      <w:r>
        <w:rPr>
          <w:rFonts w:ascii="Palatino Linotype" w:hAnsi="Palatino Linotype" w:cs="Arial"/>
        </w:rPr>
        <w:t>, por el que se le designa el cargo de Titular de la Unidad de Información, Planeación, Programación y Evaluación.</w:t>
      </w:r>
    </w:p>
    <w:p w14:paraId="117A2388" w14:textId="77777777" w:rsidR="00B26A5F" w:rsidRPr="00B26A5F" w:rsidRDefault="00B26A5F" w:rsidP="00B26A5F">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lastRenderedPageBreak/>
        <w:t xml:space="preserve">Nombramiento </w:t>
      </w:r>
      <w:r>
        <w:rPr>
          <w:rFonts w:ascii="Palatino Linotype" w:hAnsi="Palatino Linotype" w:cs="Arial"/>
        </w:rPr>
        <w:t xml:space="preserve">expedido por la Presidenta del Sistema Municipal para el Desarrollo Integral de la Familia de Ixtlahuaca, en favor de la </w:t>
      </w:r>
      <w:r>
        <w:rPr>
          <w:rFonts w:ascii="Palatino Linotype" w:hAnsi="Palatino Linotype" w:cs="Arial"/>
          <w:i/>
          <w:iCs/>
        </w:rPr>
        <w:t>P.L.C. Marisol Sánchez Alcántara</w:t>
      </w:r>
      <w:r>
        <w:rPr>
          <w:rFonts w:ascii="Palatino Linotype" w:hAnsi="Palatino Linotype" w:cs="Arial"/>
        </w:rPr>
        <w:t>, por el que se le designa el cargo de Tesorera.</w:t>
      </w:r>
    </w:p>
    <w:p w14:paraId="15B1CD29" w14:textId="06F81ECF" w:rsidR="00B26A5F" w:rsidRPr="00B26A5F" w:rsidRDefault="00B26A5F" w:rsidP="00B26A5F">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Oficio sin número único de identificación, de tres (03) de enero de dos mil veintidós, </w:t>
      </w:r>
      <w:r>
        <w:rPr>
          <w:rFonts w:ascii="Palatino Linotype" w:hAnsi="Palatino Linotype" w:cs="Arial"/>
        </w:rPr>
        <w:t xml:space="preserve">expedido por la Presidenta Honoraria del Sistema Municipal para el Desarrollo Integral de la Familia de Ixtlahuaca, dirigido a la Coordinadora de Alimentación y Nutrición Familiar, por el que </w:t>
      </w:r>
      <w:r w:rsidR="004B2713">
        <w:rPr>
          <w:rFonts w:ascii="Palatino Linotype" w:hAnsi="Palatino Linotype" w:cs="Arial"/>
        </w:rPr>
        <w:t xml:space="preserve">asigna al </w:t>
      </w:r>
      <w:r w:rsidR="004B2713">
        <w:rPr>
          <w:rFonts w:ascii="Palatino Linotype" w:hAnsi="Palatino Linotype" w:cs="Arial"/>
          <w:i/>
          <w:iCs/>
        </w:rPr>
        <w:t>P.L.A Edgar Jesús Barrientos Nieto</w:t>
      </w:r>
      <w:r w:rsidR="004B2713">
        <w:rPr>
          <w:rFonts w:ascii="Palatino Linotype" w:hAnsi="Palatino Linotype" w:cs="Arial"/>
        </w:rPr>
        <w:t xml:space="preserve"> como Promotor de Desayunos Calientes.</w:t>
      </w:r>
    </w:p>
    <w:p w14:paraId="0053E444" w14:textId="3B1F686D" w:rsidR="004B2713" w:rsidRPr="00B26A5F" w:rsidRDefault="004B2713" w:rsidP="004B2713">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Oficio sin número único de identificación, de veintiuno (21) de febrero de dos mil veintidós, </w:t>
      </w:r>
      <w:r>
        <w:rPr>
          <w:rFonts w:ascii="Palatino Linotype" w:hAnsi="Palatino Linotype" w:cs="Arial"/>
        </w:rPr>
        <w:t xml:space="preserve">expedido por la Presidenta Honoraria del Sistema Municipal para el Desarrollo Integral de la Familia de Ixtlahuaca, dirigido a la Coordinadora de Alimentación y Nutrición Familiar, por el que asigna al </w:t>
      </w:r>
      <w:r>
        <w:rPr>
          <w:rFonts w:ascii="Palatino Linotype" w:hAnsi="Palatino Linotype" w:cs="Arial"/>
          <w:i/>
          <w:iCs/>
        </w:rPr>
        <w:t>Ing. Agrónomo Israel González Cuamba</w:t>
      </w:r>
      <w:r>
        <w:rPr>
          <w:rFonts w:ascii="Palatino Linotype" w:hAnsi="Palatino Linotype" w:cs="Arial"/>
        </w:rPr>
        <w:t xml:space="preserve"> como Promotor del Programa HORTADIF.</w:t>
      </w:r>
    </w:p>
    <w:p w14:paraId="3EF5E754" w14:textId="5FF02186" w:rsidR="004B2713" w:rsidRPr="00B26A5F" w:rsidRDefault="004B2713" w:rsidP="004B2713">
      <w:pPr>
        <w:pStyle w:val="Prrafodelista"/>
        <w:numPr>
          <w:ilvl w:val="2"/>
          <w:numId w:val="12"/>
        </w:numPr>
        <w:tabs>
          <w:tab w:val="left" w:pos="426"/>
        </w:tabs>
        <w:spacing w:line="360" w:lineRule="auto"/>
        <w:ind w:left="1701"/>
        <w:jc w:val="both"/>
        <w:rPr>
          <w:rFonts w:ascii="Palatino Linotype" w:hAnsi="Palatino Linotype"/>
          <w:color w:val="000000" w:themeColor="text1"/>
        </w:rPr>
      </w:pPr>
      <w:r>
        <w:rPr>
          <w:rFonts w:ascii="Palatino Linotype" w:hAnsi="Palatino Linotype"/>
          <w:color w:val="000000" w:themeColor="text1"/>
        </w:rPr>
        <w:t xml:space="preserve">Oficio sin número único de identificación, de cuatro (04) de marzo de dos mil veintidós, </w:t>
      </w:r>
      <w:r>
        <w:rPr>
          <w:rFonts w:ascii="Palatino Linotype" w:hAnsi="Palatino Linotype" w:cs="Arial"/>
        </w:rPr>
        <w:t xml:space="preserve">expedido por la Presidenta Honoraria del Sistema Municipal para el Desarrollo Integral de la Familia de Ixtlahuaca, dirigido al Coordinador de Prevención y Bienestar Familiar, por el que asigna a la </w:t>
      </w:r>
      <w:r>
        <w:rPr>
          <w:rFonts w:ascii="Palatino Linotype" w:hAnsi="Palatino Linotype" w:cs="Arial"/>
          <w:i/>
          <w:iCs/>
        </w:rPr>
        <w:t>L. Psic. María Cristina Jiménez Antonio</w:t>
      </w:r>
      <w:r>
        <w:rPr>
          <w:rFonts w:ascii="Palatino Linotype" w:hAnsi="Palatino Linotype" w:cs="Arial"/>
        </w:rPr>
        <w:t xml:space="preserve"> al área de Psicología.</w:t>
      </w:r>
    </w:p>
    <w:p w14:paraId="009E3D5A" w14:textId="5E49EF43" w:rsidR="00B26A5F" w:rsidRPr="004B2713" w:rsidRDefault="004B2713" w:rsidP="0086699C">
      <w:pPr>
        <w:pStyle w:val="Prrafodelista"/>
        <w:numPr>
          <w:ilvl w:val="2"/>
          <w:numId w:val="12"/>
        </w:numPr>
        <w:tabs>
          <w:tab w:val="left" w:pos="426"/>
        </w:tabs>
        <w:spacing w:line="360" w:lineRule="auto"/>
        <w:ind w:left="1701"/>
        <w:jc w:val="both"/>
        <w:rPr>
          <w:rFonts w:ascii="Palatino Linotype" w:hAnsi="Palatino Linotype"/>
          <w:color w:val="000000" w:themeColor="text1"/>
        </w:rPr>
      </w:pPr>
      <w:r w:rsidRPr="004B2713">
        <w:rPr>
          <w:rFonts w:ascii="Palatino Linotype" w:hAnsi="Palatino Linotype"/>
          <w:color w:val="000000" w:themeColor="text1"/>
        </w:rPr>
        <w:t xml:space="preserve">Oficio sin número único de identificación, de uno (01) de febrero de dos mil veintidós, </w:t>
      </w:r>
      <w:r w:rsidRPr="004B2713">
        <w:rPr>
          <w:rFonts w:ascii="Palatino Linotype" w:hAnsi="Palatino Linotype" w:cs="Arial"/>
        </w:rPr>
        <w:t xml:space="preserve">expedido por la Presidenta Honoraria del Sistema </w:t>
      </w:r>
      <w:r w:rsidRPr="004B2713">
        <w:rPr>
          <w:rFonts w:ascii="Palatino Linotype" w:hAnsi="Palatino Linotype" w:cs="Arial"/>
        </w:rPr>
        <w:lastRenderedPageBreak/>
        <w:t xml:space="preserve">Municipal para el Desarrollo Integral de la Familia de Ixtlahuaca, dirigido a la Coordinadora de Alimentación y Nutrición Familiar, por el que asigna a la </w:t>
      </w:r>
      <w:r w:rsidRPr="004B2713">
        <w:rPr>
          <w:rFonts w:ascii="Palatino Linotype" w:hAnsi="Palatino Linotype" w:cs="Arial"/>
          <w:i/>
          <w:iCs/>
        </w:rPr>
        <w:t>L.N Luisa González Puebla</w:t>
      </w:r>
      <w:r w:rsidRPr="004B2713">
        <w:rPr>
          <w:rFonts w:ascii="Palatino Linotype" w:hAnsi="Palatino Linotype" w:cs="Arial"/>
        </w:rPr>
        <w:t xml:space="preserve"> como Promotora de Desayunos Fríos.</w:t>
      </w:r>
    </w:p>
    <w:p w14:paraId="49293A41" w14:textId="77777777" w:rsidR="00C65726" w:rsidRPr="00C65726" w:rsidRDefault="00C65726" w:rsidP="00C65726">
      <w:pPr>
        <w:tabs>
          <w:tab w:val="left" w:pos="426"/>
        </w:tabs>
        <w:spacing w:line="360" w:lineRule="auto"/>
        <w:jc w:val="both"/>
        <w:rPr>
          <w:rFonts w:ascii="Palatino Linotype" w:hAnsi="Palatino Linotype"/>
          <w:color w:val="000000" w:themeColor="text1"/>
        </w:rPr>
      </w:pPr>
    </w:p>
    <w:p w14:paraId="23BE587A" w14:textId="6221D76F" w:rsidR="0096234B" w:rsidRDefault="0096234B"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Del </w:t>
      </w:r>
      <w:r w:rsidRPr="0096234B">
        <w:rPr>
          <w:rFonts w:ascii="Palatino Linotype" w:hAnsi="Palatino Linotype"/>
          <w:color w:val="000000" w:themeColor="text1"/>
          <w:lang w:val="es-ES"/>
        </w:rPr>
        <w:t xml:space="preserve">análisis </w:t>
      </w:r>
      <w:r w:rsidRPr="0096234B">
        <w:rPr>
          <w:rFonts w:ascii="Palatino Linotype" w:hAnsi="Palatino Linotype"/>
          <w:color w:val="000000" w:themeColor="text1"/>
        </w:rPr>
        <w:t>realizado a</w:t>
      </w:r>
      <w:r w:rsidR="00774AB3">
        <w:rPr>
          <w:rFonts w:ascii="Palatino Linotype" w:hAnsi="Palatino Linotype"/>
          <w:color w:val="000000" w:themeColor="text1"/>
        </w:rPr>
        <w:t xml:space="preserve"> </w:t>
      </w:r>
      <w:r w:rsidRPr="0096234B">
        <w:rPr>
          <w:rFonts w:ascii="Palatino Linotype" w:hAnsi="Palatino Linotype"/>
          <w:color w:val="000000" w:themeColor="text1"/>
        </w:rPr>
        <w:t>l</w:t>
      </w:r>
      <w:r w:rsidR="00774AB3">
        <w:rPr>
          <w:rFonts w:ascii="Palatino Linotype" w:hAnsi="Palatino Linotype"/>
          <w:color w:val="000000" w:themeColor="text1"/>
        </w:rPr>
        <w:t>os</w:t>
      </w:r>
      <w:r w:rsidRPr="0096234B">
        <w:rPr>
          <w:rFonts w:ascii="Palatino Linotype" w:hAnsi="Palatino Linotype"/>
          <w:color w:val="000000" w:themeColor="text1"/>
        </w:rPr>
        <w:t xml:space="preserve"> archivo</w:t>
      </w:r>
      <w:r w:rsidR="00774AB3">
        <w:rPr>
          <w:rFonts w:ascii="Palatino Linotype" w:hAnsi="Palatino Linotype"/>
          <w:color w:val="000000" w:themeColor="text1"/>
        </w:rPr>
        <w:t>s</w:t>
      </w:r>
      <w:r w:rsidRPr="0096234B">
        <w:rPr>
          <w:rFonts w:ascii="Palatino Linotype" w:hAnsi="Palatino Linotype"/>
          <w:color w:val="000000" w:themeColor="text1"/>
        </w:rPr>
        <w:t xml:space="preserve"> remitido</w:t>
      </w:r>
      <w:r w:rsidR="00774AB3">
        <w:rPr>
          <w:rFonts w:ascii="Palatino Linotype" w:hAnsi="Palatino Linotype"/>
          <w:color w:val="000000" w:themeColor="text1"/>
        </w:rPr>
        <w:t>s</w:t>
      </w:r>
      <w:r w:rsidRPr="0096234B">
        <w:rPr>
          <w:rFonts w:ascii="Palatino Linotype" w:hAnsi="Palatino Linotype"/>
          <w:color w:val="000000" w:themeColor="text1"/>
        </w:rPr>
        <w:t xml:space="preserve"> por el </w:t>
      </w:r>
      <w:r w:rsidRPr="0096234B">
        <w:rPr>
          <w:rFonts w:ascii="Palatino Linotype" w:hAnsi="Palatino Linotype"/>
          <w:b/>
          <w:bCs/>
          <w:color w:val="000000" w:themeColor="text1"/>
        </w:rPr>
        <w:t>SUJETO OBLIGADO</w:t>
      </w:r>
      <w:r w:rsidRPr="0096234B">
        <w:rPr>
          <w:rFonts w:ascii="Palatino Linotype" w:hAnsi="Palatino Linotype"/>
          <w:color w:val="000000" w:themeColor="text1"/>
        </w:rPr>
        <w:t xml:space="preserve"> en el apartado de </w:t>
      </w:r>
      <w:r w:rsidRPr="0096234B">
        <w:rPr>
          <w:rFonts w:ascii="Palatino Linotype" w:hAnsi="Palatino Linotype"/>
          <w:i/>
          <w:iCs/>
          <w:color w:val="000000" w:themeColor="text1"/>
        </w:rPr>
        <w:t>Manifestaciones</w:t>
      </w:r>
      <w:r w:rsidRPr="0096234B">
        <w:rPr>
          <w:rFonts w:ascii="Palatino Linotype" w:hAnsi="Palatino Linotype"/>
          <w:color w:val="000000" w:themeColor="text1"/>
        </w:rPr>
        <w:t xml:space="preserve"> del </w:t>
      </w:r>
      <w:r w:rsidRPr="004B2713">
        <w:rPr>
          <w:rFonts w:ascii="Palatino Linotype" w:hAnsi="Palatino Linotype"/>
          <w:color w:val="000000" w:themeColor="text1"/>
        </w:rPr>
        <w:t>SAIMEX</w:t>
      </w:r>
      <w:r w:rsidRPr="0096234B">
        <w:rPr>
          <w:rFonts w:ascii="Palatino Linotype" w:hAnsi="Palatino Linotype"/>
          <w:color w:val="000000" w:themeColor="text1"/>
        </w:rPr>
        <w:t xml:space="preserve">, </w:t>
      </w:r>
      <w:r w:rsidR="004B2713">
        <w:rPr>
          <w:rFonts w:ascii="Palatino Linotype" w:hAnsi="Palatino Linotype"/>
          <w:color w:val="000000" w:themeColor="text1"/>
        </w:rPr>
        <w:t>se</w:t>
      </w:r>
      <w:r w:rsidR="00774AB3">
        <w:rPr>
          <w:rFonts w:ascii="Palatino Linotype" w:hAnsi="Palatino Linotype"/>
          <w:color w:val="000000" w:themeColor="text1"/>
        </w:rPr>
        <w:t xml:space="preserve"> concluyó que éstos</w:t>
      </w:r>
      <w:r w:rsidRPr="0096234B">
        <w:rPr>
          <w:rFonts w:ascii="Palatino Linotype" w:hAnsi="Palatino Linotype"/>
          <w:color w:val="000000" w:themeColor="text1"/>
        </w:rPr>
        <w:t xml:space="preserve"> contenía</w:t>
      </w:r>
      <w:r w:rsidR="00774AB3">
        <w:rPr>
          <w:rFonts w:ascii="Palatino Linotype" w:hAnsi="Palatino Linotype"/>
          <w:color w:val="000000" w:themeColor="text1"/>
        </w:rPr>
        <w:t>n</w:t>
      </w:r>
      <w:r w:rsidRPr="0096234B">
        <w:rPr>
          <w:rFonts w:ascii="Palatino Linotype" w:hAnsi="Palatino Linotype"/>
          <w:color w:val="000000" w:themeColor="text1"/>
        </w:rPr>
        <w:t xml:space="preserve"> información novedosa y de probable interés para </w:t>
      </w:r>
      <w:r w:rsidR="004B2713">
        <w:rPr>
          <w:rFonts w:ascii="Palatino Linotype" w:hAnsi="Palatino Linotype"/>
          <w:color w:val="000000" w:themeColor="text1"/>
        </w:rPr>
        <w:t>el</w:t>
      </w:r>
      <w:r w:rsidRPr="0096234B">
        <w:rPr>
          <w:rFonts w:ascii="Palatino Linotype" w:hAnsi="Palatino Linotype"/>
          <w:color w:val="000000" w:themeColor="text1"/>
        </w:rPr>
        <w:t xml:space="preserve"> </w:t>
      </w:r>
      <w:r w:rsidRPr="0096234B">
        <w:rPr>
          <w:rFonts w:ascii="Palatino Linotype" w:hAnsi="Palatino Linotype"/>
          <w:b/>
          <w:bCs/>
          <w:color w:val="000000" w:themeColor="text1"/>
        </w:rPr>
        <w:t>RECURRENTE</w:t>
      </w:r>
      <w:r w:rsidRPr="0096234B">
        <w:rPr>
          <w:rFonts w:ascii="Palatino Linotype" w:hAnsi="Palatino Linotype"/>
          <w:color w:val="000000" w:themeColor="text1"/>
        </w:rPr>
        <w:t>, por lo que fue</w:t>
      </w:r>
      <w:r w:rsidR="00774AB3">
        <w:rPr>
          <w:rFonts w:ascii="Palatino Linotype" w:hAnsi="Palatino Linotype"/>
          <w:color w:val="000000" w:themeColor="text1"/>
        </w:rPr>
        <w:t>ron</w:t>
      </w:r>
      <w:r w:rsidRPr="0096234B">
        <w:rPr>
          <w:rFonts w:ascii="Palatino Linotype" w:hAnsi="Palatino Linotype"/>
          <w:color w:val="000000" w:themeColor="text1"/>
        </w:rPr>
        <w:t xml:space="preserve"> puesto</w:t>
      </w:r>
      <w:r w:rsidR="00774AB3">
        <w:rPr>
          <w:rFonts w:ascii="Palatino Linotype" w:hAnsi="Palatino Linotype"/>
          <w:color w:val="000000" w:themeColor="text1"/>
        </w:rPr>
        <w:t>s</w:t>
      </w:r>
      <w:r w:rsidRPr="0096234B">
        <w:rPr>
          <w:rFonts w:ascii="Palatino Linotype" w:hAnsi="Palatino Linotype"/>
          <w:color w:val="000000" w:themeColor="text1"/>
        </w:rPr>
        <w:t xml:space="preserve"> a la vista del particular el </w:t>
      </w:r>
      <w:r w:rsidR="004B2713">
        <w:rPr>
          <w:rFonts w:ascii="Palatino Linotype" w:hAnsi="Palatino Linotype"/>
          <w:color w:val="000000" w:themeColor="text1"/>
        </w:rPr>
        <w:t>veinticuatro (24) de marzo de dos mil veintidós</w:t>
      </w:r>
      <w:r w:rsidRPr="0096234B">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w:t>
      </w:r>
      <w:r w:rsidR="00774AB3">
        <w:rPr>
          <w:rFonts w:ascii="Palatino Linotype" w:hAnsi="Palatino Linotype"/>
          <w:color w:val="000000" w:themeColor="text1"/>
        </w:rPr>
        <w:t xml:space="preserve">; no obstante, </w:t>
      </w:r>
      <w:r w:rsidR="00B7387B">
        <w:rPr>
          <w:rFonts w:ascii="Palatino Linotype" w:hAnsi="Palatino Linotype"/>
          <w:color w:val="000000" w:themeColor="text1"/>
        </w:rPr>
        <w:t>se hace constar que el</w:t>
      </w:r>
      <w:r w:rsidR="00774AB3">
        <w:rPr>
          <w:rFonts w:ascii="Palatino Linotype" w:hAnsi="Palatino Linotype"/>
          <w:color w:val="000000" w:themeColor="text1"/>
        </w:rPr>
        <w:t xml:space="preserve"> particular no ejerció su derecho de réplica sobre los nuevos contenidos.</w:t>
      </w:r>
    </w:p>
    <w:p w14:paraId="4CFAEB9B" w14:textId="77777777" w:rsidR="005C450C"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3001AA57" w14:textId="2E382B2C" w:rsidR="008965EF" w:rsidRPr="00614DC5" w:rsidRDefault="00861622" w:rsidP="001D5464">
      <w:pPr>
        <w:pStyle w:val="Prrafodelista"/>
        <w:numPr>
          <w:ilvl w:val="0"/>
          <w:numId w:val="1"/>
        </w:numPr>
        <w:tabs>
          <w:tab w:val="left" w:pos="426"/>
        </w:tabs>
        <w:spacing w:line="360" w:lineRule="auto"/>
        <w:jc w:val="both"/>
        <w:rPr>
          <w:rFonts w:ascii="Palatino Linotype" w:hAnsi="Palatino Linotype"/>
          <w:color w:val="000000" w:themeColor="text1"/>
        </w:rPr>
      </w:pPr>
      <w:r w:rsidRPr="00614DC5">
        <w:rPr>
          <w:rFonts w:ascii="Palatino Linotype" w:eastAsia="Calibri" w:hAnsi="Palatino Linotype" w:cs="Arial"/>
          <w:color w:val="000000" w:themeColor="text1"/>
          <w:lang w:val="es-ES"/>
        </w:rPr>
        <w:t>El</w:t>
      </w:r>
      <w:bookmarkStart w:id="5" w:name="_Toc461555889"/>
      <w:bookmarkStart w:id="6" w:name="_Toc466371858"/>
      <w:r w:rsidR="00B855AA" w:rsidRPr="00614DC5">
        <w:rPr>
          <w:rFonts w:ascii="Palatino Linotype" w:eastAsia="Calibri" w:hAnsi="Palatino Linotype" w:cs="Arial"/>
          <w:color w:val="000000" w:themeColor="text1"/>
          <w:lang w:val="es-ES"/>
        </w:rPr>
        <w:t xml:space="preserve"> </w:t>
      </w:r>
      <w:r w:rsidR="00B7387B">
        <w:rPr>
          <w:rFonts w:ascii="Palatino Linotype" w:eastAsia="Calibri" w:hAnsi="Palatino Linotype" w:cs="Arial"/>
          <w:color w:val="000000" w:themeColor="text1"/>
          <w:lang w:val="es-ES"/>
        </w:rPr>
        <w:t>treinta y uno (31) de marzo de dos mil veintidós</w:t>
      </w:r>
      <w:r w:rsidR="00AD6AC5" w:rsidRPr="00614DC5">
        <w:rPr>
          <w:rFonts w:ascii="Palatino Linotype" w:hAnsi="Palatino Linotype" w:cs="Arial"/>
          <w:color w:val="000000" w:themeColor="text1"/>
        </w:rPr>
        <w:t xml:space="preserve">, </w:t>
      </w:r>
      <w:r w:rsidR="0096234B" w:rsidRPr="00614DC5">
        <w:rPr>
          <w:rFonts w:ascii="Palatino Linotype" w:hAnsi="Palatino Linotype" w:cs="Arial"/>
          <w:color w:val="000000" w:themeColor="text1"/>
        </w:rPr>
        <w:t xml:space="preserve">la </w:t>
      </w:r>
      <w:r w:rsidR="00AD6AC5" w:rsidRPr="00614DC5">
        <w:rPr>
          <w:rFonts w:ascii="Palatino Linotype" w:hAnsi="Palatino Linotype" w:cs="Arial"/>
          <w:color w:val="000000" w:themeColor="text1"/>
        </w:rPr>
        <w:t>Comisionad</w:t>
      </w:r>
      <w:r w:rsidR="0096234B" w:rsidRPr="00614DC5">
        <w:rPr>
          <w:rFonts w:ascii="Palatino Linotype" w:hAnsi="Palatino Linotype" w:cs="Arial"/>
          <w:color w:val="000000" w:themeColor="text1"/>
        </w:rPr>
        <w:t>a</w:t>
      </w:r>
      <w:r w:rsidR="00AD6AC5" w:rsidRPr="00614DC5">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614DC5" w:rsidRPr="00614DC5">
        <w:rPr>
          <w:rFonts w:ascii="Palatino Linotype" w:hAnsi="Palatino Linotype" w:cs="Arial"/>
          <w:color w:val="000000" w:themeColor="text1"/>
        </w:rPr>
        <w:t>; y</w:t>
      </w:r>
      <w:r w:rsidR="00B7387B">
        <w:rPr>
          <w:rFonts w:ascii="Palatino Linotype" w:hAnsi="Palatino Linotype" w:cs="Arial"/>
          <w:color w:val="000000" w:themeColor="text1"/>
        </w:rPr>
        <w:t xml:space="preserve"> </w:t>
      </w:r>
      <w:r w:rsidR="003522BF" w:rsidRPr="00614DC5">
        <w:rPr>
          <w:rFonts w:ascii="Palatino Linotype" w:hAnsi="Palatino Linotype" w:cs="Arial"/>
          <w:color w:val="000000" w:themeColor="text1"/>
          <w:lang w:val="es-ES"/>
        </w:rPr>
        <w:t>----------------------------------------</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7" w:name="_Toc86945039"/>
      <w:r w:rsidRPr="00A85CB7">
        <w:rPr>
          <w:b/>
          <w:color w:val="000000" w:themeColor="text1"/>
        </w:rPr>
        <w:t>CONSIDERANDO</w:t>
      </w:r>
      <w:bookmarkEnd w:id="5"/>
      <w:bookmarkEnd w:id="6"/>
      <w:bookmarkEnd w:id="7"/>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86945040"/>
      <w:r w:rsidRPr="00A85CB7">
        <w:rPr>
          <w:rFonts w:ascii="Palatino Linotype" w:hAnsi="Palatino Linotype"/>
          <w:b/>
          <w:color w:val="000000" w:themeColor="text1"/>
          <w:sz w:val="24"/>
        </w:rPr>
        <w:t>PRIMERO. De la competencia</w:t>
      </w:r>
      <w:bookmarkEnd w:id="8"/>
      <w:bookmarkEnd w:id="9"/>
      <w:bookmarkEnd w:id="10"/>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w:t>
      </w:r>
      <w:r w:rsidR="00D10AB0" w:rsidRPr="00A85CB7">
        <w:rPr>
          <w:rFonts w:ascii="Palatino Linotype" w:eastAsia="Calibri" w:hAnsi="Palatino Linotype" w:cs="Times New Roman"/>
          <w:color w:val="000000" w:themeColor="text1"/>
          <w:lang w:val="es-ES"/>
        </w:rPr>
        <w:lastRenderedPageBreak/>
        <w:t xml:space="preserve">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1" w:name="_Toc461555891"/>
      <w:bookmarkStart w:id="12" w:name="_Toc466371860"/>
      <w:bookmarkStart w:id="13" w:name="_Toc86945041"/>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1"/>
      <w:bookmarkEnd w:id="12"/>
      <w:bookmarkEnd w:id="13"/>
    </w:p>
    <w:p w14:paraId="18E22450" w14:textId="77777777" w:rsidR="00C6440A" w:rsidRPr="00A85CB7" w:rsidRDefault="00C6440A" w:rsidP="00B31E90">
      <w:pPr>
        <w:rPr>
          <w:color w:val="000000" w:themeColor="text1"/>
          <w:lang w:eastAsia="en-US"/>
        </w:rPr>
      </w:pPr>
    </w:p>
    <w:p w14:paraId="59CCEA40" w14:textId="133A6546" w:rsidR="00774AB3" w:rsidRPr="00B7387B" w:rsidRDefault="003E6D0F"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B7387B" w:rsidRPr="00B7387B">
        <w:rPr>
          <w:rFonts w:ascii="Palatino Linotype" w:eastAsia="Calibri" w:hAnsi="Palatino Linotype" w:cs="Arial"/>
          <w:color w:val="000000" w:themeColor="text1"/>
        </w:rPr>
        <w:t xml:space="preserve">medio de impugnación fue presentado a través del </w:t>
      </w:r>
      <w:r w:rsidR="00B7387B" w:rsidRPr="00B7387B">
        <w:rPr>
          <w:rFonts w:ascii="Palatino Linotype" w:eastAsia="Calibri" w:hAnsi="Palatino Linotype" w:cs="Arial"/>
          <w:bCs/>
          <w:iCs/>
          <w:color w:val="000000" w:themeColor="text1"/>
        </w:rPr>
        <w:t>SAIMEX</w:t>
      </w:r>
      <w:r w:rsidR="00B7387B" w:rsidRPr="00B7387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B7387B" w:rsidRPr="00B7387B">
        <w:rPr>
          <w:rFonts w:ascii="Palatino Linotype" w:eastAsia="Calibri" w:hAnsi="Palatino Linotype" w:cs="Arial"/>
          <w:b/>
          <w:color w:val="000000" w:themeColor="text1"/>
        </w:rPr>
        <w:t>SUJETO OBLIGADO</w:t>
      </w:r>
      <w:r w:rsidR="00B7387B" w:rsidRPr="00B7387B">
        <w:rPr>
          <w:rFonts w:ascii="Palatino Linotype" w:eastAsia="Calibri" w:hAnsi="Palatino Linotype" w:cs="Arial"/>
          <w:color w:val="000000" w:themeColor="text1"/>
        </w:rPr>
        <w:t xml:space="preserve"> entregó respuesta el </w:t>
      </w:r>
      <w:r w:rsidR="00B7387B">
        <w:rPr>
          <w:rFonts w:ascii="Palatino Linotype" w:eastAsia="Calibri" w:hAnsi="Palatino Linotype" w:cs="Arial"/>
          <w:color w:val="000000" w:themeColor="text1"/>
        </w:rPr>
        <w:t>veintidós (22) de febrero</w:t>
      </w:r>
      <w:r w:rsidR="00B7387B" w:rsidRPr="00B7387B">
        <w:rPr>
          <w:rFonts w:ascii="Palatino Linotype" w:eastAsia="Calibri" w:hAnsi="Palatino Linotype" w:cs="Arial"/>
          <w:color w:val="000000" w:themeColor="text1"/>
        </w:rPr>
        <w:t xml:space="preserve"> de dos mil veintidós, de tal manera que el plazo para interponer el recurso de revisión transcurrió del </w:t>
      </w:r>
      <w:r w:rsidR="00B7387B">
        <w:rPr>
          <w:rFonts w:ascii="Palatino Linotype" w:eastAsia="Calibri" w:hAnsi="Palatino Linotype" w:cs="Arial"/>
          <w:color w:val="000000" w:themeColor="text1"/>
        </w:rPr>
        <w:t>veintitrés (23) de febrero al dieciséis (16) de marzo</w:t>
      </w:r>
      <w:r w:rsidR="00B7387B" w:rsidRPr="00B7387B">
        <w:rPr>
          <w:rFonts w:ascii="Palatino Linotype" w:eastAsia="Calibri" w:hAnsi="Palatino Linotype" w:cs="Arial"/>
          <w:color w:val="000000" w:themeColor="text1"/>
        </w:rPr>
        <w:t xml:space="preserve"> de dos mil veintidós, sin contemplar en el cómputo los días </w:t>
      </w:r>
      <w:r w:rsidR="00FD782F">
        <w:rPr>
          <w:rFonts w:ascii="Palatino Linotype" w:eastAsia="Calibri" w:hAnsi="Palatino Linotype" w:cs="Arial"/>
          <w:color w:val="000000" w:themeColor="text1"/>
        </w:rPr>
        <w:t>veintiséis (26) y veintisiete (27) de febrero, así como el dos (02), cinco (05), seis (06), doce (12) y trece (13) de marzo</w:t>
      </w:r>
      <w:r w:rsidR="00B7387B" w:rsidRPr="00B7387B">
        <w:rPr>
          <w:rFonts w:ascii="Palatino Linotype" w:eastAsia="Calibri" w:hAnsi="Palatino Linotype" w:cs="Arial"/>
          <w:color w:val="000000" w:themeColor="text1"/>
        </w:rPr>
        <w:t>, por corresponder a sábados, domingos e inhábiles, en términos del artículo 3, fracción X, de la Ley de Transparencia y Acceso a la Información Pública del Estado de México y Municipios.</w:t>
      </w:r>
    </w:p>
    <w:p w14:paraId="73F11990" w14:textId="77777777" w:rsidR="00B7387B" w:rsidRPr="00B7387B"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2F66585" w14:textId="60D2C2AE" w:rsidR="00B7387B" w:rsidRPr="00B7387B"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De </w:t>
      </w:r>
      <w:r w:rsidRPr="002D5464">
        <w:rPr>
          <w:rFonts w:ascii="Palatino Linotype" w:eastAsia="Calibri" w:hAnsi="Palatino Linotype" w:cs="Arial"/>
          <w:color w:val="000000" w:themeColor="text1"/>
          <w:lang w:val="es-ES_tradnl"/>
        </w:rPr>
        <w:t xml:space="preserve">las constancias que obran en el expediente digital que se revisa, se aprecia que el hoy </w:t>
      </w:r>
      <w:r w:rsidRPr="002D5464">
        <w:rPr>
          <w:rFonts w:ascii="Palatino Linotype" w:eastAsia="Calibri" w:hAnsi="Palatino Linotype" w:cs="Arial"/>
          <w:b/>
          <w:color w:val="000000" w:themeColor="text1"/>
          <w:lang w:val="es-ES_tradnl"/>
        </w:rPr>
        <w:t xml:space="preserve">RECURRENTE </w:t>
      </w:r>
      <w:r w:rsidRPr="002D5464">
        <w:rPr>
          <w:rFonts w:ascii="Palatino Linotype" w:eastAsia="Calibri" w:hAnsi="Palatino Linotype" w:cs="Arial"/>
          <w:color w:val="000000" w:themeColor="text1"/>
          <w:lang w:val="es-ES_tradnl"/>
        </w:rPr>
        <w:t xml:space="preserve">presentó su inconformidad el </w:t>
      </w:r>
      <w:r w:rsidR="00FD782F">
        <w:rPr>
          <w:rFonts w:ascii="Palatino Linotype" w:eastAsia="Calibri" w:hAnsi="Palatino Linotype" w:cs="Arial"/>
          <w:color w:val="000000" w:themeColor="text1"/>
          <w:lang w:val="es-ES_tradnl"/>
        </w:rPr>
        <w:t xml:space="preserve">veintidós (22) de febrero </w:t>
      </w:r>
      <w:r>
        <w:rPr>
          <w:rFonts w:ascii="Palatino Linotype" w:eastAsia="Calibri" w:hAnsi="Palatino Linotype" w:cs="Arial"/>
          <w:color w:val="000000" w:themeColor="text1"/>
          <w:lang w:val="es-ES_tradnl"/>
        </w:rPr>
        <w:lastRenderedPageBreak/>
        <w:t>de dos mil veintidós</w:t>
      </w:r>
      <w:r w:rsidRPr="002D5464">
        <w:rPr>
          <w:rFonts w:ascii="Palatino Linotype" w:eastAsia="Calibri" w:hAnsi="Palatino Linotype" w:cs="Arial"/>
          <w:color w:val="000000" w:themeColor="text1"/>
          <w:lang w:val="es-ES_tradnl"/>
        </w:rPr>
        <w:t>; esto es, un día antes de que iniciara el plazo precitado, circunstancia que no es determinante para declarar extemporaneidad, toda vez que el tiempo concedido es para delimitar el término en que se puede impugnar la respuesta, luego entonces, no impide que se presente antes de iniciado el plazo concedido.</w:t>
      </w:r>
    </w:p>
    <w:p w14:paraId="44B53DF1" w14:textId="77777777" w:rsidR="00B7387B" w:rsidRPr="00B7387B"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2A709D7" w14:textId="7F41D63C" w:rsidR="00B7387B" w:rsidRPr="00850E65"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Al </w:t>
      </w:r>
      <w:r w:rsidRPr="00740BA4">
        <w:rPr>
          <w:rFonts w:ascii="Palatino Linotype" w:eastAsia="Calibri" w:hAnsi="Palatino Linotype" w:cs="Arial"/>
          <w:color w:val="000000" w:themeColor="text1"/>
        </w:rPr>
        <w:t xml:space="preserve">respecto, cabe señalar que cuando el medio de impugnación se haya interpuesto el mismo día en que se notificó la respuesta impugnada, resulta insuficiente para tener por extemporáneo el recurso de revisión de mérito, toda vez que </w:t>
      </w:r>
      <w:r>
        <w:rPr>
          <w:rFonts w:ascii="Palatino Linotype" w:eastAsia="Calibri" w:hAnsi="Palatino Linotype" w:cs="Arial"/>
          <w:color w:val="000000" w:themeColor="text1"/>
        </w:rPr>
        <w:t>la Ley de Transparencia y Acceso a la Información Pública del Estado de México y Municipios</w:t>
      </w:r>
      <w:r w:rsidRPr="00740BA4">
        <w:rPr>
          <w:rFonts w:ascii="Palatino Linotype" w:eastAsia="Calibri" w:hAnsi="Palatino Linotype" w:cs="Arial"/>
          <w:color w:val="000000" w:themeColor="text1"/>
        </w:rPr>
        <w:t xml:space="preserve"> sólo establece que este medio de defensa se ha de promover dentro de los </w:t>
      </w:r>
      <w:r w:rsidR="00FD782F">
        <w:rPr>
          <w:rFonts w:ascii="Palatino Linotype" w:eastAsia="Calibri" w:hAnsi="Palatino Linotype" w:cs="Arial"/>
          <w:color w:val="000000" w:themeColor="text1"/>
        </w:rPr>
        <w:t>15</w:t>
      </w:r>
      <w:r w:rsidRPr="00740BA4">
        <w:rPr>
          <w:rFonts w:ascii="Palatino Linotype" w:eastAsia="Calibri" w:hAnsi="Palatino Linotype" w:cs="Arial"/>
          <w:color w:val="000000" w:themeColor="text1"/>
        </w:rPr>
        <w:t xml:space="preserve"> días hábiles siguientes en que se tenga conocimiento de la respuesta impugnada</w:t>
      </w:r>
      <w:r>
        <w:rPr>
          <w:rStyle w:val="Refdenotaalpie"/>
          <w:rFonts w:ascii="Palatino Linotype" w:eastAsia="Calibri" w:hAnsi="Palatino Linotype" w:cs="Arial"/>
          <w:color w:val="000000" w:themeColor="text1"/>
        </w:rPr>
        <w:footnoteReference w:id="1"/>
      </w:r>
      <w:r w:rsidRPr="00740BA4">
        <w:rPr>
          <w:rFonts w:ascii="Palatino Linotype" w:eastAsia="Calibri" w:hAnsi="Palatino Linotype" w:cs="Arial"/>
          <w:color w:val="000000" w:themeColor="text1"/>
        </w:rPr>
        <w:t xml:space="preserve">; sin embargo, no prohíbe que el recurso de revisión se presente el mismo día en que </w:t>
      </w:r>
      <w:r w:rsidR="00FD782F">
        <w:rPr>
          <w:rFonts w:ascii="Palatino Linotype" w:eastAsia="Calibri" w:hAnsi="Palatino Linotype" w:cs="Arial"/>
          <w:color w:val="000000" w:themeColor="text1"/>
        </w:rPr>
        <w:t>é</w:t>
      </w:r>
      <w:r w:rsidRPr="00740BA4">
        <w:rPr>
          <w:rFonts w:ascii="Palatino Linotype" w:eastAsia="Calibri" w:hAnsi="Palatino Linotype" w:cs="Arial"/>
          <w:color w:val="000000" w:themeColor="text1"/>
        </w:rPr>
        <w:t>sta fue notificada. Por lo que es de señalar que, en aras de privilegiar el derecho de acceso a la información, se entrará al estudio del presente recurso de revisión sin que la fecha en que se presentó afecte la resolución.</w:t>
      </w:r>
    </w:p>
    <w:p w14:paraId="2D312784" w14:textId="77777777" w:rsidR="00B7387B" w:rsidRPr="00850E65"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B7EF426" w14:textId="51C5C573" w:rsidR="00B7387B" w:rsidRPr="00B7387B"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Discernimiento </w:t>
      </w:r>
      <w:r w:rsidRPr="00FA7E5A">
        <w:rPr>
          <w:rFonts w:ascii="Palatino Linotype" w:hAnsi="Palatino Linotype" w:cs="Arial"/>
        </w:rPr>
        <w:t xml:space="preserve">de este Órgano Garante que se robustece con la jurisprudencia número 1a./J. 41/2015 (10a.), Décima Época, sustentada por la Primera Sala de la Suprema Corte de Justicia de la Nación, visible en la página 569, libro 19, tomo I, de </w:t>
      </w:r>
      <w:r w:rsidRPr="00FA7E5A">
        <w:rPr>
          <w:rFonts w:ascii="Palatino Linotype" w:hAnsi="Palatino Linotype" w:cs="Arial"/>
        </w:rPr>
        <w:lastRenderedPageBreak/>
        <w:t>la Gaceta del Semanario Judicial de la Federación, del mes de junio de 2015, cuyo rubro y texto disponen:</w:t>
      </w:r>
    </w:p>
    <w:p w14:paraId="0546FE19" w14:textId="60F6463A" w:rsidR="00B7387B"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B39AE2F" w14:textId="77777777" w:rsidR="00B7387B" w:rsidRPr="00740BA4" w:rsidRDefault="00B7387B" w:rsidP="00B7387B">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740BA4">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740BA4">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7D4ABC7" w14:textId="77777777" w:rsidR="00B7387B" w:rsidRPr="00B7387B"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2930BBF" w14:textId="77787DFD" w:rsidR="00B7387B" w:rsidRPr="00850E65"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Esto </w:t>
      </w:r>
      <w:r w:rsidRPr="00FA7E5A">
        <w:rPr>
          <w:rFonts w:ascii="Palatino Linotype" w:hAnsi="Palatino Linotype" w:cs="Arial"/>
        </w:rPr>
        <w:t xml:space="preserve">es así porque, en primer lugar, es necesario que el </w:t>
      </w:r>
      <w:r w:rsidRPr="00FA7E5A">
        <w:rPr>
          <w:rFonts w:ascii="Palatino Linotype" w:hAnsi="Palatino Linotype" w:cs="Arial"/>
          <w:b/>
        </w:rPr>
        <w:t>RECURRENTE</w:t>
      </w:r>
      <w:r w:rsidRPr="00FA7E5A">
        <w:rPr>
          <w:rFonts w:ascii="Palatino Linotype" w:hAnsi="Palatino Linotype" w:cs="Arial"/>
        </w:rPr>
        <w:t xml:space="preserve"> conozca el acto que le provoca agravio y, a partir de ahí, </w:t>
      </w:r>
      <w:r w:rsidR="00FD782F">
        <w:rPr>
          <w:rFonts w:ascii="Palatino Linotype" w:hAnsi="Palatino Linotype" w:cs="Arial"/>
        </w:rPr>
        <w:t>formule</w:t>
      </w:r>
      <w:r w:rsidRPr="00FA7E5A">
        <w:rPr>
          <w:rFonts w:ascii="Palatino Linotype" w:hAnsi="Palatino Linotype" w:cs="Arial"/>
        </w:rPr>
        <w:t xml:space="preserve"> su recurso de revisión </w:t>
      </w:r>
      <w:r w:rsidR="00FD782F">
        <w:rPr>
          <w:rFonts w:ascii="Palatino Linotype" w:hAnsi="Palatino Linotype" w:cs="Arial"/>
        </w:rPr>
        <w:t>donde señale</w:t>
      </w:r>
      <w:r w:rsidRPr="00FA7E5A">
        <w:rPr>
          <w:rFonts w:ascii="Palatino Linotype" w:hAnsi="Palatino Linotype" w:cs="Arial"/>
        </w:rPr>
        <w:t xml:space="preserve"> tanto el acto impugnado como el motivo de inconformidad. Y si bien la Ley señala que el plazo corre un día después de haber sido notificada la respuesta, en nada se afecta al proceso que </w:t>
      </w:r>
      <w:r w:rsidR="00FD782F">
        <w:rPr>
          <w:rFonts w:ascii="Palatino Linotype" w:hAnsi="Palatino Linotype" w:cs="Arial"/>
        </w:rPr>
        <w:t>al</w:t>
      </w:r>
      <w:r w:rsidRPr="00FA7E5A">
        <w:rPr>
          <w:rFonts w:ascii="Palatino Linotype" w:hAnsi="Palatino Linotype" w:cs="Arial"/>
        </w:rPr>
        <w:t xml:space="preserve"> mismo día de ser notificado, el </w:t>
      </w:r>
      <w:r w:rsidRPr="00FA7E5A">
        <w:rPr>
          <w:rFonts w:ascii="Palatino Linotype" w:hAnsi="Palatino Linotype" w:cs="Arial"/>
          <w:b/>
        </w:rPr>
        <w:t>RECURRENTE</w:t>
      </w:r>
      <w:r w:rsidRPr="00FA7E5A">
        <w:rPr>
          <w:rFonts w:ascii="Palatino Linotype" w:hAnsi="Palatino Linotype" w:cs="Arial"/>
        </w:rPr>
        <w:t xml:space="preserve"> actúe</w:t>
      </w:r>
      <w:r w:rsidR="00FD782F">
        <w:rPr>
          <w:rFonts w:ascii="Palatino Linotype" w:hAnsi="Palatino Linotype" w:cs="Arial"/>
        </w:rPr>
        <w:t>;</w:t>
      </w:r>
      <w:r w:rsidRPr="00FA7E5A">
        <w:rPr>
          <w:rFonts w:ascii="Palatino Linotype" w:hAnsi="Palatino Linotype" w:cs="Arial"/>
        </w:rPr>
        <w:t xml:space="preserve"> ya que, por el contrario, lo que demuestra es el interés de éste para ejercer su derecho bajo el principio constitucional de justicia expedita.</w:t>
      </w:r>
    </w:p>
    <w:p w14:paraId="2E365FA7" w14:textId="77777777" w:rsidR="00B7387B" w:rsidRPr="00850E65"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7004528" w14:textId="10118273" w:rsidR="00B7387B" w:rsidRPr="00850E65"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sidRPr="00FA7E5A">
        <w:rPr>
          <w:rFonts w:ascii="Palatino Linotype" w:hAnsi="Palatino Linotype" w:cs="Arial"/>
        </w:rPr>
        <w:t xml:space="preserve">lo que la presentación del recurso de revisión el mismo día del conocimiento de la respuesta, se insiste, no constituye un acto que altere el procedimiento, </w:t>
      </w:r>
      <w:r w:rsidR="00FD782F">
        <w:rPr>
          <w:rFonts w:ascii="Palatino Linotype" w:hAnsi="Palatino Linotype" w:cs="Arial"/>
        </w:rPr>
        <w:t xml:space="preserve">y </w:t>
      </w:r>
      <w:r w:rsidRPr="00FA7E5A">
        <w:rPr>
          <w:rFonts w:ascii="Palatino Linotype" w:hAnsi="Palatino Linotype" w:cs="Arial"/>
        </w:rPr>
        <w:t>s</w:t>
      </w:r>
      <w:r w:rsidR="00FD782F">
        <w:rPr>
          <w:rFonts w:ascii="Palatino Linotype" w:hAnsi="Palatino Linotype" w:cs="Arial"/>
        </w:rPr>
        <w:t>ó</w:t>
      </w:r>
      <w:r w:rsidRPr="00FA7E5A">
        <w:rPr>
          <w:rFonts w:ascii="Palatino Linotype" w:hAnsi="Palatino Linotype" w:cs="Arial"/>
        </w:rPr>
        <w:t>lo permite su gestión de manera rápida, lo que no afecta ningún principio procesal y es protector del derecho de acceso a la justicia pronta y expedita.</w:t>
      </w:r>
    </w:p>
    <w:p w14:paraId="606A1846" w14:textId="77777777" w:rsidR="00B7387B" w:rsidRPr="00850E65"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132224C" w14:textId="77777777"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lastRenderedPageBreak/>
        <w:t xml:space="preserve">Así, </w:t>
      </w:r>
      <w:r w:rsidRPr="0068149B">
        <w:rPr>
          <w:rFonts w:ascii="Palatino Linotype" w:hAnsi="Palatino Linotype" w:cs="Arial"/>
        </w:rPr>
        <w:t>la interposición del recurso de revisión antes de que inicie el plazo para su presentación no es determinante para declararlo extemporáneo</w:t>
      </w:r>
      <w:r w:rsidRPr="0068149B">
        <w:rPr>
          <w:rFonts w:ascii="Palatino Linotype" w:hAnsi="Palatino Linotype" w:cs="Arial"/>
          <w:lang w:val="es-ES"/>
        </w:rPr>
        <w:t xml:space="preserve">, siempre y cuando ello ocurra de manera posterior a que se haya notificado la respuesta del </w:t>
      </w:r>
      <w:r w:rsidRPr="0068149B">
        <w:rPr>
          <w:rFonts w:ascii="Palatino Linotype" w:hAnsi="Palatino Linotype" w:cs="Arial"/>
          <w:b/>
          <w:lang w:val="es-ES"/>
        </w:rPr>
        <w:t>SUJETO OBLIGADO</w:t>
      </w:r>
      <w:r w:rsidRPr="0068149B">
        <w:rPr>
          <w:rFonts w:ascii="Palatino Linotype" w:hAnsi="Palatino Linotype" w:cs="Arial"/>
          <w:bCs/>
          <w:lang w:val="es-ES"/>
        </w:rPr>
        <w:t xml:space="preserve"> -tal como ocurre en el presente asunto-.</w:t>
      </w:r>
    </w:p>
    <w:p w14:paraId="5B5ABAE3"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2C08B47" w14:textId="70A7C315"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otro </w:t>
      </w:r>
      <w:r w:rsidRPr="00525348">
        <w:rPr>
          <w:rFonts w:ascii="Palatino Linotype" w:hAnsi="Palatino Linotype" w:cs="Arial"/>
          <w:color w:val="000000" w:themeColor="text1"/>
          <w:lang w:val="es-ES"/>
        </w:rPr>
        <w:t>lado, de las constancias que obran en el expediente digital formado en el SAIMEX</w:t>
      </w:r>
      <w:r w:rsidRPr="00525348">
        <w:rPr>
          <w:rFonts w:ascii="Palatino Linotype" w:hAnsi="Palatino Linotype" w:cs="Arial"/>
          <w:b/>
          <w:color w:val="000000" w:themeColor="text1"/>
          <w:lang w:val="es-ES"/>
        </w:rPr>
        <w:t>,</w:t>
      </w:r>
      <w:r w:rsidRPr="00525348">
        <w:rPr>
          <w:rFonts w:ascii="Palatino Linotype" w:hAnsi="Palatino Linotype" w:cs="Arial"/>
          <w:color w:val="000000" w:themeColor="text1"/>
          <w:lang w:val="es-ES"/>
        </w:rPr>
        <w:t xml:space="preserve"> se desprende que la parte solicitante, tanto en la solicitud de información como en el posterior recurso de revisión, </w:t>
      </w:r>
      <w:r w:rsidRPr="00525348">
        <w:rPr>
          <w:rFonts w:ascii="Palatino Linotype" w:hAnsi="Palatino Linotype" w:cs="Arial"/>
          <w:b/>
          <w:color w:val="000000" w:themeColor="text1"/>
          <w:lang w:val="es-ES"/>
        </w:rPr>
        <w:t xml:space="preserve">no señaló </w:t>
      </w:r>
      <w:r>
        <w:rPr>
          <w:rFonts w:ascii="Palatino Linotype" w:hAnsi="Palatino Linotype" w:cs="Arial"/>
          <w:b/>
          <w:color w:val="000000" w:themeColor="text1"/>
          <w:lang w:val="es-ES"/>
        </w:rPr>
        <w:t>ningún nombre, seudónimo o carácter para identificarse</w:t>
      </w:r>
      <w:r w:rsidRPr="00525348">
        <w:rPr>
          <w:rFonts w:ascii="Palatino Linotype" w:hAnsi="Palatino Linotype" w:cs="Arial"/>
          <w:b/>
          <w:color w:val="000000" w:themeColor="text1"/>
          <w:lang w:val="es-ES"/>
        </w:rPr>
        <w:t>, ni se tiene certeza sobre su identidad.</w:t>
      </w:r>
      <w:r w:rsidRPr="00525348">
        <w:rPr>
          <w:rFonts w:ascii="Palatino Linotype" w:hAnsi="Palatino Linotype" w:cs="Arial"/>
          <w:color w:val="000000" w:themeColor="text1"/>
          <w:lang w:val="es-ES"/>
        </w:rPr>
        <w:t xml:space="preserve"> Sin embargo, es importante señalar que </w:t>
      </w:r>
      <w:r w:rsidRPr="00525348">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w:t>
      </w:r>
      <w:r w:rsidR="00FD782F">
        <w:rPr>
          <w:rFonts w:ascii="Palatino Linotype" w:hAnsi="Palatino Linotype" w:cs="Arial"/>
          <w:color w:val="000000" w:themeColor="text1"/>
        </w:rPr>
        <w:t>,</w:t>
      </w:r>
      <w:r w:rsidRPr="00525348">
        <w:rPr>
          <w:rFonts w:ascii="Palatino Linotype" w:hAnsi="Palatino Linotype" w:cs="Arial"/>
          <w:color w:val="000000" w:themeColor="text1"/>
        </w:rPr>
        <w:t xml:space="preserve"> párrafo tercero</w:t>
      </w:r>
      <w:r w:rsidR="00FD782F">
        <w:rPr>
          <w:rFonts w:ascii="Palatino Linotype" w:hAnsi="Palatino Linotype" w:cs="Arial"/>
          <w:color w:val="000000" w:themeColor="text1"/>
        </w:rPr>
        <w:t>,</w:t>
      </w:r>
      <w:r w:rsidRPr="00525348">
        <w:rPr>
          <w:rFonts w:ascii="Palatino Linotype" w:hAnsi="Palatino Linotype" w:cs="Arial"/>
          <w:color w:val="000000" w:themeColor="text1"/>
        </w:rPr>
        <w:t xml:space="preserve"> de la Ley de la materia, en concatenación con el 180 del mismo ordenamiento.</w:t>
      </w:r>
    </w:p>
    <w:p w14:paraId="6FAC0373"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0D38C1" w14:textId="2FDDE398"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w:t>
      </w:r>
      <w:r w:rsidR="00FD782F">
        <w:rPr>
          <w:rFonts w:ascii="Palatino Linotype" w:hAnsi="Palatino Linotype" w:cs="Arial"/>
          <w:color w:val="000000" w:themeColor="text1"/>
          <w:lang w:val="es-ES"/>
        </w:rPr>
        <w:t>trigésimo, trigésimo primero y trigésimo segundo</w:t>
      </w:r>
      <w:r w:rsidRPr="005F1BAD">
        <w:rPr>
          <w:rFonts w:ascii="Palatino Linotype" w:hAnsi="Palatino Linotype" w:cs="Arial"/>
          <w:color w:val="000000" w:themeColor="text1"/>
          <w:lang w:val="es-ES"/>
        </w:rPr>
        <w:t xml:space="preserve">, fracciones III, IV y V, de la </w:t>
      </w:r>
      <w:r w:rsidRPr="005F1BAD">
        <w:rPr>
          <w:rFonts w:ascii="Palatino Linotype" w:hAnsi="Palatino Linotype" w:cs="Arial"/>
          <w:b/>
          <w:color w:val="000000" w:themeColor="text1"/>
          <w:lang w:val="es-ES"/>
        </w:rPr>
        <w:t>Constitución Política del Estado Libre y Soberano de México</w:t>
      </w:r>
      <w:r w:rsidRPr="005F1BAD">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5F1BAD">
        <w:rPr>
          <w:rFonts w:ascii="Palatino Linotype" w:hAnsi="Palatino Linotype" w:cs="Arial"/>
          <w:color w:val="000000" w:themeColor="text1"/>
          <w:lang w:val="es-ES"/>
        </w:rPr>
        <w:lastRenderedPageBreak/>
        <w:t>autónomos especializados e imparciales que establece la Constitución Federal y Local.</w:t>
      </w:r>
    </w:p>
    <w:p w14:paraId="57472631"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F911D16" w14:textId="77777777"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15B56C"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4DDE7AC" w14:textId="64832439"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w:t>
      </w:r>
      <w:r w:rsidR="008211DC">
        <w:rPr>
          <w:rFonts w:ascii="Palatino Linotype" w:eastAsia="Calibri" w:hAnsi="Palatino Linotype" w:cs="Arial"/>
        </w:rPr>
        <w:t>,</w:t>
      </w:r>
      <w:r w:rsidRPr="00C25050">
        <w:rPr>
          <w:rFonts w:ascii="Palatino Linotype" w:eastAsia="Calibri" w:hAnsi="Palatino Linotype" w:cs="Arial"/>
        </w:rPr>
        <w:t xml:space="preserve"> en su artículo 13, el derecho de acceso a la información es un derecho humano universal y</w:t>
      </w:r>
      <w:r w:rsidR="008211DC">
        <w:rPr>
          <w:rFonts w:ascii="Palatino Linotype" w:eastAsia="Calibri" w:hAnsi="Palatino Linotype" w:cs="Arial"/>
        </w:rPr>
        <w:t>,</w:t>
      </w:r>
      <w:r w:rsidRPr="00C25050">
        <w:rPr>
          <w:rFonts w:ascii="Palatino Linotype" w:eastAsia="Calibri" w:hAnsi="Palatino Linotype" w:cs="Arial"/>
        </w:rPr>
        <w:t xml:space="preserve"> en consecuencia, toda persona tiene derecho a solicitar acceso a la información.</w:t>
      </w:r>
    </w:p>
    <w:p w14:paraId="700D797D"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FA9F9A" w14:textId="77777777" w:rsidR="00B7387B" w:rsidRPr="00525348"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CC9C610" w14:textId="77777777" w:rsidR="00B7387B" w:rsidRPr="00525348"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C3E9825" w14:textId="3764435E" w:rsidR="00B7387B" w:rsidRPr="00B7387B"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w:t>
      </w:r>
      <w:r>
        <w:rPr>
          <w:rFonts w:ascii="Palatino Linotype" w:eastAsia="Times New Roman" w:hAnsi="Palatino Linotype" w:cs="Arial"/>
          <w:color w:val="000000" w:themeColor="text1"/>
          <w:lang w:val="es-ES" w:eastAsia="es-MX"/>
        </w:rPr>
        <w:t>del</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w:t>
      </w:r>
      <w:r>
        <w:rPr>
          <w:rFonts w:ascii="Palatino Linotype" w:eastAsia="Times New Roman" w:hAnsi="Palatino Linotype" w:cs="Arial"/>
          <w:color w:val="000000" w:themeColor="text1"/>
          <w:lang w:val="es-ES" w:eastAsia="es-MX"/>
        </w:rPr>
        <w:t xml:space="preserve">como </w:t>
      </w:r>
      <w:r w:rsidRPr="00F43C60">
        <w:rPr>
          <w:rFonts w:ascii="Palatino Linotype" w:eastAsia="Times New Roman" w:hAnsi="Palatino Linotype" w:cs="Arial"/>
          <w:color w:val="000000" w:themeColor="text1"/>
          <w:lang w:val="es-ES" w:eastAsia="es-MX"/>
        </w:rPr>
        <w:t xml:space="preserve">un requisito indispensable de procedencia del recurso de revisión que nos ocupa, ya que el acceso a la información no está condicionado </w:t>
      </w:r>
      <w:r w:rsidRPr="00F43C60">
        <w:rPr>
          <w:rFonts w:ascii="Palatino Linotype" w:eastAsia="Times New Roman" w:hAnsi="Palatino Linotype" w:cs="Arial"/>
          <w:color w:val="000000" w:themeColor="text1"/>
          <w:lang w:val="es-ES" w:eastAsia="es-MX"/>
        </w:rPr>
        <w:lastRenderedPageBreak/>
        <w:t>a acreditar algún interés</w:t>
      </w:r>
      <w:r w:rsidR="008211DC">
        <w:rPr>
          <w:rFonts w:ascii="Palatino Linotype" w:eastAsia="Times New Roman" w:hAnsi="Palatino Linotype" w:cs="Arial"/>
          <w:color w:val="000000" w:themeColor="text1"/>
          <w:lang w:val="es-ES" w:eastAsia="es-MX"/>
        </w:rPr>
        <w:t>,</w:t>
      </w:r>
      <w:r w:rsidRPr="00F43C60">
        <w:rPr>
          <w:rFonts w:ascii="Palatino Linotype" w:eastAsia="Times New Roman" w:hAnsi="Palatino Linotype" w:cs="Arial"/>
          <w:color w:val="000000" w:themeColor="text1"/>
          <w:lang w:val="es-ES" w:eastAsia="es-MX"/>
        </w:rPr>
        <w:t xml:space="preserve"> sea jurídico o legítimo, máxime que es un elemento subsanable por este Órgano Resolutor.</w:t>
      </w:r>
    </w:p>
    <w:p w14:paraId="3EC62926" w14:textId="77777777" w:rsidR="00B7387B" w:rsidRPr="00774AB3"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28C7FFB6"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8211DC">
        <w:rPr>
          <w:rFonts w:ascii="Palatino Linotype" w:eastAsia="Calibri" w:hAnsi="Palatino Linotype" w:cs="Arial"/>
          <w:color w:val="000000" w:themeColor="text1"/>
        </w:rPr>
        <w:t>se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el escrito contiene las formalidades previstas por el artículo 180</w:t>
      </w:r>
      <w:r w:rsidR="008211DC">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8211DC">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5CEC2F48" w14:textId="05287599" w:rsidR="00EF014A" w:rsidRPr="00A85CB7" w:rsidRDefault="00710B50" w:rsidP="00614DC5">
      <w:pPr>
        <w:pStyle w:val="Prrafodelista"/>
        <w:tabs>
          <w:tab w:val="left" w:pos="426"/>
        </w:tabs>
        <w:spacing w:line="360" w:lineRule="auto"/>
        <w:ind w:left="0"/>
        <w:jc w:val="both"/>
        <w:outlineLvl w:val="1"/>
        <w:rPr>
          <w:rFonts w:ascii="Palatino Linotype" w:hAnsi="Palatino Linotype" w:cs="Arial"/>
          <w:b/>
          <w:color w:val="000000" w:themeColor="text1"/>
        </w:rPr>
      </w:pPr>
      <w:bookmarkStart w:id="14" w:name="_Toc86945042"/>
      <w:r>
        <w:rPr>
          <w:rFonts w:ascii="Palatino Linotype" w:hAnsi="Palatino Linotype"/>
          <w:b/>
          <w:color w:val="000000" w:themeColor="text1"/>
        </w:rPr>
        <w:t>TERCERO.</w:t>
      </w:r>
      <w:bookmarkStart w:id="15" w:name="_Toc459174366"/>
      <w:bookmarkStart w:id="16" w:name="_Toc459659884"/>
      <w:bookmarkStart w:id="17" w:name="_Toc461687280"/>
      <w:bookmarkStart w:id="18" w:name="_Toc462771051"/>
      <w:bookmarkStart w:id="19" w:name="_Toc464139201"/>
      <w:r w:rsidR="00EF014A" w:rsidRPr="00A85CB7">
        <w:rPr>
          <w:rFonts w:ascii="Palatino Linotype" w:hAnsi="Palatino Linotype" w:cs="Arial"/>
          <w:b/>
          <w:color w:val="000000" w:themeColor="text1"/>
        </w:rPr>
        <w:t xml:space="preserve"> </w:t>
      </w:r>
      <w:r w:rsidR="00614DC5">
        <w:rPr>
          <w:rFonts w:ascii="Palatino Linotype" w:hAnsi="Palatino Linotype" w:cs="Arial"/>
          <w:b/>
          <w:color w:val="000000" w:themeColor="text1"/>
        </w:rPr>
        <w:t>De las causales de sobreseimiento</w:t>
      </w:r>
      <w:r w:rsidR="00EF014A" w:rsidRPr="00A85CB7">
        <w:rPr>
          <w:rFonts w:ascii="Palatino Linotype" w:hAnsi="Palatino Linotype" w:cs="Arial"/>
          <w:b/>
          <w:color w:val="000000" w:themeColor="text1"/>
        </w:rPr>
        <w:t>.</w:t>
      </w:r>
      <w:bookmarkEnd w:id="14"/>
    </w:p>
    <w:p w14:paraId="2E26ABFD" w14:textId="77777777" w:rsidR="00FE0837" w:rsidRDefault="00FE0837"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5"/>
      <w:bookmarkEnd w:id="16"/>
      <w:bookmarkEnd w:id="17"/>
      <w:bookmarkEnd w:id="18"/>
      <w:bookmarkEnd w:id="19"/>
    </w:p>
    <w:p w14:paraId="2B6B21B7" w14:textId="7989735D"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La </w:t>
      </w:r>
      <w:r>
        <w:rPr>
          <w:rFonts w:ascii="Palatino Linotype" w:hAnsi="Palatino Linotype"/>
          <w:color w:val="000000" w:themeColor="text1"/>
        </w:rPr>
        <w:t xml:space="preserve">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F929B04"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43B06E08" w14:textId="48F0708C"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Para </w:t>
      </w:r>
      <w:r w:rsidRPr="002226FB">
        <w:rPr>
          <w:rFonts w:ascii="Palatino Linotype" w:hAnsi="Palatino Linotype"/>
          <w:color w:val="000000" w:themeColor="text1"/>
        </w:rPr>
        <w:t xml:space="preserve">atender las solicitudes de información, los Sujetos Obligados contarán con un área denominada </w:t>
      </w:r>
      <w:r w:rsidRPr="002226FB">
        <w:rPr>
          <w:rFonts w:ascii="Palatino Linotype" w:hAnsi="Palatino Linotype"/>
          <w:b/>
          <w:bCs/>
          <w:color w:val="000000" w:themeColor="text1"/>
        </w:rPr>
        <w:t>Unidad de Transparencia</w:t>
      </w:r>
      <w:r w:rsidRPr="002226FB">
        <w:rPr>
          <w:rFonts w:ascii="Palatino Linotype" w:hAnsi="Palatino Linotype"/>
          <w:color w:val="000000" w:themeColor="text1"/>
          <w:vertAlign w:val="superscript"/>
        </w:rPr>
        <w:footnoteReference w:id="2"/>
      </w:r>
      <w:r w:rsidRPr="002226FB">
        <w:rPr>
          <w:rFonts w:ascii="Palatino Linotype" w:hAnsi="Palatino Linotype"/>
          <w:color w:val="000000" w:themeColor="text1"/>
        </w:rPr>
        <w:t xml:space="preserve">, la cual será presidida por un Titular, quien fungirá como enlace entre éstos y los solicitantes. Dicha Unidad </w:t>
      </w:r>
      <w:r w:rsidRPr="002226FB">
        <w:rPr>
          <w:rFonts w:ascii="Palatino Linotype" w:hAnsi="Palatino Linotype"/>
          <w:b/>
          <w:bCs/>
          <w:color w:val="000000" w:themeColor="text1"/>
        </w:rPr>
        <w:t xml:space="preserve">será </w:t>
      </w:r>
      <w:r w:rsidRPr="002226FB">
        <w:rPr>
          <w:rFonts w:ascii="Palatino Linotype" w:hAnsi="Palatino Linotype"/>
          <w:b/>
          <w:bCs/>
          <w:color w:val="000000" w:themeColor="text1"/>
        </w:rPr>
        <w:lastRenderedPageBreak/>
        <w:t>la encargada de tramitar internamente la solicitud de información</w:t>
      </w:r>
      <w:r w:rsidRPr="002226FB">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2226FB">
        <w:rPr>
          <w:rFonts w:ascii="Palatino Linotype" w:hAnsi="Palatino Linotype"/>
          <w:b/>
          <w:bCs/>
          <w:color w:val="000000" w:themeColor="text1"/>
        </w:rPr>
        <w:t xml:space="preserve">gestionar la atención a las solicitudes de información </w:t>
      </w:r>
      <w:r w:rsidRPr="002226FB">
        <w:rPr>
          <w:rFonts w:ascii="Palatino Linotype" w:hAnsi="Palatino Linotype"/>
          <w:color w:val="000000" w:themeColor="text1"/>
        </w:rPr>
        <w:t>en los términos de la Ley General y la Ley de Transparencia y Acceso a la Información Pública del Estado de México y Municipios</w:t>
      </w:r>
      <w:r w:rsidRPr="002226FB">
        <w:rPr>
          <w:rFonts w:ascii="Palatino Linotype" w:hAnsi="Palatino Linotype"/>
          <w:color w:val="000000" w:themeColor="text1"/>
          <w:vertAlign w:val="superscript"/>
        </w:rPr>
        <w:footnoteReference w:id="3"/>
      </w:r>
      <w:r w:rsidRPr="002226FB">
        <w:rPr>
          <w:rFonts w:ascii="Palatino Linotype" w:hAnsi="Palatino Linotype"/>
          <w:color w:val="000000" w:themeColor="text1"/>
        </w:rPr>
        <w:t>.</w:t>
      </w:r>
    </w:p>
    <w:p w14:paraId="183E9871"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3EA5B7E5" w14:textId="52EA352F"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71AAF23" w14:textId="77777777" w:rsidR="004D7686" w:rsidRPr="004D7686"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Recibir, tramitar y dar respuesta a las solicitudes de acceso a la información;</w:t>
      </w:r>
    </w:p>
    <w:p w14:paraId="35BDB43F" w14:textId="77777777" w:rsidR="004D7686" w:rsidRPr="004D7686"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 xml:space="preserve">Realizar, con efectividad, los trámites internos necesarios para la atención de las solicitudes de acceso a la información; </w:t>
      </w:r>
    </w:p>
    <w:p w14:paraId="49B8A941" w14:textId="77777777" w:rsidR="004D7686" w:rsidRPr="004D7686"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 xml:space="preserve">Entregar, en su caso, a los particulares la información solicitada; y </w:t>
      </w:r>
    </w:p>
    <w:p w14:paraId="7E072FE0" w14:textId="4C4210AF" w:rsidR="004D7686" w:rsidRPr="004D7686"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Hacer del conocimiento de la instancia competente la probable responsabilidad por el incumplimiento de las obligaciones previstas en la Ley de la materia.</w:t>
      </w:r>
    </w:p>
    <w:p w14:paraId="019C06BD"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1073945D" w14:textId="583800F6"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 xml:space="preserve">serán designados por el titular del Sujeto </w:t>
      </w:r>
      <w:r w:rsidRPr="00A67297">
        <w:rPr>
          <w:rFonts w:ascii="Palatino Linotype" w:hAnsi="Palatino Linotype" w:cs="Arial"/>
          <w:color w:val="000000" w:themeColor="text1"/>
        </w:rPr>
        <w:lastRenderedPageBreak/>
        <w:t>Obligado a propuesta del responsable de la Unidad de Transparencia</w:t>
      </w:r>
      <w:r>
        <w:rPr>
          <w:rStyle w:val="Refdenotaalpie"/>
          <w:rFonts w:ascii="Palatino Linotype" w:hAnsi="Palatino Linotype" w:cs="Arial"/>
          <w:color w:val="000000" w:themeColor="text1"/>
        </w:rPr>
        <w:footnoteReference w:id="4"/>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5"/>
      </w:r>
      <w:r>
        <w:rPr>
          <w:rFonts w:ascii="Palatino Linotype" w:hAnsi="Palatino Linotype" w:cs="Arial"/>
          <w:color w:val="000000" w:themeColor="text1"/>
        </w:rPr>
        <w:t>:</w:t>
      </w:r>
    </w:p>
    <w:p w14:paraId="3E6B4A11" w14:textId="77777777" w:rsidR="004D7686" w:rsidRPr="004D7686" w:rsidRDefault="004D7686" w:rsidP="004D7686">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Localizar la información que le solicite la Unidad de Transparencia; y</w:t>
      </w:r>
    </w:p>
    <w:p w14:paraId="7789C836" w14:textId="350541CC" w:rsidR="004D7686" w:rsidRPr="004D7686" w:rsidRDefault="004D7686" w:rsidP="004D7686">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4D7686">
        <w:rPr>
          <w:rFonts w:ascii="Palatino Linotype" w:hAnsi="Palatino Linotype"/>
          <w:color w:val="000000" w:themeColor="text1"/>
        </w:rPr>
        <w:t>Proporcionar la información que obre en sus archivos y que le sea solicitada por la Unidad de Transparencia.</w:t>
      </w:r>
    </w:p>
    <w:p w14:paraId="7BC68BAA"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4C3E713D" w14:textId="7020E8F3"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De </w:t>
      </w:r>
      <w:r w:rsidRPr="000F0CC9">
        <w:rPr>
          <w:rFonts w:ascii="Palatino Linotype" w:hAnsi="Palatino Linotype" w:cs="Arial"/>
          <w:color w:val="000000" w:themeColor="text1"/>
        </w:rPr>
        <w:t xml:space="preserve">tal manera que cada una de las áreas administrativas del </w:t>
      </w:r>
      <w:r w:rsidRPr="000F0CC9">
        <w:rPr>
          <w:rFonts w:ascii="Palatino Linotype" w:hAnsi="Palatino Linotype" w:cs="Arial"/>
          <w:b/>
          <w:bCs/>
          <w:color w:val="000000" w:themeColor="text1"/>
        </w:rPr>
        <w:t>SUJETO OBLIGADO</w:t>
      </w:r>
      <w:r w:rsidRPr="000F0CC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4790027"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68817E92" w14:textId="508BF815" w:rsidR="004D7686" w:rsidRPr="004D7686"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Una </w:t>
      </w:r>
      <w:r>
        <w:rPr>
          <w:rFonts w:ascii="Palatino Linotype" w:hAnsi="Palatino Linotype"/>
        </w:rPr>
        <w:t>vez expuesto lo anterior</w:t>
      </w:r>
      <w:r w:rsidRPr="0053687A">
        <w:rPr>
          <w:rFonts w:ascii="Palatino Linotype" w:hAnsi="Palatino Linotype"/>
        </w:rPr>
        <w:t xml:space="preserve">, </w:t>
      </w:r>
      <w:r>
        <w:rPr>
          <w:rFonts w:ascii="Palatino Linotype" w:hAnsi="Palatino Linotype"/>
        </w:rPr>
        <w:t xml:space="preserve">de la lectura a la solicitud de información </w:t>
      </w:r>
      <w:r>
        <w:rPr>
          <w:rFonts w:ascii="Palatino Linotype" w:hAnsi="Palatino Linotype"/>
          <w:b/>
          <w:bCs/>
        </w:rPr>
        <w:t>00004/DIFIXTLAHU/IP/2022</w:t>
      </w:r>
      <w:r>
        <w:rPr>
          <w:rFonts w:ascii="Palatino Linotype" w:hAnsi="Palatino Linotype"/>
        </w:rPr>
        <w:t xml:space="preserve">, y como fuera señalado en el </w:t>
      </w:r>
      <w:r>
        <w:rPr>
          <w:rFonts w:ascii="Palatino Linotype" w:hAnsi="Palatino Linotype"/>
          <w:i/>
          <w:iCs/>
        </w:rPr>
        <w:t>Planteamiento de la Litis</w:t>
      </w:r>
      <w:r>
        <w:rPr>
          <w:rFonts w:ascii="Palatino Linotype" w:hAnsi="Palatino Linotype"/>
        </w:rPr>
        <w:t xml:space="preserve"> de esta resolución, se advierte que el particular requirió al Sistema Municipal para el Desarrollo Integral de la Familia de Ixtlahuaca, </w:t>
      </w:r>
      <w:r>
        <w:rPr>
          <w:rFonts w:ascii="Palatino Linotype" w:hAnsi="Palatino Linotype" w:cs="Arial"/>
          <w:color w:val="000000" w:themeColor="text1"/>
        </w:rPr>
        <w:t>los nombres y nombramientos de los servidores públicos encargados de las siguientes áreas administrativas:</w:t>
      </w:r>
    </w:p>
    <w:p w14:paraId="24B92EEC" w14:textId="3366202E" w:rsidR="004D7686" w:rsidRPr="004D7686" w:rsidRDefault="004D7686"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Jurídico;</w:t>
      </w:r>
    </w:p>
    <w:p w14:paraId="6FED5BC6" w14:textId="365461E6" w:rsidR="004D7686"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UIPPE;</w:t>
      </w:r>
    </w:p>
    <w:p w14:paraId="5E3C7691" w14:textId="38B4F283"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Contraloría;</w:t>
      </w:r>
    </w:p>
    <w:p w14:paraId="10C85D6A" w14:textId="2DCAAC4B"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Desayunos Fríos;</w:t>
      </w:r>
    </w:p>
    <w:p w14:paraId="53407EA1" w14:textId="1589F15B"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Desayunos Calientes;</w:t>
      </w:r>
    </w:p>
    <w:p w14:paraId="67FCEDDF" w14:textId="70528BAB"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lastRenderedPageBreak/>
        <w:t>Tesorería;</w:t>
      </w:r>
    </w:p>
    <w:p w14:paraId="29C51429" w14:textId="4D332E35"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Adulto Mayor;</w:t>
      </w:r>
    </w:p>
    <w:p w14:paraId="3F808A76" w14:textId="42A871E9" w:rsidR="007F7963" w:rsidRPr="007F7963"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HortaDIF; y</w:t>
      </w:r>
    </w:p>
    <w:p w14:paraId="5326E0D8" w14:textId="2E972F38" w:rsidR="007F7963" w:rsidRPr="004D7686" w:rsidRDefault="007F7963" w:rsidP="004D768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Psicología.</w:t>
      </w:r>
    </w:p>
    <w:p w14:paraId="2A00A50E"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3A805BE5" w14:textId="0C77260B" w:rsidR="004D7686" w:rsidRPr="004D7686" w:rsidRDefault="007F7963"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En respuesta a </w:t>
      </w:r>
      <w:r w:rsidRPr="00482DC9">
        <w:rPr>
          <w:rFonts w:ascii="Palatino Linotype" w:hAnsi="Palatino Linotype"/>
          <w:color w:val="000000" w:themeColor="text1"/>
        </w:rPr>
        <w:t xml:space="preserve">la solicitud de información, y como fuera señalado en el apartado de </w:t>
      </w:r>
      <w:r w:rsidRPr="00482DC9">
        <w:rPr>
          <w:rFonts w:ascii="Palatino Linotype" w:hAnsi="Palatino Linotype"/>
          <w:i/>
          <w:iCs/>
          <w:color w:val="000000" w:themeColor="text1"/>
        </w:rPr>
        <w:t>Antecedentes</w:t>
      </w:r>
      <w:r>
        <w:rPr>
          <w:rFonts w:ascii="Palatino Linotype" w:hAnsi="Palatino Linotype"/>
          <w:color w:val="000000" w:themeColor="text1"/>
        </w:rPr>
        <w:t xml:space="preserve"> de esta resolución, el </w:t>
      </w:r>
      <w:r>
        <w:rPr>
          <w:rFonts w:ascii="Palatino Linotype" w:hAnsi="Palatino Linotype"/>
          <w:b/>
          <w:color w:val="000000" w:themeColor="text1"/>
        </w:rPr>
        <w:t>SUJETO OBLIGADO</w:t>
      </w:r>
      <w:r>
        <w:rPr>
          <w:rFonts w:ascii="Palatino Linotype" w:hAnsi="Palatino Linotype"/>
          <w:color w:val="000000" w:themeColor="text1"/>
        </w:rPr>
        <w:t xml:space="preserve"> entregó el oficio número SMDIFI/TD/004/2022, de diecisiete (17) de febrero de dos mil veintidós, emitido por la Tesorera, cuyo contenido elemental refiere lo siguiente:</w:t>
      </w:r>
    </w:p>
    <w:p w14:paraId="333C568B" w14:textId="51FB22C0" w:rsid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2A7106C7" w14:textId="77FD7188" w:rsidR="007F7963" w:rsidRDefault="007F7963" w:rsidP="007F7963">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7995" w:dyaOrig="6330" w14:anchorId="0F0A4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302.2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3354476" r:id="rId9"/>
        </w:object>
      </w:r>
    </w:p>
    <w:p w14:paraId="0BDECC31" w14:textId="77777777" w:rsidR="007F7963" w:rsidRPr="004D7686" w:rsidRDefault="007F7963"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6F38085F" w14:textId="7CA5553D" w:rsidR="004D7686" w:rsidRPr="008477CE" w:rsidRDefault="008477CE"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lastRenderedPageBreak/>
        <w:t>De la lectura al contenido del oficio anterior, podemos rescatar los siguientes pronunciamientos:</w:t>
      </w:r>
    </w:p>
    <w:p w14:paraId="6DC404D6" w14:textId="578CC89E" w:rsidR="008477CE" w:rsidRPr="0084587A" w:rsidRDefault="0084587A" w:rsidP="0084587A">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lang w:val="es-ES"/>
        </w:rPr>
        <w:t>Se informó al particular que el Sistema Municipal para el Desarrollo Integral de la Familia de Ixtlahuaca no contaba con un área jurídica, al ser representados por el propio ayuntamiento del municipio.</w:t>
      </w:r>
    </w:p>
    <w:p w14:paraId="17193621" w14:textId="58DC0AE3" w:rsidR="0084587A" w:rsidRPr="004D7686" w:rsidRDefault="0084587A" w:rsidP="0084587A">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lang w:val="es-ES"/>
        </w:rPr>
        <w:t>Se indicaron los nombres de los servidores públicos responsables de cada una de las áreas administrativas referidas por el particular</w:t>
      </w:r>
      <w:r w:rsidR="002A633F">
        <w:rPr>
          <w:rFonts w:ascii="Palatino Linotype" w:hAnsi="Palatino Linotype"/>
          <w:lang w:val="es-ES"/>
        </w:rPr>
        <w:t xml:space="preserve"> (a excepción del responsable de </w:t>
      </w:r>
      <w:r w:rsidR="00B07F23">
        <w:rPr>
          <w:rFonts w:ascii="Palatino Linotype" w:hAnsi="Palatino Linotype"/>
          <w:lang w:val="es-ES"/>
        </w:rPr>
        <w:t>HORTADIF</w:t>
      </w:r>
      <w:r w:rsidR="002A633F">
        <w:rPr>
          <w:rFonts w:ascii="Palatino Linotype" w:hAnsi="Palatino Linotype"/>
          <w:lang w:val="es-ES"/>
        </w:rPr>
        <w:t>, pues a la fecha en que se dio respuesta, aún no se había asignado a un titular)</w:t>
      </w:r>
      <w:r>
        <w:rPr>
          <w:rFonts w:ascii="Palatino Linotype" w:hAnsi="Palatino Linotype"/>
          <w:lang w:val="es-ES"/>
        </w:rPr>
        <w:t>, así como el estado que guarda el nombramiento de cada uno</w:t>
      </w:r>
      <w:r w:rsidR="002A633F">
        <w:rPr>
          <w:rFonts w:ascii="Palatino Linotype" w:hAnsi="Palatino Linotype"/>
          <w:lang w:val="es-ES"/>
        </w:rPr>
        <w:t>, los cuales se mostraban ‘en proceso de emisión’, mientras que para otros se indicaba que ‘no se les genera nombramiento’</w:t>
      </w:r>
      <w:r w:rsidR="00DD3478">
        <w:rPr>
          <w:rFonts w:ascii="Palatino Linotype" w:hAnsi="Palatino Linotype"/>
          <w:lang w:val="es-ES"/>
        </w:rPr>
        <w:t>.</w:t>
      </w:r>
    </w:p>
    <w:p w14:paraId="643B859B" w14:textId="77777777" w:rsidR="004D7686" w:rsidRPr="004D7686"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777E6432" w14:textId="376A6D8F" w:rsidR="00DD3478" w:rsidRDefault="00DD3478"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Adjunto al oficio descrito en párrafos previos, el </w:t>
      </w:r>
      <w:r>
        <w:rPr>
          <w:rFonts w:ascii="Palatino Linotype" w:hAnsi="Palatino Linotype"/>
          <w:b/>
          <w:bCs/>
          <w:color w:val="000000" w:themeColor="text1"/>
        </w:rPr>
        <w:t>SUJETO OBLIGADO</w:t>
      </w:r>
      <w:r>
        <w:rPr>
          <w:rFonts w:ascii="Palatino Linotype" w:hAnsi="Palatino Linotype"/>
          <w:color w:val="000000" w:themeColor="text1"/>
        </w:rPr>
        <w:t xml:space="preserve"> exhibió al entonces </w:t>
      </w:r>
      <w:r>
        <w:rPr>
          <w:rFonts w:ascii="Palatino Linotype" w:hAnsi="Palatino Linotype"/>
          <w:b/>
          <w:bCs/>
          <w:color w:val="000000" w:themeColor="text1"/>
        </w:rPr>
        <w:t>SOLICITANTE</w:t>
      </w:r>
      <w:r>
        <w:rPr>
          <w:rFonts w:ascii="Palatino Linotype" w:hAnsi="Palatino Linotype"/>
          <w:color w:val="000000" w:themeColor="text1"/>
        </w:rPr>
        <w:t xml:space="preserve"> el nombramiento expedido por la Presidenta del Sistema Municipal para el Desarrollo Integral de la Familia de Ixtlahuaca, en favor de la </w:t>
      </w:r>
      <w:r>
        <w:rPr>
          <w:rFonts w:ascii="Palatino Linotype" w:hAnsi="Palatino Linotype"/>
          <w:i/>
          <w:iCs/>
          <w:color w:val="000000" w:themeColor="text1"/>
        </w:rPr>
        <w:t>P.L.C. Marisol Sánchez Alcántara</w:t>
      </w:r>
      <w:r>
        <w:rPr>
          <w:rFonts w:ascii="Palatino Linotype" w:hAnsi="Palatino Linotype"/>
          <w:color w:val="000000" w:themeColor="text1"/>
        </w:rPr>
        <w:t>, por el que le designa como Tesorera del Sistema Municipal.</w:t>
      </w:r>
    </w:p>
    <w:p w14:paraId="6E309F82" w14:textId="77777777" w:rsidR="00DD3478"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5B875F77" w14:textId="77777777" w:rsidR="002A633F"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794C2B">
        <w:rPr>
          <w:rFonts w:ascii="Palatino Linotype" w:hAnsi="Palatino Linotype"/>
          <w:color w:val="000000" w:themeColor="text1"/>
        </w:rPr>
        <w:t xml:space="preserve">consecuencia, toda vez que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se pronunció respecto de la información solicitada, resultaría conveniente obviar el análisis de competencia </w:t>
      </w:r>
      <w:r>
        <w:rPr>
          <w:rFonts w:ascii="Palatino Linotype" w:hAnsi="Palatino Linotype"/>
          <w:color w:val="000000" w:themeColor="text1"/>
        </w:rPr>
        <w:t>de la Sistema Municipal para el Desarrollo Integral de la Familia de Ixtlahuaca</w:t>
      </w:r>
      <w:r w:rsidRPr="00794C2B">
        <w:rPr>
          <w:rFonts w:ascii="Palatino Linotype" w:hAnsi="Palatino Linotype"/>
          <w:color w:val="000000" w:themeColor="text1"/>
        </w:rPr>
        <w:t xml:space="preserve"> para generar, administrar o poseer la misma, dado que éste asumió la competencia mediante su respuesta a la solicitud de información.</w:t>
      </w:r>
    </w:p>
    <w:p w14:paraId="736636DD"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3353A5EF" w14:textId="77777777" w:rsidR="002A633F"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794C2B">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o administra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empero, en aquellos casos en que éste la asume, implica </w:t>
      </w:r>
      <w:r w:rsidRPr="00794C2B">
        <w:rPr>
          <w:rFonts w:ascii="Palatino Linotype" w:hAnsi="Palatino Linotype"/>
          <w:i/>
          <w:color w:val="000000" w:themeColor="text1"/>
        </w:rPr>
        <w:t>de facto</w:t>
      </w:r>
      <w:r w:rsidRPr="00794C2B">
        <w:rPr>
          <w:rFonts w:ascii="Palatino Linotype" w:hAnsi="Palatino Linotype"/>
          <w:color w:val="000000" w:themeColor="text1"/>
        </w:rPr>
        <w:t xml:space="preserve"> que la genera, posee o administra. Por consiguiente, a nada práctico nos conduciría su estudio, ya que, se insiste, la </w:t>
      </w:r>
      <w:r>
        <w:rPr>
          <w:rFonts w:ascii="Palatino Linotype" w:hAnsi="Palatino Linotype"/>
          <w:color w:val="000000" w:themeColor="text1"/>
        </w:rPr>
        <w:t>información pública solicitada</w:t>
      </w:r>
      <w:r w:rsidRPr="00794C2B">
        <w:rPr>
          <w:rFonts w:ascii="Palatino Linotype" w:hAnsi="Palatino Linotype"/>
          <w:color w:val="000000" w:themeColor="text1"/>
        </w:rPr>
        <w:t xml:space="preserve">, ha sido asumida por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w:t>
      </w:r>
    </w:p>
    <w:p w14:paraId="2B11A029"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E3A12AB" w14:textId="77777777" w:rsidR="002A633F"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51F3B">
        <w:rPr>
          <w:rFonts w:ascii="Palatino Linotype" w:eastAsia="Times New Roman" w:hAnsi="Palatino Linotype" w:cs="Arial"/>
        </w:rPr>
        <w:t xml:space="preserve">ese sentido, al existir un pronunciamiento directo por parte del </w:t>
      </w:r>
      <w:r w:rsidRPr="00051F3B">
        <w:rPr>
          <w:rFonts w:ascii="Palatino Linotype" w:eastAsia="Times New Roman" w:hAnsi="Palatino Linotype" w:cs="Arial"/>
          <w:b/>
        </w:rPr>
        <w:t>SUJETO OBLIGADO</w:t>
      </w:r>
      <w:r w:rsidRPr="00051F3B">
        <w:rPr>
          <w:rFonts w:ascii="Palatino Linotype" w:eastAsia="Times New Roman" w:hAnsi="Palatino Linotype" w:cs="Arial"/>
        </w:rPr>
        <w:t xml:space="preserve">, a fin de atender la </w:t>
      </w:r>
      <w:r>
        <w:rPr>
          <w:rFonts w:ascii="Palatino Linotype" w:eastAsia="Times New Roman" w:hAnsi="Palatino Linotype" w:cs="Arial"/>
        </w:rPr>
        <w:t xml:space="preserve">vasta </w:t>
      </w:r>
      <w:r w:rsidRPr="00051F3B">
        <w:rPr>
          <w:rFonts w:ascii="Palatino Linotype" w:eastAsia="Times New Roman" w:hAnsi="Palatino Linotype" w:cs="Arial"/>
        </w:rPr>
        <w:t xml:space="preserve">solicitud planteada por </w:t>
      </w:r>
      <w:r>
        <w:rPr>
          <w:rFonts w:ascii="Palatino Linotype" w:eastAsia="Times New Roman" w:hAnsi="Palatino Linotype" w:cs="Arial"/>
        </w:rPr>
        <w:t>la</w:t>
      </w:r>
      <w:r w:rsidRPr="00051F3B">
        <w:rPr>
          <w:rFonts w:ascii="Palatino Linotype" w:eastAsia="Times New Roman" w:hAnsi="Palatino Linotype" w:cs="Arial"/>
        </w:rPr>
        <w:t xml:space="preserve"> hoy </w:t>
      </w:r>
      <w:r w:rsidRPr="00051F3B">
        <w:rPr>
          <w:rFonts w:ascii="Palatino Linotype" w:eastAsia="Times New Roman" w:hAnsi="Palatino Linotype" w:cs="Arial"/>
          <w:b/>
        </w:rPr>
        <w:t>RECURRENTE</w:t>
      </w:r>
      <w:r w:rsidRPr="00051F3B">
        <w:rPr>
          <w:rFonts w:ascii="Palatino Linotype" w:eastAsia="Times New Roman"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051F3B">
        <w:rPr>
          <w:rFonts w:ascii="Palatino Linotype" w:eastAsia="Times New Roman" w:hAnsi="Palatino Linotype" w:cs="Arial"/>
          <w:bCs/>
          <w:iCs/>
        </w:rPr>
        <w:t>SAIMEX</w:t>
      </w:r>
      <w:r w:rsidRPr="00051F3B">
        <w:rPr>
          <w:rFonts w:ascii="Palatino Linotype" w:eastAsia="Times New Roman" w:hAnsi="Palatino Linotype" w:cs="Arial"/>
        </w:rPr>
        <w:t>.</w:t>
      </w:r>
    </w:p>
    <w:p w14:paraId="74EB18CA"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A57570A" w14:textId="7A22E215" w:rsidR="00DD3478"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051F3B">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537F4AEA" w14:textId="274844A1" w:rsidR="00DD3478" w:rsidRDefault="00DD3478" w:rsidP="002A633F">
      <w:pPr>
        <w:pStyle w:val="Prrafodelista"/>
        <w:tabs>
          <w:tab w:val="left" w:pos="426"/>
        </w:tabs>
        <w:spacing w:before="240" w:line="360" w:lineRule="auto"/>
        <w:ind w:left="0" w:right="51"/>
        <w:jc w:val="both"/>
        <w:rPr>
          <w:rFonts w:ascii="Palatino Linotype" w:hAnsi="Palatino Linotype"/>
          <w:color w:val="000000" w:themeColor="text1"/>
        </w:rPr>
      </w:pPr>
    </w:p>
    <w:p w14:paraId="28FDA0D7" w14:textId="77777777" w:rsidR="002A633F" w:rsidRPr="00794C2B" w:rsidRDefault="002A633F" w:rsidP="002A633F">
      <w:pPr>
        <w:pStyle w:val="Default"/>
        <w:spacing w:before="240" w:after="360" w:line="276" w:lineRule="auto"/>
        <w:ind w:left="567" w:right="567"/>
        <w:jc w:val="both"/>
        <w:rPr>
          <w:rFonts w:ascii="Palatino Linotype" w:hAnsi="Palatino Linotype"/>
          <w:sz w:val="22"/>
          <w:szCs w:val="20"/>
        </w:rPr>
      </w:pPr>
      <w:r w:rsidRPr="00BB7E0C">
        <w:rPr>
          <w:rFonts w:ascii="Palatino Linotype" w:hAnsi="Palatino Linotype"/>
          <w:b/>
          <w:i/>
          <w:sz w:val="22"/>
          <w:szCs w:val="20"/>
        </w:rPr>
        <w:t>EL INSTITUTO FEDERAL DE ACCESO A LA INFORMACIÓN Y PROTECCIÓN DE DATOS</w:t>
      </w:r>
      <w:r w:rsidRPr="00031358">
        <w:rPr>
          <w:rFonts w:ascii="Palatino Linotype" w:hAnsi="Palatino Linotype"/>
          <w:i/>
          <w:sz w:val="22"/>
          <w:szCs w:val="20"/>
        </w:rPr>
        <w:t xml:space="preserve">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w:t>
      </w:r>
      <w:r>
        <w:rPr>
          <w:rFonts w:ascii="Palatino Linotype" w:hAnsi="Palatino Linotype"/>
          <w:i/>
          <w:sz w:val="22"/>
          <w:szCs w:val="20"/>
        </w:rPr>
        <w:t>“</w:t>
      </w:r>
      <w:r w:rsidRPr="00031358">
        <w:rPr>
          <w:rFonts w:ascii="Palatino Linotype" w:hAnsi="Palatino Linotype"/>
          <w:i/>
          <w:sz w:val="22"/>
          <w:szCs w:val="20"/>
        </w:rPr>
        <w:t xml:space="preserve">El Instituto Federal </w:t>
      </w:r>
      <w:r w:rsidRPr="00031358">
        <w:rPr>
          <w:rFonts w:ascii="Palatino Linotype" w:hAnsi="Palatino Linotype"/>
          <w:i/>
          <w:sz w:val="22"/>
          <w:szCs w:val="20"/>
        </w:rPr>
        <w:lastRenderedPageBreak/>
        <w:t xml:space="preserve">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B7E0C">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031358">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r>
        <w:rPr>
          <w:rFonts w:ascii="Palatino Linotype" w:hAnsi="Palatino Linotype"/>
          <w:i/>
          <w:sz w:val="22"/>
          <w:szCs w:val="20"/>
        </w:rPr>
        <w:br/>
      </w:r>
      <w:r>
        <w:rPr>
          <w:rFonts w:ascii="Palatino Linotype" w:hAnsi="Palatino Linotype"/>
          <w:sz w:val="22"/>
          <w:szCs w:val="20"/>
        </w:rPr>
        <w:t>(Énfasis añadido)</w:t>
      </w:r>
    </w:p>
    <w:p w14:paraId="665E59A0" w14:textId="77777777" w:rsidR="002A633F" w:rsidRDefault="002A633F"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740BAD9D" w14:textId="77777777" w:rsidR="002A633F"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51F3B">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7F104CC1"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2F5D7788" w14:textId="77777777" w:rsidR="002A633F" w:rsidRPr="00640DE6" w:rsidRDefault="002A633F" w:rsidP="002A633F">
      <w:pPr>
        <w:pStyle w:val="Prrafodelista"/>
        <w:spacing w:line="276" w:lineRule="auto"/>
        <w:ind w:left="567" w:right="567"/>
        <w:jc w:val="both"/>
        <w:rPr>
          <w:rFonts w:ascii="Palatino Linotype" w:hAnsi="Palatino Linotype" w:cs="Arial"/>
          <w:b/>
          <w:i/>
          <w:sz w:val="22"/>
          <w:szCs w:val="22"/>
        </w:rPr>
      </w:pPr>
      <w:r w:rsidRPr="00640DE6">
        <w:rPr>
          <w:rFonts w:ascii="Palatino Linotype" w:hAnsi="Palatino Linotype" w:cs="Arial"/>
          <w:b/>
          <w:i/>
          <w:sz w:val="22"/>
          <w:szCs w:val="22"/>
        </w:rPr>
        <w:t>Artículo 3.-</w:t>
      </w:r>
      <w:r w:rsidRPr="00640DE6">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640DE6">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2FBF7A25" w14:textId="77777777" w:rsidR="002A633F" w:rsidRPr="00794C2B" w:rsidRDefault="002A633F" w:rsidP="002A633F">
      <w:pPr>
        <w:pStyle w:val="Prrafodelista"/>
        <w:spacing w:line="276" w:lineRule="auto"/>
        <w:ind w:left="567" w:right="567"/>
        <w:jc w:val="both"/>
        <w:rPr>
          <w:rFonts w:ascii="Palatino Linotype" w:hAnsi="Palatino Linotype" w:cs="Arial"/>
          <w:iCs/>
          <w:sz w:val="22"/>
          <w:szCs w:val="22"/>
        </w:rPr>
      </w:pPr>
      <w:r w:rsidRPr="00640DE6">
        <w:rPr>
          <w:rFonts w:ascii="Palatino Linotype" w:hAnsi="Palatino Linotype" w:cs="Arial"/>
          <w:iCs/>
          <w:sz w:val="22"/>
          <w:szCs w:val="22"/>
        </w:rPr>
        <w:t>(Énfasis añadido)</w:t>
      </w:r>
    </w:p>
    <w:p w14:paraId="5FBD99D5"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07C369A8" w14:textId="77777777" w:rsidR="002A633F"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Disposiciones </w:t>
      </w:r>
      <w:r w:rsidRPr="00794C2B">
        <w:rPr>
          <w:rFonts w:ascii="Palatino Linotype" w:hAnsi="Palatino Linotype"/>
          <w:color w:val="000000" w:themeColor="text1"/>
        </w:rPr>
        <w:t xml:space="preserve">que compelen al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a apegarse en todo momento a los criterios ya expuestos, impidiendo a este Órgano Colegiado cuestionar la veracidad de la información.</w:t>
      </w:r>
    </w:p>
    <w:p w14:paraId="561E1B6D" w14:textId="77777777" w:rsidR="00DD3478"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4F663D43" w14:textId="69D070D1" w:rsidR="00DD3478" w:rsidRDefault="00763BB0"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particular impugnó la respuesta del </w:t>
      </w:r>
      <w:r>
        <w:rPr>
          <w:rFonts w:ascii="Palatino Linotype" w:hAnsi="Palatino Linotype"/>
          <w:b/>
          <w:bCs/>
          <w:color w:val="000000" w:themeColor="text1"/>
        </w:rPr>
        <w:t>SUJETO OBLIGADO</w:t>
      </w:r>
      <w:r>
        <w:rPr>
          <w:rFonts w:ascii="Palatino Linotype" w:hAnsi="Palatino Linotype"/>
          <w:color w:val="000000" w:themeColor="text1"/>
        </w:rPr>
        <w:t xml:space="preserve"> mediante el recurso de revisión </w:t>
      </w:r>
      <w:r>
        <w:rPr>
          <w:rFonts w:ascii="Palatino Linotype" w:hAnsi="Palatino Linotype"/>
          <w:b/>
          <w:bCs/>
          <w:color w:val="000000" w:themeColor="text1"/>
        </w:rPr>
        <w:t>01118/INFOEM/IP/RR/2022</w:t>
      </w:r>
      <w:r>
        <w:rPr>
          <w:rFonts w:ascii="Palatino Linotype" w:hAnsi="Palatino Linotype"/>
          <w:color w:val="000000" w:themeColor="text1"/>
        </w:rPr>
        <w:t xml:space="preserve">, en el que señaló por </w:t>
      </w:r>
      <w:r>
        <w:rPr>
          <w:rFonts w:ascii="Palatino Linotype" w:hAnsi="Palatino Linotype"/>
          <w:i/>
          <w:iCs/>
          <w:color w:val="000000" w:themeColor="text1"/>
        </w:rPr>
        <w:t>Acto Impugnado</w:t>
      </w:r>
      <w:r>
        <w:rPr>
          <w:rFonts w:ascii="Palatino Linotype" w:hAnsi="Palatino Linotype"/>
          <w:color w:val="000000" w:themeColor="text1"/>
        </w:rPr>
        <w:t xml:space="preserve"> y </w:t>
      </w:r>
      <w:r>
        <w:rPr>
          <w:rFonts w:ascii="Palatino Linotype" w:hAnsi="Palatino Linotype"/>
          <w:i/>
          <w:iCs/>
          <w:color w:val="000000" w:themeColor="text1"/>
        </w:rPr>
        <w:t>Razones o Motivos de la Inconformidad</w:t>
      </w:r>
      <w:r>
        <w:rPr>
          <w:rFonts w:ascii="Palatino Linotype" w:hAnsi="Palatino Linotype"/>
          <w:color w:val="000000" w:themeColor="text1"/>
        </w:rPr>
        <w:t>, lo siguiente:</w:t>
      </w:r>
    </w:p>
    <w:p w14:paraId="489125D9" w14:textId="7C84F46A" w:rsidR="00DD3478" w:rsidRDefault="00DD3478" w:rsidP="00763BB0">
      <w:pPr>
        <w:pStyle w:val="Prrafodelista"/>
        <w:tabs>
          <w:tab w:val="left" w:pos="426"/>
        </w:tabs>
        <w:spacing w:before="240" w:line="360" w:lineRule="auto"/>
        <w:ind w:left="0" w:right="51"/>
        <w:jc w:val="both"/>
        <w:rPr>
          <w:rFonts w:ascii="Palatino Linotype" w:hAnsi="Palatino Linotype"/>
          <w:color w:val="000000" w:themeColor="text1"/>
        </w:rPr>
      </w:pPr>
    </w:p>
    <w:p w14:paraId="13A17554" w14:textId="203E6B62" w:rsidR="00763BB0" w:rsidRPr="00763BB0" w:rsidRDefault="00763BB0" w:rsidP="00763BB0">
      <w:pPr>
        <w:pStyle w:val="Prrafodelista"/>
        <w:tabs>
          <w:tab w:val="left" w:pos="426"/>
        </w:tabs>
        <w:spacing w:before="240" w:after="240" w:line="360"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“l</w:t>
      </w:r>
      <w:r w:rsidRPr="00763BB0">
        <w:rPr>
          <w:rFonts w:ascii="Palatino Linotype" w:hAnsi="Palatino Linotype"/>
          <w:i/>
          <w:iCs/>
          <w:color w:val="000000" w:themeColor="text1"/>
          <w:sz w:val="22"/>
          <w:szCs w:val="22"/>
        </w:rPr>
        <w:t>a respuesta no se basa al proceso de la ley de transparencia</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20189903" w14:textId="77777777" w:rsidR="00763BB0" w:rsidRDefault="00763BB0"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28D11A98" w14:textId="0090A0E1" w:rsidR="00DD3478" w:rsidRDefault="00763BB0"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sentido, no es ocioso señalar que la Ley de Transparencia y Acceso a la Información Pública del Estado de México y Municipios, reconoce al recurso de revisión como </w:t>
      </w:r>
      <w:r w:rsidRPr="00763BB0">
        <w:rPr>
          <w:rFonts w:ascii="Palatino Linotype" w:hAnsi="Palatino Linotype"/>
          <w:color w:val="000000" w:themeColor="text1"/>
        </w:rPr>
        <w:t>la garantía secundaria mediante la cual se pretende reparar cualquier posible afectación al derecho de acceso a la información pública</w:t>
      </w:r>
      <w:r>
        <w:rPr>
          <w:rStyle w:val="Refdenotaalpie"/>
          <w:rFonts w:ascii="Palatino Linotype" w:hAnsi="Palatino Linotype"/>
          <w:color w:val="000000" w:themeColor="text1"/>
        </w:rPr>
        <w:footnoteReference w:id="6"/>
      </w:r>
      <w:r>
        <w:rPr>
          <w:rFonts w:ascii="Palatino Linotype" w:hAnsi="Palatino Linotype"/>
          <w:color w:val="000000" w:themeColor="text1"/>
        </w:rPr>
        <w:t>.</w:t>
      </w:r>
    </w:p>
    <w:p w14:paraId="73ABED5A" w14:textId="77777777" w:rsidR="00DD3478"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7C657D34" w14:textId="4114E9B1" w:rsidR="00DD3478" w:rsidRDefault="006F07E9"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Correlativo a lo anterior, el numeral 179 de la Ley de la materia, enlista las causales de procedencia del recurso de revisión en materia de acceso a la información, a saber:</w:t>
      </w:r>
    </w:p>
    <w:p w14:paraId="741B5682" w14:textId="5A560B0F" w:rsidR="00DD3478"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6B539582"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6F07E9">
        <w:rPr>
          <w:rFonts w:ascii="Palatino Linotype" w:hAnsi="Palatino Linotype"/>
          <w:b/>
          <w:bCs/>
          <w:i/>
          <w:iCs/>
          <w:sz w:val="22"/>
          <w:szCs w:val="22"/>
        </w:rPr>
        <w:t>Artículo 179.</w:t>
      </w:r>
      <w:r w:rsidRPr="006F07E9">
        <w:rPr>
          <w:rFonts w:ascii="Palatino Linotype" w:hAnsi="Palatino Linotype"/>
          <w:i/>
          <w:iCs/>
          <w:sz w:val="22"/>
          <w:szCs w:val="22"/>
        </w:rPr>
        <w:t xml:space="preserve"> El recurso de revisión es un medio de protección que la Ley otorga a los particulares, para hacer valer su derecho de acceso a la información pública, y procederá en contra de las siguientes causas: </w:t>
      </w:r>
    </w:p>
    <w:p w14:paraId="6D039753"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I.</w:t>
      </w:r>
      <w:r w:rsidRPr="006F07E9">
        <w:rPr>
          <w:rFonts w:ascii="Palatino Linotype" w:hAnsi="Palatino Linotype"/>
          <w:i/>
          <w:iCs/>
          <w:sz w:val="22"/>
          <w:szCs w:val="22"/>
        </w:rPr>
        <w:t xml:space="preserve"> La negativa a la información solicitada; </w:t>
      </w:r>
    </w:p>
    <w:p w14:paraId="1D4E0CED"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II.</w:t>
      </w:r>
      <w:r w:rsidRPr="006F07E9">
        <w:rPr>
          <w:rFonts w:ascii="Palatino Linotype" w:hAnsi="Palatino Linotype"/>
          <w:i/>
          <w:iCs/>
          <w:sz w:val="22"/>
          <w:szCs w:val="22"/>
        </w:rPr>
        <w:t xml:space="preserve"> La clasificación de la información; </w:t>
      </w:r>
    </w:p>
    <w:p w14:paraId="3844E7F7"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lastRenderedPageBreak/>
        <w:t>III.</w:t>
      </w:r>
      <w:r w:rsidRPr="006F07E9">
        <w:rPr>
          <w:rFonts w:ascii="Palatino Linotype" w:hAnsi="Palatino Linotype"/>
          <w:i/>
          <w:iCs/>
          <w:sz w:val="22"/>
          <w:szCs w:val="22"/>
        </w:rPr>
        <w:t xml:space="preserve"> La declaración de inexistencia de la información; </w:t>
      </w:r>
    </w:p>
    <w:p w14:paraId="460ED91A"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IV.</w:t>
      </w:r>
      <w:r w:rsidRPr="006F07E9">
        <w:rPr>
          <w:rFonts w:ascii="Palatino Linotype" w:hAnsi="Palatino Linotype"/>
          <w:i/>
          <w:iCs/>
          <w:sz w:val="22"/>
          <w:szCs w:val="22"/>
        </w:rPr>
        <w:t xml:space="preserve"> La declaración de incompetencia por el sujeto obligado; </w:t>
      </w:r>
    </w:p>
    <w:p w14:paraId="4CBA96CD"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V.</w:t>
      </w:r>
      <w:r w:rsidRPr="006F07E9">
        <w:rPr>
          <w:rFonts w:ascii="Palatino Linotype" w:hAnsi="Palatino Linotype"/>
          <w:i/>
          <w:iCs/>
          <w:sz w:val="22"/>
          <w:szCs w:val="22"/>
        </w:rPr>
        <w:t xml:space="preserve"> La entrega de información incompleta; </w:t>
      </w:r>
    </w:p>
    <w:p w14:paraId="5C047127"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VI.</w:t>
      </w:r>
      <w:r w:rsidRPr="006F07E9">
        <w:rPr>
          <w:rFonts w:ascii="Palatino Linotype" w:hAnsi="Palatino Linotype"/>
          <w:i/>
          <w:iCs/>
          <w:sz w:val="22"/>
          <w:szCs w:val="22"/>
        </w:rPr>
        <w:t xml:space="preserve"> La entrega de información que no corresponda con lo solicitado; </w:t>
      </w:r>
    </w:p>
    <w:p w14:paraId="1140F275"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VII.</w:t>
      </w:r>
      <w:r w:rsidRPr="006F07E9">
        <w:rPr>
          <w:rFonts w:ascii="Palatino Linotype" w:hAnsi="Palatino Linotype"/>
          <w:i/>
          <w:iCs/>
          <w:sz w:val="22"/>
          <w:szCs w:val="22"/>
        </w:rPr>
        <w:t xml:space="preserve"> La falta de respuesta a una solicitud de acceso a la información; </w:t>
      </w:r>
    </w:p>
    <w:p w14:paraId="7E8F403D"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VIII.</w:t>
      </w:r>
      <w:r w:rsidRPr="006F07E9">
        <w:rPr>
          <w:rFonts w:ascii="Palatino Linotype" w:hAnsi="Palatino Linotype"/>
          <w:i/>
          <w:iCs/>
          <w:sz w:val="22"/>
          <w:szCs w:val="22"/>
        </w:rPr>
        <w:t xml:space="preserve"> La notificación, entrega o puesta a disposición de información en una modalidad o formato distinto al solicitado; </w:t>
      </w:r>
    </w:p>
    <w:p w14:paraId="1E00210C"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IX.</w:t>
      </w:r>
      <w:r w:rsidRPr="006F07E9">
        <w:rPr>
          <w:rFonts w:ascii="Palatino Linotype" w:hAnsi="Palatino Linotype"/>
          <w:i/>
          <w:iCs/>
          <w:sz w:val="22"/>
          <w:szCs w:val="22"/>
        </w:rPr>
        <w:t xml:space="preserve"> La entrega o puesta a disposición de información en un formato incomprensible y/o no accesible para el solicitante; </w:t>
      </w:r>
    </w:p>
    <w:p w14:paraId="5D517D70"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X.</w:t>
      </w:r>
      <w:r w:rsidRPr="006F07E9">
        <w:rPr>
          <w:rFonts w:ascii="Palatino Linotype" w:hAnsi="Palatino Linotype"/>
          <w:i/>
          <w:iCs/>
          <w:sz w:val="22"/>
          <w:szCs w:val="22"/>
        </w:rPr>
        <w:t xml:space="preserve"> Los costos o tiempos de entrega de la información; </w:t>
      </w:r>
    </w:p>
    <w:p w14:paraId="0C8867F8"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XI.</w:t>
      </w:r>
      <w:r w:rsidRPr="006F07E9">
        <w:rPr>
          <w:rFonts w:ascii="Palatino Linotype" w:hAnsi="Palatino Linotype"/>
          <w:i/>
          <w:iCs/>
          <w:sz w:val="22"/>
          <w:szCs w:val="22"/>
        </w:rPr>
        <w:t xml:space="preserve"> La falta de trámite a una solicitud; </w:t>
      </w:r>
    </w:p>
    <w:p w14:paraId="4677031E"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XII.</w:t>
      </w:r>
      <w:r w:rsidRPr="006F07E9">
        <w:rPr>
          <w:rFonts w:ascii="Palatino Linotype" w:hAnsi="Palatino Linotype"/>
          <w:i/>
          <w:iCs/>
          <w:sz w:val="22"/>
          <w:szCs w:val="22"/>
        </w:rPr>
        <w:t xml:space="preserve"> La negativa a permitir la consulta directa de la información; </w:t>
      </w:r>
    </w:p>
    <w:p w14:paraId="71035945" w14:textId="77777777" w:rsidR="006F07E9" w:rsidRDefault="006F07E9" w:rsidP="006F07E9">
      <w:pPr>
        <w:pStyle w:val="Prrafodelista"/>
        <w:tabs>
          <w:tab w:val="left" w:pos="426"/>
        </w:tabs>
        <w:spacing w:before="240" w:after="240" w:line="276" w:lineRule="auto"/>
        <w:ind w:left="567" w:right="567"/>
        <w:jc w:val="both"/>
        <w:rPr>
          <w:rFonts w:ascii="Palatino Linotype" w:hAnsi="Palatino Linotype"/>
          <w:i/>
          <w:iCs/>
          <w:sz w:val="22"/>
          <w:szCs w:val="22"/>
        </w:rPr>
      </w:pPr>
      <w:r w:rsidRPr="006F07E9">
        <w:rPr>
          <w:rFonts w:ascii="Palatino Linotype" w:hAnsi="Palatino Linotype"/>
          <w:b/>
          <w:bCs/>
          <w:i/>
          <w:iCs/>
          <w:sz w:val="22"/>
          <w:szCs w:val="22"/>
        </w:rPr>
        <w:t>XIII.</w:t>
      </w:r>
      <w:r w:rsidRPr="006F07E9">
        <w:rPr>
          <w:rFonts w:ascii="Palatino Linotype" w:hAnsi="Palatino Linotype"/>
          <w:i/>
          <w:iCs/>
          <w:sz w:val="22"/>
          <w:szCs w:val="22"/>
        </w:rPr>
        <w:t xml:space="preserve"> La falta, deficiencia o insuficiencia de la fundamentación y/o motivación en la respuesta; y </w:t>
      </w:r>
    </w:p>
    <w:p w14:paraId="31F31D89" w14:textId="2B4CB435" w:rsidR="006F07E9" w:rsidRPr="006F07E9" w:rsidRDefault="006F07E9" w:rsidP="006F07E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6F07E9">
        <w:rPr>
          <w:rFonts w:ascii="Palatino Linotype" w:hAnsi="Palatino Linotype"/>
          <w:b/>
          <w:bCs/>
          <w:i/>
          <w:iCs/>
          <w:sz w:val="22"/>
          <w:szCs w:val="22"/>
        </w:rPr>
        <w:t>XIV.</w:t>
      </w:r>
      <w:r w:rsidRPr="006F07E9">
        <w:rPr>
          <w:rFonts w:ascii="Palatino Linotype" w:hAnsi="Palatino Linotype"/>
          <w:i/>
          <w:iCs/>
          <w:sz w:val="22"/>
          <w:szCs w:val="22"/>
        </w:rPr>
        <w:t xml:space="preserve"> La orientación a un trámite específico.</w:t>
      </w:r>
      <w:r>
        <w:rPr>
          <w:rFonts w:ascii="Palatino Linotype" w:hAnsi="Palatino Linotype"/>
          <w:i/>
          <w:iCs/>
          <w:sz w:val="22"/>
          <w:szCs w:val="22"/>
        </w:rPr>
        <w:t>”</w:t>
      </w:r>
    </w:p>
    <w:p w14:paraId="3F183552" w14:textId="77777777" w:rsidR="006F07E9" w:rsidRDefault="006F07E9"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7847EC76" w14:textId="33D8FD23" w:rsidR="00DD3478" w:rsidRDefault="006F07E9"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tal manera que la impugnación que se realice contra las respuestas otorgadas por los Sujetos Obligados, derivadas del ejercicio del derecho tutelado por este Organismo Garante, procederán cuando se niegue el acceso a la información, se pretenda clasificar, se declare su inexistencia, </w:t>
      </w:r>
      <w:r w:rsidR="00AD5FE2">
        <w:rPr>
          <w:rFonts w:ascii="Palatino Linotype" w:hAnsi="Palatino Linotype"/>
          <w:color w:val="000000" w:themeColor="text1"/>
        </w:rPr>
        <w:t>se entregue incompleta, se entreguen documentos distintos a los solicitados, no sea comprensible o accesible, etcétera.</w:t>
      </w:r>
    </w:p>
    <w:p w14:paraId="74EDB2C1"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2CA4EEE7" w14:textId="1EA397DD" w:rsidR="002A633F" w:rsidRPr="00AD5FE2" w:rsidRDefault="00AD5FE2"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D5FE2">
        <w:rPr>
          <w:rFonts w:ascii="Palatino Linotype" w:hAnsi="Palatino Linotype"/>
          <w:color w:val="000000" w:themeColor="text1"/>
        </w:rPr>
        <w:t xml:space="preserve">Empero, dentro del artículo 179, previamente transcrito, </w:t>
      </w:r>
      <w:r w:rsidRPr="00AD5FE2">
        <w:rPr>
          <w:rFonts w:ascii="Palatino Linotype" w:hAnsi="Palatino Linotype"/>
          <w:b/>
          <w:bCs/>
          <w:color w:val="000000" w:themeColor="text1"/>
        </w:rPr>
        <w:t>no se reconoce la procedencia del recurso de revisión</w:t>
      </w:r>
      <w:r w:rsidRPr="00AD5FE2">
        <w:rPr>
          <w:rFonts w:ascii="Palatino Linotype" w:hAnsi="Palatino Linotype"/>
          <w:color w:val="000000" w:themeColor="text1"/>
        </w:rPr>
        <w:t xml:space="preserve"> </w:t>
      </w:r>
      <w:r w:rsidRPr="00AD5FE2">
        <w:rPr>
          <w:rFonts w:ascii="Palatino Linotype" w:hAnsi="Palatino Linotype"/>
        </w:rPr>
        <w:t>cuando los Sujetos Obligados</w:t>
      </w:r>
      <w:r>
        <w:rPr>
          <w:rFonts w:ascii="Palatino Linotype" w:hAnsi="Palatino Linotype"/>
        </w:rPr>
        <w:t xml:space="preserve"> omitan basar sus respuestas con base en el proceso establecido en la Ley de la materia, por lo que el agravio manifestado por el </w:t>
      </w:r>
      <w:r>
        <w:rPr>
          <w:rFonts w:ascii="Palatino Linotype" w:hAnsi="Palatino Linotype"/>
          <w:b/>
          <w:bCs/>
        </w:rPr>
        <w:t>RECURRENTE</w:t>
      </w:r>
      <w:r>
        <w:rPr>
          <w:rFonts w:ascii="Palatino Linotype" w:hAnsi="Palatino Linotype"/>
        </w:rPr>
        <w:t xml:space="preserve"> </w:t>
      </w:r>
      <w:r w:rsidR="00B07F23">
        <w:rPr>
          <w:rFonts w:ascii="Palatino Linotype" w:hAnsi="Palatino Linotype"/>
        </w:rPr>
        <w:t>debería</w:t>
      </w:r>
      <w:r>
        <w:rPr>
          <w:rFonts w:ascii="Palatino Linotype" w:hAnsi="Palatino Linotype"/>
        </w:rPr>
        <w:t xml:space="preserve"> ser determinado como </w:t>
      </w:r>
      <w:r>
        <w:rPr>
          <w:rFonts w:ascii="Palatino Linotype" w:hAnsi="Palatino Linotype"/>
          <w:b/>
          <w:bCs/>
        </w:rPr>
        <w:t>infundado</w:t>
      </w:r>
      <w:r w:rsidR="00B07F23">
        <w:rPr>
          <w:rFonts w:ascii="Palatino Linotype" w:hAnsi="Palatino Linotype"/>
        </w:rPr>
        <w:t xml:space="preserve">, al no señalar de manera específica el daño que le ocasiona la respuesta otorgada por el </w:t>
      </w:r>
      <w:r w:rsidR="00B07F23">
        <w:rPr>
          <w:rFonts w:ascii="Palatino Linotype" w:hAnsi="Palatino Linotype"/>
          <w:b/>
          <w:bCs/>
        </w:rPr>
        <w:t>SUJETO OBLIGADO</w:t>
      </w:r>
      <w:r w:rsidR="00B07F23">
        <w:rPr>
          <w:rFonts w:ascii="Palatino Linotype" w:hAnsi="Palatino Linotype"/>
        </w:rPr>
        <w:t xml:space="preserve"> a su solicitud de información.</w:t>
      </w:r>
    </w:p>
    <w:p w14:paraId="49610A73"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465D5A99" w14:textId="4C1E65A7" w:rsidR="002A633F" w:rsidRDefault="00AD5FE2"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No obstante lo anterior, y en un ejercicio de máxima publicidad llevado a cabo por el </w:t>
      </w:r>
      <w:r>
        <w:rPr>
          <w:rFonts w:ascii="Palatino Linotype" w:hAnsi="Palatino Linotype"/>
          <w:b/>
          <w:bCs/>
          <w:color w:val="000000" w:themeColor="text1"/>
        </w:rPr>
        <w:t>SUJETO OBLIGADO</w:t>
      </w:r>
      <w:r>
        <w:rPr>
          <w:rFonts w:ascii="Palatino Linotype" w:hAnsi="Palatino Linotype"/>
          <w:color w:val="000000" w:themeColor="text1"/>
        </w:rPr>
        <w:t>, en vía de informe justificado, modificó su respuesta inicial y presentó los nombramientos</w:t>
      </w:r>
      <w:r w:rsidR="00516D19">
        <w:rPr>
          <w:rFonts w:ascii="Palatino Linotype" w:hAnsi="Palatino Linotype"/>
          <w:color w:val="000000" w:themeColor="text1"/>
        </w:rPr>
        <w:t xml:space="preserve"> y designaciones faltantes</w:t>
      </w:r>
      <w:r>
        <w:rPr>
          <w:rFonts w:ascii="Palatino Linotype" w:hAnsi="Palatino Linotype"/>
          <w:color w:val="000000" w:themeColor="text1"/>
        </w:rPr>
        <w:t xml:space="preserve"> de los titulares de las áreas administrativas referidas en la solicitud primigenia</w:t>
      </w:r>
      <w:r w:rsidR="00516D19">
        <w:rPr>
          <w:rFonts w:ascii="Palatino Linotype" w:hAnsi="Palatino Linotype"/>
          <w:color w:val="000000" w:themeColor="text1"/>
        </w:rPr>
        <w:t>. Se adjuntan los siguientes fragmentos de los llamamientos de mérito para efectos referenciativos:</w:t>
      </w:r>
    </w:p>
    <w:p w14:paraId="728FF1F3" w14:textId="19C55F1F" w:rsidR="00466049" w:rsidRDefault="00466049" w:rsidP="00516D19">
      <w:pPr>
        <w:pStyle w:val="Prrafodelista"/>
        <w:tabs>
          <w:tab w:val="left" w:pos="426"/>
        </w:tabs>
        <w:spacing w:before="240" w:after="240" w:line="360" w:lineRule="auto"/>
        <w:ind w:left="0" w:right="51"/>
        <w:jc w:val="center"/>
      </w:pPr>
      <w:r>
        <w:object w:dxaOrig="9120" w:dyaOrig="4755" w14:anchorId="603EADF4">
          <v:shape id="_x0000_i1026" type="#_x0000_t75" style="width:351pt;height:182.2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3354477" r:id="rId11"/>
        </w:object>
      </w:r>
      <w:r w:rsidR="002008EC" w:rsidRPr="002008EC">
        <w:t xml:space="preserve"> </w:t>
      </w:r>
    </w:p>
    <w:p w14:paraId="5E44D0B7" w14:textId="00B7792C" w:rsidR="00466049" w:rsidRDefault="00466049" w:rsidP="00516D19">
      <w:pPr>
        <w:pStyle w:val="Prrafodelista"/>
        <w:tabs>
          <w:tab w:val="left" w:pos="426"/>
        </w:tabs>
        <w:spacing w:before="240" w:after="240" w:line="360" w:lineRule="auto"/>
        <w:ind w:left="0" w:right="51"/>
        <w:jc w:val="center"/>
      </w:pPr>
    </w:p>
    <w:p w14:paraId="566FD612" w14:textId="583D5C48" w:rsidR="00466049" w:rsidRDefault="00466049" w:rsidP="00516D19">
      <w:pPr>
        <w:pStyle w:val="Prrafodelista"/>
        <w:tabs>
          <w:tab w:val="left" w:pos="426"/>
        </w:tabs>
        <w:spacing w:before="240" w:after="240" w:line="360" w:lineRule="auto"/>
        <w:ind w:left="0" w:right="51"/>
        <w:jc w:val="center"/>
      </w:pPr>
      <w:r>
        <w:object w:dxaOrig="9630" w:dyaOrig="6105" w14:anchorId="6AADF67C">
          <v:shape id="_x0000_i1027" type="#_x0000_t75" style="width:348pt;height:220.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3354478" r:id="rId13"/>
        </w:object>
      </w:r>
    </w:p>
    <w:p w14:paraId="564C2998" w14:textId="77777777" w:rsidR="00466049" w:rsidRDefault="00466049" w:rsidP="00516D19">
      <w:pPr>
        <w:pStyle w:val="Prrafodelista"/>
        <w:tabs>
          <w:tab w:val="left" w:pos="426"/>
        </w:tabs>
        <w:spacing w:before="240" w:after="240" w:line="360" w:lineRule="auto"/>
        <w:ind w:left="0" w:right="51"/>
        <w:jc w:val="center"/>
      </w:pPr>
    </w:p>
    <w:p w14:paraId="590E091F" w14:textId="478AE66C" w:rsidR="00466049" w:rsidRDefault="002008EC" w:rsidP="00516D19">
      <w:pPr>
        <w:pStyle w:val="Prrafodelista"/>
        <w:tabs>
          <w:tab w:val="left" w:pos="426"/>
        </w:tabs>
        <w:spacing w:before="240" w:after="240" w:line="360" w:lineRule="auto"/>
        <w:ind w:left="0" w:right="51"/>
        <w:jc w:val="center"/>
      </w:pPr>
      <w:r w:rsidRPr="002008EC">
        <w:lastRenderedPageBreak/>
        <w:t xml:space="preserve"> </w:t>
      </w:r>
      <w:r w:rsidR="00466049">
        <w:object w:dxaOrig="9255" w:dyaOrig="5925" w14:anchorId="4CF2D27D">
          <v:shape id="_x0000_i1028" type="#_x0000_t75" style="width:380.25pt;height:243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3354479" r:id="rId15"/>
        </w:object>
      </w:r>
    </w:p>
    <w:p w14:paraId="36B69C52" w14:textId="77777777" w:rsidR="00466049" w:rsidRDefault="00466049" w:rsidP="00516D19">
      <w:pPr>
        <w:pStyle w:val="Prrafodelista"/>
        <w:tabs>
          <w:tab w:val="left" w:pos="426"/>
        </w:tabs>
        <w:spacing w:before="240" w:after="240" w:line="360" w:lineRule="auto"/>
        <w:ind w:left="0" w:right="51"/>
        <w:jc w:val="center"/>
      </w:pPr>
    </w:p>
    <w:p w14:paraId="0C1D6685" w14:textId="59C722B2" w:rsidR="00466049" w:rsidRDefault="002008EC" w:rsidP="00516D19">
      <w:pPr>
        <w:pStyle w:val="Prrafodelista"/>
        <w:tabs>
          <w:tab w:val="left" w:pos="426"/>
        </w:tabs>
        <w:spacing w:before="240" w:after="240" w:line="360" w:lineRule="auto"/>
        <w:ind w:left="0" w:right="51"/>
        <w:jc w:val="center"/>
      </w:pPr>
      <w:r w:rsidRPr="002008EC">
        <w:t xml:space="preserve"> </w:t>
      </w:r>
      <w:r w:rsidR="00466049">
        <w:object w:dxaOrig="9825" w:dyaOrig="5985" w14:anchorId="06BCAF38">
          <v:shape id="_x0000_i1029" type="#_x0000_t75" style="width:382.5pt;height:234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3354480" r:id="rId17"/>
        </w:object>
      </w:r>
      <w:r w:rsidRPr="002008EC">
        <w:t xml:space="preserve"> </w:t>
      </w:r>
    </w:p>
    <w:p w14:paraId="54D51529" w14:textId="77777777" w:rsidR="00466049" w:rsidRDefault="00466049" w:rsidP="00516D19">
      <w:pPr>
        <w:pStyle w:val="Prrafodelista"/>
        <w:tabs>
          <w:tab w:val="left" w:pos="426"/>
        </w:tabs>
        <w:spacing w:before="240" w:after="240" w:line="360" w:lineRule="auto"/>
        <w:ind w:left="0" w:right="51"/>
        <w:jc w:val="center"/>
      </w:pPr>
    </w:p>
    <w:p w14:paraId="22B0097E" w14:textId="1697BC86" w:rsidR="00466049" w:rsidRDefault="00466049" w:rsidP="00516D19">
      <w:pPr>
        <w:pStyle w:val="Prrafodelista"/>
        <w:tabs>
          <w:tab w:val="left" w:pos="426"/>
        </w:tabs>
        <w:spacing w:before="240" w:after="240" w:line="360" w:lineRule="auto"/>
        <w:ind w:left="0" w:right="51"/>
        <w:jc w:val="center"/>
      </w:pPr>
      <w:r>
        <w:object w:dxaOrig="7200" w:dyaOrig="4095" w14:anchorId="2047BF57">
          <v:shape id="_x0000_i1030" type="#_x0000_t75" style="width:380.25pt;height:216.7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3354481" r:id="rId19"/>
        </w:object>
      </w:r>
      <w:r w:rsidR="002008EC" w:rsidRPr="002008EC">
        <w:t xml:space="preserve"> </w:t>
      </w:r>
    </w:p>
    <w:p w14:paraId="56282623" w14:textId="77777777" w:rsidR="00466049" w:rsidRDefault="00466049" w:rsidP="00516D19">
      <w:pPr>
        <w:pStyle w:val="Prrafodelista"/>
        <w:tabs>
          <w:tab w:val="left" w:pos="426"/>
        </w:tabs>
        <w:spacing w:before="240" w:after="240" w:line="360" w:lineRule="auto"/>
        <w:ind w:left="0" w:right="51"/>
        <w:jc w:val="center"/>
      </w:pPr>
    </w:p>
    <w:p w14:paraId="5DB0B181" w14:textId="77777777" w:rsidR="00466049" w:rsidRDefault="00466049" w:rsidP="00516D19">
      <w:pPr>
        <w:pStyle w:val="Prrafodelista"/>
        <w:tabs>
          <w:tab w:val="left" w:pos="426"/>
        </w:tabs>
        <w:spacing w:before="240" w:after="240" w:line="360" w:lineRule="auto"/>
        <w:ind w:left="0" w:right="51"/>
        <w:jc w:val="center"/>
      </w:pPr>
      <w:r>
        <w:object w:dxaOrig="7140" w:dyaOrig="4080" w14:anchorId="3779D347">
          <v:shape id="_x0000_i1031" type="#_x0000_t75" style="width:380.25pt;height:217.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13354482" r:id="rId21"/>
        </w:object>
      </w:r>
      <w:r w:rsidR="002008EC" w:rsidRPr="002008EC">
        <w:t xml:space="preserve"> </w:t>
      </w:r>
    </w:p>
    <w:p w14:paraId="515334B0" w14:textId="77777777" w:rsidR="00466049" w:rsidRDefault="00466049" w:rsidP="00516D19">
      <w:pPr>
        <w:pStyle w:val="Prrafodelista"/>
        <w:tabs>
          <w:tab w:val="left" w:pos="426"/>
        </w:tabs>
        <w:spacing w:before="240" w:after="240" w:line="360" w:lineRule="auto"/>
        <w:ind w:left="0" w:right="51"/>
        <w:jc w:val="center"/>
      </w:pPr>
    </w:p>
    <w:p w14:paraId="134C8F9A" w14:textId="5D4BF52A" w:rsidR="00466049" w:rsidRDefault="00466049" w:rsidP="00516D19">
      <w:pPr>
        <w:pStyle w:val="Prrafodelista"/>
        <w:tabs>
          <w:tab w:val="left" w:pos="426"/>
        </w:tabs>
        <w:spacing w:before="240" w:after="240" w:line="360" w:lineRule="auto"/>
        <w:ind w:left="0" w:right="51"/>
        <w:jc w:val="center"/>
      </w:pPr>
      <w:r>
        <w:object w:dxaOrig="7050" w:dyaOrig="3945" w14:anchorId="7BE10BAE">
          <v:shape id="_x0000_i1032" type="#_x0000_t75" style="width:381.75pt;height:214.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aint.Picture" ShapeID="_x0000_i1032" DrawAspect="Content" ObjectID="_1713354483" r:id="rId23"/>
        </w:object>
      </w:r>
      <w:r w:rsidR="002008EC" w:rsidRPr="002008EC">
        <w:t xml:space="preserve"> </w:t>
      </w:r>
    </w:p>
    <w:p w14:paraId="46092E0A" w14:textId="77777777" w:rsidR="00466049" w:rsidRDefault="00466049" w:rsidP="00516D19">
      <w:pPr>
        <w:pStyle w:val="Prrafodelista"/>
        <w:tabs>
          <w:tab w:val="left" w:pos="426"/>
        </w:tabs>
        <w:spacing w:before="240" w:after="240" w:line="360" w:lineRule="auto"/>
        <w:ind w:left="0" w:right="51"/>
        <w:jc w:val="center"/>
      </w:pPr>
    </w:p>
    <w:p w14:paraId="30C19678" w14:textId="5668F359" w:rsidR="00516D19" w:rsidRDefault="002008EC" w:rsidP="00516D19">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7605" w:dyaOrig="4290" w14:anchorId="6569C325">
          <v:shape id="_x0000_i1033" type="#_x0000_t75" style="width:380.25pt;height:214.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aint.Picture" ShapeID="_x0000_i1033" DrawAspect="Content" ObjectID="_1713354484" r:id="rId25"/>
        </w:object>
      </w:r>
    </w:p>
    <w:p w14:paraId="25558A63" w14:textId="77777777" w:rsidR="00516D19" w:rsidRDefault="00516D19"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6B664AE6" w14:textId="49D00255" w:rsidR="00466049" w:rsidRDefault="00466049" w:rsidP="0046604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anterior </w:t>
      </w:r>
      <w:r w:rsidRPr="00794C2B">
        <w:rPr>
          <w:rFonts w:ascii="Palatino Linotype" w:hAnsi="Palatino Linotype"/>
          <w:color w:val="000000" w:themeColor="text1"/>
        </w:rPr>
        <w:t>y</w:t>
      </w:r>
      <w:r>
        <w:rPr>
          <w:rFonts w:ascii="Palatino Linotype" w:hAnsi="Palatino Linotype"/>
          <w:color w:val="000000" w:themeColor="text1"/>
        </w:rPr>
        <w:t>,</w:t>
      </w:r>
      <w:r w:rsidRPr="00794C2B">
        <w:rPr>
          <w:rFonts w:ascii="Palatino Linotype" w:hAnsi="Palatino Linotype"/>
          <w:color w:val="000000" w:themeColor="text1"/>
        </w:rPr>
        <w:t xml:space="preserve"> para mejor proveer, podemos </w:t>
      </w:r>
      <w:r w:rsidRPr="00794C2B">
        <w:rPr>
          <w:rFonts w:ascii="Palatino Linotype" w:hAnsi="Palatino Linotype"/>
          <w:color w:val="000000" w:themeColor="text1"/>
          <w:lang w:val="es-ES"/>
        </w:rPr>
        <w:t xml:space="preserve">elaborar un cuadro comparativo que refleje la relación entre los </w:t>
      </w:r>
      <w:r>
        <w:rPr>
          <w:rFonts w:ascii="Palatino Linotype" w:hAnsi="Palatino Linotype"/>
          <w:color w:val="000000" w:themeColor="text1"/>
          <w:lang w:val="es-ES"/>
        </w:rPr>
        <w:t xml:space="preserve">distintos </w:t>
      </w:r>
      <w:r w:rsidRPr="00794C2B">
        <w:rPr>
          <w:rFonts w:ascii="Palatino Linotype" w:hAnsi="Palatino Linotype"/>
          <w:color w:val="000000" w:themeColor="text1"/>
          <w:lang w:val="es-ES"/>
        </w:rPr>
        <w:t xml:space="preserve">puntos </w:t>
      </w:r>
      <w:r>
        <w:rPr>
          <w:rFonts w:ascii="Palatino Linotype" w:hAnsi="Palatino Linotype"/>
          <w:color w:val="000000" w:themeColor="text1"/>
          <w:lang w:val="es-ES"/>
        </w:rPr>
        <w:t>establecidos</w:t>
      </w:r>
      <w:r w:rsidRPr="00794C2B">
        <w:rPr>
          <w:rFonts w:ascii="Palatino Linotype" w:hAnsi="Palatino Linotype"/>
          <w:color w:val="000000" w:themeColor="text1"/>
          <w:lang w:val="es-ES"/>
        </w:rPr>
        <w:t xml:space="preserve"> en la solicitud con la información entregada en la respuesta</w:t>
      </w:r>
      <w:r>
        <w:rPr>
          <w:rFonts w:ascii="Palatino Linotype" w:hAnsi="Palatino Linotype"/>
          <w:color w:val="000000" w:themeColor="text1"/>
          <w:lang w:val="es-ES"/>
        </w:rPr>
        <w:t xml:space="preserve"> y posterior informe justificado</w:t>
      </w:r>
      <w:r w:rsidRPr="00794C2B">
        <w:rPr>
          <w:rFonts w:ascii="Palatino Linotype" w:hAnsi="Palatino Linotype"/>
          <w:color w:val="000000" w:themeColor="text1"/>
          <w:lang w:val="es-ES"/>
        </w:rPr>
        <w:t xml:space="preserve"> del </w:t>
      </w:r>
      <w:r>
        <w:rPr>
          <w:rFonts w:ascii="Palatino Linotype" w:hAnsi="Palatino Linotype"/>
          <w:color w:val="000000" w:themeColor="text1"/>
          <w:lang w:val="es-ES"/>
        </w:rPr>
        <w:t xml:space="preserve">Sistema </w:t>
      </w:r>
      <w:r>
        <w:rPr>
          <w:rFonts w:ascii="Palatino Linotype" w:hAnsi="Palatino Linotype"/>
          <w:color w:val="000000" w:themeColor="text1"/>
          <w:lang w:val="es-ES"/>
        </w:rPr>
        <w:lastRenderedPageBreak/>
        <w:t>Municipal para el Desarrollo Integral de la Familia de Ixtlahuaca</w:t>
      </w:r>
      <w:r w:rsidRPr="00794C2B">
        <w:rPr>
          <w:rFonts w:ascii="Palatino Linotype" w:hAnsi="Palatino Linotype"/>
          <w:color w:val="000000" w:themeColor="text1"/>
          <w:vertAlign w:val="superscript"/>
          <w:lang w:val="es-ES"/>
        </w:rPr>
        <w:footnoteReference w:id="7"/>
      </w:r>
      <w:r w:rsidRPr="00794C2B">
        <w:rPr>
          <w:rFonts w:ascii="Palatino Linotype" w:hAnsi="Palatino Linotype"/>
          <w:color w:val="000000" w:themeColor="text1"/>
          <w:lang w:val="es-ES"/>
        </w:rPr>
        <w:t>, mismo que se inserta a continuación:</w:t>
      </w:r>
    </w:p>
    <w:p w14:paraId="34FAB003" w14:textId="4BF65A4F" w:rsidR="002A633F" w:rsidRDefault="002A633F" w:rsidP="00466049">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699"/>
        <w:gridCol w:w="1516"/>
        <w:gridCol w:w="2025"/>
        <w:gridCol w:w="2530"/>
        <w:gridCol w:w="1058"/>
      </w:tblGrid>
      <w:tr w:rsidR="000C7651" w:rsidRPr="000C7651" w14:paraId="3DBF8E65" w14:textId="77777777" w:rsidTr="00A050D8">
        <w:tc>
          <w:tcPr>
            <w:tcW w:w="3215" w:type="dxa"/>
            <w:gridSpan w:val="2"/>
          </w:tcPr>
          <w:p w14:paraId="2F6E8CBC" w14:textId="307A181D" w:rsidR="000C7651" w:rsidRPr="000C7651" w:rsidRDefault="000C7651" w:rsidP="000C7651">
            <w:pPr>
              <w:pStyle w:val="Prrafodelista"/>
              <w:tabs>
                <w:tab w:val="left" w:pos="426"/>
              </w:tabs>
              <w:ind w:left="0" w:right="51"/>
              <w:jc w:val="center"/>
              <w:rPr>
                <w:rFonts w:ascii="Palatino Linotype" w:hAnsi="Palatino Linotype"/>
                <w:b/>
                <w:bCs/>
                <w:color w:val="000000" w:themeColor="text1"/>
                <w:sz w:val="20"/>
                <w:szCs w:val="20"/>
              </w:rPr>
            </w:pPr>
            <w:r>
              <w:rPr>
                <w:rFonts w:ascii="Palatino Linotype" w:hAnsi="Palatino Linotype"/>
                <w:b/>
                <w:bCs/>
                <w:color w:val="000000" w:themeColor="text1"/>
                <w:sz w:val="20"/>
                <w:szCs w:val="20"/>
              </w:rPr>
              <w:t>SOLICITUD</w:t>
            </w:r>
          </w:p>
        </w:tc>
        <w:tc>
          <w:tcPr>
            <w:tcW w:w="2025" w:type="dxa"/>
          </w:tcPr>
          <w:p w14:paraId="3F19C49D" w14:textId="6C6D7914" w:rsidR="000C7651" w:rsidRPr="000C7651" w:rsidRDefault="000C7651" w:rsidP="000C7651">
            <w:pPr>
              <w:pStyle w:val="Prrafodelista"/>
              <w:tabs>
                <w:tab w:val="left" w:pos="426"/>
              </w:tabs>
              <w:ind w:left="0" w:right="51"/>
              <w:jc w:val="center"/>
              <w:rPr>
                <w:rFonts w:ascii="Palatino Linotype" w:hAnsi="Palatino Linotype"/>
                <w:b/>
                <w:bCs/>
                <w:color w:val="000000" w:themeColor="text1"/>
                <w:sz w:val="20"/>
                <w:szCs w:val="20"/>
              </w:rPr>
            </w:pPr>
            <w:r>
              <w:rPr>
                <w:rFonts w:ascii="Palatino Linotype" w:hAnsi="Palatino Linotype"/>
                <w:b/>
                <w:bCs/>
                <w:color w:val="000000" w:themeColor="text1"/>
                <w:sz w:val="20"/>
                <w:szCs w:val="20"/>
              </w:rPr>
              <w:t>RESPUESTA</w:t>
            </w:r>
          </w:p>
        </w:tc>
        <w:tc>
          <w:tcPr>
            <w:tcW w:w="2530" w:type="dxa"/>
          </w:tcPr>
          <w:p w14:paraId="5A989D57" w14:textId="0C831E50" w:rsidR="000C7651" w:rsidRPr="000C7651" w:rsidRDefault="000C7651" w:rsidP="000C7651">
            <w:pPr>
              <w:pStyle w:val="Prrafodelista"/>
              <w:tabs>
                <w:tab w:val="left" w:pos="426"/>
              </w:tabs>
              <w:ind w:left="0" w:right="51"/>
              <w:jc w:val="center"/>
              <w:rPr>
                <w:rFonts w:ascii="Palatino Linotype" w:hAnsi="Palatino Linotype"/>
                <w:b/>
                <w:bCs/>
                <w:color w:val="000000" w:themeColor="text1"/>
                <w:sz w:val="20"/>
                <w:szCs w:val="20"/>
              </w:rPr>
            </w:pPr>
            <w:r>
              <w:rPr>
                <w:rFonts w:ascii="Palatino Linotype" w:hAnsi="Palatino Linotype"/>
                <w:b/>
                <w:bCs/>
                <w:color w:val="000000" w:themeColor="text1"/>
                <w:sz w:val="20"/>
                <w:szCs w:val="20"/>
              </w:rPr>
              <w:t>INFORME</w:t>
            </w:r>
          </w:p>
        </w:tc>
        <w:tc>
          <w:tcPr>
            <w:tcW w:w="1058" w:type="dxa"/>
          </w:tcPr>
          <w:p w14:paraId="2BD8F86F" w14:textId="74AE187A" w:rsidR="000C7651" w:rsidRPr="000C7651" w:rsidRDefault="000C7651" w:rsidP="000C7651">
            <w:pPr>
              <w:pStyle w:val="Prrafodelista"/>
              <w:tabs>
                <w:tab w:val="left" w:pos="426"/>
              </w:tabs>
              <w:ind w:left="0" w:right="51"/>
              <w:jc w:val="center"/>
              <w:rPr>
                <w:rFonts w:ascii="Palatino Linotype" w:hAnsi="Palatino Linotype"/>
                <w:b/>
                <w:bCs/>
                <w:color w:val="000000" w:themeColor="text1"/>
                <w:sz w:val="20"/>
                <w:szCs w:val="20"/>
              </w:rPr>
            </w:pPr>
            <w:r>
              <w:rPr>
                <w:rFonts w:ascii="Palatino Linotype" w:hAnsi="Palatino Linotype"/>
                <w:b/>
                <w:bCs/>
                <w:color w:val="000000" w:themeColor="text1"/>
                <w:sz w:val="20"/>
                <w:szCs w:val="20"/>
              </w:rPr>
              <w:t>COLMA</w:t>
            </w:r>
          </w:p>
        </w:tc>
      </w:tr>
      <w:tr w:rsidR="000C7651" w:rsidRPr="000C7651" w14:paraId="36C53E58" w14:textId="77777777" w:rsidTr="00B07F23">
        <w:tc>
          <w:tcPr>
            <w:tcW w:w="1699" w:type="dxa"/>
            <w:vMerge w:val="restart"/>
            <w:vAlign w:val="center"/>
          </w:tcPr>
          <w:p w14:paraId="78C68AE2" w14:textId="2F53DE79" w:rsidR="000C7651" w:rsidRPr="000C7651" w:rsidRDefault="000C7651" w:rsidP="000C765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Nombre y nombramiento de los titulares de las siguientes áreas administrativas:</w:t>
            </w:r>
          </w:p>
        </w:tc>
        <w:tc>
          <w:tcPr>
            <w:tcW w:w="1516" w:type="dxa"/>
            <w:vAlign w:val="center"/>
          </w:tcPr>
          <w:p w14:paraId="73CB0A44" w14:textId="685DF507" w:rsidR="000C7651" w:rsidRPr="000C7651" w:rsidRDefault="000C7651"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Jurídico</w:t>
            </w:r>
          </w:p>
        </w:tc>
        <w:tc>
          <w:tcPr>
            <w:tcW w:w="2025" w:type="dxa"/>
            <w:vAlign w:val="center"/>
          </w:tcPr>
          <w:p w14:paraId="4F55D0CF" w14:textId="1272F155" w:rsidR="000C7651" w:rsidRPr="000C7651" w:rsidRDefault="000C7651"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Se informó que el </w:t>
            </w:r>
            <w:r>
              <w:rPr>
                <w:rFonts w:ascii="Palatino Linotype" w:hAnsi="Palatino Linotype"/>
                <w:b/>
                <w:bCs/>
                <w:color w:val="000000" w:themeColor="text1"/>
                <w:sz w:val="20"/>
                <w:szCs w:val="20"/>
              </w:rPr>
              <w:t>SUJETO OBLIGADO</w:t>
            </w:r>
            <w:r>
              <w:rPr>
                <w:rFonts w:ascii="Palatino Linotype" w:hAnsi="Palatino Linotype"/>
                <w:color w:val="000000" w:themeColor="text1"/>
                <w:sz w:val="20"/>
                <w:szCs w:val="20"/>
              </w:rPr>
              <w:t xml:space="preserve"> no cuenta con un área jurídica, al ser representados directamente por el Ayuntamiento</w:t>
            </w:r>
            <w:r w:rsidR="00A050D8">
              <w:rPr>
                <w:rFonts w:ascii="Palatino Linotype" w:hAnsi="Palatino Linotype"/>
                <w:color w:val="000000" w:themeColor="text1"/>
                <w:sz w:val="20"/>
                <w:szCs w:val="20"/>
              </w:rPr>
              <w:t>.</w:t>
            </w:r>
          </w:p>
        </w:tc>
        <w:tc>
          <w:tcPr>
            <w:tcW w:w="2530" w:type="dxa"/>
            <w:vAlign w:val="center"/>
          </w:tcPr>
          <w:p w14:paraId="2A3863A7" w14:textId="22049ED6" w:rsidR="000C7651"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1058" w:type="dxa"/>
            <w:vAlign w:val="center"/>
          </w:tcPr>
          <w:p w14:paraId="5053B7F6" w14:textId="189D516C" w:rsidR="000C7651" w:rsidRPr="00B07F23" w:rsidRDefault="00B07F23" w:rsidP="00B07F23">
            <w:pPr>
              <w:pStyle w:val="Prrafodelista"/>
              <w:tabs>
                <w:tab w:val="left" w:pos="426"/>
              </w:tabs>
              <w:ind w:left="0" w:right="51"/>
              <w:jc w:val="center"/>
              <w:rPr>
                <w:rFonts w:ascii="Palatino Linotype" w:hAnsi="Palatino Linotype"/>
                <w:b/>
                <w:bCs/>
                <w:color w:val="000000" w:themeColor="text1"/>
                <w:sz w:val="20"/>
                <w:szCs w:val="20"/>
              </w:rPr>
            </w:pPr>
            <w:r w:rsidRPr="00B07F23">
              <w:rPr>
                <w:rFonts w:ascii="Palatino Linotype" w:hAnsi="Palatino Linotype"/>
                <w:b/>
                <w:bCs/>
                <w:color w:val="000000" w:themeColor="text1"/>
                <w:sz w:val="20"/>
                <w:szCs w:val="20"/>
              </w:rPr>
              <w:t>SÍ</w:t>
            </w:r>
          </w:p>
        </w:tc>
      </w:tr>
      <w:tr w:rsidR="00B07F23" w:rsidRPr="000C7651" w14:paraId="728D7850" w14:textId="77777777" w:rsidTr="00B07F23">
        <w:tc>
          <w:tcPr>
            <w:tcW w:w="1699" w:type="dxa"/>
            <w:vMerge/>
          </w:tcPr>
          <w:p w14:paraId="47F597FA"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33D41BC7" w14:textId="3935C6E0"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Unidad de Información, Planeación, Programación y Evaluación</w:t>
            </w:r>
          </w:p>
        </w:tc>
        <w:tc>
          <w:tcPr>
            <w:tcW w:w="2025" w:type="dxa"/>
            <w:vAlign w:val="center"/>
          </w:tcPr>
          <w:p w14:paraId="76A00B3D" w14:textId="58EA423B"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6B3A5F7B" w14:textId="32CB6E08" w:rsidR="00B07F23" w:rsidRPr="000C7651"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Informó que su nombramiento estaba en proceso.</w:t>
            </w:r>
          </w:p>
        </w:tc>
        <w:tc>
          <w:tcPr>
            <w:tcW w:w="2530" w:type="dxa"/>
            <w:vAlign w:val="center"/>
          </w:tcPr>
          <w:p w14:paraId="396DE8BF" w14:textId="34B960DC" w:rsidR="00B07F23" w:rsidRPr="00A050D8"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nombramiento expedido en favor del </w:t>
            </w:r>
            <w:r>
              <w:rPr>
                <w:rFonts w:ascii="Palatino Linotype" w:hAnsi="Palatino Linotype"/>
                <w:i/>
                <w:iCs/>
                <w:color w:val="000000" w:themeColor="text1"/>
                <w:sz w:val="20"/>
                <w:szCs w:val="20"/>
              </w:rPr>
              <w:t>Lic. Juan Javier Becerril García</w:t>
            </w:r>
            <w:r>
              <w:rPr>
                <w:rFonts w:ascii="Palatino Linotype" w:hAnsi="Palatino Linotype"/>
                <w:color w:val="000000" w:themeColor="text1"/>
                <w:sz w:val="20"/>
                <w:szCs w:val="20"/>
              </w:rPr>
              <w:t xml:space="preserve"> como Titular de la Unidad de Información, Planeación, Programación y Evaluación</w:t>
            </w:r>
          </w:p>
        </w:tc>
        <w:tc>
          <w:tcPr>
            <w:tcW w:w="1058" w:type="dxa"/>
            <w:vAlign w:val="center"/>
          </w:tcPr>
          <w:p w14:paraId="4886B2FD" w14:textId="44314ECE"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1A9D6D25" w14:textId="77777777" w:rsidTr="00B07F23">
        <w:tc>
          <w:tcPr>
            <w:tcW w:w="1699" w:type="dxa"/>
            <w:vMerge/>
          </w:tcPr>
          <w:p w14:paraId="384D7E30"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0FEECB49" w14:textId="13A9D869"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Contraloría</w:t>
            </w:r>
          </w:p>
        </w:tc>
        <w:tc>
          <w:tcPr>
            <w:tcW w:w="2025" w:type="dxa"/>
            <w:vAlign w:val="center"/>
          </w:tcPr>
          <w:p w14:paraId="2619B8B0"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56F96CCF" w14:textId="43CF08C9"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Informó que su nombramiento estaba en proceso.</w:t>
            </w:r>
          </w:p>
        </w:tc>
        <w:tc>
          <w:tcPr>
            <w:tcW w:w="2530" w:type="dxa"/>
            <w:vAlign w:val="center"/>
          </w:tcPr>
          <w:p w14:paraId="39D0315E" w14:textId="37E401BB" w:rsidR="00B07F23" w:rsidRPr="00A050D8"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nombramiento expedido en favor de la </w:t>
            </w:r>
            <w:r>
              <w:rPr>
                <w:rFonts w:ascii="Palatino Linotype" w:hAnsi="Palatino Linotype"/>
                <w:i/>
                <w:iCs/>
                <w:color w:val="000000" w:themeColor="text1"/>
                <w:sz w:val="20"/>
                <w:szCs w:val="20"/>
              </w:rPr>
              <w:t>Lic. María de los Ángeles López Ramírez</w:t>
            </w:r>
            <w:r>
              <w:rPr>
                <w:rFonts w:ascii="Palatino Linotype" w:hAnsi="Palatino Linotype"/>
                <w:color w:val="000000" w:themeColor="text1"/>
                <w:sz w:val="20"/>
                <w:szCs w:val="20"/>
              </w:rPr>
              <w:t xml:space="preserve"> como Titular de la Contraloría</w:t>
            </w:r>
          </w:p>
        </w:tc>
        <w:tc>
          <w:tcPr>
            <w:tcW w:w="1058" w:type="dxa"/>
            <w:vAlign w:val="center"/>
          </w:tcPr>
          <w:p w14:paraId="0302B9C5" w14:textId="32A91C2A"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4C41BB90" w14:textId="77777777" w:rsidTr="00B07F23">
        <w:tc>
          <w:tcPr>
            <w:tcW w:w="1699" w:type="dxa"/>
            <w:vMerge/>
          </w:tcPr>
          <w:p w14:paraId="2470EF39"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1B9632D4" w14:textId="14E0FF1C"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Desayunos Fríos</w:t>
            </w:r>
          </w:p>
        </w:tc>
        <w:tc>
          <w:tcPr>
            <w:tcW w:w="2025" w:type="dxa"/>
            <w:vAlign w:val="center"/>
          </w:tcPr>
          <w:p w14:paraId="7586CEC0"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6C28AFAD" w14:textId="1C3E05D8"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Informó que no se le generaba nombramiento.</w:t>
            </w:r>
          </w:p>
        </w:tc>
        <w:tc>
          <w:tcPr>
            <w:tcW w:w="2530" w:type="dxa"/>
            <w:vAlign w:val="center"/>
          </w:tcPr>
          <w:p w14:paraId="6FE876AE" w14:textId="127F37F9"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oficio de designación en favor de la </w:t>
            </w:r>
            <w:r>
              <w:rPr>
                <w:rFonts w:ascii="Palatino Linotype" w:hAnsi="Palatino Linotype"/>
                <w:i/>
                <w:iCs/>
                <w:color w:val="000000" w:themeColor="text1"/>
                <w:sz w:val="20"/>
                <w:szCs w:val="20"/>
              </w:rPr>
              <w:t>L.N. Luisa González Puebla</w:t>
            </w:r>
            <w:r>
              <w:rPr>
                <w:rFonts w:ascii="Palatino Linotype" w:hAnsi="Palatino Linotype"/>
                <w:color w:val="000000" w:themeColor="text1"/>
                <w:sz w:val="20"/>
                <w:szCs w:val="20"/>
              </w:rPr>
              <w:t xml:space="preserve"> como Promotora de Desayunos Fríos</w:t>
            </w:r>
          </w:p>
        </w:tc>
        <w:tc>
          <w:tcPr>
            <w:tcW w:w="1058" w:type="dxa"/>
            <w:vAlign w:val="center"/>
          </w:tcPr>
          <w:p w14:paraId="441DF4B6" w14:textId="1CAA3D3E"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4062F616" w14:textId="77777777" w:rsidTr="00B07F23">
        <w:tc>
          <w:tcPr>
            <w:tcW w:w="1699" w:type="dxa"/>
            <w:vMerge/>
          </w:tcPr>
          <w:p w14:paraId="10C56E2A"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011FF57D" w14:textId="72EC5DDF"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Desayunos Calientes</w:t>
            </w:r>
          </w:p>
        </w:tc>
        <w:tc>
          <w:tcPr>
            <w:tcW w:w="2025" w:type="dxa"/>
            <w:vAlign w:val="center"/>
          </w:tcPr>
          <w:p w14:paraId="1165CF0E"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421960AD" w14:textId="7831740D"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lastRenderedPageBreak/>
              <w:t>Informó que no se le generaba nombramiento.</w:t>
            </w:r>
          </w:p>
        </w:tc>
        <w:tc>
          <w:tcPr>
            <w:tcW w:w="2530" w:type="dxa"/>
            <w:vAlign w:val="center"/>
          </w:tcPr>
          <w:p w14:paraId="629EA364" w14:textId="4BD2A6E2" w:rsidR="00B07F23" w:rsidRPr="00A050D8"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lastRenderedPageBreak/>
              <w:t xml:space="preserve">Entregó el oficio de designación en favor del </w:t>
            </w:r>
            <w:r>
              <w:rPr>
                <w:rFonts w:ascii="Palatino Linotype" w:hAnsi="Palatino Linotype"/>
                <w:i/>
                <w:iCs/>
                <w:color w:val="000000" w:themeColor="text1"/>
                <w:sz w:val="20"/>
                <w:szCs w:val="20"/>
              </w:rPr>
              <w:t>P.L.A. Edgar Jesús Barrientos Nieto</w:t>
            </w:r>
            <w:r>
              <w:rPr>
                <w:rFonts w:ascii="Palatino Linotype" w:hAnsi="Palatino Linotype"/>
                <w:color w:val="000000" w:themeColor="text1"/>
                <w:sz w:val="20"/>
                <w:szCs w:val="20"/>
              </w:rPr>
              <w:t xml:space="preserve"> como </w:t>
            </w:r>
            <w:r>
              <w:rPr>
                <w:rFonts w:ascii="Palatino Linotype" w:hAnsi="Palatino Linotype"/>
                <w:color w:val="000000" w:themeColor="text1"/>
                <w:sz w:val="20"/>
                <w:szCs w:val="20"/>
              </w:rPr>
              <w:lastRenderedPageBreak/>
              <w:t>Promotor de Desayunos Calientes</w:t>
            </w:r>
          </w:p>
        </w:tc>
        <w:tc>
          <w:tcPr>
            <w:tcW w:w="1058" w:type="dxa"/>
            <w:vAlign w:val="center"/>
          </w:tcPr>
          <w:p w14:paraId="7AEF10C3" w14:textId="49FC4006"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lastRenderedPageBreak/>
              <w:t>SÍ</w:t>
            </w:r>
          </w:p>
        </w:tc>
      </w:tr>
      <w:tr w:rsidR="00B07F23" w:rsidRPr="000C7651" w14:paraId="3F1FE2F2" w14:textId="77777777" w:rsidTr="00B07F23">
        <w:tc>
          <w:tcPr>
            <w:tcW w:w="1699" w:type="dxa"/>
            <w:vMerge/>
          </w:tcPr>
          <w:p w14:paraId="2F877D8A"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7BE7DEE9" w14:textId="46CDC881"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Tesorería</w:t>
            </w:r>
          </w:p>
        </w:tc>
        <w:tc>
          <w:tcPr>
            <w:tcW w:w="2025" w:type="dxa"/>
            <w:vAlign w:val="center"/>
          </w:tcPr>
          <w:p w14:paraId="645976D2"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095F914D" w14:textId="72FEAAC0"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Anexó el nombramiento expedido en favor de la </w:t>
            </w:r>
            <w:r>
              <w:rPr>
                <w:rFonts w:ascii="Palatino Linotype" w:hAnsi="Palatino Linotype"/>
                <w:i/>
                <w:iCs/>
                <w:color w:val="000000" w:themeColor="text1"/>
                <w:sz w:val="20"/>
                <w:szCs w:val="20"/>
              </w:rPr>
              <w:t>P.L.C. Marisol Sánchez Alcántara</w:t>
            </w:r>
            <w:r>
              <w:rPr>
                <w:rFonts w:ascii="Palatino Linotype" w:hAnsi="Palatino Linotype"/>
                <w:color w:val="000000" w:themeColor="text1"/>
                <w:sz w:val="20"/>
                <w:szCs w:val="20"/>
              </w:rPr>
              <w:t xml:space="preserve"> como Tesorera.</w:t>
            </w:r>
          </w:p>
        </w:tc>
        <w:tc>
          <w:tcPr>
            <w:tcW w:w="2530" w:type="dxa"/>
            <w:vAlign w:val="center"/>
          </w:tcPr>
          <w:p w14:paraId="3255E5CE" w14:textId="264E484B"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Nuevamente entregó el nombramiento expedido en favor de la </w:t>
            </w:r>
            <w:r>
              <w:rPr>
                <w:rFonts w:ascii="Palatino Linotype" w:hAnsi="Palatino Linotype"/>
                <w:i/>
                <w:iCs/>
                <w:color w:val="000000" w:themeColor="text1"/>
                <w:sz w:val="20"/>
                <w:szCs w:val="20"/>
              </w:rPr>
              <w:t>P.L.C. Marisol Sánchez Alcántara</w:t>
            </w:r>
            <w:r>
              <w:rPr>
                <w:rFonts w:ascii="Palatino Linotype" w:hAnsi="Palatino Linotype"/>
                <w:color w:val="000000" w:themeColor="text1"/>
                <w:sz w:val="20"/>
                <w:szCs w:val="20"/>
              </w:rPr>
              <w:t xml:space="preserve"> como Tesorera.</w:t>
            </w:r>
          </w:p>
        </w:tc>
        <w:tc>
          <w:tcPr>
            <w:tcW w:w="1058" w:type="dxa"/>
            <w:vAlign w:val="center"/>
          </w:tcPr>
          <w:p w14:paraId="245DD778" w14:textId="6D311179"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1C5F9749" w14:textId="77777777" w:rsidTr="00B07F23">
        <w:tc>
          <w:tcPr>
            <w:tcW w:w="1699" w:type="dxa"/>
            <w:vMerge/>
          </w:tcPr>
          <w:p w14:paraId="45523B46"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7EB8D2B4" w14:textId="7A74D16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Adulto Mayor</w:t>
            </w:r>
          </w:p>
        </w:tc>
        <w:tc>
          <w:tcPr>
            <w:tcW w:w="2025" w:type="dxa"/>
            <w:vAlign w:val="center"/>
          </w:tcPr>
          <w:p w14:paraId="65D298AB"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13784146" w14:textId="4401128D"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Informó que no se le generaba nombramiento.</w:t>
            </w:r>
          </w:p>
        </w:tc>
        <w:tc>
          <w:tcPr>
            <w:tcW w:w="2530" w:type="dxa"/>
            <w:vAlign w:val="center"/>
          </w:tcPr>
          <w:p w14:paraId="076CD3E7" w14:textId="26F20211" w:rsidR="00B07F23" w:rsidRPr="00A050D8"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nombramiento expedido en favor de la </w:t>
            </w:r>
            <w:r>
              <w:rPr>
                <w:rFonts w:ascii="Palatino Linotype" w:hAnsi="Palatino Linotype"/>
                <w:i/>
                <w:iCs/>
                <w:color w:val="000000" w:themeColor="text1"/>
                <w:sz w:val="20"/>
                <w:szCs w:val="20"/>
              </w:rPr>
              <w:t>C. Esmeralda Sámano Sánchez</w:t>
            </w:r>
            <w:r>
              <w:rPr>
                <w:rFonts w:ascii="Palatino Linotype" w:hAnsi="Palatino Linotype"/>
                <w:color w:val="000000" w:themeColor="text1"/>
                <w:sz w:val="20"/>
                <w:szCs w:val="20"/>
              </w:rPr>
              <w:t xml:space="preserve"> como Coordinadora de Adulto Mayor y Representante del INPAM</w:t>
            </w:r>
          </w:p>
        </w:tc>
        <w:tc>
          <w:tcPr>
            <w:tcW w:w="1058" w:type="dxa"/>
            <w:vAlign w:val="center"/>
          </w:tcPr>
          <w:p w14:paraId="750A049B" w14:textId="0E78535C"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058E53E8" w14:textId="77777777" w:rsidTr="00B07F23">
        <w:tc>
          <w:tcPr>
            <w:tcW w:w="1699" w:type="dxa"/>
            <w:vMerge/>
          </w:tcPr>
          <w:p w14:paraId="37D7A081"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663538D2" w14:textId="560A8F9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HORTADIF</w:t>
            </w:r>
          </w:p>
        </w:tc>
        <w:tc>
          <w:tcPr>
            <w:tcW w:w="2025" w:type="dxa"/>
            <w:vAlign w:val="center"/>
          </w:tcPr>
          <w:p w14:paraId="22D1C6D4" w14:textId="2CB52AA5" w:rsidR="00B07F23" w:rsidRPr="00B16576" w:rsidRDefault="00B07F23" w:rsidP="00B07F23">
            <w:pPr>
              <w:pStyle w:val="Prrafodelista"/>
              <w:tabs>
                <w:tab w:val="left" w:pos="426"/>
              </w:tabs>
              <w:ind w:left="0" w:right="51"/>
              <w:jc w:val="center"/>
              <w:rPr>
                <w:rFonts w:ascii="Palatino Linotype" w:hAnsi="Palatino Linotype"/>
                <w:b/>
                <w:bCs/>
                <w:color w:val="000000" w:themeColor="text1"/>
                <w:sz w:val="20"/>
                <w:szCs w:val="20"/>
              </w:rPr>
            </w:pPr>
            <w:r>
              <w:rPr>
                <w:rFonts w:ascii="Palatino Linotype" w:hAnsi="Palatino Linotype"/>
                <w:color w:val="000000" w:themeColor="text1"/>
                <w:sz w:val="20"/>
                <w:szCs w:val="20"/>
              </w:rPr>
              <w:t>Manifestó que aún estaba en proceso de designación.</w:t>
            </w:r>
          </w:p>
        </w:tc>
        <w:tc>
          <w:tcPr>
            <w:tcW w:w="2530" w:type="dxa"/>
            <w:vAlign w:val="center"/>
          </w:tcPr>
          <w:p w14:paraId="64C57420" w14:textId="6E0CFFD6" w:rsidR="00B07F23" w:rsidRPr="00A050D8"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oficio de designación en favor del </w:t>
            </w:r>
            <w:r>
              <w:rPr>
                <w:rFonts w:ascii="Palatino Linotype" w:hAnsi="Palatino Linotype"/>
                <w:i/>
                <w:iCs/>
                <w:color w:val="000000" w:themeColor="text1"/>
                <w:sz w:val="20"/>
                <w:szCs w:val="20"/>
              </w:rPr>
              <w:t>Ing. Agrónomo Israel González Cuamba</w:t>
            </w:r>
            <w:r>
              <w:rPr>
                <w:rFonts w:ascii="Palatino Linotype" w:hAnsi="Palatino Linotype"/>
                <w:color w:val="000000" w:themeColor="text1"/>
                <w:sz w:val="20"/>
                <w:szCs w:val="20"/>
              </w:rPr>
              <w:t xml:space="preserve"> como Promotor del Programa HORTADIF</w:t>
            </w:r>
          </w:p>
        </w:tc>
        <w:tc>
          <w:tcPr>
            <w:tcW w:w="1058" w:type="dxa"/>
            <w:vAlign w:val="center"/>
          </w:tcPr>
          <w:p w14:paraId="0604E9E9" w14:textId="3922A266"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r w:rsidR="00B07F23" w:rsidRPr="000C7651" w14:paraId="3F410AE6" w14:textId="77777777" w:rsidTr="00B07F23">
        <w:tc>
          <w:tcPr>
            <w:tcW w:w="1699" w:type="dxa"/>
            <w:vMerge/>
          </w:tcPr>
          <w:p w14:paraId="1283E8E0" w14:textId="7777777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p>
        </w:tc>
        <w:tc>
          <w:tcPr>
            <w:tcW w:w="1516" w:type="dxa"/>
            <w:vAlign w:val="center"/>
          </w:tcPr>
          <w:p w14:paraId="69898EB9" w14:textId="78A2EC65"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Psicología</w:t>
            </w:r>
          </w:p>
        </w:tc>
        <w:tc>
          <w:tcPr>
            <w:tcW w:w="2025" w:type="dxa"/>
            <w:vAlign w:val="center"/>
          </w:tcPr>
          <w:p w14:paraId="0719C959" w14:textId="77777777" w:rsidR="00B07F23" w:rsidRDefault="00B07F23" w:rsidP="00B07F23">
            <w:pPr>
              <w:pStyle w:val="Prrafodelista"/>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Refirió el nombre del titular del área administrativa.</w:t>
            </w:r>
          </w:p>
          <w:p w14:paraId="5D3535A2" w14:textId="2B505607"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Informó que no se le generaba nombramiento.</w:t>
            </w:r>
          </w:p>
        </w:tc>
        <w:tc>
          <w:tcPr>
            <w:tcW w:w="2530" w:type="dxa"/>
            <w:vAlign w:val="center"/>
          </w:tcPr>
          <w:p w14:paraId="5D576D4E" w14:textId="239A3339" w:rsidR="00B07F23" w:rsidRPr="00B07F23" w:rsidRDefault="00B07F23" w:rsidP="00B07F23">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 xml:space="preserve">Entregó el oficio de designación en favor de la </w:t>
            </w:r>
            <w:r>
              <w:rPr>
                <w:rFonts w:ascii="Palatino Linotype" w:hAnsi="Palatino Linotype"/>
                <w:i/>
                <w:iCs/>
                <w:color w:val="000000" w:themeColor="text1"/>
                <w:sz w:val="20"/>
                <w:szCs w:val="20"/>
              </w:rPr>
              <w:t>L. Psic. María Cristina Jiménez Antonio</w:t>
            </w:r>
            <w:r>
              <w:rPr>
                <w:rFonts w:ascii="Palatino Linotype" w:hAnsi="Palatino Linotype"/>
                <w:color w:val="000000" w:themeColor="text1"/>
                <w:sz w:val="20"/>
                <w:szCs w:val="20"/>
              </w:rPr>
              <w:t xml:space="preserve"> al área de Psicología.</w:t>
            </w:r>
          </w:p>
        </w:tc>
        <w:tc>
          <w:tcPr>
            <w:tcW w:w="1058" w:type="dxa"/>
            <w:vAlign w:val="center"/>
          </w:tcPr>
          <w:p w14:paraId="7E0920EC" w14:textId="00BD02D1" w:rsidR="00B07F23" w:rsidRPr="000C7651" w:rsidRDefault="00B07F23" w:rsidP="00B07F23">
            <w:pPr>
              <w:pStyle w:val="Prrafodelista"/>
              <w:tabs>
                <w:tab w:val="left" w:pos="426"/>
              </w:tabs>
              <w:ind w:left="0" w:right="51"/>
              <w:jc w:val="center"/>
              <w:rPr>
                <w:rFonts w:ascii="Palatino Linotype" w:hAnsi="Palatino Linotype"/>
                <w:color w:val="000000" w:themeColor="text1"/>
                <w:sz w:val="20"/>
                <w:szCs w:val="20"/>
              </w:rPr>
            </w:pPr>
            <w:r w:rsidRPr="001D7571">
              <w:rPr>
                <w:rFonts w:ascii="Palatino Linotype" w:hAnsi="Palatino Linotype"/>
                <w:b/>
                <w:bCs/>
                <w:color w:val="000000" w:themeColor="text1"/>
                <w:sz w:val="20"/>
                <w:szCs w:val="20"/>
              </w:rPr>
              <w:t>SÍ</w:t>
            </w:r>
          </w:p>
        </w:tc>
      </w:tr>
    </w:tbl>
    <w:p w14:paraId="21556634"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D6D07D6" w14:textId="0D8C4FD7" w:rsidR="002A633F" w:rsidRDefault="00B07F23"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el </w:t>
      </w:r>
      <w:r>
        <w:rPr>
          <w:rFonts w:ascii="Palatino Linotype" w:hAnsi="Palatino Linotype"/>
          <w:b/>
          <w:bCs/>
          <w:color w:val="000000" w:themeColor="text1"/>
        </w:rPr>
        <w:t>SUJETO OBLIGADO</w:t>
      </w:r>
      <w:r>
        <w:rPr>
          <w:rFonts w:ascii="Palatino Linotype" w:hAnsi="Palatino Linotype"/>
          <w:color w:val="000000" w:themeColor="text1"/>
        </w:rPr>
        <w:t xml:space="preserve"> perfeccionó su respuesta original a través de su informe justificado, por medio del cual, entregó los nombramientos de todos los titulares de las áreas administrativas requeridas por el </w:t>
      </w:r>
      <w:r>
        <w:rPr>
          <w:rFonts w:ascii="Palatino Linotype" w:hAnsi="Palatino Linotype"/>
          <w:b/>
          <w:bCs/>
          <w:color w:val="000000" w:themeColor="text1"/>
        </w:rPr>
        <w:t>RECURRENTE</w:t>
      </w:r>
      <w:r>
        <w:rPr>
          <w:rFonts w:ascii="Palatino Linotype" w:hAnsi="Palatino Linotype"/>
          <w:color w:val="000000" w:themeColor="text1"/>
        </w:rPr>
        <w:t xml:space="preserve"> mediante su solicitud de información </w:t>
      </w:r>
      <w:r>
        <w:rPr>
          <w:rFonts w:ascii="Palatino Linotype" w:hAnsi="Palatino Linotype"/>
          <w:b/>
          <w:bCs/>
          <w:color w:val="000000" w:themeColor="text1"/>
        </w:rPr>
        <w:lastRenderedPageBreak/>
        <w:t>00004/DIFIXTLAHU/IP/2022</w:t>
      </w:r>
      <w:r>
        <w:rPr>
          <w:rFonts w:ascii="Palatino Linotype" w:hAnsi="Palatino Linotype"/>
          <w:color w:val="000000" w:themeColor="text1"/>
        </w:rPr>
        <w:t xml:space="preserve">, </w:t>
      </w:r>
      <w:r w:rsidR="00560018">
        <w:rPr>
          <w:rFonts w:ascii="Palatino Linotype" w:hAnsi="Palatino Linotype"/>
          <w:color w:val="000000" w:themeColor="text1"/>
        </w:rPr>
        <w:t>colmándose así su derecho de acceso a la información.</w:t>
      </w:r>
    </w:p>
    <w:p w14:paraId="5389AB0C" w14:textId="77777777" w:rsidR="002A633F"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636376A7" w14:textId="3B52B518" w:rsidR="00614DC5" w:rsidRPr="00560018" w:rsidRDefault="00560018"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60018">
        <w:rPr>
          <w:rFonts w:ascii="Palatino Linotype" w:hAnsi="Palatino Linotype"/>
          <w:color w:val="000000" w:themeColor="text1"/>
        </w:rPr>
        <w:t>Luego entonces, conviene señalar que</w:t>
      </w:r>
      <w:r w:rsidR="00B741AA" w:rsidRPr="00560018">
        <w:rPr>
          <w:rFonts w:ascii="Palatino Linotype" w:hAnsi="Palatino Linotype"/>
          <w:color w:val="000000" w:themeColor="text1"/>
        </w:rPr>
        <w:t xml:space="preserve"> </w:t>
      </w:r>
      <w:r w:rsidR="00B741AA" w:rsidRPr="00560018">
        <w:rPr>
          <w:rFonts w:ascii="Palatino Linotype" w:eastAsia="MS Mincho" w:hAnsi="Palatino Linotype" w:cs="Times New Roman"/>
          <w:color w:val="000000"/>
        </w:rPr>
        <w:t xml:space="preserve">el </w:t>
      </w:r>
      <w:r w:rsidRPr="00560018">
        <w:rPr>
          <w:rFonts w:ascii="Palatino Linotype" w:eastAsia="MS Mincho" w:hAnsi="Palatino Linotype" w:cs="Times New Roman"/>
          <w:color w:val="000000"/>
        </w:rPr>
        <w:t>artículo</w:t>
      </w:r>
      <w:r w:rsidR="00B741AA" w:rsidRPr="00560018">
        <w:rPr>
          <w:rFonts w:ascii="Palatino Linotype" w:eastAsia="MS Mincho" w:hAnsi="Palatino Linotype" w:cs="Times New Roman"/>
          <w:color w:val="000000"/>
        </w:rPr>
        <w:t xml:space="preserve"> 192</w:t>
      </w:r>
      <w:r w:rsidR="00B741AA" w:rsidRPr="00560018">
        <w:rPr>
          <w:rFonts w:ascii="Palatino Linotype" w:hAnsi="Palatino Linotype"/>
        </w:rPr>
        <w:t xml:space="preserve"> </w:t>
      </w:r>
      <w:r w:rsidRPr="00560018">
        <w:rPr>
          <w:rFonts w:ascii="Palatino Linotype" w:hAnsi="Palatino Linotype"/>
        </w:rPr>
        <w:t xml:space="preserve">de la </w:t>
      </w:r>
      <w:r w:rsidR="00B741AA" w:rsidRPr="00560018">
        <w:rPr>
          <w:rFonts w:ascii="Palatino Linotype" w:eastAsia="MS Mincho" w:hAnsi="Palatino Linotype" w:cs="Times New Roman"/>
          <w:color w:val="000000"/>
        </w:rPr>
        <w:t>Ley de Transparencia y Acceso a la Información Pública del Estado de México y Municipios, establece lo siguiente:</w:t>
      </w:r>
    </w:p>
    <w:p w14:paraId="53061086" w14:textId="77777777" w:rsidR="00B741AA" w:rsidRDefault="00B741AA" w:rsidP="00B741AA">
      <w:pPr>
        <w:pStyle w:val="Prrafodelista"/>
        <w:tabs>
          <w:tab w:val="left" w:pos="426"/>
        </w:tabs>
        <w:spacing w:before="240" w:after="240" w:line="360" w:lineRule="auto"/>
        <w:ind w:left="0" w:right="51"/>
        <w:jc w:val="both"/>
        <w:rPr>
          <w:rFonts w:ascii="Palatino Linotype" w:hAnsi="Palatino Linotype"/>
          <w:color w:val="000000" w:themeColor="text1"/>
        </w:rPr>
      </w:pPr>
    </w:p>
    <w:p w14:paraId="4AA2D707" w14:textId="5FF9E64C" w:rsidR="00B741AA" w:rsidRPr="00B741AA"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B741AA">
        <w:rPr>
          <w:rFonts w:ascii="Palatino Linotype" w:hAnsi="Palatino Linotype"/>
          <w:i/>
          <w:sz w:val="22"/>
        </w:rPr>
        <w:t>“</w:t>
      </w:r>
      <w:r w:rsidRPr="00B741AA">
        <w:rPr>
          <w:rFonts w:ascii="Palatino Linotype" w:hAnsi="Palatino Linotype"/>
          <w:b/>
          <w:i/>
          <w:sz w:val="22"/>
        </w:rPr>
        <w:t>Artículo 192.</w:t>
      </w:r>
      <w:r w:rsidRPr="00B741AA">
        <w:rPr>
          <w:rFonts w:ascii="Palatino Linotype" w:hAnsi="Palatino Linotype"/>
          <w:i/>
          <w:sz w:val="22"/>
        </w:rPr>
        <w:t xml:space="preserve"> El recurso será sobreseído, en todo o en parte, cuando una vez admitido, se actualicen alguno de los siguientes supuestos:</w:t>
      </w:r>
    </w:p>
    <w:p w14:paraId="7A1B363A" w14:textId="64A52893" w:rsidR="00B741AA" w:rsidRPr="00B741AA"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B741AA">
        <w:rPr>
          <w:rFonts w:ascii="Palatino Linotype" w:hAnsi="Palatino Linotype"/>
          <w:i/>
          <w:sz w:val="22"/>
        </w:rPr>
        <w:t>(…)</w:t>
      </w:r>
    </w:p>
    <w:p w14:paraId="2F128DF5" w14:textId="142F6043" w:rsidR="00B741AA" w:rsidRPr="00B741AA"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B741AA">
        <w:rPr>
          <w:rFonts w:ascii="Palatino Linotype" w:hAnsi="Palatino Linotype"/>
          <w:b/>
          <w:i/>
          <w:sz w:val="22"/>
        </w:rPr>
        <w:t>III.</w:t>
      </w:r>
      <w:r w:rsidRPr="00B741AA">
        <w:rPr>
          <w:rFonts w:ascii="Palatino Linotype" w:hAnsi="Palatino Linotype"/>
          <w:i/>
          <w:sz w:val="22"/>
        </w:rPr>
        <w:t xml:space="preserve"> El sujeto obligado responsable del acto lo modifique o revoque de tal manera que el recurso de revisión quede sin materia;</w:t>
      </w:r>
    </w:p>
    <w:p w14:paraId="788CA90D" w14:textId="56BCE269" w:rsidR="00B741AA" w:rsidRPr="00B741AA" w:rsidRDefault="00B741AA" w:rsidP="00B741A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741AA">
        <w:rPr>
          <w:rFonts w:ascii="Palatino Linotype" w:hAnsi="Palatino Linotype"/>
          <w:i/>
          <w:sz w:val="22"/>
        </w:rPr>
        <w:t>(…)”</w:t>
      </w:r>
    </w:p>
    <w:p w14:paraId="641FF5C4" w14:textId="77777777" w:rsidR="00B741AA" w:rsidRDefault="00B741AA" w:rsidP="00B741AA">
      <w:pPr>
        <w:pStyle w:val="Prrafodelista"/>
        <w:tabs>
          <w:tab w:val="left" w:pos="426"/>
        </w:tabs>
        <w:spacing w:before="240" w:after="240" w:line="360" w:lineRule="auto"/>
        <w:ind w:left="0" w:right="51"/>
        <w:jc w:val="both"/>
        <w:rPr>
          <w:rFonts w:ascii="Palatino Linotype" w:hAnsi="Palatino Linotype"/>
          <w:color w:val="000000" w:themeColor="text1"/>
        </w:rPr>
      </w:pPr>
    </w:p>
    <w:p w14:paraId="5D2E4099" w14:textId="6EFA3714" w:rsidR="00B741AA" w:rsidRPr="00E15E31"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Precisado </w:t>
      </w:r>
      <w:r>
        <w:rPr>
          <w:rFonts w:ascii="Palatino Linotype" w:hAnsi="Palatino Linotype"/>
          <w:lang w:eastAsia="en-US"/>
        </w:rPr>
        <w:t xml:space="preserve">lo anterior, </w:t>
      </w:r>
      <w:r>
        <w:rPr>
          <w:rFonts w:ascii="Palatino Linotype" w:eastAsia="Batang" w:hAnsi="Palatino Linotype" w:cs="Arial"/>
        </w:rPr>
        <w:t xml:space="preserve">por lo que hace a las causas de sobreseimiento contenidas en </w:t>
      </w:r>
      <w:r>
        <w:rPr>
          <w:rFonts w:ascii="Palatino Linotype" w:hAnsi="Palatino Linotype" w:cs="Arial"/>
        </w:rPr>
        <w:t xml:space="preserve">la fracción III del artículo 192 </w:t>
      </w:r>
      <w:r>
        <w:rPr>
          <w:rFonts w:ascii="Palatino Linotype" w:eastAsia="Batang" w:hAnsi="Palatino Linotype" w:cs="Arial"/>
        </w:rPr>
        <w:t xml:space="preserve">de la </w:t>
      </w:r>
      <w:r>
        <w:rPr>
          <w:rFonts w:ascii="Palatino Linotype" w:eastAsia="Batang" w:hAnsi="Palatino Linotype" w:cs="Arial"/>
          <w:b/>
        </w:rPr>
        <w:t>Ley de Transparencia y Acceso a la Información Pública del Estado de México y Municipios</w:t>
      </w:r>
      <w:r>
        <w:rPr>
          <w:rFonts w:ascii="Palatino Linotype" w:eastAsia="Batang" w:hAnsi="Palatino Linotype" w:cs="Arial"/>
        </w:rPr>
        <w:t xml:space="preserve">, es oportuno señalar que estos requisitos privilegian la existencia de elementos de fondo, tales como el desistimiento o fallecimiento del </w:t>
      </w:r>
      <w:r>
        <w:rPr>
          <w:rFonts w:ascii="Palatino Linotype" w:eastAsia="Batang" w:hAnsi="Palatino Linotype" w:cs="Arial"/>
          <w:b/>
        </w:rPr>
        <w:t>RECURRENTE</w:t>
      </w:r>
      <w:r w:rsidR="00560018">
        <w:rPr>
          <w:rFonts w:ascii="Palatino Linotype" w:eastAsia="Batang" w:hAnsi="Palatino Linotype" w:cs="Arial"/>
          <w:b/>
        </w:rPr>
        <w:t>,</w:t>
      </w:r>
      <w:r>
        <w:rPr>
          <w:rFonts w:ascii="Palatino Linotype" w:eastAsia="Batang" w:hAnsi="Palatino Linotype" w:cs="Arial"/>
        </w:rPr>
        <w:t xml:space="preserve"> o que el </w:t>
      </w:r>
      <w:r>
        <w:rPr>
          <w:rFonts w:ascii="Palatino Linotype" w:eastAsia="Batang" w:hAnsi="Palatino Linotype" w:cs="Arial"/>
          <w:b/>
        </w:rPr>
        <w:t>SUJETO OBLIGADO</w:t>
      </w:r>
      <w:r>
        <w:rPr>
          <w:rFonts w:ascii="Palatino Linotype" w:eastAsia="Batang" w:hAnsi="Palatino Linotype" w:cs="Arial"/>
        </w:rPr>
        <w:t xml:space="preserve"> </w:t>
      </w:r>
      <w:r>
        <w:rPr>
          <w:rFonts w:ascii="Palatino Linotype" w:eastAsia="Batang" w:hAnsi="Palatino Linotype" w:cs="Arial"/>
          <w:b/>
          <w:u w:val="single"/>
        </w:rPr>
        <w:t>modifique o revoque el acto</w:t>
      </w:r>
      <w:r>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06DBB13" w14:textId="77777777" w:rsidR="00E15E31" w:rsidRPr="00E15E31" w:rsidRDefault="00E15E31" w:rsidP="00E15E31">
      <w:pPr>
        <w:pStyle w:val="Prrafodelista"/>
        <w:tabs>
          <w:tab w:val="left" w:pos="426"/>
        </w:tabs>
        <w:spacing w:before="240" w:after="240" w:line="360" w:lineRule="auto"/>
        <w:ind w:left="0" w:right="51"/>
        <w:jc w:val="both"/>
        <w:rPr>
          <w:rFonts w:ascii="Palatino Linotype" w:hAnsi="Palatino Linotype"/>
          <w:color w:val="000000" w:themeColor="text1"/>
        </w:rPr>
      </w:pPr>
    </w:p>
    <w:p w14:paraId="5BC6F2FC" w14:textId="46828347" w:rsidR="00E15E31" w:rsidRPr="00E15E31"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rPr>
        <w:t xml:space="preserve">Por </w:t>
      </w:r>
      <w:r>
        <w:rPr>
          <w:rFonts w:ascii="Palatino Linotype" w:eastAsia="Batang" w:hAnsi="Palatino Linotype" w:cs="Arial"/>
          <w:lang w:val="es-ES"/>
        </w:rPr>
        <w:t xml:space="preserve">otra parte, la doctrina establece que el sobreseimiento provoca que un procedimiento se suspenda o se resuelva en definitiva sin que se entre al estudio de los agravios o motivos de inconformidad. Este mismo criterio es compartido por el </w:t>
      </w:r>
      <w:r>
        <w:rPr>
          <w:rFonts w:ascii="Palatino Linotype" w:eastAsia="Batang" w:hAnsi="Palatino Linotype" w:cs="Arial"/>
          <w:lang w:val="es-ES"/>
        </w:rPr>
        <w:lastRenderedPageBreak/>
        <w:t>más alto tribunal del país en múltiples jurisprudencias, por lo que a continuación se agrega una de ellas que sirve como orientador en esta resolución:</w:t>
      </w:r>
    </w:p>
    <w:p w14:paraId="21864AAC" w14:textId="77777777" w:rsidR="00E15E31" w:rsidRDefault="00E15E31" w:rsidP="00E15E31">
      <w:pPr>
        <w:pStyle w:val="Prrafodelista"/>
        <w:tabs>
          <w:tab w:val="left" w:pos="426"/>
        </w:tabs>
        <w:spacing w:before="240" w:after="240" w:line="360" w:lineRule="auto"/>
        <w:ind w:left="0" w:right="51"/>
        <w:jc w:val="both"/>
        <w:rPr>
          <w:rFonts w:ascii="Palatino Linotype" w:eastAsia="Batang" w:hAnsi="Palatino Linotype" w:cs="Arial"/>
          <w:lang w:val="es-ES"/>
        </w:rPr>
      </w:pPr>
    </w:p>
    <w:p w14:paraId="31A5D752" w14:textId="101FE08C" w:rsidR="00E15E31" w:rsidRDefault="00E15E31" w:rsidP="00E15E31">
      <w:pPr>
        <w:pStyle w:val="Prrafodelista"/>
        <w:autoSpaceDE w:val="0"/>
        <w:autoSpaceDN w:val="0"/>
        <w:adjustRightInd w:val="0"/>
        <w:spacing w:before="240" w:after="240" w:line="276" w:lineRule="auto"/>
        <w:ind w:right="616"/>
        <w:jc w:val="both"/>
        <w:rPr>
          <w:rFonts w:ascii="Palatino Linotype" w:eastAsia="Batang" w:hAnsi="Palatino Linotype" w:cs="Arial"/>
          <w:iCs/>
          <w:sz w:val="22"/>
          <w:lang w:val="es-AR"/>
        </w:rPr>
      </w:pPr>
      <w:r w:rsidRPr="007F550D">
        <w:rPr>
          <w:rFonts w:ascii="Palatino Linotype" w:eastAsia="Batang" w:hAnsi="Palatino Linotype" w:cs="Arial"/>
          <w:b/>
          <w:i/>
          <w:sz w:val="22"/>
          <w:lang w:val="es-AR"/>
        </w:rPr>
        <w:t>SOBRESEIMIENTO EN EL JUICIO DE AMPARO DIRECTO. IMPIDE EL ESTUDIO DE LAS VIOLACIONES PROCESALES PLANTEADAS EN LOS CONCEPTOS DE VIOLACIÓN.</w:t>
      </w:r>
      <w:r>
        <w:rPr>
          <w:rFonts w:ascii="Palatino Linotype" w:eastAsia="Batang" w:hAnsi="Palatino Linotype" w:cs="Arial"/>
          <w:b/>
          <w:i/>
          <w:sz w:val="22"/>
          <w:lang w:val="es-AR"/>
        </w:rPr>
        <w:t xml:space="preserve"> “</w:t>
      </w:r>
      <w:r w:rsidRPr="007F550D">
        <w:rPr>
          <w:rFonts w:ascii="Palatino Linotype" w:eastAsia="Batang" w:hAnsi="Palatino Linotype" w:cs="Arial"/>
          <w:b/>
          <w:i/>
          <w:sz w:val="22"/>
          <w:lang w:val="es-AR"/>
        </w:rPr>
        <w:t>El sobreseimiento</w:t>
      </w:r>
      <w:r w:rsidRPr="007F550D">
        <w:rPr>
          <w:rFonts w:ascii="Palatino Linotype" w:eastAsia="Batang" w:hAnsi="Palatino Linotype" w:cs="Arial"/>
          <w:i/>
          <w:sz w:val="22"/>
          <w:lang w:val="es-AR"/>
        </w:rPr>
        <w:t xml:space="preserve"> en el juicio de amparo directo </w:t>
      </w:r>
      <w:r w:rsidRPr="007F550D">
        <w:rPr>
          <w:rFonts w:ascii="Palatino Linotype" w:eastAsia="Batang" w:hAnsi="Palatino Linotype" w:cs="Arial"/>
          <w:b/>
          <w:i/>
          <w:sz w:val="22"/>
          <w:lang w:val="es-AR"/>
        </w:rPr>
        <w:t>provoca la terminación de la controversia planteada</w:t>
      </w:r>
      <w:r w:rsidRPr="007F550D">
        <w:rPr>
          <w:rFonts w:ascii="Palatino Linotype" w:eastAsia="Batang" w:hAnsi="Palatino Linotype" w:cs="Arial"/>
          <w:i/>
          <w:sz w:val="22"/>
          <w:lang w:val="es-AR"/>
        </w:rPr>
        <w:t xml:space="preserve"> por el quejoso en la demanda de amparo</w:t>
      </w:r>
      <w:r w:rsidRPr="007F550D">
        <w:rPr>
          <w:rFonts w:ascii="Palatino Linotype" w:eastAsia="Batang" w:hAnsi="Palatino Linotype" w:cs="Arial"/>
          <w:b/>
          <w:i/>
          <w:sz w:val="22"/>
          <w:lang w:val="es-AR"/>
        </w:rPr>
        <w:t>, sin hacer un pronunciamiento de fondo sobre la legalidad o ilegalidad de la sentencia reclamada</w:t>
      </w:r>
      <w:r w:rsidRPr="007F550D">
        <w:rPr>
          <w:rFonts w:ascii="Palatino Linotype" w:eastAsia="Batang" w:hAnsi="Palatino Linotype" w:cs="Arial"/>
          <w:i/>
          <w:sz w:val="22"/>
          <w:lang w:val="es-AR"/>
        </w:rPr>
        <w:t xml:space="preserve">. </w:t>
      </w:r>
      <w:r w:rsidRPr="007F550D">
        <w:rPr>
          <w:rFonts w:ascii="Palatino Linotype" w:eastAsia="Batang" w:hAnsi="Palatino Linotype" w:cs="Arial"/>
          <w:b/>
          <w:i/>
          <w:sz w:val="22"/>
          <w:lang w:val="es-AR"/>
        </w:rPr>
        <w:t xml:space="preserve">Por consiguiente, si al sobreseerse en el juicio de amparo </w:t>
      </w:r>
      <w:r w:rsidRPr="007F550D">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F550D">
        <w:rPr>
          <w:rFonts w:ascii="Palatino Linotype" w:eastAsia="Batang" w:hAnsi="Palatino Linotype" w:cs="Arial"/>
          <w:i/>
          <w:sz w:val="22"/>
          <w:lang w:val="es-AR"/>
        </w:rPr>
        <w:t>.</w:t>
      </w:r>
      <w:r>
        <w:rPr>
          <w:rFonts w:ascii="Palatino Linotype" w:eastAsia="Batang" w:hAnsi="Palatino Linotype" w:cs="Arial"/>
          <w:i/>
          <w:sz w:val="22"/>
          <w:lang w:val="es-AR"/>
        </w:rPr>
        <w:t>”</w:t>
      </w:r>
    </w:p>
    <w:p w14:paraId="31F60C17" w14:textId="1E244D4E" w:rsidR="00560018" w:rsidRPr="00560018" w:rsidRDefault="00560018" w:rsidP="00E15E31">
      <w:pPr>
        <w:pStyle w:val="Prrafodelista"/>
        <w:autoSpaceDE w:val="0"/>
        <w:autoSpaceDN w:val="0"/>
        <w:adjustRightInd w:val="0"/>
        <w:spacing w:before="240" w:after="240" w:line="276" w:lineRule="auto"/>
        <w:ind w:right="616"/>
        <w:jc w:val="both"/>
        <w:rPr>
          <w:rFonts w:ascii="Palatino Linotype" w:eastAsia="Batang" w:hAnsi="Palatino Linotype" w:cs="Arial"/>
          <w:iCs/>
          <w:sz w:val="22"/>
          <w:lang w:val="es-AR"/>
        </w:rPr>
      </w:pPr>
      <w:r>
        <w:rPr>
          <w:rFonts w:ascii="Palatino Linotype" w:eastAsia="Batang" w:hAnsi="Palatino Linotype" w:cs="Arial"/>
          <w:iCs/>
          <w:sz w:val="22"/>
          <w:lang w:val="es-AR"/>
        </w:rPr>
        <w:t>(Énfasis añadido)</w:t>
      </w:r>
    </w:p>
    <w:p w14:paraId="5EFC7274" w14:textId="77777777" w:rsidR="00E15E31" w:rsidRPr="00E15E31" w:rsidRDefault="00E15E31" w:rsidP="00E15E31">
      <w:pPr>
        <w:pStyle w:val="Prrafodelista"/>
        <w:tabs>
          <w:tab w:val="left" w:pos="426"/>
        </w:tabs>
        <w:spacing w:before="240" w:after="240" w:line="360" w:lineRule="auto"/>
        <w:ind w:left="0" w:right="51"/>
        <w:jc w:val="both"/>
        <w:rPr>
          <w:rFonts w:ascii="Palatino Linotype" w:hAnsi="Palatino Linotype"/>
          <w:color w:val="000000" w:themeColor="text1"/>
        </w:rPr>
      </w:pPr>
    </w:p>
    <w:p w14:paraId="17F321D2" w14:textId="2CF021E5" w:rsidR="00E15E31" w:rsidRPr="005F130C"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Pr>
          <w:rFonts w:ascii="Palatino Linotype" w:eastAsia="Batang" w:hAnsi="Palatino Linotype" w:cs="Arial"/>
          <w:b/>
          <w:lang w:val="es-ES"/>
        </w:rPr>
        <w:t xml:space="preserve">192 </w:t>
      </w:r>
      <w:r>
        <w:rPr>
          <w:rFonts w:ascii="Palatino Linotype" w:eastAsia="Batang" w:hAnsi="Palatino Linotype" w:cs="Arial"/>
          <w:lang w:val="es-ES"/>
        </w:rPr>
        <w:t xml:space="preserve">de la </w:t>
      </w:r>
      <w:r>
        <w:rPr>
          <w:rFonts w:ascii="Palatino Linotype" w:eastAsia="Batang" w:hAnsi="Palatino Linotype" w:cs="Arial"/>
          <w:b/>
          <w:lang w:val="es-ES"/>
        </w:rPr>
        <w:t>Ley de Transparencia y Acceso a la Información Pública del Estado de México y Municipios</w:t>
      </w:r>
      <w:r>
        <w:rPr>
          <w:rFonts w:ascii="Palatino Linotype" w:eastAsia="Batang" w:hAnsi="Palatino Linotype" w:cs="Arial"/>
          <w:lang w:val="es-ES"/>
        </w:rPr>
        <w:t xml:space="preserve">, nos encontramos ante un sobreseimiento definitivo toda vez que pone fin al procedimiento sin entrar al estudio de fondo </w:t>
      </w:r>
      <w:r w:rsidR="00560018">
        <w:rPr>
          <w:rFonts w:ascii="Palatino Linotype" w:eastAsia="Batang" w:hAnsi="Palatino Linotype" w:cs="Arial"/>
          <w:lang w:val="es-ES"/>
        </w:rPr>
        <w:t>de éste</w:t>
      </w:r>
      <w:r>
        <w:rPr>
          <w:rFonts w:ascii="Palatino Linotype" w:eastAsia="Batang" w:hAnsi="Palatino Linotype" w:cs="Arial"/>
          <w:lang w:val="es-ES"/>
        </w:rPr>
        <w:t>.</w:t>
      </w:r>
    </w:p>
    <w:p w14:paraId="7521AFC5"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605EE32D" w14:textId="112A4609" w:rsidR="005F130C" w:rsidRPr="00E65552"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Para </w:t>
      </w:r>
      <w:r>
        <w:rPr>
          <w:rFonts w:ascii="Palatino Linotype" w:eastAsia="Calibri" w:hAnsi="Palatino Linotype" w:cs="Arial"/>
          <w:lang w:val="es-ES"/>
        </w:rPr>
        <w:t xml:space="preserve">los efectos de esta resolución, es oportuno precisar los alcances jurídicos de la </w:t>
      </w:r>
      <w:r>
        <w:rPr>
          <w:rFonts w:ascii="Palatino Linotype" w:eastAsia="Calibri" w:hAnsi="Palatino Linotype" w:cs="Arial"/>
          <w:b/>
          <w:lang w:val="es-ES"/>
        </w:rPr>
        <w:t>fracción III</w:t>
      </w:r>
      <w:r>
        <w:rPr>
          <w:rFonts w:ascii="Palatino Linotype" w:eastAsia="Calibri" w:hAnsi="Palatino Linotype" w:cs="Arial"/>
          <w:lang w:val="es-ES"/>
        </w:rPr>
        <w:t xml:space="preserve"> de la disposición legal transcrita. Así, procede el sobreseimiento del recurso de revisión cuando el </w:t>
      </w:r>
      <w:r>
        <w:rPr>
          <w:rFonts w:ascii="Palatino Linotype" w:eastAsia="Calibri" w:hAnsi="Palatino Linotype" w:cs="Arial"/>
          <w:b/>
          <w:lang w:val="es-ES"/>
        </w:rPr>
        <w:t>SUJETO OBLIGADO</w:t>
      </w:r>
      <w:r>
        <w:rPr>
          <w:rFonts w:ascii="Palatino Linotype" w:eastAsia="Calibri" w:hAnsi="Palatino Linotype" w:cs="Arial"/>
          <w:lang w:val="es-ES"/>
        </w:rPr>
        <w:t>:</w:t>
      </w:r>
    </w:p>
    <w:p w14:paraId="552C27BA" w14:textId="77777777" w:rsidR="00E65552" w:rsidRPr="00E65552" w:rsidRDefault="00E65552" w:rsidP="00E65552">
      <w:pPr>
        <w:pStyle w:val="Prrafodelista"/>
        <w:rPr>
          <w:rFonts w:ascii="Palatino Linotype" w:hAnsi="Palatino Linotype"/>
          <w:color w:val="000000" w:themeColor="text1"/>
        </w:rPr>
      </w:pPr>
    </w:p>
    <w:p w14:paraId="7F75618C" w14:textId="77777777" w:rsidR="00E65552" w:rsidRPr="005F130C" w:rsidRDefault="00E65552" w:rsidP="00E65552">
      <w:pPr>
        <w:pStyle w:val="Prrafodelista"/>
        <w:tabs>
          <w:tab w:val="left" w:pos="426"/>
        </w:tabs>
        <w:spacing w:before="240" w:after="240" w:line="360" w:lineRule="auto"/>
        <w:ind w:left="0" w:right="51"/>
        <w:jc w:val="both"/>
        <w:rPr>
          <w:rFonts w:ascii="Palatino Linotype" w:hAnsi="Palatino Linotype"/>
          <w:color w:val="000000" w:themeColor="text1"/>
        </w:rPr>
      </w:pPr>
    </w:p>
    <w:p w14:paraId="1DCD86D0" w14:textId="503C20AC" w:rsidR="005F130C" w:rsidRPr="005F130C" w:rsidRDefault="005F130C" w:rsidP="005F130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b/>
          <w:color w:val="000000" w:themeColor="text1"/>
        </w:rPr>
        <w:t xml:space="preserve">Modifique </w:t>
      </w:r>
      <w:r>
        <w:rPr>
          <w:rFonts w:ascii="Palatino Linotype" w:eastAsia="Calibri" w:hAnsi="Palatino Linotype" w:cs="Arial"/>
          <w:b/>
          <w:lang w:val="es-ES"/>
        </w:rPr>
        <w:t>el acto impugnado:</w:t>
      </w:r>
      <w:r>
        <w:rPr>
          <w:rFonts w:ascii="Palatino Linotype" w:eastAsia="Calibri" w:hAnsi="Palatino Linotype" w:cs="Arial"/>
          <w:lang w:val="es-ES"/>
        </w:rPr>
        <w:t xml:space="preserve"> Se actualiza cuando el </w:t>
      </w:r>
      <w:r>
        <w:rPr>
          <w:rFonts w:ascii="Palatino Linotype" w:eastAsia="Calibri" w:hAnsi="Palatino Linotype" w:cs="Arial"/>
          <w:b/>
          <w:lang w:val="es-ES"/>
        </w:rPr>
        <w:t>SUJETO OBLIGADO</w:t>
      </w:r>
      <w:r>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2DBE38E8" w14:textId="27A69438" w:rsidR="005F130C" w:rsidRPr="005F130C" w:rsidRDefault="005F130C" w:rsidP="005F130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b/>
          <w:color w:val="000000" w:themeColor="text1"/>
        </w:rPr>
        <w:t xml:space="preserve">Revoque </w:t>
      </w:r>
      <w:r w:rsidRPr="007F550D">
        <w:rPr>
          <w:rFonts w:ascii="Palatino Linotype" w:eastAsia="Calibri" w:hAnsi="Palatino Linotype" w:cs="Arial"/>
          <w:b/>
          <w:lang w:val="es-ES"/>
        </w:rPr>
        <w:t xml:space="preserve">el acto impugnado: </w:t>
      </w:r>
      <w:r w:rsidRPr="007F550D">
        <w:rPr>
          <w:rFonts w:ascii="Palatino Linotype" w:eastAsia="Calibri" w:hAnsi="Palatino Linotype" w:cs="Arial"/>
          <w:lang w:val="es-ES"/>
        </w:rPr>
        <w:t xml:space="preserve">En este supuesto, el </w:t>
      </w:r>
      <w:r w:rsidRPr="007F550D">
        <w:rPr>
          <w:rFonts w:ascii="Palatino Linotype" w:eastAsia="Calibri" w:hAnsi="Palatino Linotype" w:cs="Arial"/>
          <w:b/>
          <w:lang w:val="es-ES"/>
        </w:rPr>
        <w:t>SUJETO OBLIGADO</w:t>
      </w:r>
      <w:r w:rsidRPr="007F550D">
        <w:rPr>
          <w:rFonts w:ascii="Palatino Linotype" w:eastAsia="Calibri" w:hAnsi="Palatino Linotype" w:cs="Arial"/>
          <w:lang w:val="es-ES"/>
        </w:rPr>
        <w:t xml:space="preserve"> deja sin efectos la primera respuesta y en su lugar emite otra que satisfaga lo solicitado por el particular.</w:t>
      </w:r>
    </w:p>
    <w:p w14:paraId="2860FD6C"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333E0E4A" w14:textId="2959A109" w:rsidR="005F130C" w:rsidRPr="005F130C"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Las </w:t>
      </w:r>
      <w:r w:rsidRPr="007F550D">
        <w:rPr>
          <w:rFonts w:ascii="Palatino Linotype" w:eastAsia="Calibri" w:hAnsi="Palatino Linotype" w:cs="Times New Roman"/>
          <w:lang w:val="es-ES"/>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7F550D">
        <w:rPr>
          <w:rFonts w:ascii="Palatino Linotype" w:eastAsia="Calibri" w:hAnsi="Palatino Linotype" w:cs="Times New Roman"/>
          <w:u w:val="single"/>
          <w:lang w:val="es-ES"/>
        </w:rPr>
        <w:t>cuando ha sido satisfecha la pretensión del particular</w:t>
      </w:r>
      <w:r w:rsidRPr="007F550D">
        <w:rPr>
          <w:rFonts w:ascii="Palatino Linotype" w:eastAsia="Calibri" w:hAnsi="Palatino Linotype" w:cs="Times New Roman"/>
          <w:lang w:val="es-ES"/>
        </w:rPr>
        <w:t>, ya sea porque se hizo la entrega de la información solicitada o porque se completó la misma.</w:t>
      </w:r>
    </w:p>
    <w:p w14:paraId="2BE6DE98"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1C93CC68" w14:textId="2AAD75C3" w:rsidR="005F130C" w:rsidRPr="005F130C"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En </w:t>
      </w:r>
      <w:r>
        <w:rPr>
          <w:rFonts w:ascii="Palatino Linotype" w:eastAsia="Calibri" w:hAnsi="Palatino Linotype" w:cs="Arial"/>
          <w:lang w:val="es-ES"/>
        </w:rPr>
        <w:t xml:space="preserve">el presente asunto, este Pleno advierte que el </w:t>
      </w:r>
      <w:r>
        <w:rPr>
          <w:rFonts w:ascii="Palatino Linotype" w:eastAsia="Times New Roman" w:hAnsi="Palatino Linotype" w:cs="Arial"/>
          <w:b/>
          <w:lang w:val="es-ES"/>
        </w:rPr>
        <w:t>SUJETO OBLIGADO</w:t>
      </w:r>
      <w:r w:rsidR="00560018">
        <w:rPr>
          <w:rFonts w:ascii="Palatino Linotype" w:eastAsia="Times New Roman" w:hAnsi="Palatino Linotype" w:cs="Arial"/>
          <w:bCs/>
          <w:lang w:val="es-ES"/>
        </w:rPr>
        <w:t>,</w:t>
      </w:r>
      <w:r>
        <w:rPr>
          <w:rFonts w:ascii="Palatino Linotype" w:eastAsia="Calibri" w:hAnsi="Palatino Linotype" w:cs="Arial"/>
          <w:lang w:val="es-ES"/>
        </w:rPr>
        <w:t xml:space="preserve"> con la información enviada a este Órgano Garante en vía de Informe Justificado, </w:t>
      </w:r>
      <w:r>
        <w:rPr>
          <w:rFonts w:ascii="Palatino Linotype" w:eastAsia="Calibri" w:hAnsi="Palatino Linotype" w:cs="Arial"/>
          <w:b/>
          <w:lang w:val="es-ES"/>
        </w:rPr>
        <w:t>modifica</w:t>
      </w:r>
      <w:r>
        <w:rPr>
          <w:rFonts w:ascii="Palatino Linotype" w:eastAsia="Calibri" w:hAnsi="Palatino Linotype" w:cs="Arial"/>
          <w:lang w:val="es-ES"/>
        </w:rPr>
        <w:t xml:space="preserve"> </w:t>
      </w:r>
      <w:r>
        <w:rPr>
          <w:rFonts w:ascii="Palatino Linotype" w:eastAsia="Calibri" w:hAnsi="Palatino Linotype" w:cs="Arial"/>
          <w:u w:val="single"/>
          <w:lang w:val="es-ES"/>
        </w:rPr>
        <w:t>el acto que le dio origen al recurso de revisión, por lo que trae como consecuencia que el mismo quede sin materia</w:t>
      </w:r>
      <w:r>
        <w:rPr>
          <w:rFonts w:ascii="Palatino Linotype" w:eastAsia="Calibri" w:hAnsi="Palatino Linotype" w:cs="Arial"/>
          <w:lang w:val="es-ES"/>
        </w:rPr>
        <w:t xml:space="preserve">, actualizándose de este modo la hipótesis jurídica contenida en la </w:t>
      </w:r>
      <w:r>
        <w:rPr>
          <w:rFonts w:ascii="Palatino Linotype" w:eastAsia="Calibri" w:hAnsi="Palatino Linotype" w:cs="Arial"/>
          <w:b/>
          <w:lang w:val="es-ES"/>
        </w:rPr>
        <w:t>fracción III</w:t>
      </w:r>
      <w:r>
        <w:rPr>
          <w:rFonts w:ascii="Palatino Linotype" w:eastAsia="Calibri" w:hAnsi="Palatino Linotype" w:cs="Arial"/>
          <w:lang w:val="es-ES"/>
        </w:rPr>
        <w:t xml:space="preserve"> del citado artículo </w:t>
      </w:r>
      <w:r>
        <w:rPr>
          <w:rFonts w:ascii="Palatino Linotype" w:eastAsia="Calibri" w:hAnsi="Palatino Linotype" w:cs="Arial"/>
          <w:b/>
          <w:lang w:val="es-ES"/>
        </w:rPr>
        <w:t>192</w:t>
      </w:r>
      <w:r>
        <w:rPr>
          <w:rFonts w:ascii="Palatino Linotype" w:eastAsia="Calibri" w:hAnsi="Palatino Linotype" w:cs="Arial"/>
          <w:lang w:val="es-ES"/>
        </w:rPr>
        <w:t>.</w:t>
      </w:r>
    </w:p>
    <w:p w14:paraId="52F63633"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4A8B7684" w14:textId="6B4632E2" w:rsidR="005F130C" w:rsidRPr="005F130C"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lastRenderedPageBreak/>
        <w:t xml:space="preserve">De </w:t>
      </w:r>
      <w:r>
        <w:rPr>
          <w:rFonts w:ascii="Palatino Linotype" w:eastAsia="Calibri" w:hAnsi="Palatino Linotype" w:cs="Arial"/>
          <w:lang w:val="es-ES"/>
        </w:rPr>
        <w:t xml:space="preserve">este modo, cuando el </w:t>
      </w:r>
      <w:r>
        <w:rPr>
          <w:rFonts w:ascii="Palatino Linotype" w:eastAsia="Calibri" w:hAnsi="Palatino Linotype" w:cs="Arial"/>
          <w:b/>
          <w:lang w:val="es-ES"/>
        </w:rPr>
        <w:t xml:space="preserve">SUJETO OBLIGADO, </w:t>
      </w:r>
      <w:r>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w:t>
      </w:r>
      <w:r w:rsidRPr="005F130C">
        <w:rPr>
          <w:rFonts w:ascii="Palatino Linotype" w:eastAsia="Calibri" w:hAnsi="Palatino Linotype" w:cs="Arial"/>
          <w:b/>
          <w:lang w:val="es-ES"/>
        </w:rPr>
        <w:t>el recurso de revisión que al efecto se haya interpuesto quedará sin materia</w:t>
      </w:r>
      <w:r>
        <w:rPr>
          <w:rFonts w:ascii="Palatino Linotype" w:eastAsia="Calibri" w:hAnsi="Palatino Linotype" w:cs="Arial"/>
          <w:lang w:val="es-ES"/>
        </w:rPr>
        <w:t xml:space="preserve"> lo que imposibilita el estudio de fondo de la </w:t>
      </w:r>
      <w:r>
        <w:rPr>
          <w:rFonts w:ascii="Palatino Linotype" w:eastAsia="Calibri" w:hAnsi="Palatino Linotype" w:cs="Arial"/>
          <w:i/>
          <w:lang w:val="es-ES"/>
        </w:rPr>
        <w:t>litis</w:t>
      </w:r>
      <w:r>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Pr>
          <w:rFonts w:ascii="Palatino Linotype" w:hAnsi="Palatino Linotype"/>
        </w:rPr>
        <w:t>.</w:t>
      </w:r>
    </w:p>
    <w:p w14:paraId="4A8A1938"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2B8EDDEC" w14:textId="48ACDBE6" w:rsidR="005F130C" w:rsidRPr="005F130C"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Por </w:t>
      </w:r>
      <w:r>
        <w:rPr>
          <w:rFonts w:ascii="Palatino Linotype" w:eastAsia="Calibri" w:hAnsi="Palatino Linotype" w:cs="Arial"/>
          <w:lang w:val="es-ES"/>
        </w:rPr>
        <w:t xml:space="preserve">lo tanto, para que se actualice el sobreseimiento de un recurso de revisión, el </w:t>
      </w:r>
      <w:r>
        <w:rPr>
          <w:rFonts w:ascii="Palatino Linotype" w:eastAsia="Calibri" w:hAnsi="Palatino Linotype" w:cs="Arial"/>
          <w:b/>
          <w:lang w:val="es-ES"/>
        </w:rPr>
        <w:t>SUJETO OBLIGADO</w:t>
      </w:r>
      <w:r>
        <w:rPr>
          <w:rFonts w:ascii="Palatino Linotype" w:eastAsia="Calibri" w:hAnsi="Palatino Linotype" w:cs="Arial"/>
          <w:lang w:val="es-ES"/>
        </w:rPr>
        <w:t xml:space="preserve"> puede entregar o completar la información al momento de rendir su informe de justificación </w:t>
      </w:r>
      <w:r>
        <w:rPr>
          <w:rFonts w:ascii="Palatino Linotype" w:hAnsi="Palatino Linotype"/>
          <w:u w:val="single"/>
        </w:rPr>
        <w:t>dentro de los siete días previstos para manifestar lo que a su derecho convenga, lo anterior también puede ocurrir posteriormente, siempre y cuando el Pleno del Instituto no haya dictado resolución definitiva.</w:t>
      </w:r>
    </w:p>
    <w:p w14:paraId="3A33B22A" w14:textId="77777777" w:rsidR="005F130C" w:rsidRPr="005F130C"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2A7CEAF6" w14:textId="1277055D" w:rsidR="005F130C"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Batang" w:hAnsi="Palatino Linotype" w:cs="Arial"/>
          <w:lang w:val="es-ES"/>
        </w:rPr>
        <w:t xml:space="preserve">Finalmente, </w:t>
      </w:r>
      <w:r w:rsidRPr="007F550D">
        <w:rPr>
          <w:rFonts w:ascii="Palatino Linotype" w:hAnsi="Palatino Linotype" w:cs="Arial"/>
          <w:lang w:val="es-CO"/>
        </w:rPr>
        <w:t>en términos del artículo 186</w:t>
      </w:r>
      <w:r>
        <w:rPr>
          <w:rFonts w:ascii="Palatino Linotype" w:hAnsi="Palatino Linotype" w:cs="Arial"/>
          <w:lang w:val="es-CO"/>
        </w:rPr>
        <w:t>,</w:t>
      </w:r>
      <w:r w:rsidRPr="007F550D">
        <w:rPr>
          <w:rFonts w:ascii="Palatino Linotype" w:hAnsi="Palatino Linotype" w:cs="Arial"/>
          <w:lang w:val="es-CO"/>
        </w:rPr>
        <w:t xml:space="preserve"> fracción I</w:t>
      </w:r>
      <w:r>
        <w:rPr>
          <w:rFonts w:ascii="Palatino Linotype" w:hAnsi="Palatino Linotype" w:cs="Arial"/>
          <w:lang w:val="es-CO"/>
        </w:rPr>
        <w:t>, de la Ley de Transparencia y Acceso a la Información Pública del Estado de México y Municipios,</w:t>
      </w:r>
      <w:r w:rsidRPr="007F550D">
        <w:rPr>
          <w:rFonts w:ascii="Palatino Linotype" w:hAnsi="Palatino Linotype" w:cs="Arial"/>
          <w:lang w:val="es-CO"/>
        </w:rPr>
        <w:t xml:space="preserve"> este Pleno determina el </w:t>
      </w:r>
      <w:r w:rsidRPr="007F550D">
        <w:rPr>
          <w:rFonts w:ascii="Palatino Linotype" w:hAnsi="Palatino Linotype" w:cs="Arial"/>
          <w:b/>
          <w:lang w:val="es-CO"/>
        </w:rPr>
        <w:t xml:space="preserve">SOBRESEIMIENTO </w:t>
      </w:r>
      <w:r w:rsidRPr="007F550D">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0F384FB3" w14:textId="28F6B87B" w:rsidR="00614DC5" w:rsidRDefault="002834A6" w:rsidP="00614DC5">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1C1004A7" wp14:editId="2F866A49">
                <wp:simplePos x="0" y="0"/>
                <wp:positionH relativeFrom="margin">
                  <wp:align>right</wp:align>
                </wp:positionH>
                <wp:positionV relativeFrom="paragraph">
                  <wp:posOffset>48103</wp:posOffset>
                </wp:positionV>
                <wp:extent cx="5507676" cy="1258636"/>
                <wp:effectExtent l="38100" t="38100" r="74295" b="93980"/>
                <wp:wrapNone/>
                <wp:docPr id="3" name="Conector recto 3"/>
                <wp:cNvGraphicFramePr/>
                <a:graphic xmlns:a="http://schemas.openxmlformats.org/drawingml/2006/main">
                  <a:graphicData uri="http://schemas.microsoft.com/office/word/2010/wordprocessingShape">
                    <wps:wsp>
                      <wps:cNvCnPr/>
                      <wps:spPr>
                        <a:xfrm flipV="1">
                          <a:off x="0" y="0"/>
                          <a:ext cx="5507676" cy="1258636"/>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48C38"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pt,3.8pt" to="816.2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" strokecolor="black [3200]" strokeweight="1pt">
                <v:shadow on="t" color="black" opacity="24903f" origin=",.5" offset="0,.55556mm"/>
                <w10:wrap anchorx="margin"/>
              </v:line>
            </w:pict>
          </mc:Fallback>
        </mc:AlternateContent>
      </w:r>
    </w:p>
    <w:p w14:paraId="6C3F7D32" w14:textId="5AB2DFA6" w:rsidR="002834A6" w:rsidRDefault="002834A6" w:rsidP="00614DC5">
      <w:pPr>
        <w:pStyle w:val="Prrafodelista"/>
        <w:tabs>
          <w:tab w:val="left" w:pos="426"/>
        </w:tabs>
        <w:spacing w:before="240" w:after="240" w:line="360" w:lineRule="auto"/>
        <w:ind w:left="0" w:right="51"/>
        <w:jc w:val="both"/>
        <w:rPr>
          <w:rFonts w:ascii="Palatino Linotype" w:hAnsi="Palatino Linotype"/>
          <w:color w:val="000000" w:themeColor="text1"/>
        </w:rPr>
      </w:pPr>
    </w:p>
    <w:p w14:paraId="1B3AC025" w14:textId="67835D6E" w:rsidR="002834A6" w:rsidRDefault="002834A6" w:rsidP="00614DC5">
      <w:pPr>
        <w:pStyle w:val="Prrafodelista"/>
        <w:tabs>
          <w:tab w:val="left" w:pos="426"/>
        </w:tabs>
        <w:spacing w:before="240" w:after="240" w:line="360" w:lineRule="auto"/>
        <w:ind w:left="0" w:right="51"/>
        <w:jc w:val="both"/>
        <w:rPr>
          <w:rFonts w:ascii="Palatino Linotype" w:hAnsi="Palatino Linotype"/>
          <w:color w:val="000000" w:themeColor="text1"/>
        </w:rPr>
      </w:pPr>
    </w:p>
    <w:p w14:paraId="35A443AA" w14:textId="77777777" w:rsidR="002834A6" w:rsidRDefault="002834A6" w:rsidP="00614DC5">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1EACA29" w:rsidR="00953B03" w:rsidRPr="00953B03" w:rsidRDefault="00614DC5"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2" w:name="_Toc86945046"/>
      <w:r>
        <w:rPr>
          <w:rFonts w:ascii="Palatino Linotype" w:hAnsi="Palatino Linotype"/>
          <w:b/>
          <w:bCs/>
          <w:color w:val="000000" w:themeColor="text1"/>
        </w:rPr>
        <w:lastRenderedPageBreak/>
        <w:t>CUARTO</w:t>
      </w:r>
      <w:r w:rsidR="00953B03" w:rsidRPr="00953B03">
        <w:rPr>
          <w:rFonts w:ascii="Palatino Linotype" w:hAnsi="Palatino Linotype"/>
          <w:b/>
          <w:bCs/>
          <w:color w:val="000000" w:themeColor="text1"/>
        </w:rPr>
        <w:t>. Decisión</w:t>
      </w:r>
      <w:bookmarkEnd w:id="22"/>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09F99CA9" w:rsidR="00953B03" w:rsidRPr="00EF75DE" w:rsidRDefault="006B2A9C"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analizar el contenido del </w:t>
      </w:r>
      <w:r w:rsidR="00560018">
        <w:rPr>
          <w:rFonts w:ascii="Palatino Linotype" w:hAnsi="Palatino Linotype"/>
          <w:color w:val="000000" w:themeColor="text1"/>
        </w:rPr>
        <w:t>informe justificado presentado por el</w:t>
      </w:r>
      <w:r>
        <w:rPr>
          <w:rFonts w:ascii="Palatino Linotype" w:hAnsi="Palatino Linotype"/>
          <w:color w:val="000000" w:themeColor="text1"/>
        </w:rPr>
        <w:t xml:space="preserve"> </w:t>
      </w:r>
      <w:r>
        <w:rPr>
          <w:rFonts w:ascii="Palatino Linotype" w:hAnsi="Palatino Linotype"/>
          <w:b/>
          <w:color w:val="000000" w:themeColor="text1"/>
        </w:rPr>
        <w:t>SUJETO OBLIGADO</w:t>
      </w:r>
      <w:r>
        <w:rPr>
          <w:rFonts w:ascii="Palatino Linotype" w:hAnsi="Palatino Linotype"/>
          <w:color w:val="000000" w:themeColor="text1"/>
        </w:rPr>
        <w:t xml:space="preserve">, se estableció que </w:t>
      </w:r>
      <w:r w:rsidR="00560018">
        <w:rPr>
          <w:rFonts w:ascii="Palatino Linotype" w:hAnsi="Palatino Linotype"/>
          <w:color w:val="000000" w:themeColor="text1"/>
        </w:rPr>
        <w:t>éste</w:t>
      </w:r>
      <w:r w:rsidR="00E15E31">
        <w:rPr>
          <w:rFonts w:ascii="Palatino Linotype" w:hAnsi="Palatino Linotype"/>
          <w:color w:val="000000" w:themeColor="text1"/>
        </w:rPr>
        <w:t xml:space="preserve"> colmaba el derecho de acceso a la informaci</w:t>
      </w:r>
      <w:r w:rsidR="005F130C">
        <w:rPr>
          <w:rFonts w:ascii="Palatino Linotype" w:hAnsi="Palatino Linotype"/>
          <w:color w:val="000000" w:themeColor="text1"/>
        </w:rPr>
        <w:t xml:space="preserve">ón ejercido por </w:t>
      </w:r>
      <w:r w:rsidR="00560018">
        <w:rPr>
          <w:rFonts w:ascii="Palatino Linotype" w:hAnsi="Palatino Linotype"/>
          <w:color w:val="000000" w:themeColor="text1"/>
        </w:rPr>
        <w:t>el</w:t>
      </w:r>
      <w:r w:rsidR="005F130C">
        <w:rPr>
          <w:rFonts w:ascii="Palatino Linotype" w:hAnsi="Palatino Linotype"/>
          <w:color w:val="000000" w:themeColor="text1"/>
        </w:rPr>
        <w:t xml:space="preserve"> particular</w:t>
      </w:r>
      <w:r w:rsidR="00E15E31">
        <w:rPr>
          <w:rFonts w:ascii="Palatino Linotype" w:hAnsi="Palatino Linotype"/>
          <w:color w:val="000000" w:themeColor="text1"/>
        </w:rPr>
        <w:t xml:space="preserve"> pues, </w:t>
      </w:r>
      <w:r w:rsidR="00234796">
        <w:rPr>
          <w:rFonts w:ascii="Palatino Linotype" w:hAnsi="Palatino Linotype"/>
          <w:color w:val="000000" w:themeColor="text1"/>
        </w:rPr>
        <w:t xml:space="preserve">en su respuesta inicial, había omitido entregar los nombramientos de los titulares de las áreas administrativas referidos en la solicitud </w:t>
      </w:r>
      <w:r w:rsidR="00234796">
        <w:rPr>
          <w:rFonts w:ascii="Palatino Linotype" w:hAnsi="Palatino Linotype"/>
          <w:b/>
          <w:bCs/>
          <w:color w:val="000000" w:themeColor="text1"/>
        </w:rPr>
        <w:t>00004/DIFIXTLAHU/IP/2022</w:t>
      </w:r>
      <w:r w:rsidR="00234796">
        <w:rPr>
          <w:rFonts w:ascii="Palatino Linotype" w:hAnsi="Palatino Linotype"/>
          <w:color w:val="000000" w:themeColor="text1"/>
        </w:rPr>
        <w:t>, a excepción de la Tesorera</w:t>
      </w:r>
      <w:r w:rsidR="00E15E31">
        <w:rPr>
          <w:rFonts w:ascii="Palatino Linotype" w:hAnsi="Palatino Linotype"/>
          <w:color w:val="000000" w:themeColor="text1"/>
        </w:rPr>
        <w:t xml:space="preserve">; situación que fue resarcida por el </w:t>
      </w:r>
      <w:r w:rsidR="00E15E31">
        <w:rPr>
          <w:rFonts w:ascii="Palatino Linotype" w:hAnsi="Palatino Linotype"/>
          <w:b/>
          <w:color w:val="000000" w:themeColor="text1"/>
        </w:rPr>
        <w:t>SUJETO OBLIGADO</w:t>
      </w:r>
      <w:r w:rsidR="00E15E31">
        <w:rPr>
          <w:rFonts w:ascii="Palatino Linotype" w:hAnsi="Palatino Linotype"/>
          <w:color w:val="000000" w:themeColor="text1"/>
        </w:rPr>
        <w:t xml:space="preserve"> a través de su informe justificado al entregar </w:t>
      </w:r>
      <w:r w:rsidR="00234796">
        <w:rPr>
          <w:rFonts w:ascii="Palatino Linotype" w:hAnsi="Palatino Linotype"/>
          <w:color w:val="000000" w:themeColor="text1"/>
        </w:rPr>
        <w:t>los nombramientos y oficios de designación faltantes</w:t>
      </w:r>
      <w:r w:rsidR="005F130C">
        <w:rPr>
          <w:rFonts w:ascii="Palatino Linotype" w:hAnsi="Palatino Linotype"/>
          <w:color w:val="000000" w:themeColor="text1"/>
        </w:rPr>
        <w:t>.</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0174753"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w:t>
      </w:r>
      <w:r w:rsidR="00B741AA" w:rsidRPr="00B741AA">
        <w:rPr>
          <w:rFonts w:ascii="Palatino Linotype" w:eastAsia="MS Mincho" w:hAnsi="Palatino Linotype" w:cstheme="majorBidi"/>
          <w:lang w:val="es-ES"/>
        </w:rPr>
        <w:t>con fundamento en la fracción III del artículo 192,</w:t>
      </w:r>
      <w:r w:rsidR="00B741AA" w:rsidRPr="00B741AA">
        <w:rPr>
          <w:rFonts w:ascii="Palatino Linotype" w:eastAsia="MS Mincho" w:hAnsi="Palatino Linotype" w:cstheme="majorBidi"/>
          <w:b/>
          <w:lang w:val="es-ES"/>
        </w:rPr>
        <w:t xml:space="preserve"> </w:t>
      </w:r>
      <w:r w:rsidR="00B741AA" w:rsidRPr="00B741AA">
        <w:rPr>
          <w:rFonts w:ascii="Palatino Linotype" w:eastAsia="MS Mincho" w:hAnsi="Palatino Linotype" w:cstheme="majorBidi"/>
          <w:lang w:val="es-ES"/>
        </w:rPr>
        <w:t xml:space="preserve">de la Ley de Transparencia y Acceso a la Información Pública del Estado de México y Municipios, se </w:t>
      </w:r>
      <w:r w:rsidR="00B741AA" w:rsidRPr="00B741AA">
        <w:rPr>
          <w:rFonts w:ascii="Palatino Linotype" w:eastAsia="MS Mincho" w:hAnsi="Palatino Linotype" w:cstheme="majorBidi"/>
          <w:b/>
          <w:lang w:val="es-ES"/>
        </w:rPr>
        <w:t xml:space="preserve">SOBRESEE </w:t>
      </w:r>
      <w:r w:rsidR="00B741AA" w:rsidRPr="00B741AA">
        <w:rPr>
          <w:rFonts w:ascii="Palatino Linotype" w:eastAsia="MS Mincho" w:hAnsi="Palatino Linotype" w:cstheme="majorBidi"/>
          <w:lang w:val="es-ES"/>
        </w:rPr>
        <w:t xml:space="preserve">el recurso de revisión </w:t>
      </w:r>
      <w:r w:rsidR="00523640">
        <w:rPr>
          <w:rFonts w:ascii="Palatino Linotype" w:eastAsia="MS Mincho" w:hAnsi="Palatino Linotype" w:cstheme="majorBidi"/>
          <w:b/>
          <w:lang w:val="es-ES"/>
        </w:rPr>
        <w:t>01118/INFOEM/IP/RR/2022</w:t>
      </w:r>
      <w:r w:rsidR="00B741AA" w:rsidRPr="00B741AA">
        <w:rPr>
          <w:rFonts w:ascii="Palatino Linotype" w:eastAsia="MS Mincho" w:hAnsi="Palatino Linotype" w:cstheme="majorBidi"/>
          <w:lang w:val="es-ES"/>
        </w:rPr>
        <w:t>, que ha sido materia del presente fallo.</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86945047"/>
      <w:r w:rsidRPr="008C6062">
        <w:rPr>
          <w:b/>
          <w:color w:val="000000" w:themeColor="text1"/>
          <w:szCs w:val="24"/>
        </w:rPr>
        <w:lastRenderedPageBreak/>
        <w:t>R E S O L U T I V O S</w:t>
      </w:r>
      <w:bookmarkEnd w:id="20"/>
      <w:bookmarkEnd w:id="21"/>
      <w:bookmarkEnd w:id="23"/>
      <w:bookmarkEnd w:id="24"/>
      <w:bookmarkEnd w:id="25"/>
    </w:p>
    <w:p w14:paraId="73D50A6B" w14:textId="77777777" w:rsidR="005F130C" w:rsidRDefault="005F130C" w:rsidP="005F130C">
      <w:pPr>
        <w:pStyle w:val="Sinespaciado"/>
        <w:spacing w:line="360" w:lineRule="auto"/>
        <w:jc w:val="both"/>
        <w:rPr>
          <w:rFonts w:ascii="Palatino Linotype" w:hAnsi="Palatino Linotype"/>
          <w:b/>
          <w:szCs w:val="20"/>
        </w:rPr>
      </w:pPr>
    </w:p>
    <w:p w14:paraId="33754448" w14:textId="7074BE74" w:rsidR="005F130C" w:rsidRDefault="005F130C" w:rsidP="005F130C">
      <w:pPr>
        <w:pStyle w:val="Sinespaciado"/>
        <w:spacing w:line="360" w:lineRule="auto"/>
        <w:jc w:val="both"/>
        <w:rPr>
          <w:rFonts w:ascii="Palatino Linotype" w:hAnsi="Palatino Linotype"/>
          <w:szCs w:val="20"/>
        </w:rPr>
      </w:pPr>
      <w:r w:rsidRPr="008D2BCD">
        <w:rPr>
          <w:rFonts w:ascii="Palatino Linotype" w:hAnsi="Palatino Linotype"/>
          <w:b/>
          <w:szCs w:val="20"/>
        </w:rPr>
        <w:t xml:space="preserve">PRIMERO. </w:t>
      </w:r>
      <w:r w:rsidRPr="008D2BCD">
        <w:rPr>
          <w:rFonts w:ascii="Palatino Linotype" w:hAnsi="Palatino Linotype"/>
          <w:szCs w:val="20"/>
        </w:rPr>
        <w:t xml:space="preserve">Se </w:t>
      </w:r>
      <w:r w:rsidRPr="008D2BCD">
        <w:rPr>
          <w:rFonts w:ascii="Palatino Linotype" w:hAnsi="Palatino Linotype"/>
          <w:b/>
          <w:szCs w:val="20"/>
        </w:rPr>
        <w:t>SOBRESEE</w:t>
      </w:r>
      <w:r w:rsidRPr="008D2BCD">
        <w:rPr>
          <w:rFonts w:ascii="Palatino Linotype" w:hAnsi="Palatino Linotype"/>
          <w:szCs w:val="20"/>
        </w:rPr>
        <w:t xml:space="preserve"> el recurso de revisión número </w:t>
      </w:r>
      <w:r w:rsidR="00523640">
        <w:rPr>
          <w:rFonts w:ascii="Palatino Linotype" w:hAnsi="Palatino Linotype"/>
          <w:b/>
          <w:szCs w:val="20"/>
        </w:rPr>
        <w:t>01118/INFOEM/IP/RR/2022</w:t>
      </w:r>
      <w:r w:rsidRPr="008D2BCD">
        <w:rPr>
          <w:rFonts w:ascii="Palatino Linotype" w:hAnsi="Palatino Linotype"/>
          <w:szCs w:val="20"/>
        </w:rPr>
        <w:t xml:space="preserve">, porque </w:t>
      </w:r>
      <w:r w:rsidRPr="00557035">
        <w:rPr>
          <w:rFonts w:ascii="Palatino Linotype" w:hAnsi="Palatino Linotype"/>
          <w:szCs w:val="20"/>
        </w:rPr>
        <w:t>al modificar la respuesta el recurso de revisión qu</w:t>
      </w:r>
      <w:r>
        <w:rPr>
          <w:rFonts w:ascii="Palatino Linotype" w:hAnsi="Palatino Linotype"/>
          <w:szCs w:val="20"/>
        </w:rPr>
        <w:t>edó sin materia en términos del</w:t>
      </w:r>
      <w:r w:rsidRPr="00557035">
        <w:rPr>
          <w:rFonts w:ascii="Palatino Linotype" w:hAnsi="Palatino Linotype"/>
          <w:szCs w:val="20"/>
        </w:rPr>
        <w:t xml:space="preserve"> </w:t>
      </w:r>
      <w:r w:rsidRPr="00557035">
        <w:rPr>
          <w:rFonts w:ascii="Palatino Linotype" w:hAnsi="Palatino Linotype"/>
          <w:b/>
          <w:szCs w:val="20"/>
        </w:rPr>
        <w:t>Considerando</w:t>
      </w:r>
      <w:r w:rsidRPr="00557035">
        <w:rPr>
          <w:rFonts w:ascii="Palatino Linotype" w:hAnsi="Palatino Linotype"/>
          <w:szCs w:val="20"/>
        </w:rPr>
        <w:t xml:space="preserve"> </w:t>
      </w:r>
      <w:r w:rsidRPr="00557035">
        <w:rPr>
          <w:rFonts w:ascii="Palatino Linotype" w:hAnsi="Palatino Linotype"/>
          <w:b/>
          <w:szCs w:val="20"/>
        </w:rPr>
        <w:t>TERCERO</w:t>
      </w:r>
      <w:r w:rsidRPr="00557035">
        <w:rPr>
          <w:rFonts w:ascii="Palatino Linotype" w:hAnsi="Palatino Linotype"/>
          <w:szCs w:val="20"/>
        </w:rPr>
        <w:t xml:space="preserve"> de la presente</w:t>
      </w:r>
      <w:r w:rsidRPr="008D2BCD">
        <w:rPr>
          <w:rFonts w:ascii="Palatino Linotype" w:hAnsi="Palatino Linotype"/>
          <w:szCs w:val="20"/>
        </w:rPr>
        <w:t xml:space="preserve"> resolución.</w:t>
      </w:r>
    </w:p>
    <w:p w14:paraId="34C9500E" w14:textId="77777777" w:rsidR="005F130C" w:rsidRPr="008D2BCD" w:rsidRDefault="005F130C" w:rsidP="005F130C">
      <w:pPr>
        <w:pStyle w:val="Sinespaciado"/>
        <w:spacing w:line="360" w:lineRule="auto"/>
        <w:jc w:val="both"/>
        <w:rPr>
          <w:rFonts w:ascii="Palatino Linotype" w:hAnsi="Palatino Linotype"/>
          <w:szCs w:val="20"/>
        </w:rPr>
      </w:pPr>
    </w:p>
    <w:p w14:paraId="2A10F105" w14:textId="1F1AFA66" w:rsidR="005F130C" w:rsidRPr="005108ED" w:rsidRDefault="005F130C" w:rsidP="005F130C">
      <w:pPr>
        <w:pStyle w:val="Sinespaciado"/>
        <w:spacing w:line="360" w:lineRule="auto"/>
        <w:jc w:val="both"/>
        <w:rPr>
          <w:rFonts w:ascii="Palatino Linotype" w:eastAsia="Calibri" w:hAnsi="Palatino Linotype" w:cs="Arial"/>
          <w:b/>
          <w:bCs/>
          <w:lang w:val="es-ES"/>
        </w:rPr>
      </w:pPr>
      <w:r w:rsidRPr="005108ED">
        <w:rPr>
          <w:rFonts w:ascii="Palatino Linotype" w:eastAsia="Calibri" w:hAnsi="Palatino Linotype" w:cs="Arial"/>
          <w:b/>
          <w:bCs/>
          <w:lang w:val="es-ES"/>
        </w:rPr>
        <w:t xml:space="preserve">SEGUNDO. </w:t>
      </w:r>
      <w:r w:rsidR="00C84CB9">
        <w:rPr>
          <w:rFonts w:ascii="Palatino Linotype" w:eastAsia="Calibri" w:hAnsi="Palatino Linotype" w:cs="Arial"/>
          <w:b/>
          <w:bCs/>
          <w:lang w:val="es-ES"/>
        </w:rPr>
        <w:t>Notifíquese</w:t>
      </w:r>
      <w:r w:rsidRPr="005108ED">
        <w:rPr>
          <w:rFonts w:ascii="Palatino Linotype" w:eastAsia="Calibri" w:hAnsi="Palatino Linotype" w:cs="Arial"/>
          <w:b/>
          <w:bCs/>
          <w:lang w:val="es-ES"/>
        </w:rPr>
        <w:t xml:space="preserve"> </w:t>
      </w:r>
      <w:r w:rsidRPr="005108ED">
        <w:rPr>
          <w:rFonts w:ascii="Palatino Linotype" w:eastAsia="Calibri" w:hAnsi="Palatino Linotype" w:cs="Arial"/>
          <w:bCs/>
          <w:lang w:val="es-ES"/>
        </w:rPr>
        <w:t xml:space="preserve">a través del Sistema de Acceso a la Información Mexiquense </w:t>
      </w:r>
      <w:r w:rsidRPr="005108ED">
        <w:rPr>
          <w:rFonts w:ascii="Palatino Linotype" w:eastAsia="Calibri" w:hAnsi="Palatino Linotype" w:cs="Arial"/>
          <w:b/>
          <w:bCs/>
          <w:lang w:val="es-ES"/>
        </w:rPr>
        <w:t xml:space="preserve">(SAIMEX) </w:t>
      </w:r>
      <w:r w:rsidRPr="005108ED">
        <w:rPr>
          <w:rFonts w:ascii="Palatino Linotype" w:eastAsia="Calibri" w:hAnsi="Palatino Linotype" w:cs="Arial"/>
          <w:bCs/>
          <w:lang w:val="es-ES"/>
        </w:rPr>
        <w:t>la presente resolución al Titular de la Unidad de Transparencia del</w:t>
      </w:r>
      <w:r w:rsidRPr="005108ED">
        <w:rPr>
          <w:rFonts w:ascii="Palatino Linotype" w:eastAsia="Calibri" w:hAnsi="Palatino Linotype" w:cs="Arial"/>
          <w:b/>
          <w:bCs/>
          <w:lang w:val="es-ES"/>
        </w:rPr>
        <w:t xml:space="preserve"> SUJETO OBLIGADO. </w:t>
      </w:r>
    </w:p>
    <w:p w14:paraId="66FB0EAD" w14:textId="77777777" w:rsidR="005F130C" w:rsidRPr="005108ED" w:rsidRDefault="005F130C" w:rsidP="005F130C">
      <w:pPr>
        <w:pStyle w:val="Sinespaciado"/>
        <w:spacing w:line="360" w:lineRule="auto"/>
        <w:jc w:val="both"/>
        <w:rPr>
          <w:rFonts w:ascii="Palatino Linotype" w:eastAsia="Palatino Linotype" w:hAnsi="Palatino Linotype" w:cs="Palatino Linotype"/>
          <w:b/>
        </w:rPr>
      </w:pPr>
    </w:p>
    <w:p w14:paraId="486EF616" w14:textId="7CF4B537" w:rsidR="005F130C" w:rsidRPr="005108ED" w:rsidRDefault="005F130C" w:rsidP="005F130C">
      <w:pPr>
        <w:pStyle w:val="Sinespaciado"/>
        <w:spacing w:line="360" w:lineRule="auto"/>
        <w:jc w:val="both"/>
        <w:rPr>
          <w:rFonts w:ascii="Palatino Linotype" w:eastAsia="Times New Roman" w:hAnsi="Palatino Linotype" w:cs="Times New Roman"/>
          <w:color w:val="222222"/>
          <w:lang w:val="es-ES" w:eastAsia="es-MX"/>
        </w:rPr>
      </w:pPr>
      <w:r w:rsidRPr="005108ED">
        <w:rPr>
          <w:rFonts w:ascii="Palatino Linotype" w:eastAsia="Times New Roman" w:hAnsi="Palatino Linotype" w:cs="Arial"/>
          <w:b/>
        </w:rPr>
        <w:t xml:space="preserve">TERCERO. </w:t>
      </w:r>
      <w:r w:rsidRPr="005108ED">
        <w:rPr>
          <w:rFonts w:ascii="Palatino Linotype" w:eastAsia="Times New Roman" w:hAnsi="Palatino Linotype" w:cs="Times New Roman"/>
          <w:b/>
          <w:bCs/>
          <w:color w:val="222222"/>
          <w:lang w:val="es-ES"/>
        </w:rPr>
        <w:t xml:space="preserve">Notifíquese </w:t>
      </w:r>
      <w:r>
        <w:rPr>
          <w:rFonts w:ascii="Palatino Linotype" w:eastAsia="Times New Roman" w:hAnsi="Palatino Linotype" w:cs="Times New Roman"/>
          <w:bCs/>
          <w:color w:val="222222"/>
          <w:lang w:val="es-ES"/>
        </w:rPr>
        <w:t xml:space="preserve">al </w:t>
      </w:r>
      <w:r>
        <w:rPr>
          <w:rFonts w:ascii="Palatino Linotype" w:eastAsia="Times New Roman" w:hAnsi="Palatino Linotype" w:cs="Times New Roman"/>
          <w:b/>
          <w:bCs/>
          <w:color w:val="222222"/>
          <w:lang w:val="es-ES"/>
        </w:rPr>
        <w:t>RECURRENTE</w:t>
      </w:r>
      <w:r w:rsidRPr="005108ED">
        <w:rPr>
          <w:rFonts w:ascii="Palatino Linotype" w:hAnsi="Palatino Linotype"/>
          <w:b/>
        </w:rPr>
        <w:t xml:space="preserve"> </w:t>
      </w:r>
      <w:r w:rsidRPr="005108ED">
        <w:rPr>
          <w:rFonts w:ascii="Palatino Linotype" w:eastAsia="Times New Roman" w:hAnsi="Palatino Linotype" w:cs="Times New Roman"/>
          <w:color w:val="222222"/>
          <w:lang w:val="es-ES" w:eastAsia="es-MX"/>
        </w:rPr>
        <w:t>la presente resolución</w:t>
      </w:r>
      <w:r>
        <w:rPr>
          <w:rFonts w:ascii="Palatino Linotype" w:eastAsia="Times New Roman" w:hAnsi="Palatino Linotype" w:cs="Times New Roman"/>
          <w:color w:val="222222"/>
          <w:lang w:val="es-ES" w:eastAsia="es-MX"/>
        </w:rPr>
        <w:t>.</w:t>
      </w:r>
    </w:p>
    <w:p w14:paraId="63E391C4" w14:textId="77777777" w:rsidR="005F130C" w:rsidRPr="005108ED" w:rsidRDefault="005F130C" w:rsidP="005F130C">
      <w:pPr>
        <w:pStyle w:val="Sinespaciado"/>
        <w:spacing w:line="360" w:lineRule="auto"/>
        <w:jc w:val="both"/>
        <w:rPr>
          <w:rFonts w:ascii="Palatino Linotype" w:eastAsia="Times New Roman" w:hAnsi="Palatino Linotype" w:cs="Times New Roman"/>
          <w:color w:val="222222"/>
          <w:lang w:val="es-ES" w:eastAsia="es-MX"/>
        </w:rPr>
      </w:pPr>
    </w:p>
    <w:p w14:paraId="2C5BFBFF" w14:textId="1FE0BA78" w:rsidR="005F130C" w:rsidRDefault="005F130C" w:rsidP="005F130C">
      <w:pPr>
        <w:spacing w:before="240" w:after="360" w:line="360" w:lineRule="auto"/>
        <w:jc w:val="both"/>
        <w:rPr>
          <w:rFonts w:ascii="Palatino Linotype" w:eastAsia="MS Mincho" w:hAnsi="Palatino Linotype" w:cs="Times New Roman"/>
          <w:lang w:val="es-ES"/>
        </w:rPr>
      </w:pPr>
      <w:r w:rsidRPr="005108ED">
        <w:rPr>
          <w:rFonts w:ascii="Palatino Linotype" w:eastAsia="MS Mincho" w:hAnsi="Palatino Linotype" w:cs="Times New Roman"/>
          <w:b/>
        </w:rPr>
        <w:t>CUARTO.</w:t>
      </w:r>
      <w:r w:rsidRPr="005108ED">
        <w:rPr>
          <w:rFonts w:ascii="Palatino Linotype" w:eastAsia="MS Mincho" w:hAnsi="Palatino Linotype" w:cs="Times New Roman"/>
        </w:rPr>
        <w:t xml:space="preserve"> </w:t>
      </w:r>
      <w:r w:rsidRPr="005108ED">
        <w:rPr>
          <w:rFonts w:ascii="Palatino Linotype" w:eastAsia="MS Mincho" w:hAnsi="Palatino Linotype" w:cs="Times New Roman"/>
          <w:lang w:val="es-ES"/>
        </w:rPr>
        <w:t>Se hace del conocimiento de</w:t>
      </w:r>
      <w:r w:rsidRPr="005F130C">
        <w:rPr>
          <w:rFonts w:ascii="Palatino Linotype" w:hAnsi="Palatino Linotype"/>
        </w:rPr>
        <w:t>l</w:t>
      </w:r>
      <w:r>
        <w:rPr>
          <w:rFonts w:ascii="Palatino Linotype" w:hAnsi="Palatino Linotype"/>
          <w:b/>
        </w:rPr>
        <w:t xml:space="preserve"> RECURRENTE</w:t>
      </w:r>
      <w:r w:rsidRPr="005108ED">
        <w:rPr>
          <w:rFonts w:ascii="Palatino Linotype" w:hAnsi="Palatino Linotype"/>
          <w:b/>
        </w:rPr>
        <w:t xml:space="preserve"> </w:t>
      </w:r>
      <w:r w:rsidRPr="005108ED">
        <w:rPr>
          <w:rFonts w:ascii="Palatino Linotype" w:eastAsia="MS Mincho" w:hAnsi="Palatino Linotype" w:cs="Times New Roman"/>
          <w:lang w:val="es-ES"/>
        </w:rPr>
        <w:t xml:space="preserve">que, </w:t>
      </w:r>
      <w:r w:rsidR="00234796"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00234796" w:rsidRPr="009339CF">
        <w:rPr>
          <w:rFonts w:ascii="Palatino Linotype" w:eastAsia="MS Mincho" w:hAnsi="Palatino Linotype" w:cs="Times New Roman"/>
          <w:color w:val="000000"/>
        </w:rPr>
        <w:t xml:space="preserve">en caso de que considere que la resolución le cause algún perjuicio podrá impugnarla vía </w:t>
      </w:r>
      <w:r w:rsidR="00234796" w:rsidRPr="009339CF">
        <w:rPr>
          <w:rFonts w:ascii="Palatino Linotype" w:eastAsia="MS Mincho" w:hAnsi="Palatino Linotype" w:cs="Times New Roman"/>
          <w:bCs/>
          <w:color w:val="000000"/>
          <w:lang w:val="es-ES"/>
        </w:rPr>
        <w:t>juicio de amparo</w:t>
      </w:r>
      <w:r w:rsidR="00234796">
        <w:rPr>
          <w:rFonts w:ascii="Palatino Linotype" w:eastAsia="MS Mincho" w:hAnsi="Palatino Linotype" w:cs="Times New Roman"/>
          <w:bCs/>
          <w:color w:val="000000"/>
          <w:lang w:val="es-ES"/>
        </w:rPr>
        <w:t xml:space="preserve"> </w:t>
      </w:r>
      <w:r w:rsidR="00234796" w:rsidRPr="009339CF">
        <w:rPr>
          <w:rFonts w:ascii="Palatino Linotype" w:eastAsia="MS Mincho" w:hAnsi="Palatino Linotype" w:cs="Times New Roman"/>
          <w:color w:val="000000"/>
          <w:lang w:val="es-ES"/>
        </w:rPr>
        <w:t>en los términos de las Leyes aplicables.</w:t>
      </w:r>
    </w:p>
    <w:p w14:paraId="326A712A" w14:textId="685C67BE" w:rsidR="00895335" w:rsidRPr="00E65552" w:rsidRDefault="00025266" w:rsidP="00025266">
      <w:pPr>
        <w:pStyle w:val="Prrafodelista"/>
        <w:spacing w:line="360" w:lineRule="auto"/>
        <w:ind w:left="0"/>
        <w:jc w:val="both"/>
        <w:rPr>
          <w:rFonts w:ascii="Palatino Linotype" w:hAnsi="Palatino Linotype"/>
          <w:color w:val="000000" w:themeColor="text1"/>
        </w:rPr>
      </w:pPr>
      <w:r w:rsidRPr="002D6F4B">
        <w:rPr>
          <w:rFonts w:ascii="Palatino Linotype" w:hAnsi="Palatino Linotype"/>
          <w:color w:val="000000" w:themeColor="text1"/>
        </w:rPr>
        <w:t xml:space="preserve">ASÍ LO RESUELVE, </w:t>
      </w:r>
      <w:r w:rsidRPr="00E65552">
        <w:rPr>
          <w:rFonts w:ascii="Palatino Linotype" w:hAnsi="Palatino Linotype"/>
          <w:color w:val="000000" w:themeColor="text1"/>
        </w:rPr>
        <w:t>POR UNANIMIDAD</w:t>
      </w:r>
      <w:r w:rsidRPr="00575D39">
        <w:rPr>
          <w:rFonts w:ascii="Palatino Linotype" w:hAnsi="Palatino Linotype"/>
          <w:color w:val="000000" w:themeColor="text1"/>
        </w:rPr>
        <w:t xml:space="preserve"> DE</w:t>
      </w:r>
      <w:r w:rsidRPr="002D6F4B">
        <w:rPr>
          <w:rFonts w:ascii="Palatino Linotype" w:hAnsi="Palatino Linotype"/>
          <w:color w:val="000000" w:themeColor="text1"/>
        </w:rPr>
        <w:t xml:space="preserve"> VOTOS, EL PLENO DEL INSTITUTO DE TRANSPARENCIA, ACCESO A LA INFORMACIÓN PÚBLICA Y PROTECCIÓN DE DATOS PERSONALES DEL ESTADO DE MÉXICO Y MUNICIPIOS, CONFORMADO POR LOS </w:t>
      </w:r>
      <w:r>
        <w:rPr>
          <w:rFonts w:ascii="Palatino Linotype" w:hAnsi="Palatino Linotype"/>
          <w:color w:val="000000" w:themeColor="text1"/>
        </w:rPr>
        <w:t xml:space="preserve">COMISIONADOS </w:t>
      </w:r>
      <w:r w:rsidR="00A24131">
        <w:rPr>
          <w:rFonts w:ascii="Palatino Linotype" w:hAnsi="Palatino Linotype"/>
          <w:color w:val="000000" w:themeColor="text1"/>
        </w:rPr>
        <w:t xml:space="preserve">JOSÉ MARTÍNEZ VILCHIS, MARÍA DEL ROSARIO MEJÍA AYALA, SHARON MORALES </w:t>
      </w:r>
      <w:r w:rsidR="00A24131">
        <w:rPr>
          <w:rFonts w:ascii="Palatino Linotype" w:hAnsi="Palatino Linotype"/>
          <w:color w:val="000000" w:themeColor="text1"/>
        </w:rPr>
        <w:lastRenderedPageBreak/>
        <w:t>MARTÍNEZ, LUIS GUSTAVO PARRA NORIEGA Y GUADALUPE RAMÍREZ PEÑA</w:t>
      </w:r>
      <w:r w:rsidRPr="002D6F4B">
        <w:rPr>
          <w:rFonts w:ascii="Palatino Linotype" w:hAnsi="Palatino Linotype"/>
          <w:color w:val="000000" w:themeColor="text1"/>
        </w:rPr>
        <w:t xml:space="preserve">; </w:t>
      </w:r>
      <w:r w:rsidRPr="00E65552">
        <w:rPr>
          <w:rFonts w:ascii="Palatino Linotype" w:hAnsi="Palatino Linotype"/>
          <w:color w:val="000000" w:themeColor="text1"/>
        </w:rPr>
        <w:t xml:space="preserve">EN LA </w:t>
      </w:r>
      <w:r w:rsidR="00234796">
        <w:rPr>
          <w:rFonts w:ascii="Palatino Linotype" w:hAnsi="Palatino Linotype"/>
          <w:color w:val="000000" w:themeColor="text1"/>
        </w:rPr>
        <w:t>DÉCIMA TERCERA</w:t>
      </w:r>
      <w:r w:rsidRPr="00E65552">
        <w:rPr>
          <w:rFonts w:ascii="Palatino Linotype" w:hAnsi="Palatino Linotype"/>
          <w:color w:val="000000" w:themeColor="text1"/>
        </w:rPr>
        <w:t xml:space="preserve"> SESIÓN ORDINARIA CELEBRADA EL </w:t>
      </w:r>
      <w:r w:rsidR="00234796">
        <w:rPr>
          <w:rFonts w:ascii="Palatino Linotype" w:hAnsi="Palatino Linotype"/>
          <w:color w:val="000000" w:themeColor="text1"/>
        </w:rPr>
        <w:t>SEIS (06) DE ABRIL DE DOS MIL VEINTIDÓS</w:t>
      </w:r>
      <w:r w:rsidRPr="002D6F4B">
        <w:rPr>
          <w:rFonts w:ascii="Palatino Linotype" w:hAnsi="Palatino Linotype"/>
          <w:color w:val="000000" w:themeColor="text1"/>
        </w:rPr>
        <w:t xml:space="preserve">, ANTE </w:t>
      </w:r>
      <w:r>
        <w:rPr>
          <w:rFonts w:ascii="Palatino Linotype" w:hAnsi="Palatino Linotype"/>
          <w:color w:val="000000" w:themeColor="text1"/>
        </w:rPr>
        <w:t>EL SECRETARIO TÉCNICO</w:t>
      </w:r>
      <w:r w:rsidRPr="002D6F4B">
        <w:rPr>
          <w:rFonts w:ascii="Palatino Linotype" w:hAnsi="Palatino Linotype"/>
          <w:color w:val="000000" w:themeColor="text1"/>
        </w:rPr>
        <w:t xml:space="preserve"> DEL PLENO </w:t>
      </w:r>
      <w:r>
        <w:rPr>
          <w:rFonts w:ascii="Palatino Linotype" w:hAnsi="Palatino Linotype"/>
          <w:color w:val="000000" w:themeColor="text1"/>
        </w:rPr>
        <w:t>ALEXIS TAPIA RAMÍREZ</w:t>
      </w:r>
      <w:r w:rsidRPr="002D6F4B">
        <w:rPr>
          <w:rFonts w:ascii="Palatino Linotype" w:hAnsi="Palatino Linotype"/>
          <w:color w:val="000000" w:themeColor="text1"/>
        </w:rPr>
        <w:t>.</w:t>
      </w:r>
      <w:r w:rsidRPr="00E65552">
        <w:rPr>
          <w:rFonts w:ascii="Palatino Linotype" w:hAnsi="Palatino Linotype"/>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1FD77" w14:textId="77777777" w:rsidR="00E2429E" w:rsidRDefault="00E2429E" w:rsidP="00587366">
      <w:r>
        <w:separator/>
      </w:r>
    </w:p>
  </w:endnote>
  <w:endnote w:type="continuationSeparator" w:id="0">
    <w:p w14:paraId="5CD4E097" w14:textId="77777777" w:rsidR="00E2429E" w:rsidRDefault="00E2429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DE47D5" w:rsidRPr="00883450" w:rsidRDefault="00DE47D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07FBA">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07FBA">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47B193F0" w:rsidR="00DE47D5" w:rsidRDefault="00DE47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DE47D5" w:rsidRPr="00883450" w:rsidRDefault="00DE47D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7FBA" w:rsidRPr="00B07FB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7FBA" w:rsidRPr="00B07FBA">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0A9A2B26" w:rsidR="00DE47D5" w:rsidRPr="00883450" w:rsidRDefault="00DE47D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9C516" w14:textId="77777777" w:rsidR="00E2429E" w:rsidRDefault="00E2429E" w:rsidP="00587366">
      <w:r>
        <w:separator/>
      </w:r>
    </w:p>
  </w:footnote>
  <w:footnote w:type="continuationSeparator" w:id="0">
    <w:p w14:paraId="1147CFE1" w14:textId="77777777" w:rsidR="00E2429E" w:rsidRDefault="00E2429E" w:rsidP="00587366">
      <w:r>
        <w:continuationSeparator/>
      </w:r>
    </w:p>
  </w:footnote>
  <w:footnote w:id="1">
    <w:p w14:paraId="2B34A618" w14:textId="77777777" w:rsidR="00B7387B" w:rsidRDefault="00B7387B" w:rsidP="00B7387B">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D4ADFA" w14:textId="77777777" w:rsidR="00B7387B" w:rsidRDefault="00B7387B" w:rsidP="00B7387B">
      <w:pPr>
        <w:pStyle w:val="Textonotapie"/>
        <w:jc w:val="both"/>
      </w:pPr>
      <w:r>
        <w:rPr>
          <w:lang w:val="es-ES_tradnl"/>
        </w:rPr>
        <w:t>(…)”</w:t>
      </w:r>
    </w:p>
  </w:footnote>
  <w:footnote w:id="2">
    <w:p w14:paraId="4B1A855F" w14:textId="77777777" w:rsidR="004D7686" w:rsidRDefault="004D7686" w:rsidP="004D7686">
      <w:pPr>
        <w:pStyle w:val="Textonotapie"/>
      </w:pPr>
      <w:r>
        <w:rPr>
          <w:rStyle w:val="Refdenotaalpie"/>
        </w:rPr>
        <w:footnoteRef/>
      </w:r>
      <w:r>
        <w:t xml:space="preserve"> Artículo 50, Ley de Transparencia y Acceso a la Información Pública del Estado de México y Municipios.</w:t>
      </w:r>
    </w:p>
  </w:footnote>
  <w:footnote w:id="3">
    <w:p w14:paraId="537B7789" w14:textId="77777777" w:rsidR="004D7686" w:rsidRDefault="004D7686" w:rsidP="004D7686">
      <w:pPr>
        <w:pStyle w:val="Textonotapie"/>
      </w:pPr>
      <w:r>
        <w:rPr>
          <w:rStyle w:val="Refdenotaalpie"/>
        </w:rPr>
        <w:footnoteRef/>
      </w:r>
      <w:r>
        <w:t xml:space="preserve"> Artículo 51, Ídem.</w:t>
      </w:r>
    </w:p>
  </w:footnote>
  <w:footnote w:id="4">
    <w:p w14:paraId="38A7DC46" w14:textId="77777777" w:rsidR="004D7686" w:rsidRDefault="004D7686" w:rsidP="004D7686">
      <w:pPr>
        <w:pStyle w:val="Textonotapie"/>
      </w:pPr>
      <w:r>
        <w:rPr>
          <w:rStyle w:val="Refdenotaalpie"/>
        </w:rPr>
        <w:footnoteRef/>
      </w:r>
      <w:r>
        <w:t xml:space="preserve"> Artículo 58, Ley de Transparencia y Acceso a la Información Pública del Estado de México y Municipios.</w:t>
      </w:r>
    </w:p>
  </w:footnote>
  <w:footnote w:id="5">
    <w:p w14:paraId="1ABA3C3A" w14:textId="77777777" w:rsidR="004D7686" w:rsidRDefault="004D7686" w:rsidP="004D7686">
      <w:pPr>
        <w:pStyle w:val="Textonotapie"/>
      </w:pPr>
      <w:r>
        <w:rPr>
          <w:rStyle w:val="Refdenotaalpie"/>
        </w:rPr>
        <w:footnoteRef/>
      </w:r>
      <w:r>
        <w:t xml:space="preserve"> Artículo 59, Ídem.</w:t>
      </w:r>
    </w:p>
  </w:footnote>
  <w:footnote w:id="6">
    <w:p w14:paraId="477883B9" w14:textId="2B302B89" w:rsidR="00763BB0" w:rsidRDefault="00763BB0">
      <w:pPr>
        <w:pStyle w:val="Textonotapie"/>
      </w:pPr>
      <w:r>
        <w:rPr>
          <w:rStyle w:val="Refdenotaalpie"/>
        </w:rPr>
        <w:footnoteRef/>
      </w:r>
      <w:r>
        <w:t xml:space="preserve"> Artículo 176, Ley de Transparencia y Acceso a la Información Pública del Estado de México y Municipios.</w:t>
      </w:r>
    </w:p>
  </w:footnote>
  <w:footnote w:id="7">
    <w:p w14:paraId="4E544573" w14:textId="77777777" w:rsidR="00466049" w:rsidRPr="005E7DC2" w:rsidRDefault="00466049" w:rsidP="00466049">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w:t>
      </w:r>
      <w:r w:rsidRPr="003F7F50">
        <w:rPr>
          <w:rFonts w:ascii="Palatino Linotype" w:eastAsia="Calibri" w:hAnsi="Palatino Linotype" w:cs="Times New Roman"/>
          <w:b/>
          <w:i/>
          <w:sz w:val="18"/>
        </w:rPr>
        <w:t>01863/INFOEM/IP/RR/2015</w:t>
      </w:r>
      <w:r w:rsidRPr="00B31C99">
        <w:rPr>
          <w:rFonts w:ascii="Palatino Linotype" w:eastAsia="Calibri" w:hAnsi="Palatino Linotype" w:cs="Times New Roman"/>
          <w:i/>
          <w:sz w:val="18"/>
        </w:rPr>
        <w:t xml:space="preserve">, </w:t>
      </w:r>
      <w:r w:rsidRPr="003F7F50">
        <w:rPr>
          <w:rFonts w:ascii="Palatino Linotype" w:eastAsia="Calibri" w:hAnsi="Palatino Linotype" w:cs="Times New Roman"/>
          <w:b/>
          <w:i/>
          <w:sz w:val="18"/>
        </w:rPr>
        <w:t>00048/INFOEM/IP/RR/2016 y acumulados</w:t>
      </w:r>
      <w:r>
        <w:rPr>
          <w:rFonts w:ascii="Palatino Linotype" w:eastAsia="Calibri" w:hAnsi="Palatino Linotype" w:cs="Times New Roman"/>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DE47D5" w:rsidRPr="00025127" w14:paraId="07F2896E" w14:textId="77777777" w:rsidTr="00FA0F09">
      <w:trPr>
        <w:trHeight w:val="138"/>
        <w:jc w:val="right"/>
      </w:trPr>
      <w:tc>
        <w:tcPr>
          <w:tcW w:w="3260" w:type="dxa"/>
          <w:vAlign w:val="center"/>
        </w:tcPr>
        <w:p w14:paraId="4A5B1974" w14:textId="73185C4A" w:rsidR="00DE47D5" w:rsidRPr="00025127" w:rsidRDefault="00DE47D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67018BA" w:rsidR="00DE47D5" w:rsidRPr="00025127" w:rsidRDefault="00523640" w:rsidP="005F1362">
          <w:pPr>
            <w:pStyle w:val="Encabezado"/>
            <w:jc w:val="both"/>
            <w:rPr>
              <w:rFonts w:ascii="Palatino Linotype" w:hAnsi="Palatino Linotype"/>
              <w:b/>
              <w:sz w:val="22"/>
              <w:szCs w:val="22"/>
            </w:rPr>
          </w:pPr>
          <w:r>
            <w:rPr>
              <w:rFonts w:ascii="Palatino Linotype" w:hAnsi="Palatino Linotype"/>
              <w:b/>
              <w:sz w:val="22"/>
              <w:szCs w:val="22"/>
            </w:rPr>
            <w:t>01118</w:t>
          </w:r>
          <w:r w:rsidR="00DE47D5" w:rsidRPr="00025127">
            <w:rPr>
              <w:rFonts w:ascii="Palatino Linotype" w:hAnsi="Palatino Linotype"/>
              <w:b/>
              <w:sz w:val="22"/>
              <w:szCs w:val="22"/>
            </w:rPr>
            <w:t>/INFOEM/IP/RR/</w:t>
          </w:r>
          <w:r w:rsidR="00DE47D5">
            <w:rPr>
              <w:rFonts w:ascii="Palatino Linotype" w:hAnsi="Palatino Linotype"/>
              <w:b/>
              <w:sz w:val="22"/>
              <w:szCs w:val="22"/>
            </w:rPr>
            <w:t>202</w:t>
          </w:r>
          <w:r>
            <w:rPr>
              <w:rFonts w:ascii="Palatino Linotype" w:hAnsi="Palatino Linotype"/>
              <w:b/>
              <w:sz w:val="22"/>
              <w:szCs w:val="22"/>
            </w:rPr>
            <w:t>2</w:t>
          </w:r>
        </w:p>
      </w:tc>
    </w:tr>
    <w:tr w:rsidR="00523640" w:rsidRPr="00025127" w14:paraId="1B5D8690" w14:textId="77777777" w:rsidTr="00FA0F09">
      <w:trPr>
        <w:trHeight w:val="233"/>
        <w:jc w:val="right"/>
      </w:trPr>
      <w:tc>
        <w:tcPr>
          <w:tcW w:w="3260" w:type="dxa"/>
          <w:vAlign w:val="center"/>
        </w:tcPr>
        <w:p w14:paraId="3903F2C6" w14:textId="22D569F8" w:rsidR="00523640" w:rsidRPr="00025127" w:rsidRDefault="00523640" w:rsidP="0052364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EE76D9F" w:rsidR="00523640" w:rsidRPr="00025127" w:rsidRDefault="00523640" w:rsidP="00523640">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Ixtlahuaca</w:t>
          </w:r>
        </w:p>
      </w:tc>
    </w:tr>
    <w:tr w:rsidR="00DE47D5" w:rsidRPr="00025127" w14:paraId="095EB01B" w14:textId="77777777" w:rsidTr="00FA0F09">
      <w:trPr>
        <w:trHeight w:val="321"/>
        <w:jc w:val="right"/>
      </w:trPr>
      <w:tc>
        <w:tcPr>
          <w:tcW w:w="3260" w:type="dxa"/>
          <w:vAlign w:val="center"/>
        </w:tcPr>
        <w:p w14:paraId="6E000A51" w14:textId="05E1861A" w:rsidR="00DE47D5" w:rsidRPr="00025127" w:rsidRDefault="00DE47D5"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DE47D5" w:rsidRPr="00025127" w:rsidRDefault="00DE47D5"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08997A06" w:rsidR="00DE47D5" w:rsidRDefault="00523640" w:rsidP="00472C41">
    <w:pPr>
      <w:pStyle w:val="Encabezado"/>
    </w:pPr>
    <w:r>
      <w:rPr>
        <w:noProof/>
        <w:lang w:eastAsia="es-MX"/>
      </w:rPr>
      <w:drawing>
        <wp:anchor distT="0" distB="0" distL="114300" distR="114300" simplePos="0" relativeHeight="251657216" behindDoc="1" locked="0" layoutInCell="0" allowOverlap="1" wp14:anchorId="1A29E15A" wp14:editId="7171E0CE">
          <wp:simplePos x="0" y="0"/>
          <wp:positionH relativeFrom="page">
            <wp:posOffset>28575</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DE47D5" w:rsidRPr="00025127" w14:paraId="0A3256F2" w14:textId="77777777" w:rsidTr="00523640">
      <w:trPr>
        <w:trHeight w:val="138"/>
        <w:jc w:val="right"/>
      </w:trPr>
      <w:tc>
        <w:tcPr>
          <w:tcW w:w="3969" w:type="dxa"/>
          <w:vAlign w:val="center"/>
        </w:tcPr>
        <w:p w14:paraId="3D80769D" w14:textId="2177C5BB" w:rsidR="00DE47D5" w:rsidRPr="00025127" w:rsidRDefault="00DE47D5"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59339365" w:rsidR="00DE47D5" w:rsidRPr="00025127" w:rsidRDefault="00523640" w:rsidP="005F1362">
          <w:pPr>
            <w:pStyle w:val="Encabezado"/>
            <w:rPr>
              <w:rFonts w:ascii="Palatino Linotype" w:hAnsi="Palatino Linotype"/>
              <w:b/>
              <w:sz w:val="22"/>
              <w:szCs w:val="22"/>
            </w:rPr>
          </w:pPr>
          <w:r>
            <w:rPr>
              <w:rFonts w:ascii="Palatino Linotype" w:hAnsi="Palatino Linotype"/>
              <w:b/>
              <w:sz w:val="22"/>
              <w:szCs w:val="22"/>
            </w:rPr>
            <w:t>01118</w:t>
          </w:r>
          <w:r w:rsidR="00DE47D5" w:rsidRPr="00025127">
            <w:rPr>
              <w:rFonts w:ascii="Palatino Linotype" w:hAnsi="Palatino Linotype"/>
              <w:b/>
              <w:sz w:val="22"/>
              <w:szCs w:val="22"/>
            </w:rPr>
            <w:t>/INFOEM/IP/RR/</w:t>
          </w:r>
          <w:r w:rsidR="00DE47D5">
            <w:rPr>
              <w:rFonts w:ascii="Palatino Linotype" w:hAnsi="Palatino Linotype"/>
              <w:b/>
              <w:sz w:val="22"/>
              <w:szCs w:val="22"/>
            </w:rPr>
            <w:t>202</w:t>
          </w:r>
          <w:r>
            <w:rPr>
              <w:rFonts w:ascii="Palatino Linotype" w:hAnsi="Palatino Linotype"/>
              <w:b/>
              <w:sz w:val="22"/>
              <w:szCs w:val="22"/>
            </w:rPr>
            <w:t>2</w:t>
          </w:r>
        </w:p>
      </w:tc>
    </w:tr>
    <w:tr w:rsidR="00DE47D5" w:rsidRPr="00025127" w14:paraId="128C8B3C" w14:textId="77777777" w:rsidTr="00523640">
      <w:trPr>
        <w:trHeight w:val="233"/>
        <w:jc w:val="right"/>
      </w:trPr>
      <w:tc>
        <w:tcPr>
          <w:tcW w:w="3969" w:type="dxa"/>
          <w:vAlign w:val="center"/>
        </w:tcPr>
        <w:p w14:paraId="483E3371" w14:textId="66B1BC74" w:rsidR="00DE47D5" w:rsidRPr="00025127" w:rsidRDefault="00DE47D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26B8D935" w:rsidR="00DE47D5" w:rsidRPr="00025127" w:rsidRDefault="00523640" w:rsidP="0058757A">
          <w:pPr>
            <w:pStyle w:val="Encabezado"/>
            <w:rPr>
              <w:rFonts w:ascii="Palatino Linotype" w:hAnsi="Palatino Linotype"/>
              <w:b/>
              <w:sz w:val="22"/>
              <w:szCs w:val="22"/>
            </w:rPr>
          </w:pPr>
          <w:r>
            <w:rPr>
              <w:rFonts w:ascii="Palatino Linotype" w:hAnsi="Palatino Linotype"/>
              <w:b/>
              <w:sz w:val="22"/>
              <w:szCs w:val="22"/>
            </w:rPr>
            <w:t>RECURRENTE</w:t>
          </w:r>
        </w:p>
      </w:tc>
    </w:tr>
    <w:tr w:rsidR="00DE47D5" w:rsidRPr="00025127" w14:paraId="41BE0704" w14:textId="77777777" w:rsidTr="00523640">
      <w:trPr>
        <w:trHeight w:val="321"/>
        <w:jc w:val="right"/>
      </w:trPr>
      <w:tc>
        <w:tcPr>
          <w:tcW w:w="3969" w:type="dxa"/>
          <w:vAlign w:val="center"/>
        </w:tcPr>
        <w:p w14:paraId="34C64148" w14:textId="10C6C8A9" w:rsidR="00DE47D5" w:rsidRPr="00025127" w:rsidRDefault="00DE47D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40073697" w:rsidR="00DE47D5" w:rsidRPr="00025127" w:rsidRDefault="00523640" w:rsidP="009B0E35">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Ixtlahuaca</w:t>
          </w:r>
        </w:p>
      </w:tc>
    </w:tr>
    <w:tr w:rsidR="00DE47D5" w:rsidRPr="00025127" w14:paraId="0C8B6193" w14:textId="77777777" w:rsidTr="00523640">
      <w:trPr>
        <w:trHeight w:val="321"/>
        <w:jc w:val="right"/>
      </w:trPr>
      <w:tc>
        <w:tcPr>
          <w:tcW w:w="3969" w:type="dxa"/>
          <w:vAlign w:val="center"/>
        </w:tcPr>
        <w:p w14:paraId="321FFAFF" w14:textId="0E8C2CE7" w:rsidR="00DE47D5" w:rsidRPr="00025127" w:rsidRDefault="00DE47D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DE47D5" w:rsidRPr="00025127" w:rsidRDefault="00DE47D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AE94B16" w:rsidR="00DE47D5" w:rsidRDefault="00B07FB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1.7pt;margin-top:-124.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9C78A6"/>
    <w:multiLevelType w:val="hybridMultilevel"/>
    <w:tmpl w:val="3B6E6710"/>
    <w:lvl w:ilvl="0" w:tplc="7AF6A864">
      <w:start w:val="1"/>
      <w:numFmt w:val="upperRoman"/>
      <w:lvlText w:val="%1."/>
      <w:lvlJc w:val="right"/>
      <w:pPr>
        <w:ind w:left="720" w:hanging="360"/>
      </w:pPr>
      <w:rPr>
        <w:b/>
      </w:rPr>
    </w:lvl>
    <w:lvl w:ilvl="1" w:tplc="4A5638F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2C5FC2"/>
    <w:multiLevelType w:val="hybridMultilevel"/>
    <w:tmpl w:val="0B367EEE"/>
    <w:lvl w:ilvl="0" w:tplc="FFFFFFFF">
      <w:start w:val="1"/>
      <w:numFmt w:val="decimal"/>
      <w:lvlText w:val="%1."/>
      <w:lvlJc w:val="left"/>
      <w:pPr>
        <w:ind w:left="0" w:firstLine="0"/>
      </w:pPr>
      <w:rPr>
        <w:rFonts w:ascii="Palatino Linotype" w:hAnsi="Palatino Linotype" w:hint="default"/>
        <w:b/>
        <w:i w:val="0"/>
        <w:sz w:val="24"/>
      </w:rPr>
    </w:lvl>
    <w:lvl w:ilvl="1" w:tplc="13BA27A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DE5129"/>
    <w:multiLevelType w:val="hybridMultilevel"/>
    <w:tmpl w:val="53F8ACB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D908B796">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85657"/>
    <w:multiLevelType w:val="hybridMultilevel"/>
    <w:tmpl w:val="CA44390C"/>
    <w:lvl w:ilvl="0" w:tplc="FFFFFFFF">
      <w:start w:val="1"/>
      <w:numFmt w:val="decimal"/>
      <w:lvlText w:val="%1."/>
      <w:lvlJc w:val="left"/>
      <w:pPr>
        <w:ind w:left="0" w:firstLine="0"/>
      </w:pPr>
      <w:rPr>
        <w:rFonts w:ascii="Palatino Linotype" w:hAnsi="Palatino Linotype" w:hint="default"/>
        <w:b/>
        <w:i w:val="0"/>
        <w:sz w:val="24"/>
      </w:rPr>
    </w:lvl>
    <w:lvl w:ilvl="1" w:tplc="E6CCE02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004453"/>
    <w:multiLevelType w:val="hybridMultilevel"/>
    <w:tmpl w:val="0CE27EF6"/>
    <w:lvl w:ilvl="0" w:tplc="FFFFFFFF">
      <w:start w:val="1"/>
      <w:numFmt w:val="upperRoman"/>
      <w:lvlText w:val="%1."/>
      <w:lvlJc w:val="right"/>
      <w:pPr>
        <w:ind w:left="720" w:hanging="360"/>
      </w:pPr>
      <w:rPr>
        <w:b/>
      </w:rPr>
    </w:lvl>
    <w:lvl w:ilvl="1" w:tplc="3E3E3206">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DC4946"/>
    <w:multiLevelType w:val="hybridMultilevel"/>
    <w:tmpl w:val="0D0CF69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78302830">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A5777C"/>
    <w:multiLevelType w:val="hybridMultilevel"/>
    <w:tmpl w:val="1F321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D94822"/>
    <w:multiLevelType w:val="hybridMultilevel"/>
    <w:tmpl w:val="1EEE058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60695B09"/>
    <w:multiLevelType w:val="hybridMultilevel"/>
    <w:tmpl w:val="2CCCEA48"/>
    <w:lvl w:ilvl="0" w:tplc="7AF6A86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270889"/>
    <w:multiLevelType w:val="hybridMultilevel"/>
    <w:tmpl w:val="D376EE96"/>
    <w:lvl w:ilvl="0" w:tplc="FFFFFFFF">
      <w:start w:val="1"/>
      <w:numFmt w:val="decimal"/>
      <w:lvlText w:val="%1."/>
      <w:lvlJc w:val="left"/>
      <w:pPr>
        <w:ind w:left="0" w:firstLine="0"/>
      </w:pPr>
      <w:rPr>
        <w:rFonts w:ascii="Palatino Linotype" w:hAnsi="Palatino Linotype" w:hint="default"/>
        <w:b/>
        <w:i w:val="0"/>
        <w:sz w:val="24"/>
      </w:rPr>
    </w:lvl>
    <w:lvl w:ilvl="1" w:tplc="8F7E624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D615DB"/>
    <w:multiLevelType w:val="hybridMultilevel"/>
    <w:tmpl w:val="2C5AE4E2"/>
    <w:lvl w:ilvl="0" w:tplc="7AF6A864">
      <w:start w:val="1"/>
      <w:numFmt w:val="upperRoman"/>
      <w:lvlText w:val="%1."/>
      <w:lvlJc w:val="right"/>
      <w:pPr>
        <w:ind w:left="720" w:hanging="360"/>
      </w:pPr>
      <w:rPr>
        <w:b/>
      </w:rPr>
    </w:lvl>
    <w:lvl w:ilvl="1" w:tplc="4190AD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0"/>
  </w:num>
  <w:num w:numId="5">
    <w:abstractNumId w:val="9"/>
  </w:num>
  <w:num w:numId="6">
    <w:abstractNumId w:val="13"/>
  </w:num>
  <w:num w:numId="7">
    <w:abstractNumId w:val="1"/>
  </w:num>
  <w:num w:numId="8">
    <w:abstractNumId w:val="15"/>
  </w:num>
  <w:num w:numId="9">
    <w:abstractNumId w:val="3"/>
  </w:num>
  <w:num w:numId="10">
    <w:abstractNumId w:val="8"/>
  </w:num>
  <w:num w:numId="11">
    <w:abstractNumId w:val="5"/>
  </w:num>
  <w:num w:numId="12">
    <w:abstractNumId w:val="6"/>
  </w:num>
  <w:num w:numId="13">
    <w:abstractNumId w:val="14"/>
  </w:num>
  <w:num w:numId="14">
    <w:abstractNumId w:val="2"/>
  </w:num>
  <w:num w:numId="15">
    <w:abstractNumId w:val="4"/>
  </w:num>
  <w:num w:numId="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7AC"/>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0361"/>
    <w:rsid w:val="00071287"/>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7651"/>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3F6A"/>
    <w:rsid w:val="00124015"/>
    <w:rsid w:val="00124CF1"/>
    <w:rsid w:val="001250B4"/>
    <w:rsid w:val="001253D1"/>
    <w:rsid w:val="00127E68"/>
    <w:rsid w:val="001318D2"/>
    <w:rsid w:val="001328AB"/>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71B"/>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5DC8"/>
    <w:rsid w:val="00166794"/>
    <w:rsid w:val="00167813"/>
    <w:rsid w:val="0017273C"/>
    <w:rsid w:val="001732E3"/>
    <w:rsid w:val="00174E02"/>
    <w:rsid w:val="0017653A"/>
    <w:rsid w:val="00176607"/>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5464"/>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08EC"/>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4796"/>
    <w:rsid w:val="00235DF2"/>
    <w:rsid w:val="00237611"/>
    <w:rsid w:val="002408D7"/>
    <w:rsid w:val="00241008"/>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0B9"/>
    <w:rsid w:val="002629A6"/>
    <w:rsid w:val="002630E4"/>
    <w:rsid w:val="00263F23"/>
    <w:rsid w:val="00264D02"/>
    <w:rsid w:val="00264DA7"/>
    <w:rsid w:val="0026500D"/>
    <w:rsid w:val="00265CD7"/>
    <w:rsid w:val="00266588"/>
    <w:rsid w:val="002665BD"/>
    <w:rsid w:val="00271B06"/>
    <w:rsid w:val="00272FEC"/>
    <w:rsid w:val="00273013"/>
    <w:rsid w:val="0027319E"/>
    <w:rsid w:val="00273C37"/>
    <w:rsid w:val="0027430D"/>
    <w:rsid w:val="002746D9"/>
    <w:rsid w:val="00274ED2"/>
    <w:rsid w:val="002754FC"/>
    <w:rsid w:val="002765F2"/>
    <w:rsid w:val="00277A35"/>
    <w:rsid w:val="00280994"/>
    <w:rsid w:val="00280E3F"/>
    <w:rsid w:val="00280F05"/>
    <w:rsid w:val="0028248C"/>
    <w:rsid w:val="002834A6"/>
    <w:rsid w:val="00286DDB"/>
    <w:rsid w:val="002871EB"/>
    <w:rsid w:val="002948C4"/>
    <w:rsid w:val="00297E45"/>
    <w:rsid w:val="002A2099"/>
    <w:rsid w:val="002A229B"/>
    <w:rsid w:val="002A35B6"/>
    <w:rsid w:val="002A4172"/>
    <w:rsid w:val="002A4516"/>
    <w:rsid w:val="002A54DE"/>
    <w:rsid w:val="002A633F"/>
    <w:rsid w:val="002A7FAB"/>
    <w:rsid w:val="002B085C"/>
    <w:rsid w:val="002B1AE9"/>
    <w:rsid w:val="002B2278"/>
    <w:rsid w:val="002B284F"/>
    <w:rsid w:val="002B2A2E"/>
    <w:rsid w:val="002B2F59"/>
    <w:rsid w:val="002B309C"/>
    <w:rsid w:val="002B4D21"/>
    <w:rsid w:val="002B6AC2"/>
    <w:rsid w:val="002C0074"/>
    <w:rsid w:val="002C0159"/>
    <w:rsid w:val="002C0804"/>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BEF"/>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0E47"/>
    <w:rsid w:val="00332E6B"/>
    <w:rsid w:val="003337F3"/>
    <w:rsid w:val="00333BE8"/>
    <w:rsid w:val="003344DB"/>
    <w:rsid w:val="00335898"/>
    <w:rsid w:val="00335BFE"/>
    <w:rsid w:val="00335E9C"/>
    <w:rsid w:val="0033608B"/>
    <w:rsid w:val="0033675D"/>
    <w:rsid w:val="00337941"/>
    <w:rsid w:val="003407D0"/>
    <w:rsid w:val="0034181B"/>
    <w:rsid w:val="00341B17"/>
    <w:rsid w:val="00342C51"/>
    <w:rsid w:val="00343280"/>
    <w:rsid w:val="00345856"/>
    <w:rsid w:val="0034595C"/>
    <w:rsid w:val="00345B79"/>
    <w:rsid w:val="00345D0F"/>
    <w:rsid w:val="0034614E"/>
    <w:rsid w:val="00346885"/>
    <w:rsid w:val="003472B3"/>
    <w:rsid w:val="0035104F"/>
    <w:rsid w:val="0035199B"/>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0D72"/>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3D9"/>
    <w:rsid w:val="003A6417"/>
    <w:rsid w:val="003A65FE"/>
    <w:rsid w:val="003A6A5A"/>
    <w:rsid w:val="003A6F21"/>
    <w:rsid w:val="003A7221"/>
    <w:rsid w:val="003A730E"/>
    <w:rsid w:val="003B123F"/>
    <w:rsid w:val="003B1CEE"/>
    <w:rsid w:val="003B2199"/>
    <w:rsid w:val="003B2856"/>
    <w:rsid w:val="003B2A0D"/>
    <w:rsid w:val="003B31FA"/>
    <w:rsid w:val="003B55AD"/>
    <w:rsid w:val="003B6E2A"/>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769"/>
    <w:rsid w:val="003F0DDA"/>
    <w:rsid w:val="003F140F"/>
    <w:rsid w:val="003F15DB"/>
    <w:rsid w:val="003F2702"/>
    <w:rsid w:val="003F2778"/>
    <w:rsid w:val="003F36A4"/>
    <w:rsid w:val="003F4900"/>
    <w:rsid w:val="003F70CA"/>
    <w:rsid w:val="003F7823"/>
    <w:rsid w:val="003F7F50"/>
    <w:rsid w:val="00400E76"/>
    <w:rsid w:val="0040137F"/>
    <w:rsid w:val="00402179"/>
    <w:rsid w:val="0040278D"/>
    <w:rsid w:val="00403249"/>
    <w:rsid w:val="00405372"/>
    <w:rsid w:val="004078C8"/>
    <w:rsid w:val="004102DE"/>
    <w:rsid w:val="00412696"/>
    <w:rsid w:val="00412E24"/>
    <w:rsid w:val="004147B1"/>
    <w:rsid w:val="00414B5B"/>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66049"/>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2EA2"/>
    <w:rsid w:val="004A3085"/>
    <w:rsid w:val="004A3C58"/>
    <w:rsid w:val="004A4178"/>
    <w:rsid w:val="004A4BD5"/>
    <w:rsid w:val="004A4CFD"/>
    <w:rsid w:val="004A677C"/>
    <w:rsid w:val="004A6C04"/>
    <w:rsid w:val="004A7D4A"/>
    <w:rsid w:val="004B05A5"/>
    <w:rsid w:val="004B0EB6"/>
    <w:rsid w:val="004B176B"/>
    <w:rsid w:val="004B2713"/>
    <w:rsid w:val="004B293C"/>
    <w:rsid w:val="004B3A2A"/>
    <w:rsid w:val="004B3D59"/>
    <w:rsid w:val="004B4713"/>
    <w:rsid w:val="004B4BE7"/>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26F1"/>
    <w:rsid w:val="004D3142"/>
    <w:rsid w:val="004D36A1"/>
    <w:rsid w:val="004D37D7"/>
    <w:rsid w:val="004D4509"/>
    <w:rsid w:val="004D52DD"/>
    <w:rsid w:val="004D5A36"/>
    <w:rsid w:val="004D68F8"/>
    <w:rsid w:val="004D6D19"/>
    <w:rsid w:val="004D7686"/>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C2C"/>
    <w:rsid w:val="00515DEC"/>
    <w:rsid w:val="00516603"/>
    <w:rsid w:val="005166F9"/>
    <w:rsid w:val="005167B1"/>
    <w:rsid w:val="00516D19"/>
    <w:rsid w:val="00517A46"/>
    <w:rsid w:val="00517D20"/>
    <w:rsid w:val="00520763"/>
    <w:rsid w:val="005215EE"/>
    <w:rsid w:val="00521F15"/>
    <w:rsid w:val="00522599"/>
    <w:rsid w:val="00522F5F"/>
    <w:rsid w:val="00523640"/>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59A"/>
    <w:rsid w:val="005516E0"/>
    <w:rsid w:val="00551A9B"/>
    <w:rsid w:val="005520BF"/>
    <w:rsid w:val="00552213"/>
    <w:rsid w:val="005526F4"/>
    <w:rsid w:val="0055544F"/>
    <w:rsid w:val="00556B04"/>
    <w:rsid w:val="00556F72"/>
    <w:rsid w:val="00556F82"/>
    <w:rsid w:val="00560018"/>
    <w:rsid w:val="00560C00"/>
    <w:rsid w:val="00561ED1"/>
    <w:rsid w:val="00562B0A"/>
    <w:rsid w:val="00562CCE"/>
    <w:rsid w:val="00563FC3"/>
    <w:rsid w:val="00564457"/>
    <w:rsid w:val="0056555A"/>
    <w:rsid w:val="005669D6"/>
    <w:rsid w:val="0056788F"/>
    <w:rsid w:val="00567998"/>
    <w:rsid w:val="00570911"/>
    <w:rsid w:val="00573BC6"/>
    <w:rsid w:val="005759CD"/>
    <w:rsid w:val="00575D39"/>
    <w:rsid w:val="00575F2C"/>
    <w:rsid w:val="00577884"/>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39D"/>
    <w:rsid w:val="005A3513"/>
    <w:rsid w:val="005A3581"/>
    <w:rsid w:val="005A3BD7"/>
    <w:rsid w:val="005A5F8D"/>
    <w:rsid w:val="005A60E1"/>
    <w:rsid w:val="005A6788"/>
    <w:rsid w:val="005A786F"/>
    <w:rsid w:val="005B13E4"/>
    <w:rsid w:val="005B169C"/>
    <w:rsid w:val="005B2DD1"/>
    <w:rsid w:val="005B3A49"/>
    <w:rsid w:val="005B6ADF"/>
    <w:rsid w:val="005B6AE7"/>
    <w:rsid w:val="005B773D"/>
    <w:rsid w:val="005B7C5D"/>
    <w:rsid w:val="005C02B5"/>
    <w:rsid w:val="005C0821"/>
    <w:rsid w:val="005C1A74"/>
    <w:rsid w:val="005C3294"/>
    <w:rsid w:val="005C347F"/>
    <w:rsid w:val="005C3B63"/>
    <w:rsid w:val="005C450C"/>
    <w:rsid w:val="005C5652"/>
    <w:rsid w:val="005C6961"/>
    <w:rsid w:val="005C6F55"/>
    <w:rsid w:val="005D0EB4"/>
    <w:rsid w:val="005D18A6"/>
    <w:rsid w:val="005D27DD"/>
    <w:rsid w:val="005D3493"/>
    <w:rsid w:val="005D622E"/>
    <w:rsid w:val="005D6617"/>
    <w:rsid w:val="005D6FF0"/>
    <w:rsid w:val="005E0EF0"/>
    <w:rsid w:val="005E11D5"/>
    <w:rsid w:val="005E34D4"/>
    <w:rsid w:val="005E3716"/>
    <w:rsid w:val="005E3AE2"/>
    <w:rsid w:val="005E3FDE"/>
    <w:rsid w:val="005E55F2"/>
    <w:rsid w:val="005E68FC"/>
    <w:rsid w:val="005E7271"/>
    <w:rsid w:val="005E76A0"/>
    <w:rsid w:val="005E7CC9"/>
    <w:rsid w:val="005E7DC2"/>
    <w:rsid w:val="005F0007"/>
    <w:rsid w:val="005F0E6C"/>
    <w:rsid w:val="005F130C"/>
    <w:rsid w:val="005F1362"/>
    <w:rsid w:val="005F1BAD"/>
    <w:rsid w:val="005F3685"/>
    <w:rsid w:val="005F487C"/>
    <w:rsid w:val="005F53A4"/>
    <w:rsid w:val="005F5FE1"/>
    <w:rsid w:val="005F62B2"/>
    <w:rsid w:val="005F715E"/>
    <w:rsid w:val="006010DA"/>
    <w:rsid w:val="006017AB"/>
    <w:rsid w:val="00604AC3"/>
    <w:rsid w:val="00605865"/>
    <w:rsid w:val="00611DC1"/>
    <w:rsid w:val="00613655"/>
    <w:rsid w:val="006144EE"/>
    <w:rsid w:val="00614DC5"/>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6A08"/>
    <w:rsid w:val="00650392"/>
    <w:rsid w:val="0065061D"/>
    <w:rsid w:val="00651701"/>
    <w:rsid w:val="00652854"/>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79C"/>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030"/>
    <w:rsid w:val="006A79C3"/>
    <w:rsid w:val="006B004E"/>
    <w:rsid w:val="006B0198"/>
    <w:rsid w:val="006B12E8"/>
    <w:rsid w:val="006B1C19"/>
    <w:rsid w:val="006B2A9C"/>
    <w:rsid w:val="006B31E7"/>
    <w:rsid w:val="006B65D4"/>
    <w:rsid w:val="006B7A58"/>
    <w:rsid w:val="006C26B3"/>
    <w:rsid w:val="006C2FEE"/>
    <w:rsid w:val="006C50B1"/>
    <w:rsid w:val="006C50C2"/>
    <w:rsid w:val="006C563A"/>
    <w:rsid w:val="006C6C8C"/>
    <w:rsid w:val="006C6E1A"/>
    <w:rsid w:val="006D24C4"/>
    <w:rsid w:val="006D27EF"/>
    <w:rsid w:val="006D2ED6"/>
    <w:rsid w:val="006D425C"/>
    <w:rsid w:val="006D52D1"/>
    <w:rsid w:val="006D77A2"/>
    <w:rsid w:val="006E013D"/>
    <w:rsid w:val="006E1056"/>
    <w:rsid w:val="006E3A2A"/>
    <w:rsid w:val="006E3C4C"/>
    <w:rsid w:val="006E4BD4"/>
    <w:rsid w:val="006E4E2A"/>
    <w:rsid w:val="006E5950"/>
    <w:rsid w:val="006E6B65"/>
    <w:rsid w:val="006E6C14"/>
    <w:rsid w:val="006E73D4"/>
    <w:rsid w:val="006E7CC5"/>
    <w:rsid w:val="006F07E9"/>
    <w:rsid w:val="006F1E31"/>
    <w:rsid w:val="006F2C12"/>
    <w:rsid w:val="006F2F92"/>
    <w:rsid w:val="006F3266"/>
    <w:rsid w:val="006F51AA"/>
    <w:rsid w:val="006F69E5"/>
    <w:rsid w:val="00701218"/>
    <w:rsid w:val="007050B1"/>
    <w:rsid w:val="00705527"/>
    <w:rsid w:val="00707096"/>
    <w:rsid w:val="00710B50"/>
    <w:rsid w:val="007127BB"/>
    <w:rsid w:val="007136BC"/>
    <w:rsid w:val="00714576"/>
    <w:rsid w:val="00714FEC"/>
    <w:rsid w:val="00715A04"/>
    <w:rsid w:val="00715B7D"/>
    <w:rsid w:val="0072017B"/>
    <w:rsid w:val="00721335"/>
    <w:rsid w:val="00721924"/>
    <w:rsid w:val="00721F66"/>
    <w:rsid w:val="00722B93"/>
    <w:rsid w:val="0072445A"/>
    <w:rsid w:val="00731F1F"/>
    <w:rsid w:val="0073324B"/>
    <w:rsid w:val="007337E6"/>
    <w:rsid w:val="00735A75"/>
    <w:rsid w:val="007365AD"/>
    <w:rsid w:val="00736E6E"/>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3BB0"/>
    <w:rsid w:val="007644E6"/>
    <w:rsid w:val="007652EA"/>
    <w:rsid w:val="00766CDD"/>
    <w:rsid w:val="007674F3"/>
    <w:rsid w:val="00767CD2"/>
    <w:rsid w:val="00770859"/>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22EB"/>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7F7963"/>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BF2"/>
    <w:rsid w:val="008211DC"/>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127"/>
    <w:rsid w:val="0084587A"/>
    <w:rsid w:val="00845D12"/>
    <w:rsid w:val="00846713"/>
    <w:rsid w:val="00846D48"/>
    <w:rsid w:val="008473FA"/>
    <w:rsid w:val="008477CE"/>
    <w:rsid w:val="00847830"/>
    <w:rsid w:val="0085147F"/>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EF"/>
    <w:rsid w:val="00896AD4"/>
    <w:rsid w:val="00897752"/>
    <w:rsid w:val="008A2811"/>
    <w:rsid w:val="008A307C"/>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33F9"/>
    <w:rsid w:val="008C41A7"/>
    <w:rsid w:val="008C6F34"/>
    <w:rsid w:val="008C7108"/>
    <w:rsid w:val="008C75C8"/>
    <w:rsid w:val="008D02A3"/>
    <w:rsid w:val="008D22D8"/>
    <w:rsid w:val="008D259C"/>
    <w:rsid w:val="008D2BCD"/>
    <w:rsid w:val="008D3E2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16DF1"/>
    <w:rsid w:val="009210C9"/>
    <w:rsid w:val="00925C68"/>
    <w:rsid w:val="009315B0"/>
    <w:rsid w:val="009316E9"/>
    <w:rsid w:val="00931C93"/>
    <w:rsid w:val="00931EE2"/>
    <w:rsid w:val="00931FD8"/>
    <w:rsid w:val="0093282F"/>
    <w:rsid w:val="0093416D"/>
    <w:rsid w:val="009362A8"/>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6C90"/>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62A"/>
    <w:rsid w:val="00990EE2"/>
    <w:rsid w:val="009916D2"/>
    <w:rsid w:val="009917E9"/>
    <w:rsid w:val="009918B7"/>
    <w:rsid w:val="009918C6"/>
    <w:rsid w:val="0099229C"/>
    <w:rsid w:val="00992D4F"/>
    <w:rsid w:val="00994E5F"/>
    <w:rsid w:val="009959DB"/>
    <w:rsid w:val="00995C9F"/>
    <w:rsid w:val="0099752D"/>
    <w:rsid w:val="00997C2A"/>
    <w:rsid w:val="009A0358"/>
    <w:rsid w:val="009A0461"/>
    <w:rsid w:val="009A0E2A"/>
    <w:rsid w:val="009A1E9E"/>
    <w:rsid w:val="009A28A2"/>
    <w:rsid w:val="009A2D33"/>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C57AC"/>
    <w:rsid w:val="009D1378"/>
    <w:rsid w:val="009D1780"/>
    <w:rsid w:val="009D2384"/>
    <w:rsid w:val="009D3240"/>
    <w:rsid w:val="009D3A6E"/>
    <w:rsid w:val="009D61D9"/>
    <w:rsid w:val="009D624D"/>
    <w:rsid w:val="009D6AD5"/>
    <w:rsid w:val="009E0AB4"/>
    <w:rsid w:val="009E10C7"/>
    <w:rsid w:val="009E260E"/>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0D8"/>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3B22"/>
    <w:rsid w:val="00A349D2"/>
    <w:rsid w:val="00A34C05"/>
    <w:rsid w:val="00A35492"/>
    <w:rsid w:val="00A4044E"/>
    <w:rsid w:val="00A415FA"/>
    <w:rsid w:val="00A42475"/>
    <w:rsid w:val="00A42869"/>
    <w:rsid w:val="00A4379F"/>
    <w:rsid w:val="00A4434D"/>
    <w:rsid w:val="00A45039"/>
    <w:rsid w:val="00A454E0"/>
    <w:rsid w:val="00A45546"/>
    <w:rsid w:val="00A4585A"/>
    <w:rsid w:val="00A459B3"/>
    <w:rsid w:val="00A459D6"/>
    <w:rsid w:val="00A45B12"/>
    <w:rsid w:val="00A45EB8"/>
    <w:rsid w:val="00A462D5"/>
    <w:rsid w:val="00A4650A"/>
    <w:rsid w:val="00A46F7C"/>
    <w:rsid w:val="00A471A7"/>
    <w:rsid w:val="00A47279"/>
    <w:rsid w:val="00A50720"/>
    <w:rsid w:val="00A50922"/>
    <w:rsid w:val="00A50B8A"/>
    <w:rsid w:val="00A51F40"/>
    <w:rsid w:val="00A52C7A"/>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3838"/>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5FE2"/>
    <w:rsid w:val="00AD6AC5"/>
    <w:rsid w:val="00AD76A1"/>
    <w:rsid w:val="00AE48E8"/>
    <w:rsid w:val="00AE7F20"/>
    <w:rsid w:val="00AF02E2"/>
    <w:rsid w:val="00AF0E7C"/>
    <w:rsid w:val="00AF1F04"/>
    <w:rsid w:val="00AF3B55"/>
    <w:rsid w:val="00AF3D59"/>
    <w:rsid w:val="00AF6794"/>
    <w:rsid w:val="00AF6F48"/>
    <w:rsid w:val="00AF717E"/>
    <w:rsid w:val="00B016F7"/>
    <w:rsid w:val="00B02BDD"/>
    <w:rsid w:val="00B04E10"/>
    <w:rsid w:val="00B055B9"/>
    <w:rsid w:val="00B056F3"/>
    <w:rsid w:val="00B07F23"/>
    <w:rsid w:val="00B07FBA"/>
    <w:rsid w:val="00B13243"/>
    <w:rsid w:val="00B13511"/>
    <w:rsid w:val="00B13D85"/>
    <w:rsid w:val="00B16296"/>
    <w:rsid w:val="00B16576"/>
    <w:rsid w:val="00B16CC7"/>
    <w:rsid w:val="00B1786A"/>
    <w:rsid w:val="00B206D8"/>
    <w:rsid w:val="00B20C75"/>
    <w:rsid w:val="00B230E5"/>
    <w:rsid w:val="00B23E88"/>
    <w:rsid w:val="00B267A4"/>
    <w:rsid w:val="00B26A5F"/>
    <w:rsid w:val="00B312C7"/>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B8A"/>
    <w:rsid w:val="00B56F9B"/>
    <w:rsid w:val="00B64099"/>
    <w:rsid w:val="00B643D6"/>
    <w:rsid w:val="00B64919"/>
    <w:rsid w:val="00B667C6"/>
    <w:rsid w:val="00B66BC8"/>
    <w:rsid w:val="00B71F08"/>
    <w:rsid w:val="00B73838"/>
    <w:rsid w:val="00B7387B"/>
    <w:rsid w:val="00B741AA"/>
    <w:rsid w:val="00B7421A"/>
    <w:rsid w:val="00B74366"/>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0A2"/>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29F7"/>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B25"/>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2FCF"/>
    <w:rsid w:val="00C5401F"/>
    <w:rsid w:val="00C54922"/>
    <w:rsid w:val="00C55FE8"/>
    <w:rsid w:val="00C601EF"/>
    <w:rsid w:val="00C6220B"/>
    <w:rsid w:val="00C62658"/>
    <w:rsid w:val="00C634D6"/>
    <w:rsid w:val="00C63CF2"/>
    <w:rsid w:val="00C6440A"/>
    <w:rsid w:val="00C648FC"/>
    <w:rsid w:val="00C65726"/>
    <w:rsid w:val="00C65EDE"/>
    <w:rsid w:val="00C663BE"/>
    <w:rsid w:val="00C70AB7"/>
    <w:rsid w:val="00C71858"/>
    <w:rsid w:val="00C722C5"/>
    <w:rsid w:val="00C74346"/>
    <w:rsid w:val="00C744AE"/>
    <w:rsid w:val="00C74781"/>
    <w:rsid w:val="00C76B87"/>
    <w:rsid w:val="00C80034"/>
    <w:rsid w:val="00C80729"/>
    <w:rsid w:val="00C828E8"/>
    <w:rsid w:val="00C83579"/>
    <w:rsid w:val="00C83EA7"/>
    <w:rsid w:val="00C843EC"/>
    <w:rsid w:val="00C84559"/>
    <w:rsid w:val="00C84CB9"/>
    <w:rsid w:val="00C84E31"/>
    <w:rsid w:val="00C862C4"/>
    <w:rsid w:val="00C86977"/>
    <w:rsid w:val="00C86B34"/>
    <w:rsid w:val="00C86FFF"/>
    <w:rsid w:val="00C871C7"/>
    <w:rsid w:val="00C91060"/>
    <w:rsid w:val="00C928FD"/>
    <w:rsid w:val="00C95593"/>
    <w:rsid w:val="00CA0640"/>
    <w:rsid w:val="00CA2022"/>
    <w:rsid w:val="00CA4741"/>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D25"/>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0B61"/>
    <w:rsid w:val="00D41B84"/>
    <w:rsid w:val="00D41E2D"/>
    <w:rsid w:val="00D42588"/>
    <w:rsid w:val="00D4287D"/>
    <w:rsid w:val="00D42957"/>
    <w:rsid w:val="00D446E7"/>
    <w:rsid w:val="00D47265"/>
    <w:rsid w:val="00D47500"/>
    <w:rsid w:val="00D4793C"/>
    <w:rsid w:val="00D525E2"/>
    <w:rsid w:val="00D60582"/>
    <w:rsid w:val="00D61222"/>
    <w:rsid w:val="00D63800"/>
    <w:rsid w:val="00D63990"/>
    <w:rsid w:val="00D65068"/>
    <w:rsid w:val="00D65243"/>
    <w:rsid w:val="00D658A1"/>
    <w:rsid w:val="00D65BBD"/>
    <w:rsid w:val="00D67E99"/>
    <w:rsid w:val="00D71057"/>
    <w:rsid w:val="00D730F6"/>
    <w:rsid w:val="00D738F0"/>
    <w:rsid w:val="00D75E6C"/>
    <w:rsid w:val="00D764F5"/>
    <w:rsid w:val="00D82CB3"/>
    <w:rsid w:val="00D82FC0"/>
    <w:rsid w:val="00D8322A"/>
    <w:rsid w:val="00D83C17"/>
    <w:rsid w:val="00D8541E"/>
    <w:rsid w:val="00D85885"/>
    <w:rsid w:val="00D8720F"/>
    <w:rsid w:val="00D87527"/>
    <w:rsid w:val="00D87652"/>
    <w:rsid w:val="00D87A89"/>
    <w:rsid w:val="00D905C2"/>
    <w:rsid w:val="00D92D08"/>
    <w:rsid w:val="00D9372E"/>
    <w:rsid w:val="00D938BE"/>
    <w:rsid w:val="00D9392E"/>
    <w:rsid w:val="00D947F0"/>
    <w:rsid w:val="00D9630B"/>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478"/>
    <w:rsid w:val="00DD353B"/>
    <w:rsid w:val="00DD3902"/>
    <w:rsid w:val="00DD417A"/>
    <w:rsid w:val="00DD45C1"/>
    <w:rsid w:val="00DD4849"/>
    <w:rsid w:val="00DD54CB"/>
    <w:rsid w:val="00DE0FC0"/>
    <w:rsid w:val="00DE190A"/>
    <w:rsid w:val="00DE1A76"/>
    <w:rsid w:val="00DE31D8"/>
    <w:rsid w:val="00DE3A31"/>
    <w:rsid w:val="00DE47D5"/>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5E31"/>
    <w:rsid w:val="00E16412"/>
    <w:rsid w:val="00E165DD"/>
    <w:rsid w:val="00E16A98"/>
    <w:rsid w:val="00E227C3"/>
    <w:rsid w:val="00E22843"/>
    <w:rsid w:val="00E23111"/>
    <w:rsid w:val="00E2429E"/>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385"/>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5552"/>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697F"/>
    <w:rsid w:val="00F17EFA"/>
    <w:rsid w:val="00F20933"/>
    <w:rsid w:val="00F21705"/>
    <w:rsid w:val="00F231FC"/>
    <w:rsid w:val="00F24AB7"/>
    <w:rsid w:val="00F2567E"/>
    <w:rsid w:val="00F25E84"/>
    <w:rsid w:val="00F26068"/>
    <w:rsid w:val="00F2706D"/>
    <w:rsid w:val="00F2723F"/>
    <w:rsid w:val="00F27ADB"/>
    <w:rsid w:val="00F31178"/>
    <w:rsid w:val="00F3117D"/>
    <w:rsid w:val="00F325F9"/>
    <w:rsid w:val="00F32971"/>
    <w:rsid w:val="00F3400B"/>
    <w:rsid w:val="00F35C44"/>
    <w:rsid w:val="00F37B6F"/>
    <w:rsid w:val="00F40C05"/>
    <w:rsid w:val="00F40E86"/>
    <w:rsid w:val="00F42168"/>
    <w:rsid w:val="00F425B3"/>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5E14"/>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201"/>
    <w:rsid w:val="00FA5AE3"/>
    <w:rsid w:val="00FA73DD"/>
    <w:rsid w:val="00FB13C2"/>
    <w:rsid w:val="00FB201B"/>
    <w:rsid w:val="00FB27FA"/>
    <w:rsid w:val="00FB35D3"/>
    <w:rsid w:val="00FB380D"/>
    <w:rsid w:val="00FB3FB7"/>
    <w:rsid w:val="00FB68A4"/>
    <w:rsid w:val="00FB76C5"/>
    <w:rsid w:val="00FB7FBE"/>
    <w:rsid w:val="00FC0824"/>
    <w:rsid w:val="00FC0C57"/>
    <w:rsid w:val="00FC1329"/>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82F"/>
    <w:rsid w:val="00FD7996"/>
    <w:rsid w:val="00FD7B5E"/>
    <w:rsid w:val="00FD7EFE"/>
    <w:rsid w:val="00FE0837"/>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740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476144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141182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1260128">
      <w:bodyDiv w:val="1"/>
      <w:marLeft w:val="0"/>
      <w:marRight w:val="0"/>
      <w:marTop w:val="0"/>
      <w:marBottom w:val="0"/>
      <w:divBdr>
        <w:top w:val="none" w:sz="0" w:space="0" w:color="auto"/>
        <w:left w:val="none" w:sz="0" w:space="0" w:color="auto"/>
        <w:bottom w:val="none" w:sz="0" w:space="0" w:color="auto"/>
        <w:right w:val="none" w:sz="0" w:space="0" w:color="auto"/>
      </w:divBdr>
      <w:divsChild>
        <w:div w:id="2075926427">
          <w:marLeft w:val="0"/>
          <w:marRight w:val="0"/>
          <w:marTop w:val="0"/>
          <w:marBottom w:val="101"/>
          <w:divBdr>
            <w:top w:val="none" w:sz="0" w:space="0" w:color="auto"/>
            <w:left w:val="none" w:sz="0" w:space="0" w:color="auto"/>
            <w:bottom w:val="none" w:sz="0" w:space="0" w:color="auto"/>
            <w:right w:val="none" w:sz="0" w:space="0" w:color="auto"/>
          </w:divBdr>
        </w:div>
        <w:div w:id="486820255">
          <w:marLeft w:val="864"/>
          <w:marRight w:val="0"/>
          <w:marTop w:val="0"/>
          <w:marBottom w:val="101"/>
          <w:divBdr>
            <w:top w:val="none" w:sz="0" w:space="0" w:color="auto"/>
            <w:left w:val="none" w:sz="0" w:space="0" w:color="auto"/>
            <w:bottom w:val="none" w:sz="0" w:space="0" w:color="auto"/>
            <w:right w:val="none" w:sz="0" w:space="0" w:color="auto"/>
          </w:divBdr>
        </w:div>
        <w:div w:id="1737825621">
          <w:marLeft w:val="864"/>
          <w:marRight w:val="0"/>
          <w:marTop w:val="0"/>
          <w:marBottom w:val="101"/>
          <w:divBdr>
            <w:top w:val="none" w:sz="0" w:space="0" w:color="auto"/>
            <w:left w:val="none" w:sz="0" w:space="0" w:color="auto"/>
            <w:bottom w:val="none" w:sz="0" w:space="0" w:color="auto"/>
            <w:right w:val="none" w:sz="0" w:space="0" w:color="auto"/>
          </w:divBdr>
        </w:div>
      </w:divsChild>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293570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252E-767E-4A8A-B8E0-AEC31016B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6444</Words>
  <Characters>35443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2021-11-04T19:26:00Z</cp:lastPrinted>
  <dcterms:created xsi:type="dcterms:W3CDTF">2022-05-06T20:01:00Z</dcterms:created>
  <dcterms:modified xsi:type="dcterms:W3CDTF">2022-05-06T20:01:00Z</dcterms:modified>
</cp:coreProperties>
</file>