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A88" w:rsidRDefault="00096237">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Palatino Linotype" w:hAnsi="Palatino Linotype" w:cs="Palatino Linotype"/>
          <w:b/>
        </w:rPr>
        <w:t>veinticuatro de marzo de dos mil veintidós</w:t>
      </w:r>
      <w:r>
        <w:rPr>
          <w:rFonts w:ascii="Palatino Linotype" w:eastAsia="Palatino Linotype" w:hAnsi="Palatino Linotype" w:cs="Palatino Linotype"/>
        </w:rPr>
        <w:t xml:space="preserve">. </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00514/INFOEM/IP/RR/2022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un particular de manera anónima,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como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Tepetlaoxtoc,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515A88" w:rsidRDefault="00096237">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diez de enero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00003/TEPETLAO/IP/2022, </w:t>
      </w:r>
      <w:r>
        <w:rPr>
          <w:rFonts w:ascii="Palatino Linotype" w:eastAsia="Palatino Linotype" w:hAnsi="Palatino Linotype" w:cs="Palatino Linotype"/>
        </w:rPr>
        <w:t xml:space="preserve">mediante la cual requirió la información siguiente: </w:t>
      </w:r>
    </w:p>
    <w:p w:rsidR="00515A88" w:rsidRDefault="00096237">
      <w:pPr>
        <w:spacing w:before="240" w:after="240" w:line="276" w:lineRule="auto"/>
        <w:ind w:left="567" w:right="900"/>
        <w:jc w:val="both"/>
        <w:rPr>
          <w:rFonts w:ascii="Palatino Linotype" w:eastAsia="Palatino Linotype" w:hAnsi="Palatino Linotype" w:cs="Palatino Linotype"/>
          <w:b/>
          <w:i/>
          <w:sz w:val="22"/>
          <w:szCs w:val="22"/>
        </w:rPr>
      </w:pPr>
      <w:bookmarkStart w:id="1" w:name="_heading=h.gjdgxs" w:colFirst="0" w:colLast="0"/>
      <w:bookmarkEnd w:id="1"/>
      <w:r>
        <w:rPr>
          <w:rFonts w:ascii="Palatino Linotype" w:eastAsia="Palatino Linotype" w:hAnsi="Palatino Linotype" w:cs="Palatino Linotype"/>
          <w:i/>
          <w:sz w:val="22"/>
          <w:szCs w:val="22"/>
        </w:rPr>
        <w:t>“Contrato de prestación de servicios de todos y cada uno de los Servidores Públicos adscritos a este Municipio.” (Sic)</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uno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acceso a la información en los términos siguientes:   </w:t>
      </w:r>
    </w:p>
    <w:p w:rsidR="00515A88" w:rsidRDefault="00096237">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515A88" w:rsidRDefault="00096237">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RESPUESTA A LA SOLICITUD 00003/TEPETLAO/IP/2022” (sic)</w:t>
      </w:r>
    </w:p>
    <w:p w:rsidR="00515A88" w:rsidRDefault="00096237">
      <w:pPr>
        <w:spacing w:before="240" w:after="240" w:line="276" w:lineRule="auto"/>
        <w:ind w:left="851" w:right="90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Archivos adjuntos:</w:t>
      </w:r>
    </w:p>
    <w:p w:rsidR="00515A88" w:rsidRDefault="00096237">
      <w:pPr>
        <w:numPr>
          <w:ilvl w:val="0"/>
          <w:numId w:val="2"/>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r>
        <w:rPr>
          <w:rFonts w:ascii="Palatino Linotype" w:eastAsia="Palatino Linotype" w:hAnsi="Palatino Linotype" w:cs="Palatino Linotype"/>
          <w:b/>
          <w:i/>
          <w:color w:val="000000"/>
        </w:rPr>
        <w:t xml:space="preserve">RESPUESTA00003.pdf”: </w:t>
      </w:r>
      <w:r>
        <w:rPr>
          <w:rFonts w:ascii="Palatino Linotype" w:eastAsia="Palatino Linotype" w:hAnsi="Palatino Linotype" w:cs="Palatino Linotype"/>
          <w:color w:val="000000"/>
        </w:rPr>
        <w:t xml:space="preserve">Consiste en el oficio TEPE/RH/016/2022, signado por el Jefe de Departamento de Recursos Humanos, mediante el cual refiere que la información solicitada se encuentra clasificada por su naturaleza como información confidencial. </w:t>
      </w:r>
    </w:p>
    <w:p w:rsidR="00515A88" w:rsidRDefault="0009623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dos de febrero de dos mil veintidós, la parte Recurrente, </w:t>
      </w:r>
      <w:r>
        <w:rPr>
          <w:rFonts w:ascii="Palatino Linotype" w:eastAsia="Palatino Linotype" w:hAnsi="Palatino Linotype" w:cs="Palatino Linotype"/>
        </w:rPr>
        <w:t>inconforme con la respuesta, presentó el recurso de revisión a través del cual expresó lo siguiente:</w:t>
      </w:r>
    </w:p>
    <w:p w:rsidR="00515A88" w:rsidRDefault="00515A88">
      <w:pPr>
        <w:spacing w:before="240" w:after="240" w:line="360" w:lineRule="auto"/>
        <w:ind w:left="851" w:right="900"/>
        <w:jc w:val="both"/>
        <w:rPr>
          <w:rFonts w:ascii="Palatino Linotype" w:eastAsia="Palatino Linotype" w:hAnsi="Palatino Linotype" w:cs="Palatino Linotype"/>
          <w:i/>
          <w:sz w:val="2"/>
          <w:szCs w:val="2"/>
        </w:rPr>
      </w:pPr>
    </w:p>
    <w:p w:rsidR="00515A88" w:rsidRDefault="00096237">
      <w:pPr>
        <w:spacing w:before="240" w:after="240"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515A88" w:rsidRDefault="00096237">
      <w:pPr>
        <w:spacing w:before="240"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entrega informacion, limitandose a manifestar que es confidencial sin la debida clasificacion” (Sic)</w:t>
      </w:r>
    </w:p>
    <w:p w:rsidR="00515A88" w:rsidRDefault="00096237">
      <w:pPr>
        <w:spacing w:before="240"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515A88" w:rsidRDefault="00096237">
      <w:pPr>
        <w:spacing w:before="240"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entrega informacion, limitandose a manifestar que es confidencial sin la debida clasificacion” (Sic)</w:t>
      </w:r>
    </w:p>
    <w:p w:rsidR="00515A88" w:rsidRDefault="00515A88">
      <w:pPr>
        <w:spacing w:before="240" w:after="240" w:line="360" w:lineRule="auto"/>
        <w:jc w:val="both"/>
        <w:rPr>
          <w:rFonts w:ascii="Palatino Linotype" w:eastAsia="Palatino Linotype" w:hAnsi="Palatino Linotype" w:cs="Palatino Linotype"/>
          <w:sz w:val="2"/>
          <w:szCs w:val="2"/>
        </w:rPr>
      </w:pP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w:t>
      </w:r>
      <w:r>
        <w:rPr>
          <w:rFonts w:ascii="Palatino Linotype" w:eastAsia="Palatino Linotype" w:hAnsi="Palatino Linotype" w:cs="Palatino Linotype"/>
        </w:rPr>
        <w:lastRenderedPageBreak/>
        <w:t xml:space="preserve">Transparencia, Acceso a la Información Pública y Protección de Datos Personales del Estado de México y Municipios, a la </w:t>
      </w:r>
      <w:r>
        <w:rPr>
          <w:rFonts w:ascii="Palatino Linotype" w:eastAsia="Palatino Linotype" w:hAnsi="Palatino Linotype" w:cs="Palatino Linotype"/>
          <w:b/>
        </w:rPr>
        <w:t xml:space="preserve">Comisionada Guadalupe Ramírez Peña, </w:t>
      </w:r>
      <w:r>
        <w:rPr>
          <w:rFonts w:ascii="Palatino Linotype" w:eastAsia="Palatino Linotype" w:hAnsi="Palatino Linotype" w:cs="Palatino Linotype"/>
        </w:rPr>
        <w:t>a efecto de que analizara sobre su admisión o su desechamiento.</w:t>
      </w:r>
    </w:p>
    <w:p w:rsidR="00515A88" w:rsidRDefault="0009623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ocho de febrero de dos mil veintidós,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rsidR="00515A88" w:rsidRDefault="0009623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E</w:t>
      </w:r>
      <w:r>
        <w:rPr>
          <w:rFonts w:ascii="Palatino Linotype" w:eastAsia="Palatino Linotype" w:hAnsi="Palatino Linotype" w:cs="Palatino Linotype"/>
        </w:rPr>
        <w:t xml:space="preserv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no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rindió informe justificado para manifestar lo que a su derecho asistiera y conviniera, 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no realizó manifestaciones, ni formuló alegatos y no ofreció medios de prueba, por lo tanto, se tiene por precluido su derecho para tal efecto.</w:t>
      </w:r>
    </w:p>
    <w:p w:rsidR="00515A88" w:rsidRDefault="00096237">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lang w:val="es-MX"/>
        </w:rPr>
        <w:drawing>
          <wp:inline distT="0" distB="0" distL="0" distR="0">
            <wp:extent cx="5610225" cy="1905000"/>
            <wp:effectExtent l="0" t="0" r="0" b="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0225" cy="1905000"/>
                    </a:xfrm>
                    <a:prstGeom prst="rect">
                      <a:avLst/>
                    </a:prstGeom>
                    <a:ln/>
                  </pic:spPr>
                </pic:pic>
              </a:graphicData>
            </a:graphic>
          </wp:inline>
        </w:drawing>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7.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Una vez transcurrido el periodo otorgado a las partes para realizar sus manifestaciones y no habiendo documentos que integrar al expediente, 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dieciséis </w:t>
      </w:r>
      <w:r>
        <w:rPr>
          <w:rFonts w:ascii="Palatino Linotype" w:eastAsia="Palatino Linotype" w:hAnsi="Palatino Linotype" w:cs="Palatino Linotype"/>
          <w:b/>
        </w:rPr>
        <w:t>de marzo de dos mil veintidós</w:t>
      </w:r>
      <w:r>
        <w:rPr>
          <w:rFonts w:ascii="Palatino Linotype" w:eastAsia="Palatino Linotype" w:hAnsi="Palatino Linotype" w:cs="Palatino Linotype"/>
        </w:rPr>
        <w:t xml:space="preserve">, la Comisionada Ponente determinó el </w:t>
      </w:r>
      <w:r>
        <w:rPr>
          <w:rFonts w:ascii="Palatino Linotype" w:eastAsia="Palatino Linotype" w:hAnsi="Palatino Linotype" w:cs="Palatino Linotype"/>
        </w:rPr>
        <w:lastRenderedPageBreak/>
        <w:t>cierre de instrucción en términos de la fracción VI del artículo 185 de la Ley de Transparencia y Acceso a la Información Pública del Estado de México y Municipios.</w:t>
      </w:r>
    </w:p>
    <w:p w:rsidR="00515A88" w:rsidRDefault="00096237">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15A88" w:rsidRDefault="00096237">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uno de febrero de dos mil veintidós, </w:t>
      </w:r>
      <w:r>
        <w:rPr>
          <w:rFonts w:ascii="Palatino Linotype" w:eastAsia="Palatino Linotype" w:hAnsi="Palatino Linotype" w:cs="Palatino Linotype"/>
        </w:rPr>
        <w:lastRenderedPageBreak/>
        <w:t xml:space="preserve">mientras que el recurso de revisión se interpuso el </w:t>
      </w:r>
      <w:r>
        <w:rPr>
          <w:rFonts w:ascii="Palatino Linotype" w:eastAsia="Palatino Linotype" w:hAnsi="Palatino Linotype" w:cs="Palatino Linotype"/>
          <w:b/>
        </w:rPr>
        <w:t>dos de febrero de dos mil veintidós</w:t>
      </w:r>
      <w:r>
        <w:rPr>
          <w:rFonts w:ascii="Palatino Linotype" w:eastAsia="Palatino Linotype" w:hAnsi="Palatino Linotype" w:cs="Palatino Linotype"/>
        </w:rPr>
        <w:t xml:space="preserve">, esto es, el </w:t>
      </w:r>
      <w:r>
        <w:rPr>
          <w:rFonts w:ascii="Palatino Linotype" w:eastAsia="Palatino Linotype" w:hAnsi="Palatino Linotype" w:cs="Palatino Linotype"/>
          <w:b/>
        </w:rPr>
        <w:t>primer día hábil</w:t>
      </w:r>
      <w:r>
        <w:rPr>
          <w:rFonts w:ascii="Palatino Linotype" w:eastAsia="Palatino Linotype" w:hAnsi="Palatino Linotype" w:cs="Palatino Linotype"/>
        </w:rPr>
        <w:t xml:space="preserve"> posterior en que tuvo conocimiento de la respuesta impugnada.</w:t>
      </w:r>
    </w:p>
    <w:p w:rsidR="00515A88" w:rsidRDefault="0009623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por cuanto hace a la procedibilidad de los recursos de revisión, es de suma importancia señalar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no señaló nombre o seudónimo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15A88" w:rsidRDefault="00096237">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fracciones I y II del ordenamiento legal citado, que a la letra dice: </w:t>
      </w:r>
    </w:p>
    <w:p w:rsidR="00515A88" w:rsidRDefault="00096237">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515A88" w:rsidRDefault="00096237">
      <w:pPr>
        <w:tabs>
          <w:tab w:val="left" w:pos="7088"/>
        </w:tabs>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La negativa a la información solicitada;</w:t>
      </w:r>
    </w:p>
    <w:p w:rsidR="00515A88" w:rsidRDefault="00096237">
      <w:pPr>
        <w:tabs>
          <w:tab w:val="left" w:pos="7088"/>
        </w:tabs>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clasificación de la información;</w:t>
      </w:r>
    </w:p>
    <w:p w:rsidR="00515A88" w:rsidRDefault="00096237">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515A88" w:rsidRDefault="00096237">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515A88" w:rsidRDefault="00096237">
      <w:pPr>
        <w:spacing w:before="240" w:after="240" w:line="360" w:lineRule="auto"/>
        <w:ind w:right="51"/>
        <w:jc w:val="both"/>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Del análisis de la solicitud de información, motivo del recurso de revisión que ahora se resuelve se advierte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le proporcione, información consistente en lo siguiente:</w:t>
      </w:r>
    </w:p>
    <w:p w:rsidR="00515A88" w:rsidRDefault="0009623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cabe reiterar que el particular solicitó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lo siguiente: </w:t>
      </w:r>
    </w:p>
    <w:p w:rsidR="00515A88" w:rsidRDefault="00096237">
      <w:pPr>
        <w:numPr>
          <w:ilvl w:val="0"/>
          <w:numId w:val="2"/>
        </w:numPr>
        <w:pBdr>
          <w:top w:val="nil"/>
          <w:left w:val="nil"/>
          <w:bottom w:val="nil"/>
          <w:right w:val="nil"/>
          <w:between w:val="nil"/>
        </w:pBdr>
        <w:spacing w:before="240" w:after="240" w:line="360" w:lineRule="auto"/>
        <w:ind w:left="567" w:right="900" w:hanging="28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Contrato de prestación de servicios de todos y cada uno de los Servidores Públicos adscritos a este Municipio.</w:t>
      </w:r>
    </w:p>
    <w:p w:rsidR="00515A88" w:rsidRDefault="0009623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su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información proporcionada por el Jefe de Departamento de Recursos Humanos que en su parte sustantiva manifestó </w:t>
      </w:r>
      <w:r>
        <w:rPr>
          <w:rFonts w:ascii="Palatino Linotype" w:eastAsia="Palatino Linotype" w:hAnsi="Palatino Linotype" w:cs="Palatino Linotype"/>
        </w:rPr>
        <w:lastRenderedPageBreak/>
        <w:t xml:space="preserve">que </w:t>
      </w:r>
      <w:r>
        <w:rPr>
          <w:rFonts w:ascii="Palatino Linotype" w:eastAsia="Palatino Linotype" w:hAnsi="Palatino Linotype" w:cs="Palatino Linotype"/>
          <w:i/>
        </w:rPr>
        <w:t>“</w:t>
      </w:r>
      <w:r>
        <w:rPr>
          <w:rFonts w:ascii="Palatino Linotype" w:eastAsia="Palatino Linotype" w:hAnsi="Palatino Linotype" w:cs="Palatino Linotype"/>
          <w:b/>
          <w:i/>
        </w:rPr>
        <w:t>por su naturaleza se encuentra clasificada como confidencial</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tal como se observa en la captura de pantalla que se inserta: </w:t>
      </w:r>
    </w:p>
    <w:p w:rsidR="00515A88" w:rsidRDefault="0009623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430242" cy="5272981"/>
            <wp:effectExtent l="0" t="0" r="0" b="0"/>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430242" cy="5272981"/>
                    </a:xfrm>
                    <a:prstGeom prst="rect">
                      <a:avLst/>
                    </a:prstGeom>
                    <a:ln/>
                  </pic:spPr>
                </pic:pic>
              </a:graphicData>
            </a:graphic>
          </wp:inline>
        </w:drawing>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es importante traer a contexto lo dispuesto por los artículos 8, 9,10, 11 y 12 del Reglamento Interno de Trabajo de los Servidores Públicos de la Administración Pública Municipal del H. Ayuntamiento de Tepetlaoxtoc, mismos que se insertan a continuación:</w:t>
      </w:r>
    </w:p>
    <w:p w:rsidR="00515A88" w:rsidRDefault="00096237">
      <w:pPr>
        <w:spacing w:before="240" w:after="240"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lastRenderedPageBreak/>
        <w:t>“ARTICULO 8.-</w:t>
      </w:r>
      <w:r>
        <w:rPr>
          <w:rFonts w:ascii="Palatino Linotype" w:eastAsia="Palatino Linotype" w:hAnsi="Palatino Linotype" w:cs="Palatino Linotype"/>
          <w:b/>
          <w:i/>
          <w:sz w:val="22"/>
          <w:szCs w:val="22"/>
        </w:rPr>
        <w:t>Para poder ingresar a prestar los servicios personales y subordinados al Ayuntamiento, se requerirá llenar una solicitud de empleo, en la cual el solicitante manifieste bajo protesta de decir verdad sus aptitudes y capacidades para el trabajo.</w:t>
      </w:r>
    </w:p>
    <w:p w:rsidR="00515A88" w:rsidRDefault="00096237">
      <w:pPr>
        <w:spacing w:before="240" w:after="240"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ARTÍCULO 9.-</w:t>
      </w:r>
      <w:r>
        <w:rPr>
          <w:rFonts w:ascii="Palatino Linotype" w:eastAsia="Palatino Linotype" w:hAnsi="Palatino Linotype" w:cs="Palatino Linotype"/>
          <w:b/>
          <w:i/>
          <w:sz w:val="22"/>
          <w:szCs w:val="22"/>
        </w:rPr>
        <w:t>El solicitante deberá cumplir con todos los requisitos legales y administrativos para poder ingresar a prestar sus servicios personales y subordinados al Ayuntamiento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y la Administración y Desarrollo del Personal (Recursos Humanos)</w:t>
      </w:r>
    </w:p>
    <w:p w:rsidR="00515A88" w:rsidRDefault="00096237">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10.-No se procederá a efectuar pago o retroactivo cuando se ordene a una persona trabajar sin contar con lo señalado en el párrafo anterior.</w:t>
      </w:r>
    </w:p>
    <w:p w:rsidR="00515A88" w:rsidRDefault="00096237">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11.-El solicitante al ingresar a laborar al Ayuntamiento, acepta el presente Reglamento como parte de sus obligaciones laborales.</w:t>
      </w:r>
    </w:p>
    <w:p w:rsidR="00515A88" w:rsidRDefault="00096237">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ARTICULO 12.-Es obligación del solicitante proporcionar su domicilio vigente y los cambios posteriores del mismo.” (Sic)</w:t>
      </w:r>
    </w:p>
    <w:p w:rsidR="00515A88" w:rsidRDefault="00096237">
      <w:pPr>
        <w:spacing w:before="240" w:after="240" w:line="360"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515A88" w:rsidRDefault="00096237">
      <w:pPr>
        <w:spacing w:before="240"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previo ingreso a la prestación de los servicios personales y subordinados al Ayuntamiento, los solicitantes deberán llenar una solicitud, en la cual manifiesta bajo protesta decir la verdad respecto de sus aptitudes y habilidades para trabajo; asimismo el solicitante deberá cumplir con todos los requisitos legales, y administrativos para ingresar a laborar en las instituciones que conforman la administración pública municipal de Tepetlaoxtoc, para ello deberá desahogar este trámite ante el Departamento de Recursos Humanos, mismo que en el recurso de revisión que nos ocupa, fue la instancia que otorgó respuesta a la solicitud. </w:t>
      </w:r>
    </w:p>
    <w:p w:rsidR="00515A88" w:rsidRDefault="00096237">
      <w:pPr>
        <w:spacing w:before="240" w:after="240" w:line="360" w:lineRule="auto"/>
        <w:ind w:right="-93"/>
        <w:jc w:val="both"/>
        <w:rPr>
          <w:rFonts w:ascii="Palatino Linotype" w:eastAsia="Palatino Linotype" w:hAnsi="Palatino Linotype" w:cs="Palatino Linotype"/>
          <w:i/>
          <w:sz w:val="22"/>
          <w:szCs w:val="22"/>
        </w:rPr>
      </w:pPr>
      <w:r>
        <w:rPr>
          <w:rFonts w:ascii="Palatino Linotype" w:eastAsia="Palatino Linotype" w:hAnsi="Palatino Linotype" w:cs="Palatino Linotype"/>
        </w:rPr>
        <w:lastRenderedPageBreak/>
        <w:t xml:space="preserve">Puntualizado lo anterior, es importante señalar que de las constancias que integran el expediente electrónico  relacionado con el recurso de revisión materia de estudio, se colige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niega la competencia para conocer de la información solicitada, sino por el contrario, con la respuesta pronunciada por el servidor público habilitado asevera que es competente para conocer de la solicitud de información</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actualizándose el supuesto previsto en el artículo 12 de la legislación aplicable en la materia, que es del tenor literal siguiente: </w:t>
      </w:r>
    </w:p>
    <w:p w:rsidR="00515A88" w:rsidRDefault="00096237">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Pr>
          <w:rFonts w:ascii="Palatino Linotype" w:eastAsia="Palatino Linotype" w:hAnsi="Palatino Linotype" w:cs="Palatino Linotype"/>
          <w:i/>
          <w:sz w:val="22"/>
          <w:szCs w:val="22"/>
        </w:rPr>
        <w:t xml:space="preserve"> en los términos de las disposiciones jurídicas aplicables. </w:t>
      </w:r>
    </w:p>
    <w:p w:rsidR="00515A88" w:rsidRDefault="00096237">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rsidR="00515A88" w:rsidRDefault="00096237">
      <w:pPr>
        <w:shd w:val="clear" w:color="auto" w:fill="FFFFFF"/>
        <w:spacing w:before="240" w:after="240" w:line="360" w:lineRule="auto"/>
        <w:ind w:right="51"/>
        <w:jc w:val="both"/>
        <w:rPr>
          <w:rFonts w:ascii="Palatino Linotype" w:eastAsia="Palatino Linotype" w:hAnsi="Palatino Linotype" w:cs="Palatino Linotype"/>
          <w:color w:val="222222"/>
        </w:rPr>
      </w:pPr>
      <w:r>
        <w:rPr>
          <w:rFonts w:ascii="Palatino Linotype" w:eastAsia="Palatino Linotype" w:hAnsi="Palatino Linotype" w:cs="Palatino Linotype"/>
        </w:rPr>
        <w:t xml:space="preserve">Se debe resaltar que con las manifestaciones hechas valer por el Sujeto Obligado restringió el derecho de acceso a la información al pretender clasificarla, bajo el argumento de que contiene información confidencial. Por lo que </w:t>
      </w:r>
      <w:r>
        <w:rPr>
          <w:rFonts w:ascii="Palatino Linotype" w:eastAsia="Palatino Linotype" w:hAnsi="Palatino Linotype" w:cs="Palatino Linotype"/>
          <w:color w:val="222222"/>
        </w:rPr>
        <w:t xml:space="preserve">debe precisarse que la inexistencia de la información y su clasificación no podrán coexistir. </w:t>
      </w:r>
    </w:p>
    <w:p w:rsidR="00515A88" w:rsidRDefault="00096237">
      <w:pPr>
        <w:shd w:val="clear" w:color="auto" w:fill="FFFFFF"/>
        <w:spacing w:before="240" w:after="240" w:line="360" w:lineRule="auto"/>
        <w:ind w:right="51"/>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lastRenderedPageBreak/>
        <w:t>A efecto de robustecer lo anterior, sirve de sustento el criterio orientador 29/10 emitido por el Instituto </w:t>
      </w:r>
      <w:r>
        <w:rPr>
          <w:rFonts w:ascii="Palatino Linotype" w:eastAsia="Palatino Linotype" w:hAnsi="Palatino Linotype" w:cs="Palatino Linotype"/>
          <w:color w:val="000000"/>
        </w:rPr>
        <w:t>Nacional de Transparencia, Acceso a la Información y Protección de Datos Personales, INAI</w:t>
      </w:r>
      <w:r>
        <w:rPr>
          <w:rFonts w:ascii="Palatino Linotype" w:eastAsia="Palatino Linotype" w:hAnsi="Palatino Linotype" w:cs="Palatino Linotype"/>
          <w:b/>
          <w:color w:val="222222"/>
        </w:rPr>
        <w:t>, </w:t>
      </w:r>
      <w:r>
        <w:rPr>
          <w:rFonts w:ascii="Palatino Linotype" w:eastAsia="Palatino Linotype" w:hAnsi="Palatino Linotype" w:cs="Palatino Linotype"/>
          <w:color w:val="222222"/>
        </w:rPr>
        <w:t>el cual refiere lo siguiente:</w:t>
      </w:r>
    </w:p>
    <w:p w:rsidR="00515A88" w:rsidRDefault="00096237">
      <w:pPr>
        <w:shd w:val="clear" w:color="auto" w:fill="FFFFFF"/>
        <w:spacing w:before="240" w:after="240" w:line="276" w:lineRule="auto"/>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b/>
          <w:i/>
          <w:color w:val="222222"/>
          <w:sz w:val="22"/>
          <w:szCs w:val="22"/>
        </w:rPr>
        <w:t xml:space="preserve">“La clasificación y la inexistencia de información son conceptos que no pueden coexistir. </w:t>
      </w:r>
      <w:r>
        <w:rPr>
          <w:rFonts w:ascii="Palatino Linotype" w:eastAsia="Palatino Linotype" w:hAnsi="Palatino Linotype" w:cs="Palatino Linotype"/>
          <w:i/>
          <w:color w:val="222222"/>
          <w:sz w:val="22"/>
          <w:szCs w:val="22"/>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w:t>
      </w:r>
      <w:r>
        <w:rPr>
          <w:rFonts w:ascii="Palatino Linotype" w:eastAsia="Palatino Linotype" w:hAnsi="Palatino Linotype" w:cs="Palatino Linotype"/>
          <w:b/>
          <w:i/>
          <w:color w:val="222222"/>
          <w:sz w:val="22"/>
          <w:szCs w:val="22"/>
          <w:u w:val="single"/>
        </w:rPr>
        <w:t>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Pr>
          <w:rFonts w:ascii="Palatino Linotype" w:eastAsia="Palatino Linotype" w:hAnsi="Palatino Linotype" w:cs="Palatino Linotype"/>
          <w:i/>
          <w:color w:val="222222"/>
          <w:sz w:val="22"/>
          <w:szCs w:val="22"/>
        </w:rPr>
        <w:t>"</w:t>
      </w:r>
    </w:p>
    <w:p w:rsidR="00515A88" w:rsidRDefault="00096237">
      <w:pPr>
        <w:shd w:val="clear" w:color="auto" w:fill="FFFFFF"/>
        <w:spacing w:before="240" w:after="240" w:line="276" w:lineRule="auto"/>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b/>
          <w:i/>
          <w:color w:val="222222"/>
          <w:sz w:val="22"/>
          <w:szCs w:val="22"/>
        </w:rPr>
        <w:t>(Énfasis añadido)</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esta manera, se procede al análisis de la información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efecto de determinar si es suficiente para tener por colmado el derecho de acceso a la información de la parte recurrente, o en su defecto ordenar la entrega del o los documentos que lo satisfagan.</w:t>
      </w:r>
    </w:p>
    <w:p w:rsidR="00515A88" w:rsidRDefault="0009623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w:t>
      </w:r>
      <w:r>
        <w:rPr>
          <w:rFonts w:ascii="Palatino Linotype" w:eastAsia="Palatino Linotype" w:hAnsi="Palatino Linotype" w:cs="Palatino Linotype"/>
        </w:rPr>
        <w:lastRenderedPageBreak/>
        <w:t>pública y accesible de manera permanente a cualquier persona, privilegiando el principio de máxima publicidad de la información, y ésta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rsidR="00515A88" w:rsidRDefault="000962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w:t>
      </w:r>
      <w:r>
        <w:rPr>
          <w:rFonts w:ascii="Palatino Linotype" w:eastAsia="Palatino Linotype" w:hAnsi="Palatino Linotype" w:cs="Palatino Linotype"/>
          <w:b/>
        </w:rPr>
        <w:t>contratos</w:t>
      </w:r>
      <w:r>
        <w:rPr>
          <w:rFonts w:ascii="Palatino Linotype" w:eastAsia="Palatino Linotype" w:hAnsi="Palatino Linotype" w:cs="Palatino Linotype"/>
        </w:rPr>
        <w:t xml:space="preserve">,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515A88" w:rsidRDefault="00515A88">
      <w:pPr>
        <w:ind w:left="851" w:right="899"/>
        <w:jc w:val="both"/>
        <w:rPr>
          <w:rFonts w:ascii="Palatino Linotype" w:eastAsia="Palatino Linotype" w:hAnsi="Palatino Linotype" w:cs="Palatino Linotype"/>
          <w:i/>
          <w:sz w:val="22"/>
          <w:szCs w:val="22"/>
        </w:rPr>
      </w:pPr>
    </w:p>
    <w:p w:rsidR="00515A88" w:rsidRDefault="00096237">
      <w:pPr>
        <w:ind w:left="567"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515A88" w:rsidRDefault="00096237">
      <w:pPr>
        <w:ind w:left="567"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515A88" w:rsidRDefault="00096237">
      <w:pPr>
        <w:ind w:left="567"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w:t>
      </w:r>
      <w:r>
        <w:rPr>
          <w:rFonts w:ascii="Palatino Linotype" w:eastAsia="Palatino Linotype" w:hAnsi="Palatino Linotype" w:cs="Palatino Linotype"/>
          <w:b/>
          <w:i/>
          <w:sz w:val="22"/>
          <w:szCs w:val="22"/>
        </w:rPr>
        <w:t>contratos</w:t>
      </w:r>
      <w:r>
        <w:rPr>
          <w:rFonts w:ascii="Palatino Linotype" w:eastAsia="Palatino Linotype" w:hAnsi="Palatino Linotype" w:cs="Palatino Linotype"/>
          <w:i/>
          <w:sz w:val="22"/>
          <w:szCs w:val="22"/>
        </w:rPr>
        <w:t>,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515A88" w:rsidRDefault="00515A88">
      <w:pPr>
        <w:ind w:left="851" w:right="899"/>
        <w:jc w:val="both"/>
        <w:rPr>
          <w:rFonts w:ascii="Palatino Linotype" w:eastAsia="Palatino Linotype" w:hAnsi="Palatino Linotype" w:cs="Palatino Linotype"/>
          <w:sz w:val="22"/>
          <w:szCs w:val="22"/>
        </w:rPr>
      </w:pPr>
    </w:p>
    <w:p w:rsidR="00515A88" w:rsidRDefault="000962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515A88" w:rsidRDefault="00515A88">
      <w:pPr>
        <w:ind w:left="851" w:right="899"/>
        <w:jc w:val="both"/>
        <w:rPr>
          <w:rFonts w:ascii="Palatino Linotype" w:eastAsia="Palatino Linotype" w:hAnsi="Palatino Linotype" w:cs="Palatino Linotype"/>
        </w:rPr>
      </w:pPr>
    </w:p>
    <w:p w:rsidR="00515A88" w:rsidRDefault="00096237">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515A88" w:rsidRDefault="0009623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15A88" w:rsidRDefault="0009623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515A88" w:rsidRDefault="0009623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515A88" w:rsidRDefault="00096237">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515A88" w:rsidRDefault="00096237">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515A88" w:rsidRDefault="0009623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para mejor proveer del presente estudio, resulta conveniente traer a colación, los conceptos de información confidencial y de datos personales, los cuales versan de la siguiente manera: </w:t>
      </w:r>
    </w:p>
    <w:p w:rsidR="00515A88" w:rsidRDefault="00096237">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3. Para los efectos de la presente Ley se entenderá por:</w:t>
      </w:r>
    </w:p>
    <w:p w:rsidR="00515A88" w:rsidRDefault="00096237">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515A88" w:rsidRDefault="00096237">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Datos personales: </w:t>
      </w:r>
      <w:r>
        <w:rPr>
          <w:rFonts w:ascii="Palatino Linotype" w:eastAsia="Palatino Linotype" w:hAnsi="Palatino Linotype" w:cs="Palatino Linotype"/>
          <w:b/>
          <w:i/>
          <w:sz w:val="22"/>
          <w:szCs w:val="22"/>
        </w:rPr>
        <w:t xml:space="preserve">La información concerniente a una persona, identificada o identificable </w:t>
      </w:r>
      <w:r>
        <w:rPr>
          <w:rFonts w:ascii="Palatino Linotype" w:eastAsia="Palatino Linotype" w:hAnsi="Palatino Linotype" w:cs="Palatino Linotype"/>
          <w:i/>
          <w:sz w:val="22"/>
          <w:szCs w:val="22"/>
        </w:rPr>
        <w:t>según lo dispuesto por la Ley de Protección de Datos Personales del Estado de México;</w:t>
      </w:r>
    </w:p>
    <w:p w:rsidR="00515A88" w:rsidRDefault="00096237">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15A88" w:rsidRDefault="00096237">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15A88" w:rsidRDefault="0009623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anteriormente citado, se concluye que toda la información relativa a una persona física que le pueda hacer identificada o identificable constituye un dato personal, por consiguiente, se trata de información confidencial, que debe ser protegida por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en ese contexto, todo dato personal susceptible de clasificación debe ser protegido.</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la restricción al derecho de acceso a la información implica necesariamente una clasificación, la cual debe entenderse como el proceso mediante el cual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determina que la información en su poder, actualiza alguno de los supuestos de reserva o confidencialidad, de conformidad con las normas aplicables.</w:t>
      </w:r>
    </w:p>
    <w:p w:rsidR="00515A88" w:rsidRDefault="00096237">
      <w:pPr>
        <w:spacing w:before="280" w:after="280" w:line="360" w:lineRule="auto"/>
        <w:jc w:val="both"/>
      </w:pPr>
      <w:r>
        <w:rPr>
          <w:rFonts w:ascii="Palatino Linotype" w:eastAsia="Palatino Linotype" w:hAnsi="Palatino Linotype" w:cs="Palatino Linotype"/>
          <w:color w:val="000000"/>
        </w:rPr>
        <w:t xml:space="preserve">En efecto, para los casos en los que los Sujetos Obligados adviertan que la información no es susceptible de entregar por estimar que sobreviene una causal de clasificación, les compete la carga de la prueba mediante la debida fundamentación y motivación en el respectivo Acuerdo de Clasificación, ello encuentra sustento en </w:t>
      </w:r>
      <w:r>
        <w:rPr>
          <w:rFonts w:ascii="Palatino Linotype" w:eastAsia="Palatino Linotype" w:hAnsi="Palatino Linotype" w:cs="Palatino Linotype"/>
          <w:color w:val="000000"/>
        </w:rPr>
        <w:lastRenderedPageBreak/>
        <w:t>el artículo 131 de la legislación vigente en la entidad, el cual versa de la siguiente manera: </w:t>
      </w:r>
    </w:p>
    <w:p w:rsidR="00515A88" w:rsidRDefault="00096237">
      <w:pPr>
        <w:spacing w:before="240" w:after="24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131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w:t>
      </w:r>
      <w:r>
        <w:rPr>
          <w:rFonts w:ascii="Palatino Linotype" w:eastAsia="Palatino Linotype" w:hAnsi="Palatino Linotype" w:cs="Palatino Linotype"/>
          <w:i/>
          <w:sz w:val="22"/>
          <w:szCs w:val="22"/>
        </w:rPr>
        <w:t>, de conformidad con lo previsto en la presente Ley.”</w:t>
      </w:r>
    </w:p>
    <w:p w:rsidR="00515A88" w:rsidRDefault="00096237">
      <w:pPr>
        <w:spacing w:before="280" w:after="280"/>
        <w:ind w:left="567" w:right="900"/>
        <w:jc w:val="both"/>
      </w:pPr>
      <w:r>
        <w:rPr>
          <w:rFonts w:ascii="Palatino Linotype" w:eastAsia="Palatino Linotype" w:hAnsi="Palatino Linotype" w:cs="Palatino Linotype"/>
          <w:i/>
          <w:color w:val="000000"/>
          <w:sz w:val="22"/>
          <w:szCs w:val="22"/>
        </w:rPr>
        <w:t xml:space="preserve">Artículo 143. </w:t>
      </w:r>
      <w:r>
        <w:rPr>
          <w:rFonts w:ascii="Palatino Linotype" w:eastAsia="Palatino Linotype" w:hAnsi="Palatino Linotype" w:cs="Palatino Linotype"/>
          <w:b/>
          <w:i/>
          <w:color w:val="000000"/>
          <w:sz w:val="22"/>
          <w:szCs w:val="22"/>
        </w:rPr>
        <w:t>Para los efectos de esta Ley se considera información confidencial, la clasificada como tal, de manera permanente, por su naturaleza, cuando</w:t>
      </w:r>
      <w:r>
        <w:rPr>
          <w:rFonts w:ascii="Palatino Linotype" w:eastAsia="Palatino Linotype" w:hAnsi="Palatino Linotype" w:cs="Palatino Linotype"/>
          <w:i/>
          <w:color w:val="000000"/>
          <w:sz w:val="22"/>
          <w:szCs w:val="22"/>
        </w:rPr>
        <w:t>: </w:t>
      </w:r>
    </w:p>
    <w:p w:rsidR="00515A88" w:rsidRDefault="00096237">
      <w:pPr>
        <w:numPr>
          <w:ilvl w:val="0"/>
          <w:numId w:val="1"/>
        </w:numPr>
        <w:spacing w:before="280" w:after="280" w:line="276" w:lineRule="auto"/>
        <w:ind w:left="567"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Se refiera a la información privada y los datos personales concernientes a una persona física o jurídico colectiva identificada o identificable; “</w:t>
      </w:r>
    </w:p>
    <w:p w:rsidR="00515A88" w:rsidRDefault="00096237">
      <w:pPr>
        <w:spacing w:before="240" w:after="240"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rPr>
        <w:t xml:space="preserve">Por lo anteriormente expuesto, se colige que la normatividad prevé que para el supuesto de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estime que la información encuadra el supuesto previsto en el artículo 143, fracción I, deberá clasificar la información como confidencial, emitiendo su respectivo acuerdo de clasificación, sin embargo, no pasa desapercibido para este órgano garante que si el soporte documental constituye información pública, el acceso a estos documentos es posible mediante la versión pública, la cual se abordará en páginas subsecuentes. </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Sobre el particular, no se omite comentar que el documento que, de manera enunciativa más </w:t>
      </w:r>
      <w:r>
        <w:rPr>
          <w:rFonts w:ascii="Palatino Linotype" w:eastAsia="Palatino Linotype" w:hAnsi="Palatino Linotype" w:cs="Palatino Linotype"/>
        </w:rPr>
        <w:t>limitativa,</w:t>
      </w:r>
      <w:r>
        <w:rPr>
          <w:rFonts w:ascii="Palatino Linotype" w:eastAsia="Palatino Linotype" w:hAnsi="Palatino Linotype" w:cs="Palatino Linotype"/>
          <w:color w:val="000000"/>
        </w:rPr>
        <w:t xml:space="preserve"> colmaría la solicitud de acceso a la información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podría ser el </w:t>
      </w:r>
      <w:r>
        <w:rPr>
          <w:rFonts w:ascii="Palatino Linotype" w:eastAsia="Palatino Linotype" w:hAnsi="Palatino Linotype" w:cs="Palatino Linotype"/>
        </w:rPr>
        <w:t>nombramiento, el formato único de movimiento de personal, o contrato, lo anterior de conformidad con lo siguiente:</w:t>
      </w:r>
    </w:p>
    <w:p w:rsidR="00515A88" w:rsidRDefault="00096237">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LEY DEL TRABAJO DE LOS SERVIDORES PUBLICOS DEL ESTADO Y MUNICIPIOS</w:t>
      </w:r>
    </w:p>
    <w:p w:rsidR="00515A88" w:rsidRDefault="00096237">
      <w:pPr>
        <w:spacing w:before="240" w:after="240" w:line="276"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sz w:val="22"/>
          <w:szCs w:val="22"/>
        </w:rPr>
        <w:lastRenderedPageBreak/>
        <w:t xml:space="preserve">ARTÍCULO 5.- La relación de trabajo entre las instituciones públicas y sus servidores públicos se entiende establecida mediante </w:t>
      </w:r>
      <w:r>
        <w:rPr>
          <w:rFonts w:ascii="Palatino Linotype" w:eastAsia="Palatino Linotype" w:hAnsi="Palatino Linotype" w:cs="Palatino Linotype"/>
          <w:i/>
          <w:sz w:val="22"/>
          <w:szCs w:val="22"/>
          <w:u w:val="single"/>
        </w:rPr>
        <w:t>nombramiento, formato único de movimiento de personal, contrato</w:t>
      </w:r>
      <w:r>
        <w:rPr>
          <w:rFonts w:ascii="Palatino Linotype" w:eastAsia="Palatino Linotype" w:hAnsi="Palatino Linotype" w:cs="Palatino Linotype"/>
          <w:i/>
          <w:sz w:val="22"/>
          <w:szCs w:val="22"/>
        </w:rPr>
        <w:t xml:space="preserve"> o por cualquier otro acto que tenga como consecuencia la prestación personal subordinada del servicio y la percepción de un sueldo.</w:t>
      </w:r>
    </w:p>
    <w:p w:rsidR="00515A88" w:rsidRDefault="00096237">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222222"/>
        </w:rPr>
        <w:t xml:space="preserve">Documentos que además adquieren el carácter de información pública ya que </w:t>
      </w:r>
      <w:r>
        <w:rPr>
          <w:rFonts w:ascii="Palatino Linotype" w:eastAsia="Palatino Linotype" w:hAnsi="Palatino Linotype" w:cs="Palatino Linotype"/>
        </w:rPr>
        <w:t>atiende directamente a la actividad de la administración de personal, es decir, tener acceso a los nombramientos o contratos realizados, que de acuerdo a las correctas prácticas administrativas, deben existir expedientes laborales para llevar a cabo el control del personal adscrito a la dependencia gubernamental o Ayuntamiento.</w:t>
      </w:r>
    </w:p>
    <w:p w:rsidR="00515A88" w:rsidRDefault="00096237">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se estima así porque derivado del control de expedientes del personal que integran las entidades públicas, se lleva un adecuado control administrativo sobre aspectos tan fundamentales como: </w:t>
      </w:r>
      <w:r>
        <w:rPr>
          <w:rFonts w:ascii="Palatino Linotype" w:eastAsia="Palatino Linotype" w:hAnsi="Palatino Linotype" w:cs="Palatino Linotype"/>
          <w:b/>
        </w:rPr>
        <w:t>el nombre del personal contratado</w:t>
      </w:r>
      <w:r>
        <w:rPr>
          <w:rFonts w:ascii="Palatino Linotype" w:eastAsia="Palatino Linotype" w:hAnsi="Palatino Linotype" w:cs="Palatino Linotype"/>
        </w:rPr>
        <w:t>, las plazas existentes, las plazas ocupadas o vacantes, el nombre y perfil de los servidores públicos, el cargo que se desempeñará y el nombramiento  el nombre del personal dado de alta, etc.</w:t>
      </w:r>
    </w:p>
    <w:p w:rsidR="00515A88" w:rsidRDefault="00096237">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Lo que también se vincula con la forma de llevar un efectivo control y registro de pagos,  y fecha de antigüedad de su personal, información que, se insiste, debe formar parte de su expediente de personal. </w:t>
      </w:r>
    </w:p>
    <w:p w:rsidR="00515A88" w:rsidRDefault="00515A88">
      <w:pPr>
        <w:spacing w:line="360" w:lineRule="auto"/>
        <w:ind w:right="-93"/>
        <w:jc w:val="both"/>
        <w:rPr>
          <w:rFonts w:ascii="Palatino Linotype" w:eastAsia="Palatino Linotype" w:hAnsi="Palatino Linotype" w:cs="Palatino Linotype"/>
        </w:rPr>
      </w:pPr>
    </w:p>
    <w:p w:rsidR="00515A88" w:rsidRDefault="00096237">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Adicionalmente que sirve como analogía  el criterio  004/2006 y  15/2006 del Comité de Información emitido por el Poder Judicial sobre la publicidad de la información de los expedientes laborales de los servidores públicos que señala lo siguiente:</w:t>
      </w:r>
    </w:p>
    <w:p w:rsidR="00515A88" w:rsidRDefault="00515A88">
      <w:pPr>
        <w:spacing w:line="360" w:lineRule="auto"/>
        <w:ind w:right="-162"/>
        <w:jc w:val="both"/>
        <w:rPr>
          <w:rFonts w:ascii="Palatino Linotype" w:eastAsia="Palatino Linotype" w:hAnsi="Palatino Linotype" w:cs="Palatino Linotype"/>
        </w:rPr>
      </w:pPr>
    </w:p>
    <w:p w:rsidR="00515A88" w:rsidRDefault="00096237">
      <w:pPr>
        <w:ind w:left="709"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 04/2006</w:t>
      </w:r>
    </w:p>
    <w:p w:rsidR="00515A88" w:rsidRDefault="00096237">
      <w:pPr>
        <w:ind w:left="709"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 xml:space="preserve">NOMBRAMIENTOS Y AVISOS DE BAJA DE LOS SERVIDORES PÚBLICOS DE LA SUPREMA CORTE DE JUSTICIA DE LA NACIÓN. EL DOCUMENTO EN EL QUE CONSTEN ES PÚBLICO, CON EXCEPCIÓN DE LOS DATOS PERSONALES QUE CONTENGAN, LOS QUE CONSTITUYEN INFORMACIÓN CONFIDENCIAL QUE DEBE SUPRIMIRSE DE LA VERSIÓN PÚBLICA QUE SE GENERE. </w:t>
      </w:r>
    </w:p>
    <w:p w:rsidR="00515A88" w:rsidRDefault="00096237">
      <w:pPr>
        <w:ind w:left="709" w:right="616"/>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Los documentos relativos a los nombramientos y avisos de baja de los servidores públicos de la Suprema Corte de Justicia de la Nación constituyen información pública, toda vez que se trata de actos administrativos relativos al manejo de su personal y, por ende, justifican parte del ejercicio del presupuesto público asignado.</w:t>
      </w:r>
      <w:r>
        <w:rPr>
          <w:rFonts w:ascii="Palatino Linotype" w:eastAsia="Palatino Linotype" w:hAnsi="Palatino Linotype" w:cs="Palatino Linotype"/>
          <w:i/>
          <w:sz w:val="22"/>
          <w:szCs w:val="22"/>
        </w:rPr>
        <w:t xml:space="preserve"> En este sentido, si bien se trata de información de</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naturaleza pública, lo cierto es que en acatamiento a lo dispuesto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en la Ley Federal de Transparencia y Acceso a la Información</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Pública Gubernamental </w:t>
      </w:r>
      <w:r>
        <w:rPr>
          <w:rFonts w:ascii="Palatino Linotype" w:eastAsia="Palatino Linotype" w:hAnsi="Palatino Linotype" w:cs="Palatino Linotype"/>
          <w:i/>
          <w:sz w:val="22"/>
          <w:szCs w:val="22"/>
          <w:u w:val="single"/>
        </w:rPr>
        <w:t>para dar acceso a los referidos</w:t>
      </w:r>
      <w:r>
        <w:rPr>
          <w:rFonts w:ascii="Palatino Linotype" w:eastAsia="Palatino Linotype" w:hAnsi="Palatino Linotype" w:cs="Palatino Linotype"/>
          <w:b/>
          <w:i/>
          <w:sz w:val="22"/>
          <w:szCs w:val="22"/>
          <w:u w:val="single"/>
        </w:rPr>
        <w:t xml:space="preserve"> </w:t>
      </w:r>
      <w:r>
        <w:rPr>
          <w:rFonts w:ascii="Palatino Linotype" w:eastAsia="Palatino Linotype" w:hAnsi="Palatino Linotype" w:cs="Palatino Linotype"/>
          <w:i/>
          <w:sz w:val="22"/>
          <w:szCs w:val="22"/>
          <w:u w:val="single"/>
        </w:rPr>
        <w:t>documentos es necesario generar una versión pública de la</w:t>
      </w:r>
      <w:r>
        <w:rPr>
          <w:rFonts w:ascii="Palatino Linotype" w:eastAsia="Palatino Linotype" w:hAnsi="Palatino Linotype" w:cs="Palatino Linotype"/>
          <w:b/>
          <w:i/>
          <w:sz w:val="22"/>
          <w:szCs w:val="22"/>
          <w:u w:val="single"/>
        </w:rPr>
        <w:t xml:space="preserve"> </w:t>
      </w:r>
      <w:r>
        <w:rPr>
          <w:rFonts w:ascii="Palatino Linotype" w:eastAsia="Palatino Linotype" w:hAnsi="Palatino Linotype" w:cs="Palatino Linotype"/>
          <w:i/>
          <w:sz w:val="22"/>
          <w:szCs w:val="22"/>
          <w:u w:val="single"/>
        </w:rPr>
        <w:t>que se supriman los datos confidenciales que contengan, como</w:t>
      </w:r>
      <w:r>
        <w:rPr>
          <w:rFonts w:ascii="Palatino Linotype" w:eastAsia="Palatino Linotype" w:hAnsi="Palatino Linotype" w:cs="Palatino Linotype"/>
          <w:b/>
          <w:i/>
          <w:sz w:val="22"/>
          <w:szCs w:val="22"/>
          <w:u w:val="single"/>
        </w:rPr>
        <w:t xml:space="preserve"> </w:t>
      </w:r>
      <w:r>
        <w:rPr>
          <w:rFonts w:ascii="Palatino Linotype" w:eastAsia="Palatino Linotype" w:hAnsi="Palatino Linotype" w:cs="Palatino Linotype"/>
          <w:i/>
          <w:sz w:val="22"/>
          <w:szCs w:val="22"/>
          <w:u w:val="single"/>
        </w:rPr>
        <w:t>pueden ser el domicilio, el estado civil o el teléfono particular</w:t>
      </w:r>
      <w:r>
        <w:rPr>
          <w:rFonts w:ascii="Palatino Linotype" w:eastAsia="Palatino Linotype" w:hAnsi="Palatino Linotype" w:cs="Palatino Linotype"/>
          <w:b/>
          <w:i/>
          <w:sz w:val="22"/>
          <w:szCs w:val="22"/>
          <w:u w:val="single"/>
        </w:rPr>
        <w:t xml:space="preserve"> </w:t>
      </w:r>
      <w:r>
        <w:rPr>
          <w:rFonts w:ascii="Palatino Linotype" w:eastAsia="Palatino Linotype" w:hAnsi="Palatino Linotype" w:cs="Palatino Linotype"/>
          <w:i/>
          <w:sz w:val="22"/>
          <w:szCs w:val="22"/>
          <w:u w:val="single"/>
        </w:rPr>
        <w:t>del servidor público respectivo.</w:t>
      </w:r>
    </w:p>
    <w:p w:rsidR="00515A88" w:rsidRDefault="00096237">
      <w:pPr>
        <w:ind w:left="709"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Clasificación de Información 10/2006-A, </w:t>
      </w:r>
      <w:r>
        <w:rPr>
          <w:rFonts w:ascii="Palatino Linotype" w:eastAsia="Palatino Linotype" w:hAnsi="Palatino Linotype" w:cs="Palatino Linotype"/>
          <w:i/>
          <w:sz w:val="22"/>
          <w:szCs w:val="22"/>
        </w:rPr>
        <w:t>derivada de la solicitud</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de acceso a la información presentada por Aldo González</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Gutiérrez.- 11 de abril de 2006.- Unanimidad de votos.</w:t>
      </w:r>
    </w:p>
    <w:p w:rsidR="00515A88" w:rsidRDefault="00515A88">
      <w:pPr>
        <w:ind w:left="709" w:right="616"/>
        <w:jc w:val="both"/>
        <w:rPr>
          <w:rFonts w:ascii="Palatino Linotype" w:eastAsia="Palatino Linotype" w:hAnsi="Palatino Linotype" w:cs="Palatino Linotype"/>
          <w:b/>
          <w:i/>
          <w:sz w:val="22"/>
          <w:szCs w:val="22"/>
        </w:rPr>
      </w:pPr>
    </w:p>
    <w:p w:rsidR="00515A88" w:rsidRDefault="00515A88">
      <w:pPr>
        <w:ind w:right="616"/>
        <w:jc w:val="both"/>
        <w:rPr>
          <w:rFonts w:ascii="Palatino Linotype" w:eastAsia="Palatino Linotype" w:hAnsi="Palatino Linotype" w:cs="Palatino Linotype"/>
          <w:b/>
          <w:i/>
          <w:sz w:val="22"/>
          <w:szCs w:val="22"/>
        </w:rPr>
      </w:pPr>
    </w:p>
    <w:p w:rsidR="00515A88" w:rsidRDefault="00096237">
      <w:pPr>
        <w:ind w:left="709"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 15/2006</w:t>
      </w:r>
    </w:p>
    <w:p w:rsidR="00515A88" w:rsidRDefault="00096237">
      <w:pPr>
        <w:ind w:left="709"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EXPEDIENTES LABORALES ADMINISTRATIVOS DE LOS SERVIDORES PÚBLICOS DE LA SUPREMA CORTE DE JUSTICIA DE LA NACIÓN. ES PÚBLICA LA INFORMACIÓN QUE EN ELLOS SE CONTIENE, SALVO LOS DATOS PERSONALES.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w:t>
      </w:r>
      <w:r>
        <w:rPr>
          <w:rFonts w:ascii="Palatino Linotype" w:eastAsia="Palatino Linotype" w:hAnsi="Palatino Linotype" w:cs="Palatino Linotype"/>
          <w:i/>
          <w:sz w:val="22"/>
          <w:szCs w:val="22"/>
        </w:rPr>
        <w:t xml:space="preserve"> A diferencia de lo que sucede con los datos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personales que en dichos expedientes se contengan, pues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debe tenerse en cuenta que una de las excepciones al principio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de publicidad de la información la constituyen los datos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de tal naturaleza que requieran del consentimiento de los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individuos para su difusión, distribución o comercialización</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en los términos de los artículos 3°, fracción II, y 18, fracción II,</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de la Ley Federal de Transparencia y Acceso a la Información</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Pública Gubernamental. Para ello es necesario considerar</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de los datos personales se refiere únicamente a las personas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físicas por estar encausado al respeto de un derecho personalísimo,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como es el de la intimidad, del cual derivó aquél. Esto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es, en el apuntado supuesto no se actualiza una igualdad</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lastRenderedPageBreak/>
        <w:t>jurídica entre las personas físicas y las morales porque ambas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están en situaciones de derecho dispares, ya que la protección</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de datos personales, entre ellos el del patrimonio y su confidencialidad,</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es </w:t>
      </w:r>
      <w:r>
        <w:rPr>
          <w:rFonts w:ascii="Palatino Linotype" w:eastAsia="Palatino Linotype" w:hAnsi="Palatino Linotype" w:cs="Palatino Linotype"/>
          <w:b/>
          <w:i/>
          <w:sz w:val="22"/>
          <w:szCs w:val="22"/>
        </w:rPr>
        <w:t>una derivación del derecho a la intimidad, del cual únicamente goza el individuo, entendido como la persona humana</w:t>
      </w:r>
      <w:r>
        <w:rPr>
          <w:rFonts w:ascii="Palatino Linotype" w:eastAsia="Palatino Linotype" w:hAnsi="Palatino Linotype" w:cs="Palatino Linotype"/>
          <w:i/>
          <w:sz w:val="22"/>
          <w:szCs w:val="22"/>
        </w:rPr>
        <w:t>.</w:t>
      </w:r>
    </w:p>
    <w:p w:rsidR="00515A88" w:rsidRDefault="00096237">
      <w:pPr>
        <w:ind w:left="709"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Amparo en revisión 191/2008. Grupo Senda Autotransporte, S.A. de C.V. 7 de mayo de 2008. Cinco votos. Ponente: José Fernando Franco González Salas. Secretario: Óscar Rodríguez Álvarez.</w:t>
      </w:r>
    </w:p>
    <w:p w:rsidR="00515A88" w:rsidRDefault="00515A88">
      <w:pPr>
        <w:ind w:right="-162"/>
        <w:jc w:val="both"/>
        <w:rPr>
          <w:rFonts w:ascii="Palatino Linotype" w:eastAsia="Palatino Linotype" w:hAnsi="Palatino Linotype" w:cs="Palatino Linotype"/>
          <w:sz w:val="20"/>
          <w:szCs w:val="20"/>
        </w:rPr>
      </w:pPr>
    </w:p>
    <w:p w:rsidR="00515A88" w:rsidRDefault="00096237">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este Instituto, no quiere dejar de indicar que el documento soporte solicitado, </w:t>
      </w:r>
      <w:r>
        <w:rPr>
          <w:rFonts w:ascii="Palatino Linotype" w:eastAsia="Palatino Linotype" w:hAnsi="Palatino Linotype" w:cs="Palatino Linotype"/>
          <w:b/>
        </w:rPr>
        <w:t>se trata de información pública,</w:t>
      </w:r>
      <w:r>
        <w:rPr>
          <w:rFonts w:ascii="Palatino Linotype" w:eastAsia="Palatino Linotype" w:hAnsi="Palatino Linotype" w:cs="Palatino Linotype"/>
        </w:rPr>
        <w:t xml:space="preserve">  ya que nada impide que los interesados obtengan acceso a la información que por definición legal es pública, como aquellos documentos que deban generarse en virtud de las disposiciones que regulan el presupuesto asignado, su ejecución y las contrataciones, siempre que la misma se encuentre en posesión de los sujetos obligados. Toda vez que la Ley de Transparencia y Acceso a la Información Pública del Estado de México y Municipios, establece expresamente entre sus objetivos proveer lo necesario para que toda persona pueda tener acceso a la información mediante procedimientos sencillos y expeditos, transparentar la gestión pública mediante la difusión de la información y favorecer la rendición de cuentas; por lo que este Instituto considera que procedente la entrega de la información solicitada.</w:t>
      </w:r>
    </w:p>
    <w:p w:rsidR="00515A88" w:rsidRDefault="00515A88">
      <w:pPr>
        <w:spacing w:line="360" w:lineRule="auto"/>
        <w:ind w:right="-93"/>
        <w:jc w:val="both"/>
        <w:rPr>
          <w:rFonts w:ascii="Palatino Linotype" w:eastAsia="Palatino Linotype" w:hAnsi="Palatino Linotype" w:cs="Palatino Linotype"/>
        </w:rPr>
      </w:pPr>
    </w:p>
    <w:p w:rsidR="00515A88" w:rsidRDefault="00096237">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conviene expresar que en el caso concreto, como lo señaló el particular en su recurso de revisión, el </w:t>
      </w:r>
      <w:r>
        <w:rPr>
          <w:rFonts w:ascii="Palatino Linotype" w:eastAsia="Palatino Linotype" w:hAnsi="Palatino Linotype" w:cs="Palatino Linotype"/>
          <w:b/>
        </w:rPr>
        <w:t>Sujeto Obligado no observó las formalidades que establece la legislación en la materia respecto a la clasificación de la información</w:t>
      </w:r>
      <w:r>
        <w:rPr>
          <w:rFonts w:ascii="Palatino Linotype" w:eastAsia="Palatino Linotype" w:hAnsi="Palatino Linotype" w:cs="Palatino Linotype"/>
        </w:rPr>
        <w:t xml:space="preserve">, toda vez que de las constancias que obran en el expediente electrónico en el que se actúa, no se advierte que se hubiera remitido el Acuerdo de Clasificación mediante el cual, de manera fundada y motivada se acreditara que la información requerida </w:t>
      </w:r>
      <w:r>
        <w:rPr>
          <w:rFonts w:ascii="Palatino Linotype" w:eastAsia="Palatino Linotype" w:hAnsi="Palatino Linotype" w:cs="Palatino Linotype"/>
        </w:rPr>
        <w:lastRenderedPageBreak/>
        <w:t xml:space="preserve">actualiza el supuesto de clasificación invocado por el servidor público habilitado como razón para limitar el derecho humano de acceso a la información pública. </w:t>
      </w:r>
    </w:p>
    <w:p w:rsidR="00515A88" w:rsidRDefault="00096237">
      <w:pPr>
        <w:pBdr>
          <w:top w:val="nil"/>
          <w:left w:val="nil"/>
          <w:bottom w:val="nil"/>
          <w:right w:val="nil"/>
          <w:between w:val="nil"/>
        </w:pBdr>
        <w:spacing w:before="240"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orden de ideas, se advierte que la pretendida clasificación de la información solicitada no reúne los requisitos contenidos en la Ley de Transparencia y Acceso a la Información del Estado de México y Municipios y en los Lineamientos Generales en Materia de Clasificación y Desclasificación de la Información, por lo tanto, el derecho de acceso a la información pública del particular no puede tenerse por atendido.</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rsidR="00515A88" w:rsidRDefault="00096237">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FUNDAMENTACIÓN Y MOTIVACIÓN. </w:t>
      </w:r>
      <w:r>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515A88" w:rsidRDefault="00096237">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Pr>
          <w:rFonts w:ascii="Palatino Linotype" w:eastAsia="Palatino Linotype" w:hAnsi="Palatino Linotype" w:cs="Palatino Linotype"/>
          <w:i/>
          <w:sz w:val="22"/>
          <w:szCs w:val="22"/>
        </w:rPr>
        <w:t xml:space="preserve">. El contenido formal de la garantía de legalidad prevista en el artículo 16 constitucional relativa a la </w:t>
      </w:r>
      <w:r>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eastAsia="Palatino Linotype" w:hAnsi="Palatino Linotype" w:cs="Palatino Linotype"/>
          <w:i/>
          <w:sz w:val="22"/>
          <w:szCs w:val="22"/>
        </w:rPr>
        <w:t xml:space="preserve">. Por tanto, </w:t>
      </w:r>
      <w:r>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Pr>
          <w:rFonts w:ascii="Palatino Linotype" w:eastAsia="Palatino Linotype" w:hAnsi="Palatino Linotype" w:cs="Palatino Linotype"/>
          <w:i/>
          <w:sz w:val="22"/>
          <w:szCs w:val="22"/>
        </w:rPr>
        <w:t>, que impida la finalidad del conocimiento, comprobación y defensa pertinente</w:t>
      </w:r>
      <w:r>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eastAsia="Palatino Linotype" w:hAnsi="Palatino Linotype" w:cs="Palatino Linotype"/>
          <w:i/>
          <w:sz w:val="22"/>
          <w:szCs w:val="22"/>
        </w:rPr>
        <w:t>.”(Sic)</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Bajo esta línea de pensamiento, se tiene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con las formalidades previstas en los artículos 49, fracción VIII, 122, 130, 132, fracciones I, II y III, 143 en su fracción primera y 149 de la Ley de Transparencia y Acceso a la Información Pública del Estado de México y Municipios en vigor, así como el numeral Cuarto al Décimo Primero de los Lineamientos Generales en materia de Clasificación y Desclasificación de la Información, así como para la elaboración de Versiones Públicas, que literalmente expresan:</w:t>
      </w:r>
    </w:p>
    <w:p w:rsidR="00515A88" w:rsidRDefault="00096237">
      <w:pPr>
        <w:spacing w:before="240" w:after="240" w:line="360" w:lineRule="auto"/>
        <w:ind w:left="567" w:right="90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Ley de Transparencia y Acceso a la Información Pública del Estado de México y Municipios</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Aprobar, modificar o revocar la clasificación de la información;</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515A88" w:rsidRDefault="00096237">
      <w:pPr>
        <w:spacing w:before="240" w:after="240"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Artículo 122. </w:t>
      </w:r>
      <w:r>
        <w:rPr>
          <w:rFonts w:ascii="Palatino Linotype" w:eastAsia="Palatino Linotype" w:hAnsi="Palatino Linotype" w:cs="Palatino Linotype"/>
          <w:b/>
          <w:i/>
          <w:sz w:val="22"/>
          <w:szCs w:val="22"/>
        </w:rPr>
        <w:t>La clasificación es el proceso mediante el cual el sujeto obligado determina que la información en su poder actualiza alguno de los supuestos de</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 de conformidad con lo dispuesto en el presente título.</w:t>
      </w:r>
    </w:p>
    <w:p w:rsidR="00515A88" w:rsidRDefault="00096237">
      <w:pPr>
        <w:spacing w:before="240" w:after="240"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supuestos de</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 previstos en las leyes deberán ser acordes con las bases, principios y disposiciones establecidos en la Ley General y, en ningún caso, podrán contravenirla.</w:t>
      </w:r>
    </w:p>
    <w:p w:rsidR="00515A88" w:rsidRDefault="00096237">
      <w:pPr>
        <w:spacing w:before="240" w:after="240"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titulares de las áreas de los sujetos obligados serán los responsables de clasificar la información, de conformidad con lo dispuesto en la presente Ley y demás disposiciones jurídicas aplicables.</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15A88" w:rsidRDefault="00096237">
      <w:pPr>
        <w:spacing w:before="240" w:after="240"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Artículo 130. </w:t>
      </w:r>
      <w:r>
        <w:rPr>
          <w:rFonts w:ascii="Palatino Linotype" w:eastAsia="Palatino Linotype" w:hAnsi="Palatino Linotype" w:cs="Palatino Linotype"/>
          <w:b/>
          <w:i/>
          <w:sz w:val="22"/>
          <w:szCs w:val="22"/>
        </w:rPr>
        <w:t xml:space="preserve">Los sujetos obligados deberán aplicar, de manera restrictiva y limitada, las excepciones al derecho de acceso a la información y sólo </w:t>
      </w:r>
      <w:r>
        <w:rPr>
          <w:rFonts w:ascii="Palatino Linotype" w:eastAsia="Palatino Linotype" w:hAnsi="Palatino Linotype" w:cs="Palatino Linotype"/>
          <w:b/>
          <w:i/>
          <w:sz w:val="22"/>
          <w:szCs w:val="22"/>
        </w:rPr>
        <w:lastRenderedPageBreak/>
        <w:t>podrán invocarlas cuando acrediten su procedencia, sin ampliar las excepciones o supuestos de</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 previstos en la Ley General y la presente Ley, aduciendo analogía o mayoría de razón.</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reciba una solicitud de acceso a la información;</w:t>
      </w:r>
    </w:p>
    <w:p w:rsidR="00515A88" w:rsidRDefault="00096237">
      <w:pPr>
        <w:spacing w:before="240" w:after="240"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Se determine mediante resolución de autoridad competente; o</w:t>
      </w:r>
    </w:p>
    <w:p w:rsidR="00515A88" w:rsidRDefault="00096237">
      <w:pPr>
        <w:spacing w:before="240" w:after="240"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III. Se generen versiones públicas para dar cumplimiento a las obligaciones de transparencia previstas en esta Ley.</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15A88" w:rsidRDefault="00096237">
      <w:pPr>
        <w:spacing w:before="240" w:after="240"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515A88" w:rsidRDefault="00096237">
      <w:pPr>
        <w:spacing w:before="240" w:after="240"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Se refiera a la información privada y los datos personales concernientes a una persona física o jurídico colectiva identificada o identificable;</w:t>
      </w:r>
    </w:p>
    <w:p w:rsidR="00515A88" w:rsidRDefault="00096237">
      <w:pPr>
        <w:spacing w:before="240" w:after="240"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515A88" w:rsidRDefault="00096237">
      <w:pPr>
        <w:spacing w:before="240" w:after="240"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149. </w:t>
      </w:r>
      <w:r>
        <w:rPr>
          <w:rFonts w:ascii="Palatino Linotype" w:eastAsia="Palatino Linotype" w:hAnsi="Palatino Linotype" w:cs="Palatino Linotype"/>
          <w:i/>
          <w:sz w:val="22"/>
          <w:szCs w:val="22"/>
        </w:rPr>
        <w:t>El acuerdo que clasifique la información como confidencial deberá contener un razonamiento lógico en el que demuestre que la información se encuentra en alguna o algunas de las hipótesis previstas en la presente Ley.</w:t>
      </w:r>
      <w:r>
        <w:rPr>
          <w:rFonts w:ascii="Palatino Linotype" w:eastAsia="Palatino Linotype" w:hAnsi="Palatino Linotype" w:cs="Palatino Linotype"/>
          <w:b/>
          <w:i/>
          <w:sz w:val="22"/>
          <w:szCs w:val="22"/>
        </w:rPr>
        <w:t>”</w:t>
      </w:r>
    </w:p>
    <w:p w:rsidR="00515A88" w:rsidRDefault="00096237">
      <w:pPr>
        <w:spacing w:before="240" w:after="240" w:line="276" w:lineRule="auto"/>
        <w:ind w:left="851" w:right="90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sujetos obligados deberán aplicar, de manera estricta, las excepciones al derecho de acceso a la información y sólo podrán invocarlas cuando acrediten su procedencia.</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15A88" w:rsidRDefault="00096237">
      <w:pPr>
        <w:spacing w:before="240" w:after="240" w:line="276" w:lineRule="auto"/>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Sexto.</w:t>
      </w:r>
      <w:r>
        <w:rPr>
          <w:rFonts w:ascii="Palatino Linotype" w:eastAsia="Palatino Linotype" w:hAnsi="Palatino Linotype" w:cs="Palatino Linotype"/>
          <w:i/>
          <w:color w:val="000000"/>
          <w:sz w:val="22"/>
          <w:szCs w:val="22"/>
        </w:rPr>
        <w:t xml:space="preserve"> </w:t>
      </w:r>
    </w:p>
    <w:p w:rsidR="00515A88" w:rsidRDefault="00096237">
      <w:pPr>
        <w:spacing w:before="240" w:after="240" w:line="276" w:lineRule="auto"/>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515A88" w:rsidRDefault="00096237">
      <w:pPr>
        <w:spacing w:before="240" w:after="240" w:line="276" w:lineRule="auto"/>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clasificación de información se realizará conforme a un análisis caso por caso, mediante la aplicación de la prueba de daño y de interés público.</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w:t>
      </w:r>
      <w:r>
        <w:rPr>
          <w:rFonts w:ascii="Palatino Linotype" w:eastAsia="Palatino Linotype" w:hAnsi="Palatino Linotype" w:cs="Palatino Linotype"/>
          <w:i/>
          <w:sz w:val="22"/>
          <w:szCs w:val="22"/>
        </w:rPr>
        <w:lastRenderedPageBreak/>
        <w:t>el Estado mexicano que expresamente le otorga el carácter de reservada o confidencial.</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515A88" w:rsidRDefault="00096237">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(Sic)</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Como se advierte dicho Acuerdo debe exponer de manera clara las razones por las 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rsidR="00515A88" w:rsidRDefault="00096237">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135.</w:t>
      </w:r>
      <w:r>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515A88" w:rsidRDefault="00096237">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15A88" w:rsidRDefault="0009623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con la respuesta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se dejó al solicitante en estado de incertidumbre, al no conocer o comprender por qué se le negó el acceso a los documentos, violentando con ello el derecho de acceso a la información del solicitante.</w:t>
      </w:r>
    </w:p>
    <w:p w:rsidR="00515A88" w:rsidRDefault="0009623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esta autoridad estima que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estiman  fundados; por lo que, lo procedente es </w:t>
      </w:r>
      <w:r>
        <w:rPr>
          <w:rFonts w:ascii="Palatino Linotype" w:eastAsia="Palatino Linotype" w:hAnsi="Palatino Linotype" w:cs="Palatino Linotype"/>
          <w:b/>
        </w:rPr>
        <w:t>REVOCAR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515A88" w:rsidRDefault="00096237">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Finalmente, no pasa desapercibido para este Órgano Garante, que el solicitante </w:t>
      </w:r>
      <w:r>
        <w:rPr>
          <w:rFonts w:ascii="Palatino Linotype" w:eastAsia="Palatino Linotype" w:hAnsi="Palatino Linotype" w:cs="Palatino Linotype"/>
          <w:color w:val="222222"/>
        </w:rPr>
        <w:t xml:space="preserve">no proporcionó la temporalidad de la información que requirió, por lo que con fundamento en el artículo 181, cuarto párrafo de la Ley de Transparencia y Acceso a la Información Pública del Estado de México y Municipios; se determina que la fecha a entregar la información solicitada es la concerniente a los contratos de </w:t>
      </w:r>
      <w:r>
        <w:rPr>
          <w:rFonts w:ascii="Palatino Linotype" w:eastAsia="Palatino Linotype" w:hAnsi="Palatino Linotype" w:cs="Palatino Linotype"/>
          <w:color w:val="222222"/>
        </w:rPr>
        <w:lastRenderedPageBreak/>
        <w:t xml:space="preserve">prestación de servicios de todos los servidores públicos adscritos al Ayuntamiento de Tepetlaoxtoc, vigentes a la fecha de la solicitud de acceso a la información pública, es decir, al diez de enero de dos mil veintidós </w:t>
      </w:r>
      <w:r>
        <w:rPr>
          <w:rFonts w:ascii="Palatino Linotype" w:eastAsia="Palatino Linotype" w:hAnsi="Palatino Linotype" w:cs="Palatino Linotype"/>
        </w:rPr>
        <w:t>y en términos de lo señalado por el considerando quinto del presente fallo.</w:t>
      </w:r>
    </w:p>
    <w:p w:rsidR="00515A88" w:rsidRDefault="00096237">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Versión Pública</w:t>
      </w:r>
      <w:r>
        <w:rPr>
          <w:rFonts w:ascii="Palatino Linotype" w:eastAsia="Palatino Linotype" w:hAnsi="Palatino Linotype" w:cs="Palatino Linotype"/>
        </w:rPr>
        <w:t xml:space="preserve">. </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fracciones I de la Ley de Transparencia y Acceso a la Información Pública del Estado de México y Municipios que establecen:</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w:t>
      </w:r>
      <w:r>
        <w:rPr>
          <w:rFonts w:ascii="Palatino Linotype" w:eastAsia="Palatino Linotype" w:hAnsi="Palatino Linotype" w:cs="Palatino Linotype"/>
          <w:i/>
          <w:sz w:val="22"/>
          <w:szCs w:val="22"/>
        </w:rPr>
        <w:lastRenderedPageBreak/>
        <w:t>titularidad corresponda a particulares, sujetos de derecho internacional o a sujetos obligados cuando no involucren el ejercicio de recursos públicos;</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El acceso a la información pública será restringido excepcionalmente, cuando ésta sea clasificada como reservada o confidencial.</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w:t>
      </w:r>
      <w:r>
        <w:rPr>
          <w:rFonts w:ascii="Palatino Linotype" w:eastAsia="Palatino Linotype" w:hAnsi="Palatino Linotype" w:cs="Palatino Linotype"/>
        </w:rPr>
        <w:lastRenderedPageBreak/>
        <w:t>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Quincuagésimo sexto.</w:t>
      </w:r>
      <w:r>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séptimo</w:t>
      </w:r>
      <w:r>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515A88" w:rsidRDefault="0009623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no permitan la recuperación o visualización de la misma.”</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w:t>
      </w:r>
      <w:r>
        <w:rPr>
          <w:rFonts w:ascii="Palatino Linotype" w:eastAsia="Palatino Linotype" w:hAnsi="Palatino Linotype" w:cs="Palatino Linotype"/>
        </w:rPr>
        <w:lastRenderedPageBreak/>
        <w:t xml:space="preserve">debe estar debidamente fundado y motivado, en el que 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derivado de la información que se ordena entregar pudiera existir información de la Dirección de Seguridad Pública del Ayuntamiento de Tepetlaoxtoc </w:t>
      </w:r>
      <w:r>
        <w:rPr>
          <w:rFonts w:ascii="Palatino Linotype" w:eastAsia="Palatino Linotype" w:hAnsi="Palatino Linotype" w:cs="Palatino Linotype"/>
          <w:color w:val="000000"/>
        </w:rPr>
        <w:t xml:space="preserve">o su </w:t>
      </w:r>
      <w:r>
        <w:rPr>
          <w:rFonts w:ascii="Palatino Linotype" w:eastAsia="Palatino Linotype" w:hAnsi="Palatino Linotype" w:cs="Palatino Linotype"/>
        </w:rPr>
        <w:t>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rubro de asistencias que por su naturaleza conciernen a la ciudadanía por ser información pública; circunstancia que en nada afecta al derecho tutelado por este Órgano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este Instituto advierte lo siguiente:</w:t>
      </w:r>
    </w:p>
    <w:p w:rsidR="00515A88" w:rsidRDefault="00096237">
      <w:pPr>
        <w:numPr>
          <w:ilvl w:val="1"/>
          <w:numId w:val="4"/>
        </w:numPr>
        <w:tabs>
          <w:tab w:val="left" w:pos="8222"/>
        </w:tabs>
        <w:spacing w:before="240" w:after="240" w:line="360" w:lineRule="auto"/>
        <w:ind w:left="426" w:right="-28"/>
        <w:jc w:val="both"/>
        <w:rPr>
          <w:rFonts w:ascii="Palatino Linotype" w:eastAsia="Palatino Linotype" w:hAnsi="Palatino Linotype" w:cs="Palatino Linotype"/>
        </w:rPr>
      </w:pPr>
      <w:r>
        <w:rPr>
          <w:rFonts w:ascii="Palatino Linotype" w:eastAsia="Palatino Linotype" w:hAnsi="Palatino Linotype" w:cs="Palatino Linotype"/>
        </w:rPr>
        <w:t xml:space="preserve">Que toda vez que se trata de dar a conocer los nombres de los integrantes de los cuerpos de seguridad pública, es procedente la clasificación de la información como reservada, en el entendido de que se pone en riesgo su vida, salud y seguridad, dado que los hace identificables. </w:t>
      </w:r>
    </w:p>
    <w:p w:rsidR="00515A88" w:rsidRDefault="00096237">
      <w:pPr>
        <w:numPr>
          <w:ilvl w:val="1"/>
          <w:numId w:val="4"/>
        </w:numPr>
        <w:tabs>
          <w:tab w:val="left" w:pos="8222"/>
        </w:tabs>
        <w:spacing w:before="240" w:after="240" w:line="360" w:lineRule="auto"/>
        <w:ind w:left="426" w:right="-28"/>
        <w:jc w:val="both"/>
        <w:rPr>
          <w:rFonts w:ascii="Palatino Linotype" w:eastAsia="Palatino Linotype" w:hAnsi="Palatino Linotype" w:cs="Palatino Linotype"/>
        </w:rPr>
      </w:pPr>
      <w:r>
        <w:rPr>
          <w:rFonts w:ascii="Palatino Linotype" w:eastAsia="Palatino Linotype" w:hAnsi="Palatino Linotype" w:cs="Palatino Linotype"/>
        </w:rPr>
        <w:t>Que el riesgo de perjuicio que supone la divulgación de la información supera el interés público general; pues con dicha información, se comprometería el cumplimiento de los objetivos en materia de seguridad pública, o bien, la consecución de la investigación de probables hechos delictivos y/o faltas administrativas.</w:t>
      </w:r>
    </w:p>
    <w:p w:rsidR="00515A88" w:rsidRDefault="00096237">
      <w:pPr>
        <w:numPr>
          <w:ilvl w:val="1"/>
          <w:numId w:val="4"/>
        </w:numPr>
        <w:tabs>
          <w:tab w:val="left" w:pos="8222"/>
        </w:tabs>
        <w:spacing w:before="240" w:after="240" w:line="360" w:lineRule="auto"/>
        <w:ind w:left="426" w:right="-28"/>
        <w:jc w:val="both"/>
        <w:rPr>
          <w:rFonts w:ascii="Palatino Linotype" w:eastAsia="Palatino Linotype" w:hAnsi="Palatino Linotype" w:cs="Palatino Linotype"/>
        </w:rPr>
      </w:pPr>
      <w:r>
        <w:rPr>
          <w:rFonts w:ascii="Palatino Linotype" w:eastAsia="Palatino Linotype" w:hAnsi="Palatino Linotype" w:cs="Palatino Linotype"/>
        </w:rPr>
        <w:t xml:space="preserve">La reserva no se traduce en un medio restrictivo al derecho de acceso a la información, en virtud, de que se trata de una medida temporal, cuya finalidad es salvaguardar la vida, la salud y la seguridad de los servidores públicos, así como evitar que células delictivas neutralizar las acciones en materia de </w:t>
      </w:r>
      <w:r>
        <w:rPr>
          <w:rFonts w:ascii="Palatino Linotype" w:eastAsia="Palatino Linotype" w:hAnsi="Palatino Linotype" w:cs="Palatino Linotype"/>
        </w:rPr>
        <w:lastRenderedPageBreak/>
        <w:t>seguridad pública para la preservación del orden y la paz pública, por lo que, no se trata de una medida desproporcional, ni excesiva.</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 este respecto, de conformidad con los artículos 91 y 140, fracciones I, IV y X de la vigente Ley de Transparencia, el derecho constitucional de acceso a la información pública puede ser restringido cuando se trate de información clasificada, por razón de seguridad pública, ponga en riesgo la vida,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rsidR="00515A88" w:rsidRDefault="00096237">
      <w:pPr>
        <w:spacing w:before="240" w:after="240" w:line="360" w:lineRule="auto"/>
        <w:ind w:lef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Artículo 91.</w:t>
      </w:r>
      <w:r>
        <w:rPr>
          <w:rFonts w:ascii="Palatino Linotype" w:eastAsia="Palatino Linotype" w:hAnsi="Palatino Linotype" w:cs="Palatino Linotype"/>
          <w:i/>
          <w:sz w:val="20"/>
          <w:szCs w:val="20"/>
        </w:rPr>
        <w:t xml:space="preserve"> El acceso a la información pública será restringido excepcionalmente, cuando ésta sea clasificada como reservada o confidencial.</w:t>
      </w:r>
    </w:p>
    <w:p w:rsidR="00515A88" w:rsidRDefault="00096237">
      <w:pPr>
        <w:spacing w:before="240" w:after="240" w:line="360" w:lineRule="auto"/>
        <w:ind w:lef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140. </w:t>
      </w:r>
      <w:r>
        <w:rPr>
          <w:rFonts w:ascii="Palatino Linotype" w:eastAsia="Palatino Linotype" w:hAnsi="Palatino Linotype" w:cs="Palatino Linotype"/>
          <w:i/>
          <w:sz w:val="20"/>
          <w:szCs w:val="20"/>
        </w:rPr>
        <w:t xml:space="preserve">El acceso a la información pública será restringido excepcionalmente, cuando por razones de interés público, ésta sea clasificada como reservada, conforme a los criterios siguientes: </w:t>
      </w:r>
    </w:p>
    <w:p w:rsidR="00515A88" w:rsidRDefault="00096237">
      <w:pPr>
        <w:spacing w:before="240" w:after="240" w:line="360" w:lineRule="auto"/>
        <w:ind w:lef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w:t>
      </w:r>
      <w:r>
        <w:rPr>
          <w:rFonts w:ascii="Palatino Linotype" w:eastAsia="Palatino Linotype" w:hAnsi="Palatino Linotype" w:cs="Palatino Linotype"/>
          <w:i/>
          <w:sz w:val="20"/>
          <w:szCs w:val="20"/>
        </w:rPr>
        <w:t xml:space="preserve"> Comprometa la seguridad pública y cuente con un propósito genuino y un efecto demostrable;</w:t>
      </w:r>
    </w:p>
    <w:p w:rsidR="00515A88" w:rsidRDefault="00096237">
      <w:pPr>
        <w:spacing w:before="240" w:after="240" w:line="360" w:lineRule="auto"/>
        <w:ind w:lef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515A88" w:rsidRDefault="00096237">
      <w:pPr>
        <w:spacing w:before="240" w:after="240" w:line="360" w:lineRule="auto"/>
        <w:ind w:lef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IV.</w:t>
      </w:r>
      <w:r>
        <w:rPr>
          <w:rFonts w:ascii="Palatino Linotype" w:eastAsia="Palatino Linotype" w:hAnsi="Palatino Linotype" w:cs="Palatino Linotype"/>
          <w:i/>
          <w:sz w:val="20"/>
          <w:szCs w:val="20"/>
        </w:rPr>
        <w:t xml:space="preserve"> Ponga en riesgo la vida, la seguridad o la salud de una persona física;…” (Sic)</w:t>
      </w:r>
    </w:p>
    <w:p w:rsidR="00515A88" w:rsidRDefault="00096237">
      <w:pPr>
        <w:tabs>
          <w:tab w:val="left" w:pos="8647"/>
        </w:tabs>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este marco, cabe señalar que, si bien es cierto este Instituto de Transparencia, Acceso a la Información Pública y Protección de Datos Personales del Estado de </w:t>
      </w:r>
      <w:r>
        <w:rPr>
          <w:rFonts w:ascii="Palatino Linotype" w:eastAsia="Palatino Linotype" w:hAnsi="Palatino Linotype" w:cs="Palatino Linotype"/>
        </w:rPr>
        <w:lastRenderedPageBreak/>
        <w:t>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Sirven de sustento a lo anterior las tesis jurisprudenciales emitidas por la Suprema corte de Justicia de la Nación, que son del literal siguiente:</w:t>
      </w:r>
    </w:p>
    <w:p w:rsidR="00515A88" w:rsidRDefault="00096237">
      <w:pPr>
        <w:spacing w:before="240" w:after="240" w:line="360" w:lineRule="auto"/>
        <w:ind w:left="851" w:right="760"/>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“DERECHO A LA INFORMACIÓN. SU EJERCICIO SE ENCUENTRA LIMITADO TANTO POR LOS INTERESES NACIONALES Y DE LA SOCIEDAD, COMO POR LOS DERECHOS DE TERCEROS. </w:t>
      </w:r>
      <w:r>
        <w:rPr>
          <w:rFonts w:ascii="Palatino Linotype" w:eastAsia="Palatino Linotype" w:hAnsi="Palatino Linotype" w:cs="Palatino Linotype"/>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Pr>
          <w:rFonts w:ascii="Palatino Linotype" w:eastAsia="Palatino Linotype" w:hAnsi="Palatino Linotype" w:cs="Palatino Linotype"/>
          <w:b/>
          <w:i/>
          <w:sz w:val="20"/>
          <w:szCs w:val="20"/>
        </w:rPr>
        <w:t>restringen el acceso a la información en esta materia, en razón de que su conocimiento público puede generar daños a los intereses nacionales y, por el otro, sancionan la inobservancia de esa reserva;</w:t>
      </w:r>
      <w:r>
        <w:rPr>
          <w:rFonts w:ascii="Palatino Linotype" w:eastAsia="Palatino Linotype" w:hAnsi="Palatino Linotype" w:cs="Palatino Linotype"/>
          <w:i/>
          <w:sz w:val="20"/>
          <w:szCs w:val="20"/>
        </w:rPr>
        <w:t xml:space="preserve"> por lo que hace al interés social, se cuenta con normas que tienden a proteger la averiguación de los delitos, la salud y la moral públicas, </w:t>
      </w:r>
      <w:r>
        <w:rPr>
          <w:rFonts w:ascii="Palatino Linotype" w:eastAsia="Palatino Linotype" w:hAnsi="Palatino Linotype" w:cs="Palatino Linotype"/>
          <w:b/>
          <w:i/>
          <w:sz w:val="20"/>
          <w:szCs w:val="20"/>
        </w:rPr>
        <w:t>mientras que por lo que respecta a la protección de la persona existen normas que protegen el derecho a la vida o a la privacidad de los gobernados.</w:t>
      </w:r>
      <w:r>
        <w:rPr>
          <w:rFonts w:ascii="Palatino Linotype" w:eastAsia="Palatino Linotype" w:hAnsi="Palatino Linotype" w:cs="Palatino Linotype"/>
          <w:i/>
          <w:sz w:val="20"/>
          <w:szCs w:val="20"/>
        </w:rPr>
        <w:t>”</w:t>
      </w:r>
    </w:p>
    <w:p w:rsidR="00515A88" w:rsidRDefault="00096237">
      <w:pPr>
        <w:spacing w:before="240" w:after="240" w:line="360" w:lineRule="auto"/>
        <w:ind w:left="851" w:right="76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lastRenderedPageBreak/>
        <w:t>“TRANSPARENCIA Y ACCESO A LA INFORMACIÓN PÚBLICA GUBERNAMENTAL. EL ARTÍCULO 14, FRACCIÓN I, DE LA LEY FEDERAL RELATIVA, NO VIOLA LA GARANTÍA DE ACCESO A LA INFORMACIÓN.</w:t>
      </w:r>
      <w:r>
        <w:rPr>
          <w:rFonts w:ascii="Palatino Linotype" w:eastAsia="Palatino Linotype" w:hAnsi="Palatino Linotype" w:cs="Palatino Linotype"/>
          <w:i/>
          <w:sz w:val="20"/>
          <w:szCs w:val="20"/>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Pr>
          <w:rFonts w:ascii="Palatino Linotype" w:eastAsia="Palatino Linotype" w:hAnsi="Palatino Linotype" w:cs="Palatino Linotype"/>
          <w:b/>
          <w:i/>
          <w:sz w:val="20"/>
          <w:szCs w:val="20"/>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Pr>
          <w:rFonts w:ascii="Palatino Linotype" w:eastAsia="Palatino Linotype" w:hAnsi="Palatino Linotype" w:cs="Palatino Linotype"/>
          <w:i/>
          <w:sz w:val="20"/>
          <w:szCs w:val="20"/>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515A88" w:rsidRDefault="00096237">
      <w:pPr>
        <w:spacing w:before="240" w:after="240" w:line="360" w:lineRule="auto"/>
        <w:jc w:val="both"/>
      </w:pPr>
      <w:r>
        <w:t>En relación directa con ello, los Lineamientos en estudio establecen los formatos para la clasificación parcial y total de los documentos, que atienden a lo siguiente: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515A88">
        <w:tc>
          <w:tcPr>
            <w:tcW w:w="4414" w:type="dxa"/>
            <w:gridSpan w:val="2"/>
          </w:tcPr>
          <w:p w:rsidR="00515A88" w:rsidRDefault="00096237">
            <w:pPr>
              <w:jc w:val="center"/>
              <w:rPr>
                <w:sz w:val="12"/>
                <w:szCs w:val="12"/>
              </w:rPr>
            </w:pPr>
            <w:r>
              <w:rPr>
                <w:sz w:val="12"/>
                <w:szCs w:val="12"/>
              </w:rPr>
              <w:t>Parcial</w:t>
            </w:r>
          </w:p>
        </w:tc>
        <w:tc>
          <w:tcPr>
            <w:tcW w:w="4414" w:type="dxa"/>
            <w:gridSpan w:val="2"/>
          </w:tcPr>
          <w:p w:rsidR="00515A88" w:rsidRDefault="00096237">
            <w:pPr>
              <w:jc w:val="center"/>
              <w:rPr>
                <w:sz w:val="12"/>
                <w:szCs w:val="12"/>
              </w:rPr>
            </w:pPr>
            <w:r>
              <w:rPr>
                <w:sz w:val="12"/>
                <w:szCs w:val="12"/>
              </w:rPr>
              <w:t>Total</w:t>
            </w:r>
          </w:p>
        </w:tc>
      </w:tr>
      <w:tr w:rsidR="00515A88">
        <w:tc>
          <w:tcPr>
            <w:tcW w:w="993" w:type="dxa"/>
          </w:tcPr>
          <w:p w:rsidR="00515A88" w:rsidRDefault="00096237">
            <w:pPr>
              <w:jc w:val="center"/>
              <w:rPr>
                <w:sz w:val="12"/>
                <w:szCs w:val="12"/>
              </w:rPr>
            </w:pPr>
            <w:r>
              <w:rPr>
                <w:sz w:val="12"/>
                <w:szCs w:val="12"/>
              </w:rPr>
              <w:t>Concepto</w:t>
            </w:r>
          </w:p>
        </w:tc>
        <w:tc>
          <w:tcPr>
            <w:tcW w:w="3421" w:type="dxa"/>
          </w:tcPr>
          <w:p w:rsidR="00515A88" w:rsidRDefault="00096237">
            <w:pPr>
              <w:jc w:val="center"/>
              <w:rPr>
                <w:b/>
                <w:sz w:val="12"/>
                <w:szCs w:val="12"/>
              </w:rPr>
            </w:pPr>
            <w:r>
              <w:rPr>
                <w:b/>
                <w:sz w:val="12"/>
                <w:szCs w:val="12"/>
              </w:rPr>
              <w:t>Dónde</w:t>
            </w:r>
          </w:p>
        </w:tc>
        <w:tc>
          <w:tcPr>
            <w:tcW w:w="968" w:type="dxa"/>
          </w:tcPr>
          <w:p w:rsidR="00515A88" w:rsidRDefault="00096237">
            <w:pPr>
              <w:jc w:val="center"/>
              <w:rPr>
                <w:b/>
                <w:sz w:val="12"/>
                <w:szCs w:val="12"/>
              </w:rPr>
            </w:pPr>
            <w:r>
              <w:rPr>
                <w:b/>
                <w:sz w:val="12"/>
                <w:szCs w:val="12"/>
              </w:rPr>
              <w:t>Concepto</w:t>
            </w:r>
          </w:p>
        </w:tc>
        <w:tc>
          <w:tcPr>
            <w:tcW w:w="3446" w:type="dxa"/>
          </w:tcPr>
          <w:p w:rsidR="00515A88" w:rsidRDefault="00096237">
            <w:pPr>
              <w:jc w:val="center"/>
              <w:rPr>
                <w:b/>
                <w:sz w:val="12"/>
                <w:szCs w:val="12"/>
              </w:rPr>
            </w:pPr>
            <w:r>
              <w:rPr>
                <w:b/>
                <w:sz w:val="12"/>
                <w:szCs w:val="12"/>
              </w:rPr>
              <w:t>Dónde</w:t>
            </w:r>
          </w:p>
        </w:tc>
      </w:tr>
      <w:tr w:rsidR="00515A88">
        <w:tc>
          <w:tcPr>
            <w:tcW w:w="8828" w:type="dxa"/>
            <w:gridSpan w:val="4"/>
          </w:tcPr>
          <w:p w:rsidR="00515A88" w:rsidRDefault="00096237">
            <w:pPr>
              <w:jc w:val="center"/>
              <w:rPr>
                <w:sz w:val="12"/>
                <w:szCs w:val="12"/>
              </w:rPr>
            </w:pPr>
            <w:r>
              <w:rPr>
                <w:sz w:val="12"/>
                <w:szCs w:val="12"/>
              </w:rPr>
              <w:t>Sello oficial o logotipo del sujeto obligado</w:t>
            </w:r>
          </w:p>
        </w:tc>
      </w:tr>
      <w:tr w:rsidR="00515A88">
        <w:tc>
          <w:tcPr>
            <w:tcW w:w="993" w:type="dxa"/>
          </w:tcPr>
          <w:p w:rsidR="00515A88" w:rsidRDefault="00096237">
            <w:pPr>
              <w:jc w:val="both"/>
              <w:rPr>
                <w:sz w:val="12"/>
                <w:szCs w:val="12"/>
              </w:rPr>
            </w:pPr>
            <w:r>
              <w:rPr>
                <w:sz w:val="12"/>
                <w:szCs w:val="12"/>
              </w:rPr>
              <w:t>Fecha de clasificación</w:t>
            </w:r>
          </w:p>
        </w:tc>
        <w:tc>
          <w:tcPr>
            <w:tcW w:w="3421" w:type="dxa"/>
          </w:tcPr>
          <w:p w:rsidR="00515A88" w:rsidRDefault="00096237">
            <w:pPr>
              <w:jc w:val="both"/>
              <w:rPr>
                <w:sz w:val="12"/>
                <w:szCs w:val="12"/>
              </w:rPr>
            </w:pPr>
            <w:r>
              <w:rPr>
                <w:sz w:val="12"/>
                <w:szCs w:val="12"/>
              </w:rPr>
              <w:t>Se anotará la fecha en la que el Comité de Transparencia confirmó la clasificación del documento, en su caso.</w:t>
            </w:r>
          </w:p>
        </w:tc>
        <w:tc>
          <w:tcPr>
            <w:tcW w:w="968" w:type="dxa"/>
          </w:tcPr>
          <w:p w:rsidR="00515A88" w:rsidRDefault="00096237">
            <w:pPr>
              <w:jc w:val="both"/>
              <w:rPr>
                <w:b/>
                <w:sz w:val="12"/>
                <w:szCs w:val="12"/>
              </w:rPr>
            </w:pPr>
            <w:r>
              <w:rPr>
                <w:b/>
                <w:sz w:val="12"/>
                <w:szCs w:val="12"/>
              </w:rPr>
              <w:t>Fecha de clasificación</w:t>
            </w:r>
          </w:p>
        </w:tc>
        <w:tc>
          <w:tcPr>
            <w:tcW w:w="3446" w:type="dxa"/>
          </w:tcPr>
          <w:p w:rsidR="00515A88" w:rsidRDefault="00096237">
            <w:pPr>
              <w:jc w:val="both"/>
              <w:rPr>
                <w:sz w:val="12"/>
                <w:szCs w:val="12"/>
              </w:rPr>
            </w:pPr>
            <w:r>
              <w:rPr>
                <w:sz w:val="12"/>
                <w:szCs w:val="12"/>
              </w:rPr>
              <w:t>Se anotará la fecha en la que el Comité de Transparencia confirmó la clasificación del documento, en su caso.</w:t>
            </w:r>
          </w:p>
        </w:tc>
      </w:tr>
      <w:tr w:rsidR="00515A88">
        <w:tc>
          <w:tcPr>
            <w:tcW w:w="993" w:type="dxa"/>
          </w:tcPr>
          <w:p w:rsidR="00515A88" w:rsidRDefault="00096237">
            <w:pPr>
              <w:jc w:val="both"/>
              <w:rPr>
                <w:sz w:val="12"/>
                <w:szCs w:val="12"/>
              </w:rPr>
            </w:pPr>
            <w:r>
              <w:rPr>
                <w:sz w:val="12"/>
                <w:szCs w:val="12"/>
              </w:rPr>
              <w:t>Área</w:t>
            </w:r>
          </w:p>
        </w:tc>
        <w:tc>
          <w:tcPr>
            <w:tcW w:w="3421" w:type="dxa"/>
          </w:tcPr>
          <w:p w:rsidR="00515A88" w:rsidRDefault="00096237">
            <w:pPr>
              <w:jc w:val="both"/>
              <w:rPr>
                <w:sz w:val="12"/>
                <w:szCs w:val="12"/>
              </w:rPr>
            </w:pPr>
            <w:r>
              <w:rPr>
                <w:sz w:val="12"/>
                <w:szCs w:val="12"/>
              </w:rPr>
              <w:t>Se señalará el nombre del área del cual es titular quien clasifica.</w:t>
            </w:r>
          </w:p>
        </w:tc>
        <w:tc>
          <w:tcPr>
            <w:tcW w:w="968" w:type="dxa"/>
          </w:tcPr>
          <w:p w:rsidR="00515A88" w:rsidRDefault="00096237">
            <w:pPr>
              <w:jc w:val="both"/>
              <w:rPr>
                <w:b/>
                <w:sz w:val="12"/>
                <w:szCs w:val="12"/>
              </w:rPr>
            </w:pPr>
            <w:r>
              <w:rPr>
                <w:b/>
                <w:sz w:val="12"/>
                <w:szCs w:val="12"/>
              </w:rPr>
              <w:t>Área</w:t>
            </w:r>
          </w:p>
        </w:tc>
        <w:tc>
          <w:tcPr>
            <w:tcW w:w="3446" w:type="dxa"/>
          </w:tcPr>
          <w:p w:rsidR="00515A88" w:rsidRDefault="00096237">
            <w:pPr>
              <w:jc w:val="both"/>
              <w:rPr>
                <w:sz w:val="12"/>
                <w:szCs w:val="12"/>
              </w:rPr>
            </w:pPr>
            <w:r>
              <w:rPr>
                <w:sz w:val="12"/>
                <w:szCs w:val="12"/>
              </w:rPr>
              <w:t>Se señalará el nombre del área de la cual es el titular quien clasifica.</w:t>
            </w:r>
          </w:p>
        </w:tc>
      </w:tr>
      <w:tr w:rsidR="00515A88">
        <w:tc>
          <w:tcPr>
            <w:tcW w:w="993" w:type="dxa"/>
          </w:tcPr>
          <w:p w:rsidR="00515A88" w:rsidRDefault="00096237">
            <w:pPr>
              <w:jc w:val="both"/>
              <w:rPr>
                <w:sz w:val="12"/>
                <w:szCs w:val="12"/>
              </w:rPr>
            </w:pPr>
            <w:r>
              <w:rPr>
                <w:sz w:val="12"/>
                <w:szCs w:val="12"/>
              </w:rPr>
              <w:lastRenderedPageBreak/>
              <w:t>Información reservada</w:t>
            </w:r>
          </w:p>
        </w:tc>
        <w:tc>
          <w:tcPr>
            <w:tcW w:w="3421" w:type="dxa"/>
          </w:tcPr>
          <w:p w:rsidR="00515A88" w:rsidRDefault="00096237">
            <w:pPr>
              <w:jc w:val="both"/>
              <w:rPr>
                <w:sz w:val="12"/>
                <w:szCs w:val="12"/>
              </w:rPr>
            </w:pPr>
            <w:r>
              <w:rPr>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515A88" w:rsidRDefault="00096237">
            <w:pPr>
              <w:jc w:val="both"/>
              <w:rPr>
                <w:b/>
                <w:sz w:val="12"/>
                <w:szCs w:val="12"/>
              </w:rPr>
            </w:pPr>
            <w:r>
              <w:rPr>
                <w:b/>
                <w:sz w:val="12"/>
                <w:szCs w:val="12"/>
              </w:rPr>
              <w:t>Reservado</w:t>
            </w:r>
          </w:p>
        </w:tc>
        <w:tc>
          <w:tcPr>
            <w:tcW w:w="3446" w:type="dxa"/>
          </w:tcPr>
          <w:p w:rsidR="00515A88" w:rsidRDefault="00096237">
            <w:pPr>
              <w:jc w:val="both"/>
              <w:rPr>
                <w:sz w:val="12"/>
                <w:szCs w:val="12"/>
              </w:rPr>
            </w:pPr>
            <w:r>
              <w:rPr>
                <w:sz w:val="12"/>
                <w:szCs w:val="12"/>
              </w:rPr>
              <w:t>Leyenda de información RESERVADA.</w:t>
            </w:r>
          </w:p>
        </w:tc>
      </w:tr>
      <w:tr w:rsidR="00515A88">
        <w:tc>
          <w:tcPr>
            <w:tcW w:w="993" w:type="dxa"/>
          </w:tcPr>
          <w:p w:rsidR="00515A88" w:rsidRDefault="00096237">
            <w:pPr>
              <w:jc w:val="both"/>
              <w:rPr>
                <w:sz w:val="12"/>
                <w:szCs w:val="12"/>
              </w:rPr>
            </w:pPr>
            <w:r>
              <w:rPr>
                <w:sz w:val="12"/>
                <w:szCs w:val="12"/>
              </w:rPr>
              <w:t>Fundamento legal</w:t>
            </w:r>
          </w:p>
        </w:tc>
        <w:tc>
          <w:tcPr>
            <w:tcW w:w="3421" w:type="dxa"/>
          </w:tcPr>
          <w:p w:rsidR="00515A88" w:rsidRDefault="00096237">
            <w:pPr>
              <w:jc w:val="both"/>
              <w:rPr>
                <w:sz w:val="12"/>
                <w:szCs w:val="12"/>
              </w:rPr>
            </w:pPr>
            <w:r>
              <w:rPr>
                <w:sz w:val="12"/>
                <w:szCs w:val="12"/>
              </w:rPr>
              <w:t>Se señalará el nombre del ordenamiento, el o los artículos, fracción(es), párrafo(s) con base en los cuales se sustente la reserva.</w:t>
            </w:r>
          </w:p>
        </w:tc>
        <w:tc>
          <w:tcPr>
            <w:tcW w:w="968" w:type="dxa"/>
          </w:tcPr>
          <w:p w:rsidR="00515A88" w:rsidRDefault="00096237">
            <w:pPr>
              <w:jc w:val="both"/>
              <w:rPr>
                <w:b/>
                <w:sz w:val="12"/>
                <w:szCs w:val="12"/>
              </w:rPr>
            </w:pPr>
            <w:r>
              <w:rPr>
                <w:b/>
                <w:sz w:val="12"/>
                <w:szCs w:val="12"/>
              </w:rPr>
              <w:t>Periodo de reserva</w:t>
            </w:r>
          </w:p>
        </w:tc>
        <w:tc>
          <w:tcPr>
            <w:tcW w:w="3446" w:type="dxa"/>
          </w:tcPr>
          <w:p w:rsidR="00515A88" w:rsidRDefault="00096237">
            <w:pPr>
              <w:jc w:val="both"/>
              <w:rPr>
                <w:sz w:val="12"/>
                <w:szCs w:val="12"/>
              </w:rPr>
            </w:pPr>
            <w:r>
              <w:rPr>
                <w:sz w:val="12"/>
                <w:szCs w:val="12"/>
              </w:rPr>
              <w:t>Se anotará el número de años o meses por los que se mantendrá el documento o las partes del mismo como reservado. Si el expediente no es reservado, sino confidencial, deberá tacharse este apartado.</w:t>
            </w:r>
          </w:p>
        </w:tc>
      </w:tr>
      <w:tr w:rsidR="00515A88">
        <w:tc>
          <w:tcPr>
            <w:tcW w:w="993" w:type="dxa"/>
          </w:tcPr>
          <w:p w:rsidR="00515A88" w:rsidRDefault="00096237">
            <w:pPr>
              <w:jc w:val="both"/>
              <w:rPr>
                <w:sz w:val="12"/>
                <w:szCs w:val="12"/>
              </w:rPr>
            </w:pPr>
            <w:r>
              <w:rPr>
                <w:sz w:val="12"/>
                <w:szCs w:val="12"/>
              </w:rPr>
              <w:t>Ampliación del periodo de reserva</w:t>
            </w:r>
          </w:p>
        </w:tc>
        <w:tc>
          <w:tcPr>
            <w:tcW w:w="3421" w:type="dxa"/>
          </w:tcPr>
          <w:p w:rsidR="00515A88" w:rsidRDefault="00096237">
            <w:pPr>
              <w:jc w:val="both"/>
              <w:rPr>
                <w:sz w:val="12"/>
                <w:szCs w:val="12"/>
              </w:rPr>
            </w:pPr>
            <w:r>
              <w:rPr>
                <w:sz w:val="12"/>
                <w:szCs w:val="12"/>
              </w:rPr>
              <w:t>En caso de haber solicitado la ampliación del periodo de reserva originalmente establecido, se deberá anotar el número de años o meses por los que se amplía la reserva.</w:t>
            </w:r>
          </w:p>
        </w:tc>
        <w:tc>
          <w:tcPr>
            <w:tcW w:w="968" w:type="dxa"/>
          </w:tcPr>
          <w:p w:rsidR="00515A88" w:rsidRDefault="00096237">
            <w:pPr>
              <w:jc w:val="both"/>
              <w:rPr>
                <w:b/>
                <w:sz w:val="12"/>
                <w:szCs w:val="12"/>
              </w:rPr>
            </w:pPr>
            <w:r>
              <w:rPr>
                <w:b/>
                <w:sz w:val="12"/>
                <w:szCs w:val="12"/>
              </w:rPr>
              <w:t>Fundamento legal</w:t>
            </w:r>
          </w:p>
        </w:tc>
        <w:tc>
          <w:tcPr>
            <w:tcW w:w="3446" w:type="dxa"/>
          </w:tcPr>
          <w:p w:rsidR="00515A88" w:rsidRDefault="00096237">
            <w:pPr>
              <w:jc w:val="both"/>
              <w:rPr>
                <w:sz w:val="12"/>
                <w:szCs w:val="12"/>
              </w:rPr>
            </w:pPr>
            <w:r>
              <w:rPr>
                <w:sz w:val="12"/>
                <w:szCs w:val="12"/>
              </w:rPr>
              <w:t>Se señalará el nombre del o de los ordenamientos jurídicos, el o los artículos, fracción(es), párrafo(s) con base en los cuales se sustenta la reserva.</w:t>
            </w:r>
          </w:p>
        </w:tc>
      </w:tr>
      <w:tr w:rsidR="00515A88">
        <w:tc>
          <w:tcPr>
            <w:tcW w:w="993" w:type="dxa"/>
          </w:tcPr>
          <w:p w:rsidR="00515A88" w:rsidRDefault="00096237">
            <w:pPr>
              <w:jc w:val="both"/>
              <w:rPr>
                <w:sz w:val="12"/>
                <w:szCs w:val="12"/>
              </w:rPr>
            </w:pPr>
            <w:r>
              <w:rPr>
                <w:sz w:val="12"/>
                <w:szCs w:val="12"/>
              </w:rPr>
              <w:t>Confidencial</w:t>
            </w:r>
          </w:p>
        </w:tc>
        <w:tc>
          <w:tcPr>
            <w:tcW w:w="3421" w:type="dxa"/>
          </w:tcPr>
          <w:p w:rsidR="00515A88" w:rsidRDefault="00096237">
            <w:pPr>
              <w:jc w:val="both"/>
              <w:rPr>
                <w:sz w:val="12"/>
                <w:szCs w:val="12"/>
              </w:rPr>
            </w:pPr>
            <w:r>
              <w:rPr>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515A88" w:rsidRDefault="00096237">
            <w:pPr>
              <w:jc w:val="both"/>
              <w:rPr>
                <w:b/>
                <w:sz w:val="12"/>
                <w:szCs w:val="12"/>
              </w:rPr>
            </w:pPr>
            <w:r>
              <w:rPr>
                <w:b/>
                <w:sz w:val="12"/>
                <w:szCs w:val="12"/>
              </w:rPr>
              <w:t>Ampliación del periodo de reserva</w:t>
            </w:r>
          </w:p>
        </w:tc>
        <w:tc>
          <w:tcPr>
            <w:tcW w:w="3446" w:type="dxa"/>
          </w:tcPr>
          <w:p w:rsidR="00515A88" w:rsidRDefault="00096237">
            <w:pPr>
              <w:jc w:val="both"/>
              <w:rPr>
                <w:sz w:val="12"/>
                <w:szCs w:val="12"/>
              </w:rPr>
            </w:pPr>
            <w:r>
              <w:rPr>
                <w:sz w:val="12"/>
                <w:szCs w:val="12"/>
              </w:rPr>
              <w:t>En caso de haber solicitado la ampliación del periodo de reserva originalmente establecido, se deberá anotar el número de años o meses por los que se amplía la reserva.</w:t>
            </w:r>
          </w:p>
        </w:tc>
      </w:tr>
      <w:tr w:rsidR="00515A88">
        <w:tc>
          <w:tcPr>
            <w:tcW w:w="993" w:type="dxa"/>
          </w:tcPr>
          <w:p w:rsidR="00515A88" w:rsidRDefault="00096237">
            <w:pPr>
              <w:jc w:val="both"/>
              <w:rPr>
                <w:sz w:val="12"/>
                <w:szCs w:val="12"/>
              </w:rPr>
            </w:pPr>
            <w:r>
              <w:rPr>
                <w:sz w:val="12"/>
                <w:szCs w:val="12"/>
              </w:rPr>
              <w:t>Fundamento legal</w:t>
            </w:r>
          </w:p>
        </w:tc>
        <w:tc>
          <w:tcPr>
            <w:tcW w:w="3421" w:type="dxa"/>
          </w:tcPr>
          <w:p w:rsidR="00515A88" w:rsidRDefault="00096237">
            <w:pPr>
              <w:jc w:val="both"/>
              <w:rPr>
                <w:sz w:val="12"/>
                <w:szCs w:val="12"/>
              </w:rPr>
            </w:pPr>
            <w:r>
              <w:rPr>
                <w:sz w:val="12"/>
                <w:szCs w:val="12"/>
              </w:rPr>
              <w:t>Se señalará el nombre del ordenamiento, el o los artículos, fracción(es), párrafo(s) con base en los cuales se sustente la confidencialidad.</w:t>
            </w:r>
          </w:p>
        </w:tc>
        <w:tc>
          <w:tcPr>
            <w:tcW w:w="968" w:type="dxa"/>
          </w:tcPr>
          <w:p w:rsidR="00515A88" w:rsidRDefault="00096237">
            <w:pPr>
              <w:jc w:val="both"/>
              <w:rPr>
                <w:b/>
                <w:sz w:val="12"/>
                <w:szCs w:val="12"/>
              </w:rPr>
            </w:pPr>
            <w:r>
              <w:rPr>
                <w:b/>
                <w:sz w:val="12"/>
                <w:szCs w:val="12"/>
              </w:rPr>
              <w:t>Confidencial</w:t>
            </w:r>
          </w:p>
        </w:tc>
        <w:tc>
          <w:tcPr>
            <w:tcW w:w="3446" w:type="dxa"/>
          </w:tcPr>
          <w:p w:rsidR="00515A88" w:rsidRDefault="00096237">
            <w:pPr>
              <w:jc w:val="both"/>
              <w:rPr>
                <w:sz w:val="12"/>
                <w:szCs w:val="12"/>
              </w:rPr>
            </w:pPr>
            <w:r>
              <w:rPr>
                <w:sz w:val="12"/>
                <w:szCs w:val="12"/>
              </w:rPr>
              <w:t>Leyenda de información CONFIDENCIAL.</w:t>
            </w:r>
          </w:p>
        </w:tc>
      </w:tr>
      <w:tr w:rsidR="00515A88">
        <w:tc>
          <w:tcPr>
            <w:tcW w:w="993" w:type="dxa"/>
          </w:tcPr>
          <w:p w:rsidR="00515A88" w:rsidRDefault="00096237">
            <w:pPr>
              <w:jc w:val="both"/>
              <w:rPr>
                <w:sz w:val="12"/>
                <w:szCs w:val="12"/>
              </w:rPr>
            </w:pPr>
            <w:r>
              <w:rPr>
                <w:sz w:val="12"/>
                <w:szCs w:val="12"/>
              </w:rPr>
              <w:t>Rúbrica del titular del área</w:t>
            </w:r>
          </w:p>
        </w:tc>
        <w:tc>
          <w:tcPr>
            <w:tcW w:w="3421" w:type="dxa"/>
          </w:tcPr>
          <w:p w:rsidR="00515A88" w:rsidRDefault="00096237">
            <w:pPr>
              <w:jc w:val="both"/>
              <w:rPr>
                <w:sz w:val="12"/>
                <w:szCs w:val="12"/>
              </w:rPr>
            </w:pPr>
            <w:r>
              <w:rPr>
                <w:sz w:val="12"/>
                <w:szCs w:val="12"/>
              </w:rPr>
              <w:t>Rúbrica autógrafa de quien clasifica.</w:t>
            </w:r>
          </w:p>
        </w:tc>
        <w:tc>
          <w:tcPr>
            <w:tcW w:w="968" w:type="dxa"/>
          </w:tcPr>
          <w:p w:rsidR="00515A88" w:rsidRDefault="00096237">
            <w:pPr>
              <w:jc w:val="both"/>
              <w:rPr>
                <w:b/>
                <w:sz w:val="12"/>
                <w:szCs w:val="12"/>
              </w:rPr>
            </w:pPr>
            <w:r>
              <w:rPr>
                <w:b/>
                <w:sz w:val="12"/>
                <w:szCs w:val="12"/>
              </w:rPr>
              <w:t>Fundamento legal</w:t>
            </w:r>
          </w:p>
        </w:tc>
        <w:tc>
          <w:tcPr>
            <w:tcW w:w="3446" w:type="dxa"/>
          </w:tcPr>
          <w:p w:rsidR="00515A88" w:rsidRDefault="00096237">
            <w:pPr>
              <w:jc w:val="both"/>
              <w:rPr>
                <w:sz w:val="12"/>
                <w:szCs w:val="12"/>
              </w:rPr>
            </w:pPr>
            <w:r>
              <w:rPr>
                <w:sz w:val="12"/>
                <w:szCs w:val="12"/>
              </w:rPr>
              <w:t>Se señalará el nombre del o de los ordenamientos jurídicos, el o los artículos, fracción(es), párrafo(s) con base en los cuales se sustente la confidencialidad.</w:t>
            </w:r>
          </w:p>
        </w:tc>
      </w:tr>
      <w:tr w:rsidR="00515A88">
        <w:tc>
          <w:tcPr>
            <w:tcW w:w="993" w:type="dxa"/>
          </w:tcPr>
          <w:p w:rsidR="00515A88" w:rsidRDefault="00096237">
            <w:pPr>
              <w:jc w:val="both"/>
              <w:rPr>
                <w:sz w:val="12"/>
                <w:szCs w:val="12"/>
              </w:rPr>
            </w:pPr>
            <w:r>
              <w:rPr>
                <w:sz w:val="12"/>
                <w:szCs w:val="12"/>
              </w:rPr>
              <w:t>Fecha de desclasificación</w:t>
            </w:r>
          </w:p>
        </w:tc>
        <w:tc>
          <w:tcPr>
            <w:tcW w:w="3421" w:type="dxa"/>
          </w:tcPr>
          <w:p w:rsidR="00515A88" w:rsidRDefault="00096237">
            <w:pPr>
              <w:jc w:val="both"/>
              <w:rPr>
                <w:sz w:val="12"/>
                <w:szCs w:val="12"/>
              </w:rPr>
            </w:pPr>
            <w:r>
              <w:rPr>
                <w:sz w:val="12"/>
                <w:szCs w:val="12"/>
              </w:rPr>
              <w:t>Se anotará la fecha en que se desclasifica el documento.</w:t>
            </w:r>
          </w:p>
        </w:tc>
        <w:tc>
          <w:tcPr>
            <w:tcW w:w="968" w:type="dxa"/>
          </w:tcPr>
          <w:p w:rsidR="00515A88" w:rsidRDefault="00096237">
            <w:pPr>
              <w:jc w:val="both"/>
              <w:rPr>
                <w:b/>
                <w:sz w:val="12"/>
                <w:szCs w:val="12"/>
              </w:rPr>
            </w:pPr>
            <w:r>
              <w:rPr>
                <w:b/>
                <w:sz w:val="12"/>
                <w:szCs w:val="12"/>
              </w:rPr>
              <w:t>Rúbrica del titular del área</w:t>
            </w:r>
          </w:p>
        </w:tc>
        <w:tc>
          <w:tcPr>
            <w:tcW w:w="3446" w:type="dxa"/>
          </w:tcPr>
          <w:p w:rsidR="00515A88" w:rsidRDefault="00096237">
            <w:pPr>
              <w:jc w:val="both"/>
              <w:rPr>
                <w:sz w:val="12"/>
                <w:szCs w:val="12"/>
              </w:rPr>
            </w:pPr>
            <w:r>
              <w:rPr>
                <w:sz w:val="12"/>
                <w:szCs w:val="12"/>
              </w:rPr>
              <w:t>Rúbrica autógrafa de quien clasifica.</w:t>
            </w:r>
          </w:p>
        </w:tc>
      </w:tr>
      <w:tr w:rsidR="00515A88">
        <w:tc>
          <w:tcPr>
            <w:tcW w:w="993" w:type="dxa"/>
          </w:tcPr>
          <w:p w:rsidR="00515A88" w:rsidRDefault="00096237">
            <w:pPr>
              <w:jc w:val="both"/>
              <w:rPr>
                <w:sz w:val="12"/>
                <w:szCs w:val="12"/>
              </w:rPr>
            </w:pPr>
            <w:r>
              <w:rPr>
                <w:sz w:val="12"/>
                <w:szCs w:val="12"/>
              </w:rPr>
              <w:t>Rúbrica y cargo del servidor público</w:t>
            </w:r>
          </w:p>
        </w:tc>
        <w:tc>
          <w:tcPr>
            <w:tcW w:w="3421" w:type="dxa"/>
          </w:tcPr>
          <w:p w:rsidR="00515A88" w:rsidRDefault="00096237">
            <w:pPr>
              <w:jc w:val="both"/>
              <w:rPr>
                <w:sz w:val="12"/>
                <w:szCs w:val="12"/>
              </w:rPr>
            </w:pPr>
            <w:r>
              <w:rPr>
                <w:sz w:val="12"/>
                <w:szCs w:val="12"/>
              </w:rPr>
              <w:t>Rúbrica autógrafa de quien desclasifica.</w:t>
            </w:r>
          </w:p>
        </w:tc>
        <w:tc>
          <w:tcPr>
            <w:tcW w:w="968" w:type="dxa"/>
          </w:tcPr>
          <w:p w:rsidR="00515A88" w:rsidRDefault="00096237">
            <w:pPr>
              <w:jc w:val="both"/>
              <w:rPr>
                <w:b/>
                <w:sz w:val="12"/>
                <w:szCs w:val="12"/>
              </w:rPr>
            </w:pPr>
            <w:r>
              <w:rPr>
                <w:b/>
                <w:sz w:val="12"/>
                <w:szCs w:val="12"/>
              </w:rPr>
              <w:t>Fecha de desclasificación</w:t>
            </w:r>
          </w:p>
        </w:tc>
        <w:tc>
          <w:tcPr>
            <w:tcW w:w="3446" w:type="dxa"/>
          </w:tcPr>
          <w:p w:rsidR="00515A88" w:rsidRDefault="00096237">
            <w:pPr>
              <w:jc w:val="both"/>
              <w:rPr>
                <w:sz w:val="12"/>
                <w:szCs w:val="12"/>
              </w:rPr>
            </w:pPr>
            <w:r>
              <w:rPr>
                <w:sz w:val="12"/>
                <w:szCs w:val="12"/>
              </w:rPr>
              <w:t>Se anotará la fecha en que se desclasifica.</w:t>
            </w:r>
          </w:p>
        </w:tc>
      </w:tr>
      <w:tr w:rsidR="00515A88">
        <w:tc>
          <w:tcPr>
            <w:tcW w:w="993" w:type="dxa"/>
          </w:tcPr>
          <w:p w:rsidR="00515A88" w:rsidRDefault="00515A88">
            <w:pPr>
              <w:jc w:val="both"/>
              <w:rPr>
                <w:sz w:val="12"/>
                <w:szCs w:val="12"/>
              </w:rPr>
            </w:pPr>
          </w:p>
        </w:tc>
        <w:tc>
          <w:tcPr>
            <w:tcW w:w="3421" w:type="dxa"/>
          </w:tcPr>
          <w:p w:rsidR="00515A88" w:rsidRDefault="00515A88">
            <w:pPr>
              <w:jc w:val="both"/>
              <w:rPr>
                <w:sz w:val="12"/>
                <w:szCs w:val="12"/>
              </w:rPr>
            </w:pPr>
          </w:p>
        </w:tc>
        <w:tc>
          <w:tcPr>
            <w:tcW w:w="968" w:type="dxa"/>
          </w:tcPr>
          <w:p w:rsidR="00515A88" w:rsidRDefault="00096237">
            <w:pPr>
              <w:jc w:val="both"/>
              <w:rPr>
                <w:b/>
                <w:sz w:val="12"/>
                <w:szCs w:val="12"/>
              </w:rPr>
            </w:pPr>
            <w:r>
              <w:rPr>
                <w:b/>
                <w:sz w:val="12"/>
                <w:szCs w:val="12"/>
              </w:rPr>
              <w:t>Partes o secciones reservadas o confidenciales</w:t>
            </w:r>
          </w:p>
        </w:tc>
        <w:tc>
          <w:tcPr>
            <w:tcW w:w="3446" w:type="dxa"/>
          </w:tcPr>
          <w:p w:rsidR="00515A88" w:rsidRDefault="00096237">
            <w:pPr>
              <w:jc w:val="both"/>
              <w:rPr>
                <w:sz w:val="12"/>
                <w:szCs w:val="12"/>
              </w:rPr>
            </w:pPr>
            <w:r>
              <w:rPr>
                <w:sz w:val="12"/>
                <w:szCs w:val="12"/>
              </w:rPr>
              <w:t>En caso que una vez desclasificado el expediente, subsistanpartes o secciones del mismo reservadas o confidenciales, se señalará este hecho.</w:t>
            </w:r>
          </w:p>
        </w:tc>
      </w:tr>
      <w:tr w:rsidR="00515A88">
        <w:tc>
          <w:tcPr>
            <w:tcW w:w="993" w:type="dxa"/>
          </w:tcPr>
          <w:p w:rsidR="00515A88" w:rsidRDefault="00515A88">
            <w:pPr>
              <w:jc w:val="both"/>
              <w:rPr>
                <w:sz w:val="12"/>
                <w:szCs w:val="12"/>
              </w:rPr>
            </w:pPr>
          </w:p>
        </w:tc>
        <w:tc>
          <w:tcPr>
            <w:tcW w:w="3421" w:type="dxa"/>
          </w:tcPr>
          <w:p w:rsidR="00515A88" w:rsidRDefault="00515A88">
            <w:pPr>
              <w:jc w:val="both"/>
              <w:rPr>
                <w:sz w:val="12"/>
                <w:szCs w:val="12"/>
              </w:rPr>
            </w:pPr>
          </w:p>
        </w:tc>
        <w:tc>
          <w:tcPr>
            <w:tcW w:w="968" w:type="dxa"/>
          </w:tcPr>
          <w:p w:rsidR="00515A88" w:rsidRDefault="00096237">
            <w:pPr>
              <w:jc w:val="both"/>
              <w:rPr>
                <w:b/>
                <w:sz w:val="12"/>
                <w:szCs w:val="12"/>
              </w:rPr>
            </w:pPr>
            <w:r>
              <w:rPr>
                <w:b/>
                <w:sz w:val="12"/>
                <w:szCs w:val="12"/>
              </w:rPr>
              <w:t>Rúbrica y cargo del servidor público</w:t>
            </w:r>
          </w:p>
        </w:tc>
        <w:tc>
          <w:tcPr>
            <w:tcW w:w="3446" w:type="dxa"/>
          </w:tcPr>
          <w:p w:rsidR="00515A88" w:rsidRDefault="00096237">
            <w:pPr>
              <w:jc w:val="both"/>
              <w:rPr>
                <w:sz w:val="12"/>
                <w:szCs w:val="12"/>
              </w:rPr>
            </w:pPr>
            <w:r>
              <w:rPr>
                <w:sz w:val="12"/>
                <w:szCs w:val="12"/>
              </w:rPr>
              <w:t>Rúbrica autógrafa de quien desclasifica.</w:t>
            </w:r>
          </w:p>
        </w:tc>
      </w:tr>
    </w:tbl>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anteriormente expuesto y con fundamento en lo prescrito en los artículos 5 párrafos vigésimo segundo, vigésimo tercero y vigésimo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rsidR="00515A88" w:rsidRDefault="00096237">
      <w:pPr>
        <w:numPr>
          <w:ilvl w:val="0"/>
          <w:numId w:val="3"/>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515A88" w:rsidRDefault="00096237">
      <w:pPr>
        <w:spacing w:before="240" w:after="240"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fundadas las razones o motivos de inconformidad hechos valer por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00514/INFOEM/IP/RR/2022</w:t>
      </w:r>
      <w:r>
        <w:rPr>
          <w:rFonts w:ascii="Palatino Linotype" w:eastAsia="Palatino Linotype" w:hAnsi="Palatino Linotype" w:cs="Palatino Linotype"/>
        </w:rPr>
        <w:t xml:space="preserve">; 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p>
    <w:p w:rsidR="00515A88" w:rsidRDefault="00096237">
      <w:pPr>
        <w:spacing w:before="240" w:after="240" w:line="360" w:lineRule="auto"/>
        <w:ind w:right="49"/>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b/>
        </w:rPr>
        <w:lastRenderedPageBreak/>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haga entrega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de ser el caso en versión pública</w:t>
      </w:r>
      <w:r>
        <w:rPr>
          <w:rFonts w:ascii="Palatino Linotype" w:eastAsia="Palatino Linotype" w:hAnsi="Palatino Linotype" w:cs="Palatino Linotype"/>
        </w:rPr>
        <w:t xml:space="preserve">, en términos de los Considerandos </w:t>
      </w:r>
      <w:r>
        <w:rPr>
          <w:rFonts w:ascii="Palatino Linotype" w:eastAsia="Palatino Linotype" w:hAnsi="Palatino Linotype" w:cs="Palatino Linotype"/>
          <w:b/>
        </w:rPr>
        <w:t>Cuarto y Quinto</w:t>
      </w:r>
      <w:r>
        <w:rPr>
          <w:rFonts w:ascii="Palatino Linotype" w:eastAsia="Palatino Linotype" w:hAnsi="Palatino Linotype" w:cs="Palatino Linotype"/>
        </w:rPr>
        <w:t>:</w:t>
      </w:r>
    </w:p>
    <w:p w:rsidR="00515A88" w:rsidRDefault="00096237">
      <w:pPr>
        <w:spacing w:before="240" w:after="24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Contrato de prestación de servicios de todos y cada uno de los Servidores Públicos adscritos al ayuntamiento de Tepletaoxtoc, </w:t>
      </w:r>
      <w:r>
        <w:rPr>
          <w:rFonts w:ascii="Palatino Linotype" w:eastAsia="Palatino Linotype" w:hAnsi="Palatino Linotype" w:cs="Palatino Linotype"/>
          <w:i/>
        </w:rPr>
        <w:t>vigentes al diez de enero del año dos mil veintidós.</w:t>
      </w:r>
    </w:p>
    <w:p w:rsidR="00515A88" w:rsidRDefault="00096237">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Pr>
          <w:rFonts w:ascii="Palatino Linotype" w:eastAsia="Palatino Linotype" w:hAnsi="Palatino Linotype" w:cs="Palatino Linotype"/>
          <w:b/>
          <w:i/>
          <w:sz w:val="22"/>
          <w:szCs w:val="22"/>
        </w:rPr>
        <w:t>la parte recurrente</w:t>
      </w:r>
      <w:r>
        <w:rPr>
          <w:rFonts w:ascii="Palatino Linotype" w:eastAsia="Palatino Linotype" w:hAnsi="Palatino Linotype" w:cs="Palatino Linotype"/>
          <w:i/>
          <w:sz w:val="22"/>
          <w:szCs w:val="22"/>
        </w:rPr>
        <w:t>.</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 vía SAIMEX,</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515A88" w:rsidRDefault="00096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Notifíquese vía SAIMEX,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podrá impugnarla vía Juicio de Amparo en los términos de las leyes aplicables, </w:t>
      </w:r>
      <w:r>
        <w:rPr>
          <w:rFonts w:ascii="Palatino Linotype" w:eastAsia="Palatino Linotype" w:hAnsi="Palatino Linotype" w:cs="Palatino Linotype"/>
        </w:rPr>
        <w:lastRenderedPageBreak/>
        <w:t xml:space="preserve">de conformidad con lo establecido en el artículo 196 de la Ley de Transparencia y Acceso a la Información Pública del Estado de México y Municipios. </w:t>
      </w:r>
    </w:p>
    <w:p w:rsidR="00515A88" w:rsidRDefault="00096237">
      <w:pPr>
        <w:spacing w:before="240" w:after="240" w:line="360" w:lineRule="auto"/>
        <w:jc w:val="both"/>
        <w:rPr>
          <w:rFonts w:ascii="Palatino Linotype" w:eastAsia="Palatino Linotype" w:hAnsi="Palatino Linotype" w:cs="Palatino Linotype"/>
          <w:sz w:val="20"/>
          <w:szCs w:val="20"/>
        </w:rPr>
        <w:sectPr w:rsidR="00515A8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72389</wp:posOffset>
                </wp:positionH>
                <wp:positionV relativeFrom="paragraph">
                  <wp:posOffset>2658109</wp:posOffset>
                </wp:positionV>
                <wp:extent cx="5248275" cy="44481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248275" cy="4448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89D9D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209.3pt" to="418.95pt,5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" strokecolor="black [3040]"/>
            </w:pict>
          </mc:Fallback>
        </mc:AlternateContent>
      </w: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VEINTICUATRO DE MARZO DE DOS MIL VEINTIDÓS, ANTE EL SECRETARIO TÉCNICO DEL PLENO, ALEXIS TAPIA RAMÍREZ.</w:t>
      </w:r>
    </w:p>
    <w:p w:rsidR="00515A88" w:rsidRDefault="00515A88">
      <w:pPr>
        <w:spacing w:before="240" w:after="240" w:line="360" w:lineRule="auto"/>
        <w:jc w:val="both"/>
        <w:rPr>
          <w:rFonts w:ascii="Palatino Linotype" w:eastAsia="Palatino Linotype" w:hAnsi="Palatino Linotype" w:cs="Palatino Linotype"/>
          <w:sz w:val="20"/>
          <w:szCs w:val="20"/>
        </w:rPr>
      </w:pPr>
    </w:p>
    <w:p w:rsidR="00515A88" w:rsidRDefault="00515A88">
      <w:pPr>
        <w:spacing w:before="240" w:after="240" w:line="360" w:lineRule="auto"/>
        <w:jc w:val="both"/>
        <w:rPr>
          <w:rFonts w:ascii="Palatino Linotype" w:eastAsia="Palatino Linotype" w:hAnsi="Palatino Linotype" w:cs="Palatino Linotype"/>
          <w:sz w:val="20"/>
          <w:szCs w:val="20"/>
        </w:rPr>
      </w:pPr>
    </w:p>
    <w:p w:rsidR="00515A88" w:rsidRDefault="00515A88">
      <w:pPr>
        <w:spacing w:before="240" w:after="240" w:line="360" w:lineRule="auto"/>
        <w:jc w:val="both"/>
        <w:rPr>
          <w:rFonts w:ascii="Palatino Linotype" w:eastAsia="Palatino Linotype" w:hAnsi="Palatino Linotype" w:cs="Palatino Linotype"/>
          <w:sz w:val="20"/>
          <w:szCs w:val="20"/>
        </w:rPr>
      </w:pPr>
    </w:p>
    <w:p w:rsidR="00515A88" w:rsidRDefault="00515A88">
      <w:pPr>
        <w:spacing w:before="240" w:after="240" w:line="360" w:lineRule="auto"/>
        <w:jc w:val="both"/>
        <w:rPr>
          <w:rFonts w:ascii="Palatino Linotype" w:eastAsia="Palatino Linotype" w:hAnsi="Palatino Linotype" w:cs="Palatino Linotype"/>
          <w:sz w:val="20"/>
          <w:szCs w:val="20"/>
        </w:rPr>
      </w:pPr>
    </w:p>
    <w:p w:rsidR="00515A88" w:rsidRDefault="00515A88">
      <w:pPr>
        <w:spacing w:before="240" w:after="240" w:line="360" w:lineRule="auto"/>
        <w:jc w:val="both"/>
        <w:rPr>
          <w:rFonts w:ascii="Palatino Linotype" w:eastAsia="Palatino Linotype" w:hAnsi="Palatino Linotype" w:cs="Palatino Linotype"/>
          <w:sz w:val="20"/>
          <w:szCs w:val="20"/>
        </w:rPr>
      </w:pPr>
    </w:p>
    <w:p w:rsidR="00515A88" w:rsidRDefault="00515A88">
      <w:pPr>
        <w:spacing w:before="240" w:after="240" w:line="360" w:lineRule="auto"/>
        <w:jc w:val="both"/>
        <w:rPr>
          <w:rFonts w:ascii="Palatino Linotype" w:eastAsia="Palatino Linotype" w:hAnsi="Palatino Linotype" w:cs="Palatino Linotype"/>
          <w:sz w:val="20"/>
          <w:szCs w:val="20"/>
        </w:rPr>
      </w:pPr>
    </w:p>
    <w:p w:rsidR="00515A88" w:rsidRDefault="00515A88">
      <w:pPr>
        <w:spacing w:before="240" w:after="240" w:line="360" w:lineRule="auto"/>
        <w:jc w:val="both"/>
        <w:rPr>
          <w:rFonts w:ascii="Palatino Linotype" w:eastAsia="Palatino Linotype" w:hAnsi="Palatino Linotype" w:cs="Palatino Linotype"/>
          <w:sz w:val="20"/>
          <w:szCs w:val="20"/>
        </w:rPr>
      </w:pPr>
    </w:p>
    <w:p w:rsidR="00515A88" w:rsidRDefault="00515A88">
      <w:pPr>
        <w:spacing w:before="240" w:after="240" w:line="360" w:lineRule="auto"/>
        <w:jc w:val="both"/>
        <w:rPr>
          <w:rFonts w:ascii="Palatino Linotype" w:eastAsia="Palatino Linotype" w:hAnsi="Palatino Linotype" w:cs="Palatino Linotype"/>
          <w:sz w:val="20"/>
          <w:szCs w:val="20"/>
        </w:rPr>
      </w:pPr>
    </w:p>
    <w:sectPr w:rsidR="00515A88">
      <w:head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646" w:rsidRDefault="00096237">
      <w:r>
        <w:separator/>
      </w:r>
    </w:p>
  </w:endnote>
  <w:endnote w:type="continuationSeparator" w:id="0">
    <w:p w:rsidR="005E0646" w:rsidRDefault="0009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88" w:rsidRDefault="0009623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6A18">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6A18">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rsidR="00515A88" w:rsidRDefault="00515A8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88" w:rsidRDefault="0009623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6A1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6A18">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rsidR="00515A88" w:rsidRDefault="00515A8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646" w:rsidRDefault="00096237">
      <w:r>
        <w:separator/>
      </w:r>
    </w:p>
  </w:footnote>
  <w:footnote w:type="continuationSeparator" w:id="0">
    <w:p w:rsidR="005E0646" w:rsidRDefault="00096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88" w:rsidRDefault="00096237">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-1080133</wp:posOffset>
          </wp:positionH>
          <wp:positionV relativeFrom="paragraph">
            <wp:posOffset>-396400</wp:posOffset>
          </wp:positionV>
          <wp:extent cx="7809865" cy="10165715"/>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515A88">
      <w:tc>
        <w:tcPr>
          <w:tcW w:w="2489" w:type="dxa"/>
          <w:shd w:val="clear" w:color="auto" w:fill="auto"/>
        </w:tcPr>
        <w:p w:rsidR="00515A88" w:rsidRDefault="0009623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rsidR="00515A88" w:rsidRDefault="00096237">
          <w:pPr>
            <w:ind w:right="175"/>
            <w:jc w:val="both"/>
            <w:rPr>
              <w:rFonts w:ascii="Palatino Linotype" w:eastAsia="Palatino Linotype" w:hAnsi="Palatino Linotype" w:cs="Palatino Linotype"/>
              <w:b/>
            </w:rPr>
          </w:pPr>
          <w:r>
            <w:rPr>
              <w:rFonts w:ascii="Palatino Linotype" w:eastAsia="Palatino Linotype" w:hAnsi="Palatino Linotype" w:cs="Palatino Linotype"/>
              <w:b/>
            </w:rPr>
            <w:t>00514/INFOEM/IP/RR/2022</w:t>
          </w:r>
        </w:p>
      </w:tc>
    </w:tr>
    <w:tr w:rsidR="00515A88">
      <w:trPr>
        <w:trHeight w:val="228"/>
      </w:trPr>
      <w:tc>
        <w:tcPr>
          <w:tcW w:w="2489" w:type="dxa"/>
          <w:shd w:val="clear" w:color="auto" w:fill="auto"/>
          <w:vAlign w:val="center"/>
        </w:tcPr>
        <w:p w:rsidR="00515A88" w:rsidRDefault="0009623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rsidR="00515A88" w:rsidRDefault="00096237">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Tepetlaoxtoc</w:t>
          </w:r>
        </w:p>
      </w:tc>
    </w:tr>
    <w:tr w:rsidR="00515A88">
      <w:tc>
        <w:tcPr>
          <w:tcW w:w="2489" w:type="dxa"/>
          <w:shd w:val="clear" w:color="auto" w:fill="auto"/>
          <w:vAlign w:val="center"/>
        </w:tcPr>
        <w:p w:rsidR="00515A88" w:rsidRDefault="00096237">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rsidR="00515A88" w:rsidRDefault="00096237">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515A88" w:rsidRDefault="0009623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88" w:rsidRDefault="00515A8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953" w:type="dxa"/>
      <w:tblInd w:w="3261" w:type="dxa"/>
      <w:tblLayout w:type="fixed"/>
      <w:tblLook w:val="0400" w:firstRow="0" w:lastRow="0" w:firstColumn="0" w:lastColumn="0" w:noHBand="0" w:noVBand="1"/>
    </w:tblPr>
    <w:tblGrid>
      <w:gridCol w:w="2551"/>
      <w:gridCol w:w="3402"/>
    </w:tblGrid>
    <w:tr w:rsidR="00515A88">
      <w:tc>
        <w:tcPr>
          <w:tcW w:w="2551" w:type="dxa"/>
          <w:shd w:val="clear" w:color="auto" w:fill="auto"/>
          <w:vAlign w:val="center"/>
        </w:tcPr>
        <w:p w:rsidR="00515A88" w:rsidRDefault="0009623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rsidR="00515A88" w:rsidRDefault="00096237">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00514/INFOEM/IP/RR/2022</w:t>
          </w:r>
        </w:p>
      </w:tc>
    </w:tr>
    <w:tr w:rsidR="00515A88">
      <w:trPr>
        <w:trHeight w:val="130"/>
      </w:trPr>
      <w:tc>
        <w:tcPr>
          <w:tcW w:w="2551" w:type="dxa"/>
          <w:shd w:val="clear" w:color="auto" w:fill="auto"/>
          <w:vAlign w:val="center"/>
        </w:tcPr>
        <w:p w:rsidR="00515A88" w:rsidRDefault="0009623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shd w:val="clear" w:color="auto" w:fill="auto"/>
          <w:vAlign w:val="center"/>
        </w:tcPr>
        <w:p w:rsidR="00515A88" w:rsidRDefault="00515A88">
          <w:pPr>
            <w:ind w:left="-45"/>
            <w:jc w:val="both"/>
            <w:rPr>
              <w:rFonts w:ascii="Palatino Linotype" w:eastAsia="Palatino Linotype" w:hAnsi="Palatino Linotype" w:cs="Palatino Linotype"/>
              <w:b/>
            </w:rPr>
          </w:pPr>
        </w:p>
      </w:tc>
    </w:tr>
    <w:tr w:rsidR="00515A88">
      <w:trPr>
        <w:trHeight w:val="228"/>
      </w:trPr>
      <w:tc>
        <w:tcPr>
          <w:tcW w:w="2551" w:type="dxa"/>
          <w:shd w:val="clear" w:color="auto" w:fill="auto"/>
          <w:vAlign w:val="center"/>
        </w:tcPr>
        <w:p w:rsidR="00515A88" w:rsidRDefault="0009623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rsidR="00515A88" w:rsidRDefault="00096237">
          <w:pPr>
            <w:ind w:left="-45" w:right="601"/>
            <w:jc w:val="both"/>
            <w:rPr>
              <w:rFonts w:ascii="Palatino Linotype" w:eastAsia="Palatino Linotype" w:hAnsi="Palatino Linotype" w:cs="Palatino Linotype"/>
              <w:b/>
            </w:rPr>
          </w:pPr>
          <w:r>
            <w:rPr>
              <w:rFonts w:ascii="Palatino Linotype" w:eastAsia="Palatino Linotype" w:hAnsi="Palatino Linotype" w:cs="Palatino Linotype"/>
              <w:b/>
            </w:rPr>
            <w:t>Ayuntamiento de Tepetlaoxtoc</w:t>
          </w:r>
        </w:p>
      </w:tc>
    </w:tr>
    <w:tr w:rsidR="00515A88">
      <w:tc>
        <w:tcPr>
          <w:tcW w:w="2551" w:type="dxa"/>
          <w:shd w:val="clear" w:color="auto" w:fill="auto"/>
          <w:vAlign w:val="center"/>
        </w:tcPr>
        <w:p w:rsidR="00515A88" w:rsidRDefault="000962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rsidR="00515A88" w:rsidRDefault="00096237">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515A88" w:rsidRDefault="00096237">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-1175383</wp:posOffset>
          </wp:positionH>
          <wp:positionV relativeFrom="paragraph">
            <wp:posOffset>-1325243</wp:posOffset>
          </wp:positionV>
          <wp:extent cx="7809865" cy="10165715"/>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88" w:rsidRDefault="00515A8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rsidR="00515A88" w:rsidRDefault="00515A8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232A9"/>
    <w:multiLevelType w:val="multilevel"/>
    <w:tmpl w:val="719CF458"/>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7C23ED"/>
    <w:multiLevelType w:val="multilevel"/>
    <w:tmpl w:val="0642919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9E03780"/>
    <w:multiLevelType w:val="multilevel"/>
    <w:tmpl w:val="C222321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7F82562"/>
    <w:multiLevelType w:val="multilevel"/>
    <w:tmpl w:val="CAD49C16"/>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88"/>
    <w:rsid w:val="00096237"/>
    <w:rsid w:val="00186A18"/>
    <w:rsid w:val="00515A88"/>
    <w:rsid w:val="005E06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C2BB1-FAAD-4BDD-B67E-B8E2341D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3">
    <w:name w:val="3"/>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2">
    <w:name w:val="2"/>
    <w:basedOn w:val="TableNormal0"/>
    <w:tblPr>
      <w:tblStyleRowBandSize w:val="1"/>
      <w:tblStyleColBandSize w:val="1"/>
      <w:tblCellMar>
        <w:top w:w="0" w:type="dxa"/>
        <w:left w:w="115" w:type="dxa"/>
        <w:bottom w:w="0" w:type="dxa"/>
        <w:right w:w="115" w:type="dxa"/>
      </w:tblCellMar>
    </w:tblPr>
  </w:style>
  <w:style w:type="table" w:customStyle="1" w:styleId="1">
    <w:name w:val="1"/>
    <w:basedOn w:val="TableNormal0"/>
    <w:tblPr>
      <w:tblStyleRowBandSize w:val="1"/>
      <w:tblStyleColBandSize w:val="1"/>
      <w:tblCellMar>
        <w:top w:w="0" w:type="dxa"/>
        <w:left w:w="115" w:type="dxa"/>
        <w:bottom w:w="0" w:type="dxa"/>
        <w:right w:w="115" w:type="dxa"/>
      </w:tblCellMar>
    </w:tbl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rPr>
      <w:sz w:val="22"/>
      <w:szCs w:val="22"/>
    </w:rPr>
    <w:tblPr>
      <w:tblStyleRowBandSize w:val="1"/>
      <w:tblStyleColBandSize w:val="1"/>
      <w:tblCellMar>
        <w:top w:w="0" w:type="dxa"/>
        <w:left w:w="115" w:type="dxa"/>
        <w:bottom w:w="0" w:type="dxa"/>
        <w:right w:w="115" w:type="dxa"/>
      </w:tblCellMar>
    </w:tblPr>
  </w:style>
  <w:style w:type="table" w:customStyle="1" w:styleId="a2">
    <w:basedOn w:val="TableNormal0"/>
    <w:rPr>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QCAsPePajk1u2+MeUXnOxRHelw==">AMUW2mV67eEc0bRYEcDQaPpdCixVyfuCxg8oEvXw9bDdNqJClE1Bf3sAIJKwM5ZX7OacGmAiVxM100+0WlCrxXyylDF0/OygUIsnLx43xrvBCHv/OlDK0Yw0mZQpGAOQeydobU3CUz3BUMmrssfuL90gYmvkxu9IPbnLN/CxefpDVDxYEJ49WJQ=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9706</Words>
  <Characters>53384</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2022-04-04T22:57:00Z</dcterms:created>
  <dcterms:modified xsi:type="dcterms:W3CDTF">2022-04-04T22:57:00Z</dcterms:modified>
</cp:coreProperties>
</file>