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2637" w:rsidR="00F82637" w:rsidP="00F82637" w:rsidRDefault="00F82637" w14:paraId="0ED4147D" w14:textId="1D205432">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C82C99">
        <w:rPr>
          <w:rFonts w:ascii="Palatino Linotype" w:hAnsi="Palatino Linotype" w:cs="Tahoma"/>
          <w:bCs/>
          <w:sz w:val="22"/>
          <w:szCs w:val="22"/>
        </w:rPr>
        <w:t>veinte</w:t>
      </w:r>
      <w:r w:rsidR="00D92FE5">
        <w:rPr>
          <w:rFonts w:ascii="Palatino Linotype" w:hAnsi="Palatino Linotype" w:cs="Tahoma"/>
          <w:bCs/>
          <w:sz w:val="22"/>
          <w:szCs w:val="22"/>
        </w:rPr>
        <w:t xml:space="preserve"> de abril</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490D9032" w:rsidRDefault="00F82637" w14:paraId="446072B0" w14:textId="50FC0ADB">
      <w:pPr>
        <w:spacing w:line="360" w:lineRule="auto"/>
        <w:jc w:val="both"/>
        <w:rPr>
          <w:rFonts w:ascii="Palatino Linotype" w:hAnsi="Palatino Linotype" w:eastAsia="Calibri" w:cs="" w:eastAsiaTheme="minorAscii" w:cstheme="minorBidi"/>
          <w:color w:val="000000" w:themeColor="text1"/>
          <w:sz w:val="22"/>
          <w:szCs w:val="22"/>
          <w:lang w:eastAsia="en-US"/>
        </w:rPr>
      </w:pPr>
      <w:r w:rsidRPr="490D9032" w:rsidR="490D9032">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490D9032" w:rsidR="490D9032">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04311/INFOEM/IP/RR/2022, interpuesto por </w:t>
      </w:r>
      <w:r w:rsidRPr="490D9032" w:rsidR="490D9032">
        <w:rPr>
          <w:rFonts w:ascii="Palatino Linotype" w:hAnsi="Palatino Linotype" w:eastAsia="Calibri" w:cs="" w:eastAsiaTheme="minorAscii" w:cstheme="minorBidi"/>
          <w:color w:val="000000" w:themeColor="text1" w:themeTint="FF" w:themeShade="FF"/>
          <w:sz w:val="22"/>
          <w:szCs w:val="22"/>
          <w:highlight w:val="black"/>
          <w:lang w:eastAsia="en-US"/>
        </w:rPr>
        <w:t>XXXXXXXXXXXXXXXXXXX</w:t>
      </w:r>
      <w:r w:rsidRPr="490D9032" w:rsidR="490D9032">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490D9032" w:rsidR="490D9032">
        <w:rPr>
          <w:rFonts w:ascii="Palatino Linotype" w:hAnsi="Palatino Linotype" w:eastAsia="Calibri" w:cs="Tahoma" w:eastAsiaTheme="minorAscii"/>
          <w:color w:val="0D0D0D" w:themeColor="text1" w:themeTint="F2" w:themeShade="FF"/>
          <w:sz w:val="22"/>
          <w:szCs w:val="22"/>
          <w:lang w:eastAsia="en-US"/>
        </w:rPr>
        <w:t>Recurrente o Particular</w:t>
      </w:r>
      <w:r w:rsidRPr="490D9032" w:rsidR="490D9032">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San José del Rincón, a la solicitud de acceso a la información pública 00059/JOSERIN/IP/2022,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3BB95283" w14:textId="1C10262E">
      <w:pPr>
        <w:autoSpaceDE w:val="0"/>
        <w:autoSpaceDN w:val="0"/>
        <w:adjustRightInd w:val="0"/>
        <w:spacing w:line="360" w:lineRule="auto"/>
        <w:jc w:val="both"/>
        <w:rPr>
          <w:rFonts w:ascii="Palatino Linotype" w:hAnsi="Palatino Linotype" w:eastAsia="Batang" w:cs="Tahoma"/>
          <w:sz w:val="22"/>
          <w:szCs w:val="22"/>
          <w:lang w:val="es-ES"/>
        </w:rPr>
      </w:pPr>
      <w:r w:rsidRPr="00F469B3">
        <w:rPr>
          <w:rFonts w:ascii="Palatino Linotype" w:hAnsi="Palatino Linotype" w:cs="Tahoma" w:eastAsiaTheme="minorHAnsi"/>
          <w:color w:val="000000" w:themeColor="text1"/>
          <w:sz w:val="22"/>
          <w:szCs w:val="22"/>
          <w:lang w:eastAsia="en-US"/>
        </w:rPr>
        <w:t xml:space="preserve">Con fecha </w:t>
      </w:r>
      <w:r w:rsidR="00D92FE5">
        <w:rPr>
          <w:rFonts w:ascii="Palatino Linotype" w:hAnsi="Palatino Linotype" w:cs="Tahoma" w:eastAsiaTheme="minorHAnsi"/>
          <w:color w:val="000000" w:themeColor="text1"/>
          <w:sz w:val="22"/>
          <w:szCs w:val="22"/>
          <w:lang w:eastAsia="en-US"/>
        </w:rPr>
        <w:t xml:space="preserve">cuatro de marzo </w:t>
      </w:r>
      <w:r w:rsidR="0049635D">
        <w:rPr>
          <w:rFonts w:ascii="Palatino Linotype" w:hAnsi="Palatino Linotype" w:cs="Tahoma" w:eastAsiaTheme="minorHAnsi"/>
          <w:color w:val="000000" w:themeColor="text1"/>
          <w:sz w:val="22"/>
          <w:szCs w:val="22"/>
          <w:lang w:eastAsia="en-US"/>
        </w:rPr>
        <w:t>de dos mil veintidós</w:t>
      </w:r>
      <w:r w:rsidRPr="00F469B3">
        <w:rPr>
          <w:rFonts w:ascii="Palatino Linotype" w:hAnsi="Palatino Linotype" w:cs="Tahoma" w:eastAsiaTheme="minorHAnsi"/>
          <w:color w:val="000000" w:themeColor="text1"/>
          <w:sz w:val="22"/>
          <w:szCs w:val="22"/>
          <w:lang w:eastAsia="en-US"/>
        </w:rPr>
        <w:t xml:space="preserve">, el Particular presentó una solicitud de acceso a la información pública, a través del Sistema de Acceso a la Información Mexiquense (SAIMEX), ante </w:t>
      </w:r>
      <w:r w:rsidR="000C67A0">
        <w:rPr>
          <w:rFonts w:ascii="Palatino Linotype" w:hAnsi="Palatino Linotype" w:cs="Tahoma"/>
          <w:sz w:val="22"/>
          <w:szCs w:val="22"/>
        </w:rPr>
        <w:t>el</w:t>
      </w:r>
      <w:r w:rsidRPr="00F469B3">
        <w:rPr>
          <w:rFonts w:ascii="Palatino Linotype" w:hAnsi="Palatino Linotype" w:cs="Tahoma"/>
          <w:sz w:val="22"/>
          <w:szCs w:val="22"/>
        </w:rPr>
        <w:t xml:space="preserve"> </w:t>
      </w:r>
      <w:r w:rsidR="00850BCB">
        <w:rPr>
          <w:rFonts w:ascii="Palatino Linotype" w:hAnsi="Palatino Linotype" w:eastAsiaTheme="minorHAnsi" w:cstheme="minorBidi"/>
          <w:color w:val="000000" w:themeColor="text1"/>
          <w:sz w:val="22"/>
          <w:szCs w:val="22"/>
          <w:lang w:eastAsia="en-US"/>
        </w:rPr>
        <w:t>Ayuntamiento de San José del Rincón</w:t>
      </w:r>
      <w:r w:rsidRPr="00F469B3">
        <w:rPr>
          <w:rFonts w:ascii="Palatino Linotype" w:hAnsi="Palatino Linotype" w:cs="Tahoma" w:eastAsiaTheme="minorHAnsi"/>
          <w:bCs/>
          <w:color w:val="000000" w:themeColor="text1"/>
          <w:sz w:val="22"/>
          <w:szCs w:val="22"/>
          <w:lang w:eastAsia="en-US"/>
        </w:rPr>
        <w:t xml:space="preserve">, </w:t>
      </w:r>
      <w:r w:rsidRPr="00F469B3">
        <w:rPr>
          <w:rFonts w:ascii="Palatino Linotype" w:hAnsi="Palatino Linotype" w:eastAsia="Batang" w:cs="Tahoma"/>
          <w:sz w:val="22"/>
          <w:szCs w:val="22"/>
          <w:lang w:val="es-E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2A06D7DA" w14:textId="77777777">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Pr="00F469B3" w:rsidR="00F469B3" w:rsidP="00F469B3" w:rsidRDefault="00D92FE5" w14:paraId="63939D8F" w14:textId="758F1488">
      <w:pPr>
        <w:widowControl w:val="0"/>
        <w:tabs>
          <w:tab w:val="left" w:pos="4667"/>
        </w:tabs>
        <w:spacing w:line="360" w:lineRule="auto"/>
        <w:ind w:left="567" w:right="567"/>
        <w:jc w:val="both"/>
        <w:rPr>
          <w:rFonts w:ascii="Palatino Linotype" w:hAnsi="Palatino Linotype" w:cs="Tahoma"/>
          <w:bCs/>
          <w:i/>
          <w:iCs/>
        </w:rPr>
      </w:pPr>
      <w:r w:rsidRPr="00D92FE5">
        <w:rPr>
          <w:rFonts w:ascii="Palatino Linotype" w:hAnsi="Palatino Linotype" w:cs="Tahoma"/>
          <w:bCs/>
          <w:i/>
          <w:iCs/>
        </w:rPr>
        <w:t>Por este medio solicito Bando Municipal 2022</w:t>
      </w:r>
      <w:r w:rsidRPr="000C67A0" w:rsidR="000C67A0">
        <w:rPr>
          <w:rFonts w:ascii="Palatino Linotype" w:hAnsi="Palatino Linotype" w:cs="Tahoma"/>
          <w:bCs/>
          <w:i/>
          <w:iCs/>
        </w:rPr>
        <w:t>.</w:t>
      </w:r>
      <w:r w:rsidRPr="00F469B3" w:rsidR="00F469B3">
        <w:rPr>
          <w:rFonts w:ascii="Palatino Linotype" w:hAnsi="Palatino Linotype" w:cs="Tahoma"/>
          <w:bCs/>
          <w:i/>
          <w:iCs/>
        </w:rPr>
        <w:t xml:space="preserve">” (Sic) </w:t>
      </w:r>
    </w:p>
    <w:p w:rsidRPr="00F469B3" w:rsidR="00F469B3" w:rsidP="00F469B3" w:rsidRDefault="00F469B3" w14:paraId="31106F36" w14:textId="77777777">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Pr="00F469B3" w:rsidR="00F469B3" w:rsidP="00F469B3" w:rsidRDefault="00F469B3" w14:paraId="5421D1DE" w14:textId="77777777">
      <w:pPr>
        <w:spacing w:line="360" w:lineRule="auto"/>
        <w:jc w:val="both"/>
        <w:rPr>
          <w:rFonts w:ascii="Palatino Linotype" w:hAnsi="Palatino Linotype" w:eastAsiaTheme="minorHAnsi" w:cstheme="minorBidi"/>
          <w:b/>
          <w:color w:val="000000" w:themeColor="text1"/>
          <w:sz w:val="22"/>
          <w:szCs w:val="22"/>
          <w:lang w:eastAsia="en-US"/>
        </w:rPr>
      </w:pPr>
    </w:p>
    <w:p w:rsidR="00F469B3" w:rsidP="00F469B3" w:rsidRDefault="00F469B3" w14:paraId="4A453407" w14:textId="18239876">
      <w:pPr>
        <w:spacing w:line="360" w:lineRule="auto"/>
        <w:jc w:val="both"/>
        <w:rPr>
          <w:rFonts w:ascii="Palatino Linotype" w:hAnsi="Palatino Linotype" w:eastAsiaTheme="minorHAnsi" w:cstheme="minorBidi"/>
          <w:b/>
          <w:color w:val="000000" w:themeColor="text1"/>
          <w:sz w:val="22"/>
          <w:szCs w:val="22"/>
          <w:lang w:eastAsia="en-US"/>
        </w:rPr>
      </w:pPr>
      <w:r w:rsidRPr="00F469B3">
        <w:rPr>
          <w:rFonts w:ascii="Palatino Linotype" w:hAnsi="Palatino Linotype" w:eastAsiaTheme="minorHAnsi" w:cstheme="minorBidi"/>
          <w:b/>
          <w:color w:val="000000" w:themeColor="text1"/>
          <w:sz w:val="22"/>
          <w:szCs w:val="22"/>
          <w:lang w:eastAsia="en-US"/>
        </w:rPr>
        <w:t>II. Respuesta del Sujeto Obligado.</w:t>
      </w:r>
    </w:p>
    <w:p w:rsidR="00D92FE5" w:rsidP="00D92FE5" w:rsidRDefault="00D92FE5" w14:paraId="466A2E54" w14:textId="5F9CA89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Con fecha once de marzo de dos mil veintidós, mediante el Sistema de Acceso a la Información Mexiquense (SAIMEX), el </w:t>
      </w:r>
      <w:r w:rsidRPr="00ED46E8" w:rsidR="00ED46E8">
        <w:rPr>
          <w:rFonts w:ascii="Palatino Linotype" w:hAnsi="Palatino Linotype" w:cs="Tahoma"/>
          <w:sz w:val="22"/>
          <w:szCs w:val="22"/>
        </w:rPr>
        <w:t>Ayuntamiento de San José del Rincón</w:t>
      </w:r>
      <w:r>
        <w:rPr>
          <w:rFonts w:ascii="Palatino Linotype" w:hAnsi="Palatino Linotype" w:cs="Tahoma"/>
          <w:sz w:val="22"/>
          <w:szCs w:val="22"/>
        </w:rPr>
        <w:t>, notificó al Particular la respuesta a su solicitud de acceso a la información.</w:t>
      </w:r>
    </w:p>
    <w:p w:rsidR="00D92FE5" w:rsidP="00D92FE5" w:rsidRDefault="00D92FE5" w14:paraId="0413DC23" w14:textId="08F0DF3E">
      <w:pPr>
        <w:autoSpaceDE w:val="0"/>
        <w:autoSpaceDN w:val="0"/>
        <w:adjustRightInd w:val="0"/>
        <w:spacing w:line="360" w:lineRule="auto"/>
        <w:jc w:val="both"/>
        <w:rPr>
          <w:rFonts w:ascii="Palatino Linotype" w:hAnsi="Palatino Linotype" w:cs="Tahoma"/>
          <w:sz w:val="22"/>
          <w:szCs w:val="22"/>
        </w:rPr>
      </w:pPr>
    </w:p>
    <w:p w:rsidRPr="00D92FE5" w:rsidR="00D92FE5" w:rsidP="00D92FE5" w:rsidRDefault="00D92FE5" w14:paraId="1BB10DAA" w14:textId="73B6837C">
      <w:pPr>
        <w:spacing w:line="360" w:lineRule="auto"/>
        <w:jc w:val="both"/>
        <w:rPr>
          <w:rFonts w:ascii="Palatino Linotype" w:hAnsi="Palatino Linotype" w:cs="Tahoma"/>
          <w:color w:val="000000" w:themeColor="text1"/>
          <w:sz w:val="22"/>
          <w:szCs w:val="22"/>
          <w:lang w:val="es-ES_tradnl"/>
        </w:rPr>
      </w:pPr>
      <w:r>
        <w:rPr>
          <w:rFonts w:ascii="Palatino Linotype" w:hAnsi="Palatino Linotype" w:cs="Tahoma"/>
          <w:color w:val="000000" w:themeColor="text1"/>
          <w:sz w:val="22"/>
          <w:szCs w:val="22"/>
          <w:lang w:val="es-ES_tradnl"/>
        </w:rPr>
        <w:t xml:space="preserve">El Sujeto Obligado adjuntó la digitalización del oficio </w:t>
      </w:r>
      <w:r w:rsidR="00BC20EF">
        <w:rPr>
          <w:rFonts w:ascii="Palatino Linotype" w:hAnsi="Palatino Linotype" w:cs="Tahoma"/>
          <w:color w:val="000000" w:themeColor="text1"/>
          <w:sz w:val="22"/>
          <w:szCs w:val="22"/>
          <w:lang w:val="es-ES_tradnl"/>
        </w:rPr>
        <w:t>MSJR/AQT/SA/155/2022</w:t>
      </w:r>
      <w:r>
        <w:rPr>
          <w:rFonts w:ascii="Palatino Linotype" w:hAnsi="Palatino Linotype" w:cs="Tahoma"/>
          <w:color w:val="000000" w:themeColor="text1"/>
          <w:sz w:val="22"/>
          <w:szCs w:val="22"/>
          <w:lang w:val="es-ES_tradnl"/>
        </w:rPr>
        <w:t xml:space="preserve">, del </w:t>
      </w:r>
      <w:r w:rsidR="00BC20EF">
        <w:rPr>
          <w:rFonts w:ascii="Palatino Linotype" w:hAnsi="Palatino Linotype" w:cs="Tahoma"/>
          <w:color w:val="000000" w:themeColor="text1"/>
          <w:sz w:val="22"/>
          <w:szCs w:val="22"/>
          <w:lang w:val="es-ES_tradnl"/>
        </w:rPr>
        <w:t>siete</w:t>
      </w:r>
      <w:r>
        <w:rPr>
          <w:rFonts w:ascii="Palatino Linotype" w:hAnsi="Palatino Linotype" w:cs="Tahoma"/>
          <w:color w:val="000000" w:themeColor="text1"/>
          <w:sz w:val="22"/>
          <w:szCs w:val="22"/>
          <w:lang w:val="es-ES_tradnl"/>
        </w:rPr>
        <w:t xml:space="preserve"> de </w:t>
      </w:r>
      <w:r w:rsidR="00BC20EF">
        <w:rPr>
          <w:rFonts w:ascii="Palatino Linotype" w:hAnsi="Palatino Linotype" w:cs="Tahoma"/>
          <w:color w:val="000000" w:themeColor="text1"/>
          <w:sz w:val="22"/>
          <w:szCs w:val="22"/>
          <w:lang w:val="es-ES_tradnl"/>
        </w:rPr>
        <w:t>marzo</w:t>
      </w:r>
      <w:r>
        <w:rPr>
          <w:rFonts w:ascii="Palatino Linotype" w:hAnsi="Palatino Linotype" w:cs="Tahoma"/>
          <w:color w:val="000000" w:themeColor="text1"/>
          <w:sz w:val="22"/>
          <w:szCs w:val="22"/>
          <w:lang w:val="es-ES_tradnl"/>
        </w:rPr>
        <w:t xml:space="preserve"> de dos mil veintidós, suscrito por el </w:t>
      </w:r>
      <w:r w:rsidR="00BC20EF">
        <w:rPr>
          <w:rFonts w:ascii="Palatino Linotype" w:hAnsi="Palatino Linotype" w:cs="Tahoma"/>
          <w:color w:val="000000" w:themeColor="text1"/>
          <w:sz w:val="22"/>
          <w:szCs w:val="22"/>
          <w:lang w:val="es-ES_tradnl"/>
        </w:rPr>
        <w:t>Secretario del Ayuntamiento</w:t>
      </w:r>
      <w:r>
        <w:rPr>
          <w:rFonts w:ascii="Palatino Linotype" w:hAnsi="Palatino Linotype" w:cs="Tahoma"/>
          <w:color w:val="000000" w:themeColor="text1"/>
          <w:sz w:val="22"/>
          <w:szCs w:val="22"/>
          <w:lang w:val="es-ES_tradnl"/>
        </w:rPr>
        <w:t xml:space="preserve"> y dirigido</w:t>
      </w:r>
      <w:r w:rsidR="00BC20EF">
        <w:rPr>
          <w:rFonts w:ascii="Palatino Linotype" w:hAnsi="Palatino Linotype" w:cs="Tahoma"/>
          <w:color w:val="000000" w:themeColor="text1"/>
          <w:sz w:val="22"/>
          <w:szCs w:val="22"/>
          <w:lang w:val="es-ES_tradnl"/>
        </w:rPr>
        <w:t xml:space="preserve"> al Encargado de Despacho de la Unidad de Transparencia</w:t>
      </w:r>
      <w:r>
        <w:rPr>
          <w:rFonts w:ascii="Palatino Linotype" w:hAnsi="Palatino Linotype" w:cs="Tahoma"/>
          <w:color w:val="000000" w:themeColor="text1"/>
          <w:sz w:val="22"/>
          <w:szCs w:val="22"/>
          <w:lang w:val="es-ES_tradnl"/>
        </w:rPr>
        <w:t xml:space="preserve">, por medio del cual </w:t>
      </w:r>
      <w:r w:rsidR="00BC20EF">
        <w:rPr>
          <w:rFonts w:ascii="Palatino Linotype" w:hAnsi="Palatino Linotype" w:cs="Tahoma"/>
          <w:color w:val="000000" w:themeColor="text1"/>
          <w:sz w:val="22"/>
          <w:szCs w:val="22"/>
          <w:lang w:val="es-ES_tradnl"/>
        </w:rPr>
        <w:t xml:space="preserve">informó </w:t>
      </w:r>
      <w:r w:rsidR="007E664C">
        <w:rPr>
          <w:rFonts w:ascii="Palatino Linotype" w:hAnsi="Palatino Linotype" w:cs="Tahoma"/>
          <w:color w:val="000000" w:themeColor="text1"/>
          <w:sz w:val="22"/>
          <w:szCs w:val="22"/>
          <w:lang w:val="es-ES_tradnl"/>
        </w:rPr>
        <w:t xml:space="preserve">la liga electrónica </w:t>
      </w:r>
      <w:r w:rsidR="0016343D">
        <w:rPr>
          <w:rFonts w:ascii="Palatino Linotype" w:hAnsi="Palatino Linotype" w:cs="Tahoma"/>
          <w:color w:val="000000" w:themeColor="text1"/>
          <w:sz w:val="22"/>
          <w:szCs w:val="22"/>
          <w:lang w:val="es-ES_tradnl"/>
        </w:rPr>
        <w:t xml:space="preserve"> en donde se localizaba lo peticionado. </w:t>
      </w:r>
    </w:p>
    <w:p w:rsidRPr="00F469B3" w:rsidR="00F469B3" w:rsidP="00F469B3" w:rsidRDefault="00F469B3" w14:paraId="2FF16576" w14:textId="77777777">
      <w:pPr>
        <w:spacing w:line="360" w:lineRule="auto"/>
        <w:jc w:val="both"/>
        <w:rPr>
          <w:rFonts w:ascii="Palatino Linotype" w:hAnsi="Palatino Linotype" w:cs="Tahoma"/>
          <w:bCs/>
          <w:iCs/>
          <w:color w:val="000000" w:themeColor="text1"/>
          <w:sz w:val="22"/>
          <w:szCs w:val="22"/>
        </w:rPr>
      </w:pPr>
    </w:p>
    <w:p w:rsidRPr="00F469B3" w:rsidR="00F469B3" w:rsidP="00F469B3" w:rsidRDefault="00F469B3" w14:paraId="6E7C6651"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 xml:space="preserve">III. Interposición del Recurso de Revisión. </w:t>
      </w:r>
    </w:p>
    <w:p w:rsidRPr="00F469B3"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F469B3" w:rsidR="00F469B3" w:rsidP="00F469B3" w:rsidRDefault="00F469B3" w14:paraId="5DB53334" w14:textId="7DA7626E">
      <w:pPr>
        <w:widowControl w:val="0"/>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D92FE5">
        <w:rPr>
          <w:rFonts w:ascii="Palatino Linotype" w:hAnsi="Palatino Linotype" w:cs="Tahoma" w:eastAsiaTheme="minorHAnsi"/>
          <w:bCs/>
          <w:iCs/>
          <w:color w:val="000000" w:themeColor="text1"/>
          <w:sz w:val="22"/>
          <w:szCs w:val="22"/>
          <w:lang w:eastAsia="en-US"/>
        </w:rPr>
        <w:t>veintitrés de marzo</w:t>
      </w:r>
      <w:r w:rsidR="002D73AB">
        <w:rPr>
          <w:rFonts w:ascii="Palatino Linotype" w:hAnsi="Palatino Linotype" w:cs="Tahoma" w:eastAsiaTheme="minorHAnsi"/>
          <w:bCs/>
          <w:iCs/>
          <w:color w:val="000000" w:themeColor="text1"/>
          <w:sz w:val="22"/>
          <w:szCs w:val="22"/>
          <w:lang w:eastAsia="en-US"/>
        </w:rPr>
        <w:t xml:space="preserve"> de dos mil veintidós</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850BCB">
        <w:rPr>
          <w:rFonts w:ascii="Palatino Linotype" w:hAnsi="Palatino Linotype" w:cs="Tahoma" w:eastAsiaTheme="minorHAnsi"/>
          <w:color w:val="000000" w:themeColor="text1"/>
          <w:sz w:val="22"/>
          <w:szCs w:val="22"/>
          <w:lang w:val="es-ES" w:eastAsia="en-US"/>
        </w:rPr>
        <w:t>Ayuntamiento de San José del Rincón</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00F469B3" w:rsidP="00F469B3" w:rsidRDefault="00D92FE5" w14:paraId="2E8033F2" w14:textId="04E1731F">
      <w:pPr>
        <w:spacing w:line="360" w:lineRule="auto"/>
        <w:ind w:left="567" w:right="567"/>
        <w:jc w:val="both"/>
        <w:rPr>
          <w:rFonts w:ascii="Palatino Linotype" w:hAnsi="Palatino Linotype" w:eastAsiaTheme="minorHAnsi" w:cstheme="minorBidi"/>
          <w:i/>
          <w:color w:val="000000" w:themeColor="text1"/>
          <w:lang w:eastAsia="en-US"/>
        </w:rPr>
      </w:pPr>
      <w:r w:rsidRPr="00D92FE5">
        <w:rPr>
          <w:rFonts w:ascii="Palatino Linotype" w:hAnsi="Palatino Linotype" w:eastAsiaTheme="minorHAnsi" w:cstheme="minorBidi"/>
          <w:i/>
          <w:color w:val="000000" w:themeColor="text1"/>
          <w:lang w:eastAsia="en-US"/>
        </w:rPr>
        <w:t>Sujeto obligado no entrega información solicitada</w:t>
      </w:r>
      <w:r w:rsidRPr="00F469B3" w:rsidR="00F469B3">
        <w:rPr>
          <w:rFonts w:ascii="Palatino Linotype" w:hAnsi="Palatino Linotype" w:eastAsiaTheme="minorHAnsi" w:cstheme="minorBidi"/>
          <w:i/>
          <w:color w:val="000000" w:themeColor="text1"/>
          <w:lang w:eastAsia="en-US"/>
        </w:rPr>
        <w:t>” (Sic.)</w:t>
      </w:r>
    </w:p>
    <w:p w:rsidRPr="00F469B3" w:rsidR="00DB75EE" w:rsidP="00F469B3" w:rsidRDefault="00DB75EE" w14:paraId="0C46B057"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t>“RAZONES O MOTIVOS DE LA INCONFORMIDAD</w:t>
      </w:r>
    </w:p>
    <w:p w:rsidRPr="00F469B3" w:rsidR="00F469B3" w:rsidP="00F469B3" w:rsidRDefault="00D92FE5" w14:paraId="644D3B88" w14:textId="79FD3E3E">
      <w:pPr>
        <w:spacing w:line="360" w:lineRule="auto"/>
        <w:ind w:left="567" w:right="567"/>
        <w:jc w:val="both"/>
        <w:rPr>
          <w:rFonts w:ascii="Palatino Linotype" w:hAnsi="Palatino Linotype" w:eastAsiaTheme="minorHAnsi" w:cstheme="minorBidi"/>
          <w:i/>
          <w:color w:val="000000" w:themeColor="text1"/>
          <w:lang w:eastAsia="en-US"/>
        </w:rPr>
      </w:pPr>
      <w:r w:rsidRPr="00D92FE5">
        <w:rPr>
          <w:rFonts w:ascii="Palatino Linotype" w:hAnsi="Palatino Linotype" w:eastAsiaTheme="minorHAnsi" w:cstheme="minorBidi"/>
          <w:i/>
          <w:color w:val="000000" w:themeColor="text1"/>
          <w:lang w:eastAsia="en-US"/>
        </w:rPr>
        <w:t>No existe la información en la página del municipio por eso se solicitó por este medio</w:t>
      </w:r>
      <w:r w:rsidRPr="00F469B3" w:rsidR="00F469B3">
        <w:rPr>
          <w:rFonts w:ascii="Palatino Linotype" w:hAnsi="Palatino Linotype" w:eastAsiaTheme="minorHAnsi" w:cstheme="minorBidi"/>
          <w:i/>
          <w:color w:val="000000" w:themeColor="text1"/>
          <w:lang w:eastAsia="en-US"/>
        </w:rPr>
        <w:t>” (Sic.)</w:t>
      </w:r>
    </w:p>
    <w:p w:rsidR="00F469B3" w:rsidP="00F469B3" w:rsidRDefault="00F469B3" w14:paraId="01F1B018"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2FFD3A79"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IV.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74144DA6" w14:textId="6DD405D6">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D92FE5">
        <w:rPr>
          <w:rFonts w:ascii="Palatino Linotype" w:hAnsi="Palatino Linotype" w:cs="Tahoma"/>
          <w:bCs/>
          <w:iCs/>
          <w:color w:val="000000" w:themeColor="text1"/>
          <w:sz w:val="22"/>
          <w:szCs w:val="22"/>
        </w:rPr>
        <w:t>veintitrés de marzo</w:t>
      </w:r>
      <w:r w:rsidR="004E2EC7">
        <w:rPr>
          <w:rFonts w:ascii="Palatino Linotype" w:hAnsi="Palatino Linotype" w:cs="Tahoma"/>
          <w:bCs/>
          <w:i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00850BCB">
        <w:rPr>
          <w:rFonts w:ascii="Palatino Linotype" w:hAnsi="Palatino Linotype" w:eastAsia="Batang" w:cs="Tahoma"/>
          <w:b/>
          <w:bCs/>
          <w:color w:val="000000" w:themeColor="text1"/>
          <w:sz w:val="22"/>
          <w:szCs w:val="22"/>
        </w:rPr>
        <w:lastRenderedPageBreak/>
        <w:t>04311/INFOEM/IP/RR/2022</w:t>
      </w:r>
      <w:r w:rsidR="004E2EC7">
        <w:rPr>
          <w:rFonts w:ascii="Palatino Linotype" w:hAnsi="Palatino Linotype" w:eastAsia="Batang" w:cs="Tahoma"/>
          <w:bCs/>
          <w:color w:val="000000" w:themeColor="text1"/>
          <w:sz w:val="22"/>
          <w:szCs w:val="22"/>
        </w:rPr>
        <w:t>, al Medio de I</w:t>
      </w:r>
      <w:r w:rsidRPr="00F469B3">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50A00598">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B5167B">
        <w:rPr>
          <w:rFonts w:ascii="Palatino Linotype" w:hAnsi="Palatino Linotype" w:eastAsia="Batang" w:cs="Tahoma"/>
          <w:bCs/>
          <w:color w:val="000000" w:themeColor="text1"/>
          <w:sz w:val="22"/>
          <w:szCs w:val="22"/>
        </w:rPr>
        <w:t>veintiocho</w:t>
      </w:r>
      <w:r w:rsidR="00D92FE5">
        <w:rPr>
          <w:rFonts w:ascii="Palatino Linotype" w:hAnsi="Palatino Linotype" w:eastAsia="Batang" w:cs="Tahoma"/>
          <w:bCs/>
          <w:color w:val="000000" w:themeColor="text1"/>
          <w:sz w:val="22"/>
          <w:szCs w:val="22"/>
        </w:rPr>
        <w:t xml:space="preserve"> de marzo</w:t>
      </w:r>
      <w:r w:rsidR="0040057E">
        <w:rPr>
          <w:rFonts w:ascii="Palatino Linotype" w:hAnsi="Palatino Linotype" w:eastAsia="Batang" w:cs="Tahoma"/>
          <w:b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B5167B">
        <w:rPr>
          <w:rFonts w:ascii="Palatino Linotype" w:hAnsi="Palatino Linotype" w:eastAsia="Batang" w:cs="Tahoma"/>
          <w:bCs/>
          <w:color w:val="000000" w:themeColor="text1"/>
          <w:sz w:val="22"/>
          <w:szCs w:val="22"/>
          <w:lang w:val="es-ES_tradnl"/>
        </w:rPr>
        <w:t>veintinueve</w:t>
      </w:r>
      <w:r w:rsidRPr="00F469B3">
        <w:rPr>
          <w:rFonts w:ascii="Palatino Linotype" w:hAnsi="Palatino Linotype" w:eastAsia="Batang" w:cs="Tahoma"/>
          <w:bCs/>
          <w:color w:val="000000" w:themeColor="text1"/>
          <w:sz w:val="22"/>
          <w:szCs w:val="22"/>
          <w:lang w:val="es-ES_tradnl"/>
        </w:rPr>
        <w:t xml:space="preserve"> de dicho mes y año,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00A35802" w:rsidP="00414815" w:rsidRDefault="00F469B3" w14:paraId="16B93986" w14:textId="0C124FC7">
      <w:pPr>
        <w:spacing w:line="360" w:lineRule="auto"/>
        <w:jc w:val="both"/>
        <w:rPr>
          <w:rFonts w:ascii="Palatino Linotype" w:hAnsi="Palatino Linotype" w:cs="Tahoma"/>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087359" w:rsidR="00087359">
        <w:rPr>
          <w:rFonts w:ascii="Palatino Linotype" w:hAnsi="Palatino Linotype" w:cs="Tahoma"/>
          <w:b/>
          <w:color w:val="000000" w:themeColor="text1"/>
          <w:sz w:val="22"/>
          <w:szCs w:val="22"/>
          <w:lang w:val="es-ES_tradnl"/>
        </w:rPr>
        <w:t>Informe Justificado.</w:t>
      </w:r>
      <w:r w:rsidR="00087359">
        <w:rPr>
          <w:rFonts w:ascii="Palatino Linotype" w:hAnsi="Palatino Linotype" w:cs="Tahoma"/>
          <w:b/>
          <w:color w:val="000000" w:themeColor="text1"/>
          <w:sz w:val="22"/>
          <w:szCs w:val="22"/>
          <w:lang w:val="es-ES_tradnl"/>
        </w:rPr>
        <w:t xml:space="preserve"> </w:t>
      </w:r>
      <w:r w:rsidRPr="00A408B1" w:rsidR="00A408B1">
        <w:rPr>
          <w:rFonts w:ascii="Palatino Linotype" w:hAnsi="Palatino Linotype" w:cs="Tahoma"/>
          <w:color w:val="000000" w:themeColor="text1"/>
          <w:sz w:val="22"/>
          <w:szCs w:val="22"/>
          <w:lang w:val="es-ES_tradnl"/>
        </w:rPr>
        <w:t>Las partes fueron omisas en emitir manifestaciones o alegatos.</w:t>
      </w:r>
    </w:p>
    <w:p w:rsidR="00087359" w:rsidP="00414815" w:rsidRDefault="00087359" w14:paraId="6AF4650A" w14:textId="77777777">
      <w:pPr>
        <w:spacing w:line="360" w:lineRule="auto"/>
        <w:jc w:val="both"/>
        <w:rPr>
          <w:rFonts w:ascii="Palatino Linotype" w:hAnsi="Palatino Linotype" w:cs="Tahoma"/>
          <w:color w:val="000000" w:themeColor="text1"/>
          <w:sz w:val="22"/>
          <w:szCs w:val="22"/>
          <w:lang w:val="es-ES_tradnl"/>
        </w:rPr>
      </w:pPr>
    </w:p>
    <w:p w:rsidR="00913B76" w:rsidP="00414815" w:rsidRDefault="00087359" w14:paraId="6ADC027D" w14:textId="61F61663">
      <w:pPr>
        <w:spacing w:line="360" w:lineRule="auto"/>
        <w:jc w:val="both"/>
        <w:rPr>
          <w:rFonts w:ascii="Palatino Linotype" w:hAnsi="Palatino Linotype" w:cs="Tahoma"/>
          <w:i/>
          <w:sz w:val="22"/>
          <w:szCs w:val="22"/>
        </w:rPr>
      </w:pPr>
      <w:r w:rsidRPr="00087359">
        <w:rPr>
          <w:rFonts w:ascii="Palatino Linotype" w:hAnsi="Palatino Linotype" w:cs="Tahoma"/>
          <w:b/>
          <w:color w:val="000000" w:themeColor="text1"/>
          <w:sz w:val="22"/>
          <w:szCs w:val="22"/>
          <w:lang w:val="es-ES_tradnl"/>
        </w:rPr>
        <w:t>d)</w:t>
      </w:r>
      <w:r>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A408B1">
        <w:rPr>
          <w:rFonts w:ascii="Palatino Linotype" w:hAnsi="Palatino Linotype" w:cs="Tahoma"/>
          <w:sz w:val="22"/>
          <w:szCs w:val="22"/>
        </w:rPr>
        <w:t xml:space="preserve">treinta y uno </w:t>
      </w:r>
      <w:r>
        <w:rPr>
          <w:rFonts w:ascii="Palatino Linotype" w:hAnsi="Palatino Linotype" w:cs="Tahoma"/>
          <w:sz w:val="22"/>
          <w:szCs w:val="22"/>
        </w:rPr>
        <w:t>de marzo</w:t>
      </w:r>
      <w:r w:rsidR="0040057E">
        <w:rPr>
          <w:rFonts w:ascii="Palatino Linotype" w:hAnsi="Palatino Linotype" w:cs="Tahoma"/>
          <w:sz w:val="22"/>
          <w:szCs w:val="22"/>
        </w:rPr>
        <w:t xml:space="preserve">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Pr="00BF2920" w:rsidR="000553B4">
        <w:rPr>
          <w:rFonts w:ascii="Palatino Linotype" w:hAnsi="Palatino Linotype" w:cs="Tahoma"/>
          <w:i/>
          <w:sz w:val="22"/>
          <w:szCs w:val="22"/>
        </w:rPr>
        <w:t>“</w:t>
      </w:r>
      <w:r w:rsidRPr="00771E49" w:rsidR="00771E49">
        <w:rPr>
          <w:rFonts w:ascii="Palatino Linotype" w:hAnsi="Palatino Linotype" w:cs="Tahoma"/>
          <w:i/>
          <w:sz w:val="22"/>
          <w:szCs w:val="22"/>
        </w:rPr>
        <w:t>Lo consulte de manera directa</w:t>
      </w:r>
      <w:r w:rsidR="00F17D75">
        <w:rPr>
          <w:rFonts w:ascii="Palatino Linotype" w:hAnsi="Palatino Linotype" w:cs="Tahoma"/>
          <w:i/>
          <w:sz w:val="22"/>
          <w:szCs w:val="22"/>
        </w:rPr>
        <w:t>”</w:t>
      </w:r>
    </w:p>
    <w:p w:rsidRPr="003F5E0D" w:rsidR="00F17D75" w:rsidP="00414815" w:rsidRDefault="00F17D75" w14:paraId="263C2FA6" w14:textId="77777777">
      <w:pPr>
        <w:spacing w:line="360" w:lineRule="auto"/>
        <w:contextualSpacing/>
        <w:jc w:val="both"/>
        <w:rPr>
          <w:rFonts w:ascii="Palatino Linotype" w:hAnsi="Palatino Linotype" w:cs="Tahoma"/>
          <w:b/>
          <w:sz w:val="18"/>
          <w:szCs w:val="22"/>
        </w:rPr>
      </w:pPr>
    </w:p>
    <w:p w:rsidRPr="00BF2920" w:rsidR="008F4B45" w:rsidP="00414815" w:rsidRDefault="00087359" w14:paraId="155868CD" w14:textId="7C82029A">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sidR="00B5167B">
        <w:rPr>
          <w:rFonts w:ascii="Palatino Linotype" w:hAnsi="Palatino Linotype" w:cs="Tahoma"/>
          <w:sz w:val="22"/>
          <w:szCs w:val="22"/>
        </w:rPr>
        <w:t>cinco de abril</w:t>
      </w:r>
      <w:r w:rsidR="00DB75EE">
        <w:rPr>
          <w:rFonts w:ascii="Palatino Linotype" w:hAnsi="Palatino Linotype" w:cs="Tahoma"/>
          <w:sz w:val="22"/>
          <w:szCs w:val="22"/>
        </w:rPr>
        <w:t xml:space="preserve"> de dos mil veintidós</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Pr="00473F17" w:rsidR="003F5E0D" w:rsidP="00B749FC" w:rsidRDefault="003F5E0D" w14:paraId="64944648" w14:textId="77777777">
      <w:pPr>
        <w:spacing w:line="360" w:lineRule="auto"/>
        <w:contextualSpacing/>
        <w:rPr>
          <w:rFonts w:ascii="Palatino Linotype" w:hAnsi="Palatino Linotype" w:cs="Tahoma"/>
          <w:b/>
          <w:sz w:val="22"/>
          <w:szCs w:val="22"/>
        </w:rPr>
      </w:pPr>
    </w:p>
    <w:p w:rsidR="008F4B45" w:rsidP="00414815" w:rsidRDefault="008F4B45" w14:paraId="27591A64" w14:textId="55DFC032">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hAnsi="Palatino Linotype" w:eastAsia="Calibri"/>
          <w:sz w:val="22"/>
          <w:szCs w:val="22"/>
        </w:rPr>
        <w:t xml:space="preserve">rigésimo, </w:t>
      </w:r>
      <w:r w:rsidR="00191EF0">
        <w:rPr>
          <w:rFonts w:ascii="Palatino Linotype" w:hAnsi="Palatino Linotype" w:eastAsia="Calibri"/>
          <w:sz w:val="22"/>
          <w:szCs w:val="22"/>
        </w:rPr>
        <w:t>trigésimo primero y t</w:t>
      </w:r>
      <w:r w:rsidR="005635A8">
        <w:rPr>
          <w:rFonts w:ascii="Palatino Linotype" w:hAnsi="Palatino Linotype" w:eastAsia="Calibri"/>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473F17" w:rsidR="006D1D4F" w:rsidP="00414815" w:rsidRDefault="006D1D4F" w14:paraId="16B6B97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473F17"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473F17">
        <w:rPr>
          <w:rFonts w:ascii="Palatino Linotype" w:hAnsi="Palatino Linotype" w:eastAsia="Calibri" w:cs="Tahoma"/>
          <w:color w:val="000000"/>
          <w:sz w:val="22"/>
          <w:szCs w:val="22"/>
          <w:lang w:eastAsia="es-MX"/>
        </w:rPr>
        <w:lastRenderedPageBreak/>
        <w:t>1985, pág. 262), el cual establece que debe examinarse previamente la procedencia del juicio de amparo, sea que las partes lo soliciten o no, por ser una cuestión de orden</w:t>
      </w:r>
      <w:r w:rsidR="00C4733E">
        <w:rPr>
          <w:rFonts w:ascii="Palatino Linotype" w:hAnsi="Palatino Linotype" w:eastAsia="Calibri" w:cs="Tahoma"/>
          <w:color w:val="000000"/>
          <w:sz w:val="22"/>
          <w:szCs w:val="22"/>
          <w:lang w:eastAsia="es-MX"/>
        </w:rPr>
        <w:t xml:space="preserve"> público; de tal suerte, </w:t>
      </w:r>
      <w:r w:rsidR="00A35802">
        <w:rPr>
          <w:rFonts w:ascii="Palatino Linotype" w:hAnsi="Palatino Linotype" w:eastAsia="Calibri" w:cs="Tahoma"/>
          <w:color w:val="000000"/>
          <w:sz w:val="22"/>
          <w:szCs w:val="22"/>
          <w:lang w:eastAsia="es-MX"/>
        </w:rPr>
        <w:t>deberá</w:t>
      </w:r>
      <w:r w:rsidRPr="00473F17" w:rsidR="00A35802">
        <w:rPr>
          <w:rFonts w:ascii="Palatino Linotype" w:hAnsi="Palatino Linotype" w:eastAsia="Calibri" w:cs="Tahoma"/>
          <w:color w:val="000000"/>
          <w:sz w:val="22"/>
          <w:szCs w:val="22"/>
          <w:lang w:eastAsia="es-MX"/>
        </w:rPr>
        <w:t xml:space="preserve"> ser</w:t>
      </w:r>
      <w:r w:rsidRPr="00473F17">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Pr="00473F17" w:rsidR="009F7790" w:rsidP="00414815" w:rsidRDefault="009F7790" w14:paraId="0A51658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4733E"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82008" w:rsidR="00682008" w:rsidP="00682008" w:rsidRDefault="00682008" w14:paraId="5E69EFFA" w14:textId="05C6FEBC">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a en el artículo 179, fracción VI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Pr="00DB75EE" w:rsid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B5167B">
        <w:rPr>
          <w:rFonts w:ascii="Palatino Linotype" w:hAnsi="Palatino Linotype" w:cs="Tahoma"/>
          <w:bCs/>
          <w:sz w:val="22"/>
          <w:szCs w:val="22"/>
        </w:rPr>
        <w:t>c</w:t>
      </w:r>
      <w:r w:rsidR="00231033">
        <w:rPr>
          <w:rFonts w:ascii="Palatino Linotype" w:hAnsi="Palatino Linotype" w:cs="Tahoma"/>
          <w:bCs/>
          <w:sz w:val="22"/>
          <w:szCs w:val="22"/>
        </w:rPr>
        <w:t xml:space="preserve">on la entrega que no corresponde con lo </w:t>
      </w:r>
      <w:r w:rsidR="006D1D4F">
        <w:rPr>
          <w:rFonts w:ascii="Palatino Linotype" w:hAnsi="Palatino Linotype" w:cs="Tahoma"/>
          <w:bCs/>
          <w:sz w:val="22"/>
          <w:szCs w:val="22"/>
        </w:rPr>
        <w:t>solicitado</w:t>
      </w:r>
      <w:r w:rsidR="00231033">
        <w:rPr>
          <w:rFonts w:ascii="Palatino Linotype" w:hAnsi="Palatino Linotype" w:cs="Tahoma"/>
          <w:bCs/>
          <w:sz w:val="22"/>
          <w:szCs w:val="22"/>
        </w:rPr>
        <w:t>.</w:t>
      </w:r>
    </w:p>
    <w:p w:rsidRPr="0035618F" w:rsidR="00405DBA" w:rsidP="00405DBA" w:rsidRDefault="00405DBA" w14:paraId="73E2BDE4" w14:textId="77777777">
      <w:pPr>
        <w:spacing w:line="360" w:lineRule="auto"/>
        <w:jc w:val="both"/>
        <w:rPr>
          <w:rFonts w:ascii="Palatino Linotype" w:hAnsi="Palatino Linotype" w:cs="Tahoma"/>
          <w:sz w:val="22"/>
          <w:szCs w:val="22"/>
          <w:lang w:val="es-ES"/>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264982" w:rsidR="000F6B9F" w:rsidP="000F6B9F" w:rsidRDefault="000F6B9F" w14:paraId="32A6410F" w14:textId="777777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0F6B9F" w:rsidP="000F6B9F" w:rsidRDefault="000F6B9F" w14:paraId="2F1AAD4C" w14:textId="77777777">
      <w:pPr>
        <w:spacing w:line="360" w:lineRule="auto"/>
        <w:jc w:val="both"/>
        <w:rPr>
          <w:rFonts w:ascii="Palatino Linotype" w:hAnsi="Palatino Linotype" w:cs="Tahoma"/>
          <w:sz w:val="22"/>
          <w:szCs w:val="22"/>
        </w:rPr>
      </w:pPr>
    </w:p>
    <w:p w:rsidRPr="00512962" w:rsidR="000F6B9F" w:rsidP="000F6B9F" w:rsidRDefault="000F6B9F" w14:paraId="2D771613" w14:textId="4CAE0D30">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w:t>
      </w:r>
      <w:r w:rsidRPr="004E591C">
        <w:rPr>
          <w:rFonts w:ascii="Palatino Linotype" w:hAnsi="Palatino Linotype" w:eastAsia="Calibri" w:cs="Tahoma"/>
          <w:bCs/>
          <w:color w:val="000000"/>
          <w:sz w:val="22"/>
          <w:szCs w:val="22"/>
          <w:lang w:eastAsia="es-ES_tradnl"/>
        </w:rPr>
        <w:lastRenderedPageBreak/>
        <w:t xml:space="preserve">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008F4B45" w:rsidP="00414815" w:rsidRDefault="008F4B45" w14:paraId="4C96AC18" w14:textId="66DF82FB">
      <w:pPr>
        <w:spacing w:line="360" w:lineRule="auto"/>
        <w:contextualSpacing/>
        <w:jc w:val="both"/>
        <w:rPr>
          <w:rFonts w:ascii="Palatino Linotype" w:hAnsi="Palatino Linotype" w:cs="Tahoma"/>
          <w:sz w:val="22"/>
          <w:szCs w:val="22"/>
        </w:rPr>
      </w:pPr>
    </w:p>
    <w:p w:rsidR="00DA0CA2" w:rsidP="00DA0CA2" w:rsidRDefault="000F6B9F" w14:paraId="7609FB50" w14:textId="73E8D3BD">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0D2763">
        <w:rPr>
          <w:rFonts w:ascii="Palatino Linotype" w:hAnsi="Palatino Linotype" w:cs="Tahoma"/>
          <w:sz w:val="22"/>
          <w:szCs w:val="22"/>
        </w:rPr>
        <w:t>trece de marzo</w:t>
      </w:r>
      <w:r w:rsidR="00C4733E">
        <w:rPr>
          <w:rFonts w:ascii="Palatino Linotype" w:hAnsi="Palatino Linotype" w:cs="Tahoma"/>
          <w:sz w:val="22"/>
          <w:szCs w:val="22"/>
        </w:rPr>
        <w:t xml:space="preserve"> de dos mil veintidós</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DB75EE" w:rsidP="000D2763" w:rsidRDefault="00961F25" w14:paraId="6426AC9D" w14:textId="15327FDB">
      <w:pPr>
        <w:spacing w:line="360" w:lineRule="auto"/>
        <w:jc w:val="center"/>
        <w:rPr>
          <w:rFonts w:ascii="Palatino Linotype" w:hAnsi="Palatino Linotype" w:eastAsia="Calibri" w:cs="Tahoma"/>
          <w:sz w:val="22"/>
          <w:szCs w:val="22"/>
          <w:lang w:eastAsia="es-ES_tradnl"/>
        </w:rPr>
      </w:pPr>
      <w:r w:rsidRPr="00961F25">
        <w:rPr>
          <w:rFonts w:ascii="Palatino Linotype" w:hAnsi="Palatino Linotype" w:eastAsia="Calibri" w:cs="Tahoma"/>
          <w:noProof/>
          <w:sz w:val="22"/>
          <w:szCs w:val="22"/>
          <w:lang w:eastAsia="es-MX"/>
        </w:rPr>
        <w:drawing>
          <wp:inline distT="0" distB="0" distL="0" distR="0" wp14:anchorId="4D5FB78B" wp14:editId="64D4E255">
            <wp:extent cx="2413635" cy="2628731"/>
            <wp:effectExtent l="0" t="0" r="5715" b="63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8"/>
                    <a:srcRect t="2128"/>
                    <a:stretch/>
                  </pic:blipFill>
                  <pic:spPr bwMode="auto">
                    <a:xfrm>
                      <a:off x="0" y="0"/>
                      <a:ext cx="2428414" cy="2644827"/>
                    </a:xfrm>
                    <a:prstGeom prst="rect">
                      <a:avLst/>
                    </a:prstGeom>
                    <a:ln>
                      <a:noFill/>
                    </a:ln>
                    <a:extLst>
                      <a:ext uri="{53640926-AAD7-44D8-BBD7-CCE9431645EC}">
                        <a14:shadowObscured xmlns:a14="http://schemas.microsoft.com/office/drawing/2010/main"/>
                      </a:ext>
                    </a:extLst>
                  </pic:spPr>
                </pic:pic>
              </a:graphicData>
            </a:graphic>
          </wp:inline>
        </w:drawing>
      </w:r>
    </w:p>
    <w:p w:rsidR="00880DD2" w:rsidP="006D1D4F" w:rsidRDefault="00880DD2" w14:paraId="63AF58AF" w14:textId="77777777">
      <w:pPr>
        <w:spacing w:line="360" w:lineRule="auto"/>
        <w:jc w:val="both"/>
        <w:rPr>
          <w:rFonts w:ascii="Palatino Linotype" w:hAnsi="Palatino Linotype" w:eastAsia="Calibri" w:cs="Tahoma"/>
          <w:bCs/>
          <w:color w:val="000000"/>
          <w:sz w:val="22"/>
          <w:szCs w:val="22"/>
          <w:lang w:eastAsia="es-ES_tradnl"/>
        </w:rPr>
      </w:pPr>
    </w:p>
    <w:p w:rsidR="000553B4" w:rsidP="006D1D4F" w:rsidRDefault="00A84A76" w14:paraId="01D4213A" w14:textId="2390F071">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r w:rsidR="00766ACC">
        <w:rPr>
          <w:rFonts w:ascii="Palatino Linotype" w:hAnsi="Palatino Linotype" w:eastAsia="Calibri" w:cs="Tahoma"/>
          <w:bCs/>
          <w:i/>
          <w:color w:val="000000"/>
          <w:sz w:val="22"/>
          <w:szCs w:val="22"/>
          <w:lang w:eastAsia="es-ES_tradnl"/>
        </w:rPr>
        <w:t>“</w:t>
      </w:r>
      <w:r w:rsidRPr="00771E49" w:rsidR="00771E49">
        <w:rPr>
          <w:rFonts w:ascii="Palatino Linotype" w:hAnsi="Palatino Linotype" w:eastAsia="Calibri" w:cs="Tahoma"/>
          <w:bCs/>
          <w:i/>
          <w:color w:val="000000"/>
          <w:sz w:val="22"/>
          <w:szCs w:val="22"/>
          <w:lang w:eastAsia="es-ES_tradnl"/>
        </w:rPr>
        <w:t>Lo consulte de manera directa</w:t>
      </w:r>
      <w:r w:rsidR="00766ACC">
        <w:rPr>
          <w:rFonts w:ascii="Palatino Linotype" w:hAnsi="Palatino Linotype" w:eastAsia="Calibri" w:cs="Tahoma"/>
          <w:bCs/>
          <w:i/>
          <w:color w:val="000000"/>
          <w:sz w:val="22"/>
          <w:szCs w:val="22"/>
          <w:lang w:eastAsia="es-ES_tradnl"/>
        </w:rPr>
        <w:t>”</w:t>
      </w:r>
      <w:r w:rsidR="00C4733E">
        <w:rPr>
          <w:rFonts w:ascii="Palatino Linotype" w:hAnsi="Palatino Linotype" w:eastAsia="Calibri" w:cs="Tahoma"/>
          <w:bCs/>
          <w:i/>
          <w:color w:val="000000"/>
          <w:sz w:val="22"/>
          <w:szCs w:val="22"/>
          <w:lang w:eastAsia="es-ES_tradnl"/>
        </w:rPr>
        <w:t>.</w:t>
      </w:r>
    </w:p>
    <w:p w:rsidR="00766ACC" w:rsidP="00414815" w:rsidRDefault="00BC4CF5" w14:paraId="4B7E9474" w14:textId="1F3DDE96">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lastRenderedPageBreak/>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00850BCB">
        <w:rPr>
          <w:rFonts w:ascii="Palatino Linotype" w:hAnsi="Palatino Linotype" w:eastAsia="Calibri" w:cs="Tahoma"/>
          <w:b/>
          <w:bCs/>
          <w:sz w:val="22"/>
          <w:szCs w:val="22"/>
          <w:lang w:eastAsia="en-US"/>
        </w:rPr>
        <w:t>04311/INFOEM/IP/RR/2022</w:t>
      </w:r>
      <w:r w:rsidR="006D1D4F">
        <w:rPr>
          <w:rFonts w:ascii="Palatino Linotype" w:hAnsi="Palatino Linotype" w:eastAsia="Calibri" w:cs="Tahoma"/>
          <w:b/>
          <w:bCs/>
          <w:sz w:val="22"/>
          <w:szCs w:val="22"/>
          <w:lang w:eastAsia="en-US"/>
        </w:rPr>
        <w:t xml:space="preserve">, </w:t>
      </w:r>
      <w:r w:rsidR="006D1D4F">
        <w:rPr>
          <w:rFonts w:ascii="Palatino Linotype" w:hAnsi="Palatino Linotype" w:eastAsia="Calibri" w:cs="Tahoma"/>
          <w:bCs/>
          <w:sz w:val="22"/>
          <w:szCs w:val="22"/>
          <w:lang w:eastAsia="en-US"/>
        </w:rPr>
        <w:t>al señalar que ya consultó la información</w:t>
      </w:r>
      <w:r w:rsidR="00766ACC">
        <w:rPr>
          <w:rFonts w:ascii="Palatino Linotype" w:hAnsi="Palatino Linotype" w:eastAsia="Calibri" w:cs="Tahoma"/>
          <w:b/>
          <w:bCs/>
          <w:sz w:val="22"/>
          <w:szCs w:val="22"/>
          <w:lang w:eastAsia="en-US"/>
        </w:rPr>
        <w:t xml:space="preserve">, </w:t>
      </w:r>
      <w:r w:rsidR="009F7790">
        <w:rPr>
          <w:rFonts w:ascii="Palatino Linotype" w:hAnsi="Palatino Linotype" w:eastAsia="Calibri" w:cs="Tahoma"/>
          <w:sz w:val="22"/>
          <w:szCs w:val="22"/>
          <w:lang w:eastAsia="es-ES_tradnl"/>
        </w:rPr>
        <w:t>por lo que</w:t>
      </w:r>
      <w:r w:rsidR="00766ACC">
        <w:rPr>
          <w:rFonts w:ascii="Palatino Linotype" w:hAnsi="Palatino Linotype" w:eastAsia="Calibri" w:cs="Tahoma"/>
          <w:sz w:val="22"/>
          <w:szCs w:val="22"/>
          <w:lang w:eastAsia="es-ES_tradnl"/>
        </w:rPr>
        <w:t>, se estima que se actualiza el supuesto previsto en el artículo 192, fracción I, de la Ley de Transparencia y Acceso a la Información Pública del Estado de México y Municipios.</w:t>
      </w:r>
    </w:p>
    <w:p w:rsidR="00DB75EE" w:rsidP="00414815" w:rsidRDefault="00DB75EE" w14:paraId="61A5078B" w14:textId="77777777">
      <w:pPr>
        <w:spacing w:line="360" w:lineRule="auto"/>
        <w:contextualSpacing/>
        <w:jc w:val="both"/>
        <w:rPr>
          <w:rFonts w:ascii="Palatino Linotype" w:hAnsi="Palatino Linotype" w:eastAsia="Calibri" w:cs="Tahoma"/>
          <w:sz w:val="22"/>
          <w:szCs w:val="22"/>
          <w:lang w:eastAsia="es-ES_tradnl"/>
        </w:rPr>
      </w:pPr>
    </w:p>
    <w:p w:rsidR="00766ACC" w:rsidP="00766ACC" w:rsidRDefault="00766ACC" w14:paraId="18090CAF"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En ese tenor, resulta aplicable la Jurisprudencia número </w:t>
      </w:r>
      <w:r w:rsidRPr="000B7BD0">
        <w:rPr>
          <w:rFonts w:ascii="Palatino Linotype" w:hAnsi="Palatino Linotype" w:eastAsia="Calibri" w:cs="Tahoma"/>
          <w:sz w:val="22"/>
          <w:szCs w:val="22"/>
          <w:lang w:eastAsia="es-ES_tradnl"/>
        </w:rPr>
        <w:t>1a./J. 65/2005</w:t>
      </w:r>
      <w:r>
        <w:rPr>
          <w:rFonts w:ascii="Palatino Linotype" w:hAnsi="Palatino Linotype" w:eastAsia="Calibri" w:cs="Tahoma"/>
          <w:sz w:val="22"/>
          <w:szCs w:val="22"/>
          <w:lang w:eastAsia="es-ES_tradnl"/>
        </w:rPr>
        <w:t>, Semanario Judicial de la Federación y su Gaceta, Novena Época,</w:t>
      </w:r>
      <w:r w:rsidRPr="00EA6E8E">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Tomo XXII, julio de dos mil cinco, página ciento sesenta y uno, que establece lo siguiente:</w:t>
      </w:r>
    </w:p>
    <w:p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Pr="00170828" w:rsidR="00766ACC" w:rsidP="00766ACC" w:rsidRDefault="00766ACC" w14:paraId="6D05EE60" w14:textId="0A64F1A0">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Pr="00170828">
        <w:rPr>
          <w:rFonts w:ascii="Palatino Linotype" w:hAnsi="Palatino Linotype" w:eastAsia="Calibri" w:cs="Tahoma"/>
          <w:i/>
          <w:lang w:val="es-ES" w:eastAsia="es-ES_tradnl"/>
        </w:rPr>
        <w:c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008F4B45" w:rsidP="00414815" w:rsidRDefault="008F4B45" w14:paraId="1796B8A3" w14:textId="77777777">
      <w:pPr>
        <w:spacing w:line="360" w:lineRule="auto"/>
        <w:contextualSpacing/>
        <w:jc w:val="both"/>
        <w:rPr>
          <w:rFonts w:ascii="Palatino Linotype" w:hAnsi="Palatino Linotype" w:eastAsia="Calibri" w:cs="Tahoma"/>
          <w:bCs/>
          <w:color w:val="000000"/>
          <w:sz w:val="22"/>
          <w:szCs w:val="22"/>
          <w:lang w:eastAsia="es-ES_tradnl"/>
        </w:rPr>
      </w:pPr>
    </w:p>
    <w:p w:rsidRPr="00EA6E8E" w:rsidR="00766ACC" w:rsidP="00766ACC" w:rsidRDefault="00766ACC" w14:paraId="0C35FE17" w14:textId="0C3BC12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Pr="00B41F43" w:rsidR="00B41F43" w:rsidP="00766ACC" w:rsidRDefault="00B41F43" w14:paraId="5B503656"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20B181C4">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850BCB">
        <w:rPr>
          <w:rFonts w:ascii="Palatino Linotype" w:hAnsi="Palatino Linotype" w:eastAsia="Calibri" w:cs="Tahoma"/>
          <w:b/>
          <w:bCs/>
          <w:sz w:val="22"/>
          <w:szCs w:val="22"/>
          <w:lang w:eastAsia="en-US"/>
        </w:rPr>
        <w:t>04311/INFOEM/IP/RR/2022</w:t>
      </w:r>
      <w:r w:rsidR="0019350A">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00FB3E02" w:rsidP="00390724" w:rsidRDefault="00682008" w14:paraId="15C2871C" w14:textId="5E43990D">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005767E0">
        <w:rPr>
          <w:rFonts w:ascii="Palatino Linotype" w:hAnsi="Palatino Linotype" w:cs="Tahoma" w:eastAsiaTheme="minorHAnsi"/>
          <w:bCs/>
          <w:iCs/>
          <w:color w:val="000000" w:themeColor="text1"/>
          <w:sz w:val="22"/>
          <w:szCs w:val="22"/>
          <w:lang w:eastAsia="en-US"/>
        </w:rPr>
        <w:t>tirse del Medio de Impugnación</w:t>
      </w:r>
      <w:r w:rsidRPr="00682008">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FB3E02"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682008">
        <w:rPr>
          <w:rFonts w:ascii="Palatino Linotype" w:hAnsi="Palatino Linotype" w:cs="Tahoma" w:eastAsiaTheme="minorHAnsi"/>
          <w:bCs/>
          <w:iCs/>
          <w:color w:val="000000" w:themeColor="text1"/>
          <w:sz w:val="22"/>
          <w:szCs w:val="22"/>
          <w:lang w:eastAsia="en-US"/>
        </w:rPr>
        <w:t xml:space="preserve">. </w:t>
      </w:r>
    </w:p>
    <w:p w:rsidR="00880DD2" w:rsidP="00390724" w:rsidRDefault="00880DD2" w14:paraId="58EA0BDD"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390724" w:rsidR="00682008" w:rsidP="00390724" w:rsidRDefault="00682008" w14:paraId="5E5FE282" w14:textId="62C603D4">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 xml:space="preserve">Finalmente, la labor </w:t>
      </w:r>
      <w:r>
        <w:rPr>
          <w:rFonts w:ascii="Palatino Linotype" w:hAnsi="Palatino Linotype" w:cs="Tahoma" w:eastAsiaTheme="minorHAnsi"/>
          <w:bCs/>
          <w:iCs/>
          <w:color w:val="000000" w:themeColor="text1"/>
          <w:sz w:val="22"/>
          <w:szCs w:val="22"/>
          <w:lang w:eastAsia="en-US"/>
        </w:rPr>
        <w:t>del Instituto de Transparencia, Acceso a la Información Pública y Protección de Datos Personales del Estado de México y Municipios</w:t>
      </w:r>
      <w:r w:rsidRPr="00682008">
        <w:rPr>
          <w:rFonts w:ascii="Palatino Linotype" w:hAnsi="Palatino Linotype" w:cs="Tahoma" w:eastAsiaTheme="minorHAnsi"/>
          <w:bCs/>
          <w:iCs/>
          <w:color w:val="000000" w:themeColor="text1"/>
          <w:sz w:val="22"/>
          <w:szCs w:val="22"/>
          <w:lang w:eastAsia="en-US"/>
        </w:rPr>
        <w:t>, es apoyar a la población a acceder a la información pública y garantizar la protección de sus datos personales.</w:t>
      </w:r>
    </w:p>
    <w:p w:rsidRPr="00766ACC" w:rsidR="00766ACC" w:rsidP="00766ACC" w:rsidRDefault="00766ACC" w14:paraId="335020C5" w14:textId="02468CF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lastRenderedPageBreak/>
        <w:t>Por lo expuesto y fundado, el Pleno de este Instituto:</w:t>
      </w:r>
    </w:p>
    <w:p w:rsidR="009F7790" w:rsidP="00766ACC" w:rsidRDefault="009F7790" w14:paraId="6FB13FA3"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Pr="00F143B3"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00766ACC" w:rsidP="00766ACC" w:rsidRDefault="00766ACC" w14:paraId="67C77563" w14:textId="45F3D2F4">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850BCB">
        <w:rPr>
          <w:rFonts w:ascii="Palatino Linotype" w:hAnsi="Palatino Linotype" w:eastAsia="Calibri" w:cs="Tahoma"/>
          <w:b/>
          <w:bCs/>
          <w:sz w:val="22"/>
          <w:szCs w:val="22"/>
          <w:lang w:eastAsia="en-US"/>
        </w:rPr>
        <w:t>04311/INFOEM/IP/RR/2022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en términos de</w:t>
      </w:r>
      <w:r w:rsidR="004C511E">
        <w:rPr>
          <w:rFonts w:ascii="Palatino Linotype" w:hAnsi="Palatino Linotype" w:cs="Arial"/>
          <w:bCs/>
          <w:color w:val="000000" w:themeColor="text1"/>
          <w:sz w:val="22"/>
          <w:szCs w:val="22"/>
          <w:lang w:val="es-ES"/>
        </w:rPr>
        <w:t xml:space="preserve"> los</w:t>
      </w:r>
      <w:r w:rsidRPr="00F143B3">
        <w:rPr>
          <w:rFonts w:ascii="Palatino Linotype" w:hAnsi="Palatino Linotype" w:cs="Arial"/>
          <w:bCs/>
          <w:color w:val="000000" w:themeColor="text1"/>
          <w:sz w:val="22"/>
          <w:szCs w:val="22"/>
          <w:lang w:val="es-ES"/>
        </w:rPr>
        <w:t xml:space="preserve"> Considerando</w:t>
      </w:r>
      <w:r w:rsidR="004C511E">
        <w:rPr>
          <w:rFonts w:ascii="Palatino Linotype" w:hAnsi="Palatino Linotype" w:cs="Arial"/>
          <w:bCs/>
          <w:color w:val="000000" w:themeColor="text1"/>
          <w:sz w:val="22"/>
          <w:szCs w:val="22"/>
          <w:lang w:val="es-ES"/>
        </w:rPr>
        <w:t>s</w:t>
      </w:r>
      <w:r w:rsidRPr="00F143B3">
        <w:rPr>
          <w:rFonts w:ascii="Palatino Linotype" w:hAnsi="Palatino Linotype" w:cs="Arial"/>
          <w:bCs/>
          <w:color w:val="000000" w:themeColor="text1"/>
          <w:sz w:val="22"/>
          <w:szCs w:val="22"/>
          <w:lang w:val="es-ES"/>
        </w:rPr>
        <w:t xml:space="preserve">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Pr="00B41F43" w:rsid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57982F7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Pr="002964AF" w:rsidR="005767E0" w:rsidP="001720AA" w:rsidRDefault="002A211F" w14:paraId="7785A056" w14:textId="3181983B">
      <w:pPr>
        <w:spacing w:line="360" w:lineRule="auto"/>
        <w:jc w:val="both"/>
        <w:rPr>
          <w:rFonts w:ascii="Palatino Linotype" w:hAnsi="Palatino Linotype" w:eastAsia="Calibri" w:cs="Tahoma"/>
          <w:bCs/>
          <w:color w:val="000000" w:themeColor="text1"/>
          <w:sz w:val="22"/>
          <w:szCs w:val="22"/>
          <w:lang w:eastAsia="en-US"/>
        </w:rPr>
      </w:pPr>
      <w:r w:rsidRPr="002A211F">
        <w:rPr>
          <w:rFonts w:ascii="Palatino Linotype" w:hAnsi="Palatino Linotype" w:eastAsia="Calibri" w:cs="Tahoma"/>
          <w:bCs/>
          <w:color w:val="000000" w:themeColor="text1"/>
          <w:sz w:val="22"/>
          <w:szCs w:val="22"/>
          <w:lang w:eastAsia="en-US"/>
        </w:rPr>
        <w:t xml:space="preserve">ASÍ LO RESUELVE, POR </w:t>
      </w:r>
      <w:r w:rsidRPr="002A211F">
        <w:rPr>
          <w:rFonts w:ascii="Palatino Linotype" w:hAnsi="Palatino Linotype" w:eastAsia="Calibri" w:cs="Tahoma"/>
          <w:b/>
          <w:color w:val="000000" w:themeColor="text1"/>
          <w:sz w:val="22"/>
          <w:szCs w:val="22"/>
          <w:lang w:eastAsia="en-US"/>
        </w:rPr>
        <w:t>UNANIMIDAD</w:t>
      </w:r>
      <w:r w:rsidRPr="002A211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7790">
        <w:rPr>
          <w:rFonts w:ascii="Palatino Linotype" w:hAnsi="Palatino Linotype" w:eastAsia="Calibri" w:cs="Tahoma"/>
          <w:bCs/>
          <w:color w:val="000000" w:themeColor="text1"/>
          <w:sz w:val="22"/>
          <w:szCs w:val="22"/>
          <w:lang w:eastAsia="en-US"/>
        </w:rPr>
        <w:t xml:space="preserve">DÉCIMA </w:t>
      </w:r>
      <w:r w:rsidR="00880DD2">
        <w:rPr>
          <w:rFonts w:ascii="Palatino Linotype" w:hAnsi="Palatino Linotype" w:eastAsia="Calibri" w:cs="Tahoma"/>
          <w:bCs/>
          <w:color w:val="000000" w:themeColor="text1"/>
          <w:sz w:val="22"/>
          <w:szCs w:val="22"/>
          <w:lang w:eastAsia="en-US"/>
        </w:rPr>
        <w:t>CUARTA</w:t>
      </w:r>
      <w:r w:rsidRPr="002A211F">
        <w:rPr>
          <w:rFonts w:ascii="Palatino Linotype" w:hAnsi="Palatino Linotype" w:eastAsia="Calibri" w:cs="Tahoma"/>
          <w:bCs/>
          <w:color w:val="000000" w:themeColor="text1"/>
          <w:sz w:val="22"/>
          <w:szCs w:val="22"/>
          <w:lang w:eastAsia="en-US"/>
        </w:rPr>
        <w:t xml:space="preserve"> SESIÓN ORDINARIA, CELEBRADA EL </w:t>
      </w:r>
      <w:r w:rsidR="00880DD2">
        <w:rPr>
          <w:rFonts w:ascii="Palatino Linotype" w:hAnsi="Palatino Linotype" w:eastAsia="Calibri" w:cs="Tahoma"/>
          <w:bCs/>
          <w:color w:val="000000" w:themeColor="text1"/>
          <w:sz w:val="22"/>
          <w:szCs w:val="22"/>
          <w:lang w:eastAsia="en-US"/>
        </w:rPr>
        <w:t>VEINTE</w:t>
      </w:r>
      <w:r w:rsidR="00771E49">
        <w:rPr>
          <w:rFonts w:ascii="Palatino Linotype" w:hAnsi="Palatino Linotype" w:eastAsia="Calibri" w:cs="Tahoma"/>
          <w:bCs/>
          <w:color w:val="000000" w:themeColor="text1"/>
          <w:sz w:val="22"/>
          <w:szCs w:val="22"/>
          <w:lang w:eastAsia="en-US"/>
        </w:rPr>
        <w:t xml:space="preserve"> DE ABRIL</w:t>
      </w:r>
      <w:r w:rsidRPr="002A211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p>
    <w:p w:rsidRPr="001720AA" w:rsidR="001720AA" w:rsidP="00880DD2" w:rsidRDefault="001720AA" w14:paraId="429F6CEB" w14:textId="5006E0B7">
      <w:pPr>
        <w:spacing w:after="160" w:line="259" w:lineRule="auto"/>
        <w:rPr>
          <w:rFonts w:ascii="Palatino Linotype" w:hAnsi="Palatino Linotype" w:cs="Tahoma" w:eastAsiaTheme="minorHAnsi"/>
          <w:bCs/>
          <w:color w:val="000000" w:themeColor="text1"/>
          <w:sz w:val="22"/>
          <w:szCs w:val="22"/>
          <w:lang w:val="es-ES_tradnl" w:eastAsia="es-MX"/>
        </w:rPr>
      </w:pPr>
      <w:r>
        <w:rPr>
          <w:rFonts w:ascii="Palatino Linotype" w:hAnsi="Palatino Linotype" w:cs="Tahoma" w:eastAsiaTheme="minorHAnsi"/>
          <w:bCs/>
          <w:color w:val="000000" w:themeColor="text1"/>
          <w:sz w:val="22"/>
          <w:szCs w:val="22"/>
          <w:lang w:val="es-ES_tradnl" w:eastAsia="es-MX"/>
        </w:rPr>
        <w:br w:type="page"/>
      </w:r>
    </w:p>
    <w:sectPr w:rsidRPr="001720AA"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56E" w:rsidP="00B31222" w:rsidRDefault="001B056E" w14:paraId="5E519E17" w14:textId="77777777">
      <w:r>
        <w:separator/>
      </w:r>
    </w:p>
  </w:endnote>
  <w:endnote w:type="continuationSeparator" w:id="0">
    <w:p w:rsidR="001B056E" w:rsidP="00B31222" w:rsidRDefault="001B056E" w14:paraId="106FB2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8B3548" w:rsidP="0044566A" w:rsidRDefault="008B3548" w14:paraId="4EA60772" w14:textId="3F2C26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0DD2">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0DD2">
              <w:rPr>
                <w:b/>
                <w:bCs/>
                <w:noProof/>
              </w:rPr>
              <w:t>10</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0D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0DD2">
      <w:rPr>
        <w:b/>
        <w:bCs/>
        <w:noProof/>
      </w:rPr>
      <w:t>10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56E" w:rsidP="00B31222" w:rsidRDefault="001B056E" w14:paraId="05D0E1F6" w14:textId="77777777">
      <w:r>
        <w:separator/>
      </w:r>
    </w:p>
  </w:footnote>
  <w:footnote w:type="continuationSeparator" w:id="0">
    <w:p w:rsidR="001B056E" w:rsidP="00B31222" w:rsidRDefault="001B056E" w14:paraId="7F4A16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ED46E8"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A37342" w14:paraId="35595BB5" w14:textId="59E23D04">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w:t>
                </w:r>
                <w:r w:rsidR="00850BCB">
                  <w:rPr>
                    <w:rFonts w:ascii="Palatino Linotype" w:hAnsi="Palatino Linotype" w:eastAsia="Calibri" w:cs="Tahoma"/>
                    <w:sz w:val="22"/>
                    <w:szCs w:val="22"/>
                    <w:lang w:val="es-MX" w:eastAsia="en-US"/>
                  </w:rPr>
                  <w:t>4311</w:t>
                </w:r>
                <w:r>
                  <w:rPr>
                    <w:rFonts w:ascii="Palatino Linotype" w:hAnsi="Palatino Linotype" w:eastAsia="Calibri" w:cs="Tahoma"/>
                    <w:sz w:val="22"/>
                    <w:szCs w:val="22"/>
                    <w:lang w:val="es-MX" w:eastAsia="en-US"/>
                  </w:rPr>
                  <w:t>/INFOEM/IP/RR/2022</w:t>
                </w:r>
              </w:p>
            </w:tc>
          </w:tr>
          <w:tr w:rsidR="008B3548" w:rsidTr="00ED46E8"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885230" w:rsidRDefault="00850BCB" w14:paraId="31642F59" w14:textId="07F873FD">
                <w:pPr>
                  <w:tabs>
                    <w:tab w:val="right" w:pos="8838"/>
                  </w:tabs>
                  <w:ind w:left="-108"/>
                  <w:jc w:val="both"/>
                  <w:rPr>
                    <w:rFonts w:ascii="Palatino Linotype" w:hAnsi="Palatino Linotype" w:eastAsia="Calibri" w:cs="Tahoma"/>
                    <w:sz w:val="22"/>
                    <w:szCs w:val="22"/>
                    <w:lang w:val="es-MX" w:eastAsia="en-US"/>
                  </w:rPr>
                </w:pPr>
                <w:r w:rsidRPr="00850BCB">
                  <w:rPr>
                    <w:rFonts w:ascii="Palatino Linotype" w:hAnsi="Palatino Linotype" w:eastAsia="Calibri" w:cs="Tahoma"/>
                    <w:sz w:val="22"/>
                    <w:szCs w:val="22"/>
                    <w:lang w:val="es-MX" w:eastAsia="en-US"/>
                  </w:rPr>
                  <w:t>Ayuntamiento de San José del Rincón</w:t>
                </w:r>
              </w:p>
            </w:tc>
          </w:tr>
          <w:tr w:rsidR="008B3548" w:rsidTr="00ED46E8"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ED46E8"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2964AF"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2964AF" w14:paraId="43784F17" w14:textId="0A90E6D4">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6.3pt;width:663.5pt;height:12in;z-index:-251658240;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19"/>
      <w:gridCol w:w="2405"/>
      <w:gridCol w:w="3690"/>
    </w:tblGrid>
    <w:tr w:rsidRPr="00264223" w:rsidR="008B3548" w:rsidTr="490D9032" w14:paraId="47FE01F0" w14:textId="77777777">
      <w:trPr>
        <w:trHeight w:val="466"/>
      </w:trPr>
      <w:tc>
        <w:tcPr>
          <w:tcW w:w="3119"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Pr="0091633A" w:rsidR="008B3548" w:rsidP="00F82637" w:rsidRDefault="008B3548" w14:paraId="1986A207" w14:textId="77777777">
          <w:pPr>
            <w:tabs>
              <w:tab w:val="left" w:pos="1735"/>
              <w:tab w:val="right" w:pos="8838"/>
            </w:tabs>
            <w:spacing w:line="276" w:lineRule="auto"/>
            <w:ind w:left="-28"/>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3690" w:type="dxa"/>
          <w:tcMar/>
          <w:vAlign w:val="bottom"/>
        </w:tcPr>
        <w:p w:rsidRPr="00A404EA" w:rsidR="008B3548" w:rsidP="00F82637" w:rsidRDefault="00A37342" w14:paraId="5D029AEB" w14:textId="23EBD254">
          <w:pPr>
            <w:tabs>
              <w:tab w:val="left" w:pos="3435"/>
              <w:tab w:val="right" w:pos="8838"/>
            </w:tabs>
            <w:spacing w:line="276" w:lineRule="auto"/>
            <w:ind w:left="-28" w:right="39"/>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w:t>
          </w:r>
          <w:r w:rsidR="00850BCB">
            <w:rPr>
              <w:rFonts w:ascii="Palatino Linotype" w:hAnsi="Palatino Linotype" w:eastAsia="Calibri" w:cs="Tahoma"/>
              <w:sz w:val="22"/>
              <w:szCs w:val="22"/>
              <w:lang w:val="es-MX" w:eastAsia="en-US"/>
            </w:rPr>
            <w:t>4311</w:t>
          </w:r>
          <w:r>
            <w:rPr>
              <w:rFonts w:ascii="Palatino Linotype" w:hAnsi="Palatino Linotype" w:eastAsia="Calibri" w:cs="Tahoma"/>
              <w:sz w:val="22"/>
              <w:szCs w:val="22"/>
              <w:lang w:val="es-MX" w:eastAsia="en-US"/>
            </w:rPr>
            <w:t>/INFOEM/IP/RR/2022</w:t>
          </w:r>
        </w:p>
      </w:tc>
    </w:tr>
    <w:tr w:rsidRPr="00264223" w:rsidR="008B3548" w:rsidTr="490D9032" w14:paraId="3B115A83" w14:textId="77777777">
      <w:trPr>
        <w:trHeight w:val="119"/>
      </w:trPr>
      <w:tc>
        <w:tcPr>
          <w:tcW w:w="3119"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0540E823"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3690" w:type="dxa"/>
          <w:tcMar/>
        </w:tcPr>
        <w:p w:rsidRPr="0055002A" w:rsidR="008B3548" w:rsidP="490D9032" w:rsidRDefault="0049635D" w14:paraId="26162836" w14:textId="576F4C65">
          <w:pPr>
            <w:pStyle w:val="Normal"/>
            <w:tabs>
              <w:tab w:val="right" w:leader="none" w:pos="8838"/>
            </w:tabs>
            <w:bidi w:val="0"/>
            <w:spacing w:before="0" w:beforeAutospacing="off" w:after="0" w:afterAutospacing="off" w:line="276" w:lineRule="auto"/>
            <w:ind w:left="0" w:right="171"/>
            <w:jc w:val="both"/>
            <w:rPr>
              <w:rFonts w:ascii="Palatino Linotype" w:hAnsi="Palatino Linotype" w:eastAsia="Calibri" w:cs="Tahoma"/>
              <w:sz w:val="22"/>
              <w:szCs w:val="22"/>
              <w:highlight w:val="black"/>
              <w:lang w:eastAsia="en-US"/>
            </w:rPr>
          </w:pPr>
          <w:r w:rsidRPr="490D9032" w:rsidR="490D9032">
            <w:rPr>
              <w:rFonts w:ascii="Palatino Linotype" w:hAnsi="Palatino Linotype" w:eastAsia="Calibri" w:cs="Tahoma"/>
              <w:sz w:val="22"/>
              <w:szCs w:val="22"/>
              <w:highlight w:val="black"/>
              <w:lang w:eastAsia="en-US"/>
            </w:rPr>
            <w:t>XXXXXXXXXXXXXXXXX</w:t>
          </w:r>
        </w:p>
      </w:tc>
    </w:tr>
    <w:tr w:rsidRPr="00264223" w:rsidR="008B3548" w:rsidTr="490D9032" w14:paraId="111B16D3" w14:textId="77777777">
      <w:trPr>
        <w:trHeight w:val="234"/>
      </w:trPr>
      <w:tc>
        <w:tcPr>
          <w:tcW w:w="3119"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1CEA75E5"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690" w:type="dxa"/>
          <w:tcMar/>
        </w:tcPr>
        <w:p w:rsidRPr="00A404EA" w:rsidR="008B3548" w:rsidP="00F82637" w:rsidRDefault="00850BCB" w14:paraId="69B99F24" w14:textId="3B718EC9">
          <w:pPr>
            <w:tabs>
              <w:tab w:val="right" w:pos="8838"/>
            </w:tabs>
            <w:spacing w:line="276" w:lineRule="auto"/>
            <w:ind w:right="171"/>
            <w:jc w:val="both"/>
            <w:rPr>
              <w:rFonts w:ascii="Palatino Linotype" w:hAnsi="Palatino Linotype" w:eastAsia="Calibri" w:cs="Tahoma"/>
              <w:sz w:val="22"/>
              <w:szCs w:val="22"/>
              <w:lang w:eastAsia="en-US"/>
            </w:rPr>
          </w:pPr>
          <w:r w:rsidRPr="00850BCB">
            <w:rPr>
              <w:rFonts w:ascii="Palatino Linotype" w:hAnsi="Palatino Linotype" w:eastAsia="Calibri" w:cs="Tahoma"/>
              <w:sz w:val="22"/>
              <w:szCs w:val="22"/>
              <w:lang w:val="es-MX" w:eastAsia="en-US"/>
            </w:rPr>
            <w:t>Ayuntamiento de San José del Rincón</w:t>
          </w:r>
        </w:p>
      </w:tc>
    </w:tr>
    <w:tr w:rsidRPr="00264223" w:rsidR="008B3548" w:rsidTr="490D9032" w14:paraId="69512480" w14:textId="77777777">
      <w:trPr>
        <w:trHeight w:val="234"/>
      </w:trPr>
      <w:tc>
        <w:tcPr>
          <w:tcW w:w="3119"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6885F4E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690" w:type="dxa"/>
          <w:tcMar/>
        </w:tcPr>
        <w:p w:rsidR="008B3548" w:rsidP="00F82637" w:rsidRDefault="008B3548" w14:paraId="761045C2"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4113056">
    <w:abstractNumId w:val="0"/>
  </w:num>
  <w:num w:numId="2" w16cid:durableId="845095856">
    <w:abstractNumId w:val="5"/>
  </w:num>
  <w:num w:numId="3" w16cid:durableId="297955248">
    <w:abstractNumId w:val="15"/>
  </w:num>
  <w:num w:numId="4" w16cid:durableId="1447890307">
    <w:abstractNumId w:val="3"/>
  </w:num>
  <w:num w:numId="5" w16cid:durableId="2117408588">
    <w:abstractNumId w:val="11"/>
  </w:num>
  <w:num w:numId="6" w16cid:durableId="1201436265">
    <w:abstractNumId w:val="13"/>
  </w:num>
  <w:num w:numId="7" w16cid:durableId="636302319">
    <w:abstractNumId w:val="13"/>
  </w:num>
  <w:num w:numId="8" w16cid:durableId="417675024">
    <w:abstractNumId w:val="10"/>
  </w:num>
  <w:num w:numId="9" w16cid:durableId="820728406">
    <w:abstractNumId w:val="6"/>
  </w:num>
  <w:num w:numId="10" w16cid:durableId="356319500">
    <w:abstractNumId w:val="8"/>
  </w:num>
  <w:num w:numId="11" w16cid:durableId="1183398276">
    <w:abstractNumId w:val="7"/>
  </w:num>
  <w:num w:numId="12" w16cid:durableId="497112212">
    <w:abstractNumId w:val="2"/>
  </w:num>
  <w:num w:numId="13" w16cid:durableId="436602378">
    <w:abstractNumId w:val="4"/>
  </w:num>
  <w:num w:numId="14" w16cid:durableId="521822096">
    <w:abstractNumId w:val="16"/>
  </w:num>
  <w:num w:numId="15" w16cid:durableId="1494681496">
    <w:abstractNumId w:val="1"/>
  </w:num>
  <w:num w:numId="16" w16cid:durableId="1090542521">
    <w:abstractNumId w:val="12"/>
  </w:num>
  <w:num w:numId="17" w16cid:durableId="1537620188">
    <w:abstractNumId w:val="9"/>
  </w:num>
  <w:num w:numId="18" w16cid:durableId="6180264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343D"/>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1EF0"/>
    <w:rsid w:val="001923B6"/>
    <w:rsid w:val="0019350A"/>
    <w:rsid w:val="0019389B"/>
    <w:rsid w:val="00194314"/>
    <w:rsid w:val="00194582"/>
    <w:rsid w:val="0019576A"/>
    <w:rsid w:val="001A1B88"/>
    <w:rsid w:val="001A1B94"/>
    <w:rsid w:val="001A22F5"/>
    <w:rsid w:val="001A7FD2"/>
    <w:rsid w:val="001B056E"/>
    <w:rsid w:val="001B107D"/>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1033"/>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964AF"/>
    <w:rsid w:val="002A0FB8"/>
    <w:rsid w:val="002A211F"/>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57E"/>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566A"/>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511E"/>
    <w:rsid w:val="004C6AC1"/>
    <w:rsid w:val="004C7E83"/>
    <w:rsid w:val="004D2A6A"/>
    <w:rsid w:val="004D5893"/>
    <w:rsid w:val="004D5DB3"/>
    <w:rsid w:val="004E0096"/>
    <w:rsid w:val="004E2EC7"/>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6613A"/>
    <w:rsid w:val="0057338D"/>
    <w:rsid w:val="005740F6"/>
    <w:rsid w:val="005743D2"/>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4B53"/>
    <w:rsid w:val="006969BA"/>
    <w:rsid w:val="006A018D"/>
    <w:rsid w:val="006A026A"/>
    <w:rsid w:val="006A0425"/>
    <w:rsid w:val="006A1D62"/>
    <w:rsid w:val="006A3759"/>
    <w:rsid w:val="006A6D7F"/>
    <w:rsid w:val="006A73F2"/>
    <w:rsid w:val="006B0298"/>
    <w:rsid w:val="006B0950"/>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1D4F"/>
    <w:rsid w:val="006D32A6"/>
    <w:rsid w:val="006D5217"/>
    <w:rsid w:val="006D522C"/>
    <w:rsid w:val="006D56AA"/>
    <w:rsid w:val="006D7795"/>
    <w:rsid w:val="006D7ACB"/>
    <w:rsid w:val="006E00EF"/>
    <w:rsid w:val="006E1340"/>
    <w:rsid w:val="006E16F4"/>
    <w:rsid w:val="006E1A7A"/>
    <w:rsid w:val="006E38AF"/>
    <w:rsid w:val="006E4846"/>
    <w:rsid w:val="006E7ED1"/>
    <w:rsid w:val="006F01E7"/>
    <w:rsid w:val="006F0550"/>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1E49"/>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64C"/>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0BCB"/>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0DD2"/>
    <w:rsid w:val="008839DA"/>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1F25"/>
    <w:rsid w:val="00963DC8"/>
    <w:rsid w:val="0096463B"/>
    <w:rsid w:val="00967869"/>
    <w:rsid w:val="00970475"/>
    <w:rsid w:val="00971F54"/>
    <w:rsid w:val="009725C5"/>
    <w:rsid w:val="00973F40"/>
    <w:rsid w:val="00973FDF"/>
    <w:rsid w:val="009806E2"/>
    <w:rsid w:val="00983AA1"/>
    <w:rsid w:val="009849EF"/>
    <w:rsid w:val="00984BE6"/>
    <w:rsid w:val="00986DB7"/>
    <w:rsid w:val="0099098B"/>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9F7790"/>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8B1"/>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167B"/>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0EF"/>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2C99"/>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2FE5"/>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5EE"/>
    <w:rsid w:val="00DB7E5F"/>
    <w:rsid w:val="00DC10B0"/>
    <w:rsid w:val="00DC1594"/>
    <w:rsid w:val="00DC3BE8"/>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576D"/>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30E8"/>
    <w:rsid w:val="00ED3B69"/>
    <w:rsid w:val="00ED46E8"/>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02"/>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 w:val="490D9032"/>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C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BC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40a53e0e16d0407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d601eb-1d7b-4a6b-9a2f-be7a660ea13f}"/>
      </w:docPartPr>
      <w:docPartBody>
        <w:p w14:paraId="6209607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907B-7456-4E4B-A800-5808BD2066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 INFOEM</dc:creator>
  <lastModifiedBy>Usuario invitado</lastModifiedBy>
  <revision>5</revision>
  <lastPrinted>2019-10-03T19:28:00.0000000Z</lastPrinted>
  <dcterms:created xsi:type="dcterms:W3CDTF">2022-04-05T18:55:00.0000000Z</dcterms:created>
  <dcterms:modified xsi:type="dcterms:W3CDTF">2022-05-13T00:20:05.3607588Z</dcterms:modified>
</coreProperties>
</file>