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55F94" w14:textId="77777777" w:rsidR="00FD4305" w:rsidRDefault="00FD4305" w:rsidP="00FD4305">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veinticuatro de marzo del dos mil veintidós.</w:t>
      </w:r>
    </w:p>
    <w:p w14:paraId="1640AF79"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00269/INFOEM/IP/RR/2022</w:t>
      </w:r>
      <w:r>
        <w:rPr>
          <w:rFonts w:ascii="Palatino Linotype" w:eastAsia="Palatino Linotype" w:hAnsi="Palatino Linotype" w:cs="Palatino Linotype"/>
        </w:rPr>
        <w:t xml:space="preserve">, interpuesto por una persona de manera anónima, en lo sucesivo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 xml:space="preserve">00301/CAMEM/IP/2021,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 xml:space="preserve">Comisión de Conciliación y Arbitraje Médico del Estado de México,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14:paraId="4A986E6D" w14:textId="77777777" w:rsidR="00FD4305" w:rsidRDefault="00FD4305" w:rsidP="00FD4305">
      <w:pPr>
        <w:numPr>
          <w:ilvl w:val="0"/>
          <w:numId w:val="2"/>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Pr>
          <w:rFonts w:ascii="Palatino Linotype" w:eastAsia="Palatino Linotype" w:hAnsi="Palatino Linotype" w:cs="Palatino Linotype"/>
          <w:b/>
        </w:rPr>
        <w:t>A N T E C E D E N T E S:</w:t>
      </w:r>
    </w:p>
    <w:p w14:paraId="54D131A6"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trece de diciembre del dos </w:t>
      </w:r>
      <w:proofErr w:type="gramStart"/>
      <w:r>
        <w:rPr>
          <w:rFonts w:ascii="Palatino Linotype" w:eastAsia="Palatino Linotype" w:hAnsi="Palatino Linotype" w:cs="Palatino Linotype"/>
        </w:rPr>
        <w:t>mil veintiuno</w:t>
      </w:r>
      <w:proofErr w:type="gramEnd"/>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786A9647" w14:textId="77777777" w:rsidR="00FD4305" w:rsidRDefault="00FD4305" w:rsidP="00FD4305">
      <w:pPr>
        <w:spacing w:before="240" w:after="240"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las renuncias firmadas, así como el formato único de movimientos de personal de todos los trabajadores que dejaron de laboral en la CCAMEM del 1o de enero del 2021 a la fecha en versión pública y en archivo con formato </w:t>
      </w:r>
      <w:proofErr w:type="spellStart"/>
      <w:r>
        <w:rPr>
          <w:rFonts w:ascii="Palatino Linotype" w:eastAsia="Palatino Linotype" w:hAnsi="Palatino Linotype" w:cs="Palatino Linotype"/>
          <w:i/>
          <w:sz w:val="22"/>
          <w:szCs w:val="22"/>
        </w:rPr>
        <w:t>pdf</w:t>
      </w:r>
      <w:proofErr w:type="spellEnd"/>
      <w:r>
        <w:rPr>
          <w:rFonts w:ascii="Palatino Linotype" w:eastAsia="Palatino Linotype" w:hAnsi="Palatino Linotype" w:cs="Palatino Linotype"/>
          <w:i/>
          <w:sz w:val="22"/>
          <w:szCs w:val="22"/>
        </w:rPr>
        <w:t>.” (Sic)</w:t>
      </w:r>
    </w:p>
    <w:p w14:paraId="2C140DFE"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186987D7"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del Sujeto Obligado. </w:t>
      </w:r>
      <w:r>
        <w:rPr>
          <w:rFonts w:ascii="Palatino Linotype" w:eastAsia="Palatino Linotype" w:hAnsi="Palatino Linotype" w:cs="Palatino Linotype"/>
        </w:rPr>
        <w:t xml:space="preserve">Con fecha diecisiete de enero del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14:paraId="238D1049" w14:textId="77777777" w:rsidR="00FD4305" w:rsidRDefault="00FD4305" w:rsidP="00FD4305">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En respuesta a la solicitud recibida nos permitimos hacer de su conocimiento que con fundamento en el artículo 53, fracciones: II, </w:t>
      </w:r>
      <w:proofErr w:type="gramStart"/>
      <w:r>
        <w:rPr>
          <w:rFonts w:ascii="Palatino Linotype" w:eastAsia="Palatino Linotype" w:hAnsi="Palatino Linotype" w:cs="Palatino Linotype"/>
          <w:i/>
          <w:sz w:val="22"/>
          <w:szCs w:val="22"/>
        </w:rPr>
        <w:t>V  y</w:t>
      </w:r>
      <w:proofErr w:type="gramEnd"/>
      <w:r>
        <w:rPr>
          <w:rFonts w:ascii="Palatino Linotype" w:eastAsia="Palatino Linotype" w:hAnsi="Palatino Linotype" w:cs="Palatino Linotype"/>
          <w:i/>
          <w:sz w:val="22"/>
          <w:szCs w:val="22"/>
        </w:rPr>
        <w:t xml:space="preserve"> VI de la Ley de Transparencia y Acceso a la Información Pública del Estado de México y Municipios, le contestamos que:</w:t>
      </w:r>
    </w:p>
    <w:p w14:paraId="75B67770" w14:textId="77777777" w:rsidR="00FD4305" w:rsidRDefault="00FD4305" w:rsidP="00FD4305">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respuesta a su solicitud de información número 00301/CAMEM/IP/2021, “solicito las renuncias firmadas, así como el formato único de movimientos de personal de todos los trabajadores que dejaron de laboral en la CCAMEM del 1o de enero del 2021 a la fecha en versión pública y en archivo con formato </w:t>
      </w:r>
      <w:proofErr w:type="spellStart"/>
      <w:r>
        <w:rPr>
          <w:rFonts w:ascii="Palatino Linotype" w:eastAsia="Palatino Linotype" w:hAnsi="Palatino Linotype" w:cs="Palatino Linotype"/>
          <w:i/>
          <w:sz w:val="22"/>
          <w:szCs w:val="22"/>
        </w:rPr>
        <w:t>pdf</w:t>
      </w:r>
      <w:proofErr w:type="spellEnd"/>
      <w:r>
        <w:rPr>
          <w:rFonts w:ascii="Palatino Linotype" w:eastAsia="Palatino Linotype" w:hAnsi="Palatino Linotype" w:cs="Palatino Linotype"/>
          <w:i/>
          <w:sz w:val="22"/>
          <w:szCs w:val="22"/>
        </w:rPr>
        <w:t xml:space="preserve">” al respecto me permito comunicar a usted que, </w:t>
      </w:r>
      <w:r>
        <w:rPr>
          <w:rFonts w:ascii="Palatino Linotype" w:eastAsia="Palatino Linotype" w:hAnsi="Palatino Linotype" w:cs="Palatino Linotype"/>
          <w:b/>
          <w:i/>
          <w:sz w:val="22"/>
          <w:szCs w:val="22"/>
          <w:u w:val="single"/>
        </w:rPr>
        <w:t>la información solicitada se encuentra disponible para su consulta en las instalaciones de la comisión de Conciliación y Arbitraje Médico del Estado de México,</w:t>
      </w:r>
      <w:r>
        <w:rPr>
          <w:rFonts w:ascii="Palatino Linotype" w:eastAsia="Palatino Linotype" w:hAnsi="Palatino Linotype" w:cs="Palatino Linotype"/>
          <w:i/>
          <w:sz w:val="22"/>
          <w:szCs w:val="22"/>
        </w:rPr>
        <w:t xml:space="preserve"> ubicados en calle de Juan de Aldama No 215, Col. Centro, Toluca Lerdo, Estado de México, </w:t>
      </w:r>
      <w:proofErr w:type="spellStart"/>
      <w:r>
        <w:rPr>
          <w:rFonts w:ascii="Palatino Linotype" w:eastAsia="Palatino Linotype" w:hAnsi="Palatino Linotype" w:cs="Palatino Linotype"/>
          <w:i/>
          <w:sz w:val="22"/>
          <w:szCs w:val="22"/>
        </w:rPr>
        <w:t>C.p</w:t>
      </w:r>
      <w:proofErr w:type="spellEnd"/>
      <w:r>
        <w:rPr>
          <w:rFonts w:ascii="Palatino Linotype" w:eastAsia="Palatino Linotype" w:hAnsi="Palatino Linotype" w:cs="Palatino Linotype"/>
          <w:i/>
          <w:sz w:val="22"/>
          <w:szCs w:val="22"/>
        </w:rPr>
        <w:t xml:space="preserve"> 50000, en la Unidad de Apoyo Administrativa debiéndose presentar con el titular de la Unidad de Apoyo Administrativo; lo anterior con fundamento en la Ley de Transparencia y Acceso a la Información Pública del Estado de México y Municipios que establece lo siguiente:</w:t>
      </w:r>
    </w:p>
    <w:p w14:paraId="7411095B" w14:textId="77777777" w:rsidR="00FD4305" w:rsidRDefault="00FD4305" w:rsidP="00FD4305">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p>
    <w:p w14:paraId="4CA0EA0F" w14:textId="77777777" w:rsidR="00FD4305" w:rsidRDefault="00FD4305" w:rsidP="00FD4305">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ATENTAMENTE </w:t>
      </w:r>
    </w:p>
    <w:p w14:paraId="544020FB" w14:textId="77777777" w:rsidR="00FD4305" w:rsidRDefault="00FD4305" w:rsidP="00FD4305">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LCA EDUARDO GONZAGA PALMA </w:t>
      </w:r>
    </w:p>
    <w:p w14:paraId="3B3E2DBA"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el recurso de revisión a través del SAIMEX en fecha veinticuatro de enero del dos mil veintidós, a través del cual expresó lo siguiente:</w:t>
      </w:r>
    </w:p>
    <w:p w14:paraId="5B6D0BAA" w14:textId="77777777" w:rsidR="00FD4305" w:rsidRDefault="00FD4305" w:rsidP="00FD4305">
      <w:pPr>
        <w:spacing w:before="240" w:after="240" w:line="360" w:lineRule="auto"/>
        <w:rPr>
          <w:rFonts w:ascii="Palatino Linotype" w:eastAsia="Palatino Linotype" w:hAnsi="Palatino Linotype" w:cs="Palatino Linotype"/>
          <w:b/>
        </w:rPr>
      </w:pPr>
      <w:r>
        <w:rPr>
          <w:rFonts w:ascii="Palatino Linotype" w:eastAsia="Palatino Linotype" w:hAnsi="Palatino Linotype" w:cs="Palatino Linotype"/>
          <w:b/>
        </w:rPr>
        <w:lastRenderedPageBreak/>
        <w:t>a) Acto impugnado.</w:t>
      </w:r>
    </w:p>
    <w:p w14:paraId="01656376" w14:textId="77777777" w:rsidR="00FD4305" w:rsidRDefault="00FD4305" w:rsidP="00FD4305">
      <w:pPr>
        <w:spacing w:before="240" w:after="24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 entrega la información requerida” </w:t>
      </w:r>
    </w:p>
    <w:p w14:paraId="29A54C28" w14:textId="77777777" w:rsidR="00FD4305" w:rsidRDefault="00FD4305" w:rsidP="00FD430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45676D67" w14:textId="77777777" w:rsidR="00FD4305" w:rsidRDefault="00FD4305" w:rsidP="00FD4305">
      <w:pPr>
        <w:spacing w:before="240" w:after="24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“El responsable de transparencia señala que se deberá acudir al Organismo por la información, pero la exijo vía SAIMEX porque es mi derecho.”</w:t>
      </w:r>
    </w:p>
    <w:p w14:paraId="2BDCE9B7" w14:textId="77777777" w:rsidR="00FD4305" w:rsidRDefault="00FD4305" w:rsidP="00FD430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w:t>
      </w:r>
      <w:r>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w:t>
      </w:r>
      <w:r>
        <w:rPr>
          <w:rFonts w:ascii="Palatino Linotype" w:eastAsia="Palatino Linotype" w:hAnsi="Palatino Linotype" w:cs="Palatino Linotype"/>
          <w:b/>
        </w:rPr>
        <w:t xml:space="preserve"> Comisionada</w:t>
      </w:r>
      <w:r>
        <w:rPr>
          <w:rFonts w:ascii="Palatino Linotype" w:eastAsia="Palatino Linotype" w:hAnsi="Palatino Linotype" w:cs="Palatino Linotype"/>
        </w:rPr>
        <w:t>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su análisis, estudio, elaboración del proyecto y presentación ante el Pleno de este Instituto. </w:t>
      </w:r>
    </w:p>
    <w:p w14:paraId="54FED2D1"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veintisiete de enero del dos mil veintidós,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EEA84C0" w14:textId="77777777" w:rsidR="00FD4305" w:rsidRDefault="00FD4305" w:rsidP="00FD4305">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De las constancias que integran el expediente en que se actúa se advierte que ambas partes fueron omisas en ofrecer pruebas y alegatos.</w:t>
      </w:r>
    </w:p>
    <w:p w14:paraId="15F39803" w14:textId="77777777" w:rsidR="00FD4305" w:rsidRDefault="00FD4305" w:rsidP="00FD4305">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79CCAC62" wp14:editId="3BFE33E6">
            <wp:extent cx="6009361" cy="2771158"/>
            <wp:effectExtent l="0" t="0" r="0" b="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009361" cy="2771158"/>
                    </a:xfrm>
                    <a:prstGeom prst="rect">
                      <a:avLst/>
                    </a:prstGeom>
                    <a:ln/>
                  </pic:spPr>
                </pic:pic>
              </a:graphicData>
            </a:graphic>
          </wp:inline>
        </w:drawing>
      </w:r>
    </w:p>
    <w:p w14:paraId="3D1B71E6"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En fecha nueve de febrero de dos mil veintidós, con fundamento en lo establecido en los artículos 185, fracción VI de la 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60ED50FB" w14:textId="77777777" w:rsidR="00FD4305" w:rsidRDefault="00FD4305" w:rsidP="00FD4305">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plazo para emitir resolución</w:t>
      </w:r>
      <w:r>
        <w:rPr>
          <w:rFonts w:ascii="Palatino Linotype" w:eastAsia="Palatino Linotype" w:hAnsi="Palatino Linotype" w:cs="Palatino Linotype"/>
        </w:rPr>
        <w:t>. En fecha catorce de marzo del dos mil veintidós,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0B489184" w14:textId="77777777" w:rsidR="00FD4305" w:rsidRDefault="00FD4305" w:rsidP="00FD4305">
      <w:pPr>
        <w:widowControl w:val="0"/>
        <w:pBdr>
          <w:top w:val="nil"/>
          <w:left w:val="nil"/>
          <w:bottom w:val="nil"/>
          <w:right w:val="nil"/>
          <w:between w:val="nil"/>
        </w:pBdr>
        <w:tabs>
          <w:tab w:val="left" w:pos="709"/>
        </w:tabs>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II</w:t>
      </w:r>
      <w:r>
        <w:rPr>
          <w:rFonts w:ascii="Palatino Linotype" w:eastAsia="Palatino Linotype" w:hAnsi="Palatino Linotype" w:cs="Palatino Linotype"/>
          <w:b/>
        </w:rPr>
        <w:tab/>
        <w:t>C O N S I D E R A N D O:</w:t>
      </w:r>
    </w:p>
    <w:p w14:paraId="7A0330BE" w14:textId="77777777" w:rsidR="00FD4305" w:rsidRDefault="00FD4305" w:rsidP="00FD4305">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6771E747"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el solicitante en fecha diecisiete de enero del año dos mil veintidós y el recurrente presentó su recurso de revisión el veinticuatro de enero del dos mil veintidós, esto es al quinto día hábil siguiente de aquel en que tuvo conocimiento de la respuesta; </w:t>
      </w:r>
      <w:r>
        <w:rPr>
          <w:rFonts w:ascii="Palatino Linotype" w:eastAsia="Palatino Linotype" w:hAnsi="Palatino Linotype" w:cs="Palatino Linotype"/>
        </w:rPr>
        <w:lastRenderedPageBreak/>
        <w:t>evidenciándose que la interposición del recurso se encuentra dentro de los márgenes temporales previstos en el citado precepto legal.</w:t>
      </w:r>
    </w:p>
    <w:p w14:paraId="17C26B2F"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8969C21" w14:textId="77777777" w:rsidR="00FD4305" w:rsidRDefault="00FD4305" w:rsidP="00FD4305">
      <w:pPr>
        <w:spacing w:before="240" w:after="240" w:line="276" w:lineRule="auto"/>
        <w:ind w:left="566" w:right="62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4F05E5A"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4607DA8" w14:textId="77777777" w:rsidR="00FD4305" w:rsidRDefault="00FD4305" w:rsidP="00FD4305">
      <w:p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Ahora bien, resulta procedente la interposición del recurso revisión, según lo aducido por el</w:t>
      </w:r>
      <w:r>
        <w:rPr>
          <w:rFonts w:ascii="Palatino Linotype" w:eastAsia="Palatino Linotype" w:hAnsi="Palatino Linotype" w:cs="Palatino Linotype"/>
          <w:b/>
        </w:rPr>
        <w:t xml:space="preserve"> Recurrente </w:t>
      </w:r>
      <w:r>
        <w:rPr>
          <w:rFonts w:ascii="Palatino Linotype" w:eastAsia="Palatino Linotype" w:hAnsi="Palatino Linotype" w:cs="Palatino Linotype"/>
        </w:rPr>
        <w:t xml:space="preserve">en su acto impugnado como en sus motivos de inconformidad, de </w:t>
      </w:r>
      <w:r>
        <w:rPr>
          <w:rFonts w:ascii="Palatino Linotype" w:eastAsia="Palatino Linotype" w:hAnsi="Palatino Linotype" w:cs="Palatino Linotype"/>
        </w:rPr>
        <w:lastRenderedPageBreak/>
        <w:t>acuerdo al artículo 179 fracción VIII de la Ley de Transparencia y Acceso a la Información Pública del Estado de México y Municipios; que a la letra dice:</w:t>
      </w:r>
    </w:p>
    <w:p w14:paraId="34C18381" w14:textId="77777777" w:rsidR="00FD4305" w:rsidRDefault="00FD4305" w:rsidP="00FD4305">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recurso de revisión</w:t>
      </w:r>
      <w:r>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Pr>
          <w:rFonts w:ascii="Palatino Linotype" w:eastAsia="Palatino Linotype" w:hAnsi="Palatino Linotype" w:cs="Palatino Linotype"/>
          <w:b/>
          <w:i/>
          <w:sz w:val="22"/>
          <w:szCs w:val="22"/>
        </w:rPr>
        <w:t>, y procederá en contra de las siguientes causas</w:t>
      </w:r>
      <w:r>
        <w:rPr>
          <w:rFonts w:ascii="Palatino Linotype" w:eastAsia="Palatino Linotype" w:hAnsi="Palatino Linotype" w:cs="Palatino Linotype"/>
          <w:i/>
          <w:sz w:val="22"/>
          <w:szCs w:val="22"/>
        </w:rPr>
        <w:t>:</w:t>
      </w:r>
    </w:p>
    <w:p w14:paraId="7EDEADDF" w14:textId="77777777" w:rsidR="00FD4305" w:rsidRDefault="00FD4305" w:rsidP="00FD4305">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rPr>
        <w:t>…</w:t>
      </w:r>
    </w:p>
    <w:p w14:paraId="3FC14530" w14:textId="77777777" w:rsidR="00FD4305" w:rsidRDefault="00FD4305" w:rsidP="00FD4305">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748821F8" w14:textId="77777777" w:rsidR="00FD4305" w:rsidRDefault="00FD4305" w:rsidP="00FD43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Materia de Revisión</w:t>
      </w:r>
      <w:r>
        <w:rPr>
          <w:rFonts w:ascii="Palatino Linotype" w:eastAsia="Palatino Linotype" w:hAnsi="Palatino Linotype" w:cs="Palatino Linotype"/>
        </w:rPr>
        <w:t xml:space="preserve">: 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258C17A3"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A739B77" w14:textId="77777777" w:rsidR="00FD4305" w:rsidRDefault="00FD4305" w:rsidP="00FD4305">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01FD024" w14:textId="77777777" w:rsidR="00FD4305" w:rsidRDefault="00FD4305" w:rsidP="00FD4305">
      <w:pPr>
        <w:tabs>
          <w:tab w:val="left" w:pos="709"/>
        </w:tabs>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F80B97D" w14:textId="77777777" w:rsidR="00FD4305" w:rsidRDefault="00FD4305" w:rsidP="00FD4305">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858C407" w14:textId="77777777" w:rsidR="00FD4305" w:rsidRDefault="00FD4305" w:rsidP="00FD4305">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06535A9" w14:textId="77777777" w:rsidR="00FD4305" w:rsidRDefault="00FD4305" w:rsidP="00FD4305">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45C84446" w14:textId="77777777" w:rsidR="00FD4305" w:rsidRDefault="00FD4305" w:rsidP="00FD4305">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EF00DE5" w14:textId="77777777" w:rsidR="00FD4305" w:rsidRDefault="00FD4305" w:rsidP="00FD43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4A51D199" w14:textId="77777777" w:rsidR="00FD4305" w:rsidRDefault="00FD4305" w:rsidP="00FD43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FE2B865" w14:textId="77777777" w:rsidR="00FD4305" w:rsidRDefault="00FD4305" w:rsidP="00FD43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7C8BE0D" w14:textId="77777777" w:rsidR="00FD4305" w:rsidRDefault="00FD4305" w:rsidP="00FD43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B2FDDE0" w14:textId="77777777" w:rsidR="00FD4305" w:rsidRDefault="00FD4305" w:rsidP="00FD4305">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65FBC9C" w14:textId="77777777" w:rsidR="00FD4305" w:rsidRDefault="00FD4305" w:rsidP="00FD43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1D3653E" w14:textId="77777777" w:rsidR="00FD4305" w:rsidRDefault="00FD4305" w:rsidP="00FD43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65DFDAAE" w14:textId="77777777" w:rsidR="00FD4305" w:rsidRDefault="00FD4305" w:rsidP="00FD43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7D53946" w14:textId="77777777" w:rsidR="00FD4305" w:rsidRDefault="00FD4305" w:rsidP="00FD43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A031A22" w14:textId="77777777" w:rsidR="00FD4305" w:rsidRDefault="00FD4305" w:rsidP="00FD4305">
      <w:pPr>
        <w:ind w:left="851" w:right="851"/>
        <w:jc w:val="both"/>
        <w:rPr>
          <w:rFonts w:ascii="Palatino Linotype" w:eastAsia="Palatino Linotype" w:hAnsi="Palatino Linotype" w:cs="Palatino Linotype"/>
          <w:i/>
          <w:sz w:val="22"/>
          <w:szCs w:val="22"/>
        </w:rPr>
      </w:pPr>
    </w:p>
    <w:p w14:paraId="540E4CD0" w14:textId="77777777" w:rsidR="00FD4305" w:rsidRDefault="00FD4305" w:rsidP="00FD43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3A5A5D3" w14:textId="77777777" w:rsidR="00FD4305" w:rsidRDefault="00FD4305" w:rsidP="00FD43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4D75676" w14:textId="77777777" w:rsidR="00FD4305" w:rsidRDefault="00FD4305" w:rsidP="00FD43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41CB94C" w14:textId="77777777" w:rsidR="00FD4305" w:rsidRDefault="00FD4305" w:rsidP="00FD43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CFD5694" w14:textId="77777777" w:rsidR="00FD4305" w:rsidRDefault="00FD4305" w:rsidP="00FD43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DEF2790" w14:textId="77777777" w:rsidR="00FD4305" w:rsidRDefault="00FD4305" w:rsidP="00FD4305">
      <w:pPr>
        <w:ind w:right="851"/>
        <w:jc w:val="both"/>
        <w:rPr>
          <w:rFonts w:ascii="Palatino Linotype" w:eastAsia="Palatino Linotype" w:hAnsi="Palatino Linotype" w:cs="Palatino Linotype"/>
          <w:i/>
          <w:sz w:val="22"/>
          <w:szCs w:val="22"/>
        </w:rPr>
      </w:pPr>
    </w:p>
    <w:p w14:paraId="2ACD70D7" w14:textId="77777777" w:rsidR="00FD4305" w:rsidRDefault="00FD4305" w:rsidP="00FD4305">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266EC46B" w14:textId="77777777" w:rsidR="00FD4305" w:rsidRDefault="00FD4305" w:rsidP="00FD4305">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w:t>
      </w:r>
      <w:r>
        <w:rPr>
          <w:rFonts w:ascii="Palatino Linotype" w:eastAsia="Palatino Linotype" w:hAnsi="Palatino Linotype" w:cs="Palatino Linotype"/>
        </w:rPr>
        <w:lastRenderedPageBreak/>
        <w:t>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02720E52" w14:textId="77777777" w:rsidR="00FD4305" w:rsidRDefault="00FD4305" w:rsidP="00FD4305">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C9C2445" w14:textId="77777777" w:rsidR="00FD4305" w:rsidRDefault="00FD4305" w:rsidP="00FD4305">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D286C05" w14:textId="77777777" w:rsidR="00FD4305" w:rsidRDefault="00FD4305" w:rsidP="00FD4305">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52C4DD72" w14:textId="77777777" w:rsidR="00FD4305" w:rsidRDefault="00FD4305" w:rsidP="00FD4305">
      <w:pPr>
        <w:ind w:left="709" w:right="760"/>
        <w:jc w:val="both"/>
        <w:rPr>
          <w:rFonts w:ascii="Palatino Linotype" w:eastAsia="Palatino Linotype" w:hAnsi="Palatino Linotype" w:cs="Palatino Linotype"/>
          <w:i/>
        </w:rPr>
      </w:pPr>
    </w:p>
    <w:p w14:paraId="65705240"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w:t>
      </w:r>
      <w:r>
        <w:rPr>
          <w:rFonts w:ascii="Palatino Linotype" w:eastAsia="Palatino Linotype" w:hAnsi="Palatino Linotype" w:cs="Palatino Linotype"/>
        </w:rPr>
        <w:lastRenderedPageBreak/>
        <w:t>y Acceso a la Información Pública del Estado de México y Municipios, el cual a la letra dice:</w:t>
      </w:r>
    </w:p>
    <w:p w14:paraId="21105A69" w14:textId="77777777" w:rsidR="00FD4305" w:rsidRDefault="00FD4305" w:rsidP="00FD4305">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B693CF9" w14:textId="77777777" w:rsidR="00FD4305" w:rsidRDefault="00FD4305" w:rsidP="00FD4305">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5F54D33A" w14:textId="77777777" w:rsidR="00FD4305" w:rsidRDefault="00FD4305" w:rsidP="00FD4305">
      <w:pPr>
        <w:spacing w:line="360" w:lineRule="auto"/>
        <w:ind w:right="-93"/>
        <w:jc w:val="both"/>
        <w:rPr>
          <w:rFonts w:ascii="Palatino Linotype" w:eastAsia="Palatino Linotype" w:hAnsi="Palatino Linotype" w:cs="Palatino Linotype"/>
        </w:rPr>
      </w:pPr>
    </w:p>
    <w:p w14:paraId="54384FCE"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0F5A75B8" w14:textId="77777777" w:rsidR="00FD4305" w:rsidRDefault="00FD4305" w:rsidP="00FD4305">
      <w:pPr>
        <w:spacing w:line="360" w:lineRule="auto"/>
        <w:ind w:right="49"/>
        <w:jc w:val="both"/>
        <w:rPr>
          <w:rFonts w:ascii="Palatino Linotype" w:eastAsia="Palatino Linotype" w:hAnsi="Palatino Linotype" w:cs="Palatino Linotype"/>
        </w:rPr>
      </w:pPr>
    </w:p>
    <w:p w14:paraId="1C62CC31" w14:textId="77777777" w:rsidR="00FD4305" w:rsidRDefault="00FD4305" w:rsidP="00FD430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5403E0F"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otra parte, conviene mencionar que la Ley de Transparencia vigente en el Estado de México refiere: </w:t>
      </w:r>
    </w:p>
    <w:p w14:paraId="5C997926" w14:textId="77777777" w:rsidR="00FD4305" w:rsidRDefault="00FD4305" w:rsidP="00FD43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14:paraId="06C98D63" w14:textId="77777777" w:rsidR="00FD4305" w:rsidRDefault="00FD4305" w:rsidP="00FD4305">
      <w:pPr>
        <w:ind w:left="851" w:right="851"/>
        <w:jc w:val="both"/>
        <w:rPr>
          <w:rFonts w:ascii="Palatino Linotype" w:eastAsia="Palatino Linotype" w:hAnsi="Palatino Linotype" w:cs="Palatino Linotype"/>
          <w:b/>
          <w:i/>
          <w:sz w:val="22"/>
          <w:szCs w:val="22"/>
        </w:rPr>
      </w:pPr>
    </w:p>
    <w:p w14:paraId="7D41B5A0" w14:textId="77777777" w:rsidR="00FD4305" w:rsidRDefault="00FD4305" w:rsidP="00FD43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14:paraId="5CE1B0D6" w14:textId="77777777" w:rsidR="00FD4305" w:rsidRDefault="00FD4305" w:rsidP="00FD4305">
      <w:pPr>
        <w:ind w:left="851" w:right="851"/>
        <w:jc w:val="both"/>
        <w:rPr>
          <w:rFonts w:ascii="Palatino Linotype" w:eastAsia="Palatino Linotype" w:hAnsi="Palatino Linotype" w:cs="Palatino Linotype"/>
          <w:i/>
          <w:sz w:val="22"/>
          <w:szCs w:val="22"/>
        </w:rPr>
      </w:pPr>
    </w:p>
    <w:p w14:paraId="5949E95E" w14:textId="77777777" w:rsidR="00FD4305" w:rsidRDefault="00FD4305" w:rsidP="00FD43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038A9D02" w14:textId="77777777" w:rsidR="00FD4305" w:rsidRDefault="00FD4305" w:rsidP="00FD4305">
      <w:pPr>
        <w:ind w:left="851" w:right="851"/>
        <w:jc w:val="both"/>
        <w:rPr>
          <w:rFonts w:ascii="Palatino Linotype" w:eastAsia="Palatino Linotype" w:hAnsi="Palatino Linotype" w:cs="Palatino Linotype"/>
          <w:i/>
          <w:sz w:val="22"/>
          <w:szCs w:val="22"/>
        </w:rPr>
      </w:pPr>
    </w:p>
    <w:p w14:paraId="77B611BE" w14:textId="77777777" w:rsidR="00FD4305" w:rsidRDefault="00FD4305" w:rsidP="00FD43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ED392D2" w14:textId="77777777" w:rsidR="00FD4305" w:rsidRDefault="00FD4305" w:rsidP="00FD4305">
      <w:pPr>
        <w:ind w:left="851" w:right="851"/>
        <w:jc w:val="both"/>
        <w:rPr>
          <w:rFonts w:ascii="Palatino Linotype" w:eastAsia="Palatino Linotype" w:hAnsi="Palatino Linotype" w:cs="Palatino Linotype"/>
          <w:i/>
          <w:sz w:val="22"/>
          <w:szCs w:val="22"/>
        </w:rPr>
      </w:pPr>
    </w:p>
    <w:p w14:paraId="35B4523D" w14:textId="77777777" w:rsidR="00FD4305" w:rsidRDefault="00FD4305" w:rsidP="00FD43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61C3C0BB" w14:textId="77777777" w:rsidR="00FD4305" w:rsidRDefault="00FD4305" w:rsidP="00FD4305">
      <w:pPr>
        <w:spacing w:line="360" w:lineRule="auto"/>
        <w:jc w:val="both"/>
        <w:rPr>
          <w:rFonts w:ascii="Palatino Linotype" w:eastAsia="Palatino Linotype" w:hAnsi="Palatino Linotype" w:cs="Palatino Linotype"/>
        </w:rPr>
      </w:pPr>
    </w:p>
    <w:p w14:paraId="2DC5A638"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1286757C"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B55BFEE" w14:textId="77777777" w:rsidR="00FD4305" w:rsidRDefault="00FD4305" w:rsidP="00FD4305">
      <w:pPr>
        <w:ind w:left="851" w:right="899"/>
        <w:jc w:val="both"/>
        <w:rPr>
          <w:rFonts w:ascii="Palatino Linotype" w:eastAsia="Palatino Linotype" w:hAnsi="Palatino Linotype" w:cs="Palatino Linotype"/>
          <w:i/>
          <w:sz w:val="22"/>
          <w:szCs w:val="22"/>
        </w:rPr>
      </w:pPr>
    </w:p>
    <w:p w14:paraId="33B0FBE8" w14:textId="77777777" w:rsidR="00FD4305" w:rsidRDefault="00FD4305" w:rsidP="00FD430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27BCC315" w14:textId="77777777" w:rsidR="00FD4305" w:rsidRDefault="00FD4305" w:rsidP="00FD430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F94C144" w14:textId="77777777" w:rsidR="00FD4305" w:rsidRDefault="00FD4305" w:rsidP="00FD430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8C70FDD" w14:textId="77777777" w:rsidR="00FD4305" w:rsidRDefault="00FD4305" w:rsidP="00FD4305">
      <w:pPr>
        <w:ind w:left="851" w:right="899"/>
        <w:jc w:val="both"/>
        <w:rPr>
          <w:rFonts w:ascii="Palatino Linotype" w:eastAsia="Palatino Linotype" w:hAnsi="Palatino Linotype" w:cs="Palatino Linotype"/>
          <w:sz w:val="22"/>
          <w:szCs w:val="22"/>
        </w:rPr>
      </w:pPr>
    </w:p>
    <w:p w14:paraId="67B87A08"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B2E8290" w14:textId="77777777" w:rsidR="00FD4305" w:rsidRDefault="00FD4305" w:rsidP="00FD4305">
      <w:pPr>
        <w:ind w:left="851" w:right="899"/>
        <w:jc w:val="both"/>
        <w:rPr>
          <w:rFonts w:ascii="Palatino Linotype" w:eastAsia="Palatino Linotype" w:hAnsi="Palatino Linotype" w:cs="Palatino Linotype"/>
        </w:rPr>
      </w:pPr>
    </w:p>
    <w:p w14:paraId="3253993E" w14:textId="77777777" w:rsidR="00FD4305" w:rsidRDefault="00FD4305" w:rsidP="00FD4305">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4C2AAB93" w14:textId="77777777" w:rsidR="00FD4305" w:rsidRDefault="00FD4305" w:rsidP="00FD430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INFORMACIÓN PÚBLICA, CONCEPTO DE, EN MATERIA DE TRANSPARENCIA. INTERPRETACIÓN SISTEMÁTICA DE LOS </w:t>
      </w:r>
      <w:r>
        <w:rPr>
          <w:rFonts w:ascii="Palatino Linotype" w:eastAsia="Palatino Linotype" w:hAnsi="Palatino Linotype" w:cs="Palatino Linotype"/>
          <w:b/>
          <w:i/>
          <w:sz w:val="22"/>
          <w:szCs w:val="22"/>
        </w:rPr>
        <w:lastRenderedPageBreak/>
        <w:t>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050E41" w14:textId="77777777" w:rsidR="00FD4305" w:rsidRDefault="00FD4305" w:rsidP="00FD430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900A404" w14:textId="77777777" w:rsidR="00FD4305" w:rsidRDefault="00FD4305" w:rsidP="00FD430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generada por los Sujetos Obligados;</w:t>
      </w:r>
    </w:p>
    <w:p w14:paraId="78A0DD1B" w14:textId="77777777" w:rsidR="00FD4305" w:rsidRDefault="00FD4305" w:rsidP="00FD430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administrada por los Sujetos Obligados, y</w:t>
      </w:r>
    </w:p>
    <w:p w14:paraId="4E4F42BA" w14:textId="77777777" w:rsidR="00FD4305" w:rsidRDefault="00FD4305" w:rsidP="00FD430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 encuentre en posesión de los Sujetos Obligados.” </w:t>
      </w:r>
    </w:p>
    <w:p w14:paraId="51BFC564" w14:textId="77777777" w:rsidR="00FD4305" w:rsidRDefault="00FD4305" w:rsidP="00FD43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como pudiera tratarse de </w:t>
      </w:r>
      <w:r>
        <w:rPr>
          <w:rFonts w:ascii="Palatino Linotype" w:eastAsia="Palatino Linotype" w:hAnsi="Palatino Linotype" w:cs="Palatino Linotype"/>
        </w:rPr>
        <w:lastRenderedPageBreak/>
        <w:t>aquella relacionada con las obligaciones de trasparencia señaladas en los artículos 92 y 100 de la Ley de la Materia.</w:t>
      </w:r>
    </w:p>
    <w:p w14:paraId="450475C7" w14:textId="77777777" w:rsidR="00FD4305" w:rsidRDefault="00FD4305" w:rsidP="00FD430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Expuesto lo anterior procedemos al análisis de los agravios hechos valer por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concernientes al </w:t>
      </w:r>
      <w:r>
        <w:rPr>
          <w:rFonts w:ascii="Palatino Linotype" w:eastAsia="Palatino Linotype" w:hAnsi="Palatino Linotype" w:cs="Palatino Linotype"/>
          <w:b/>
        </w:rPr>
        <w:t>cambio de modalidad</w:t>
      </w:r>
      <w:r>
        <w:rPr>
          <w:rFonts w:ascii="Palatino Linotype" w:eastAsia="Palatino Linotype" w:hAnsi="Palatino Linotype" w:cs="Palatino Linotype"/>
        </w:rPr>
        <w:t xml:space="preserve"> de entrega de la información, al tenor de lo siguiente:</w:t>
      </w:r>
    </w:p>
    <w:p w14:paraId="57273513" w14:textId="77777777" w:rsidR="00FD4305" w:rsidRDefault="00FD4305" w:rsidP="00FD430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principio es de recordar que el solicitante al momento de presentar la solicitud de información que dio origen al recurso de revisión que nos ocupa, eligió como modalidad de entrega </w:t>
      </w:r>
      <w:r>
        <w:rPr>
          <w:rFonts w:ascii="Palatino Linotype" w:eastAsia="Palatino Linotype" w:hAnsi="Palatino Linotype" w:cs="Palatino Linotype"/>
          <w:b/>
        </w:rPr>
        <w:t xml:space="preserve">vía SAIMEX, </w:t>
      </w:r>
      <w:r>
        <w:rPr>
          <w:rFonts w:ascii="Palatino Linotype" w:eastAsia="Palatino Linotype" w:hAnsi="Palatino Linotype" w:cs="Palatino Linotype"/>
        </w:rPr>
        <w:t xml:space="preserve">tal y como se aprecia en la siguiente imagen: </w:t>
      </w:r>
    </w:p>
    <w:p w14:paraId="162BF551" w14:textId="77777777" w:rsidR="00FD4305" w:rsidRDefault="00FD4305" w:rsidP="00FD430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2219C19E" wp14:editId="512593AD">
            <wp:extent cx="5382184" cy="2581543"/>
            <wp:effectExtent l="0" t="0" r="0" b="0"/>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382184" cy="2581543"/>
                    </a:xfrm>
                    <a:prstGeom prst="rect">
                      <a:avLst/>
                    </a:prstGeom>
                    <a:ln/>
                  </pic:spPr>
                </pic:pic>
              </a:graphicData>
            </a:graphic>
          </wp:inline>
        </w:drawing>
      </w:r>
    </w:p>
    <w:p w14:paraId="2F6EEEFB"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mencionado lo anterior, es de señalar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negó la existencia de la información solicitada, por el contrario, aceptó expresamente contar con ella, al pretender el cambio de modalidad de entrega de la información a consulta directa ya que en respuesta precisó que los archivos se encuentran disponibles en sus instalaciones, por lo que invitó al particular a presentarse para su </w:t>
      </w:r>
      <w:r>
        <w:rPr>
          <w:rFonts w:ascii="Palatino Linotype" w:eastAsia="Palatino Linotype" w:hAnsi="Palatino Linotype" w:cs="Palatino Linotype"/>
        </w:rPr>
        <w:lastRenderedPageBreak/>
        <w:t xml:space="preserve">consulta, por ello, resulta imprescindible analizar si el cambio de modalidad propuesto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encuentra debidamente fundado y motivado. </w:t>
      </w:r>
    </w:p>
    <w:p w14:paraId="4DD2E2C2" w14:textId="77777777" w:rsidR="00FD4305" w:rsidRDefault="00FD4305" w:rsidP="00FD4305">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el artículo 155, fracción V, de la Ley de Transparencia y Acceso a la Información Pública del Estado de México y Municipios, precisa que para presentar una solicitud, la particular podrá señalar </w:t>
      </w:r>
      <w:r>
        <w:rPr>
          <w:rFonts w:ascii="Palatino Linotype" w:eastAsia="Palatino Linotype" w:hAnsi="Palatino Linotype" w:cs="Palatino Linotype"/>
          <w:b/>
        </w:rPr>
        <w:t>la modalidad en la que prefiere se otorgue el acceso a la información</w:t>
      </w:r>
      <w:r>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w:t>
      </w:r>
    </w:p>
    <w:p w14:paraId="2E520292" w14:textId="77777777" w:rsidR="00FD4305" w:rsidRDefault="00FD4305" w:rsidP="00FD4305">
      <w:pPr>
        <w:spacing w:line="360" w:lineRule="auto"/>
        <w:jc w:val="both"/>
        <w:rPr>
          <w:rFonts w:ascii="Palatino Linotype" w:eastAsia="Palatino Linotype" w:hAnsi="Palatino Linotype" w:cs="Palatino Linotype"/>
        </w:rPr>
      </w:pPr>
    </w:p>
    <w:p w14:paraId="1B396991" w14:textId="77777777" w:rsidR="00FD4305" w:rsidRDefault="00FD4305" w:rsidP="00FD430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El artículo 158, dispone que, de manera excepcional, cuando de manera fundada y motivada lo determine el Sujeto Obligado, </w:t>
      </w:r>
      <w:r>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493A0F1" w14:textId="77777777" w:rsidR="00FD4305" w:rsidRDefault="00FD4305" w:rsidP="00FD4305">
      <w:pPr>
        <w:spacing w:line="360" w:lineRule="auto"/>
        <w:jc w:val="both"/>
        <w:rPr>
          <w:rFonts w:ascii="Palatino Linotype" w:eastAsia="Palatino Linotype" w:hAnsi="Palatino Linotype" w:cs="Palatino Linotype"/>
          <w:b/>
        </w:rPr>
      </w:pPr>
    </w:p>
    <w:p w14:paraId="2E91F90C"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el artículo 164 de dicho ordenamiento jurídico, prevé que el acceso se dará en la modalidad de entrega y, en su caso, de envío elegidos por al solicitante. </w:t>
      </w:r>
      <w:r>
        <w:rPr>
          <w:rFonts w:ascii="Palatino Linotype" w:eastAsia="Palatino Linotype" w:hAnsi="Palatino Linotype" w:cs="Palatino Linotype"/>
          <w:b/>
        </w:rPr>
        <w:t>Cuando la información no pueda entregarse o enviarse en la modalidad elegida, el sujeto obligado deberá ofrecer otra u otras modalidades de entrega.</w:t>
      </w:r>
      <w:r>
        <w:rPr>
          <w:rFonts w:ascii="Palatino Linotype" w:eastAsia="Palatino Linotype" w:hAnsi="Palatino Linotype" w:cs="Palatino Linotype"/>
        </w:rPr>
        <w:t xml:space="preserve"> En cualquier caso, </w:t>
      </w:r>
      <w:r>
        <w:rPr>
          <w:rFonts w:ascii="Palatino Linotype" w:eastAsia="Palatino Linotype" w:hAnsi="Palatino Linotype" w:cs="Palatino Linotype"/>
          <w:b/>
        </w:rPr>
        <w:t>se deberá fundar y motivar</w:t>
      </w:r>
      <w:r>
        <w:rPr>
          <w:rFonts w:ascii="Palatino Linotype" w:eastAsia="Palatino Linotype" w:hAnsi="Palatino Linotype" w:cs="Palatino Linotype"/>
        </w:rPr>
        <w:t xml:space="preserve"> la necesidad de ofrecer otras modalidades.</w:t>
      </w:r>
    </w:p>
    <w:p w14:paraId="310BFD61"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Pr>
          <w:rFonts w:ascii="Palatino Linotype" w:eastAsia="Palatino Linotype" w:hAnsi="Palatino Linotype" w:cs="Palatino Linotype"/>
          <w:b/>
        </w:rPr>
        <w:t>en la medida de lo posible, en la forma solicitada por el interesado, salvo que exista un impedimento justificado para atenderla</w:t>
      </w:r>
      <w:r>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el particular </w:t>
      </w:r>
      <w:r>
        <w:rPr>
          <w:rFonts w:ascii="Palatino Linotype" w:eastAsia="Palatino Linotype" w:hAnsi="Palatino Linotype" w:cs="Palatino Linotype"/>
          <w:b/>
        </w:rPr>
        <w:t>sólo procede, en caso de que se acredite la imposibilidad de atenderla.</w:t>
      </w:r>
      <w:r>
        <w:rPr>
          <w:rFonts w:ascii="Palatino Linotype" w:eastAsia="Palatino Linotype" w:hAnsi="Palatino Linotype" w:cs="Palatino Linotype"/>
        </w:rPr>
        <w:t xml:space="preserve"> </w:t>
      </w:r>
    </w:p>
    <w:p w14:paraId="340438AC" w14:textId="77777777" w:rsidR="00FD4305" w:rsidRDefault="00FD4305" w:rsidP="00FD4305">
      <w:pPr>
        <w:spacing w:line="360" w:lineRule="auto"/>
        <w:jc w:val="both"/>
        <w:rPr>
          <w:rFonts w:ascii="Palatino Linotype" w:eastAsia="Palatino Linotype" w:hAnsi="Palatino Linotype" w:cs="Palatino Linotype"/>
        </w:rPr>
      </w:pPr>
    </w:p>
    <w:p w14:paraId="20FEEE6F"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cuando se justifique el impedimento, </w:t>
      </w:r>
      <w:r>
        <w:rPr>
          <w:rFonts w:ascii="Palatino Linotype" w:eastAsia="Palatino Linotype" w:hAnsi="Palatino Linotype" w:cs="Palatino Linotype"/>
          <w:b/>
        </w:rPr>
        <w:t>los Sujetos Obligados deberán ofrecer al particular otras modalidades de entrega que permita la información</w:t>
      </w:r>
      <w:r>
        <w:rPr>
          <w:rFonts w:ascii="Palatino Linotype" w:eastAsia="Palatino Linotype" w:hAnsi="Palatino Linotype" w:cs="Palatino Linotype"/>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6F0DEAE5" w14:textId="77777777" w:rsidR="00FD4305" w:rsidRDefault="00FD4305" w:rsidP="00FD4305">
      <w:pPr>
        <w:spacing w:line="360" w:lineRule="auto"/>
        <w:jc w:val="both"/>
        <w:rPr>
          <w:rFonts w:ascii="Palatino Linotype" w:eastAsia="Palatino Linotype" w:hAnsi="Palatino Linotype" w:cs="Palatino Linotype"/>
        </w:rPr>
      </w:pPr>
    </w:p>
    <w:p w14:paraId="03F9337A" w14:textId="77777777" w:rsidR="00FD4305" w:rsidRDefault="00FD4305" w:rsidP="00FD4305">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0"/>
          <w:szCs w:val="20"/>
        </w:rPr>
        <w:t>“</w:t>
      </w:r>
      <w:r>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A389289" w14:textId="77777777" w:rsidR="00FD4305" w:rsidRDefault="00FD4305" w:rsidP="00FD430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Pr>
          <w:rFonts w:ascii="Palatino Linotype" w:eastAsia="Palatino Linotype" w:hAnsi="Palatino Linotype" w:cs="Palatino Linotype"/>
          <w:b/>
        </w:rPr>
        <w:t>información en todas las modalidades que lo permitan, procurando reducir los costos de entrega.</w:t>
      </w:r>
    </w:p>
    <w:p w14:paraId="375A42A0" w14:textId="77777777" w:rsidR="00FD4305" w:rsidRDefault="00FD4305" w:rsidP="00FD4305">
      <w:pPr>
        <w:spacing w:line="360" w:lineRule="auto"/>
        <w:jc w:val="both"/>
        <w:rPr>
          <w:rFonts w:ascii="Palatino Linotype" w:eastAsia="Palatino Linotype" w:hAnsi="Palatino Linotype" w:cs="Palatino Linotype"/>
          <w:b/>
        </w:rPr>
      </w:pPr>
    </w:p>
    <w:p w14:paraId="1CBAB816"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 de mencionar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manifestó alguna imposibilidad técnica, humana o administrativa, solo mencionó que la información se encuentra disponible para su consulta en las instalaciones del </w:t>
      </w:r>
      <w:r>
        <w:rPr>
          <w:rFonts w:ascii="Palatino Linotype" w:eastAsia="Palatino Linotype" w:hAnsi="Palatino Linotype" w:cs="Palatino Linotype"/>
          <w:b/>
        </w:rPr>
        <w:t>Sujeto Obligado</w:t>
      </w:r>
      <w:r>
        <w:rPr>
          <w:rFonts w:ascii="Palatino Linotype" w:eastAsia="Palatino Linotype" w:hAnsi="Palatino Linotype" w:cs="Palatino Linotype"/>
        </w:rPr>
        <w:t>, de igual manera no proporcionó el Acta en donde su Comité de Transparencia, validara el cambio de modalidad solicitado.</w:t>
      </w:r>
    </w:p>
    <w:p w14:paraId="4234F42A" w14:textId="77777777" w:rsidR="00FD4305" w:rsidRDefault="00FD4305" w:rsidP="00FD4305">
      <w:pPr>
        <w:spacing w:line="360" w:lineRule="auto"/>
        <w:jc w:val="both"/>
        <w:rPr>
          <w:rFonts w:ascii="Palatino Linotype" w:eastAsia="Palatino Linotype" w:hAnsi="Palatino Linotype" w:cs="Palatino Linotype"/>
          <w:b/>
        </w:rPr>
      </w:pPr>
    </w:p>
    <w:p w14:paraId="0487D6BD" w14:textId="77777777" w:rsidR="00FD4305" w:rsidRDefault="00FD4305" w:rsidP="00FD4305">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6A45BE37" w14:textId="77777777" w:rsidR="00FD4305" w:rsidRDefault="00FD4305" w:rsidP="00FD4305">
      <w:pPr>
        <w:spacing w:line="360" w:lineRule="auto"/>
        <w:jc w:val="both"/>
        <w:rPr>
          <w:rFonts w:ascii="Palatino Linotype" w:eastAsia="Palatino Linotype" w:hAnsi="Palatino Linotype" w:cs="Palatino Linotype"/>
        </w:rPr>
      </w:pPr>
    </w:p>
    <w:p w14:paraId="109F2E9B" w14:textId="77777777" w:rsidR="00FD4305" w:rsidRDefault="00FD4305" w:rsidP="00FD4305">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Las razones por las cuales la información implicaba un análisis, estudio o procesamiento de datos;</w:t>
      </w:r>
    </w:p>
    <w:p w14:paraId="45CBB5FE" w14:textId="77777777" w:rsidR="00FD4305" w:rsidRDefault="00FD4305" w:rsidP="00FD4305">
      <w:pPr>
        <w:spacing w:line="360" w:lineRule="auto"/>
        <w:ind w:left="720"/>
        <w:jc w:val="both"/>
        <w:rPr>
          <w:rFonts w:ascii="Palatino Linotype" w:eastAsia="Palatino Linotype" w:hAnsi="Palatino Linotype" w:cs="Palatino Linotype"/>
        </w:rPr>
      </w:pPr>
    </w:p>
    <w:p w14:paraId="3311A844" w14:textId="77777777" w:rsidR="00FD4305" w:rsidRDefault="00FD4305" w:rsidP="00FD4305">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qué motivo el tiempo, que se le otorga al Sujeto Obligado para dar respuesta, en la modalidad elegida a la solicitud de información, no le es suficiente, y</w:t>
      </w:r>
    </w:p>
    <w:p w14:paraId="47710E1F" w14:textId="77777777" w:rsidR="00FD4305" w:rsidRDefault="00FD4305" w:rsidP="00FD4305">
      <w:pPr>
        <w:spacing w:line="360" w:lineRule="auto"/>
        <w:ind w:left="720"/>
        <w:rPr>
          <w:rFonts w:ascii="Palatino Linotype" w:eastAsia="Palatino Linotype" w:hAnsi="Palatino Linotype" w:cs="Palatino Linotype"/>
        </w:rPr>
      </w:pPr>
    </w:p>
    <w:p w14:paraId="573797CC" w14:textId="77777777" w:rsidR="00FD4305" w:rsidRDefault="00FD4305" w:rsidP="00FD4305">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cantidad de recursos humanos y materiales con los que cuenta el Sujeto Obligado son insuficientes.</w:t>
      </w:r>
    </w:p>
    <w:p w14:paraId="0AC75377" w14:textId="77777777" w:rsidR="00FD4305" w:rsidRDefault="00FD4305" w:rsidP="00FD4305">
      <w:pPr>
        <w:spacing w:line="360" w:lineRule="auto"/>
        <w:ind w:right="-28"/>
        <w:jc w:val="both"/>
        <w:rPr>
          <w:rFonts w:ascii="Palatino Linotype" w:eastAsia="Palatino Linotype" w:hAnsi="Palatino Linotype" w:cs="Palatino Linotype"/>
        </w:rPr>
      </w:pPr>
    </w:p>
    <w:p w14:paraId="1BD9B45B" w14:textId="77777777" w:rsidR="00FD4305" w:rsidRDefault="00FD4305" w:rsidP="00FD4305">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Ahora bien, es de reiterar que únicamente el titular de la unidad de transparencia precisó que ponía a disposición del ahora</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la documentación peticionada en consulta directa, sin explicar de manera detallada los motivos y fundamentos de dicho cambio.</w:t>
      </w:r>
    </w:p>
    <w:p w14:paraId="09E8BC69" w14:textId="77777777" w:rsidR="00FD4305" w:rsidRDefault="00FD4305" w:rsidP="00FD4305">
      <w:pPr>
        <w:spacing w:line="360" w:lineRule="auto"/>
        <w:ind w:right="-28"/>
        <w:jc w:val="both"/>
        <w:rPr>
          <w:rFonts w:ascii="Palatino Linotype" w:eastAsia="Palatino Linotype" w:hAnsi="Palatino Linotype" w:cs="Palatino Linotype"/>
        </w:rPr>
      </w:pPr>
    </w:p>
    <w:p w14:paraId="4090C835"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este Instituto considera que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careció de precisión respecto a las siguientes circunstancias:</w:t>
      </w:r>
    </w:p>
    <w:p w14:paraId="0D5D7EB6" w14:textId="77777777" w:rsidR="00FD4305" w:rsidRDefault="00FD4305" w:rsidP="00FD4305">
      <w:pPr>
        <w:spacing w:line="360" w:lineRule="auto"/>
        <w:jc w:val="both"/>
        <w:rPr>
          <w:rFonts w:ascii="Palatino Linotype" w:eastAsia="Palatino Linotype" w:hAnsi="Palatino Linotype" w:cs="Palatino Linotype"/>
        </w:rPr>
      </w:pPr>
    </w:p>
    <w:p w14:paraId="56D2BD58" w14:textId="77777777" w:rsidR="00FD4305" w:rsidRDefault="00FD4305" w:rsidP="00FD4305">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formato, en que se encontraba la información, es decir, de manera digital o física, y</w:t>
      </w:r>
    </w:p>
    <w:p w14:paraId="6DB6BFC5" w14:textId="77777777" w:rsidR="00FD4305" w:rsidRDefault="00FD4305" w:rsidP="00FD4305">
      <w:pPr>
        <w:pBdr>
          <w:top w:val="nil"/>
          <w:left w:val="nil"/>
          <w:bottom w:val="nil"/>
          <w:right w:val="nil"/>
          <w:between w:val="nil"/>
        </w:pBdr>
        <w:spacing w:line="360" w:lineRule="auto"/>
        <w:ind w:left="780"/>
        <w:jc w:val="both"/>
        <w:rPr>
          <w:rFonts w:ascii="Palatino Linotype" w:eastAsia="Palatino Linotype" w:hAnsi="Palatino Linotype" w:cs="Palatino Linotype"/>
          <w:color w:val="000000"/>
        </w:rPr>
      </w:pPr>
    </w:p>
    <w:p w14:paraId="16E7CA80" w14:textId="77777777" w:rsidR="00FD4305" w:rsidRDefault="00FD4305" w:rsidP="00FD4305">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número de hojas o peso aproximado de la información, solicitada, del cual se pudiera conocer cuántos documentos había generado y recibido las áreas, o bien, cuando menos un aproximado, y</w:t>
      </w:r>
    </w:p>
    <w:p w14:paraId="5550538F" w14:textId="77777777" w:rsidR="00FD4305" w:rsidRDefault="00FD4305" w:rsidP="00FD4305">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14:paraId="05A28499"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Además, tampoco acreditó que lo peticionado implicaba un análisis, procesamiento o estudio de documentos cuya reproducción sobrepasará las capacidades técnicas, administrativas y humanas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pues como se refirió, no se precisó el número de personas que se encontraban en las áreas, ni el formato, ni número de hojas aproximadas de lo solicitado, o bien, si lo peticionado, se encontraba en uno o varios expedientes; esto es, no proporcionó los elementos necesarios para acreditar el cambio de modalidad. </w:t>
      </w:r>
    </w:p>
    <w:p w14:paraId="46C5876C" w14:textId="77777777" w:rsidR="00FD4305" w:rsidRDefault="00FD4305" w:rsidP="00FD4305">
      <w:pPr>
        <w:spacing w:line="360" w:lineRule="auto"/>
        <w:jc w:val="both"/>
        <w:rPr>
          <w:rFonts w:ascii="Palatino Linotype" w:eastAsia="Palatino Linotype" w:hAnsi="Palatino Linotype" w:cs="Palatino Linotype"/>
        </w:rPr>
      </w:pPr>
    </w:p>
    <w:p w14:paraId="22E909A9"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6124608C" w14:textId="77777777" w:rsidR="00FD4305" w:rsidRDefault="00FD4305" w:rsidP="00FD4305">
      <w:pPr>
        <w:spacing w:line="360" w:lineRule="auto"/>
        <w:jc w:val="both"/>
        <w:rPr>
          <w:rFonts w:ascii="Palatino Linotype" w:eastAsia="Palatino Linotype" w:hAnsi="Palatino Linotype" w:cs="Palatino Linotype"/>
        </w:rPr>
      </w:pPr>
    </w:p>
    <w:p w14:paraId="4B98D7FD" w14:textId="77777777" w:rsidR="00FD4305" w:rsidRDefault="00FD4305" w:rsidP="00FD4305">
      <w:pPr>
        <w:widowControl w:val="0"/>
        <w:spacing w:line="360" w:lineRule="auto"/>
        <w:jc w:val="both"/>
        <w:rPr>
          <w:rFonts w:ascii="Palatino Linotype" w:eastAsia="Palatino Linotype" w:hAnsi="Palatino Linotype" w:cs="Palatino Linotype"/>
        </w:rPr>
      </w:pPr>
      <w:bookmarkStart w:id="1" w:name="_heading=h.1fob9te" w:colFirst="0" w:colLast="0"/>
      <w:bookmarkEnd w:id="1"/>
      <w:r>
        <w:rPr>
          <w:rFonts w:ascii="Palatino Linotype" w:eastAsia="Palatino Linotype" w:hAnsi="Palatino Linotype" w:cs="Palatino Linotype"/>
        </w:rPr>
        <w:t xml:space="preserve">Conforme a lo expuesto, este Instituto no tiene certeza que la información solicitada implicará un análisis, procesamiento y estudio, pues se desconoce si la misma obra </w:t>
      </w:r>
      <w:r>
        <w:rPr>
          <w:rFonts w:ascii="Palatino Linotype" w:eastAsia="Palatino Linotype" w:hAnsi="Palatino Linotype" w:cs="Palatino Linotype"/>
        </w:rPr>
        <w:lastRenderedPageBreak/>
        <w:t>en un solo expediente o en varios, o bien, la cantidad de la documentación excede las capacidades de las unidades administrativas en cuestión, para atender la solicitud, dentro del plazo establecido en la normatividad aplicable.</w:t>
      </w:r>
    </w:p>
    <w:p w14:paraId="41A2EBC9" w14:textId="77777777" w:rsidR="00FD4305" w:rsidRDefault="00FD4305" w:rsidP="00FD4305">
      <w:pPr>
        <w:spacing w:line="360" w:lineRule="auto"/>
        <w:jc w:val="both"/>
        <w:rPr>
          <w:rFonts w:ascii="Palatino Linotype" w:eastAsia="Palatino Linotype" w:hAnsi="Palatino Linotype" w:cs="Palatino Linotype"/>
        </w:rPr>
      </w:pPr>
      <w:bookmarkStart w:id="2" w:name="_heading=h.3znysh7" w:colFirst="0" w:colLast="0"/>
      <w:bookmarkEnd w:id="2"/>
    </w:p>
    <w:p w14:paraId="223C66EC"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w:t>
      </w:r>
      <w:r>
        <w:rPr>
          <w:rFonts w:ascii="Palatino Linotype" w:eastAsia="Palatino Linotype" w:hAnsi="Palatino Linotype" w:cs="Palatino Linotype"/>
          <w:b/>
        </w:rPr>
        <w:t>FUNDADOS</w:t>
      </w:r>
      <w:r>
        <w:rPr>
          <w:rFonts w:ascii="Palatino Linotype" w:eastAsia="Palatino Linotype" w:hAnsi="Palatino Linotype" w:cs="Palatino Linotype"/>
        </w:rPr>
        <w:t>; situación que se robustece, con el hecho de que tampoco vio la posibilidad de poner a disposición la información, en el resto de modalidades establecidas en la Ley de la materia.</w:t>
      </w:r>
    </w:p>
    <w:p w14:paraId="02452A9A" w14:textId="77777777" w:rsidR="00FD4305" w:rsidRDefault="00FD4305" w:rsidP="00FD4305">
      <w:pPr>
        <w:spacing w:line="360" w:lineRule="auto"/>
        <w:jc w:val="both"/>
        <w:rPr>
          <w:rFonts w:ascii="Palatino Linotype" w:eastAsia="Palatino Linotype" w:hAnsi="Palatino Linotype" w:cs="Palatino Linotype"/>
        </w:rPr>
      </w:pPr>
    </w:p>
    <w:p w14:paraId="328018A2"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respecto de las renuncias solicitadas conviene señala que </w:t>
      </w:r>
      <w:proofErr w:type="gramStart"/>
      <w:r>
        <w:rPr>
          <w:rFonts w:ascii="Palatino Linotype" w:eastAsia="Palatino Linotype" w:hAnsi="Palatino Linotype" w:cs="Palatino Linotype"/>
        </w:rPr>
        <w:t>la  Ley</w:t>
      </w:r>
      <w:proofErr w:type="gramEnd"/>
      <w:r>
        <w:rPr>
          <w:rFonts w:ascii="Palatino Linotype" w:eastAsia="Palatino Linotype" w:hAnsi="Palatino Linotype" w:cs="Palatino Linotype"/>
        </w:rPr>
        <w:t xml:space="preserve"> del Trabajo de los Servidores Públicos del Estado y Municipios; véase: https://legislacion.edomex.gob.mx/sites/legislacion.edomex.gob.mx/files/files/pdf/ley/vig/ley vig083.pdf; establece en su artículo 92, lo siguiente: </w:t>
      </w:r>
    </w:p>
    <w:p w14:paraId="773DCBA7" w14:textId="77777777" w:rsidR="00FD4305" w:rsidRDefault="00FD4305" w:rsidP="00FD4305">
      <w:pPr>
        <w:spacing w:line="360" w:lineRule="auto"/>
        <w:jc w:val="both"/>
        <w:rPr>
          <w:rFonts w:ascii="Palatino Linotype" w:eastAsia="Palatino Linotype" w:hAnsi="Palatino Linotype" w:cs="Palatino Linotype"/>
        </w:rPr>
      </w:pPr>
    </w:p>
    <w:p w14:paraId="18BABD7B" w14:textId="77777777" w:rsidR="00FD4305" w:rsidRDefault="00FD4305" w:rsidP="00FD4305">
      <w:pPr>
        <w:spacing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ARTÍCULO 92. El servidor público o la institución pública podrán rescindir en cualquier tiempo, por causa justificada, la relación laboral.</w:t>
      </w:r>
    </w:p>
    <w:p w14:paraId="4F03DC3E" w14:textId="77777777" w:rsidR="00FD4305" w:rsidRDefault="00FD4305" w:rsidP="00FD4305">
      <w:pPr>
        <w:spacing w:line="360" w:lineRule="auto"/>
        <w:jc w:val="both"/>
        <w:rPr>
          <w:rFonts w:ascii="Palatino Linotype" w:eastAsia="Palatino Linotype" w:hAnsi="Palatino Linotype" w:cs="Palatino Linotype"/>
        </w:rPr>
      </w:pPr>
    </w:p>
    <w:p w14:paraId="62251814"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Del artículo en cita, se desprende que tanto el servidor público como la institución para la cual labora, puede </w:t>
      </w:r>
      <w:proofErr w:type="spellStart"/>
      <w:r>
        <w:rPr>
          <w:rFonts w:ascii="Palatino Linotype" w:eastAsia="Palatino Linotype" w:hAnsi="Palatino Linotype" w:cs="Palatino Linotype"/>
        </w:rPr>
        <w:t>rescindir</w:t>
      </w:r>
      <w:proofErr w:type="spellEnd"/>
      <w:r>
        <w:rPr>
          <w:rFonts w:ascii="Palatino Linotype" w:eastAsia="Palatino Linotype" w:hAnsi="Palatino Linotype" w:cs="Palatino Linotype"/>
        </w:rPr>
        <w:t xml:space="preserve"> de la relación laboral en cualquier comento; esto quiere decir, que se puede tener por concluido el vínculo laboral que une a la </w:t>
      </w:r>
      <w:r>
        <w:rPr>
          <w:rFonts w:ascii="Palatino Linotype" w:eastAsia="Palatino Linotype" w:hAnsi="Palatino Linotype" w:cs="Palatino Linotype"/>
        </w:rPr>
        <w:lastRenderedPageBreak/>
        <w:t xml:space="preserve">institución y al servidor público; por otra parte, el artículo 89 de la misma Ley, establece lo siguiente: </w:t>
      </w:r>
    </w:p>
    <w:p w14:paraId="4419A423" w14:textId="77777777" w:rsidR="00FD4305" w:rsidRDefault="00FD4305" w:rsidP="00FD4305">
      <w:pPr>
        <w:spacing w:line="360" w:lineRule="auto"/>
        <w:jc w:val="both"/>
        <w:rPr>
          <w:rFonts w:ascii="Palatino Linotype" w:eastAsia="Palatino Linotype" w:hAnsi="Palatino Linotype" w:cs="Palatino Linotype"/>
        </w:rPr>
      </w:pPr>
    </w:p>
    <w:p w14:paraId="26BAA9A2"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CAPITULO VII De la Terminación de la Relación Laboral </w:t>
      </w:r>
    </w:p>
    <w:p w14:paraId="620A7A4D"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89. Son causas de terminación de la relación laboral sin responsabilidad para las instituciones públicas: </w:t>
      </w:r>
    </w:p>
    <w:p w14:paraId="4702BCA1" w14:textId="77777777" w:rsidR="00FD4305" w:rsidRDefault="00FD4305" w:rsidP="00FD4305">
      <w:pPr>
        <w:spacing w:line="360"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 La renuncia del servidor público; </w:t>
      </w:r>
    </w:p>
    <w:p w14:paraId="4F0B5277"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El mutuo consentimiento de las partes; </w:t>
      </w:r>
    </w:p>
    <w:p w14:paraId="0067813E"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El vencimiento del término o conclusión de la obra determinantes de la contratación; </w:t>
      </w:r>
    </w:p>
    <w:p w14:paraId="1DD5CB1E"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El término o conclusión de la administración en la cual fue contratado el servidor público a que se refiere el artículo 8 de </w:t>
      </w:r>
      <w:proofErr w:type="gramStart"/>
      <w:r>
        <w:rPr>
          <w:rFonts w:ascii="Palatino Linotype" w:eastAsia="Palatino Linotype" w:hAnsi="Palatino Linotype" w:cs="Palatino Linotype"/>
          <w:i/>
          <w:sz w:val="22"/>
          <w:szCs w:val="22"/>
        </w:rPr>
        <w:t>ésta</w:t>
      </w:r>
      <w:proofErr w:type="gramEnd"/>
      <w:r>
        <w:rPr>
          <w:rFonts w:ascii="Palatino Linotype" w:eastAsia="Palatino Linotype" w:hAnsi="Palatino Linotype" w:cs="Palatino Linotype"/>
          <w:i/>
          <w:sz w:val="22"/>
          <w:szCs w:val="22"/>
        </w:rPr>
        <w:t xml:space="preserve"> Ley; </w:t>
      </w:r>
    </w:p>
    <w:p w14:paraId="2DDDFC18"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La muerte del servidor público; y </w:t>
      </w:r>
    </w:p>
    <w:p w14:paraId="381CDD71"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La incapacidad permanente del servidor público que le impida el desempeño de sus labores. </w:t>
      </w:r>
    </w:p>
    <w:p w14:paraId="4667FEC8" w14:textId="77777777" w:rsidR="00FD4305" w:rsidRDefault="00FD4305" w:rsidP="00FD4305">
      <w:pPr>
        <w:spacing w:line="360" w:lineRule="auto"/>
        <w:jc w:val="both"/>
        <w:rPr>
          <w:rFonts w:ascii="Palatino Linotype" w:eastAsia="Palatino Linotype" w:hAnsi="Palatino Linotype" w:cs="Palatino Linotype"/>
        </w:rPr>
      </w:pPr>
    </w:p>
    <w:p w14:paraId="1EA62A7B"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artículo en cita, se desprende que una de las causas de terminación de la relación laboral sin responsabilidad para las instituciones públicas, es la renuncia del servidor público; en caso de haber renuncia debe obrar en los archivos del Sujeto Obligado la información que dé cuenta de las mismas. </w:t>
      </w:r>
    </w:p>
    <w:p w14:paraId="67B872C5" w14:textId="77777777" w:rsidR="00FD4305" w:rsidRDefault="00FD4305" w:rsidP="00FD4305">
      <w:pPr>
        <w:spacing w:line="360" w:lineRule="auto"/>
        <w:jc w:val="both"/>
        <w:rPr>
          <w:rFonts w:ascii="Palatino Linotype" w:eastAsia="Palatino Linotype" w:hAnsi="Palatino Linotype" w:cs="Palatino Linotype"/>
        </w:rPr>
      </w:pPr>
    </w:p>
    <w:p w14:paraId="2A17D159"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en cuanto a los Formatos Únicos de movimientos de persona resulta alusivo lo previsto en los artículos 5, 8 fracción I, 45, 48 fracción I y 49 de la Ley del Trabajo de los Servidores Públicos del Estado de México y Municipios, que en su parte conducente señalan lo siguiente:</w:t>
      </w:r>
    </w:p>
    <w:p w14:paraId="6EC71EBE" w14:textId="77777777" w:rsidR="00FD4305" w:rsidRDefault="00FD4305" w:rsidP="00FD430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“ARTÍCULO 5.- La relación de trabajo entre las instituciones públicas y sus servidores públicos se entiende establecida mediante nombramiento, </w:t>
      </w:r>
      <w:r>
        <w:rPr>
          <w:rFonts w:ascii="Palatino Linotype" w:eastAsia="Palatino Linotype" w:hAnsi="Palatino Linotype" w:cs="Palatino Linotype"/>
          <w:b/>
          <w:i/>
          <w:sz w:val="22"/>
          <w:szCs w:val="22"/>
          <w:u w:val="single"/>
        </w:rPr>
        <w:t xml:space="preserve">formato único de movimiento de personal, </w:t>
      </w:r>
      <w:r>
        <w:rPr>
          <w:rFonts w:ascii="Palatino Linotype" w:eastAsia="Palatino Linotype" w:hAnsi="Palatino Linotype" w:cs="Palatino Linotype"/>
          <w:i/>
          <w:sz w:val="22"/>
          <w:szCs w:val="22"/>
        </w:rPr>
        <w:t>contrato o por cualquier otro acto que tenga como consecuencia la prestación personal subordinada del servicio y la percepción de un sueldo.</w:t>
      </w:r>
    </w:p>
    <w:p w14:paraId="67F34FF0" w14:textId="77777777" w:rsidR="00FD4305" w:rsidRDefault="00FD4305" w:rsidP="00FD4305">
      <w:pPr>
        <w:spacing w:line="276" w:lineRule="auto"/>
        <w:ind w:left="567" w:right="616"/>
        <w:jc w:val="both"/>
        <w:rPr>
          <w:rFonts w:ascii="Palatino Linotype" w:eastAsia="Palatino Linotype" w:hAnsi="Palatino Linotype" w:cs="Palatino Linotype"/>
          <w:i/>
          <w:sz w:val="22"/>
          <w:szCs w:val="22"/>
        </w:rPr>
      </w:pPr>
    </w:p>
    <w:p w14:paraId="7C4EA032" w14:textId="77777777" w:rsidR="00FD4305" w:rsidRDefault="00FD4305" w:rsidP="00FD430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los efectos de esta ley, las instituciones públicas estarán representadas por sus titulares.</w:t>
      </w:r>
    </w:p>
    <w:p w14:paraId="6F64A196" w14:textId="77777777" w:rsidR="00FD4305" w:rsidRDefault="00FD4305" w:rsidP="00FD430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297E86A" w14:textId="77777777" w:rsidR="00FD4305" w:rsidRDefault="00FD4305" w:rsidP="00FD4305">
      <w:pPr>
        <w:spacing w:line="276" w:lineRule="auto"/>
        <w:ind w:left="567" w:right="616"/>
        <w:jc w:val="both"/>
        <w:rPr>
          <w:rFonts w:ascii="Palatino Linotype" w:eastAsia="Palatino Linotype" w:hAnsi="Palatino Linotype" w:cs="Palatino Linotype"/>
          <w:i/>
          <w:sz w:val="22"/>
          <w:szCs w:val="22"/>
        </w:rPr>
      </w:pPr>
    </w:p>
    <w:p w14:paraId="18BBD3CC" w14:textId="77777777" w:rsidR="00FD4305" w:rsidRDefault="00FD4305" w:rsidP="00FD430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8. Se entiende por servidores públicos de confianza:</w:t>
      </w:r>
    </w:p>
    <w:p w14:paraId="78B8EFCE" w14:textId="77777777" w:rsidR="00FD4305" w:rsidRDefault="00FD4305" w:rsidP="00FD430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14:paraId="69D4B99B" w14:textId="77777777" w:rsidR="00FD4305" w:rsidRDefault="00FD4305" w:rsidP="00FD430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0E14E3F" w14:textId="77777777" w:rsidR="00FD4305" w:rsidRDefault="00FD4305" w:rsidP="00FD430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w:t>
      </w:r>
    </w:p>
    <w:p w14:paraId="7E837FAE"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p>
    <w:p w14:paraId="15C62A47"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45.- Los servidores públicos prestarán sus servicios mediante nombramiento, contrato o formato único de Movimientos de Personal expedidos por quien estuviere facultado legalmente para extenderlo.</w:t>
      </w:r>
    </w:p>
    <w:p w14:paraId="6E50A734"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72B65AF"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48. Para iniciar la prestación de los servicios se requiere:</w:t>
      </w:r>
    </w:p>
    <w:p w14:paraId="46E8C4B6"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Tener conferido el nombramiento, contrato respectivo o formato único de Movimientos de Personal;</w:t>
      </w:r>
    </w:p>
    <w:p w14:paraId="6ACF67A9"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31C8ADAA"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49.- Los nombramientos, contratos o formato único de</w:t>
      </w:r>
    </w:p>
    <w:p w14:paraId="7ABB228E"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Movimientos de Personal de los servidores públicos deberán contener:</w:t>
      </w:r>
    </w:p>
    <w:p w14:paraId="78298C95"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Nombre completo del servidor público;</w:t>
      </w:r>
    </w:p>
    <w:p w14:paraId="6D0318A7"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Cargo para el que es designado, fecha de inicio de sus servicios y lugar de adscripción;</w:t>
      </w:r>
    </w:p>
    <w:p w14:paraId="2AD5A77F"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Carácter del nombramiento, ya sea de servidores públicos generales o de confianza, así como la temporalidad del mismo;</w:t>
      </w:r>
    </w:p>
    <w:p w14:paraId="61876B1B"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Remuneración correspondiente al puesto;</w:t>
      </w:r>
    </w:p>
    <w:p w14:paraId="2324DEF3"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Jornada de trabajo;</w:t>
      </w:r>
    </w:p>
    <w:p w14:paraId="5889D895"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Derogada;</w:t>
      </w:r>
    </w:p>
    <w:p w14:paraId="3B46B0D5" w14:textId="77777777" w:rsidR="00FD4305" w:rsidRDefault="00FD4305" w:rsidP="00FD430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14:paraId="21FABA04" w14:textId="77777777" w:rsidR="00FD4305" w:rsidRDefault="00FD4305" w:rsidP="00FD4305">
      <w:pPr>
        <w:spacing w:line="360" w:lineRule="auto"/>
        <w:jc w:val="both"/>
        <w:rPr>
          <w:rFonts w:ascii="Palatino Linotype" w:eastAsia="Palatino Linotype" w:hAnsi="Palatino Linotype" w:cs="Palatino Linotype"/>
        </w:rPr>
      </w:pPr>
    </w:p>
    <w:p w14:paraId="2ABEEEBE"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elementos normativos transcritos podemos advertir que las relaciones de trabajo entre los servidores públicos del Estado y sus municipios se encuentran reguladas por la Ley del Trabajo de los Servidores Públicos del Estado y Municipios, la cual indica expresamente que las mismas se entenderán establecidas mediante el nombramiento, formato único de movimientos de personal, contrato o cualquiera que tenga como consecuencia la prestación personal subordinada del servicio y la percepción de un sueldo, en consecuencia, todos los servidores públicos prestan necesariamente sus servicios a través de cualquiera de dichos documentos, ya que son requisito para configurar la relación laboral entre éstos y las instituciones públicas, debiendo ser expedidos por quien tenga facultades para ello.</w:t>
      </w:r>
    </w:p>
    <w:p w14:paraId="79D9A6D8"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este tenor, el Sujeto Obligado debe contar con la documental que dé cuenta de los documentos solicitados; más aún cuando el Manual General de Organización de la Comisión de Conciliación y Arbitraje Médico del Estado de México, en su Artículo 2.26, fracción IV. En el Objetivo General menciona lo siguiente:</w:t>
      </w:r>
    </w:p>
    <w:p w14:paraId="2DE292AC"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Contribuir a la solución de conflictos suscitados entre usuarios y prestadores de servicios médicos, a través de la conciliación o en su defecto emisión de opiniones, acuerdos, laudos, así como atender las legítimas demandas de los usuarios a procurar que los servicios se proporcionen con la máxima calidad posible.</w:t>
      </w:r>
    </w:p>
    <w:p w14:paraId="6821A108"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como también nos señala su estructura orgánica.</w:t>
      </w:r>
    </w:p>
    <w:p w14:paraId="6D2B93DC"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299F466A" wp14:editId="5E5D1FEE">
            <wp:extent cx="5832128" cy="3822774"/>
            <wp:effectExtent l="0" t="0" r="0" b="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832128" cy="3822774"/>
                    </a:xfrm>
                    <a:prstGeom prst="rect">
                      <a:avLst/>
                    </a:prstGeom>
                    <a:ln/>
                  </pic:spPr>
                </pic:pic>
              </a:graphicData>
            </a:graphic>
          </wp:inline>
        </w:drawing>
      </w:r>
    </w:p>
    <w:p w14:paraId="3BD4449A"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manera particular, respecto a las atribuciones de la Unidad de Apoyo Administrativo precisa que: </w:t>
      </w:r>
    </w:p>
    <w:p w14:paraId="59588E27" w14:textId="77777777" w:rsidR="00FD4305" w:rsidRDefault="00FD4305" w:rsidP="00FD4305">
      <w:pPr>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217C10003 UNIDAD DE APOYO ADMINISTRATIVO </w:t>
      </w:r>
    </w:p>
    <w:p w14:paraId="35524F93" w14:textId="77777777" w:rsidR="00FD4305" w:rsidRDefault="00FD4305" w:rsidP="00FD4305">
      <w:pPr>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OBJETIVO:</w:t>
      </w:r>
    </w:p>
    <w:p w14:paraId="31C39956" w14:textId="77777777" w:rsidR="00FD4305" w:rsidRDefault="00FD4305" w:rsidP="00FD4305">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Proporcionar con oportunidad y suficiencia los recursos humanos, materiales y financieros, así como los servicios generales requeridos por las Unidades Administrativas de la Comisión para el desarrollo de sus funciones atendiendo los criterios de eficiencia, racionalidad y disciplina presupuestales. </w:t>
      </w:r>
    </w:p>
    <w:p w14:paraId="37DE5767" w14:textId="77777777" w:rsidR="00FD4305" w:rsidRDefault="00FD4305" w:rsidP="00FD4305">
      <w:pPr>
        <w:spacing w:before="240" w:after="240" w:line="276" w:lineRule="auto"/>
        <w:ind w:left="851" w:right="616"/>
        <w:jc w:val="both"/>
        <w:rPr>
          <w:rFonts w:ascii="Palatino Linotype" w:eastAsia="Palatino Linotype" w:hAnsi="Palatino Linotype" w:cs="Palatino Linotype"/>
          <w:b/>
          <w:i/>
          <w:sz w:val="22"/>
          <w:szCs w:val="22"/>
        </w:rPr>
      </w:pPr>
    </w:p>
    <w:p w14:paraId="67CBD81E" w14:textId="77777777" w:rsidR="00FD4305" w:rsidRDefault="00FD4305" w:rsidP="00FD4305">
      <w:pPr>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FUNCIONES:</w:t>
      </w:r>
    </w:p>
    <w:p w14:paraId="122EDE9A" w14:textId="77777777" w:rsidR="00FD4305" w:rsidRDefault="00FD4305" w:rsidP="00FD4305">
      <w:pPr>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2B1E7C69" w14:textId="77777777" w:rsidR="00FD4305" w:rsidRDefault="00FD4305" w:rsidP="00FD4305">
      <w:pPr>
        <w:numPr>
          <w:ilvl w:val="0"/>
          <w:numId w:val="1"/>
        </w:num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Dirigir las actividades relativas al reclutamiento, selección, contratación, inducción, capacitación y desarrollo del personal de la Comisión, así como el control de incidencias, pago de remuneraciones y demás relativas al manejo del personal. </w:t>
      </w:r>
    </w:p>
    <w:p w14:paraId="4B97800A" w14:textId="77777777" w:rsidR="00FD4305" w:rsidRDefault="00FD4305" w:rsidP="00FD4305">
      <w:pPr>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0E17ECCF"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obtiene que el Sujeto obligado genera información relativa a las renuncias y a los formatos únicos de movimientos de personal de todos los trabajadores, información de la que específicamente requiere conocer el Particular, y que puede obrar en los archivos de la Unidad de Apoyo Administrativo, área competente para conocer de la información en torno a las relaciones laborales con los servidores públicos. Por lo antes expuesto, resulta procedente ordenar, haga entrega vía SAIMEX de los documentos solicitados.</w:t>
      </w:r>
    </w:p>
    <w:p w14:paraId="46E46743"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mismo, para el caso de que dicho documento cuente con datos personales confidenciales, tales como la huella dactilar, numero de afiliación al seguro social, entre otros, 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435A59AB"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 </w:t>
      </w:r>
    </w:p>
    <w:p w14:paraId="7C2ED746"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 </w:t>
      </w:r>
    </w:p>
    <w:p w14:paraId="2C0596AF" w14:textId="77777777" w:rsidR="00FD4305" w:rsidRDefault="00FD4305" w:rsidP="00FD4305">
      <w:pPr>
        <w:spacing w:before="240" w:after="240" w:line="360" w:lineRule="auto"/>
        <w:jc w:val="both"/>
        <w:rPr>
          <w:rFonts w:ascii="Palatino Linotype" w:eastAsia="Palatino Linotype" w:hAnsi="Palatino Linotype" w:cs="Palatino Linotype"/>
        </w:rPr>
      </w:pPr>
      <w:bookmarkStart w:id="3" w:name="_heading=h.30j0zll" w:colFirst="0" w:colLast="0"/>
      <w:bookmarkEnd w:id="3"/>
      <w:r>
        <w:rPr>
          <w:rFonts w:ascii="Palatino Linotype" w:eastAsia="Palatino Linotype" w:hAnsi="Palatino Linotype" w:cs="Palatino Linotype"/>
        </w:rPr>
        <w:t xml:space="preserve">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w:t>
      </w:r>
    </w:p>
    <w:p w14:paraId="6D7293F5"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concordancia con lo previo, el artículo 143, fracción I, de la Ley previamente citada, establece que la información privada y los datos personales, concernientes a una persona física o jurídica colectiva identificada o identificable son confidenciales. </w:t>
      </w:r>
    </w:p>
    <w:p w14:paraId="5FA31CC8"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Pr>
          <w:rFonts w:ascii="Palatino Linotype" w:eastAsia="Palatino Linotype" w:hAnsi="Palatino Linotype" w:cs="Palatino Linotype"/>
        </w:rPr>
        <w:t>ii</w:t>
      </w:r>
      <w:proofErr w:type="spellEnd"/>
      <w:r>
        <w:rPr>
          <w:rFonts w:ascii="Palatino Linotype" w:eastAsia="Palatino Linotype" w:hAnsi="Palatino Linotype" w:cs="Palatino Linotype"/>
        </w:rPr>
        <w:t xml:space="preserve">) por ley tenga el carácter de pública, </w:t>
      </w:r>
      <w:proofErr w:type="spellStart"/>
      <w:r>
        <w:rPr>
          <w:rFonts w:ascii="Palatino Linotype" w:eastAsia="Palatino Linotype" w:hAnsi="Palatino Linotype" w:cs="Palatino Linotype"/>
        </w:rPr>
        <w:t>iii</w:t>
      </w:r>
      <w:proofErr w:type="spellEnd"/>
      <w:r>
        <w:rPr>
          <w:rFonts w:ascii="Palatino Linotype" w:eastAsia="Palatino Linotype" w:hAnsi="Palatino Linotype" w:cs="Palatino Linotype"/>
        </w:rPr>
        <w:t xml:space="preserve">) exista una orden judicial, </w:t>
      </w:r>
      <w:proofErr w:type="spellStart"/>
      <w:r>
        <w:rPr>
          <w:rFonts w:ascii="Palatino Linotype" w:eastAsia="Palatino Linotype" w:hAnsi="Palatino Linotype" w:cs="Palatino Linotype"/>
        </w:rPr>
        <w:t>iv</w:t>
      </w:r>
      <w:proofErr w:type="spellEnd"/>
      <w:r>
        <w:rPr>
          <w:rFonts w:ascii="Palatino Linotype" w:eastAsia="Palatino Linotype" w:hAnsi="Palatino Linotype" w:cs="Palatino Linotype"/>
        </w:rPr>
        <w:t>) por razones de seguridad nacional y salubridad general o v) para proteger los derechos de terceros o cuando se transmita entre sujetos obligados en términos de los tratados y los acuerdos interinstitucionales.</w:t>
      </w:r>
    </w:p>
    <w:p w14:paraId="0F940B63"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términos de lo expuesto, la documentación y aquellos datos que se consideren confidenciales, serán una limitante del derecho de acceso a la información, siempre y cuando: </w:t>
      </w:r>
    </w:p>
    <w:p w14:paraId="3D858991"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Se trate de datos personales o información privada; esto es, información concerniente a una persona física o jurídica colectiva y que ésta sea identificada o identificable. </w:t>
      </w:r>
    </w:p>
    <w:p w14:paraId="46FB46C8"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b. Para la difusión de los datos, se requiera el consentimiento del titular.</w:t>
      </w:r>
    </w:p>
    <w:p w14:paraId="30D74EF5"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de conformidad con el artículo 3°, fracción IX, de la Ley de Transparencia y Acceso a la Información Pública del Estado de México y Municipios, </w:t>
      </w:r>
      <w:r>
        <w:rPr>
          <w:rFonts w:ascii="Palatino Linotype" w:eastAsia="Palatino Linotype" w:hAnsi="Palatino Linotype" w:cs="Palatino Linotype"/>
        </w:rPr>
        <w:lastRenderedPageBreak/>
        <w:t xml:space="preserve">con relación el diverso 4°, fracciones XI y XII, de la Ley de Protección de Datos Personales en Posesión de Sujetos Obligados del Estado de México y Municipios, se advierte que son datos personales, la información concerniente a una persona física identificada o identificable(cuando su identidad pueda determinarse directa o indirectamente a través de cualquier documento informativo físico o electrónico), establecida en cualquier formato o modalidad. </w:t>
      </w:r>
    </w:p>
    <w:p w14:paraId="4EFCE0D9"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en el artículo 5° de dicho ordenamiento jurídico, establece que es la Ley aplicable para todo tratamiento de datos personales.</w:t>
      </w:r>
    </w:p>
    <w:p w14:paraId="564AC87C"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DFA2D38"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1A56D99"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26A5F85"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suerte, las instituciones públicas tienen la doble responsabilidad, por un lado, de proteger los datos personales y por otro, darles publicidad cuando la relevancia de esos datos sea de interés público. </w:t>
      </w:r>
    </w:p>
    <w:p w14:paraId="55DF6275"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 </w:t>
      </w:r>
    </w:p>
    <w:p w14:paraId="75D106FB"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Dada la complejidad de la información cuando involucra datos personales, pudiera pensarse que se trata de dos derechos en colisión; por un lado, la garantía individual de conocer sobre el ejercicio de atribuciones de servidores públicos así como de </w:t>
      </w:r>
      <w:r>
        <w:rPr>
          <w:rFonts w:ascii="Palatino Linotype" w:eastAsia="Palatino Linotype" w:hAnsi="Palatino Linotype" w:cs="Palatino Linotype"/>
        </w:rPr>
        <w:lastRenderedPageBreak/>
        <w:t>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F05BB46"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9EE6271"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este esquema, se aprecia que la información ordenada puede contener información susceptible a clasificar como confidencial y otra pública; de forma enunciativa más no limitativa; se analiza el Registro Federal de Contribuyentes (RFC) y la Clave Única de Registro de Población (CURP), huella dactilar, la Clave de cualquier tipo de seguridad social (ISSEMYM, u otros), así como, los préstamos o descuentos personales que se le hagan al servidor público. </w:t>
      </w:r>
    </w:p>
    <w:p w14:paraId="5943662F" w14:textId="77777777" w:rsidR="00FD4305" w:rsidRDefault="00FD4305" w:rsidP="00FD4305">
      <w:pPr>
        <w:spacing w:before="240" w:after="240" w:line="360" w:lineRule="auto"/>
        <w:jc w:val="both"/>
        <w:rPr>
          <w:rFonts w:ascii="Palatino Linotype" w:eastAsia="Palatino Linotype" w:hAnsi="Palatino Linotype" w:cs="Palatino Linotype"/>
          <w:b/>
        </w:rPr>
      </w:pPr>
      <w:r>
        <w:rPr>
          <w:rFonts w:ascii="Symbol" w:eastAsia="Symbol" w:hAnsi="Symbol" w:cs="Symbol"/>
          <w:b/>
        </w:rPr>
        <w:t>∙</w:t>
      </w:r>
      <w:r>
        <w:rPr>
          <w:rFonts w:ascii="Palatino Linotype" w:eastAsia="Palatino Linotype" w:hAnsi="Palatino Linotype" w:cs="Palatino Linotype"/>
          <w:b/>
        </w:rPr>
        <w:t xml:space="preserve"> Registro Federal de Contribuyentes (RFC) </w:t>
      </w:r>
    </w:p>
    <w:p w14:paraId="09B410D0"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BF5B914"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acuerdo a lo establecido en el artículo en comento, esta clave se compone de trece caracteres alfanuméricos, con datos obtenidos de los apellidos, nombre (s), fecha de nacimiento del titular, más una </w:t>
      </w:r>
      <w:proofErr w:type="spellStart"/>
      <w:r>
        <w:rPr>
          <w:rFonts w:ascii="Palatino Linotype" w:eastAsia="Palatino Linotype" w:hAnsi="Palatino Linotype" w:cs="Palatino Linotype"/>
        </w:rPr>
        <w:t>homoclave</w:t>
      </w:r>
      <w:proofErr w:type="spellEnd"/>
      <w:r>
        <w:rPr>
          <w:rFonts w:ascii="Palatino Linotype" w:eastAsia="Palatino Linotype" w:hAnsi="Palatino Linotype" w:cs="Palatino Linotype"/>
        </w:rPr>
        <w:t xml:space="preserve"> que establece el sistema automático del Servicio de Administración Tributaria.</w:t>
      </w:r>
    </w:p>
    <w:p w14:paraId="7CCA12F9"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F46CB12"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w:t>
      </w:r>
      <w:r>
        <w:rPr>
          <w:rFonts w:ascii="Palatino Linotype" w:eastAsia="Palatino Linotype" w:hAnsi="Palatino Linotype" w:cs="Palatino Linotype"/>
        </w:rPr>
        <w:lastRenderedPageBreak/>
        <w:t>de un dato relevante únicamente para las personas involucradas en el pago de estos, en el presente caso, del pago del Impuesto Sobre el Producto del Trabajo.</w:t>
      </w:r>
    </w:p>
    <w:p w14:paraId="09E9720B"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resulta congruente con el Criterio 19/17 emitido por el Instituto Nacional de Transparencia, Acceso a la Información y Protección de Datos Personales, en el cual se señala lo siguiente:</w:t>
      </w:r>
    </w:p>
    <w:p w14:paraId="5BC8D740" w14:textId="77777777" w:rsidR="00FD4305" w:rsidRDefault="00FD4305" w:rsidP="00FD4305">
      <w:pPr>
        <w:spacing w:before="240" w:after="240"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Registro Federal de Contribuyentes (RFC) de personas físicas.</w:t>
      </w:r>
      <w:r>
        <w:rPr>
          <w:rFonts w:ascii="Palatino Linotype" w:eastAsia="Palatino Linotype" w:hAnsi="Palatino Linotype" w:cs="Palatino Linotype"/>
          <w:i/>
          <w:sz w:val="22"/>
          <w:szCs w:val="22"/>
        </w:rPr>
        <w:t xml:space="preserve"> El RFC es una clave de carácter fiscal, única e irrepetible, que permite identificar al titular, su edad y fecha de nacimiento, por lo que es un dato personal de carácter confidencial.</w:t>
      </w:r>
    </w:p>
    <w:p w14:paraId="42F6A87D" w14:textId="77777777" w:rsidR="00FD4305" w:rsidRDefault="00FD4305" w:rsidP="00FD4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BAA8F04" w14:textId="77777777" w:rsidR="00FD4305" w:rsidRDefault="00FD4305" w:rsidP="00FD4305">
      <w:pPr>
        <w:spacing w:before="240" w:after="240" w:line="360" w:lineRule="auto"/>
        <w:jc w:val="both"/>
        <w:rPr>
          <w:rFonts w:ascii="Palatino Linotype" w:eastAsia="Palatino Linotype" w:hAnsi="Palatino Linotype" w:cs="Palatino Linotype"/>
          <w:b/>
        </w:rPr>
      </w:pPr>
      <w:r>
        <w:rPr>
          <w:rFonts w:ascii="Symbol" w:eastAsia="Symbol" w:hAnsi="Symbol" w:cs="Symbol"/>
          <w:b/>
        </w:rPr>
        <w:t>∙</w:t>
      </w:r>
      <w:r>
        <w:rPr>
          <w:rFonts w:ascii="Palatino Linotype" w:eastAsia="Palatino Linotype" w:hAnsi="Palatino Linotype" w:cs="Palatino Linotype"/>
          <w:b/>
        </w:rPr>
        <w:t xml:space="preserve"> Clave Única de Registro de Población (CURP). </w:t>
      </w:r>
    </w:p>
    <w:p w14:paraId="293D4A7F"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artículo 36 de la Constitución Política de los Estados Unidos Mexicanos, dispone la obligación de los ciudadanos de inscribirse en el Registro Nacional de Ciudadanos. </w:t>
      </w:r>
    </w:p>
    <w:p w14:paraId="2F5FACE6"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artículo 85 de la Ley General de Población, prevé que corresponde a la Secretaría de Gobernación el registro y acreditación de la identidad de todas las personas residentes en el país y de los nacionales que residan en el extranjero. </w:t>
      </w:r>
    </w:p>
    <w:p w14:paraId="0478C754"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88397D7"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precisado por la propia Secretaría de Gobernación en la dirección </w:t>
      </w:r>
      <w:hyperlink r:id="rId10">
        <w:r>
          <w:rPr>
            <w:rFonts w:ascii="Palatino Linotype" w:eastAsia="Palatino Linotype" w:hAnsi="Palatino Linotype" w:cs="Palatino Linotype"/>
            <w:color w:val="000000"/>
            <w:u w:val="single"/>
          </w:rPr>
          <w:t>https://consultas.curp.gob.mx/CurpSP/html/informacionecurpPS.html</w:t>
        </w:r>
      </w:hyperlink>
      <w:r>
        <w:rPr>
          <w:rFonts w:ascii="Palatino Linotype" w:eastAsia="Palatino Linotype" w:hAnsi="Palatino Linotype" w:cs="Palatino Linotype"/>
        </w:rPr>
        <w:t>,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5B64E108"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El primero y segundo apellidos, así como al nombre de pila. </w:t>
      </w:r>
    </w:p>
    <w:p w14:paraId="4819C626"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La fecha de nacimiento. </w:t>
      </w:r>
    </w:p>
    <w:p w14:paraId="1FD37C45"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El sexo. </w:t>
      </w:r>
    </w:p>
    <w:p w14:paraId="0F531C17"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La entidad federativa de nacimiento. </w:t>
      </w:r>
    </w:p>
    <w:p w14:paraId="02695A9A"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dos últimos elementos de la Clave Única de Registro de Población evitan la duplicidad de la Clave y garantizan su correcta integración.</w:t>
      </w:r>
    </w:p>
    <w:p w14:paraId="1EC57AEC"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9097353"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en la especie, como argumento orientador, el Criterio 3/10, emitido por el Instituto Nacional de Transparencia, Acceso a la Información y Protección de Datos Personales.</w:t>
      </w:r>
    </w:p>
    <w:p w14:paraId="1A99FB7D" w14:textId="77777777" w:rsidR="00FD4305" w:rsidRDefault="00FD4305" w:rsidP="00FD4305">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Clave Única de Registro de Población (CURP) es un dato personal confidencial. 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Pr>
          <w:rFonts w:ascii="Palatino Linotype" w:eastAsia="Palatino Linotype" w:hAnsi="Palatino Linotype" w:cs="Palatino Linotype"/>
          <w:i/>
          <w:sz w:val="22"/>
          <w:szCs w:val="22"/>
        </w:rPr>
        <w:t>el artículos anteriormente señalados</w:t>
      </w:r>
      <w:proofErr w:type="gramEnd"/>
      <w:r>
        <w:rPr>
          <w:rFonts w:ascii="Palatino Linotype" w:eastAsia="Palatino Linotype" w:hAnsi="Palatino Linotype" w:cs="Palatino Linotype"/>
          <w:i/>
          <w:sz w:val="22"/>
          <w:szCs w:val="22"/>
        </w:rPr>
        <w:t>.</w:t>
      </w:r>
    </w:p>
    <w:p w14:paraId="2051B710"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acuerdo con lo anterior, la CURP es un dato que debe clasificarse, por tratarse de un dato personal confidencial, en términos del artículo 143, fracción I de la Ley de Transparencia y Acceso a la Información Pública del Estado de México y Municipios.</w:t>
      </w:r>
    </w:p>
    <w:p w14:paraId="79E8B3AE"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r>
        <w:rPr>
          <w:rFonts w:ascii="Symbol" w:eastAsia="Symbol" w:hAnsi="Symbol" w:cs="Symbol"/>
        </w:rPr>
        <w:t>∙</w:t>
      </w:r>
      <w:r>
        <w:rPr>
          <w:rFonts w:ascii="Palatino Linotype" w:eastAsia="Palatino Linotype" w:hAnsi="Palatino Linotype" w:cs="Palatino Linotype"/>
        </w:rPr>
        <w:t xml:space="preserve"> Huella dactilar. </w:t>
      </w:r>
    </w:p>
    <w:p w14:paraId="6F42165D"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11">
        <w:r>
          <w:rPr>
            <w:rFonts w:ascii="Palatino Linotype" w:eastAsia="Palatino Linotype" w:hAnsi="Palatino Linotype" w:cs="Palatino Linotype"/>
            <w:color w:val="000000"/>
            <w:u w:val="single"/>
          </w:rPr>
          <w:t>https://docplayer.es/5455342-Nuevas-tecnologiasbiometricas-instituto-nacional-de-ciencias-penales-procuraduria-general-de-la-republicaversion-1-0.html</w:t>
        </w:r>
      </w:hyperlink>
      <w:r>
        <w:rPr>
          <w:rFonts w:ascii="Palatino Linotype" w:eastAsia="Palatino Linotype" w:hAnsi="Palatino Linotype" w:cs="Palatino Linotype"/>
        </w:rPr>
        <w:t xml:space="preserve"> se indica que existen tres principios fundamentales para la identificación de las huellas dactilares, a saber:</w:t>
      </w:r>
    </w:p>
    <w:p w14:paraId="5560ED3D"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Symbol" w:eastAsia="Symbol" w:hAnsi="Symbol" w:cs="Symbol"/>
        </w:rPr>
        <w:t>∙</w:t>
      </w:r>
      <w:r>
        <w:rPr>
          <w:rFonts w:ascii="Palatino Linotype" w:eastAsia="Palatino Linotype" w:hAnsi="Palatino Linotype" w:cs="Palatino Linotype"/>
        </w:rPr>
        <w:t xml:space="preserve"> Primer principio. La huella es una característica individual. No hay dos huellas con características en las crestas que sean idénticas. </w:t>
      </w:r>
    </w:p>
    <w:p w14:paraId="027A15F4"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Symbol" w:eastAsia="Symbol" w:hAnsi="Symbol" w:cs="Symbol"/>
        </w:rPr>
        <w:t>∙</w:t>
      </w:r>
      <w:r>
        <w:rPr>
          <w:rFonts w:ascii="Palatino Linotype" w:eastAsia="Palatino Linotype" w:hAnsi="Palatino Linotype" w:cs="Palatino Linotype"/>
        </w:rPr>
        <w:t xml:space="preserve"> Segundo principio. Una huella permanece sin cambios durante toda la vida de un individuo (sin embargo, puede adquirir cicatrices o cualquier otra deformación que impida su identificación clara).</w:t>
      </w:r>
    </w:p>
    <w:p w14:paraId="20A8EE7C"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Symbol" w:eastAsia="Symbol" w:hAnsi="Symbol" w:cs="Symbol"/>
        </w:rPr>
        <w:t>∙</w:t>
      </w:r>
      <w:r>
        <w:rPr>
          <w:rFonts w:ascii="Palatino Linotype" w:eastAsia="Palatino Linotype" w:hAnsi="Palatino Linotype" w:cs="Palatino Linotype"/>
        </w:rPr>
        <w:t xml:space="preserve"> Tercer principio. Las huellas tienen patrones que se forman con sus crestas, lo que hace posible clasificarlas sistemáticamente para agilizar las búsquedas.</w:t>
      </w:r>
    </w:p>
    <w:p w14:paraId="0BD1D169"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expuesto, es indubitable que la huella dactilar es una característica propia de un individuo que permite su reconocimiento. Por tanto, sin duda, se considera que es una característica individual que se utiliza como medio de </w:t>
      </w:r>
      <w:r>
        <w:rPr>
          <w:rFonts w:ascii="Palatino Linotype" w:eastAsia="Palatino Linotype" w:hAnsi="Palatino Linotype" w:cs="Palatino Linotype"/>
        </w:rPr>
        <w:lastRenderedPageBreak/>
        <w:t xml:space="preserve">identificación de las personas y, por tanto, constituye un dato personal, de conformidad con lo establecido en el artículo 143, fracción I de la Ley de la materia. </w:t>
      </w:r>
    </w:p>
    <w:p w14:paraId="0B5B62C5"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siguiente Tesis Aislada:</w:t>
      </w:r>
    </w:p>
    <w:p w14:paraId="4BE8C6D4" w14:textId="77777777" w:rsidR="00FD4305" w:rsidRDefault="00FD4305" w:rsidP="00FD4305">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HUELLA DACTILAR. ES APTA PARA ACREDITAR EL CONSENTIMIENTO EN LA CELEBRACIÓN DE UN CONTRATO. 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w:t>
      </w:r>
      <w:proofErr w:type="gramStart"/>
      <w:r>
        <w:rPr>
          <w:rFonts w:ascii="Palatino Linotype" w:eastAsia="Palatino Linotype" w:hAnsi="Palatino Linotype" w:cs="Palatino Linotype"/>
          <w:i/>
          <w:sz w:val="22"/>
          <w:szCs w:val="22"/>
        </w:rPr>
        <w:t>como</w:t>
      </w:r>
      <w:proofErr w:type="gramEnd"/>
      <w:r>
        <w:rPr>
          <w:rFonts w:ascii="Palatino Linotype" w:eastAsia="Palatino Linotype" w:hAnsi="Palatino Linotype" w:cs="Palatino Linotype"/>
          <w:i/>
          <w:sz w:val="22"/>
          <w:szCs w:val="22"/>
        </w:rPr>
        <w:t xml:space="preserve">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w:t>
      </w:r>
      <w:r>
        <w:rPr>
          <w:rFonts w:ascii="Palatino Linotype" w:eastAsia="Palatino Linotype" w:hAnsi="Palatino Linotype" w:cs="Palatino Linotype"/>
          <w:i/>
          <w:sz w:val="22"/>
          <w:szCs w:val="22"/>
        </w:rPr>
        <w:lastRenderedPageBreak/>
        <w:t>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w:t>
      </w:r>
    </w:p>
    <w:p w14:paraId="3C2093C0" w14:textId="77777777" w:rsidR="00FD4305" w:rsidRDefault="00FD4305" w:rsidP="00FD4305">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48D0F355"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la actualidad existen sistemas denominados AFIS por sus siglas en inglés </w:t>
      </w:r>
      <w:proofErr w:type="spellStart"/>
      <w:r>
        <w:rPr>
          <w:rFonts w:ascii="Palatino Linotype" w:eastAsia="Palatino Linotype" w:hAnsi="Palatino Linotype" w:cs="Palatino Linotype"/>
        </w:rPr>
        <w:t>Automated</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Fingerprint</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Identification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System</w:t>
      </w:r>
      <w:proofErr w:type="spellEnd"/>
      <w:r>
        <w:rPr>
          <w:rFonts w:ascii="Palatino Linotype" w:eastAsia="Palatino Linotype" w:hAnsi="Palatino Linotype" w:cs="Palatino Linotype"/>
        </w:rPr>
        <w:t xml:space="preserve">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w:t>
      </w:r>
    </w:p>
    <w:p w14:paraId="1313E1C4"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términos de la calidad de la imagen se debe observar que en la NOM-151-SCFI-2016 publicada en el Diario Oficial de la Federación el 30 de </w:t>
      </w:r>
      <w:proofErr w:type="gramStart"/>
      <w:r>
        <w:rPr>
          <w:rFonts w:ascii="Palatino Linotype" w:eastAsia="Palatino Linotype" w:hAnsi="Palatino Linotype" w:cs="Palatino Linotype"/>
        </w:rPr>
        <w:t>Marzo</w:t>
      </w:r>
      <w:proofErr w:type="gramEnd"/>
      <w:r>
        <w:rPr>
          <w:rFonts w:ascii="Palatino Linotype" w:eastAsia="Palatino Linotype" w:hAnsi="Palatino Linotype" w:cs="Palatino Linotype"/>
        </w:rPr>
        <w:t xml:space="preserve">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w:t>
      </w:r>
    </w:p>
    <w:p w14:paraId="7CC8E687"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14:paraId="4240D070"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14:paraId="4B893B38" w14:textId="77777777" w:rsidR="00FD4305" w:rsidRDefault="00FD4305" w:rsidP="00FD4305">
      <w:pPr>
        <w:spacing w:before="240" w:after="240" w:line="360" w:lineRule="auto"/>
        <w:jc w:val="both"/>
        <w:rPr>
          <w:rFonts w:ascii="Palatino Linotype" w:eastAsia="Palatino Linotype" w:hAnsi="Palatino Linotype" w:cs="Palatino Linotype"/>
          <w:b/>
        </w:rPr>
      </w:pPr>
      <w:r>
        <w:rPr>
          <w:rFonts w:ascii="Symbol" w:eastAsia="Symbol" w:hAnsi="Symbol" w:cs="Symbol"/>
          <w:b/>
        </w:rPr>
        <w:t>∙</w:t>
      </w:r>
      <w:r>
        <w:rPr>
          <w:rFonts w:ascii="Palatino Linotype" w:eastAsia="Palatino Linotype" w:hAnsi="Palatino Linotype" w:cs="Palatino Linotype"/>
          <w:b/>
        </w:rPr>
        <w:t xml:space="preserve"> Clave de cualquier tipo de seguridad social</w:t>
      </w:r>
    </w:p>
    <w:p w14:paraId="6AB1A7B6"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C7BDF30"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artículo 9° del mismo ordenamiento, dispone que el ISSEMYM expedirá documentos de identificación para facilitar el acceso a las prestaciones a que tengan derecho. En este orden de ideas, el artículo 158, fracción I del Reglamento de </w:t>
      </w:r>
      <w:r>
        <w:rPr>
          <w:rFonts w:ascii="Palatino Linotype" w:eastAsia="Palatino Linotype" w:hAnsi="Palatino Linotype" w:cs="Palatino Linotype"/>
        </w:rPr>
        <w:lastRenderedPageBreak/>
        <w:t xml:space="preserve">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 </w:t>
      </w:r>
    </w:p>
    <w:p w14:paraId="772E07C1"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3BEC76B7"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Contar con la prestación de seguridad social que brinda el ISSEMYM no es una obligación para entrar a trabajar a una institución pública, más bien, es un derecho que se adquiere cuando se ingresa al servicio público, por tal motivo, es un dato personal confidencial, por lo que se aprueba su eliminación en las versiones públicas, toda vez que actualiza el supuesto de confidencialidad del artículo 143, fracción I de la Ley de Transparencia y Acceso a la Información Pública del Estado de México y Municipios</w:t>
      </w:r>
    </w:p>
    <w:p w14:paraId="79933134"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w:t>
      </w:r>
      <w:proofErr w:type="gramStart"/>
      <w:r>
        <w:rPr>
          <w:rFonts w:ascii="Palatino Linotype" w:eastAsia="Palatino Linotype" w:hAnsi="Palatino Linotype" w:cs="Palatino Linotype"/>
        </w:rPr>
        <w:t>tanto</w:t>
      </w:r>
      <w:proofErr w:type="gramEnd"/>
      <w:r>
        <w:rPr>
          <w:rFonts w:ascii="Palatino Linotype" w:eastAsia="Palatino Linotype" w:hAnsi="Palatino Linotype" w:cs="Palatino Linotype"/>
        </w:rPr>
        <w:t xml:space="preserve"> resulta procedente clasificar dicho dato en términos del artículo 143, fracción I de la Ley de Transparencia y Acceso a la Información Pública del Estado de México y Municipios.</w:t>
      </w:r>
    </w:p>
    <w:p w14:paraId="1ED39938"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mérito de lo expuesto en líneas anteriores, resultan fundados los motivos de inconformidad vertidos por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por ello con fundamento en la </w:t>
      </w:r>
      <w:r>
        <w:rPr>
          <w:rFonts w:ascii="Palatino Linotype" w:eastAsia="Palatino Linotype" w:hAnsi="Palatino Linotype" w:cs="Palatino Linotype"/>
          <w:i/>
        </w:rPr>
        <w:t>primera hipótesis</w:t>
      </w:r>
      <w:r>
        <w:rPr>
          <w:rFonts w:ascii="Palatino Linotype" w:eastAsia="Palatino Linotype" w:hAnsi="Palatino Linotype" w:cs="Palatino Linotype"/>
        </w:rPr>
        <w:t xml:space="preserve"> del artículo 186, fracción III, de la Ley de Transparencia y Acceso a la Información Pública del Estado de México y Municipios,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la respuesta a la solicitud de información que ha sido materia del presente fallo, por lo que este Pleno:</w:t>
      </w:r>
    </w:p>
    <w:p w14:paraId="36A9C09A" w14:textId="77777777" w:rsidR="00FD4305" w:rsidRDefault="00FD4305" w:rsidP="00FD4305">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w:t>
      </w:r>
      <w:r>
        <w:rPr>
          <w:rFonts w:ascii="Palatino Linotype" w:eastAsia="Palatino Linotype" w:hAnsi="Palatino Linotype" w:cs="Palatino Linotype"/>
          <w:b/>
        </w:rPr>
        <w:tab/>
        <w:t>R E S U E L V E:</w:t>
      </w:r>
    </w:p>
    <w:p w14:paraId="294EA3D2"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fundadas las razones o motivos de inconformidad hechos valer por la parte Recurrente, en el recurso de revisión </w:t>
      </w:r>
      <w:r>
        <w:rPr>
          <w:rFonts w:ascii="Palatino Linotype" w:eastAsia="Palatino Linotype" w:hAnsi="Palatino Linotype" w:cs="Palatino Linotype"/>
          <w:b/>
        </w:rPr>
        <w:t>00269/INFOEM/IP/RR/2022</w:t>
      </w:r>
      <w:r>
        <w:rPr>
          <w:rFonts w:ascii="Palatino Linotype" w:eastAsia="Palatino Linotype" w:hAnsi="Palatino Linotype" w:cs="Palatino Linotype"/>
        </w:rPr>
        <w:t xml:space="preserve">; 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48EF7AE4" w14:textId="77777777" w:rsidR="00FD4305" w:rsidRDefault="00FD4305" w:rsidP="00FD430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entregue a través del Sistema de Acceso a la Información Mexiquense (SAIMEX), de ser el caso en versión pública y en formato PDF, los documentos que den cuenta o donde consten: </w:t>
      </w:r>
    </w:p>
    <w:p w14:paraId="264A613C" w14:textId="77777777" w:rsidR="00FD4305" w:rsidRDefault="00FD4305" w:rsidP="00FD4305">
      <w:pPr>
        <w:numPr>
          <w:ilvl w:val="0"/>
          <w:numId w:val="5"/>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Las renuncias firmadas y formatos únicos de movimientos de personal, de los trabajadores que dejaron de laborar en el Sujeto Obligado del 1 de enero al 13 de diciembre de 2021. </w:t>
      </w:r>
    </w:p>
    <w:p w14:paraId="0E80FD90" w14:textId="77777777" w:rsidR="00FD4305" w:rsidRDefault="00FD4305" w:rsidP="00FD4305">
      <w:pPr>
        <w:spacing w:before="240"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 ser procedente, debiendo emitir el Acuerdo del Comité de Transparencia de conformidad a la Ley de Transparencia y Acceso a la Información Pública del Estado de México y Municipios, en el que funde y motive las razones sobre los datos que se supriman o eliminen de los soportes documentales </w:t>
      </w:r>
      <w:r>
        <w:rPr>
          <w:rFonts w:ascii="Palatino Linotype" w:eastAsia="Palatino Linotype" w:hAnsi="Palatino Linotype" w:cs="Palatino Linotype"/>
          <w:i/>
          <w:sz w:val="22"/>
          <w:szCs w:val="22"/>
        </w:rPr>
        <w:lastRenderedPageBreak/>
        <w:t>objeto de las versiones públicas que se formulen y se pongan a disposición del recurrente, mismo que igualmente hará de su conocimiento.</w:t>
      </w:r>
    </w:p>
    <w:p w14:paraId="058C2AB9" w14:textId="77777777" w:rsidR="00FD4305" w:rsidRDefault="00FD4305" w:rsidP="00FD4305">
      <w:pPr>
        <w:spacing w:before="240" w:after="240"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b/>
          <w:highlight w:val="white"/>
        </w:rPr>
        <w:t xml:space="preserve">Tercero. Notifíquese </w:t>
      </w:r>
      <w:r>
        <w:rPr>
          <w:rFonts w:ascii="Palatino Linotype" w:eastAsia="Palatino Linotype" w:hAnsi="Palatino Linotype" w:cs="Palatino Linotype"/>
        </w:rPr>
        <w:t xml:space="preserve">la presente resolución,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highlight w:val="white"/>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D4FB187" w14:textId="77777777" w:rsidR="00FD4305" w:rsidRDefault="00FD4305" w:rsidP="00FD4305">
      <w:pPr>
        <w:spacing w:before="240" w:after="240"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 </w:t>
      </w:r>
    </w:p>
    <w:p w14:paraId="255A7C55"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al </w:t>
      </w:r>
      <w:r>
        <w:rPr>
          <w:rFonts w:ascii="Palatino Linotype" w:eastAsia="Palatino Linotype" w:hAnsi="Palatino Linotype" w:cs="Palatino Linotype"/>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B609F20" w14:textId="77777777" w:rsidR="00FD4305" w:rsidRDefault="00FD4305" w:rsidP="00FD4305">
      <w:pPr>
        <w:spacing w:before="240" w:after="240"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highlight w:val="white"/>
        </w:rPr>
        <w:t xml:space="preserve">ASÍ LO RESUELVE, POR UNANIMIDAD DE VOTOS, EL PLENO DEL INSTITUTO DE TRANSPARENCIA, ACCESO A LA INFORMACIÓN PÚBLICA Y PROTECCIÓN DE DATOS PERSONALES DEL ESTADO DE MÉXICO Y MUNICIPIOS, CONFORMADO POR LOS COMISIONADOS JOSÉ MARTÍNEZ </w:t>
      </w:r>
      <w:r>
        <w:rPr>
          <w:rFonts w:ascii="Palatino Linotype" w:eastAsia="Palatino Linotype" w:hAnsi="Palatino Linotype" w:cs="Palatino Linotype"/>
          <w:highlight w:val="white"/>
        </w:rPr>
        <w:lastRenderedPageBreak/>
        <w:t xml:space="preserve">VILCHIS, MARÍA DEL ROSARIO MEJÍA AYALA, SHARON CRISTINA MORALES MARTÍNEZ, LUIS GUSTAVO PARRA NORIEGA </w:t>
      </w:r>
      <w:r w:rsidRPr="00B17508">
        <w:rPr>
          <w:rFonts w:ascii="Palatino Linotype" w:eastAsia="Palatino Linotype" w:hAnsi="Palatino Linotype" w:cs="Palatino Linotype"/>
        </w:rPr>
        <w:t xml:space="preserve">(AUSENCIA JUSTIFICADA) </w:t>
      </w:r>
      <w:r>
        <w:rPr>
          <w:rFonts w:ascii="Palatino Linotype" w:eastAsia="Palatino Linotype" w:hAnsi="Palatino Linotype" w:cs="Palatino Linotype"/>
          <w:highlight w:val="white"/>
        </w:rPr>
        <w:t xml:space="preserve"> Y GUADALUPE RAMÍREZ PEÑA; EN LA DÉCIMA PRIMERA SESIÓN ORDINARIA CELEBRADA EL VEINTICUATRO DE MARZO</w:t>
      </w:r>
      <w:r>
        <w:rPr>
          <w:rFonts w:ascii="Palatino Linotype" w:eastAsia="Palatino Linotype" w:hAnsi="Palatino Linotype" w:cs="Palatino Linotype"/>
        </w:rPr>
        <w:t xml:space="preserve"> DE DOS MIL VEINTIDÓS, ANTE EL SECRETARIO TÉCNICO DEL PLENO ALEXIS TAPIA RAMÍREZ.</w:t>
      </w:r>
    </w:p>
    <w:p w14:paraId="64C544B9" w14:textId="77777777" w:rsidR="00FD4305" w:rsidRDefault="00FD4305" w:rsidP="00FD43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59EDBFB" wp14:editId="2A6A02F4">
                <wp:simplePos x="0" y="0"/>
                <wp:positionH relativeFrom="column">
                  <wp:posOffset>273652</wp:posOffset>
                </wp:positionH>
                <wp:positionV relativeFrom="paragraph">
                  <wp:posOffset>198152</wp:posOffset>
                </wp:positionV>
                <wp:extent cx="5035138" cy="4595751"/>
                <wp:effectExtent l="0" t="0" r="32385" b="33655"/>
                <wp:wrapNone/>
                <wp:docPr id="1" name="Conector recto 1"/>
                <wp:cNvGraphicFramePr/>
                <a:graphic xmlns:a="http://schemas.openxmlformats.org/drawingml/2006/main">
                  <a:graphicData uri="http://schemas.microsoft.com/office/word/2010/wordprocessingShape">
                    <wps:wsp>
                      <wps:cNvCnPr/>
                      <wps:spPr>
                        <a:xfrm>
                          <a:off x="0" y="0"/>
                          <a:ext cx="5035138" cy="45957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B9E4F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5pt,15.6pt" to="418pt,3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" strokecolor="#4472c4 [3204]" strokeweight=".5pt">
                <v:stroke joinstyle="miter"/>
              </v:line>
            </w:pict>
          </mc:Fallback>
        </mc:AlternateContent>
      </w:r>
    </w:p>
    <w:p w14:paraId="7EEA4C96" w14:textId="77777777" w:rsidR="00FD4305" w:rsidRDefault="00FD4305" w:rsidP="00FD4305">
      <w:pPr>
        <w:spacing w:before="240" w:after="240" w:line="360" w:lineRule="auto"/>
        <w:jc w:val="both"/>
        <w:rPr>
          <w:rFonts w:ascii="Palatino Linotype" w:eastAsia="Palatino Linotype" w:hAnsi="Palatino Linotype" w:cs="Palatino Linotype"/>
        </w:rPr>
        <w:sectPr w:rsidR="00FD4305">
          <w:headerReference w:type="default" r:id="rId12"/>
          <w:footerReference w:type="default" r:id="rId13"/>
          <w:headerReference w:type="first" r:id="rId14"/>
          <w:footerReference w:type="first" r:id="rId15"/>
          <w:pgSz w:w="12240" w:h="15840"/>
          <w:pgMar w:top="1417" w:right="1701" w:bottom="1417" w:left="1701" w:header="709" w:footer="709" w:gutter="0"/>
          <w:pgNumType w:start="1"/>
          <w:cols w:space="720"/>
          <w:titlePg/>
        </w:sectPr>
      </w:pPr>
    </w:p>
    <w:p w14:paraId="7D891F75" w14:textId="77777777" w:rsidR="00FD4305" w:rsidRDefault="00FD4305" w:rsidP="00FD4305">
      <w:pPr>
        <w:spacing w:before="240" w:after="240" w:line="360" w:lineRule="auto"/>
        <w:jc w:val="both"/>
        <w:rPr>
          <w:rFonts w:ascii="Palatino Linotype" w:eastAsia="Palatino Linotype" w:hAnsi="Palatino Linotype" w:cs="Palatino Linotype"/>
        </w:rPr>
      </w:pPr>
    </w:p>
    <w:p w14:paraId="1088CD35" w14:textId="77777777" w:rsidR="00FD4305" w:rsidRDefault="00FD4305" w:rsidP="00FD4305">
      <w:pPr>
        <w:spacing w:before="240" w:after="240" w:line="360" w:lineRule="auto"/>
        <w:jc w:val="both"/>
        <w:rPr>
          <w:rFonts w:ascii="Palatino Linotype" w:eastAsia="Palatino Linotype" w:hAnsi="Palatino Linotype" w:cs="Palatino Linotype"/>
        </w:rPr>
      </w:pPr>
    </w:p>
    <w:p w14:paraId="6B352DE9" w14:textId="77777777" w:rsidR="00FD4305" w:rsidRDefault="00FD4305" w:rsidP="00FD4305">
      <w:pPr>
        <w:spacing w:before="240" w:after="240" w:line="360" w:lineRule="auto"/>
        <w:jc w:val="both"/>
        <w:rPr>
          <w:rFonts w:ascii="Palatino Linotype" w:eastAsia="Palatino Linotype" w:hAnsi="Palatino Linotype" w:cs="Palatino Linotype"/>
        </w:rPr>
      </w:pPr>
    </w:p>
    <w:p w14:paraId="722F44AB" w14:textId="77777777" w:rsidR="00FD4305" w:rsidRDefault="00FD4305" w:rsidP="00FD4305">
      <w:pPr>
        <w:spacing w:before="240" w:after="240" w:line="360" w:lineRule="auto"/>
        <w:rPr>
          <w:rFonts w:ascii="Palatino Linotype" w:eastAsia="Palatino Linotype" w:hAnsi="Palatino Linotype" w:cs="Palatino Linotype"/>
        </w:rPr>
      </w:pPr>
    </w:p>
    <w:p w14:paraId="1A6A4C3C" w14:textId="77777777" w:rsidR="00FD4305" w:rsidRDefault="00FD4305"/>
    <w:sectPr w:rsidR="00FD4305">
      <w:headerReference w:type="first" r:id="rId16"/>
      <w:pgSz w:w="12240" w:h="15840"/>
      <w:pgMar w:top="1417" w:right="1701" w:bottom="1417"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1644" w14:textId="77777777" w:rsidR="00FD4305" w:rsidRDefault="00FD4305" w:rsidP="00FD4305">
      <w:r>
        <w:separator/>
      </w:r>
    </w:p>
  </w:endnote>
  <w:endnote w:type="continuationSeparator" w:id="0">
    <w:p w14:paraId="701F31DC" w14:textId="77777777" w:rsidR="00FD4305" w:rsidRDefault="00FD4305" w:rsidP="00FD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8630A" w14:textId="77777777" w:rsidR="00FD4305" w:rsidRDefault="00FD430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9</w:t>
    </w:r>
    <w:r>
      <w:rPr>
        <w:rFonts w:ascii="Palatino Linotype" w:eastAsia="Palatino Linotype" w:hAnsi="Palatino Linotype" w:cs="Palatino Linotype"/>
        <w:b/>
        <w:color w:val="000000"/>
        <w:sz w:val="20"/>
        <w:szCs w:val="20"/>
      </w:rPr>
      <w:fldChar w:fldCharType="end"/>
    </w:r>
  </w:p>
  <w:p w14:paraId="470C5C03" w14:textId="77777777" w:rsidR="00FD4305" w:rsidRDefault="00FD430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29AF" w14:textId="77777777" w:rsidR="00FD4305" w:rsidRDefault="00FD430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3</w:t>
    </w:r>
    <w:r>
      <w:rPr>
        <w:rFonts w:ascii="Palatino Linotype" w:eastAsia="Palatino Linotype" w:hAnsi="Palatino Linotype" w:cs="Palatino Linotype"/>
        <w:b/>
        <w:color w:val="000000"/>
        <w:sz w:val="20"/>
        <w:szCs w:val="20"/>
      </w:rPr>
      <w:fldChar w:fldCharType="end"/>
    </w:r>
  </w:p>
  <w:p w14:paraId="44240E98" w14:textId="77777777" w:rsidR="00FD4305" w:rsidRDefault="00FD430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33966" w14:textId="77777777" w:rsidR="00FD4305" w:rsidRDefault="00FD4305" w:rsidP="00FD4305">
      <w:r>
        <w:separator/>
      </w:r>
    </w:p>
  </w:footnote>
  <w:footnote w:type="continuationSeparator" w:id="0">
    <w:p w14:paraId="7FFBD40C" w14:textId="77777777" w:rsidR="00FD4305" w:rsidRDefault="00FD4305" w:rsidP="00FD4305">
      <w:r>
        <w:continuationSeparator/>
      </w:r>
    </w:p>
  </w:footnote>
  <w:footnote w:id="1">
    <w:p w14:paraId="0C7FB623" w14:textId="77777777" w:rsidR="00FD4305" w:rsidRDefault="00FD4305" w:rsidP="00FD430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1A7B0A0D" w14:textId="77777777" w:rsidR="00FD4305" w:rsidRDefault="00FD4305" w:rsidP="00FD430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462A" w14:textId="77777777" w:rsidR="00FD4305" w:rsidRDefault="00FD4305">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59264" behindDoc="1" locked="0" layoutInCell="1" hidden="0" allowOverlap="1" wp14:anchorId="362DD088" wp14:editId="16A5C16F">
          <wp:simplePos x="0" y="0"/>
          <wp:positionH relativeFrom="column">
            <wp:posOffset>-665859</wp:posOffset>
          </wp:positionH>
          <wp:positionV relativeFrom="paragraph">
            <wp:posOffset>-453615</wp:posOffset>
          </wp:positionV>
          <wp:extent cx="7635600" cy="9943200"/>
          <wp:effectExtent l="0" t="0" r="0" b="0"/>
          <wp:wrapNone/>
          <wp:docPr id="4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W w:w="5812" w:type="dxa"/>
      <w:tblInd w:w="3119" w:type="dxa"/>
      <w:tblLayout w:type="fixed"/>
      <w:tblLook w:val="0400" w:firstRow="0" w:lastRow="0" w:firstColumn="0" w:lastColumn="0" w:noHBand="0" w:noVBand="1"/>
    </w:tblPr>
    <w:tblGrid>
      <w:gridCol w:w="2551"/>
      <w:gridCol w:w="3261"/>
    </w:tblGrid>
    <w:tr w:rsidR="00FD4305" w14:paraId="14850C06" w14:textId="77777777">
      <w:tc>
        <w:tcPr>
          <w:tcW w:w="2551" w:type="dxa"/>
          <w:vAlign w:val="center"/>
        </w:tcPr>
        <w:p w14:paraId="0C46B711" w14:textId="77777777" w:rsidR="00FD4305" w:rsidRDefault="00FD43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1" w:type="dxa"/>
          <w:vAlign w:val="center"/>
        </w:tcPr>
        <w:p w14:paraId="0FE9B9AE" w14:textId="77777777" w:rsidR="00FD4305" w:rsidRDefault="00FD430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00269/INFOEM/IP/RR/2022. </w:t>
          </w:r>
        </w:p>
      </w:tc>
    </w:tr>
    <w:tr w:rsidR="00FD4305" w14:paraId="2273F23E" w14:textId="77777777">
      <w:tc>
        <w:tcPr>
          <w:tcW w:w="2551" w:type="dxa"/>
          <w:vAlign w:val="center"/>
        </w:tcPr>
        <w:p w14:paraId="4F2B046A" w14:textId="77777777" w:rsidR="00FD4305" w:rsidRDefault="00FD430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61" w:type="dxa"/>
          <w:vAlign w:val="center"/>
        </w:tcPr>
        <w:p w14:paraId="4055463A" w14:textId="77777777" w:rsidR="00FD4305" w:rsidRDefault="00FD4305">
          <w:pPr>
            <w:jc w:val="both"/>
            <w:rPr>
              <w:rFonts w:ascii="Palatino Linotype" w:eastAsia="Palatino Linotype" w:hAnsi="Palatino Linotype" w:cs="Palatino Linotype"/>
              <w:b/>
              <w:sz w:val="22"/>
              <w:szCs w:val="22"/>
            </w:rPr>
          </w:pPr>
        </w:p>
      </w:tc>
    </w:tr>
    <w:tr w:rsidR="00FD4305" w14:paraId="0B6A3E1C" w14:textId="77777777">
      <w:trPr>
        <w:trHeight w:val="228"/>
      </w:trPr>
      <w:tc>
        <w:tcPr>
          <w:tcW w:w="2551" w:type="dxa"/>
          <w:vAlign w:val="center"/>
        </w:tcPr>
        <w:p w14:paraId="5520FFD3" w14:textId="77777777" w:rsidR="00FD4305" w:rsidRDefault="00FD43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1" w:type="dxa"/>
          <w:vAlign w:val="center"/>
        </w:tcPr>
        <w:p w14:paraId="6E03308B" w14:textId="77777777" w:rsidR="00FD4305" w:rsidRDefault="00FD430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Comisión de Conciliación y Arbitraje Médico del Estado de México.</w:t>
          </w:r>
        </w:p>
      </w:tc>
    </w:tr>
    <w:tr w:rsidR="00FD4305" w14:paraId="64804324" w14:textId="77777777">
      <w:tc>
        <w:tcPr>
          <w:tcW w:w="2551" w:type="dxa"/>
          <w:vAlign w:val="center"/>
        </w:tcPr>
        <w:p w14:paraId="05DD6429" w14:textId="77777777" w:rsidR="00FD4305" w:rsidRDefault="00FD43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1" w:type="dxa"/>
          <w:vAlign w:val="center"/>
        </w:tcPr>
        <w:p w14:paraId="19581DE9" w14:textId="77777777" w:rsidR="00FD4305" w:rsidRDefault="00FD430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79CB191" w14:textId="77777777" w:rsidR="00FD4305" w:rsidRDefault="00FD4305">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A3E8" w14:textId="77777777" w:rsidR="00FD4305" w:rsidRDefault="00FD4305">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60288" behindDoc="1" locked="0" layoutInCell="1" hidden="0" allowOverlap="1" wp14:anchorId="6FFA727F" wp14:editId="760774A9">
          <wp:simplePos x="0" y="0"/>
          <wp:positionH relativeFrom="column">
            <wp:posOffset>-680312</wp:posOffset>
          </wp:positionH>
          <wp:positionV relativeFrom="paragraph">
            <wp:posOffset>-168883</wp:posOffset>
          </wp:positionV>
          <wp:extent cx="7635600" cy="9943200"/>
          <wp:effectExtent l="0" t="0" r="0" b="0"/>
          <wp:wrapNone/>
          <wp:docPr id="4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W w:w="5812" w:type="dxa"/>
      <w:tblInd w:w="3119" w:type="dxa"/>
      <w:tblLayout w:type="fixed"/>
      <w:tblLook w:val="0400" w:firstRow="0" w:lastRow="0" w:firstColumn="0" w:lastColumn="0" w:noHBand="0" w:noVBand="1"/>
    </w:tblPr>
    <w:tblGrid>
      <w:gridCol w:w="2551"/>
      <w:gridCol w:w="3261"/>
    </w:tblGrid>
    <w:tr w:rsidR="00FD4305" w14:paraId="2E4147DB" w14:textId="77777777">
      <w:tc>
        <w:tcPr>
          <w:tcW w:w="2551" w:type="dxa"/>
          <w:vAlign w:val="center"/>
        </w:tcPr>
        <w:p w14:paraId="4232FF15" w14:textId="77777777" w:rsidR="00FD4305" w:rsidRDefault="00FD43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1" w:type="dxa"/>
          <w:vAlign w:val="center"/>
        </w:tcPr>
        <w:p w14:paraId="39708F96" w14:textId="77777777" w:rsidR="00FD4305" w:rsidRDefault="00FD430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00269/INFOEM/IP/RR/2022. </w:t>
          </w:r>
        </w:p>
      </w:tc>
    </w:tr>
    <w:tr w:rsidR="00FD4305" w14:paraId="1B5339AF" w14:textId="77777777">
      <w:tc>
        <w:tcPr>
          <w:tcW w:w="2551" w:type="dxa"/>
          <w:vAlign w:val="center"/>
        </w:tcPr>
        <w:p w14:paraId="196E78A6" w14:textId="77777777" w:rsidR="00FD4305" w:rsidRDefault="00FD430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61" w:type="dxa"/>
          <w:vAlign w:val="center"/>
        </w:tcPr>
        <w:p w14:paraId="3E1734D9" w14:textId="77777777" w:rsidR="00FD4305" w:rsidRDefault="00FD4305">
          <w:pPr>
            <w:jc w:val="both"/>
            <w:rPr>
              <w:rFonts w:ascii="Palatino Linotype" w:eastAsia="Palatino Linotype" w:hAnsi="Palatino Linotype" w:cs="Palatino Linotype"/>
              <w:b/>
              <w:sz w:val="22"/>
              <w:szCs w:val="22"/>
            </w:rPr>
          </w:pPr>
        </w:p>
      </w:tc>
    </w:tr>
    <w:tr w:rsidR="00FD4305" w14:paraId="62E250A0" w14:textId="77777777">
      <w:trPr>
        <w:trHeight w:val="228"/>
      </w:trPr>
      <w:tc>
        <w:tcPr>
          <w:tcW w:w="2551" w:type="dxa"/>
          <w:vAlign w:val="center"/>
        </w:tcPr>
        <w:p w14:paraId="62D8A1AC" w14:textId="77777777" w:rsidR="00FD4305" w:rsidRDefault="00FD43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1" w:type="dxa"/>
          <w:vAlign w:val="center"/>
        </w:tcPr>
        <w:p w14:paraId="2BBF3F0B" w14:textId="77777777" w:rsidR="00FD4305" w:rsidRDefault="00FD430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Comisión de Conciliación y Arbitraje Médico del Estado de México.</w:t>
          </w:r>
        </w:p>
      </w:tc>
    </w:tr>
    <w:tr w:rsidR="00FD4305" w14:paraId="7EC23881" w14:textId="77777777">
      <w:tc>
        <w:tcPr>
          <w:tcW w:w="2551" w:type="dxa"/>
          <w:vAlign w:val="center"/>
        </w:tcPr>
        <w:p w14:paraId="1F3BFCD8" w14:textId="77777777" w:rsidR="00FD4305" w:rsidRDefault="00FD43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1" w:type="dxa"/>
          <w:vAlign w:val="center"/>
        </w:tcPr>
        <w:p w14:paraId="5B5FA177" w14:textId="77777777" w:rsidR="00FD4305" w:rsidRDefault="00FD430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FEAABD" w14:textId="77777777" w:rsidR="00FD4305" w:rsidRDefault="00FD4305">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49BC" w14:textId="77777777" w:rsidR="008820B1" w:rsidRDefault="008433D3">
    <w:pPr>
      <w:pBdr>
        <w:top w:val="nil"/>
        <w:left w:val="nil"/>
        <w:bottom w:val="nil"/>
        <w:right w:val="nil"/>
        <w:between w:val="nil"/>
      </w:pBdr>
      <w:tabs>
        <w:tab w:val="center" w:pos="4419"/>
        <w:tab w:val="right" w:pos="8838"/>
      </w:tabs>
      <w:jc w:val="both"/>
      <w:rPr>
        <w:color w:val="000000"/>
      </w:rPr>
    </w:pPr>
  </w:p>
  <w:p w14:paraId="4C8EA1B0" w14:textId="77777777" w:rsidR="008820B1" w:rsidRDefault="008433D3">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E51BF"/>
    <w:multiLevelType w:val="multilevel"/>
    <w:tmpl w:val="84A64AB4"/>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923E96"/>
    <w:multiLevelType w:val="multilevel"/>
    <w:tmpl w:val="88C21C7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2FB44AAD"/>
    <w:multiLevelType w:val="multilevel"/>
    <w:tmpl w:val="37A05C4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95366A"/>
    <w:multiLevelType w:val="multilevel"/>
    <w:tmpl w:val="6D70D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5A6D8C"/>
    <w:multiLevelType w:val="multilevel"/>
    <w:tmpl w:val="BAEA4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05"/>
    <w:rsid w:val="00FD43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C775"/>
  <w15:chartTrackingRefBased/>
  <w15:docId w15:val="{5B297B7D-D615-4F3C-B8E9-BCCC152B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30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player.es/5455342-Nuevas-tecnologiasbiometricas-instituto-nacional-de-ciencias-penales-procuraduria-general-de-la-republicaversion-1-0.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44</Pages>
  <Words>10163</Words>
  <Characters>55900</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KEPZAR Productos y Servicios de Tecnología</cp:lastModifiedBy>
  <cp:revision>1</cp:revision>
  <dcterms:created xsi:type="dcterms:W3CDTF">2022-04-05T15:46:00Z</dcterms:created>
  <dcterms:modified xsi:type="dcterms:W3CDTF">2022-04-05T15:54:00Z</dcterms:modified>
</cp:coreProperties>
</file>