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0AF7C" w14:textId="77777777" w:rsidR="00C153A1" w:rsidRDefault="00C153A1">
      <w:pPr>
        <w:widowControl w:val="0"/>
        <w:pBdr>
          <w:top w:val="nil"/>
          <w:left w:val="nil"/>
          <w:bottom w:val="nil"/>
          <w:right w:val="nil"/>
          <w:between w:val="nil"/>
        </w:pBdr>
        <w:spacing w:line="276" w:lineRule="auto"/>
      </w:pPr>
    </w:p>
    <w:p w14:paraId="0E190230"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Pr>
          <w:rFonts w:ascii="Palatino Linotype" w:eastAsia="Palatino Linotype" w:hAnsi="Palatino Linotype" w:cs="Palatino Linotype"/>
          <w:b/>
        </w:rPr>
        <w:t>quince de junio del dos mil veintidós</w:t>
      </w:r>
      <w:r>
        <w:rPr>
          <w:rFonts w:ascii="Palatino Linotype" w:eastAsia="Palatino Linotype" w:hAnsi="Palatino Linotype" w:cs="Palatino Linotype"/>
        </w:rPr>
        <w:t>.</w:t>
      </w:r>
    </w:p>
    <w:p w14:paraId="7075B29E" w14:textId="4DE79A1C" w:rsidR="00C153A1" w:rsidRDefault="008E7C6A">
      <w:pPr>
        <w:spacing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w:t>
      </w:r>
      <w:r>
        <w:rPr>
          <w:rFonts w:ascii="Palatino Linotype" w:eastAsia="Palatino Linotype" w:hAnsi="Palatino Linotype" w:cs="Palatino Linotype"/>
        </w:rPr>
        <w:t xml:space="preserve">nte relativo al recurso de revisión </w:t>
      </w:r>
      <w:r>
        <w:rPr>
          <w:rFonts w:ascii="Palatino Linotype" w:eastAsia="Palatino Linotype" w:hAnsi="Palatino Linotype" w:cs="Palatino Linotype"/>
          <w:b/>
          <w:sz w:val="22"/>
          <w:szCs w:val="22"/>
        </w:rPr>
        <w:t>03644/INFOEM/IP/RR/2022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 xml:space="preserve">el C. </w:t>
      </w:r>
      <w:r w:rsidR="008F3A94" w:rsidRPr="008F3A94">
        <w:rPr>
          <w:rFonts w:ascii="Palatino Linotype" w:eastAsia="Palatino Linotype" w:hAnsi="Palatino Linotype" w:cs="Palatino Linotype"/>
          <w:b/>
          <w:sz w:val="22"/>
          <w:szCs w:val="22"/>
        </w:rPr>
        <w:t>XXXXXXXXX XXX XX XXX</w:t>
      </w:r>
      <w:r>
        <w:rPr>
          <w:rFonts w:ascii="Palatino Linotype" w:eastAsia="Palatino Linotype" w:hAnsi="Palatino Linotype" w:cs="Palatino Linotype"/>
          <w:b/>
        </w:rPr>
        <w:t>,</w:t>
      </w:r>
      <w:r>
        <w:rPr>
          <w:rFonts w:ascii="Palatino Linotype" w:eastAsia="Palatino Linotype" w:hAnsi="Palatino Linotype" w:cs="Palatino Linotype"/>
        </w:rPr>
        <w:t xml:space="preserve"> 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b/>
          <w:i/>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contra de la respuesta a su solicitud de información con número de folio</w:t>
      </w:r>
      <w:r>
        <w:rPr>
          <w:rFonts w:ascii="Verdana" w:eastAsia="Verdana" w:hAnsi="Verdana" w:cs="Verdana"/>
          <w:b/>
          <w:color w:val="FF0000"/>
        </w:rPr>
        <w:t> </w:t>
      </w:r>
      <w:r>
        <w:rPr>
          <w:rFonts w:ascii="Palatino Linotype" w:eastAsia="Palatino Linotype" w:hAnsi="Palatino Linotype" w:cs="Palatino Linotype"/>
          <w:b/>
          <w:sz w:val="22"/>
          <w:szCs w:val="22"/>
        </w:rPr>
        <w:t>00019/TULTEPEC/IP</w:t>
      </w:r>
      <w:r>
        <w:rPr>
          <w:rFonts w:ascii="Palatino Linotype" w:eastAsia="Palatino Linotype" w:hAnsi="Palatino Linotype" w:cs="Palatino Linotype"/>
          <w:b/>
          <w:sz w:val="22"/>
          <w:szCs w:val="22"/>
        </w:rPr>
        <w:t>/2022</w:t>
      </w:r>
      <w:r>
        <w:rPr>
          <w:rFonts w:ascii="Palatino Linotype" w:eastAsia="Palatino Linotype" w:hAnsi="Palatino Linotype" w:cs="Palatino Linotype"/>
          <w:b/>
        </w:rPr>
        <w:t>,</w:t>
      </w:r>
      <w:r>
        <w:rPr>
          <w:rFonts w:ascii="Palatino Linotype" w:eastAsia="Palatino Linotype" w:hAnsi="Palatino Linotype" w:cs="Palatino Linotype"/>
        </w:rPr>
        <w:t xml:space="preserve"> otorgada por el </w:t>
      </w:r>
      <w:r>
        <w:rPr>
          <w:rFonts w:ascii="Palatino Linotype" w:eastAsia="Palatino Linotype" w:hAnsi="Palatino Linotype" w:cs="Palatino Linotype"/>
          <w:b/>
        </w:rPr>
        <w:t>Ayuntamiento de Tultepec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 procede a dictar la presente resolución, con base en lo siguiente. </w:t>
      </w:r>
    </w:p>
    <w:p w14:paraId="6E5246AA" w14:textId="77777777" w:rsidR="00C153A1" w:rsidRDefault="008E7C6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 A N T E C E D E N T E S:</w:t>
      </w:r>
    </w:p>
    <w:p w14:paraId="656DDDEB"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Con fecha treinta</w:t>
      </w:r>
      <w:r>
        <w:rPr>
          <w:rFonts w:ascii="Palatino Linotype" w:eastAsia="Palatino Linotype" w:hAnsi="Palatino Linotype" w:cs="Palatino Linotype"/>
          <w:b/>
        </w:rPr>
        <w:t xml:space="preserve"> de enero del d</w:t>
      </w:r>
      <w:r>
        <w:rPr>
          <w:rFonts w:ascii="Palatino Linotype" w:eastAsia="Palatino Linotype" w:hAnsi="Palatino Linotype" w:cs="Palatino Linotype"/>
          <w:b/>
        </w:rPr>
        <w:t>os mil veintidos,</w:t>
      </w:r>
      <w:r>
        <w:rPr>
          <w:rFonts w:ascii="Palatino Linotype" w:eastAsia="Palatino Linotype" w:hAnsi="Palatino Linotype" w:cs="Palatino Linotype"/>
        </w:rPr>
        <w:t xml:space="preserve"> la ahora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requiriendo lo siguiente:</w:t>
      </w:r>
    </w:p>
    <w:p w14:paraId="42E76B72" w14:textId="77777777" w:rsidR="00C153A1" w:rsidRDefault="008E7C6A">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REQUIERE EL CURRICULUM VITAE DEL SECRETARIO DEL AYUNTAMIENTO, CONTRALOR MUNICIPAL, DIRECTORES, SUBDIRECTORES, JEFES DE ÁREA, ENCARGADOS DE ÁREA. “(Sic)</w:t>
      </w:r>
    </w:p>
    <w:p w14:paraId="4311BD8B" w14:textId="77777777" w:rsidR="00C153A1" w:rsidRDefault="00C153A1">
      <w:pPr>
        <w:spacing w:after="240" w:line="360" w:lineRule="auto"/>
        <w:jc w:val="both"/>
        <w:rPr>
          <w:rFonts w:ascii="Palatino Linotype" w:eastAsia="Palatino Linotype" w:hAnsi="Palatino Linotype" w:cs="Palatino Linotype"/>
        </w:rPr>
      </w:pPr>
    </w:p>
    <w:p w14:paraId="1AA16221"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vía </w:t>
      </w:r>
      <w:r>
        <w:rPr>
          <w:rFonts w:ascii="Palatino Linotype" w:eastAsia="Palatino Linotype" w:hAnsi="Palatino Linotype" w:cs="Palatino Linotype"/>
          <w:b/>
        </w:rPr>
        <w:t>SAIMEX.</w:t>
      </w:r>
    </w:p>
    <w:p w14:paraId="3C3E3D4B" w14:textId="77777777" w:rsidR="00C153A1" w:rsidRDefault="00C153A1">
      <w:pPr>
        <w:spacing w:before="240" w:after="240" w:line="360" w:lineRule="auto"/>
        <w:jc w:val="both"/>
        <w:rPr>
          <w:rFonts w:ascii="Palatino Linotype" w:eastAsia="Palatino Linotype" w:hAnsi="Palatino Linotype" w:cs="Palatino Linotype"/>
        </w:rPr>
      </w:pPr>
    </w:p>
    <w:p w14:paraId="3AC22DA7" w14:textId="77777777" w:rsidR="00C153A1" w:rsidRDefault="00C153A1">
      <w:pPr>
        <w:spacing w:before="240" w:after="240" w:line="360" w:lineRule="auto"/>
        <w:jc w:val="center"/>
        <w:rPr>
          <w:rFonts w:ascii="Palatino Linotype" w:eastAsia="Palatino Linotype" w:hAnsi="Palatino Linotype" w:cs="Palatino Linotype"/>
        </w:rPr>
      </w:pPr>
    </w:p>
    <w:p w14:paraId="465E3D7A" w14:textId="77777777" w:rsidR="00C153A1" w:rsidRDefault="00C153A1">
      <w:pPr>
        <w:spacing w:before="240" w:after="240" w:line="360" w:lineRule="auto"/>
        <w:jc w:val="both"/>
        <w:rPr>
          <w:rFonts w:ascii="Palatino Linotype" w:eastAsia="Palatino Linotype" w:hAnsi="Palatino Linotype" w:cs="Palatino Linotype"/>
          <w:b/>
        </w:rPr>
      </w:pPr>
    </w:p>
    <w:p w14:paraId="28695B0C"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Con fundamento en el artículo 1</w:t>
      </w:r>
      <w:r>
        <w:rPr>
          <w:rFonts w:ascii="Palatino Linotype" w:eastAsia="Palatino Linotype" w:hAnsi="Palatino Linotype" w:cs="Palatino Linotype"/>
        </w:rPr>
        <w:t>63 de la Ley de Transparencia y Acceso a la Información Pública del Estado de México y Municipios, el SUJETO OBLIGADO en fecha veintiuno de febrero de dos mil veintidos, le hace del conocimiento del particular que el plazo de 15 días hábiles para atender l</w:t>
      </w:r>
      <w:r>
        <w:rPr>
          <w:rFonts w:ascii="Palatino Linotype" w:eastAsia="Palatino Linotype" w:hAnsi="Palatino Linotype" w:cs="Palatino Linotype"/>
        </w:rPr>
        <w:t>a solicitud de información se había  prorrogado por 7 días en virtud de las siguientes razones: “…</w:t>
      </w:r>
      <w:r>
        <w:rPr>
          <w:rFonts w:ascii="Palatino Linotype" w:eastAsia="Palatino Linotype" w:hAnsi="Palatino Linotype" w:cs="Palatino Linotype"/>
          <w:i/>
        </w:rPr>
        <w:t>Con fundamento en el artículo 163 de la Ley de Transparencia y Acceso a la Información Pública del Estado de México y Municipios, se le hace de su conocimient</w:t>
      </w:r>
      <w:r>
        <w:rPr>
          <w:rFonts w:ascii="Palatino Linotype" w:eastAsia="Palatino Linotype" w:hAnsi="Palatino Linotype" w:cs="Palatino Linotype"/>
          <w:i/>
        </w:rPr>
        <w:t>o que el plazo de 15 días hábiles para atender su solicitud de información ha sido prorrogado por 7 días en virtud de las siguientes razones: …</w:t>
      </w:r>
      <w:r>
        <w:rPr>
          <w:rFonts w:ascii="Palatino Linotype" w:eastAsia="Palatino Linotype" w:hAnsi="Palatino Linotype" w:cs="Palatino Linotype"/>
        </w:rPr>
        <w:t>”</w:t>
      </w:r>
    </w:p>
    <w:p w14:paraId="6CD69A26"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cuatro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otorgó,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r>
        <w:rPr>
          <w:rFonts w:ascii="Palatino Linotype" w:eastAsia="Palatino Linotype" w:hAnsi="Palatino Linotype" w:cs="Palatino Linotype"/>
        </w:rPr>
        <w:t>respuesta a la solicitud de acceso a la información de la siguiente manera:</w:t>
      </w:r>
    </w:p>
    <w:p w14:paraId="7FE485E2" w14:textId="77777777" w:rsidR="00C153A1" w:rsidRDefault="008E7C6A">
      <w:pPr>
        <w:spacing w:before="24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w:t>
      </w:r>
      <w:r>
        <w:rPr>
          <w:rFonts w:ascii="Palatino Linotype" w:eastAsia="Palatino Linotype" w:hAnsi="Palatino Linotype" w:cs="Palatino Linotype"/>
          <w:i/>
          <w:sz w:val="22"/>
          <w:szCs w:val="22"/>
        </w:rPr>
        <w:t xml:space="preserve"> Información Pública del Estado de México y Municipios, le contestamos que:</w:t>
      </w:r>
    </w:p>
    <w:p w14:paraId="7CF12675" w14:textId="77777777" w:rsidR="00C153A1" w:rsidRDefault="008E7C6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TULTEPEC MÉX. 04 DE MARZO 2022 Por medio de la presente y con la finalidad de garantizar su derecho de acceso a la información pública y cubrir satisfactoriamente su solicitud ingr</w:t>
      </w:r>
      <w:r>
        <w:rPr>
          <w:rFonts w:ascii="Palatino Linotype" w:eastAsia="Palatino Linotype" w:hAnsi="Palatino Linotype" w:cs="Palatino Linotype"/>
          <w:i/>
          <w:sz w:val="22"/>
          <w:szCs w:val="22"/>
        </w:rPr>
        <w:t>esada bajo el número de folio 00019/TULTEPEC/IP/2022, dando cumplimiento a lo establecido en el artículo 53, Fracciones II, V y VI de la Ley de Transparencia y Acceso a la Información Pública del Estado de México y Municipios, ANEXO ARCHIVO ELECTRONICO CON</w:t>
      </w:r>
      <w:r>
        <w:rPr>
          <w:rFonts w:ascii="Palatino Linotype" w:eastAsia="Palatino Linotype" w:hAnsi="Palatino Linotype" w:cs="Palatino Linotype"/>
          <w:i/>
          <w:sz w:val="22"/>
          <w:szCs w:val="22"/>
        </w:rPr>
        <w:t xml:space="preserve"> RESPUESTA, ACTA DEL COMITE Y ACUERDO DONDE SE APRUEBA UNA VERSIÓN PÚBLICA. Sin otro particular quedo a sus órdenes. ATTE: LUIS FERNANDO HURTADO ADUNA Encargada de despacho de la Unidad de Transparencia.” (Sic)</w:t>
      </w:r>
    </w:p>
    <w:p w14:paraId="4A5D6458" w14:textId="77777777" w:rsidR="00C153A1" w:rsidRDefault="00C153A1">
      <w:pPr>
        <w:ind w:left="851" w:right="902"/>
        <w:jc w:val="both"/>
        <w:rPr>
          <w:rFonts w:ascii="Palatino Linotype" w:eastAsia="Palatino Linotype" w:hAnsi="Palatino Linotype" w:cs="Palatino Linotype"/>
          <w:i/>
          <w:sz w:val="22"/>
          <w:szCs w:val="22"/>
        </w:rPr>
      </w:pPr>
    </w:p>
    <w:p w14:paraId="7BDF57F6" w14:textId="77777777" w:rsidR="00C153A1" w:rsidRDefault="008E7C6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(Énfasis añadido)</w:t>
      </w:r>
    </w:p>
    <w:p w14:paraId="423E69F5" w14:textId="77777777" w:rsidR="00C153A1" w:rsidRDefault="00C153A1">
      <w:pPr>
        <w:ind w:left="851" w:right="902"/>
        <w:jc w:val="both"/>
        <w:rPr>
          <w:rFonts w:ascii="Palatino Linotype" w:eastAsia="Palatino Linotype" w:hAnsi="Palatino Linotype" w:cs="Palatino Linotype"/>
          <w:sz w:val="22"/>
          <w:szCs w:val="22"/>
        </w:rPr>
      </w:pPr>
    </w:p>
    <w:p w14:paraId="6F73C3ED" w14:textId="77777777" w:rsidR="00C153A1" w:rsidRDefault="008E7C6A">
      <w:pPr>
        <w:spacing w:after="24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Adjunto a su respuesta 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proporcionó los archivos digitales siguientes: </w:t>
      </w:r>
    </w:p>
    <w:p w14:paraId="473058D4" w14:textId="77777777" w:rsidR="00C153A1" w:rsidRDefault="008E7C6A">
      <w:pPr>
        <w:numPr>
          <w:ilvl w:val="0"/>
          <w:numId w:val="5"/>
        </w:numPr>
        <w:pBdr>
          <w:top w:val="nil"/>
          <w:left w:val="nil"/>
          <w:bottom w:val="nil"/>
          <w:right w:val="nil"/>
          <w:between w:val="nil"/>
        </w:pBdr>
        <w:spacing w:before="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00019-TULTEPEC-IP-2022.zip </w:t>
      </w:r>
      <w:r>
        <w:rPr>
          <w:rFonts w:ascii="Palatino Linotype" w:eastAsia="Palatino Linotype" w:hAnsi="Palatino Linotype" w:cs="Palatino Linotype"/>
          <w:color w:val="000000"/>
        </w:rPr>
        <w:t>en su contenido se advierte el oficio DRH/111/2022 de fecha 23 de febrero de la presente anualidad suscrito por el Director de Recursos Humanos por medio del cual refiere que en atención al requerimiento de información  le hace llegar al Titular de la Unid</w:t>
      </w:r>
      <w:r>
        <w:rPr>
          <w:rFonts w:ascii="Palatino Linotype" w:eastAsia="Palatino Linotype" w:hAnsi="Palatino Linotype" w:cs="Palatino Linotype"/>
          <w:color w:val="000000"/>
        </w:rPr>
        <w:t xml:space="preserve">ad de Transparencia un total de 73 hojas en las que se incluye la información curricular del Secretario del ayuntamiento, Contralor, Directores y Jefes de Área del Ayuntamiento de Tultepec. </w:t>
      </w:r>
    </w:p>
    <w:p w14:paraId="24CC8F10" w14:textId="77777777" w:rsidR="00C153A1" w:rsidRDefault="00C153A1">
      <w:pPr>
        <w:pBdr>
          <w:top w:val="nil"/>
          <w:left w:val="nil"/>
          <w:bottom w:val="nil"/>
          <w:right w:val="nil"/>
          <w:between w:val="nil"/>
        </w:pBdr>
        <w:ind w:left="1571" w:right="902"/>
        <w:jc w:val="both"/>
        <w:rPr>
          <w:rFonts w:ascii="Palatino Linotype" w:eastAsia="Palatino Linotype" w:hAnsi="Palatino Linotype" w:cs="Palatino Linotype"/>
          <w:color w:val="000000"/>
        </w:rPr>
      </w:pPr>
    </w:p>
    <w:p w14:paraId="56992EAE" w14:textId="77777777" w:rsidR="00C153A1" w:rsidRDefault="008E7C6A">
      <w:pPr>
        <w:numPr>
          <w:ilvl w:val="0"/>
          <w:numId w:val="5"/>
        </w:numPr>
        <w:pBdr>
          <w:top w:val="nil"/>
          <w:left w:val="nil"/>
          <w:bottom w:val="nil"/>
          <w:right w:val="nil"/>
          <w:between w:val="nil"/>
        </w:pBdr>
        <w:spacing w:after="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Acta de la Primera sesión Ordinaria </w:t>
      </w:r>
      <w:r>
        <w:rPr>
          <w:rFonts w:ascii="Palatino Linotype" w:eastAsia="Palatino Linotype" w:hAnsi="Palatino Linotype" w:cs="Palatino Linotype"/>
          <w:color w:val="000000"/>
        </w:rPr>
        <w:t xml:space="preserve">del Comité de Transparencia Acceso a la Información Publica y Protección de Datos Personales a través de la cual se aprueba por medio de acuerdo la versión publica generada sobre los documentos remitidos.  </w:t>
      </w:r>
    </w:p>
    <w:p w14:paraId="4DA0A932" w14:textId="77777777" w:rsidR="00C153A1" w:rsidRDefault="00C153A1">
      <w:pPr>
        <w:spacing w:before="240"/>
        <w:ind w:right="902"/>
        <w:jc w:val="both"/>
        <w:rPr>
          <w:rFonts w:ascii="Palatino Linotype" w:eastAsia="Palatino Linotype" w:hAnsi="Palatino Linotype" w:cs="Palatino Linotype"/>
        </w:rPr>
      </w:pPr>
    </w:p>
    <w:p w14:paraId="2787B0CB" w14:textId="77777777" w:rsidR="00C153A1" w:rsidRDefault="00C153A1">
      <w:pPr>
        <w:ind w:right="902"/>
        <w:jc w:val="both"/>
        <w:rPr>
          <w:rFonts w:ascii="Palatino Linotype" w:eastAsia="Palatino Linotype" w:hAnsi="Palatino Linotype" w:cs="Palatino Linotype"/>
        </w:rPr>
      </w:pPr>
    </w:p>
    <w:p w14:paraId="1B96161E"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Recurso </w:t>
      </w:r>
      <w:r>
        <w:rPr>
          <w:rFonts w:ascii="Palatino Linotype" w:eastAsia="Palatino Linotype" w:hAnsi="Palatino Linotype" w:cs="Palatino Linotype"/>
          <w:b/>
        </w:rPr>
        <w:t>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 xml:space="preserve">Inconforme con la respuesta recibida,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en fecha nueve de marzo de dos mil veintidós, el presente medio de impugnación expresando las siguientes manifestaciones:</w:t>
      </w:r>
    </w:p>
    <w:p w14:paraId="67DB437B" w14:textId="77777777" w:rsidR="00C153A1" w:rsidRDefault="00C153A1">
      <w:pPr>
        <w:spacing w:line="360" w:lineRule="auto"/>
        <w:jc w:val="both"/>
        <w:rPr>
          <w:rFonts w:ascii="Palatino Linotype" w:eastAsia="Palatino Linotype" w:hAnsi="Palatino Linotype" w:cs="Palatino Linotype"/>
        </w:rPr>
      </w:pPr>
    </w:p>
    <w:p w14:paraId="61B8A391" w14:textId="77777777" w:rsidR="00C153A1" w:rsidRDefault="008E7C6A">
      <w:pPr>
        <w:spacing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0367E25F" w14:textId="77777777" w:rsidR="00C153A1" w:rsidRDefault="008E7C6A">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ENTREGA DE INFORMACIÓN INCOMPLETA Y</w:t>
      </w:r>
      <w:r>
        <w:rPr>
          <w:rFonts w:ascii="Palatino Linotype" w:eastAsia="Palatino Linotype" w:hAnsi="Palatino Linotype" w:cs="Palatino Linotype"/>
          <w:i/>
          <w:sz w:val="22"/>
          <w:szCs w:val="22"/>
        </w:rPr>
        <w:t xml:space="preserve"> LA CLASIFICACIÓN DE LA INFORMACIÓN” (Sic)</w:t>
      </w:r>
    </w:p>
    <w:p w14:paraId="4364112E" w14:textId="77777777" w:rsidR="00C153A1" w:rsidRDefault="00C153A1">
      <w:pPr>
        <w:ind w:left="851" w:right="902"/>
        <w:jc w:val="both"/>
        <w:rPr>
          <w:rFonts w:ascii="Palatino Linotype" w:eastAsia="Palatino Linotype" w:hAnsi="Palatino Linotype" w:cs="Palatino Linotype"/>
          <w:i/>
          <w:sz w:val="22"/>
          <w:szCs w:val="22"/>
        </w:rPr>
      </w:pPr>
    </w:p>
    <w:p w14:paraId="70F3F42A" w14:textId="77777777" w:rsidR="00C153A1" w:rsidRDefault="008E7C6A">
      <w:pPr>
        <w:spacing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Razones o motivos de inconformidad.</w:t>
      </w:r>
    </w:p>
    <w:p w14:paraId="59EAE305" w14:textId="77777777" w:rsidR="00C153A1" w:rsidRDefault="008E7C6A">
      <w:pPr>
        <w:spacing w:before="240" w:after="240"/>
        <w:ind w:left="851"/>
        <w:jc w:val="both"/>
        <w:rPr>
          <w:rFonts w:ascii="Palatino Linotype" w:eastAsia="Palatino Linotype" w:hAnsi="Palatino Linotype" w:cs="Palatino Linotype"/>
          <w:b/>
        </w:rPr>
      </w:pPr>
      <w:r>
        <w:rPr>
          <w:rFonts w:ascii="Palatino Linotype" w:eastAsia="Palatino Linotype" w:hAnsi="Palatino Linotype" w:cs="Palatino Linotype"/>
          <w:i/>
          <w:sz w:val="22"/>
          <w:szCs w:val="22"/>
        </w:rPr>
        <w:lastRenderedPageBreak/>
        <w:t>“SOLO ME HICIERON ENTREGA PARCIAL DE LA INFORMACIÓN PÚBLICA QUE SOLICITE, ADEMAS DE QUE NO ME QUEDA CLARO A QUE SERVIDOR PÚBLICO CORRESPONDE CADA CURRICULUM VITAE, LA CANTID</w:t>
      </w:r>
      <w:r>
        <w:rPr>
          <w:rFonts w:ascii="Palatino Linotype" w:eastAsia="Palatino Linotype" w:hAnsi="Palatino Linotype" w:cs="Palatino Linotype"/>
          <w:i/>
          <w:sz w:val="22"/>
          <w:szCs w:val="22"/>
        </w:rPr>
        <w:t>AD DE AREAS NO CONCIDEN CON LA CANTIDAD ENTREGADA, YA QUE CONFORME AL ARTICULO 16 DEL REGLAMENTO ORGÁNICO DE LA ADMINISTRACIÓN PÚBLICA MUNICIPAL, DE TULTEPEC ESTADO DE MÉXICO, MISMO QUE SE ENCUENTRA PÚBLICADO EN SU PAGINA INSTITUCIONAL, MENCIONA QUE PARA E</w:t>
      </w:r>
      <w:r>
        <w:rPr>
          <w:rFonts w:ascii="Palatino Linotype" w:eastAsia="Palatino Linotype" w:hAnsi="Palatino Linotype" w:cs="Palatino Linotype"/>
          <w:i/>
          <w:sz w:val="22"/>
          <w:szCs w:val="22"/>
        </w:rPr>
        <w:t xml:space="preserve">L DESPACHO, ESTUDIO Y PLANEACIÓN DE LOS ASUNTOS DE LA ADMINISTRACIÓN MUNICIPAL CENTRALIZADA, EL AYUNTAMIENTO CONTARÁ CON LAS SIGUIENTES DEPENDENCIAS: SECRETARÍA DEL AYUNTAMIENTO; TESORERÍA MUNICIPAL; CONTRALORÍA MUNICIPAL; COMISARÍA DE SEGURIDAD CIUDADANA </w:t>
      </w:r>
      <w:r>
        <w:rPr>
          <w:rFonts w:ascii="Palatino Linotype" w:eastAsia="Palatino Linotype" w:hAnsi="Palatino Linotype" w:cs="Palatino Linotype"/>
          <w:i/>
          <w:sz w:val="22"/>
          <w:szCs w:val="22"/>
        </w:rPr>
        <w:t>Y TRÁNSITO MUNICIPAL; DIRECCIÓN DE OBRAS PÚBLICAS; DIRECCIÓN DE DESARROLLO URBANO; JEFATURA DE LA OFICINA DE IMAGEN URBANA; DIRECCIÓN DE AGUA POTABLE, ALCANTARILLADO Y SANEAMIENTO; DIRECCIÓN DE ADMINISTRACIÓN, PLANEACIÓN Y EVALUACIÓN; COORDINACIÓN MUNICIPA</w:t>
      </w:r>
      <w:r>
        <w:rPr>
          <w:rFonts w:ascii="Palatino Linotype" w:eastAsia="Palatino Linotype" w:hAnsi="Palatino Linotype" w:cs="Palatino Linotype"/>
          <w:i/>
          <w:sz w:val="22"/>
          <w:szCs w:val="22"/>
        </w:rPr>
        <w:t>L DE PROTECCIÓN CIVIL; LA DIRECCIÓN DE DESARROLLO SOCIAL, EDUCACIÓN, CULTURA, TURISMO SOSTENIBLE Y DESARROLLO ARTESANAL; DIRECCIÓN DE SERVICIOS PÚBLICOS; DIRECCIÓN DE ECOLOGÍA, SALUD PÚBLICA Y FOMENTO AGROPECUARIO; DIRECCIÓN DE DESARROLLO ECONÓMICO; DIRECC</w:t>
      </w:r>
      <w:r>
        <w:rPr>
          <w:rFonts w:ascii="Palatino Linotype" w:eastAsia="Palatino Linotype" w:hAnsi="Palatino Linotype" w:cs="Palatino Linotype"/>
          <w:i/>
          <w:sz w:val="22"/>
          <w:szCs w:val="22"/>
        </w:rPr>
        <w:t>IÓN DE DESARROLLO DE LA PIROTECNIA; DIRECCIÓN DE RECURSOS HUMANOS; JEFATURA DE LA OFICINA DE APOYO A LA REGULARIZACIÓN DE LA PROPIEDAD PRIVADA INMOBILIARIA; JEFATURA DE LA OFICINA DE COMUNICACIÓN SOCIAL; OFICIALÍA MEDIADORA-CONCILIADORA; OFICIALÍA CALIFICA</w:t>
      </w:r>
      <w:r>
        <w:rPr>
          <w:rFonts w:ascii="Palatino Linotype" w:eastAsia="Palatino Linotype" w:hAnsi="Palatino Linotype" w:cs="Palatino Linotype"/>
          <w:i/>
          <w:sz w:val="22"/>
          <w:szCs w:val="22"/>
        </w:rPr>
        <w:t>DORA; DEFENSORÍA MUNICIPAL DE DERECHOS HUMANOS; UNIDAD DE LA SECRETARÍA TÉCNICA DEL CONSEJO MUNICIPAL DE SEGURIDAD PÚBLICA; INSTITUTO MUNICIPAL DE LA MUJER; UNIDAD DE TRANSPARENCIA, ACCESO A LA INFORMACIÓN PÚBLICA Y PROTECCIÓN DE DATOS PERSONALES; DIRECCIÓ</w:t>
      </w:r>
      <w:r>
        <w:rPr>
          <w:rFonts w:ascii="Palatino Linotype" w:eastAsia="Palatino Linotype" w:hAnsi="Palatino Linotype" w:cs="Palatino Linotype"/>
          <w:i/>
          <w:sz w:val="22"/>
          <w:szCs w:val="22"/>
        </w:rPr>
        <w:t>N DE ASUNTOS JURÍDICOS; DIRECCIÓN DE LÍMITES TERRITORIALES. ADEMAS QUE LA CLASIFICACIÓN DE INFORMACIÓN COMO CONFIDENCIAL QUE REALIZARON NO COINCIDE CON EL DOCUMENTO EN VERSIÓN PÚBLICA QUE ME ENTREGARON, EL ACUERDO QUE ADJUNTAN ES DE FECHA 8 DE FEBRERO DE 2</w:t>
      </w:r>
      <w:r>
        <w:rPr>
          <w:rFonts w:ascii="Palatino Linotype" w:eastAsia="Palatino Linotype" w:hAnsi="Palatino Linotype" w:cs="Palatino Linotype"/>
          <w:i/>
          <w:sz w:val="22"/>
          <w:szCs w:val="22"/>
        </w:rPr>
        <w:t xml:space="preserve">021 Y EL ACTA DE SESIÓN DE COMITÉ ES DE FECHA 11 DE FEBRERO, POSTERIOR AL ACUERDO LO QUE GENERA INCERTIDUMBRE A QUE CORRESPONDA AL DOCUMENTO QUE ME ENTREGAN EN VERSIÓN PÚBLICA, YA QUE EL MISMO NO CUENTA CON ALGUNA LEYENDA QUE </w:t>
      </w:r>
      <w:r>
        <w:rPr>
          <w:rFonts w:ascii="Palatino Linotype" w:eastAsia="Palatino Linotype" w:hAnsi="Palatino Linotype" w:cs="Palatino Linotype"/>
          <w:i/>
          <w:sz w:val="22"/>
          <w:szCs w:val="22"/>
        </w:rPr>
        <w:lastRenderedPageBreak/>
        <w:t>INDIQUE EL FUNDAMENTO LEGAL, L</w:t>
      </w:r>
      <w:r>
        <w:rPr>
          <w:rFonts w:ascii="Palatino Linotype" w:eastAsia="Palatino Linotype" w:hAnsi="Palatino Linotype" w:cs="Palatino Linotype"/>
          <w:i/>
          <w:sz w:val="22"/>
          <w:szCs w:val="22"/>
        </w:rPr>
        <w:t>A FECHA DE SESIÓN DEL COMITÉ DE TRANSPARENCIA Y NÚMERO DE ACUERDO, LOS DATOS PERSONALES CLASIFICADOS QUE TESTAN EN EL DOCUMENTO (SOLO COMO DATO INFORMATIVO MENCIONO QUE DICHO DOCUMENTO CARECE DE MEDIDAS DE SEGURIDAD, YA QUE SE PUEDEN VISUALIZAR LOS DATOS Q</w:t>
      </w:r>
      <w:r>
        <w:rPr>
          <w:rFonts w:ascii="Palatino Linotype" w:eastAsia="Palatino Linotype" w:hAnsi="Palatino Linotype" w:cs="Palatino Linotype"/>
          <w:i/>
          <w:sz w:val="22"/>
          <w:szCs w:val="22"/>
        </w:rPr>
        <w:t>UE CLASIFICARON COMO CONFIDENCIALES), LO ANTERIOR CON FUNDAMENTO EN LOS ARTÍCULOS 3 FRACCIONES IX, XX, XXI, XXXII, 86, 132, 133, 136, 137, 143 FRACCIÓN I, 176, 178, 179 FRACCIONES II Y V DE LA LEY DE TRANSPARENCIA Y ACCESO A LA INFORMACIÓN PÚBLICA DEL ESTA</w:t>
      </w:r>
      <w:r>
        <w:rPr>
          <w:rFonts w:ascii="Palatino Linotype" w:eastAsia="Palatino Linotype" w:hAnsi="Palatino Linotype" w:cs="Palatino Linotype"/>
          <w:i/>
          <w:sz w:val="22"/>
          <w:szCs w:val="22"/>
        </w:rPr>
        <w:t>DO DE MÉXICO Y MUNICIPIOS..” (Sic)</w:t>
      </w:r>
    </w:p>
    <w:p w14:paraId="23142916" w14:textId="77777777" w:rsidR="00C153A1" w:rsidRDefault="00C153A1">
      <w:pPr>
        <w:spacing w:before="240" w:after="240" w:line="360" w:lineRule="auto"/>
        <w:jc w:val="both"/>
        <w:rPr>
          <w:rFonts w:ascii="Palatino Linotype" w:eastAsia="Palatino Linotype" w:hAnsi="Palatino Linotype" w:cs="Palatino Linotype"/>
          <w:b/>
        </w:rPr>
      </w:pPr>
    </w:p>
    <w:p w14:paraId="5778E48B"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Turno. </w:t>
      </w:r>
      <w:r>
        <w:rPr>
          <w:rFonts w:ascii="Palatino Linotype" w:eastAsia="Palatino Linotype" w:hAnsi="Palatino Linotype" w:cs="Palatino Linotype"/>
        </w:rPr>
        <w:t>De conformidad con el artículo 185 fracción I de la Ley de Transparencia y Acceso a la Información Pública del Estado de México y Municipios vigente, el presente recurso de revisión se envió electrónicamente al</w:t>
      </w:r>
      <w:r>
        <w:rPr>
          <w:rFonts w:ascii="Palatino Linotype" w:eastAsia="Palatino Linotype" w:hAnsi="Palatino Linotype" w:cs="Palatino Linotype"/>
        </w:rPr>
        <w:t xml:space="preserve"> Instituto de Transparencia, Acceso a la Información Pública y Protección de Datos Personales del Estado de México y Municipios, que por razón de turno fue asignado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a su análisis, estudio, elaboración del proyect</w:t>
      </w:r>
      <w:r>
        <w:rPr>
          <w:rFonts w:ascii="Palatino Linotype" w:eastAsia="Palatino Linotype" w:hAnsi="Palatino Linotype" w:cs="Palatino Linotype"/>
        </w:rPr>
        <w:t>o y presentación ante el Pleno de este Instituto.</w:t>
      </w:r>
    </w:p>
    <w:p w14:paraId="53E48123"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Admisión. </w:t>
      </w:r>
      <w:r>
        <w:rPr>
          <w:rFonts w:ascii="Palatino Linotype" w:eastAsia="Palatino Linotype" w:hAnsi="Palatino Linotype" w:cs="Palatino Linotype"/>
        </w:rPr>
        <w:t>Mediante auto de fecha trece</w:t>
      </w:r>
      <w:r>
        <w:rPr>
          <w:rFonts w:ascii="Palatino Linotype" w:eastAsia="Palatino Linotype" w:hAnsi="Palatino Linotype" w:cs="Palatino Linotype"/>
          <w:b/>
        </w:rPr>
        <w:t xml:space="preserve"> de marzo de este año</w:t>
      </w:r>
      <w:r>
        <w:rPr>
          <w:rFonts w:ascii="Palatino Linotype" w:eastAsia="Palatino Linotype" w:hAnsi="Palatino Linotype" w:cs="Palatino Linotype"/>
        </w:rPr>
        <w:t>, este Órgano Garante, admitió a trámite el recurso de revisión respectivo, poniéndose a disposición de las partes, para que un plazo no mayor a siete días hábiles manifestase lo que a su derecho corresponda, a efecto de ofrecer pruebas, informe justificad</w:t>
      </w:r>
      <w:r>
        <w:rPr>
          <w:rFonts w:ascii="Palatino Linotype" w:eastAsia="Palatino Linotype" w:hAnsi="Palatino Linotype" w:cs="Palatino Linotype"/>
        </w:rPr>
        <w:t xml:space="preserve">o y alegatos, lo anterior con fundamento en el artículo 185 fracciones I, II y IV de la Ley de Transparencia y Acceso a la Información Pública del Estado de México y Municipios. </w:t>
      </w:r>
    </w:p>
    <w:p w14:paraId="003AF0FD" w14:textId="77777777" w:rsidR="00C153A1" w:rsidRDefault="008E7C6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7. Manifestaciones.</w:t>
      </w:r>
      <w:r>
        <w:rPr>
          <w:rFonts w:ascii="Palatino Linotype" w:eastAsia="Palatino Linotype" w:hAnsi="Palatino Linotype" w:cs="Palatino Linotype"/>
          <w:b/>
          <w:color w:val="000000"/>
          <w:sz w:val="28"/>
          <w:szCs w:val="28"/>
        </w:rPr>
        <w:t xml:space="preserve"> </w:t>
      </w:r>
      <w:r>
        <w:rPr>
          <w:rFonts w:ascii="Palatino Linotype" w:eastAsia="Palatino Linotype" w:hAnsi="Palatino Linotype" w:cs="Palatino Linotype"/>
          <w:color w:val="000000"/>
        </w:rPr>
        <w:t>De las constancias que integran el expediente en que se a</w:t>
      </w:r>
      <w:r>
        <w:rPr>
          <w:rFonts w:ascii="Palatino Linotype" w:eastAsia="Palatino Linotype" w:hAnsi="Palatino Linotype" w:cs="Palatino Linotype"/>
          <w:color w:val="000000"/>
        </w:rPr>
        <w:t xml:space="preserve">ctúan </w:t>
      </w:r>
      <w:r>
        <w:rPr>
          <w:rFonts w:ascii="Palatino Linotype" w:eastAsia="Palatino Linotype" w:hAnsi="Palatino Linotype" w:cs="Palatino Linotype"/>
          <w:color w:val="000000"/>
        </w:rPr>
        <w:lastRenderedPageBreak/>
        <w:t xml:space="preserve">se advierte que ambas partes fueron omisas en manifestarse en esta etapa procesal, en tal virtud se tiene por precluido su derecho. </w:t>
      </w:r>
    </w:p>
    <w:p w14:paraId="703BC225" w14:textId="77777777" w:rsidR="00C153A1" w:rsidRDefault="008E7C6A">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8. Cierre de Instrucción. </w:t>
      </w:r>
      <w:r>
        <w:rPr>
          <w:rFonts w:ascii="Palatino Linotype" w:eastAsia="Palatino Linotype" w:hAnsi="Palatino Linotype" w:cs="Palatino Linotype"/>
          <w:color w:val="000000"/>
        </w:rPr>
        <w:t>En fecha veinticinco de marzo del año dos mil veintidós, se emitió el acuerdo por medio del</w:t>
      </w:r>
      <w:r>
        <w:rPr>
          <w:rFonts w:ascii="Palatino Linotype" w:eastAsia="Palatino Linotype" w:hAnsi="Palatino Linotype" w:cs="Palatino Linotype"/>
          <w:color w:val="000000"/>
        </w:rPr>
        <w:t xml:space="preserve"> cual se declaró cerrada la instrucción, pasando el expediente a resolución, debido a que fue debidamente substanciado el expediente y no existiendo diligencia pendiente de desahogo, en términos del artículo 185 fracciones VI y VIII de la Ley de Transparen</w:t>
      </w:r>
      <w:r>
        <w:rPr>
          <w:rFonts w:ascii="Palatino Linotype" w:eastAsia="Palatino Linotype" w:hAnsi="Palatino Linotype" w:cs="Palatino Linotype"/>
          <w:color w:val="000000"/>
        </w:rPr>
        <w:t xml:space="preserve">cia y Acceso a la Información Pública del Estado de México y Municipios, el cual fue notificado a las partes en la misma fecha. </w:t>
      </w:r>
      <w:r>
        <w:rPr>
          <w:rFonts w:ascii="Palatino Linotype" w:eastAsia="Palatino Linotype" w:hAnsi="Palatino Linotype" w:cs="Palatino Linotype"/>
          <w:b/>
          <w:color w:val="000000"/>
          <w:sz w:val="28"/>
          <w:szCs w:val="28"/>
        </w:rPr>
        <w:t xml:space="preserve"> </w:t>
      </w:r>
    </w:p>
    <w:p w14:paraId="3F93F40A" w14:textId="77777777" w:rsidR="00C153A1" w:rsidRDefault="008E7C6A">
      <w:pPr>
        <w:widowControl w:val="0"/>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9. Ampliación de plazo.</w:t>
      </w:r>
      <w:r>
        <w:rPr>
          <w:rFonts w:ascii="Palatino Linotype" w:eastAsia="Palatino Linotype" w:hAnsi="Palatino Linotype" w:cs="Palatino Linotype"/>
        </w:rPr>
        <w:t xml:space="preserve"> En fecha trece de mayo de dos mil veintidós con fundamento en el artículo 181, párrafo tercero de la L</w:t>
      </w:r>
      <w:r>
        <w:rPr>
          <w:rFonts w:ascii="Palatino Linotype" w:eastAsia="Palatino Linotype" w:hAnsi="Palatino Linotype" w:cs="Palatino Linotype"/>
        </w:rPr>
        <w:t>ey de Transparencia y Acceso a la Información Pública del Estado de México y Municipios, se acordó la aplicación del plazo para su resolución.</w:t>
      </w:r>
    </w:p>
    <w:p w14:paraId="2A05E965" w14:textId="77777777" w:rsidR="00C153A1" w:rsidRDefault="008E7C6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II. C O N S I D E R A N D O S:</w:t>
      </w:r>
    </w:p>
    <w:p w14:paraId="3FD77F4A"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PRIMERO. 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b/>
          <w:highlight w:val="white"/>
        </w:rPr>
        <w:t>recurrente</w:t>
      </w:r>
      <w:r>
        <w:rPr>
          <w:rFonts w:ascii="Palatino Linotype" w:eastAsia="Palatino Linotype" w:hAnsi="Palatino Linotype" w:cs="Palatino Linotype"/>
          <w:highlight w:val="white"/>
        </w:rPr>
        <w:t>, conforme a lo disp</w:t>
      </w:r>
      <w:r>
        <w:rPr>
          <w:rFonts w:ascii="Palatino Linotype" w:eastAsia="Palatino Linotype" w:hAnsi="Palatino Linotype" w:cs="Palatino Linotype"/>
          <w:highlight w:val="white"/>
        </w:rPr>
        <w:t>uesto en los artículos 6, apartado A de la Constitución Política de los Estados Unidos Mexicanos; 5, párrafos trigésimo,  trigésimo primero, y trigésimo segundo fracción IV y V de la Constitución Política del Estado Libre y Soberano de México; 1, 2, fracci</w:t>
      </w:r>
      <w:r>
        <w:rPr>
          <w:rFonts w:ascii="Palatino Linotype" w:eastAsia="Palatino Linotype" w:hAnsi="Palatino Linotype" w:cs="Palatino Linotype"/>
          <w:highlight w:val="white"/>
        </w:rPr>
        <w:t xml:space="preserve">ón II; 13,  29, 36, fracciones I y II; 176, 178, 179, 181 párrafo 3 y 185 de la Ley Transparencia y Acceso a la Información </w:t>
      </w:r>
      <w:r>
        <w:rPr>
          <w:rFonts w:ascii="Palatino Linotype" w:eastAsia="Palatino Linotype" w:hAnsi="Palatino Linotype" w:cs="Palatino Linotype"/>
          <w:highlight w:val="white"/>
        </w:rPr>
        <w:lastRenderedPageBreak/>
        <w:t xml:space="preserve">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 xml:space="preserve">del Reglamento Interior del Instituto de Transparencia, Acceso </w:t>
      </w:r>
      <w:r>
        <w:rPr>
          <w:rFonts w:ascii="Palatino Linotype" w:eastAsia="Palatino Linotype" w:hAnsi="Palatino Linotype" w:cs="Palatino Linotype"/>
          <w:highlight w:val="white"/>
        </w:rPr>
        <w:t>a la Información Pública y Protección de Datos Personales del Estado de México y Municipios.</w:t>
      </w:r>
    </w:p>
    <w:p w14:paraId="493B0B2E"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rPr>
        <w:t>De conformidad con los requisitos de Oportunidad y Procedibilidad que debe reunir el recurso de revi</w:t>
      </w:r>
      <w:r>
        <w:rPr>
          <w:rFonts w:ascii="Palatino Linotype" w:eastAsia="Palatino Linotype" w:hAnsi="Palatino Linotype" w:cs="Palatino Linotype"/>
        </w:rPr>
        <w:t>sión interpuesto, previstos en los artículos 178 y 180 de la Ley de Transparencia y Acceso a la Información Pública del Estado de México y Municipios; en la especie se advierte que el presente medio de impugnación fue interpuesto dentro del plazo de quince</w:t>
      </w:r>
      <w:r>
        <w:rPr>
          <w:rFonts w:ascii="Palatino Linotype" w:eastAsia="Palatino Linotype" w:hAnsi="Palatino Linotype" w:cs="Palatino Linotype"/>
        </w:rPr>
        <w:t xml:space="preserv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cuatro de marzo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presentó su recurso de revisió</w:t>
      </w:r>
      <w:r>
        <w:rPr>
          <w:rFonts w:ascii="Palatino Linotype" w:eastAsia="Palatino Linotype" w:hAnsi="Palatino Linotype" w:cs="Palatino Linotype"/>
        </w:rPr>
        <w:t xml:space="preserve">n el día </w:t>
      </w:r>
      <w:r>
        <w:rPr>
          <w:rFonts w:ascii="Palatino Linotype" w:eastAsia="Palatino Linotype" w:hAnsi="Palatino Linotype" w:cs="Palatino Linotype"/>
          <w:b/>
        </w:rPr>
        <w:t>nueve de marzo del mismo</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tercer día hábil</w:t>
      </w:r>
      <w:r>
        <w:rPr>
          <w:rFonts w:ascii="Palatino Linotype" w:eastAsia="Palatino Linotype" w:hAnsi="Palatino Linotype" w:cs="Palatino Linotype"/>
        </w:rPr>
        <w:t xml:space="preserve"> en el que tuvo conocimiento de la respuesta; evidenciándose que la interposición del recurso se encuentra dentro de los márgenes temporales previstos en el citado precepto legal.</w:t>
      </w:r>
    </w:p>
    <w:p w14:paraId="7928C09E"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mismo, es</w:t>
      </w:r>
      <w:r>
        <w:rPr>
          <w:rFonts w:ascii="Palatino Linotype" w:eastAsia="Palatino Linotype" w:hAnsi="Palatino Linotype" w:cs="Palatino Linotype"/>
        </w:rPr>
        <w:t>ta Ponencia considera importante abordar el análisis de los requisitos de procedibilidad de los recursos de revisión, así el artículo 180 de la Ley de Transparencia y Acceso a la Información Pública del Estado de México y Municipios, que establece lo sigui</w:t>
      </w:r>
      <w:r>
        <w:rPr>
          <w:rFonts w:ascii="Palatino Linotype" w:eastAsia="Palatino Linotype" w:hAnsi="Palatino Linotype" w:cs="Palatino Linotype"/>
        </w:rPr>
        <w:t>ente:</w:t>
      </w:r>
    </w:p>
    <w:p w14:paraId="2B727698" w14:textId="77777777" w:rsidR="00C153A1" w:rsidRDefault="00C153A1">
      <w:pPr>
        <w:spacing w:line="360" w:lineRule="auto"/>
        <w:jc w:val="both"/>
        <w:rPr>
          <w:rFonts w:ascii="Palatino Linotype" w:eastAsia="Palatino Linotype" w:hAnsi="Palatino Linotype" w:cs="Palatino Linotype"/>
        </w:rPr>
      </w:pPr>
    </w:p>
    <w:p w14:paraId="613C6F2C" w14:textId="77777777" w:rsidR="00C153A1" w:rsidRDefault="008E7C6A">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180</w:t>
      </w:r>
      <w:r>
        <w:rPr>
          <w:rFonts w:ascii="Palatino Linotype" w:eastAsia="Palatino Linotype" w:hAnsi="Palatino Linotype" w:cs="Palatino Linotype"/>
          <w:i/>
        </w:rPr>
        <w:t xml:space="preserve">. El recurso de revisión contendrá: </w:t>
      </w:r>
    </w:p>
    <w:p w14:paraId="6681CF89" w14:textId="77777777" w:rsidR="00C153A1" w:rsidRDefault="008E7C6A">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w:t>
      </w:r>
      <w:r>
        <w:rPr>
          <w:rFonts w:ascii="Palatino Linotype" w:eastAsia="Palatino Linotype" w:hAnsi="Palatino Linotype" w:cs="Palatino Linotype"/>
          <w:i/>
        </w:rPr>
        <w:t xml:space="preserve">. El Sujeto Obligado ante la cual se presentó la solicitud; </w:t>
      </w:r>
    </w:p>
    <w:p w14:paraId="1D03B1D5" w14:textId="77777777" w:rsidR="00C153A1" w:rsidRDefault="008E7C6A">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II</w:t>
      </w:r>
      <w:r>
        <w:rPr>
          <w:rFonts w:ascii="Palatino Linotype" w:eastAsia="Palatino Linotype" w:hAnsi="Palatino Linotype" w:cs="Palatino Linotype"/>
          <w:i/>
        </w:rPr>
        <w:t xml:space="preserve">. </w:t>
      </w:r>
      <w:r>
        <w:rPr>
          <w:rFonts w:ascii="Palatino Linotype" w:eastAsia="Palatino Linotype" w:hAnsi="Palatino Linotype" w:cs="Palatino Linotype"/>
          <w:i/>
          <w:u w:val="single"/>
        </w:rPr>
        <w:t>El nombre del solicitante</w:t>
      </w:r>
      <w:r>
        <w:rPr>
          <w:rFonts w:ascii="Palatino Linotype" w:eastAsia="Palatino Linotype" w:hAnsi="Palatino Linotype" w:cs="Palatino Linotype"/>
          <w:i/>
        </w:rPr>
        <w:t xml:space="preserve"> que recurre o de su representante y, en su caso, del tercero interesado, así como la dirección o medio que </w:t>
      </w:r>
      <w:r>
        <w:rPr>
          <w:rFonts w:ascii="Palatino Linotype" w:eastAsia="Palatino Linotype" w:hAnsi="Palatino Linotype" w:cs="Palatino Linotype"/>
          <w:i/>
        </w:rPr>
        <w:t xml:space="preserve">señale para recibir notificaciones; </w:t>
      </w:r>
    </w:p>
    <w:p w14:paraId="31CA03E8" w14:textId="77777777" w:rsidR="00C153A1" w:rsidRDefault="008E7C6A">
      <w:pPr>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14:paraId="2E04B8B8" w14:textId="77777777" w:rsidR="00C153A1" w:rsidRDefault="00C153A1">
      <w:pPr>
        <w:spacing w:line="360" w:lineRule="auto"/>
        <w:jc w:val="both"/>
        <w:rPr>
          <w:rFonts w:ascii="Palatino Linotype" w:eastAsia="Palatino Linotype" w:hAnsi="Palatino Linotype" w:cs="Palatino Linotype"/>
          <w:color w:val="FF0000"/>
        </w:rPr>
      </w:pPr>
    </w:p>
    <w:p w14:paraId="062F31BB"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principio, de una interpretación del artículo transcrito se observan los requisitos que deberán contener los recursos de revisión; sobre el particular, de la revisión del expediente electrónico del SAIMEX se desprende que el solicitante y ahora Recurren</w:t>
      </w:r>
      <w:r>
        <w:rPr>
          <w:rFonts w:ascii="Palatino Linotype" w:eastAsia="Palatino Linotype" w:hAnsi="Palatino Linotype" w:cs="Palatino Linotype"/>
        </w:rPr>
        <w:t>te, en ejercicio de su derecho de acceso a la información pública, no proporcionó un nombre para que sea identificado, ya que en el apartado de “DATOS DEL SOLICITANTE”, no señaló nombre o seudónimo con el cual desee identificarse, por lo que no tiene certe</w:t>
      </w:r>
      <w:r>
        <w:rPr>
          <w:rFonts w:ascii="Palatino Linotype" w:eastAsia="Palatino Linotype" w:hAnsi="Palatino Linotype" w:cs="Palatino Linotype"/>
        </w:rPr>
        <w:t>za sobre su identidad, lo que en estricto sentido, no se colmarían los requisitos establecidos en el citado artículo 180 de la Ley de Transparencia.</w:t>
      </w:r>
    </w:p>
    <w:p w14:paraId="5B937FF7"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obstante lo anterior, debe destacarse que el artículo 15 de Ley de Transparencia y Acceso a la Informaci</w:t>
      </w:r>
      <w:r>
        <w:rPr>
          <w:rFonts w:ascii="Palatino Linotype" w:eastAsia="Palatino Linotype" w:hAnsi="Palatino Linotype" w:cs="Palatino Linotype"/>
        </w:rPr>
        <w:t>ón Pública del Estado de México y Municipios prevé que toda persona tendrá acceso a la información sin necesidad de acreditar interés alguno o justificar su utilización, de lo que se infiere que para el ejercicio del derecho de acceso a la información públ</w:t>
      </w:r>
      <w:r>
        <w:rPr>
          <w:rFonts w:ascii="Palatino Linotype" w:eastAsia="Palatino Linotype" w:hAnsi="Palatino Linotype" w:cs="Palatino Linotype"/>
        </w:rPr>
        <w:t xml:space="preserve">ica, el nombre no es un requisito </w:t>
      </w:r>
      <w:r>
        <w:rPr>
          <w:rFonts w:ascii="Palatino Linotype" w:eastAsia="Palatino Linotype" w:hAnsi="Palatino Linotype" w:cs="Palatino Linotype"/>
          <w:i/>
        </w:rPr>
        <w:t>sine qua non</w:t>
      </w:r>
      <w:r>
        <w:rPr>
          <w:rFonts w:ascii="Palatino Linotype" w:eastAsia="Palatino Linotype" w:hAnsi="Palatino Linotype" w:cs="Palatino Linotype"/>
        </w:rPr>
        <w:t xml:space="preserve"> que los particulares y, en su caso, los Recurrentes deban señalar, por el contrario la Ley de Transparencia prevé en su artículo 155, párrafo segundo la posibilidad de que las solicitudes de información sean a</w:t>
      </w:r>
      <w:r>
        <w:rPr>
          <w:rFonts w:ascii="Palatino Linotype" w:eastAsia="Palatino Linotype" w:hAnsi="Palatino Linotype" w:cs="Palatino Linotype"/>
        </w:rPr>
        <w:t>nónimas, con nombre incompleto o seudónimo.</w:t>
      </w:r>
    </w:p>
    <w:p w14:paraId="44A106F0" w14:textId="77777777" w:rsidR="00C153A1" w:rsidRDefault="008E7C6A">
      <w:pPr>
        <w:spacing w:line="360" w:lineRule="auto"/>
        <w:jc w:val="both"/>
        <w:rPr>
          <w:rFonts w:ascii="Palatino Linotype" w:eastAsia="Palatino Linotype" w:hAnsi="Palatino Linotype" w:cs="Palatino Linotype"/>
          <w:color w:val="FF0000"/>
        </w:rPr>
      </w:pPr>
      <w:r>
        <w:rPr>
          <w:rFonts w:ascii="Palatino Linotype" w:eastAsia="Palatino Linotype" w:hAnsi="Palatino Linotype" w:cs="Palatino Linotype"/>
        </w:rPr>
        <w:t>Correlativo a ello, cabe mencionar que los artículos 6, Apartado A, fracciones I, III, V y VI de la Constitución Política de los Estados Unidos Mexicanos y 5 párrafos vigésimo, vigésimo primero y vigésimo segundo</w:t>
      </w:r>
      <w:r>
        <w:rPr>
          <w:rFonts w:ascii="Palatino Linotype" w:eastAsia="Palatino Linotype" w:hAnsi="Palatino Linotype" w:cs="Palatino Linotype"/>
        </w:rPr>
        <w:t xml:space="preserve"> fracciones I y III de la Constitución </w:t>
      </w:r>
      <w:r>
        <w:rPr>
          <w:rFonts w:ascii="Palatino Linotype" w:eastAsia="Palatino Linotype" w:hAnsi="Palatino Linotype" w:cs="Palatino Linotype"/>
        </w:rPr>
        <w:lastRenderedPageBreak/>
        <w:t xml:space="preserve">Política del Estado Libre y Soberano de México, garantizan el ejercicio del derecho de acceso a la información pública, toda vez que disponen que toda persona sin necesidad de acreditar interés alguno o justificar su </w:t>
      </w:r>
      <w:r>
        <w:rPr>
          <w:rFonts w:ascii="Palatino Linotype" w:eastAsia="Palatino Linotype" w:hAnsi="Palatino Linotype" w:cs="Palatino Linotype"/>
        </w:rPr>
        <w:t>utilización, tendrá acceso gratuito a la información pública</w:t>
      </w:r>
      <w:r>
        <w:rPr>
          <w:rFonts w:ascii="Palatino Linotype" w:eastAsia="Palatino Linotype" w:hAnsi="Palatino Linotype" w:cs="Palatino Linotype"/>
          <w:color w:val="FF0000"/>
        </w:rPr>
        <w:t xml:space="preserve">. </w:t>
      </w:r>
    </w:p>
    <w:p w14:paraId="709407B7" w14:textId="77777777" w:rsidR="00C153A1" w:rsidRDefault="00C153A1">
      <w:pPr>
        <w:spacing w:line="360" w:lineRule="auto"/>
        <w:jc w:val="both"/>
        <w:rPr>
          <w:rFonts w:ascii="Palatino Linotype" w:eastAsia="Palatino Linotype" w:hAnsi="Palatino Linotype" w:cs="Palatino Linotype"/>
          <w:color w:val="FF0000"/>
        </w:rPr>
      </w:pPr>
    </w:p>
    <w:p w14:paraId="79F8F236"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una interpretación sistemática, armónica y progresiva del derecho humano de acceso a la información pública se reitera que toda persona, sin necesidad de acreditar interés alguno o justificar su utilización, deberá tener acceso a la informac</w:t>
      </w:r>
      <w:r>
        <w:rPr>
          <w:rFonts w:ascii="Palatino Linotype" w:eastAsia="Palatino Linotype" w:hAnsi="Palatino Linotype" w:cs="Palatino Linotype"/>
        </w:rPr>
        <w:t>ión pública, es decir, dicho derecho fundamental exime a quien lo ejerce, de acreditar su legitimación en la causa o su interés en el asunto, lo que permite la posibilidad de que inclusive, la solicitud de acceso a la información pueda ser anónima o no con</w:t>
      </w:r>
      <w:r>
        <w:rPr>
          <w:rFonts w:ascii="Palatino Linotype" w:eastAsia="Palatino Linotype" w:hAnsi="Palatino Linotype" w:cs="Palatino Linotype"/>
        </w:rPr>
        <w:t>tener un nombre que identifique al solicitante o que permita tener certeza sobre su identidad.</w:t>
      </w:r>
    </w:p>
    <w:p w14:paraId="5E70EFD6" w14:textId="77777777" w:rsidR="00C153A1" w:rsidRDefault="00C153A1">
      <w:pPr>
        <w:spacing w:line="360" w:lineRule="auto"/>
        <w:jc w:val="both"/>
        <w:rPr>
          <w:rFonts w:ascii="Palatino Linotype" w:eastAsia="Palatino Linotype" w:hAnsi="Palatino Linotype" w:cs="Palatino Linotype"/>
        </w:rPr>
      </w:pPr>
    </w:p>
    <w:p w14:paraId="2DADC613"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Robustece lo anterior, el Criterio 6/2014 del entonces Instituto Federal de Acceso a la Información y Protección de Datos (IFAI) hoy Instituto Nacional de Trans</w:t>
      </w:r>
      <w:r>
        <w:rPr>
          <w:rFonts w:ascii="Palatino Linotype" w:eastAsia="Palatino Linotype" w:hAnsi="Palatino Linotype" w:cs="Palatino Linotype"/>
        </w:rPr>
        <w:t>parencia, Acceso a la Información y Protección de Datos Personales (INAI), el cual se reproduce para una mayor referencia:</w:t>
      </w:r>
    </w:p>
    <w:p w14:paraId="7E949EDD" w14:textId="77777777" w:rsidR="00C153A1" w:rsidRDefault="008E7C6A">
      <w:pPr>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Acceso a información gubernamental. No debe condicionarse a que el solicitante acredite su personalidad, demuestre interés alguno o </w:t>
      </w:r>
      <w:r>
        <w:rPr>
          <w:rFonts w:ascii="Palatino Linotype" w:eastAsia="Palatino Linotype" w:hAnsi="Palatino Linotype" w:cs="Palatino Linotype"/>
          <w:b/>
          <w:i/>
        </w:rPr>
        <w:t>justifique su utilización.</w:t>
      </w:r>
      <w:r>
        <w:rPr>
          <w:rFonts w:ascii="Palatino Linotype" w:eastAsia="Palatino Linotype" w:hAnsi="Palatino Linotype" w:cs="Palatino Linotype"/>
          <w:i/>
        </w:rPr>
        <w:t xml:space="preserve"> De conformidad con lo dispuesto en los artículos 6o., apartado A, fracción III de la Constitución Política de los Estados Unidos Mexicanos, y 1º, 2º, 4º y 40 de la Ley Federal de Transparencia y Acceso a la Información Pública Gu</w:t>
      </w:r>
      <w:r>
        <w:rPr>
          <w:rFonts w:ascii="Palatino Linotype" w:eastAsia="Palatino Linotype" w:hAnsi="Palatino Linotype" w:cs="Palatino Linotype"/>
          <w:i/>
        </w:rPr>
        <w:t xml:space="preserve">bernamental, la respuesta a una solicitud de acceso a información y entrega de la misma, no debe estar condicionada a que el particular acredite su personalidad, demuestre interés alguno o justifique su utilización, en </w:t>
      </w:r>
      <w:r>
        <w:rPr>
          <w:rFonts w:ascii="Palatino Linotype" w:eastAsia="Palatino Linotype" w:hAnsi="Palatino Linotype" w:cs="Palatino Linotype"/>
          <w:i/>
        </w:rPr>
        <w:lastRenderedPageBreak/>
        <w:t>virtud de que los sujetos obligados n</w:t>
      </w:r>
      <w:r>
        <w:rPr>
          <w:rFonts w:ascii="Palatino Linotype" w:eastAsia="Palatino Linotype" w:hAnsi="Palatino Linotype" w:cs="Palatino Linotype"/>
          <w:i/>
        </w:rPr>
        <w:t>o deben requerir al solicitante mayores requisitos que los establecidos en la Ley. En este sentido, las dependencias y entidades, sólo deberán asegurarse de que, en su caso, se haya cubierto el pago de reproducción y envío de la información, mediante la ex</w:t>
      </w:r>
      <w:r>
        <w:rPr>
          <w:rFonts w:ascii="Palatino Linotype" w:eastAsia="Palatino Linotype" w:hAnsi="Palatino Linotype" w:cs="Palatino Linotype"/>
          <w:i/>
        </w:rPr>
        <w:t>hibición del recibo correspondiente.</w:t>
      </w:r>
    </w:p>
    <w:p w14:paraId="269F8DEE" w14:textId="77777777" w:rsidR="00C153A1" w:rsidRDefault="00C153A1">
      <w:pPr>
        <w:ind w:left="567" w:right="567"/>
        <w:jc w:val="both"/>
        <w:rPr>
          <w:rFonts w:ascii="Palatino Linotype" w:eastAsia="Palatino Linotype" w:hAnsi="Palatino Linotype" w:cs="Palatino Linotype"/>
          <w:i/>
        </w:rPr>
      </w:pPr>
    </w:p>
    <w:p w14:paraId="5214B0DC" w14:textId="77777777" w:rsidR="00C153A1" w:rsidRDefault="008E7C6A">
      <w:pPr>
        <w:ind w:left="567" w:right="567"/>
        <w:jc w:val="both"/>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Resoluciones</w:t>
      </w:r>
    </w:p>
    <w:p w14:paraId="7ED1DA1C" w14:textId="77777777" w:rsidR="00C153A1" w:rsidRDefault="008E7C6A">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RDA 5275/13.</w:t>
      </w:r>
      <w:r>
        <w:rPr>
          <w:rFonts w:ascii="Palatino Linotype" w:eastAsia="Palatino Linotype" w:hAnsi="Palatino Linotype" w:cs="Palatino Linotype"/>
          <w:i/>
          <w:sz w:val="20"/>
          <w:szCs w:val="20"/>
        </w:rPr>
        <w:t xml:space="preserve"> Interpuesto en contra de la Secretaría de la Defensa Nacional. Comisionado Ponente Ángel Trinidad Zaldívar.</w:t>
      </w:r>
    </w:p>
    <w:p w14:paraId="53A95D7B" w14:textId="77777777" w:rsidR="00C153A1" w:rsidRDefault="008E7C6A">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RDA 2937/13.</w:t>
      </w:r>
      <w:r>
        <w:rPr>
          <w:rFonts w:ascii="Palatino Linotype" w:eastAsia="Palatino Linotype" w:hAnsi="Palatino Linotype" w:cs="Palatino Linotype"/>
          <w:i/>
          <w:sz w:val="20"/>
          <w:szCs w:val="20"/>
        </w:rPr>
        <w:t xml:space="preserve"> Interpuesto en contra de LICONSA, S.A. de C.V. Comisionado. Ponente</w:t>
      </w:r>
      <w:r>
        <w:rPr>
          <w:rFonts w:ascii="Palatino Linotype" w:eastAsia="Palatino Linotype" w:hAnsi="Palatino Linotype" w:cs="Palatino Linotype"/>
          <w:i/>
          <w:sz w:val="20"/>
          <w:szCs w:val="20"/>
        </w:rPr>
        <w:t xml:space="preserve"> Gerardo Laveaga Rendón.</w:t>
      </w:r>
    </w:p>
    <w:p w14:paraId="23741486" w14:textId="77777777" w:rsidR="00C153A1" w:rsidRDefault="008E7C6A">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RDA 3609/12.</w:t>
      </w:r>
      <w:r>
        <w:rPr>
          <w:rFonts w:ascii="Palatino Linotype" w:eastAsia="Palatino Linotype" w:hAnsi="Palatino Linotype" w:cs="Palatino Linotype"/>
          <w:i/>
          <w:sz w:val="20"/>
          <w:szCs w:val="20"/>
        </w:rPr>
        <w:t xml:space="preserve"> Interpuesto en contra de la Secretaría de Educación Pública. Comisionada Ponente Sigrid Arzt Colunga.</w:t>
      </w:r>
    </w:p>
    <w:p w14:paraId="37440E2E" w14:textId="77777777" w:rsidR="00C153A1" w:rsidRDefault="008E7C6A">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RDA 3361/12.</w:t>
      </w:r>
      <w:r>
        <w:rPr>
          <w:rFonts w:ascii="Palatino Linotype" w:eastAsia="Palatino Linotype" w:hAnsi="Palatino Linotype" w:cs="Palatino Linotype"/>
          <w:i/>
          <w:sz w:val="20"/>
          <w:szCs w:val="20"/>
        </w:rPr>
        <w:t xml:space="preserve"> Interpuesto en contra del Servicio de Administración Tributaria. Comisionada Ponente María Elena Pé</w:t>
      </w:r>
      <w:r>
        <w:rPr>
          <w:rFonts w:ascii="Palatino Linotype" w:eastAsia="Palatino Linotype" w:hAnsi="Palatino Linotype" w:cs="Palatino Linotype"/>
          <w:i/>
          <w:sz w:val="20"/>
          <w:szCs w:val="20"/>
        </w:rPr>
        <w:t>rez-Jaén Zermeño.</w:t>
      </w:r>
    </w:p>
    <w:p w14:paraId="48E0C8B6" w14:textId="77777777" w:rsidR="00C153A1" w:rsidRDefault="008E7C6A">
      <w:pPr>
        <w:ind w:left="567" w:right="567"/>
        <w:jc w:val="both"/>
        <w:rPr>
          <w:rFonts w:ascii="Palatino Linotype" w:eastAsia="Palatino Linotype" w:hAnsi="Palatino Linotype" w:cs="Palatino Linotype"/>
          <w:i/>
          <w:sz w:val="20"/>
          <w:szCs w:val="20"/>
        </w:rPr>
      </w:pPr>
      <w:r>
        <w:rPr>
          <w:rFonts w:ascii="Palatino Linotype" w:eastAsia="Palatino Linotype" w:hAnsi="Palatino Linotype" w:cs="Palatino Linotype"/>
          <w:b/>
          <w:i/>
          <w:sz w:val="20"/>
          <w:szCs w:val="20"/>
        </w:rPr>
        <w:t>• RDA 0563/12.</w:t>
      </w:r>
      <w:r>
        <w:rPr>
          <w:rFonts w:ascii="Palatino Linotype" w:eastAsia="Palatino Linotype" w:hAnsi="Palatino Linotype" w:cs="Palatino Linotype"/>
          <w:i/>
          <w:sz w:val="20"/>
          <w:szCs w:val="20"/>
        </w:rPr>
        <w:t xml:space="preserve"> Interpuesto en contra de la Secretaría de la Función Pública. Comisionada Ponente Jacqueline Peschard Mariscal.”</w:t>
      </w:r>
    </w:p>
    <w:p w14:paraId="7280CB53" w14:textId="77777777" w:rsidR="00C153A1" w:rsidRDefault="00C153A1">
      <w:pPr>
        <w:ind w:left="567" w:right="567"/>
        <w:jc w:val="both"/>
        <w:rPr>
          <w:rFonts w:ascii="Palatino Linotype" w:eastAsia="Palatino Linotype" w:hAnsi="Palatino Linotype" w:cs="Palatino Linotype"/>
          <w:i/>
          <w:sz w:val="20"/>
          <w:szCs w:val="20"/>
        </w:rPr>
      </w:pPr>
    </w:p>
    <w:p w14:paraId="52052DDB" w14:textId="77777777" w:rsidR="00C153A1" w:rsidRDefault="008E7C6A">
      <w:pPr>
        <w:pBdr>
          <w:top w:val="nil"/>
          <w:left w:val="nil"/>
          <w:bottom w:val="nil"/>
          <w:right w:val="nil"/>
          <w:between w:val="nil"/>
        </w:pBdr>
        <w:spacing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resulta procedente la interposición del recurso, según lo aducido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razones o </w:t>
      </w:r>
      <w:r>
        <w:rPr>
          <w:rFonts w:ascii="Palatino Linotype" w:eastAsia="Palatino Linotype" w:hAnsi="Palatino Linotype" w:cs="Palatino Linotype"/>
          <w:color w:val="000000"/>
        </w:rPr>
        <w:t>motivos de inconformidad, de acuerdo a los artículos 176 y  179, fracción I de la Ley de Transparencia y Acceso a la Información Pública del Es</w:t>
      </w:r>
      <w:r>
        <w:rPr>
          <w:rFonts w:ascii="Palatino Linotype" w:eastAsia="Palatino Linotype" w:hAnsi="Palatino Linotype" w:cs="Palatino Linotype"/>
          <w:color w:val="000000"/>
        </w:rPr>
        <w:t>tado de México y Municipios; que a la letra dice:</w:t>
      </w:r>
    </w:p>
    <w:p w14:paraId="2BBD0A65" w14:textId="77777777" w:rsidR="00C153A1" w:rsidRDefault="00C153A1">
      <w:pPr>
        <w:spacing w:after="120"/>
        <w:ind w:left="851" w:right="902"/>
        <w:jc w:val="both"/>
        <w:rPr>
          <w:rFonts w:ascii="Palatino Linotype" w:eastAsia="Palatino Linotype" w:hAnsi="Palatino Linotype" w:cs="Palatino Linotype"/>
          <w:b/>
          <w:i/>
          <w:sz w:val="20"/>
          <w:szCs w:val="20"/>
        </w:rPr>
      </w:pPr>
    </w:p>
    <w:p w14:paraId="0E448462" w14:textId="77777777" w:rsidR="00C153A1" w:rsidRDefault="008E7C6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 “Artículo 176. </w:t>
      </w:r>
      <w:r>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s</w:t>
      </w:r>
      <w:r>
        <w:rPr>
          <w:rFonts w:ascii="Palatino Linotype" w:eastAsia="Palatino Linotype" w:hAnsi="Palatino Linotype" w:cs="Palatino Linotype"/>
          <w:i/>
          <w:sz w:val="22"/>
          <w:szCs w:val="22"/>
        </w:rPr>
        <w:t>iguiente Capítulo.</w:t>
      </w:r>
    </w:p>
    <w:p w14:paraId="75976636" w14:textId="77777777" w:rsidR="00C153A1" w:rsidRDefault="008E7C6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C3911D0" w14:textId="77777777" w:rsidR="00C153A1" w:rsidRDefault="008E7C6A">
      <w:pPr>
        <w:spacing w:after="120"/>
        <w:ind w:left="851" w:right="9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446D3D7E" w14:textId="77777777" w:rsidR="00C153A1" w:rsidRDefault="008E7C6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II. La clasificación </w:t>
      </w:r>
      <w:r>
        <w:rPr>
          <w:rFonts w:ascii="Palatino Linotype" w:eastAsia="Palatino Linotype" w:hAnsi="Palatino Linotype" w:cs="Palatino Linotype"/>
          <w:i/>
          <w:sz w:val="22"/>
          <w:szCs w:val="22"/>
        </w:rPr>
        <w:t>de la información;</w:t>
      </w:r>
      <w:r>
        <w:rPr>
          <w:rFonts w:ascii="Palatino Linotype" w:eastAsia="Palatino Linotype" w:hAnsi="Palatino Linotype" w:cs="Palatino Linotype"/>
          <w:i/>
          <w:sz w:val="22"/>
          <w:szCs w:val="22"/>
        </w:rPr>
        <w:br/>
        <w:t>…</w:t>
      </w:r>
    </w:p>
    <w:p w14:paraId="2DDCD7F3" w14:textId="77777777" w:rsidR="00C153A1" w:rsidRDefault="008E7C6A">
      <w:pPr>
        <w:pBdr>
          <w:top w:val="nil"/>
          <w:left w:val="nil"/>
          <w:bottom w:val="nil"/>
          <w:right w:val="nil"/>
          <w:between w:val="nil"/>
        </w:pBdr>
        <w:spacing w:after="120"/>
        <w:ind w:left="993"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V. La entrega de información incompleta;</w:t>
      </w:r>
    </w:p>
    <w:p w14:paraId="0C556291" w14:textId="77777777" w:rsidR="00C153A1" w:rsidRDefault="008E7C6A">
      <w:pPr>
        <w:pBdr>
          <w:top w:val="nil"/>
          <w:left w:val="nil"/>
          <w:bottom w:val="nil"/>
          <w:right w:val="nil"/>
          <w:between w:val="nil"/>
        </w:pBdr>
        <w:spacing w:after="120"/>
        <w:ind w:left="993" w:right="902"/>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w:t>
      </w:r>
    </w:p>
    <w:p w14:paraId="42B30D9F" w14:textId="77777777" w:rsidR="00C153A1" w:rsidRDefault="008E7C6A">
      <w:pPr>
        <w:spacing w:after="120"/>
        <w:ind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xml:space="preserve">        …” (Sic)</w:t>
      </w:r>
      <w:r>
        <w:rPr>
          <w:rFonts w:ascii="Palatino Linotype" w:eastAsia="Palatino Linotype" w:hAnsi="Palatino Linotype" w:cs="Palatino Linotype"/>
          <w:b/>
          <w:i/>
          <w:sz w:val="22"/>
          <w:szCs w:val="22"/>
        </w:rPr>
        <w:t xml:space="preserve">              </w:t>
      </w:r>
    </w:p>
    <w:p w14:paraId="6A1E6866"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w:t>
      </w:r>
      <w:r>
        <w:rPr>
          <w:rFonts w:ascii="Palatino Linotype" w:eastAsia="Palatino Linotype" w:hAnsi="Palatino Linotype" w:cs="Palatino Linotype"/>
        </w:rPr>
        <w:t>pios, y en consecuencia resulta conforme a derecho entrar al estudio de fondo y resolver el presente medio de impugnación.</w:t>
      </w:r>
    </w:p>
    <w:p w14:paraId="2B97F084" w14:textId="77777777" w:rsidR="00C153A1" w:rsidRDefault="008E7C6A">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De la revisión a las constancias y documentos que obran en el expediente electrónico se advierte, qu</w:t>
      </w:r>
      <w:r>
        <w:rPr>
          <w:rFonts w:ascii="Palatino Linotype" w:eastAsia="Palatino Linotype" w:hAnsi="Palatino Linotype" w:cs="Palatino Linotype"/>
        </w:rPr>
        <w:t xml:space="preserve">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w:t>
      </w:r>
      <w:r>
        <w:rPr>
          <w:rFonts w:ascii="Palatino Linotype" w:eastAsia="Palatino Linotype" w:hAnsi="Palatino Linotype" w:cs="Palatino Linotype"/>
        </w:rPr>
        <w:t xml:space="preserve">a parte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 oportuna.</w:t>
      </w:r>
    </w:p>
    <w:p w14:paraId="7EF2BB29" w14:textId="77777777" w:rsidR="00C153A1" w:rsidRDefault="008E7C6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Del análisis de la solicitud de información motivo del recurso de revisión que ahora se resuelve se advierte que el part</w:t>
      </w:r>
      <w:r>
        <w:rPr>
          <w:rFonts w:ascii="Palatino Linotype" w:eastAsia="Palatino Linotype" w:hAnsi="Palatino Linotype" w:cs="Palatino Linotype"/>
        </w:rPr>
        <w:t>icular solicitó:</w:t>
      </w:r>
    </w:p>
    <w:p w14:paraId="41031179" w14:textId="77777777" w:rsidR="00C153A1" w:rsidRDefault="008E7C6A">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CURRICULUM VITAE DEL SECRETARIO DEL AYUNTAMIENTO, CONTRALOR MUNICIPAL, DIRECTORES, SUBDIRECTORES, JEFES DE ÁREA, ENCARGADOS DE ÁREA </w:t>
      </w:r>
    </w:p>
    <w:p w14:paraId="2DC23948"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w:t>
      </w:r>
      <w:r>
        <w:rPr>
          <w:rFonts w:ascii="Palatino Linotype" w:eastAsia="Palatino Linotype" w:hAnsi="Palatino Linotype" w:cs="Palatino Linotype"/>
          <w:sz w:val="22"/>
          <w:szCs w:val="22"/>
        </w:rPr>
        <w:t xml:space="preserve">el </w:t>
      </w:r>
      <w:r>
        <w:rPr>
          <w:rFonts w:ascii="Palatino Linotype" w:eastAsia="Palatino Linotype" w:hAnsi="Palatino Linotype" w:cs="Palatino Linotype"/>
          <w:b/>
          <w:sz w:val="22"/>
          <w:szCs w:val="22"/>
        </w:rPr>
        <w:t>SUJETO OBLIGADO</w:t>
      </w:r>
      <w:r>
        <w:rPr>
          <w:rFonts w:ascii="Palatino Linotype" w:eastAsia="Palatino Linotype" w:hAnsi="Palatino Linotype" w:cs="Palatino Linotype"/>
          <w:sz w:val="22"/>
          <w:szCs w:val="22"/>
        </w:rPr>
        <w:t xml:space="preserve"> proporcionó los archivos digitales siguientes: </w:t>
      </w:r>
    </w:p>
    <w:p w14:paraId="0F1C4F55" w14:textId="77777777" w:rsidR="00C153A1" w:rsidRDefault="008E7C6A">
      <w:pPr>
        <w:numPr>
          <w:ilvl w:val="0"/>
          <w:numId w:val="5"/>
        </w:numPr>
        <w:pBdr>
          <w:top w:val="nil"/>
          <w:left w:val="nil"/>
          <w:bottom w:val="nil"/>
          <w:right w:val="nil"/>
          <w:between w:val="nil"/>
        </w:pBdr>
        <w:spacing w:before="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00019-TULTEPEC-IP-2022.zip </w:t>
      </w:r>
      <w:r>
        <w:rPr>
          <w:rFonts w:ascii="Palatino Linotype" w:eastAsia="Palatino Linotype" w:hAnsi="Palatino Linotype" w:cs="Palatino Linotype"/>
          <w:color w:val="000000"/>
        </w:rPr>
        <w:t xml:space="preserve">en su contenido se advierte el oficio DRH/111/2022 de fecha 23 de febrero de la presente anualidad suscrito por el Director de Recursos Humanos por </w:t>
      </w:r>
      <w:r>
        <w:rPr>
          <w:rFonts w:ascii="Palatino Linotype" w:eastAsia="Palatino Linotype" w:hAnsi="Palatino Linotype" w:cs="Palatino Linotype"/>
          <w:color w:val="000000"/>
        </w:rPr>
        <w:lastRenderedPageBreak/>
        <w:t>medio del cual refiere que en atención al requerimiento de información  le hace llegar al Titular de la Unid</w:t>
      </w:r>
      <w:r>
        <w:rPr>
          <w:rFonts w:ascii="Palatino Linotype" w:eastAsia="Palatino Linotype" w:hAnsi="Palatino Linotype" w:cs="Palatino Linotype"/>
          <w:color w:val="000000"/>
        </w:rPr>
        <w:t xml:space="preserve">ad de Transparencia un total de 73 hojas en las que se incluye la información curricular del Secretario del ayuntamiento, Contralor, Directores y Jefes de Área del Ayuntamiento de Tultepec. </w:t>
      </w:r>
    </w:p>
    <w:p w14:paraId="4C1C30FE" w14:textId="77777777" w:rsidR="00C153A1" w:rsidRDefault="00C153A1">
      <w:pPr>
        <w:pBdr>
          <w:top w:val="nil"/>
          <w:left w:val="nil"/>
          <w:bottom w:val="nil"/>
          <w:right w:val="nil"/>
          <w:between w:val="nil"/>
        </w:pBdr>
        <w:ind w:left="1571" w:right="902"/>
        <w:jc w:val="both"/>
        <w:rPr>
          <w:rFonts w:ascii="Palatino Linotype" w:eastAsia="Palatino Linotype" w:hAnsi="Palatino Linotype" w:cs="Palatino Linotype"/>
          <w:color w:val="000000"/>
        </w:rPr>
      </w:pPr>
    </w:p>
    <w:p w14:paraId="70905431" w14:textId="77777777" w:rsidR="00C153A1" w:rsidRDefault="008E7C6A">
      <w:pPr>
        <w:numPr>
          <w:ilvl w:val="0"/>
          <w:numId w:val="5"/>
        </w:numPr>
        <w:pBdr>
          <w:top w:val="nil"/>
          <w:left w:val="nil"/>
          <w:bottom w:val="nil"/>
          <w:right w:val="nil"/>
          <w:between w:val="nil"/>
        </w:pBdr>
        <w:spacing w:after="240"/>
        <w:ind w:right="902"/>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Acta de la Primera sesión Ordinaria </w:t>
      </w:r>
      <w:r>
        <w:rPr>
          <w:rFonts w:ascii="Palatino Linotype" w:eastAsia="Palatino Linotype" w:hAnsi="Palatino Linotype" w:cs="Palatino Linotype"/>
          <w:color w:val="000000"/>
        </w:rPr>
        <w:t xml:space="preserve">del Comité de Transparencia </w:t>
      </w:r>
      <w:r>
        <w:rPr>
          <w:rFonts w:ascii="Palatino Linotype" w:eastAsia="Palatino Linotype" w:hAnsi="Palatino Linotype" w:cs="Palatino Linotype"/>
          <w:color w:val="000000"/>
        </w:rPr>
        <w:t xml:space="preserve">Acceso a la Información Pública y Protección de Datos Personales a través de la cual se aprueba por medio de acuerdo la versión publica generada sobre los documentos remitidos.  </w:t>
      </w:r>
    </w:p>
    <w:p w14:paraId="6BFAC66C" w14:textId="77777777" w:rsidR="00C153A1" w:rsidRDefault="00C153A1">
      <w:pPr>
        <w:tabs>
          <w:tab w:val="left" w:pos="7655"/>
        </w:tabs>
        <w:spacing w:before="240" w:line="360" w:lineRule="auto"/>
        <w:ind w:right="49"/>
        <w:jc w:val="both"/>
        <w:rPr>
          <w:rFonts w:ascii="Palatino Linotype" w:eastAsia="Palatino Linotype" w:hAnsi="Palatino Linotype" w:cs="Palatino Linotype"/>
        </w:rPr>
      </w:pPr>
    </w:p>
    <w:p w14:paraId="0E9B095C" w14:textId="77777777" w:rsidR="00C153A1" w:rsidRDefault="008E7C6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dicha respuesta, </w:t>
      </w:r>
      <w:r>
        <w:rPr>
          <w:rFonts w:ascii="Palatino Linotype" w:eastAsia="Palatino Linotype" w:hAnsi="Palatino Linotype" w:cs="Palatino Linotype"/>
          <w:b/>
        </w:rPr>
        <w:t>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inconformó, interponiend</w:t>
      </w:r>
      <w:r>
        <w:rPr>
          <w:rFonts w:ascii="Palatino Linotype" w:eastAsia="Palatino Linotype" w:hAnsi="Palatino Linotype" w:cs="Palatino Linotype"/>
        </w:rPr>
        <w:t xml:space="preserve">o el medio de impugnación que es materia de esta resolución,  exponiendo los motivos o razones de inconformidad siguientes: </w:t>
      </w:r>
    </w:p>
    <w:p w14:paraId="6CC2C617" w14:textId="77777777" w:rsidR="00C153A1" w:rsidRDefault="008E7C6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Sólo me hicieron entrega parcial de la información pública que solicité, además de que no me queda claro a que servidor público corresponde cada curriculum vitae, la cantidad de áreas no coinciden con la cantidad entregada; </w:t>
      </w:r>
    </w:p>
    <w:p w14:paraId="07365EFD" w14:textId="77777777" w:rsidR="00C153A1" w:rsidRDefault="008E7C6A">
      <w:pPr>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44"/>
          <w:szCs w:val="44"/>
        </w:rPr>
      </w:pPr>
      <w:r>
        <w:rPr>
          <w:rFonts w:ascii="Palatino Linotype" w:eastAsia="Palatino Linotype" w:hAnsi="Palatino Linotype" w:cs="Palatino Linotype"/>
          <w:color w:val="000000"/>
        </w:rPr>
        <w:t>La clasificación de información como confidencial que realizaron no coincide con el documento en versión pública que me entregaron</w:t>
      </w:r>
      <w:r>
        <w:rPr>
          <w:color w:val="000000"/>
        </w:rPr>
        <w:t xml:space="preserve"> </w:t>
      </w:r>
      <w:r>
        <w:rPr>
          <w:rFonts w:ascii="Palatino Linotype" w:eastAsia="Palatino Linotype" w:hAnsi="Palatino Linotype" w:cs="Palatino Linotype"/>
          <w:color w:val="000000"/>
        </w:rPr>
        <w:t>el acuerdo que adjuntan es de fecha 8 de febrero de 2021 y el acta de sesión de comité es de fecha 11 de febrero, posterior a</w:t>
      </w:r>
      <w:r>
        <w:rPr>
          <w:rFonts w:ascii="Palatino Linotype" w:eastAsia="Palatino Linotype" w:hAnsi="Palatino Linotype" w:cs="Palatino Linotype"/>
          <w:color w:val="000000"/>
        </w:rPr>
        <w:t xml:space="preserve">l acuerdo lo que genera incertidumbre </w:t>
      </w:r>
    </w:p>
    <w:p w14:paraId="4BE6C27D" w14:textId="77777777" w:rsidR="00C153A1" w:rsidRDefault="008E7C6A">
      <w:pPr>
        <w:spacing w:line="360" w:lineRule="auto"/>
        <w:ind w:right="-93"/>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Agotado lo anterior, tenemos</w:t>
      </w:r>
      <w:r>
        <w:rPr>
          <w:rFonts w:ascii="Palatino Linotype" w:eastAsia="Palatino Linotype" w:hAnsi="Palatino Linotype" w:cs="Palatino Linotype"/>
        </w:rPr>
        <w:t xml:space="preserve"> que  el artículo 6°, Apartado A), fracción I de la Constitución Política de los Estados Unidos Mexicanos, establece que toda la información en posesión de cualquier autoridad es pública y </w:t>
      </w:r>
      <w:r>
        <w:rPr>
          <w:rFonts w:ascii="Palatino Linotype" w:eastAsia="Palatino Linotype" w:hAnsi="Palatino Linotype" w:cs="Palatino Linotype"/>
        </w:rPr>
        <w:t xml:space="preserve">sólo podrá ser reservada temporalmente por razones de interés público. </w:t>
      </w:r>
    </w:p>
    <w:p w14:paraId="6EC00030" w14:textId="77777777" w:rsidR="00C153A1" w:rsidRDefault="00C153A1">
      <w:pPr>
        <w:spacing w:line="360" w:lineRule="auto"/>
        <w:jc w:val="both"/>
        <w:rPr>
          <w:rFonts w:ascii="Palatino Linotype" w:eastAsia="Palatino Linotype" w:hAnsi="Palatino Linotype" w:cs="Palatino Linotype"/>
          <w:color w:val="FF0000"/>
        </w:rPr>
      </w:pPr>
    </w:p>
    <w:p w14:paraId="56D415EA"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su parte, en materia local, el artículo 5°, fracción I de la Constitución Política del Estado Libre y Soberano de México, es coincidente con la Constitución Federal, en el sentido</w:t>
      </w:r>
      <w:r>
        <w:rPr>
          <w:rFonts w:ascii="Palatino Linotype" w:eastAsia="Palatino Linotype" w:hAnsi="Palatino Linotype" w:cs="Palatino Linotype"/>
        </w:rPr>
        <w:t xml:space="preserve"> de la publicidad de toda la información, con la única restricción de proteger el interés público, así como la información referente a la intimidad de la vida privada y la imagen de las personas, con las excepciones que establezca la ley reglamentaria.</w:t>
      </w:r>
    </w:p>
    <w:p w14:paraId="2159A22D" w14:textId="77777777" w:rsidR="00C153A1" w:rsidRDefault="00C153A1">
      <w:pPr>
        <w:spacing w:line="360" w:lineRule="auto"/>
        <w:jc w:val="both"/>
        <w:rPr>
          <w:rFonts w:ascii="Palatino Linotype" w:eastAsia="Palatino Linotype" w:hAnsi="Palatino Linotype" w:cs="Palatino Linotype"/>
        </w:rPr>
      </w:pPr>
    </w:p>
    <w:p w14:paraId="06AF6EF8"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w:t>
      </w:r>
      <w:r>
        <w:rPr>
          <w:rFonts w:ascii="Palatino Linotype" w:eastAsia="Palatino Linotype" w:hAnsi="Palatino Linotype" w:cs="Palatino Linotype"/>
        </w:rPr>
        <w:t>r su parte, la Ley de Transparencia y Acceso a la Información Pública del Estado de México y Municipios (Reglamentaria del artículo 5° de la Constitución Local), establece lo siguiente:</w:t>
      </w:r>
    </w:p>
    <w:p w14:paraId="1340D2AC" w14:textId="77777777" w:rsidR="00C153A1" w:rsidRDefault="00C153A1">
      <w:pPr>
        <w:spacing w:line="360" w:lineRule="auto"/>
        <w:jc w:val="both"/>
        <w:rPr>
          <w:rFonts w:ascii="Palatino Linotype" w:eastAsia="Palatino Linotype" w:hAnsi="Palatino Linotype" w:cs="Palatino Linotype"/>
        </w:rPr>
      </w:pPr>
    </w:p>
    <w:p w14:paraId="38DEDB43" w14:textId="77777777" w:rsidR="00C153A1" w:rsidRDefault="008E7C6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12, que, quienes generen, recopilen, administren, manejen</w:t>
      </w:r>
      <w:r>
        <w:rPr>
          <w:rFonts w:ascii="Palatino Linotype" w:eastAsia="Palatino Linotype" w:hAnsi="Palatino Linotype" w:cs="Palatino Linotype"/>
          <w:color w:val="000000"/>
        </w:rPr>
        <w:t>, procesen, archiven o conserven información pública serán responsables de la misma.</w:t>
      </w:r>
    </w:p>
    <w:p w14:paraId="588E7DD1" w14:textId="77777777" w:rsidR="00C153A1" w:rsidRDefault="00C153A1">
      <w:pPr>
        <w:spacing w:line="360" w:lineRule="auto"/>
        <w:jc w:val="both"/>
        <w:rPr>
          <w:rFonts w:ascii="Palatino Linotype" w:eastAsia="Palatino Linotype" w:hAnsi="Palatino Linotype" w:cs="Palatino Linotype"/>
        </w:rPr>
      </w:pPr>
    </w:p>
    <w:p w14:paraId="6D7DAB04" w14:textId="77777777" w:rsidR="00C153A1" w:rsidRDefault="008E7C6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18, que, los Sujetos Obligados deberán documentar todo acto que derive del ejercicio de sus facultades, competencias o funciones, considerando desde su origen</w:t>
      </w:r>
      <w:r>
        <w:rPr>
          <w:rFonts w:ascii="Palatino Linotype" w:eastAsia="Palatino Linotype" w:hAnsi="Palatino Linotype" w:cs="Palatino Linotype"/>
          <w:color w:val="000000"/>
        </w:rPr>
        <w:t xml:space="preserve"> la eventual publicidad y reutilización de la información que generen.</w:t>
      </w:r>
    </w:p>
    <w:p w14:paraId="0916AE78" w14:textId="77777777" w:rsidR="00C153A1" w:rsidRDefault="00C153A1">
      <w:pPr>
        <w:spacing w:line="360" w:lineRule="auto"/>
        <w:jc w:val="both"/>
        <w:rPr>
          <w:rFonts w:ascii="Palatino Linotype" w:eastAsia="Palatino Linotype" w:hAnsi="Palatino Linotype" w:cs="Palatino Linotype"/>
        </w:rPr>
      </w:pPr>
    </w:p>
    <w:p w14:paraId="462FE85E" w14:textId="77777777" w:rsidR="00C153A1" w:rsidRDefault="008E7C6A">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artículo 19, que, se presume que la información debe existir si se refiere a las facultades, competencias y funciones que los ordenamientos jurídicos aplicables otorgan a los sujeto</w:t>
      </w:r>
      <w:r>
        <w:rPr>
          <w:rFonts w:ascii="Palatino Linotype" w:eastAsia="Palatino Linotype" w:hAnsi="Palatino Linotype" w:cs="Palatino Linotype"/>
          <w:color w:val="000000"/>
        </w:rPr>
        <w:t>s Obligados y en caso de que dichas facultades no se hayan ejercido, se deberá motivar la respuesta en función de las causas que motivaron tal circunstancia.</w:t>
      </w:r>
    </w:p>
    <w:p w14:paraId="36F22F85" w14:textId="77777777" w:rsidR="00C153A1" w:rsidRDefault="00C153A1">
      <w:pPr>
        <w:spacing w:line="360" w:lineRule="auto"/>
        <w:ind w:right="-93"/>
        <w:jc w:val="both"/>
        <w:rPr>
          <w:rFonts w:ascii="Palatino Linotype" w:eastAsia="Palatino Linotype" w:hAnsi="Palatino Linotype" w:cs="Palatino Linotype"/>
          <w:color w:val="FF0000"/>
        </w:rPr>
      </w:pPr>
    </w:p>
    <w:p w14:paraId="0415E533"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esta lógica,  debe destacarse que el derecho de acceso a la información pública, consiste en que la información solicitada conste en un documento en cualquiera de sus formas, a saber: expedientes, reportes, estudios, actas, resoluciones, oficios, corres</w:t>
      </w:r>
      <w:r>
        <w:rPr>
          <w:rFonts w:ascii="Palatino Linotype" w:eastAsia="Palatino Linotype" w:hAnsi="Palatino Linotype" w:cs="Palatino Linotype"/>
        </w:rPr>
        <w:t>pondencia, acuerdos, directivas, directrices, circulares, contratos, convenios, instructivos, notas, memorandos, estadísticas o bien, cualquier otro registro que documente el ejercicio de las facultades, funciones y competencias de los Sujetos Obligados; l</w:t>
      </w:r>
      <w:r>
        <w:rPr>
          <w:rFonts w:ascii="Palatino Linotype" w:eastAsia="Palatino Linotype" w:hAnsi="Palatino Linotype" w:cs="Palatino Linotype"/>
        </w:rPr>
        <w:t xml:space="preserve">os que, podrán estar en cualquier medio, sea escrito, impreso, sonoro, visual, electrónico, informático u holográfico de conformidad con el artículo 3, fracción XI de la Ley de la materia, el cual señala lo siguiente: </w:t>
      </w:r>
    </w:p>
    <w:p w14:paraId="57068DDF" w14:textId="77777777" w:rsidR="00C153A1" w:rsidRDefault="00C153A1">
      <w:pPr>
        <w:ind w:left="851" w:right="899"/>
        <w:jc w:val="both"/>
        <w:rPr>
          <w:rFonts w:ascii="Palatino Linotype" w:eastAsia="Palatino Linotype" w:hAnsi="Palatino Linotype" w:cs="Palatino Linotype"/>
          <w:i/>
          <w:sz w:val="22"/>
          <w:szCs w:val="22"/>
        </w:rPr>
      </w:pPr>
    </w:p>
    <w:p w14:paraId="317D94A1" w14:textId="77777777" w:rsidR="00C153A1" w:rsidRDefault="008E7C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39BBBE8E" w14:textId="77777777" w:rsidR="00C153A1" w:rsidRDefault="008E7C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8A0DCC" w14:textId="77777777" w:rsidR="00C153A1" w:rsidRDefault="008E7C6A">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w:t>
      </w:r>
      <w:r>
        <w:rPr>
          <w:rFonts w:ascii="Palatino Linotype" w:eastAsia="Palatino Linotype" w:hAnsi="Palatino Linotype" w:cs="Palatino Linotype"/>
          <w:i/>
          <w:color w:val="000000"/>
          <w:sz w:val="22"/>
          <w:szCs w:val="22"/>
        </w:rPr>
        <w:t xml:space="preserve"> estadísticas o bien, cualquier otro registro que documente el ejercicio de las facultades, funciones y competencias de los sujetos obligados, sus servidores públicos e integrantes, sin importar su fuente o fecha de elaboración. Los documentos podrán estar</w:t>
      </w:r>
      <w:r>
        <w:rPr>
          <w:rFonts w:ascii="Palatino Linotype" w:eastAsia="Palatino Linotype" w:hAnsi="Palatino Linotype" w:cs="Palatino Linotype"/>
          <w:i/>
          <w:color w:val="000000"/>
          <w:sz w:val="22"/>
          <w:szCs w:val="22"/>
        </w:rPr>
        <w:t xml:space="preserve"> en cualquier medio, sea escrito, impreso, sonoro, visual, electrónico, informático u holográfico…” (Sic)</w:t>
      </w:r>
    </w:p>
    <w:p w14:paraId="35403E80" w14:textId="77777777" w:rsidR="00C153A1" w:rsidRDefault="00C153A1">
      <w:pPr>
        <w:ind w:left="851" w:right="899"/>
        <w:jc w:val="both"/>
        <w:rPr>
          <w:rFonts w:ascii="Palatino Linotype" w:eastAsia="Palatino Linotype" w:hAnsi="Palatino Linotype" w:cs="Palatino Linotype"/>
          <w:sz w:val="22"/>
          <w:szCs w:val="22"/>
        </w:rPr>
      </w:pPr>
    </w:p>
    <w:p w14:paraId="7CAA83D8"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Siendo aplicable, el Criterio de interpretación en el orden administrativo número 0002-11, emitido por Acuerdo del Pleno del Instituto de Transparenc</w:t>
      </w:r>
      <w:r>
        <w:rPr>
          <w:rFonts w:ascii="Palatino Linotype" w:eastAsia="Palatino Linotype" w:hAnsi="Palatino Linotype" w:cs="Palatino Linotype"/>
        </w:rPr>
        <w:t>ia y Acceso a la Información Pública del Estado de México y Municipios; publicado en el Periódico Oficial del Gobierno del Estado Libre y Soberano de México “Gaceta del Gobierno”, el diecinueve de octubre de dos mil once, cuyo rubro y texto refieren lo sig</w:t>
      </w:r>
      <w:r>
        <w:rPr>
          <w:rFonts w:ascii="Palatino Linotype" w:eastAsia="Palatino Linotype" w:hAnsi="Palatino Linotype" w:cs="Palatino Linotype"/>
        </w:rPr>
        <w:t>uiente:</w:t>
      </w:r>
    </w:p>
    <w:p w14:paraId="34910362" w14:textId="77777777" w:rsidR="00C153A1" w:rsidRDefault="00C153A1">
      <w:pPr>
        <w:ind w:right="899"/>
        <w:jc w:val="both"/>
        <w:rPr>
          <w:rFonts w:ascii="Palatino Linotype" w:eastAsia="Palatino Linotype" w:hAnsi="Palatino Linotype" w:cs="Palatino Linotype"/>
        </w:rPr>
      </w:pPr>
    </w:p>
    <w:p w14:paraId="3A3BA1A4" w14:textId="77777777" w:rsidR="00C153A1" w:rsidRDefault="008E7C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1CB4DEA8" w14:textId="77777777" w:rsidR="00C153A1" w:rsidRDefault="008E7C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w:t>
      </w:r>
      <w:r>
        <w:rPr>
          <w:rFonts w:ascii="Palatino Linotype" w:eastAsia="Palatino Linotype" w:hAnsi="Palatino Linotype" w:cs="Palatino Linotype"/>
          <w:i/>
          <w:sz w:val="22"/>
          <w:szCs w:val="22"/>
        </w:rPr>
        <w:t>formación pública, se define en cuanto a su alcance y resultado material, el acceso a los archivos, registros y documentos públicos, administrados, generados o en posesión de los órganos u organismos públicos, en virtud del ejercicio de sus funciones de de</w:t>
      </w:r>
      <w:r>
        <w:rPr>
          <w:rFonts w:ascii="Palatino Linotype" w:eastAsia="Palatino Linotype" w:hAnsi="Palatino Linotype" w:cs="Palatino Linotype"/>
          <w:i/>
          <w:sz w:val="22"/>
          <w:szCs w:val="22"/>
        </w:rPr>
        <w:t>recho público, sin importar su fuente, soporte o fecha de elaboración.</w:t>
      </w:r>
    </w:p>
    <w:p w14:paraId="61CE90D8" w14:textId="77777777" w:rsidR="00C153A1" w:rsidRDefault="008E7C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C97A90D" w14:textId="77777777" w:rsidR="00C153A1" w:rsidRDefault="008E7C6A">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1) </w:t>
      </w:r>
      <w:r>
        <w:rPr>
          <w:rFonts w:ascii="Palatino Linotype" w:eastAsia="Palatino Linotype" w:hAnsi="Palatino Linotype" w:cs="Palatino Linotype"/>
          <w:b/>
          <w:i/>
          <w:sz w:val="22"/>
          <w:szCs w:val="22"/>
        </w:rPr>
        <w:t>Que se trate de información registrada en cualquier soporte docume</w:t>
      </w:r>
      <w:r>
        <w:rPr>
          <w:rFonts w:ascii="Palatino Linotype" w:eastAsia="Palatino Linotype" w:hAnsi="Palatino Linotype" w:cs="Palatino Linotype"/>
          <w:b/>
          <w:i/>
          <w:sz w:val="22"/>
          <w:szCs w:val="22"/>
        </w:rPr>
        <w:t>ntal, que en ejercicio de las atribuciones conferidas, sea generada por los Sujetos Obligados;</w:t>
      </w:r>
    </w:p>
    <w:p w14:paraId="713D37DA" w14:textId="77777777" w:rsidR="00C153A1" w:rsidRDefault="008E7C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w:t>
      </w:r>
      <w:r>
        <w:rPr>
          <w:rFonts w:ascii="Palatino Linotype" w:eastAsia="Palatino Linotype" w:hAnsi="Palatino Linotype" w:cs="Palatino Linotype"/>
          <w:b/>
          <w:i/>
          <w:sz w:val="22"/>
          <w:szCs w:val="22"/>
        </w:rPr>
        <w:t>gados, y</w:t>
      </w:r>
    </w:p>
    <w:p w14:paraId="5494A81F" w14:textId="77777777" w:rsidR="00C153A1" w:rsidRDefault="008E7C6A">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660285E6" w14:textId="77777777" w:rsidR="00C153A1" w:rsidRDefault="008E7C6A">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color w:val="000000"/>
        </w:rPr>
        <w:t>Expuesto lo previo, para este Órgano Garante no pasa desapercibido que el parti</w:t>
      </w:r>
      <w:r>
        <w:rPr>
          <w:rFonts w:ascii="Palatino Linotype" w:eastAsia="Palatino Linotype" w:hAnsi="Palatino Linotype" w:cs="Palatino Linotype"/>
          <w:color w:val="000000"/>
        </w:rPr>
        <w:t xml:space="preserve">cular al momento realizar la solicitud de acceso a la información y posteriormente al interponer el recurso de revisión realizó una serie de manifestaciones de la siguiente manera </w:t>
      </w:r>
      <w:r>
        <w:rPr>
          <w:rFonts w:ascii="Palatino Linotype" w:eastAsia="Palatino Linotype" w:hAnsi="Palatino Linotype" w:cs="Palatino Linotype"/>
          <w:i/>
          <w:color w:val="000000"/>
          <w:sz w:val="22"/>
          <w:szCs w:val="22"/>
        </w:rPr>
        <w:t>“a)</w:t>
      </w:r>
      <w:r>
        <w:rPr>
          <w:rFonts w:ascii="Palatino Linotype" w:eastAsia="Palatino Linotype" w:hAnsi="Palatino Linotype" w:cs="Palatino Linotype"/>
          <w:i/>
          <w:color w:val="000000"/>
          <w:sz w:val="22"/>
          <w:szCs w:val="22"/>
        </w:rPr>
        <w:tab/>
        <w:t xml:space="preserve">Solo me hicieron entrega parcial de la </w:t>
      </w:r>
      <w:r>
        <w:rPr>
          <w:rFonts w:ascii="Palatino Linotype" w:eastAsia="Palatino Linotype" w:hAnsi="Palatino Linotype" w:cs="Palatino Linotype"/>
          <w:i/>
          <w:color w:val="000000"/>
          <w:sz w:val="22"/>
          <w:szCs w:val="22"/>
        </w:rPr>
        <w:lastRenderedPageBreak/>
        <w:t>información pública que solicite,</w:t>
      </w:r>
      <w:r>
        <w:rPr>
          <w:rFonts w:ascii="Palatino Linotype" w:eastAsia="Palatino Linotype" w:hAnsi="Palatino Linotype" w:cs="Palatino Linotype"/>
          <w:i/>
          <w:color w:val="000000"/>
          <w:sz w:val="22"/>
          <w:szCs w:val="22"/>
        </w:rPr>
        <w:t xml:space="preserve"> además de que no me queda claro a que servidor público corresponde cada curriculum vitae, la cantidad de áreas no coinciden con la cantidad entregada…”</w:t>
      </w:r>
    </w:p>
    <w:p w14:paraId="09D7C431" w14:textId="77777777" w:rsidR="00C153A1" w:rsidRDefault="008E7C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De lo anterior, no se omite destacar que  el particular se inconforma señalando que el SUJETO OBLIGADO al enviar la información a que se hace referencia no se precisa a qué servidor público corresponde cada documento.</w:t>
      </w:r>
    </w:p>
    <w:p w14:paraId="358E340A"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B6F2BDE" w14:textId="77777777" w:rsidR="00C153A1" w:rsidRDefault="008E7C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de la revisión a las constancias </w:t>
      </w:r>
      <w:r>
        <w:rPr>
          <w:rFonts w:ascii="Palatino Linotype" w:eastAsia="Palatino Linotype" w:hAnsi="Palatino Linotype" w:cs="Palatino Linotype"/>
          <w:color w:val="000000"/>
        </w:rPr>
        <w:t xml:space="preserve">que integran a respuesta que fue entregada por el SUJETO OBLIGADO se advierte que, entregó la información curricular de un total de 25 registros, mismos que guardan congruencia con los serviodres públicos siguientes: </w:t>
      </w:r>
    </w:p>
    <w:p w14:paraId="62F29B05"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 Gilberto Ruiz González;</w:t>
      </w:r>
    </w:p>
    <w:p w14:paraId="1031F193"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 Lenisei</w:t>
      </w:r>
      <w:r>
        <w:rPr>
          <w:rFonts w:ascii="Palatino Linotype" w:eastAsia="Palatino Linotype" w:hAnsi="Palatino Linotype" w:cs="Palatino Linotype"/>
          <w:color w:val="000000"/>
        </w:rPr>
        <w:t xml:space="preserve"> Urban   Hernández;</w:t>
      </w:r>
    </w:p>
    <w:p w14:paraId="670D5750"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3.- Luis Dionisio Jerónimo González;</w:t>
      </w:r>
    </w:p>
    <w:p w14:paraId="05DB79C6"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4.- Mario Torres Roldan;</w:t>
      </w:r>
    </w:p>
    <w:p w14:paraId="4FDB4F03"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5. Pedro Eduardo Retureta Gutiérrez;</w:t>
      </w:r>
    </w:p>
    <w:p w14:paraId="2B72F4C4"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6. Antonio García Bazán;</w:t>
      </w:r>
    </w:p>
    <w:p w14:paraId="7424D266"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7. Jonathan García Negrete;</w:t>
      </w:r>
    </w:p>
    <w:p w14:paraId="43A89308"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8.- María Cristina Hernández Gutiérrez;</w:t>
      </w:r>
    </w:p>
    <w:p w14:paraId="351D7D0A"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9.- Heriberto Arenas Monter;</w:t>
      </w:r>
    </w:p>
    <w:p w14:paraId="4752A806"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10.- Antonio Ma</w:t>
      </w:r>
      <w:r>
        <w:rPr>
          <w:rFonts w:ascii="Palatino Linotype" w:eastAsia="Palatino Linotype" w:hAnsi="Palatino Linotype" w:cs="Palatino Linotype"/>
          <w:color w:val="000000"/>
        </w:rPr>
        <w:t>rtínez Orihuela;</w:t>
      </w:r>
    </w:p>
    <w:p w14:paraId="4904BB48"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11.- Luis Fernando Hurtado Aduna;</w:t>
      </w:r>
    </w:p>
    <w:p w14:paraId="55918F79"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12.- Eulogio Ramiro López Rosales;</w:t>
      </w:r>
    </w:p>
    <w:p w14:paraId="4C39F863"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13.- Leonel Cortes Ovido;</w:t>
      </w:r>
    </w:p>
    <w:p w14:paraId="66FAC93A"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14.- Sarahi Aparicio Montaño;</w:t>
      </w:r>
    </w:p>
    <w:p w14:paraId="3E06990D"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15.- Anaissa Ramírez  Aldana;</w:t>
      </w:r>
    </w:p>
    <w:p w14:paraId="1E2A5F8A"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16.- Abraham Aldair Rojas Agabo;</w:t>
      </w:r>
    </w:p>
    <w:p w14:paraId="5AA0067A"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17.- Leslie Jeannette Ramírez Contreras;</w:t>
      </w:r>
    </w:p>
    <w:p w14:paraId="48254BE3"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18.- Rodolfo Valencia Caballero;</w:t>
      </w:r>
    </w:p>
    <w:p w14:paraId="59DD2DF0"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19.- Guillermo Guzmán Horta;</w:t>
      </w:r>
    </w:p>
    <w:p w14:paraId="15382E4D"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20.- María Del Rayo Urban Olivares;</w:t>
      </w:r>
    </w:p>
    <w:p w14:paraId="2754F8D8"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21.- Hidalgo Martínez Erick De Jesús;</w:t>
      </w:r>
    </w:p>
    <w:p w14:paraId="01DB4B24"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22.- Helshairais Ceja Cañas;</w:t>
      </w:r>
    </w:p>
    <w:p w14:paraId="54DE614B"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23.- Leandro Román Arenas Valdepeña;</w:t>
      </w:r>
    </w:p>
    <w:p w14:paraId="72476372"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24.- Paula Betzabe Urban Cervantes;</w:t>
      </w:r>
    </w:p>
    <w:p w14:paraId="37BEFE28" w14:textId="77777777" w:rsidR="00C153A1" w:rsidRDefault="008E7C6A">
      <w:pPr>
        <w:pBdr>
          <w:top w:val="nil"/>
          <w:left w:val="nil"/>
          <w:bottom w:val="nil"/>
          <w:right w:val="nil"/>
          <w:between w:val="nil"/>
        </w:pBdr>
        <w:ind w:left="70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25.- Marco Antonio Urban Olivares. </w:t>
      </w:r>
    </w:p>
    <w:p w14:paraId="3529142E"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3F805C7" w14:textId="77777777" w:rsidR="00C153A1" w:rsidRDefault="008E7C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Resulta de importancia resaltar, que ninguno de los registros hacen referencia al cargo que ostentan estos servidores públicos dentro de la admini</w:t>
      </w:r>
      <w:r>
        <w:rPr>
          <w:rFonts w:ascii="Palatino Linotype" w:eastAsia="Palatino Linotype" w:hAnsi="Palatino Linotype" w:cs="Palatino Linotype"/>
          <w:color w:val="000000"/>
        </w:rPr>
        <w:t xml:space="preserve">stración municipal, por lo que a fin de otorgar certeza jurídica al particular se procedió a identificarlos en la página de Información Pública de Oficio Mexiquense </w:t>
      </w:r>
      <w:r>
        <w:rPr>
          <w:color w:val="000000"/>
        </w:rPr>
        <w:t>https://ipomex.org.mx/ipo3/lgt/indice/TULTEPEC.web</w:t>
      </w:r>
      <w:r>
        <w:rPr>
          <w:rFonts w:ascii="Palatino Linotype" w:eastAsia="Palatino Linotype" w:hAnsi="Palatino Linotype" w:cs="Palatino Linotype"/>
          <w:color w:val="000000"/>
        </w:rPr>
        <w:t>, específicamente en el rubro correspondi</w:t>
      </w:r>
      <w:r>
        <w:rPr>
          <w:rFonts w:ascii="Palatino Linotype" w:eastAsia="Palatino Linotype" w:hAnsi="Palatino Linotype" w:cs="Palatino Linotype"/>
          <w:color w:val="000000"/>
        </w:rPr>
        <w:t xml:space="preserve">ente al directorio de servidores públicos, y derivado del cotejo se pudo constatar que los documentos enviados corresponden a los siguientes servidores públicos que se encontraban publicados: </w:t>
      </w:r>
    </w:p>
    <w:p w14:paraId="5D024755"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3B776FE1"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tbl>
      <w:tblPr>
        <w:tblStyle w:val="a"/>
        <w:tblW w:w="8828" w:type="dxa"/>
        <w:tblInd w:w="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4414"/>
        <w:gridCol w:w="4414"/>
      </w:tblGrid>
      <w:tr w:rsidR="00C153A1" w14:paraId="5DD91AAA" w14:textId="77777777">
        <w:tc>
          <w:tcPr>
            <w:tcW w:w="4414" w:type="dxa"/>
          </w:tcPr>
          <w:p w14:paraId="700BE912" w14:textId="77777777" w:rsidR="00C153A1" w:rsidRDefault="008E7C6A">
            <w:r>
              <w:t>GILBERTO</w:t>
            </w:r>
            <w:r>
              <w:tab/>
              <w:t>RUIZ</w:t>
            </w:r>
            <w:r>
              <w:tab/>
              <w:t>GONZALEZ</w:t>
            </w:r>
          </w:p>
        </w:tc>
        <w:tc>
          <w:tcPr>
            <w:tcW w:w="4414" w:type="dxa"/>
          </w:tcPr>
          <w:p w14:paraId="13F94BAE" w14:textId="77777777" w:rsidR="00C153A1" w:rsidRDefault="008E7C6A">
            <w:r>
              <w:t>DIRECTOR DE RECURSOS HUMANOS</w:t>
            </w:r>
          </w:p>
        </w:tc>
      </w:tr>
      <w:tr w:rsidR="00C153A1" w14:paraId="436390E3" w14:textId="77777777">
        <w:tc>
          <w:tcPr>
            <w:tcW w:w="4414" w:type="dxa"/>
          </w:tcPr>
          <w:p w14:paraId="6CE0DE65" w14:textId="77777777" w:rsidR="00C153A1" w:rsidRDefault="008E7C6A">
            <w:r>
              <w:t>IENISEI</w:t>
            </w:r>
            <w:r>
              <w:tab/>
              <w:t>URBAN</w:t>
            </w:r>
            <w:r>
              <w:tab/>
              <w:t>HERNANDEZ</w:t>
            </w:r>
          </w:p>
        </w:tc>
        <w:tc>
          <w:tcPr>
            <w:tcW w:w="4414" w:type="dxa"/>
          </w:tcPr>
          <w:p w14:paraId="09C0C573" w14:textId="77777777" w:rsidR="00C153A1" w:rsidRDefault="008E7C6A">
            <w:r>
              <w:t>JEDE DE COMUNICACIÓN SOCIAL</w:t>
            </w:r>
          </w:p>
        </w:tc>
      </w:tr>
      <w:tr w:rsidR="00C153A1" w14:paraId="011211E3" w14:textId="77777777">
        <w:tc>
          <w:tcPr>
            <w:tcW w:w="4414" w:type="dxa"/>
          </w:tcPr>
          <w:p w14:paraId="5DBA3293" w14:textId="77777777" w:rsidR="00C153A1" w:rsidRDefault="008E7C6A">
            <w:r>
              <w:t>LUIS DIONICIO</w:t>
            </w:r>
            <w:r>
              <w:tab/>
              <w:t>JERONIMO</w:t>
            </w:r>
            <w:r>
              <w:tab/>
              <w:t>GONZALEZ</w:t>
            </w:r>
          </w:p>
        </w:tc>
        <w:tc>
          <w:tcPr>
            <w:tcW w:w="4414" w:type="dxa"/>
          </w:tcPr>
          <w:p w14:paraId="4B3310A3" w14:textId="77777777" w:rsidR="00C153A1" w:rsidRDefault="008E7C6A">
            <w:r>
              <w:t>DIRECTOR</w:t>
            </w:r>
            <w:r>
              <w:tab/>
            </w:r>
          </w:p>
        </w:tc>
      </w:tr>
      <w:tr w:rsidR="00C153A1" w14:paraId="42830C62" w14:textId="77777777">
        <w:tc>
          <w:tcPr>
            <w:tcW w:w="4414" w:type="dxa"/>
          </w:tcPr>
          <w:p w14:paraId="2D44EEAF" w14:textId="77777777" w:rsidR="00C153A1" w:rsidRDefault="008E7C6A">
            <w:r>
              <w:t>MARIO</w:t>
            </w:r>
            <w:r>
              <w:tab/>
              <w:t>TORRES</w:t>
            </w:r>
            <w:r>
              <w:tab/>
              <w:t>ROLDAN</w:t>
            </w:r>
          </w:p>
        </w:tc>
        <w:tc>
          <w:tcPr>
            <w:tcW w:w="4414" w:type="dxa"/>
          </w:tcPr>
          <w:p w14:paraId="48857269" w14:textId="77777777" w:rsidR="00C153A1" w:rsidRDefault="008E7C6A">
            <w:r>
              <w:t>DIRECTOR DE SERVICIOS PUBLICOS</w:t>
            </w:r>
          </w:p>
        </w:tc>
      </w:tr>
      <w:tr w:rsidR="00C153A1" w14:paraId="60662A06" w14:textId="77777777">
        <w:tc>
          <w:tcPr>
            <w:tcW w:w="4414" w:type="dxa"/>
          </w:tcPr>
          <w:p w14:paraId="387EF2DB" w14:textId="77777777" w:rsidR="00C153A1" w:rsidRDefault="008E7C6A">
            <w:r>
              <w:t>HERIBERTO</w:t>
            </w:r>
            <w:r>
              <w:tab/>
              <w:t>ARENAS</w:t>
            </w:r>
            <w:r>
              <w:tab/>
              <w:t>MONTER</w:t>
            </w:r>
          </w:p>
        </w:tc>
        <w:tc>
          <w:tcPr>
            <w:tcW w:w="4414" w:type="dxa"/>
          </w:tcPr>
          <w:p w14:paraId="79377A92" w14:textId="77777777" w:rsidR="00C153A1" w:rsidRDefault="008E7C6A">
            <w:r>
              <w:t>DIRECTOR DE OBRAS PUBLICAS</w:t>
            </w:r>
          </w:p>
        </w:tc>
      </w:tr>
      <w:tr w:rsidR="00C153A1" w14:paraId="1EA422E0" w14:textId="77777777">
        <w:tc>
          <w:tcPr>
            <w:tcW w:w="4414" w:type="dxa"/>
          </w:tcPr>
          <w:p w14:paraId="4A67131A" w14:textId="77777777" w:rsidR="00C153A1" w:rsidRDefault="008E7C6A">
            <w:r>
              <w:t>Luis Fernando</w:t>
            </w:r>
            <w:r>
              <w:tab/>
              <w:t>HURTADO</w:t>
            </w:r>
            <w:r>
              <w:tab/>
              <w:t>Adun</w:t>
            </w:r>
            <w:r>
              <w:t>a</w:t>
            </w:r>
          </w:p>
        </w:tc>
        <w:tc>
          <w:tcPr>
            <w:tcW w:w="4414" w:type="dxa"/>
          </w:tcPr>
          <w:p w14:paraId="6F54AE00" w14:textId="77777777" w:rsidR="00C153A1" w:rsidRDefault="008E7C6A">
            <w:r>
              <w:t>TITULAR DE LA UNIDAD DE TRANSPARENCIA</w:t>
            </w:r>
          </w:p>
        </w:tc>
      </w:tr>
      <w:tr w:rsidR="00C153A1" w14:paraId="4BE6BE3A" w14:textId="77777777">
        <w:tc>
          <w:tcPr>
            <w:tcW w:w="4414" w:type="dxa"/>
          </w:tcPr>
          <w:p w14:paraId="19DA9C02" w14:textId="77777777" w:rsidR="00C153A1" w:rsidRDefault="008E7C6A">
            <w:r>
              <w:t>EULOGIO RAMIRO</w:t>
            </w:r>
            <w:r>
              <w:tab/>
              <w:t>LOPEZ</w:t>
            </w:r>
            <w:r>
              <w:tab/>
              <w:t>ROSALES</w:t>
            </w:r>
          </w:p>
          <w:p w14:paraId="729FA7C7" w14:textId="77777777" w:rsidR="00C153A1" w:rsidRDefault="00C153A1"/>
        </w:tc>
        <w:tc>
          <w:tcPr>
            <w:tcW w:w="4414" w:type="dxa"/>
          </w:tcPr>
          <w:p w14:paraId="71F48031" w14:textId="77777777" w:rsidR="00C153A1" w:rsidRDefault="008E7C6A">
            <w:r>
              <w:t>ENCARGADO DE TALLER MECANICO</w:t>
            </w:r>
          </w:p>
        </w:tc>
      </w:tr>
      <w:tr w:rsidR="00C153A1" w14:paraId="3EFDDFE9" w14:textId="77777777">
        <w:tc>
          <w:tcPr>
            <w:tcW w:w="4414" w:type="dxa"/>
          </w:tcPr>
          <w:p w14:paraId="6E1C9C98" w14:textId="77777777" w:rsidR="00C153A1" w:rsidRDefault="008E7C6A">
            <w:r>
              <w:t>LESLIE JEANNETE</w:t>
            </w:r>
            <w:r>
              <w:tab/>
              <w:t>RAMIREZ</w:t>
            </w:r>
            <w:r>
              <w:tab/>
              <w:t>CONTRERAS</w:t>
            </w:r>
          </w:p>
        </w:tc>
        <w:tc>
          <w:tcPr>
            <w:tcW w:w="4414" w:type="dxa"/>
          </w:tcPr>
          <w:p w14:paraId="5AB07824" w14:textId="77777777" w:rsidR="00C153A1" w:rsidRDefault="008E7C6A">
            <w:r>
              <w:t>TITULAR DEL INSTITUTO DE LA MUJER</w:t>
            </w:r>
          </w:p>
        </w:tc>
      </w:tr>
      <w:tr w:rsidR="00C153A1" w14:paraId="14809E86" w14:textId="77777777">
        <w:tc>
          <w:tcPr>
            <w:tcW w:w="4414" w:type="dxa"/>
          </w:tcPr>
          <w:p w14:paraId="2C83B786" w14:textId="77777777" w:rsidR="00C153A1" w:rsidRDefault="008E7C6A">
            <w:r>
              <w:t>ERICK DE JESUS</w:t>
            </w:r>
            <w:r>
              <w:tab/>
              <w:t>HIDALGO</w:t>
            </w:r>
            <w:r>
              <w:tab/>
              <w:t>MARTINEZ</w:t>
            </w:r>
          </w:p>
        </w:tc>
        <w:tc>
          <w:tcPr>
            <w:tcW w:w="4414" w:type="dxa"/>
          </w:tcPr>
          <w:p w14:paraId="54246D44" w14:textId="77777777" w:rsidR="00C153A1" w:rsidRDefault="008E7C6A">
            <w:r>
              <w:t>COMISARIO SEG CIUDADANA Y T.M.</w:t>
            </w:r>
          </w:p>
        </w:tc>
      </w:tr>
    </w:tbl>
    <w:p w14:paraId="254E45D6"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46D9DD56"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2F0D07BB" w14:textId="77777777" w:rsidR="00C153A1" w:rsidRDefault="008E7C6A">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lo anterior,  queda en evidencia  que el particular no tiene certeza respecto del cargo que ostenta cada servidor público de los referidos en la respuesta que proporciona el SUJETO OBLIGADO, máxime que en términos de lo que se establece en el artículo  </w:t>
      </w:r>
      <w:r>
        <w:rPr>
          <w:rFonts w:ascii="Palatino Linotype" w:eastAsia="Palatino Linotype" w:hAnsi="Palatino Linotype" w:cs="Palatino Linotype"/>
          <w:color w:val="000000"/>
        </w:rPr>
        <w:t xml:space="preserve">36 del Bando Municipal del Ayuntamiento de  Tultepec, la administración Central  se integra por las siguientes 27 unidades administrativas siguientes: </w:t>
      </w:r>
    </w:p>
    <w:p w14:paraId="21EE6275" w14:textId="77777777" w:rsidR="00C153A1" w:rsidRDefault="00C153A1">
      <w:pPr>
        <w:pBdr>
          <w:top w:val="nil"/>
          <w:left w:val="nil"/>
          <w:bottom w:val="nil"/>
          <w:right w:val="nil"/>
          <w:between w:val="nil"/>
        </w:pBdr>
        <w:spacing w:line="360" w:lineRule="auto"/>
        <w:jc w:val="both"/>
        <w:rPr>
          <w:rFonts w:ascii="Palatino Linotype" w:eastAsia="Palatino Linotype" w:hAnsi="Palatino Linotype" w:cs="Palatino Linotype"/>
          <w:color w:val="FF0000"/>
        </w:rPr>
      </w:pPr>
    </w:p>
    <w:p w14:paraId="5143EDF5"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“ARTÍCULO 36.- Para el estudio, planeación y despacho de los asuntos en los diversos ramos de la Administración Pública Municipal, el Ayuntamiento se auxiliará de las siguientes dependencias que integran la Administración Pública Centralizada: </w:t>
      </w:r>
    </w:p>
    <w:p w14:paraId="360CA679"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I.- Secreta</w:t>
      </w:r>
      <w:r>
        <w:rPr>
          <w:rFonts w:ascii="Palatino Linotype" w:eastAsia="Palatino Linotype" w:hAnsi="Palatino Linotype" w:cs="Palatino Linotype"/>
          <w:i/>
          <w:color w:val="000000"/>
          <w:sz w:val="22"/>
          <w:szCs w:val="22"/>
        </w:rPr>
        <w:t xml:space="preserve">ría del Ayuntamiento; </w:t>
      </w:r>
    </w:p>
    <w:p w14:paraId="1E5B3AF6"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 Tesorería Municipal; </w:t>
      </w:r>
    </w:p>
    <w:p w14:paraId="2CF1C264"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III.- Contraloría Municipal; </w:t>
      </w:r>
    </w:p>
    <w:p w14:paraId="51BB33B2"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IV.- Comisaría de Seguridad Ciudadana y Tránsito Municipal; </w:t>
      </w:r>
    </w:p>
    <w:p w14:paraId="15BB0471"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 Dirección de Obras Públicas;</w:t>
      </w:r>
    </w:p>
    <w:p w14:paraId="42A60F2F"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VI.- Dirección de Desarrollo Urbano; </w:t>
      </w:r>
    </w:p>
    <w:p w14:paraId="77A15763"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VII.- Jefatura de la oficina de Imagen Urba</w:t>
      </w:r>
      <w:r>
        <w:rPr>
          <w:rFonts w:ascii="Palatino Linotype" w:eastAsia="Palatino Linotype" w:hAnsi="Palatino Linotype" w:cs="Palatino Linotype"/>
          <w:i/>
          <w:color w:val="000000"/>
          <w:sz w:val="22"/>
          <w:szCs w:val="22"/>
        </w:rPr>
        <w:t>na;</w:t>
      </w:r>
    </w:p>
    <w:p w14:paraId="03A25E97"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VIII.- Dirección de Agua Potable, Alcantarillado y Saneamiento; </w:t>
      </w:r>
    </w:p>
    <w:p w14:paraId="07137072"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IX.- Dirección de Administración, Planeación y Evaluación; </w:t>
      </w:r>
    </w:p>
    <w:p w14:paraId="0FCD71A0"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 Coordinación Municipal de Protección Civil; </w:t>
      </w:r>
    </w:p>
    <w:p w14:paraId="578CC10B"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 Dirección de Desarrollo Social, Educación, Cultura, Turismo Sostenible y </w:t>
      </w:r>
      <w:r>
        <w:rPr>
          <w:rFonts w:ascii="Palatino Linotype" w:eastAsia="Palatino Linotype" w:hAnsi="Palatino Linotype" w:cs="Palatino Linotype"/>
          <w:i/>
          <w:color w:val="000000"/>
          <w:sz w:val="22"/>
          <w:szCs w:val="22"/>
        </w:rPr>
        <w:t xml:space="preserve">Desarrollo Artesanal. </w:t>
      </w:r>
    </w:p>
    <w:p w14:paraId="4DD6AC7F"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 Dirección de Servicios Públicos; </w:t>
      </w:r>
    </w:p>
    <w:p w14:paraId="3FA45463"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XIII.- Dirección de Ecología, Salud Pública y Fomento Agropecuario; </w:t>
      </w:r>
    </w:p>
    <w:p w14:paraId="1E46220C"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XIV.- Dirección de Desarrollo Económico; </w:t>
      </w:r>
    </w:p>
    <w:p w14:paraId="0394F629"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XV.- Dirección de Desarrollo de la Pirotecnia;</w:t>
      </w:r>
    </w:p>
    <w:p w14:paraId="04B44788"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XVI.- Dirección de Recursos Humano</w:t>
      </w:r>
      <w:r>
        <w:rPr>
          <w:rFonts w:ascii="Palatino Linotype" w:eastAsia="Palatino Linotype" w:hAnsi="Palatino Linotype" w:cs="Palatino Linotype"/>
          <w:i/>
          <w:color w:val="000000"/>
          <w:sz w:val="22"/>
          <w:szCs w:val="22"/>
        </w:rPr>
        <w:t xml:space="preserve">s; </w:t>
      </w:r>
    </w:p>
    <w:p w14:paraId="1328EE92"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XVIII.- Jefatura de la Oficina de Apoyo a la Regularización de la Propiedad Privada Inmobiliaria; </w:t>
      </w:r>
    </w:p>
    <w:p w14:paraId="2455196D"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XIX.- Jefatura de la Oficina de Comunicación Social; </w:t>
      </w:r>
    </w:p>
    <w:p w14:paraId="6FBD41E3"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 Oficialía Mediadora-Conciliadora; </w:t>
      </w:r>
    </w:p>
    <w:p w14:paraId="4A9592C2"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 xml:space="preserve">XXI.- Oficialía Calificadora; </w:t>
      </w:r>
    </w:p>
    <w:p w14:paraId="672BE887"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XXII.- Defensoría Municipal </w:t>
      </w:r>
      <w:r>
        <w:rPr>
          <w:rFonts w:ascii="Palatino Linotype" w:eastAsia="Palatino Linotype" w:hAnsi="Palatino Linotype" w:cs="Palatino Linotype"/>
          <w:i/>
          <w:color w:val="000000"/>
          <w:sz w:val="22"/>
          <w:szCs w:val="22"/>
        </w:rPr>
        <w:t>de Derechos Humanos;</w:t>
      </w:r>
    </w:p>
    <w:p w14:paraId="1A846AE5"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 XXIII.- Unidad de la Secretaría Técnica del Consejo Municipal de Seguridad Pública; XXIV.- Instituto Municipal de la Mujer; y </w:t>
      </w:r>
    </w:p>
    <w:p w14:paraId="6505A396"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XXV.- Unidad de Transparencia, Acceso a la Información Pública y Protección de Datos Personales. </w:t>
      </w:r>
    </w:p>
    <w:p w14:paraId="2461ADE0"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XXVI.- Dirección de Asuntos Jurídicos. </w:t>
      </w:r>
    </w:p>
    <w:p w14:paraId="525831EE" w14:textId="77777777" w:rsidR="00C153A1" w:rsidRDefault="008E7C6A">
      <w:pPr>
        <w:pBdr>
          <w:top w:val="nil"/>
          <w:left w:val="nil"/>
          <w:bottom w:val="nil"/>
          <w:right w:val="nil"/>
          <w:between w:val="nil"/>
        </w:pBdr>
        <w:tabs>
          <w:tab w:val="left" w:pos="0"/>
        </w:tabs>
        <w:ind w:left="708" w:right="49"/>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i/>
          <w:color w:val="000000"/>
          <w:sz w:val="22"/>
          <w:szCs w:val="22"/>
        </w:rPr>
        <w:t>XXVII.- Dirección de Límites Territoriales”</w:t>
      </w:r>
    </w:p>
    <w:p w14:paraId="1C806336" w14:textId="77777777" w:rsidR="00C153A1" w:rsidRDefault="00C153A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14:paraId="046AC9BD" w14:textId="77777777" w:rsidR="00C153A1" w:rsidRDefault="008E7C6A">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Precisado lo anterior, no se omite señalar que aun cuando pareciera que el requerimiento del particular fue colmados a través de la respuesta, lo cierto es que el derecho </w:t>
      </w:r>
      <w:r>
        <w:rPr>
          <w:rFonts w:ascii="Palatino Linotype" w:eastAsia="Palatino Linotype" w:hAnsi="Palatino Linotype" w:cs="Palatino Linotype"/>
        </w:rPr>
        <w:t>de acceso a la información pública accionado por el ahora</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no ha sido colmado puesto que el Por su parte, el artículo 53, fracciones II y V y penúltimo párrafo de la Ley en comento establecen que las Unidades de Transparencia deben recibir, trami</w:t>
      </w:r>
      <w:r>
        <w:rPr>
          <w:rFonts w:ascii="Palatino Linotype" w:eastAsia="Palatino Linotype" w:hAnsi="Palatino Linotype" w:cs="Palatino Linotype"/>
        </w:rPr>
        <w:t xml:space="preserve">tar y dar respuesta a las solicitudes de acceso a la información y entregar, en su caso, a los particulares la información solicitada. </w:t>
      </w:r>
    </w:p>
    <w:p w14:paraId="0FCA1734" w14:textId="77777777" w:rsidR="00C153A1" w:rsidRDefault="00C153A1">
      <w:pPr>
        <w:widowControl w:val="0"/>
        <w:spacing w:line="360" w:lineRule="auto"/>
        <w:jc w:val="both"/>
        <w:rPr>
          <w:rFonts w:ascii="Palatino Linotype" w:eastAsia="Palatino Linotype" w:hAnsi="Palatino Linotype" w:cs="Palatino Linotype"/>
        </w:rPr>
      </w:pPr>
    </w:p>
    <w:p w14:paraId="56E8DA90" w14:textId="77777777" w:rsidR="00C153A1" w:rsidRDefault="008E7C6A">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así que en todo momento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debió procurar la atención a  los principios para el Derecho de Acces</w:t>
      </w:r>
      <w:r>
        <w:rPr>
          <w:rFonts w:ascii="Palatino Linotype" w:eastAsia="Palatino Linotype" w:hAnsi="Palatino Linotype" w:cs="Palatino Linotype"/>
        </w:rPr>
        <w:t xml:space="preserve">o a la Información Pública, en su carácter de gratuita, veraz, confiable, oportuna, congruente, integral, actualizada, </w:t>
      </w:r>
      <w:r>
        <w:rPr>
          <w:rFonts w:ascii="Palatino Linotype" w:eastAsia="Palatino Linotype" w:hAnsi="Palatino Linotype" w:cs="Palatino Linotype"/>
          <w:b/>
        </w:rPr>
        <w:t>accesible</w:t>
      </w:r>
      <w:r>
        <w:rPr>
          <w:rFonts w:ascii="Palatino Linotype" w:eastAsia="Palatino Linotype" w:hAnsi="Palatino Linotype" w:cs="Palatino Linotype"/>
        </w:rPr>
        <w:t xml:space="preserve">, </w:t>
      </w:r>
      <w:r>
        <w:rPr>
          <w:rFonts w:ascii="Palatino Linotype" w:eastAsia="Palatino Linotype" w:hAnsi="Palatino Linotype" w:cs="Palatino Linotype"/>
          <w:b/>
        </w:rPr>
        <w:t>comprensible</w:t>
      </w:r>
      <w:r>
        <w:rPr>
          <w:rFonts w:ascii="Palatino Linotype" w:eastAsia="Palatino Linotype" w:hAnsi="Palatino Linotype" w:cs="Palatino Linotype"/>
        </w:rPr>
        <w:t xml:space="preserve">, </w:t>
      </w:r>
      <w:r>
        <w:rPr>
          <w:rFonts w:ascii="Palatino Linotype" w:eastAsia="Palatino Linotype" w:hAnsi="Palatino Linotype" w:cs="Palatino Linotype"/>
          <w:b/>
        </w:rPr>
        <w:t>verificable</w:t>
      </w:r>
      <w:r>
        <w:rPr>
          <w:rFonts w:ascii="Palatino Linotype" w:eastAsia="Palatino Linotype" w:hAnsi="Palatino Linotype" w:cs="Palatino Linotype"/>
        </w:rPr>
        <w:t xml:space="preserve"> y de fácil acceso.</w:t>
      </w:r>
    </w:p>
    <w:p w14:paraId="3E15BAC0" w14:textId="77777777" w:rsidR="00C153A1" w:rsidRDefault="00C153A1">
      <w:pPr>
        <w:widowControl w:val="0"/>
        <w:spacing w:line="360" w:lineRule="auto"/>
        <w:jc w:val="both"/>
        <w:rPr>
          <w:rFonts w:ascii="Palatino Linotype" w:eastAsia="Palatino Linotype" w:hAnsi="Palatino Linotype" w:cs="Palatino Linotype"/>
        </w:rPr>
      </w:pPr>
    </w:p>
    <w:p w14:paraId="62AA3BED" w14:textId="77777777" w:rsidR="00C153A1" w:rsidRDefault="008E7C6A">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podemos advertir que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 xml:space="preserve">hizo entrega de documentos </w:t>
      </w:r>
      <w:r>
        <w:rPr>
          <w:rFonts w:ascii="Palatino Linotype" w:eastAsia="Palatino Linotype" w:hAnsi="Palatino Linotype" w:cs="Palatino Linotype"/>
        </w:rPr>
        <w:t xml:space="preserve">sin tomar en consideración que para el ciudadano fuera viable conocer la información curricular con  referencia al  cargo que ostenta cada servidor público dentro de la administración municipal. </w:t>
      </w:r>
    </w:p>
    <w:p w14:paraId="37C9EDAE" w14:textId="77777777" w:rsidR="00C153A1" w:rsidRDefault="00C153A1">
      <w:pPr>
        <w:widowControl w:val="0"/>
        <w:spacing w:line="360" w:lineRule="auto"/>
        <w:jc w:val="both"/>
        <w:rPr>
          <w:rFonts w:ascii="Palatino Linotype" w:eastAsia="Palatino Linotype" w:hAnsi="Palatino Linotype" w:cs="Palatino Linotype"/>
        </w:rPr>
      </w:pPr>
    </w:p>
    <w:p w14:paraId="58B00C58" w14:textId="77777777" w:rsidR="00C153A1" w:rsidRDefault="008E7C6A">
      <w:pPr>
        <w:widowControl w:val="0"/>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mimo, se advierte que la información se encuentra incom</w:t>
      </w:r>
      <w:r>
        <w:rPr>
          <w:rFonts w:ascii="Palatino Linotype" w:eastAsia="Palatino Linotype" w:hAnsi="Palatino Linotype" w:cs="Palatino Linotype"/>
        </w:rPr>
        <w:t>pleta en  consideración a que de lo precisado en el artículo 36 del Bando Municipal del Ayuntamiento de  Tultepec la administración municipal central se integra por un total de 27 unidades administrativas sin embargo de conteo realizado a los documentos co</w:t>
      </w:r>
      <w:r>
        <w:rPr>
          <w:rFonts w:ascii="Palatino Linotype" w:eastAsia="Palatino Linotype" w:hAnsi="Palatino Linotype" w:cs="Palatino Linotype"/>
        </w:rPr>
        <w:t xml:space="preserve">n información curricular se advierte que, como quedo precisado, únicamente remite el de 25 servidores públicos, razón suficiente para que este organismo garante orden los documentos faltantes que dan cuenta de la petición del particular. </w:t>
      </w:r>
    </w:p>
    <w:p w14:paraId="74D66787" w14:textId="77777777" w:rsidR="00C153A1" w:rsidRDefault="008E7C6A">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razón de lo anterior, esta Autoridad tiene por fundado el motivo de inconformidad previsto por el particular en razón de los argumentos expuestos en tal virtud resulta procedente modificar la respuesta otorgada por el SUJETO OBLIGADO  a fin de que entre</w:t>
      </w:r>
      <w:r>
        <w:rPr>
          <w:rFonts w:ascii="Palatino Linotype" w:eastAsia="Palatino Linotype" w:hAnsi="Palatino Linotype" w:cs="Palatino Linotype"/>
          <w:color w:val="000000"/>
        </w:rPr>
        <w:t xml:space="preserve">gue al particular la información curricular de los servidores públicos señalados y que no fue entregada o la misma no hace referencia al cargo en versión pública. </w:t>
      </w:r>
    </w:p>
    <w:p w14:paraId="604EA4E5" w14:textId="77777777" w:rsidR="00C153A1" w:rsidRDefault="008E7C6A">
      <w:pPr>
        <w:pBdr>
          <w:top w:val="nil"/>
          <w:left w:val="nil"/>
          <w:bottom w:val="nil"/>
          <w:right w:val="nil"/>
          <w:between w:val="nil"/>
        </w:pBdr>
        <w:spacing w:before="280" w:after="280" w:line="360" w:lineRule="auto"/>
        <w:ind w:right="-28"/>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En este sentido, derivado de lo anterior se ordena una búsqueda exhaustiva y razonable de lo</w:t>
      </w:r>
      <w:r>
        <w:rPr>
          <w:rFonts w:ascii="Palatino Linotype" w:eastAsia="Palatino Linotype" w:hAnsi="Palatino Linotype" w:cs="Palatino Linotype"/>
          <w:color w:val="000000"/>
        </w:rPr>
        <w:t>s documentos faltantes, razón por la cual el SUJETO OBLIGADO deberá realizar los trámites necesarios a efectos de que el requerimiento se turne a la Dirección de Recursos Humanos la cual de acuerdo con lo precisado en el propio Bando municipal, es la encar</w:t>
      </w:r>
      <w:r>
        <w:rPr>
          <w:rFonts w:ascii="Palatino Linotype" w:eastAsia="Palatino Linotype" w:hAnsi="Palatino Linotype" w:cs="Palatino Linotype"/>
          <w:color w:val="000000"/>
        </w:rPr>
        <w:t xml:space="preserve">gada de administrar los recurso relacionados con el personal, así como la obligación de integrar un expediente a cada uno de los servidores públicos que integran la administración municipal. </w:t>
      </w:r>
    </w:p>
    <w:p w14:paraId="4418D2F6" w14:textId="77777777" w:rsidR="00C153A1" w:rsidRDefault="008E7C6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 xml:space="preserve">Ahora, </w:t>
      </w:r>
      <w:r>
        <w:rPr>
          <w:rFonts w:ascii="Palatino Linotype" w:eastAsia="Palatino Linotype" w:hAnsi="Palatino Linotype" w:cs="Palatino Linotype"/>
          <w:color w:val="000000"/>
        </w:rPr>
        <w:t xml:space="preserve">respecto del inciso b) de los motivo de inconformidad en donde el particular refiere inconformidad relacionada con la clasificación de información como </w:t>
      </w:r>
      <w:r>
        <w:rPr>
          <w:rFonts w:ascii="Palatino Linotype" w:eastAsia="Palatino Linotype" w:hAnsi="Palatino Linotype" w:cs="Palatino Linotype"/>
          <w:color w:val="000000"/>
        </w:rPr>
        <w:lastRenderedPageBreak/>
        <w:t>confidencial que realizaron no coincide con el documento en versión pública que me entregaron</w:t>
      </w:r>
      <w:r>
        <w:rPr>
          <w:color w:val="000000"/>
        </w:rPr>
        <w:t xml:space="preserve"> </w:t>
      </w:r>
      <w:r>
        <w:rPr>
          <w:rFonts w:ascii="Palatino Linotype" w:eastAsia="Palatino Linotype" w:hAnsi="Palatino Linotype" w:cs="Palatino Linotype"/>
          <w:color w:val="000000"/>
        </w:rPr>
        <w:t>el acuerdo</w:t>
      </w:r>
      <w:r>
        <w:rPr>
          <w:rFonts w:ascii="Palatino Linotype" w:eastAsia="Palatino Linotype" w:hAnsi="Palatino Linotype" w:cs="Palatino Linotype"/>
          <w:color w:val="000000"/>
        </w:rPr>
        <w:t xml:space="preserve"> que adjuntan es de fecha 8 de febrero de 2021 y el acta de sesión de comité es de fecha 11 de febrero, posterior al acuerdo lo que genera incertidumbre. </w:t>
      </w:r>
    </w:p>
    <w:p w14:paraId="0762052E" w14:textId="77777777" w:rsidR="00C153A1" w:rsidRDefault="008E7C6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Es de señalar, que por lo que hace a las versiones públicas,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cumplir con las </w:t>
      </w:r>
      <w:r>
        <w:rPr>
          <w:rFonts w:ascii="Palatino Linotype" w:eastAsia="Palatino Linotype" w:hAnsi="Palatino Linotype" w:cs="Palatino Linotype"/>
          <w:color w:val="000000"/>
        </w:rPr>
        <w:t>formalidades exigidas en la Ley, por lo que para tal efecto emitirá el Acuerdo del Comité de Información en términos de los artículos 49 fracción VIII, 122</w:t>
      </w:r>
      <w:r>
        <w:rPr>
          <w:rFonts w:ascii="Palatino Linotype" w:eastAsia="Palatino Linotype" w:hAnsi="Palatino Linotype" w:cs="Palatino Linotype"/>
          <w:color w:val="000000"/>
          <w:vertAlign w:val="superscript"/>
        </w:rPr>
        <w:footnoteReference w:id="1"/>
      </w:r>
      <w:r>
        <w:rPr>
          <w:rFonts w:ascii="Palatino Linotype" w:eastAsia="Palatino Linotype" w:hAnsi="Palatino Linotype" w:cs="Palatino Linotype"/>
          <w:color w:val="000000"/>
        </w:rPr>
        <w:t>, 135</w:t>
      </w:r>
      <w:r>
        <w:rPr>
          <w:rFonts w:ascii="Palatino Linotype" w:eastAsia="Palatino Linotype" w:hAnsi="Palatino Linotype" w:cs="Palatino Linotype"/>
          <w:color w:val="000000"/>
          <w:vertAlign w:val="superscript"/>
        </w:rPr>
        <w:footnoteReference w:id="2"/>
      </w:r>
      <w:r>
        <w:rPr>
          <w:rFonts w:ascii="Palatino Linotype" w:eastAsia="Palatino Linotype" w:hAnsi="Palatino Linotype" w:cs="Palatino Linotype"/>
          <w:color w:val="000000"/>
        </w:rPr>
        <w:t xml:space="preserve"> y 149 de la Ley de Transparencia y Acceso a la Información Pública del Estado de México, co</w:t>
      </w:r>
      <w:r>
        <w:rPr>
          <w:rFonts w:ascii="Palatino Linotype" w:eastAsia="Palatino Linotype" w:hAnsi="Palatino Linotype" w:cs="Palatino Linotype"/>
          <w:color w:val="000000"/>
        </w:rPr>
        <w:t>n el cual sustentara la clasificación de datos y con ello la "versión pública" de los documentos materia de la solicitud.</w:t>
      </w:r>
    </w:p>
    <w:p w14:paraId="566D7912" w14:textId="77777777" w:rsidR="00C153A1" w:rsidRDefault="00C153A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40CA8CB1" w14:textId="77777777" w:rsidR="00C153A1" w:rsidRDefault="008E7C6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lo tanto, la entrega de documentos, en su versión pública, debe acompañarse necesariamente del Acuerdo del Comité de información </w:t>
      </w:r>
      <w:r>
        <w:rPr>
          <w:rFonts w:ascii="Palatino Linotype" w:eastAsia="Palatino Linotype" w:hAnsi="Palatino Linotype" w:cs="Palatino Linotype"/>
          <w:color w:val="000000"/>
        </w:rPr>
        <w:t xml:space="preserve">que la sustente, en el que se expongan los fundamentos y razonamientos que llevaron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testar, suprimir o eliminar datos de dicho soporte documental, ya que no hacerlo implica que lo entregado no es legal ni formalmente una versión </w:t>
      </w:r>
      <w:r>
        <w:rPr>
          <w:rFonts w:ascii="Palatino Linotype" w:eastAsia="Palatino Linotype" w:hAnsi="Palatino Linotype" w:cs="Palatino Linotype"/>
          <w:color w:val="000000"/>
        </w:rPr>
        <w:lastRenderedPageBreak/>
        <w:t>públic</w:t>
      </w:r>
      <w:r>
        <w:rPr>
          <w:rFonts w:ascii="Palatino Linotype" w:eastAsia="Palatino Linotype" w:hAnsi="Palatino Linotype" w:cs="Palatino Linotype"/>
          <w:color w:val="000000"/>
        </w:rPr>
        <w:t>a, sino más bien una documentación ilegible, incompleta o tachada; pues no señalar las razones por las que no se aprecian determinados datos, ya sea porque se testan o suprimen, deja al solicitante en estado de incertidumbre, al no conocer o comprender por</w:t>
      </w:r>
      <w:r>
        <w:rPr>
          <w:rFonts w:ascii="Palatino Linotype" w:eastAsia="Palatino Linotype" w:hAnsi="Palatino Linotype" w:cs="Palatino Linotype"/>
          <w:color w:val="000000"/>
        </w:rPr>
        <w:t>que no aparecen en la documentación respectiva, es decir, si no se exponen de manera puntual las razones de ello se estaría violentando desde un inicio el derecho de acceso a la información del solicitante.</w:t>
      </w:r>
    </w:p>
    <w:p w14:paraId="35844462" w14:textId="77777777" w:rsidR="00C153A1" w:rsidRDefault="00C153A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2E403487" w14:textId="77777777" w:rsidR="00C153A1" w:rsidRDefault="008E7C6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estos dispositivos legales, se desprende que </w:t>
      </w:r>
      <w:r>
        <w:rPr>
          <w:rFonts w:ascii="Palatino Linotype" w:eastAsia="Palatino Linotype" w:hAnsi="Palatino Linotype" w:cs="Palatino Linotype"/>
          <w:color w:val="000000"/>
        </w:rPr>
        <w:t>el derecho de acceso a la información pública tiene como limitante el respeto a la intimidad y a la vida privada de las personas, es por ello que este Instituto debe cuidar que los datos personales que obren en poder de los sujetos obligados sean protegido</w:t>
      </w:r>
      <w:r>
        <w:rPr>
          <w:rFonts w:ascii="Palatino Linotype" w:eastAsia="Palatino Linotype" w:hAnsi="Palatino Linotype" w:cs="Palatino Linotype"/>
          <w:color w:val="000000"/>
        </w:rPr>
        <w:t>s y únicamente se den a conocer aquéllos que abonen a la rendición de cuentas y a la transparencia en el ejercicio de las atribuciones que tienen conferidas. De este modo, en armonía entre los principios constitucionales de máxima publicidad y de protecció</w:t>
      </w:r>
      <w:r>
        <w:rPr>
          <w:rFonts w:ascii="Palatino Linotype" w:eastAsia="Palatino Linotype" w:hAnsi="Palatino Linotype" w:cs="Palatino Linotype"/>
          <w:color w:val="000000"/>
        </w:rPr>
        <w:t>n de datos personales, la ley permite la elaboración de versiones públicas en las que se suprima aquella información relacionada con la vida privada de los particulares y de los servidores públicos.</w:t>
      </w:r>
    </w:p>
    <w:p w14:paraId="702BD91C" w14:textId="77777777" w:rsidR="00C153A1" w:rsidRDefault="00C153A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14:paraId="5D34FE9B"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que resulta necesario, analizar el Acuerdo a trav</w:t>
      </w:r>
      <w:r>
        <w:rPr>
          <w:rFonts w:ascii="Palatino Linotype" w:eastAsia="Palatino Linotype" w:hAnsi="Palatino Linotype" w:cs="Palatino Linotype"/>
        </w:rPr>
        <w:t xml:space="preserve">és del cual el Ayuntamiento de Tultepec,  sustenta la versión pública ejercida sobre los documentos que contienen la información curricular de los servidores públicos señalados en respuesta, entregado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a fin de establecer si el Comité de Transparencia cumplió cabalmente con las formalidades exigidas por la Ley de Transparencia y Acceso a la Información Pública, y los </w:t>
      </w:r>
      <w:r>
        <w:rPr>
          <w:rFonts w:ascii="Palatino Linotype" w:eastAsia="Palatino Linotype" w:hAnsi="Palatino Linotype" w:cs="Palatino Linotype"/>
        </w:rPr>
        <w:lastRenderedPageBreak/>
        <w:t xml:space="preserve">Lineamientos Generales en Materia de Clasificación y Desclasificación </w:t>
      </w:r>
      <w:r>
        <w:rPr>
          <w:rFonts w:ascii="Palatino Linotype" w:eastAsia="Palatino Linotype" w:hAnsi="Palatino Linotype" w:cs="Palatino Linotype"/>
        </w:rPr>
        <w:t>de la Información, así como para la Elaboración de Versiones Públicas.</w:t>
      </w:r>
    </w:p>
    <w:p w14:paraId="55186ED4" w14:textId="77777777" w:rsidR="00C153A1" w:rsidRDefault="00C153A1">
      <w:pPr>
        <w:spacing w:line="360" w:lineRule="auto"/>
        <w:jc w:val="both"/>
        <w:rPr>
          <w:rFonts w:ascii="Palatino Linotype" w:eastAsia="Palatino Linotype" w:hAnsi="Palatino Linotype" w:cs="Palatino Linotype"/>
        </w:rPr>
      </w:pPr>
    </w:p>
    <w:tbl>
      <w:tblPr>
        <w:tblStyle w:val="a0"/>
        <w:tblW w:w="9072" w:type="dxa"/>
        <w:tblInd w:w="10" w:type="dxa"/>
        <w:tblBorders>
          <w:top w:val="single" w:sz="4" w:space="0" w:color="93CDDC"/>
          <w:left w:val="single" w:sz="4" w:space="0" w:color="93CDDC"/>
          <w:bottom w:val="single" w:sz="4" w:space="0" w:color="93CDDC"/>
          <w:right w:val="single" w:sz="4" w:space="0" w:color="93CDDC"/>
          <w:insideH w:val="single" w:sz="4" w:space="0" w:color="93CDDC"/>
          <w:insideV w:val="single" w:sz="4" w:space="0" w:color="93CDDC"/>
        </w:tblBorders>
        <w:tblLayout w:type="fixed"/>
        <w:tblLook w:val="0400" w:firstRow="0" w:lastRow="0" w:firstColumn="0" w:lastColumn="0" w:noHBand="0" w:noVBand="1"/>
      </w:tblPr>
      <w:tblGrid>
        <w:gridCol w:w="1560"/>
        <w:gridCol w:w="1417"/>
        <w:gridCol w:w="6095"/>
      </w:tblGrid>
      <w:tr w:rsidR="00C153A1" w14:paraId="72A36390" w14:textId="77777777">
        <w:tc>
          <w:tcPr>
            <w:tcW w:w="1560" w:type="dxa"/>
            <w:tcBorders>
              <w:top w:val="nil"/>
              <w:left w:val="nil"/>
            </w:tcBorders>
          </w:tcPr>
          <w:p w14:paraId="256091C9" w14:textId="77777777" w:rsidR="00C153A1" w:rsidRDefault="00C153A1">
            <w:pPr>
              <w:pBdr>
                <w:top w:val="nil"/>
                <w:left w:val="nil"/>
                <w:bottom w:val="nil"/>
                <w:right w:val="nil"/>
                <w:between w:val="nil"/>
              </w:pBdr>
              <w:spacing w:after="120"/>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04C58C89" w14:textId="77777777" w:rsidR="00C153A1" w:rsidRDefault="008E7C6A">
            <w:pPr>
              <w:pBdr>
                <w:top w:val="nil"/>
                <w:left w:val="nil"/>
                <w:bottom w:val="nil"/>
                <w:right w:val="nil"/>
                <w:between w:val="nil"/>
              </w:pBdr>
              <w:spacing w:after="120"/>
              <w:ind w:left="47"/>
              <w:jc w:val="center"/>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29AD264F" w14:textId="77777777" w:rsidR="00C153A1" w:rsidRDefault="008E7C6A">
            <w:pPr>
              <w:pBdr>
                <w:top w:val="nil"/>
                <w:left w:val="nil"/>
                <w:bottom w:val="nil"/>
                <w:right w:val="nil"/>
                <w:between w:val="nil"/>
              </w:pBdr>
              <w:spacing w:after="120"/>
              <w:ind w:left="47"/>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Contenido</w:t>
            </w:r>
          </w:p>
        </w:tc>
      </w:tr>
      <w:tr w:rsidR="00C153A1" w14:paraId="019CC8E2" w14:textId="77777777">
        <w:tc>
          <w:tcPr>
            <w:tcW w:w="1560" w:type="dxa"/>
            <w:vAlign w:val="center"/>
          </w:tcPr>
          <w:p w14:paraId="012F745E" w14:textId="77777777" w:rsidR="00C153A1" w:rsidRDefault="008E7C6A">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Número de folio de la solicitud</w:t>
            </w:r>
          </w:p>
        </w:tc>
        <w:tc>
          <w:tcPr>
            <w:tcW w:w="1417" w:type="dxa"/>
            <w:tcBorders>
              <w:top w:val="single" w:sz="4" w:space="0" w:color="000000"/>
            </w:tcBorders>
            <w:vAlign w:val="center"/>
          </w:tcPr>
          <w:p w14:paraId="148FE0BD" w14:textId="77777777" w:rsidR="00C153A1" w:rsidRDefault="008E7C6A">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6095" w:type="dxa"/>
            <w:tcBorders>
              <w:top w:val="single" w:sz="4" w:space="0" w:color="000000"/>
            </w:tcBorders>
            <w:vAlign w:val="center"/>
          </w:tcPr>
          <w:p w14:paraId="6EAD7B0A" w14:textId="77777777" w:rsidR="00C153A1" w:rsidRDefault="00C153A1">
            <w:pPr>
              <w:spacing w:after="120"/>
              <w:ind w:left="-115"/>
              <w:jc w:val="center"/>
              <w:rPr>
                <w:rFonts w:ascii="Palatino Linotype" w:eastAsia="Palatino Linotype" w:hAnsi="Palatino Linotype" w:cs="Palatino Linotype"/>
                <w:sz w:val="2"/>
                <w:szCs w:val="2"/>
              </w:rPr>
            </w:pPr>
          </w:p>
          <w:p w14:paraId="105625CF" w14:textId="77777777" w:rsidR="00C153A1" w:rsidRDefault="00C153A1">
            <w:pPr>
              <w:spacing w:after="120"/>
              <w:ind w:left="-115"/>
              <w:jc w:val="center"/>
            </w:pPr>
          </w:p>
          <w:p w14:paraId="53F5391C" w14:textId="77777777" w:rsidR="00C153A1" w:rsidRDefault="00C153A1">
            <w:pPr>
              <w:spacing w:after="120"/>
              <w:ind w:left="-115"/>
              <w:jc w:val="center"/>
              <w:rPr>
                <w:rFonts w:ascii="Palatino Linotype" w:eastAsia="Palatino Linotype" w:hAnsi="Palatino Linotype" w:cs="Palatino Linotype"/>
              </w:rPr>
            </w:pPr>
          </w:p>
        </w:tc>
      </w:tr>
      <w:tr w:rsidR="00C153A1" w14:paraId="268918FA" w14:textId="77777777">
        <w:tc>
          <w:tcPr>
            <w:tcW w:w="1560" w:type="dxa"/>
            <w:vAlign w:val="center"/>
          </w:tcPr>
          <w:p w14:paraId="76D3342E" w14:textId="77777777" w:rsidR="00C153A1" w:rsidRDefault="008E7C6A">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Referencia de la información solicitada</w:t>
            </w:r>
          </w:p>
        </w:tc>
        <w:tc>
          <w:tcPr>
            <w:tcW w:w="1417" w:type="dxa"/>
            <w:vAlign w:val="center"/>
          </w:tcPr>
          <w:p w14:paraId="1F85BDC1" w14:textId="77777777" w:rsidR="00C153A1" w:rsidRDefault="008E7C6A">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68CD497C" w14:textId="77777777" w:rsidR="00C153A1" w:rsidRDefault="008E7C6A">
            <w:pPr>
              <w:spacing w:after="120"/>
              <w:jc w:val="center"/>
              <w:rPr>
                <w:rFonts w:ascii="Palatino Linotype" w:eastAsia="Palatino Linotype" w:hAnsi="Palatino Linotype" w:cs="Palatino Linotype"/>
                <w:b/>
              </w:rPr>
            </w:pPr>
            <w:r>
              <w:object w:dxaOrig="5889" w:dyaOrig="1149" w14:anchorId="13351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57.75pt" o:ole="">
                  <v:imagedata r:id="rId8" o:title=""/>
                </v:shape>
                <o:OLEObject Type="Embed" ProgID="PBrush" ShapeID="_x0000_i1025" DrawAspect="Content" ObjectID="_1718798276" r:id="rId9"/>
              </w:object>
            </w:r>
          </w:p>
        </w:tc>
      </w:tr>
      <w:tr w:rsidR="00C153A1" w14:paraId="0245D0D9" w14:textId="77777777">
        <w:tc>
          <w:tcPr>
            <w:tcW w:w="1560" w:type="dxa"/>
            <w:vAlign w:val="center"/>
          </w:tcPr>
          <w:p w14:paraId="748FFD1E" w14:textId="77777777" w:rsidR="00C153A1" w:rsidRDefault="008E7C6A">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Fundamento y Motivación Legal</w:t>
            </w:r>
          </w:p>
        </w:tc>
        <w:tc>
          <w:tcPr>
            <w:tcW w:w="1417" w:type="dxa"/>
            <w:vAlign w:val="center"/>
          </w:tcPr>
          <w:p w14:paraId="52EE60FB" w14:textId="77777777" w:rsidR="00C153A1" w:rsidRDefault="008E7C6A">
            <w:pPr>
              <w:spacing w:after="120"/>
              <w:ind w:left="47"/>
              <w:jc w:val="center"/>
              <w:rPr>
                <w:rFonts w:ascii="Palatino Linotype" w:eastAsia="Palatino Linotype" w:hAnsi="Palatino Linotype" w:cs="Palatino Linotype"/>
                <w:b/>
              </w:rPr>
            </w:pPr>
            <w:r>
              <w:rPr>
                <w:rFonts w:ascii="Palatino Linotype" w:eastAsia="Palatino Linotype" w:hAnsi="Palatino Linotype" w:cs="Palatino Linotype"/>
                <w:b/>
              </w:rPr>
              <w:t>Sí.</w:t>
            </w:r>
          </w:p>
        </w:tc>
        <w:tc>
          <w:tcPr>
            <w:tcW w:w="6095" w:type="dxa"/>
            <w:vAlign w:val="center"/>
          </w:tcPr>
          <w:p w14:paraId="1E0B6B68" w14:textId="77777777" w:rsidR="00C153A1" w:rsidRDefault="00C153A1">
            <w:pPr>
              <w:spacing w:after="120"/>
              <w:jc w:val="center"/>
              <w:rPr>
                <w:rFonts w:ascii="Palatino Linotype" w:eastAsia="Palatino Linotype" w:hAnsi="Palatino Linotype" w:cs="Palatino Linotype"/>
                <w:b/>
                <w:sz w:val="2"/>
                <w:szCs w:val="2"/>
              </w:rPr>
            </w:pPr>
          </w:p>
          <w:p w14:paraId="37242FAD" w14:textId="77777777" w:rsidR="00C153A1" w:rsidRDefault="008E7C6A">
            <w:pPr>
              <w:spacing w:after="120"/>
              <w:ind w:left="47"/>
              <w:jc w:val="center"/>
              <w:rPr>
                <w:rFonts w:ascii="Palatino Linotype" w:eastAsia="Palatino Linotype" w:hAnsi="Palatino Linotype" w:cs="Palatino Linotype"/>
                <w:b/>
              </w:rPr>
            </w:pPr>
            <w:r>
              <w:object w:dxaOrig="5889" w:dyaOrig="1553" w14:anchorId="75CD9423">
                <v:shape id="_x0000_i1026" type="#_x0000_t75" style="width:294.75pt;height:78pt" o:ole="">
                  <v:imagedata r:id="rId10" o:title=""/>
                </v:shape>
                <o:OLEObject Type="Embed" ProgID="PBrush" ShapeID="_x0000_i1026" DrawAspect="Content" ObjectID="_1718798277" r:id="rId11"/>
              </w:object>
            </w:r>
          </w:p>
        </w:tc>
      </w:tr>
      <w:tr w:rsidR="00C153A1" w14:paraId="19400A25" w14:textId="77777777">
        <w:tc>
          <w:tcPr>
            <w:tcW w:w="1560" w:type="dxa"/>
            <w:vAlign w:val="center"/>
          </w:tcPr>
          <w:p w14:paraId="4B69D5DF" w14:textId="77777777" w:rsidR="00C153A1" w:rsidRDefault="008E7C6A">
            <w:pPr>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 xml:space="preserve">Motivación </w:t>
            </w:r>
          </w:p>
        </w:tc>
        <w:tc>
          <w:tcPr>
            <w:tcW w:w="1417" w:type="dxa"/>
            <w:vAlign w:val="center"/>
          </w:tcPr>
          <w:p w14:paraId="363E98F7" w14:textId="77777777" w:rsidR="00C153A1" w:rsidRDefault="008E7C6A">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No.</w:t>
            </w:r>
          </w:p>
        </w:tc>
        <w:tc>
          <w:tcPr>
            <w:tcW w:w="6095" w:type="dxa"/>
            <w:vAlign w:val="center"/>
          </w:tcPr>
          <w:p w14:paraId="1A7F1B1E" w14:textId="77777777" w:rsidR="00C153A1" w:rsidRDefault="00C153A1">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p>
        </w:tc>
      </w:tr>
      <w:tr w:rsidR="00C153A1" w14:paraId="36E7E675" w14:textId="77777777">
        <w:tc>
          <w:tcPr>
            <w:tcW w:w="9072" w:type="dxa"/>
            <w:gridSpan w:val="3"/>
            <w:shd w:val="clear" w:color="auto" w:fill="D9D9D9"/>
            <w:vAlign w:val="center"/>
          </w:tcPr>
          <w:p w14:paraId="48D1E26A" w14:textId="77777777" w:rsidR="00C153A1" w:rsidRDefault="00C153A1">
            <w:pPr>
              <w:pBdr>
                <w:top w:val="nil"/>
                <w:left w:val="nil"/>
                <w:bottom w:val="nil"/>
                <w:right w:val="nil"/>
                <w:between w:val="nil"/>
              </w:pBdr>
              <w:spacing w:after="120"/>
              <w:ind w:left="29" w:firstLine="18"/>
              <w:jc w:val="center"/>
              <w:rPr>
                <w:rFonts w:ascii="Palatino Linotype" w:eastAsia="Palatino Linotype" w:hAnsi="Palatino Linotype" w:cs="Palatino Linotype"/>
                <w:color w:val="000000"/>
              </w:rPr>
            </w:pPr>
          </w:p>
        </w:tc>
      </w:tr>
      <w:tr w:rsidR="00C153A1" w14:paraId="0AC6F24A" w14:textId="77777777">
        <w:trPr>
          <w:trHeight w:val="3517"/>
        </w:trPr>
        <w:tc>
          <w:tcPr>
            <w:tcW w:w="1560" w:type="dxa"/>
            <w:vAlign w:val="center"/>
          </w:tcPr>
          <w:p w14:paraId="7980EA32" w14:textId="77777777" w:rsidR="00C153A1" w:rsidRDefault="008E7C6A">
            <w:pPr>
              <w:tabs>
                <w:tab w:val="left" w:pos="317"/>
              </w:tabs>
              <w:spacing w:after="120"/>
              <w:jc w:val="center"/>
              <w:rPr>
                <w:rFonts w:ascii="Palatino Linotype" w:eastAsia="Palatino Linotype" w:hAnsi="Palatino Linotype" w:cs="Palatino Linotype"/>
                <w:b/>
                <w:sz w:val="16"/>
                <w:szCs w:val="16"/>
              </w:rPr>
            </w:pPr>
            <w:r>
              <w:rPr>
                <w:rFonts w:ascii="Palatino Linotype" w:eastAsia="Palatino Linotype" w:hAnsi="Palatino Linotype" w:cs="Palatino Linotype"/>
                <w:b/>
                <w:sz w:val="16"/>
                <w:szCs w:val="16"/>
              </w:rPr>
              <w:t>Autoridades competentes.</w:t>
            </w:r>
          </w:p>
        </w:tc>
        <w:tc>
          <w:tcPr>
            <w:tcW w:w="1417" w:type="dxa"/>
            <w:vAlign w:val="center"/>
          </w:tcPr>
          <w:p w14:paraId="61A57C3E" w14:textId="77777777" w:rsidR="00C153A1" w:rsidRDefault="008E7C6A">
            <w:pPr>
              <w:pBdr>
                <w:top w:val="nil"/>
                <w:left w:val="nil"/>
                <w:bottom w:val="nil"/>
                <w:right w:val="nil"/>
                <w:between w:val="nil"/>
              </w:pBdr>
              <w:spacing w:after="120"/>
              <w:ind w:left="29" w:firstLine="18"/>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Sí</w:t>
            </w:r>
          </w:p>
        </w:tc>
        <w:tc>
          <w:tcPr>
            <w:tcW w:w="6095" w:type="dxa"/>
          </w:tcPr>
          <w:p w14:paraId="249C4EEF" w14:textId="77777777" w:rsidR="00C153A1" w:rsidRDefault="00C153A1"/>
          <w:p w14:paraId="1B8CFCB2" w14:textId="77777777" w:rsidR="00C153A1" w:rsidRDefault="008E7C6A">
            <w:r>
              <w:object w:dxaOrig="5873" w:dyaOrig="3268" w14:anchorId="6AB8F401">
                <v:shape id="_x0000_i1027" type="#_x0000_t75" style="width:294pt;height:163.5pt" o:ole="">
                  <v:imagedata r:id="rId12" o:title=""/>
                </v:shape>
                <o:OLEObject Type="Embed" ProgID="PBrush" ShapeID="_x0000_i1027" DrawAspect="Content" ObjectID="_1718798278" r:id="rId13"/>
              </w:object>
            </w:r>
          </w:p>
        </w:tc>
      </w:tr>
    </w:tbl>
    <w:p w14:paraId="0D49A826" w14:textId="77777777" w:rsidR="00C153A1" w:rsidRDefault="00C153A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p>
    <w:p w14:paraId="5DC4742C" w14:textId="77777777" w:rsidR="00C153A1" w:rsidRDefault="008E7C6A">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De lo anterior, se advierte que si bien el SUJETO OBLIGADO sometió a consideración del Comité de Transparencia el acuerdo 0001/TULTEPEC/2022 a efectos de aplicar la cesura sobre los datos de carácter personal insertos en los documentos que dan cuenta de la</w:t>
      </w:r>
      <w:r>
        <w:rPr>
          <w:rFonts w:ascii="Palatino Linotype" w:eastAsia="Palatino Linotype" w:hAnsi="Palatino Linotype" w:cs="Palatino Linotype"/>
          <w:color w:val="000000"/>
        </w:rPr>
        <w:t xml:space="preserve"> información curricular de los servidores públicos señalados, lo cierto es que omitió observan los elementos torales como lo fueron el Número de folio de la solicitud y la motivación para efectos de  sostener ante los particulares porque los datos testados</w:t>
      </w:r>
      <w:r>
        <w:rPr>
          <w:rFonts w:ascii="Palatino Linotype" w:eastAsia="Palatino Linotype" w:hAnsi="Palatino Linotype" w:cs="Palatino Linotype"/>
          <w:color w:val="000000"/>
        </w:rPr>
        <w:t xml:space="preserve"> encuadran en el supuesto de clasificación como confidencial. </w:t>
      </w:r>
    </w:p>
    <w:p w14:paraId="54A9A8EE" w14:textId="77777777" w:rsidR="00C153A1" w:rsidRDefault="008E7C6A">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tal motivo,  el acuerdo de clasificación para sustentar la versión pública que intenta el SUJETO OBLIGADO no contiene los elementos mínimos a los que aluden los Lineamientos Generales para </w:t>
      </w:r>
      <w:r>
        <w:rPr>
          <w:rFonts w:ascii="Palatino Linotype" w:eastAsia="Palatino Linotype" w:hAnsi="Palatino Linotype" w:cs="Palatino Linotype"/>
          <w:color w:val="000000"/>
        </w:rPr>
        <w:t xml:space="preserve">la Clasificación y Desclasificación así como para la elaboración de versiones públicas, razón por la cual esta Autoridad tiene por fundados los motivos de inconformidad esgrimidos por el particular. </w:t>
      </w:r>
    </w:p>
    <w:p w14:paraId="0BC29059" w14:textId="77777777" w:rsidR="00C153A1" w:rsidRDefault="00C153A1">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b/>
          <w:color w:val="000000"/>
        </w:rPr>
      </w:pPr>
    </w:p>
    <w:p w14:paraId="422870A9" w14:textId="77777777" w:rsidR="00C153A1" w:rsidRDefault="008E7C6A">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de la revisión de la información curricular</w:t>
      </w:r>
      <w:r>
        <w:rPr>
          <w:rFonts w:ascii="Palatino Linotype" w:eastAsia="Palatino Linotype" w:hAnsi="Palatino Linotype" w:cs="Palatino Linotype"/>
          <w:color w:val="000000"/>
        </w:rPr>
        <w:t xml:space="preserve">  entregada en respuesta, se logró advertir que el Sujeto Obligado dejó visible los datos personales que intentó clasificar en virtud de que las censura puede verse comprometida al abrir el documento, en contra, del artículo 143, fracción I, de la Ley de T</w:t>
      </w:r>
      <w:r>
        <w:rPr>
          <w:rFonts w:ascii="Palatino Linotype" w:eastAsia="Palatino Linotype" w:hAnsi="Palatino Linotype" w:cs="Palatino Linotype"/>
          <w:color w:val="000000"/>
        </w:rPr>
        <w:t xml:space="preserve">ransparencia y Acceso a la Información Pública del Estado de México y Municipios, y, por lo tanto, inobservó la Ley de Transparencia y Acceso a la Información Pública del Estado de México y Municipios y la Ley de Protección de Datos Personales en Posesión </w:t>
      </w:r>
      <w:r>
        <w:rPr>
          <w:rFonts w:ascii="Palatino Linotype" w:eastAsia="Palatino Linotype" w:hAnsi="Palatino Linotype" w:cs="Palatino Linotype"/>
          <w:color w:val="000000"/>
        </w:rPr>
        <w:t>de Sujetos Obligados del Estado de México y Municipios.</w:t>
      </w:r>
    </w:p>
    <w:p w14:paraId="2476E46E" w14:textId="77777777" w:rsidR="00C153A1" w:rsidRDefault="008E7C6A">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Sobre el particular, si bien, la presente resolución no tiene por objetivo investigar y determinar posibles violaciones al derecho de acceso a la información; toda vez que este Organismo Autónomo, advirtió la posible publicación de información susceptible </w:t>
      </w:r>
      <w:r>
        <w:rPr>
          <w:rFonts w:ascii="Palatino Linotype" w:eastAsia="Palatino Linotype" w:hAnsi="Palatino Linotype" w:cs="Palatino Linotype"/>
          <w:color w:val="000000"/>
        </w:rPr>
        <w:t>de clasificarse como confidencial, se considera procedente dar vista a la Dirección General de Protección de Datos Personales de este Instituto con fundamento en el artículo 24, fracciones XI, XII y XIII del Reglamento Interior del Instituto de Transparenc</w:t>
      </w:r>
      <w:r>
        <w:rPr>
          <w:rFonts w:ascii="Palatino Linotype" w:eastAsia="Palatino Linotype" w:hAnsi="Palatino Linotype" w:cs="Palatino Linotype"/>
          <w:color w:val="000000"/>
        </w:rPr>
        <w:t>ia, Acceso a la Información Pública y Protección de Datos Personales del Estado de México y Municipios.</w:t>
      </w:r>
    </w:p>
    <w:p w14:paraId="00260C0F" w14:textId="77777777" w:rsidR="00C153A1" w:rsidRDefault="00C153A1">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p>
    <w:p w14:paraId="4EA9427C" w14:textId="77777777" w:rsidR="00C153A1" w:rsidRDefault="008E7C6A">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Finalmente, respecto de las manifestaciones esgrimidas por el particular en sus motivos de inconformidad en las que plantea: “…</w:t>
      </w:r>
      <w:r>
        <w:rPr>
          <w:rFonts w:ascii="Palatino Linotype" w:eastAsia="Palatino Linotype" w:hAnsi="Palatino Linotype" w:cs="Palatino Linotype"/>
          <w:i/>
          <w:color w:val="000000"/>
          <w:sz w:val="22"/>
          <w:szCs w:val="22"/>
        </w:rPr>
        <w:t xml:space="preserve">EL ACUERDO QUE ADJUNTAN </w:t>
      </w:r>
      <w:r>
        <w:rPr>
          <w:rFonts w:ascii="Palatino Linotype" w:eastAsia="Palatino Linotype" w:hAnsi="Palatino Linotype" w:cs="Palatino Linotype"/>
          <w:i/>
          <w:color w:val="000000"/>
          <w:sz w:val="22"/>
          <w:szCs w:val="22"/>
        </w:rPr>
        <w:t>ES DE FECHA 8 DE FEBRERO DE 2021 Y EL ACTA DE SESIÓN DE COMITÉ ES DE FECHA 11 DE FEBRERO, POSTERIOR AL ACUERDO LO QUE GENERA INCERTIDUMBRE</w:t>
      </w:r>
      <w:r>
        <w:rPr>
          <w:rFonts w:ascii="Palatino Linotype" w:eastAsia="Palatino Linotype" w:hAnsi="Palatino Linotype" w:cs="Palatino Linotype"/>
          <w:color w:val="000000"/>
        </w:rPr>
        <w:t>”  son inoperantes en razón de lo siguiente:</w:t>
      </w:r>
    </w:p>
    <w:p w14:paraId="4E68813D" w14:textId="77777777" w:rsidR="00C153A1" w:rsidRDefault="008E7C6A">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conveniente destacar que la legislación adjetiva establece medios de i</w:t>
      </w:r>
      <w:r>
        <w:rPr>
          <w:rFonts w:ascii="Palatino Linotype" w:eastAsia="Palatino Linotype" w:hAnsi="Palatino Linotype" w:cs="Palatino Linotype"/>
          <w:color w:val="000000"/>
        </w:rPr>
        <w:t>mpugnación o recurso a través de los cuales los particulares o las personas que se consideran afectados en la emisión de un acto de autoridad, tiene la posibilidad de impugnar aquél, con el objeto de que la misma autoridad que emitió el acto, o bien, un ór</w:t>
      </w:r>
      <w:r>
        <w:rPr>
          <w:rFonts w:ascii="Palatino Linotype" w:eastAsia="Palatino Linotype" w:hAnsi="Palatino Linotype" w:cs="Palatino Linotype"/>
          <w:color w:val="000000"/>
        </w:rPr>
        <w:t>gano superior, realice un nuevo análisis del caso a efecto de determinar la legalidad o ilegalidad del acto que se combate.</w:t>
      </w:r>
    </w:p>
    <w:p w14:paraId="1A32E27F" w14:textId="77777777" w:rsidR="00C153A1" w:rsidRDefault="008E7C6A">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así que la finalidad de un recurso o medio de impugnación consiste en que ya sea la misma autoridad que emite el acto, un superio</w:t>
      </w:r>
      <w:r>
        <w:rPr>
          <w:rFonts w:ascii="Palatino Linotype" w:eastAsia="Palatino Linotype" w:hAnsi="Palatino Linotype" w:cs="Palatino Linotype"/>
          <w:color w:val="000000"/>
        </w:rPr>
        <w:t xml:space="preserve">r o distinta autoridad, estudie la </w:t>
      </w:r>
      <w:r>
        <w:rPr>
          <w:rFonts w:ascii="Palatino Linotype" w:eastAsia="Palatino Linotype" w:hAnsi="Palatino Linotype" w:cs="Palatino Linotype"/>
          <w:color w:val="000000"/>
        </w:rPr>
        <w:lastRenderedPageBreak/>
        <w:t>legalidad de la resolución que se impugna con el objeto confirmar, revocar o modificar éste; por ende, para lograr este objetivo es indispensable que el particular, señale la causa, motivo o circunstancia por la que consi</w:t>
      </w:r>
      <w:r>
        <w:rPr>
          <w:rFonts w:ascii="Palatino Linotype" w:eastAsia="Palatino Linotype" w:hAnsi="Palatino Linotype" w:cs="Palatino Linotype"/>
          <w:color w:val="000000"/>
        </w:rPr>
        <w:t>dera que el acto que impugna le causa perjuicio o lesión a sus intereses.</w:t>
      </w:r>
    </w:p>
    <w:p w14:paraId="2D27D3BE" w14:textId="77777777" w:rsidR="00C153A1" w:rsidRDefault="00C153A1">
      <w:pPr>
        <w:pBdr>
          <w:top w:val="nil"/>
          <w:left w:val="nil"/>
          <w:bottom w:val="nil"/>
          <w:right w:val="nil"/>
          <w:between w:val="nil"/>
        </w:pBdr>
        <w:shd w:val="clear" w:color="auto" w:fill="FFFFFF"/>
        <w:spacing w:before="240" w:after="240" w:line="360" w:lineRule="auto"/>
        <w:jc w:val="both"/>
        <w:rPr>
          <w:rFonts w:ascii="Palatino Linotype" w:eastAsia="Palatino Linotype" w:hAnsi="Palatino Linotype" w:cs="Palatino Linotype"/>
          <w:color w:val="000000"/>
        </w:rPr>
      </w:pPr>
    </w:p>
    <w:p w14:paraId="6BF2DCF0"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Versión Pública. </w:t>
      </w:r>
      <w:r>
        <w:rPr>
          <w:rFonts w:ascii="Palatino Linotype" w:eastAsia="Palatino Linotype" w:hAnsi="Palatino Linotype" w:cs="Palatino Linotype"/>
        </w:rPr>
        <w:t>Para la entrega de la información, en razón de que el derecho de acceso a la información pública no es absoluto, sino que encuentra como excepciones que la informac</w:t>
      </w:r>
      <w:r>
        <w:rPr>
          <w:rFonts w:ascii="Palatino Linotype" w:eastAsia="Palatino Linotype" w:hAnsi="Palatino Linotype" w:cs="Palatino Linotype"/>
        </w:rPr>
        <w:t>ión sobre la cual se peticiona el acceso, sea o contenga datos que deban ser clasificados en los términos que la misma Ley de la Materia señala, el Sujeto Obligado tendrá que hacer la elaboración de una versión pública de los documentos que vaya entregar p</w:t>
      </w:r>
      <w:r>
        <w:rPr>
          <w:rFonts w:ascii="Palatino Linotype" w:eastAsia="Palatino Linotype" w:hAnsi="Palatino Linotype" w:cs="Palatino Linotype"/>
        </w:rPr>
        <w:t>ara dar cumplimiento a esta resolución, a fin de satisfacer el derecho de acceso a la información pública de la recurrente sin menoscabar el derecho a la protección de los datos personales de terceros.</w:t>
      </w:r>
    </w:p>
    <w:p w14:paraId="5F12D6E0" w14:textId="77777777" w:rsidR="00C153A1" w:rsidRDefault="00C153A1">
      <w:pPr>
        <w:spacing w:line="360" w:lineRule="auto"/>
        <w:jc w:val="both"/>
        <w:rPr>
          <w:rFonts w:ascii="Palatino Linotype" w:eastAsia="Palatino Linotype" w:hAnsi="Palatino Linotype" w:cs="Palatino Linotype"/>
        </w:rPr>
      </w:pPr>
    </w:p>
    <w:p w14:paraId="70CA3A98" w14:textId="77777777" w:rsidR="00C153A1" w:rsidRDefault="008E7C6A">
      <w:pPr>
        <w:spacing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w:t>
      </w:r>
      <w:r>
        <w:rPr>
          <w:rFonts w:ascii="Palatino Linotype" w:eastAsia="Palatino Linotype" w:hAnsi="Palatino Linotype" w:cs="Palatino Linotype"/>
        </w:rPr>
        <w:t>culos 3, fracciones IX, XX, XXXII, XLV; 6, 137 y 143 fracción I, de la Ley de Transparencia y Acceso a la Información Pública del Estado de México y Municipios vigente, que se leen como sigue:</w:t>
      </w:r>
    </w:p>
    <w:p w14:paraId="1936D6A7" w14:textId="77777777" w:rsidR="00C153A1" w:rsidRDefault="008E7C6A">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 “Artículo 3. Para los efectos de la presente Ley se entenderá </w:t>
      </w:r>
      <w:r>
        <w:rPr>
          <w:rFonts w:ascii="Palatino Linotype" w:eastAsia="Palatino Linotype" w:hAnsi="Palatino Linotype" w:cs="Palatino Linotype"/>
          <w:b/>
          <w:i/>
          <w:sz w:val="22"/>
          <w:szCs w:val="22"/>
        </w:rPr>
        <w:t>por:</w:t>
      </w:r>
    </w:p>
    <w:p w14:paraId="67D57AD7"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información concerniente a una persona, identificada o identificable</w:t>
      </w:r>
      <w:r>
        <w:rPr>
          <w:rFonts w:ascii="Palatino Linotype" w:eastAsia="Palatino Linotype" w:hAnsi="Palatino Linotype" w:cs="Palatino Linotype"/>
          <w:i/>
          <w:sz w:val="22"/>
          <w:szCs w:val="22"/>
        </w:rPr>
        <w:t xml:space="preserve"> según lo dispuesto por la Ley de Protección de Datos Personales del Estado de México;</w:t>
      </w:r>
    </w:p>
    <w:p w14:paraId="03D67076"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xml:space="preserve"> Aquella considerada por la presente Ley como reservada o confidencial;</w:t>
      </w:r>
    </w:p>
    <w:p w14:paraId="54A516FD"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C6FC39F"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w:t>
      </w:r>
      <w:r>
        <w:rPr>
          <w:rFonts w:ascii="Palatino Linotype" w:eastAsia="Palatino Linotype" w:hAnsi="Palatino Linotype" w:cs="Palatino Linotype"/>
          <w:i/>
          <w:sz w:val="22"/>
          <w:szCs w:val="22"/>
        </w:rPr>
        <w:t>ento en el que se elimine, suprime o borra la información clasificada como reservada o confidencial para permitir su acceso.”</w:t>
      </w:r>
    </w:p>
    <w:p w14:paraId="46B09130" w14:textId="77777777" w:rsidR="00C153A1" w:rsidRDefault="00C153A1">
      <w:pPr>
        <w:ind w:left="993" w:right="1041"/>
        <w:jc w:val="both"/>
        <w:rPr>
          <w:rFonts w:ascii="Palatino Linotype" w:eastAsia="Palatino Linotype" w:hAnsi="Palatino Linotype" w:cs="Palatino Linotype"/>
          <w:i/>
          <w:sz w:val="22"/>
          <w:szCs w:val="22"/>
        </w:rPr>
      </w:pPr>
    </w:p>
    <w:p w14:paraId="7EBEC3E3"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w:t>
      </w:r>
      <w:r>
        <w:rPr>
          <w:rFonts w:ascii="Palatino Linotype" w:eastAsia="Palatino Linotype" w:hAnsi="Palatino Linotype" w:cs="Palatino Linotype"/>
          <w:i/>
          <w:sz w:val="22"/>
          <w:szCs w:val="22"/>
        </w:rPr>
        <w:t xml:space="preserve"> Los datos personales son irrenunciables, intransferibles e indelegables, por lo que los sujetos obligados no deberán</w:t>
      </w:r>
      <w:r>
        <w:rPr>
          <w:rFonts w:ascii="Palatino Linotype" w:eastAsia="Palatino Linotype" w:hAnsi="Palatino Linotype" w:cs="Palatino Linotype"/>
          <w:i/>
          <w:sz w:val="22"/>
          <w:szCs w:val="22"/>
        </w:rPr>
        <w:t xml:space="preserve"> proporcionar o hacer pública la información que contenga, con excepción de aquellos casos en que deban hacerlo en observancia de las disposiciones aplicables. En el caso de los derechos de acceso, rectificación, cancelación u oposición; los principios, pr</w:t>
      </w:r>
      <w:r>
        <w:rPr>
          <w:rFonts w:ascii="Palatino Linotype" w:eastAsia="Palatino Linotype" w:hAnsi="Palatino Linotype" w:cs="Palatino Linotype"/>
          <w:i/>
          <w:sz w:val="22"/>
          <w:szCs w:val="22"/>
        </w:rPr>
        <w:t>ocedimientos, medidas de seguridad en el tratamiento y demás disposiciones en materia de datos personales, se deberá estar a lo dispuesto en las leyes de la materia.”</w:t>
      </w:r>
    </w:p>
    <w:p w14:paraId="776DD96B" w14:textId="77777777" w:rsidR="00C153A1" w:rsidRDefault="00C153A1">
      <w:pPr>
        <w:ind w:left="993" w:right="1041"/>
        <w:jc w:val="both"/>
        <w:rPr>
          <w:rFonts w:ascii="Palatino Linotype" w:eastAsia="Palatino Linotype" w:hAnsi="Palatino Linotype" w:cs="Palatino Linotype"/>
          <w:i/>
          <w:sz w:val="22"/>
          <w:szCs w:val="22"/>
        </w:rPr>
      </w:pPr>
    </w:p>
    <w:p w14:paraId="4C3AC4BF" w14:textId="77777777" w:rsidR="00C153A1" w:rsidRDefault="008E7C6A">
      <w:pPr>
        <w:ind w:left="993" w:right="104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w:t>
      </w:r>
      <w:r>
        <w:rPr>
          <w:rFonts w:ascii="Palatino Linotype" w:eastAsia="Palatino Linotype" w:hAnsi="Palatino Linotype" w:cs="Palatino Linotype"/>
          <w:i/>
          <w:sz w:val="22"/>
          <w:szCs w:val="22"/>
        </w:rPr>
        <w:t>a y reservada o confidencial, la Unidad de Transparencia para efectos de atender una solicitud de información, deberán elaborar una versión pública en la que se testen las partes o secciones clasificadas, indicando su contenido de manera genérica y fundand</w:t>
      </w:r>
      <w:r>
        <w:rPr>
          <w:rFonts w:ascii="Palatino Linotype" w:eastAsia="Palatino Linotype" w:hAnsi="Palatino Linotype" w:cs="Palatino Linotype"/>
          <w:i/>
          <w:sz w:val="22"/>
          <w:szCs w:val="22"/>
        </w:rPr>
        <w:t>o y motivando su clasificación.”</w:t>
      </w:r>
    </w:p>
    <w:p w14:paraId="059ABC5D" w14:textId="77777777" w:rsidR="00C153A1" w:rsidRDefault="00C153A1">
      <w:pPr>
        <w:ind w:left="993" w:right="1041"/>
        <w:jc w:val="both"/>
        <w:rPr>
          <w:rFonts w:ascii="Palatino Linotype" w:eastAsia="Palatino Linotype" w:hAnsi="Palatino Linotype" w:cs="Palatino Linotype"/>
          <w:b/>
          <w:i/>
          <w:sz w:val="22"/>
          <w:szCs w:val="22"/>
        </w:rPr>
      </w:pPr>
    </w:p>
    <w:p w14:paraId="1C39019F"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1FFEF53"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w:t>
      </w:r>
      <w:r>
        <w:rPr>
          <w:rFonts w:ascii="Palatino Linotype" w:eastAsia="Palatino Linotype" w:hAnsi="Palatino Linotype" w:cs="Palatino Linotype"/>
          <w:i/>
          <w:sz w:val="22"/>
          <w:szCs w:val="22"/>
        </w:rPr>
        <w:t>cernientes a una persona física o jurídica colectiva identificada o identificable;</w:t>
      </w:r>
    </w:p>
    <w:p w14:paraId="628D36B1"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w:t>
      </w:r>
      <w:r>
        <w:rPr>
          <w:rFonts w:ascii="Palatino Linotype" w:eastAsia="Palatino Linotype" w:hAnsi="Palatino Linotype" w:cs="Palatino Linotype"/>
          <w:i/>
          <w:sz w:val="22"/>
          <w:szCs w:val="22"/>
        </w:rPr>
        <w:t>jetos obligados cuando no involucren el ejercicio de recursos públicos; y</w:t>
      </w:r>
    </w:p>
    <w:p w14:paraId="5E780196" w14:textId="77777777" w:rsidR="00C153A1" w:rsidRDefault="008E7C6A">
      <w:pPr>
        <w:ind w:left="993" w:right="104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3CE1B6CD" w14:textId="77777777" w:rsidR="00C153A1" w:rsidRDefault="00C153A1">
      <w:pPr>
        <w:ind w:left="993" w:right="1041"/>
        <w:jc w:val="both"/>
        <w:rPr>
          <w:rFonts w:ascii="Palatino Linotype" w:eastAsia="Palatino Linotype" w:hAnsi="Palatino Linotype" w:cs="Palatino Linotype"/>
          <w:i/>
          <w:sz w:val="22"/>
          <w:szCs w:val="22"/>
        </w:rPr>
      </w:pPr>
    </w:p>
    <w:p w14:paraId="3A2EB21C" w14:textId="77777777" w:rsidR="00C153A1" w:rsidRDefault="008E7C6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los preceptos anteriores se d</w:t>
      </w:r>
      <w:r>
        <w:rPr>
          <w:rFonts w:ascii="Palatino Linotype" w:eastAsia="Palatino Linotype" w:hAnsi="Palatino Linotype" w:cs="Palatino Linotype"/>
        </w:rPr>
        <w:t xml:space="preserve">esprende que cuando un documento que vaya a ser entregado vía acceso a la información pública, contenga tanto información de interés público como información que debe ser clasificada, se hará la entrega del </w:t>
      </w:r>
      <w:r>
        <w:rPr>
          <w:rFonts w:ascii="Palatino Linotype" w:eastAsia="Palatino Linotype" w:hAnsi="Palatino Linotype" w:cs="Palatino Linotype"/>
        </w:rPr>
        <w:lastRenderedPageBreak/>
        <w:t>mismo, testando las secciones o datos que deban s</w:t>
      </w:r>
      <w:r>
        <w:rPr>
          <w:rFonts w:ascii="Palatino Linotype" w:eastAsia="Palatino Linotype" w:hAnsi="Palatino Linotype" w:cs="Palatino Linotype"/>
        </w:rPr>
        <w:t>er clasificados; por ende el Sujeto Obligado deberá proceder a testar los datos personales que se encuentren contenidos en los documentos a entregar por parte del Sujeto Obligado para satisfacer el derecho de acceso a la información pública de la recurrent</w:t>
      </w:r>
      <w:r>
        <w:rPr>
          <w:rFonts w:ascii="Palatino Linotype" w:eastAsia="Palatino Linotype" w:hAnsi="Palatino Linotype" w:cs="Palatino Linotype"/>
        </w:rPr>
        <w:t xml:space="preserve">e, esto es, los datos concernientes a una persona identificada o identificable, o aquellos datos que tengan el carácter de sensibles, es decir los que afectan la esfera más íntima de su titular o cuya utilización indebida pueda dar origen a discriminación </w:t>
      </w:r>
      <w:r>
        <w:rPr>
          <w:rFonts w:ascii="Palatino Linotype" w:eastAsia="Palatino Linotype" w:hAnsi="Palatino Linotype" w:cs="Palatino Linotype"/>
        </w:rPr>
        <w:t>o conlleven un riesgo grave para aquel de acuerdo a lo que señala la fracción XII del artículo 4 de la Ley de Protección de Datos Personales en Posesión de Sujetos Obligados del Estado de México.</w:t>
      </w:r>
    </w:p>
    <w:p w14:paraId="2C73BBA2" w14:textId="77777777" w:rsidR="00C153A1" w:rsidRDefault="00C153A1">
      <w:pPr>
        <w:spacing w:line="360" w:lineRule="auto"/>
        <w:ind w:right="51"/>
        <w:jc w:val="both"/>
        <w:rPr>
          <w:rFonts w:ascii="Palatino Linotype" w:eastAsia="Palatino Linotype" w:hAnsi="Palatino Linotype" w:cs="Palatino Linotype"/>
        </w:rPr>
      </w:pPr>
    </w:p>
    <w:p w14:paraId="6EF1F90F" w14:textId="77777777" w:rsidR="00C153A1" w:rsidRDefault="008E7C6A">
      <w:pPr>
        <w:spacing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w:t>
      </w:r>
      <w:r>
        <w:rPr>
          <w:rFonts w:ascii="Palatino Linotype" w:eastAsia="Palatino Linotype" w:hAnsi="Palatino Linotype" w:cs="Palatino Linotype"/>
        </w:rPr>
        <w:t>e precisamente de información privada, puesto que los datos personales son irrenunciables, intransferibles e indelegables y los Sujetos Obligados no deberán hacer entrega de los mismos a personas ajenas a su titular.</w:t>
      </w:r>
    </w:p>
    <w:p w14:paraId="53ECB207" w14:textId="77777777" w:rsidR="00C153A1" w:rsidRDefault="00C153A1">
      <w:pPr>
        <w:spacing w:line="360" w:lineRule="auto"/>
        <w:ind w:right="50"/>
        <w:jc w:val="both"/>
        <w:rPr>
          <w:rFonts w:ascii="Palatino Linotype" w:eastAsia="Palatino Linotype" w:hAnsi="Palatino Linotype" w:cs="Palatino Linotype"/>
        </w:rPr>
      </w:pPr>
    </w:p>
    <w:p w14:paraId="3A76A0DE" w14:textId="77777777" w:rsidR="00C153A1" w:rsidRDefault="008E7C6A">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En ese contexto, la clasificación de l</w:t>
      </w:r>
      <w:r>
        <w:rPr>
          <w:rFonts w:ascii="Palatino Linotype" w:eastAsia="Palatino Linotype" w:hAnsi="Palatino Linotype" w:cs="Palatino Linotype"/>
        </w:rPr>
        <w:t xml:space="preserve">a información no opera con la simple supresión de datos que se haga en los documentos de que se trate o con la simple decisión que tome el Servidor Público Habilitado o el Responsable de la Unidad de Transparencia del Sujeto Obligado, sino que ello deberá </w:t>
      </w:r>
      <w:r>
        <w:rPr>
          <w:rFonts w:ascii="Palatino Linotype" w:eastAsia="Palatino Linotype" w:hAnsi="Palatino Linotype" w:cs="Palatino Linotype"/>
        </w:rPr>
        <w:t>realizarse en términos de lo que disponen los artículos 49 fracción VIII, 53, fracción X y 59, fracción V, de la Ley en consulta, cuyo sentido literal es el siguiente:</w:t>
      </w:r>
    </w:p>
    <w:p w14:paraId="740634D2" w14:textId="77777777" w:rsidR="00C153A1" w:rsidRDefault="00C153A1">
      <w:pPr>
        <w:spacing w:line="360" w:lineRule="auto"/>
        <w:ind w:right="51"/>
        <w:jc w:val="both"/>
        <w:rPr>
          <w:rFonts w:ascii="Palatino Linotype" w:eastAsia="Palatino Linotype" w:hAnsi="Palatino Linotype" w:cs="Palatino Linotype"/>
        </w:rPr>
      </w:pPr>
    </w:p>
    <w:p w14:paraId="2D2543C4"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14:paraId="09A58A34"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w:t>
      </w:r>
      <w:r>
        <w:rPr>
          <w:rFonts w:ascii="Palatino Linotype" w:eastAsia="Palatino Linotype" w:hAnsi="Palatino Linotype" w:cs="Palatino Linotype"/>
          <w:b/>
          <w:i/>
          <w:sz w:val="22"/>
          <w:szCs w:val="22"/>
        </w:rPr>
        <w:t>probar, modificar o revocar la clasificación de la información</w:t>
      </w:r>
      <w:r>
        <w:rPr>
          <w:rFonts w:ascii="Palatino Linotype" w:eastAsia="Palatino Linotype" w:hAnsi="Palatino Linotype" w:cs="Palatino Linotype"/>
          <w:i/>
          <w:sz w:val="22"/>
          <w:szCs w:val="22"/>
        </w:rPr>
        <w:t>…”</w:t>
      </w:r>
    </w:p>
    <w:p w14:paraId="2EB391C2"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14:paraId="39EB810A"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14:paraId="1AC23400"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14:paraId="2751B5E6" w14:textId="77777777" w:rsidR="00C153A1" w:rsidRDefault="008E7C6A">
      <w:pPr>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14:paraId="04BC007D" w14:textId="77777777" w:rsidR="00C153A1" w:rsidRDefault="00C153A1">
      <w:pPr>
        <w:ind w:left="992" w:right="1043"/>
        <w:jc w:val="both"/>
        <w:rPr>
          <w:rFonts w:ascii="Palatino Linotype" w:eastAsia="Palatino Linotype" w:hAnsi="Palatino Linotype" w:cs="Palatino Linotype"/>
          <w:i/>
          <w:sz w:val="22"/>
          <w:szCs w:val="22"/>
        </w:rPr>
      </w:pPr>
    </w:p>
    <w:p w14:paraId="3B6B7D46"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w:t>
      </w:r>
      <w:r>
        <w:rPr>
          <w:rFonts w:ascii="Palatino Linotype" w:eastAsia="Palatino Linotype" w:hAnsi="Palatino Linotype" w:cs="Palatino Linotype"/>
        </w:rPr>
        <w:t xml:space="preserve"> clasificación de la información es un trabajo en conjunto tanto de los Servidores Públicos Habilitados, de las Unidades de Transparencia y del Comité de Transparencia del Sujeto Obligado, teniendo el deber los primeros de ellos de presentar ante la Unidad</w:t>
      </w:r>
      <w:r>
        <w:rPr>
          <w:rFonts w:ascii="Palatino Linotype" w:eastAsia="Palatino Linotype" w:hAnsi="Palatino Linotype" w:cs="Palatino Linotype"/>
        </w:rPr>
        <w:t xml:space="preserve"> de Transparencia la propuesta de la clasificación de la información, para que luego ésta presente ante al Comité de Transparencia de así resultar procedente el proyecto de clasificación de la información y finalmente sea éste último quien apruebe, modifiq</w:t>
      </w:r>
      <w:r>
        <w:rPr>
          <w:rFonts w:ascii="Palatino Linotype" w:eastAsia="Palatino Linotype" w:hAnsi="Palatino Linotype" w:cs="Palatino Linotype"/>
        </w:rPr>
        <w:t>ue o revoque la clasificación de la información solicitada.</w:t>
      </w:r>
    </w:p>
    <w:p w14:paraId="25B1B34F" w14:textId="77777777" w:rsidR="00C153A1" w:rsidRDefault="00C153A1">
      <w:pPr>
        <w:spacing w:after="240"/>
        <w:ind w:right="1041"/>
        <w:jc w:val="both"/>
        <w:rPr>
          <w:rFonts w:ascii="Palatino Linotype" w:eastAsia="Palatino Linotype" w:hAnsi="Palatino Linotype" w:cs="Palatino Linotype"/>
          <w:i/>
          <w:sz w:val="22"/>
          <w:szCs w:val="22"/>
        </w:rPr>
      </w:pPr>
    </w:p>
    <w:p w14:paraId="2D389F1D" w14:textId="77777777" w:rsidR="00C153A1" w:rsidRDefault="008E7C6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decir, el Sujeto Obligado a través de su Comité de Transparencia, deberá elaborar acuerdo que contenga un razonamiento lógico con el que se demuestre que la información que se testa de las ver</w:t>
      </w:r>
      <w:r>
        <w:rPr>
          <w:rFonts w:ascii="Palatino Linotype" w:eastAsia="Palatino Linotype" w:hAnsi="Palatino Linotype" w:cs="Palatino Linotype"/>
        </w:rPr>
        <w:t>siones públicas que se sirva elaborar, encuadra en alguna de las hipótesis que contempla la Ley de la Materia en su artículo 143; ya que de lo contrario, se crearía la incertidumbre jurídica en relación a si lo entregado es formalmente una versión pública,</w:t>
      </w:r>
      <w:r>
        <w:rPr>
          <w:rFonts w:ascii="Palatino Linotype" w:eastAsia="Palatino Linotype" w:hAnsi="Palatino Linotype" w:cs="Palatino Linotype"/>
        </w:rPr>
        <w:t xml:space="preserve"> o un documento ilegible, incompleto o </w:t>
      </w:r>
      <w:r>
        <w:rPr>
          <w:rFonts w:ascii="Palatino Linotype" w:eastAsia="Palatino Linotype" w:hAnsi="Palatino Linotype" w:cs="Palatino Linotype"/>
        </w:rPr>
        <w:lastRenderedPageBreak/>
        <w:t>tachado; en otras palabras si no se exponen de manera puntual las razones de la versión pública de la documentación entregada se estaría violentando el derecho de acceso a la información de la parte solicitante.</w:t>
      </w:r>
    </w:p>
    <w:p w14:paraId="703CE4F6" w14:textId="77777777" w:rsidR="00C153A1" w:rsidRDefault="008E7C6A">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 xml:space="preserve">Así, </w:t>
      </w:r>
      <w:r>
        <w:rPr>
          <w:rFonts w:ascii="Palatino Linotype" w:eastAsia="Palatino Linotype" w:hAnsi="Palatino Linotype" w:cs="Palatino Linotype"/>
        </w:rPr>
        <w:t>con fundamento en lo prescrito en los artículos 5 párrafos trigésimo, trigésimo primero y trigésimo segundo</w:t>
      </w:r>
      <w:r>
        <w:rPr>
          <w:rFonts w:ascii="Palatino Linotype" w:eastAsia="Palatino Linotype" w:hAnsi="Palatino Linotype" w:cs="Palatino Linotype"/>
          <w:highlight w:val="white"/>
        </w:rPr>
        <w:t xml:space="preserve"> fracciones IV y V de la </w:t>
      </w:r>
      <w:r>
        <w:rPr>
          <w:rFonts w:ascii="Palatino Linotype" w:eastAsia="Palatino Linotype" w:hAnsi="Palatino Linotype" w:cs="Palatino Linotype"/>
        </w:rPr>
        <w:t>Constitución Política del Estado Libre y Soberano de México; 2, fracción II; 29, 36 fracciones I y II; 176, 178, 181, 185, f</w:t>
      </w:r>
      <w:r>
        <w:rPr>
          <w:rFonts w:ascii="Palatino Linotype" w:eastAsia="Palatino Linotype" w:hAnsi="Palatino Linotype" w:cs="Palatino Linotype"/>
        </w:rPr>
        <w:t>racción I, 186 y 188 de la Ley de Transparencia y Acceso a la Información Pública del Estado de México y Municipios, este Pleno:</w:t>
      </w:r>
    </w:p>
    <w:p w14:paraId="6B28B1DE" w14:textId="77777777" w:rsidR="00C153A1" w:rsidRDefault="00C153A1">
      <w:pPr>
        <w:spacing w:before="240" w:after="240" w:line="360" w:lineRule="auto"/>
        <w:ind w:right="51"/>
        <w:jc w:val="both"/>
        <w:rPr>
          <w:rFonts w:ascii="Palatino Linotype" w:eastAsia="Palatino Linotype" w:hAnsi="Palatino Linotype" w:cs="Palatino Linotype"/>
          <w:b/>
        </w:rPr>
      </w:pPr>
    </w:p>
    <w:p w14:paraId="133C7F46" w14:textId="77777777" w:rsidR="00C153A1" w:rsidRDefault="008E7C6A">
      <w:pPr>
        <w:numPr>
          <w:ilvl w:val="0"/>
          <w:numId w:val="4"/>
        </w:numPr>
        <w:pBdr>
          <w:top w:val="nil"/>
          <w:left w:val="nil"/>
          <w:bottom w:val="nil"/>
          <w:right w:val="nil"/>
          <w:between w:val="nil"/>
        </w:pBdr>
        <w:spacing w:before="240" w:after="240" w:line="360" w:lineRule="auto"/>
        <w:ind w:left="426"/>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12EB4A05"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parcialmente </w:t>
      </w:r>
      <w:r>
        <w:rPr>
          <w:rFonts w:ascii="Palatino Linotype" w:eastAsia="Palatino Linotype" w:hAnsi="Palatino Linotype" w:cs="Palatino Linotype"/>
          <w:b/>
        </w:rPr>
        <w:t>fundados</w:t>
      </w:r>
      <w:r>
        <w:rPr>
          <w:rFonts w:ascii="Palatino Linotype" w:eastAsia="Palatino Linotype" w:hAnsi="Palatino Linotype" w:cs="Palatino Linotype"/>
        </w:rPr>
        <w:t xml:space="preserve"> los motivos de inconformidad planteados por el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en el recurs</w:t>
      </w:r>
      <w:r>
        <w:rPr>
          <w:rFonts w:ascii="Palatino Linotype" w:eastAsia="Palatino Linotype" w:hAnsi="Palatino Linotype" w:cs="Palatino Linotype"/>
        </w:rPr>
        <w:t xml:space="preserve">o de revisión </w:t>
      </w:r>
      <w:r>
        <w:rPr>
          <w:rFonts w:ascii="Palatino Linotype" w:eastAsia="Palatino Linotype" w:hAnsi="Palatino Linotype" w:cs="Palatino Linotype"/>
          <w:b/>
          <w:sz w:val="22"/>
          <w:szCs w:val="22"/>
        </w:rPr>
        <w:t>03644/INFOEM/IP/RR/2022</w:t>
      </w:r>
      <w:r>
        <w:rPr>
          <w:rFonts w:ascii="Palatino Linotype" w:eastAsia="Palatino Linotype" w:hAnsi="Palatino Linotype" w:cs="Palatino Linotype"/>
        </w:rPr>
        <w:t xml:space="preserve">, por lo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la presente resolución,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emitida por el </w:t>
      </w:r>
      <w:r>
        <w:rPr>
          <w:rFonts w:ascii="Palatino Linotype" w:eastAsia="Palatino Linotype" w:hAnsi="Palatino Linotype" w:cs="Palatino Linotype"/>
          <w:b/>
          <w:sz w:val="22"/>
          <w:szCs w:val="22"/>
        </w:rPr>
        <w:t>Ayuntamiento de Tultepec.</w:t>
      </w:r>
    </w:p>
    <w:p w14:paraId="67834E06" w14:textId="77777777" w:rsidR="00C153A1" w:rsidRDefault="008E7C6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Segundo.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Se</w:t>
      </w:r>
      <w:r>
        <w:rPr>
          <w:rFonts w:ascii="Palatino Linotype" w:eastAsia="Palatino Linotype" w:hAnsi="Palatino Linotype" w:cs="Palatino Linotype"/>
          <w:b/>
        </w:rPr>
        <w:t xml:space="preserve"> 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en términos del </w:t>
      </w:r>
      <w:r>
        <w:rPr>
          <w:rFonts w:ascii="Palatino Linotype" w:eastAsia="Palatino Linotype" w:hAnsi="Palatino Linotype" w:cs="Palatino Linotype"/>
          <w:b/>
        </w:rPr>
        <w:t>Considerando Cuarto</w:t>
      </w:r>
      <w:r>
        <w:rPr>
          <w:rFonts w:ascii="Palatino Linotype" w:eastAsia="Palatino Linotype" w:hAnsi="Palatino Linotype" w:cs="Palatino Linotype"/>
        </w:rPr>
        <w:t xml:space="preserve"> de esta resolución haga entrega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versión publica, lo siguiente: </w:t>
      </w:r>
    </w:p>
    <w:p w14:paraId="33551C77" w14:textId="77777777" w:rsidR="00C153A1" w:rsidRDefault="008E7C6A">
      <w:pPr>
        <w:numPr>
          <w:ilvl w:val="0"/>
          <w:numId w:val="3"/>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Documento donde conste el nombre y cargo de los servidores públicos a los que pertenecen la información curricular remitida en respuesta. </w:t>
      </w:r>
    </w:p>
    <w:p w14:paraId="6331C45D" w14:textId="77777777" w:rsidR="00C153A1" w:rsidRDefault="008E7C6A">
      <w:pPr>
        <w:numPr>
          <w:ilvl w:val="0"/>
          <w:numId w:val="3"/>
        </w:numPr>
        <w:pBdr>
          <w:top w:val="nil"/>
          <w:left w:val="nil"/>
          <w:bottom w:val="nil"/>
          <w:right w:val="nil"/>
          <w:between w:val="nil"/>
        </w:pBdr>
        <w:spacing w:before="240" w:after="240"/>
        <w:ind w:right="90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El Curriculum vitae  o información curricular, con referencia al cargo,  de los servidores públicos señalados en la s</w:t>
      </w:r>
      <w:r>
        <w:rPr>
          <w:rFonts w:ascii="Palatino Linotype" w:eastAsia="Palatino Linotype" w:hAnsi="Palatino Linotype" w:cs="Palatino Linotype"/>
          <w:i/>
          <w:color w:val="000000"/>
        </w:rPr>
        <w:t xml:space="preserve">olicitud de mérito, que se </w:t>
      </w:r>
      <w:r>
        <w:rPr>
          <w:rFonts w:ascii="Palatino Linotype" w:eastAsia="Palatino Linotype" w:hAnsi="Palatino Linotype" w:cs="Palatino Linotype"/>
          <w:i/>
          <w:color w:val="000000"/>
        </w:rPr>
        <w:lastRenderedPageBreak/>
        <w:t xml:space="preserve">encontraban en funciones al 31 de enero del 2022, y que no fue entregada en respuesta. </w:t>
      </w:r>
    </w:p>
    <w:p w14:paraId="07471A67" w14:textId="77777777" w:rsidR="00C153A1" w:rsidRDefault="008E7C6A">
      <w:pPr>
        <w:spacing w:before="240" w:after="240"/>
        <w:ind w:left="567" w:right="900"/>
        <w:jc w:val="both"/>
        <w:rPr>
          <w:rFonts w:ascii="Palatino Linotype" w:eastAsia="Palatino Linotype" w:hAnsi="Palatino Linotype" w:cs="Palatino Linotype"/>
          <w:i/>
        </w:rPr>
      </w:pPr>
      <w:r>
        <w:rPr>
          <w:rFonts w:ascii="Palatino Linotype" w:eastAsia="Palatino Linotype" w:hAnsi="Palatino Linotype" w:cs="Palatino Linotype"/>
          <w:i/>
        </w:rPr>
        <w:t>Para  la versión pública, se deberá emitir el Acuerdo del Comité de Transparencia de acuerdo con la Ley de Transparencia y Acceso a la Inform</w:t>
      </w:r>
      <w:r>
        <w:rPr>
          <w:rFonts w:ascii="Palatino Linotype" w:eastAsia="Palatino Linotype" w:hAnsi="Palatino Linotype" w:cs="Palatino Linotype"/>
          <w:i/>
        </w:rPr>
        <w:t>ación Pública del Estado de México y Municipios, en el que funde y motive las razones sobre los datos que se supriman o eliminen de los soportes documentales objeto de las versiones públicas que se formulen y se pongan a disposición de la parte recurrente,</w:t>
      </w:r>
      <w:r>
        <w:rPr>
          <w:rFonts w:ascii="Palatino Linotype" w:eastAsia="Palatino Linotype" w:hAnsi="Palatino Linotype" w:cs="Palatino Linotype"/>
          <w:i/>
        </w:rPr>
        <w:t xml:space="preserve"> mismo que igualmente hará de su conocimiento.</w:t>
      </w:r>
    </w:p>
    <w:p w14:paraId="4DCC8323" w14:textId="77777777" w:rsidR="00C153A1" w:rsidRDefault="008E7C6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al Responsable de la Unidad de Transparencia del</w:t>
      </w:r>
      <w:r>
        <w:rPr>
          <w:rFonts w:ascii="Palatino Linotype" w:eastAsia="Palatino Linotype" w:hAnsi="Palatino Linotype" w:cs="Palatino Linotype"/>
          <w:b/>
        </w:rPr>
        <w:t xml:space="preserve"> SUJETO OBLIGADO</w:t>
      </w:r>
      <w:r>
        <w:rPr>
          <w:rFonts w:ascii="Palatino Linotype" w:eastAsia="Palatino Linotype" w:hAnsi="Palatino Linotype" w:cs="Palatino Linotype"/>
        </w:rPr>
        <w:t xml:space="preserve"> vía SAIMEX, para que conforme a los artículos 186, último párrafo y 189, párrafo segundo de la Ley de Transparencia y Acc</w:t>
      </w:r>
      <w:r>
        <w:rPr>
          <w:rFonts w:ascii="Palatino Linotype" w:eastAsia="Palatino Linotype" w:hAnsi="Palatino Linotype" w:cs="Palatino Linotype"/>
        </w:rPr>
        <w:t>eso a la Información Pública del Estado de México y Municipios dé cumplimiento a lo ordenado dentro del plazo de diez días hábiles, debiendo informar a este Instituto en un plazo de tres días hábiles siguientes sobre el cumplimiento dado a la presente reso</w:t>
      </w:r>
      <w:r>
        <w:rPr>
          <w:rFonts w:ascii="Palatino Linotype" w:eastAsia="Palatino Linotype" w:hAnsi="Palatino Linotype" w:cs="Palatino Linotype"/>
        </w:rPr>
        <w:t>lución.</w:t>
      </w:r>
    </w:p>
    <w:p w14:paraId="39CFA584" w14:textId="77777777" w:rsidR="00C153A1" w:rsidRDefault="008E7C6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w:t>
      </w:r>
      <w:r>
        <w:rPr>
          <w:rFonts w:ascii="Palatino Linotype" w:eastAsia="Palatino Linotype" w:hAnsi="Palatino Linotype" w:cs="Palatino Linotype"/>
        </w:rPr>
        <w:t>e plazo para el cumplimiento de la presente resolución.</w:t>
      </w:r>
    </w:p>
    <w:p w14:paraId="6E0D7D96" w14:textId="77777777" w:rsidR="00C153A1" w:rsidRDefault="008E7C6A">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t xml:space="preserve">Quinto. Notifíquese, </w:t>
      </w:r>
      <w:r>
        <w:rPr>
          <w:rFonts w:ascii="Palatino Linotype" w:eastAsia="Palatino Linotype" w:hAnsi="Palatino Linotype" w:cs="Palatino Linotype"/>
        </w:rPr>
        <w:t xml:space="preserve">a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de conformidad con lo establecido en el artículo 196 de la Ley de Transparencia y Acceso a la Información Pública del Estado de México y Municipios podrá impugnarla  vía Juicio de Amparo en los términos de las leyes aplicables</w:t>
      </w:r>
      <w:r>
        <w:rPr>
          <w:rFonts w:ascii="Palatino Linotype" w:eastAsia="Palatino Linotype" w:hAnsi="Palatino Linotype" w:cs="Palatino Linotype"/>
          <w:color w:val="222222"/>
        </w:rPr>
        <w:t>.</w:t>
      </w:r>
    </w:p>
    <w:p w14:paraId="1697CC05" w14:textId="77777777" w:rsidR="00C153A1" w:rsidRDefault="008E7C6A">
      <w:pPr>
        <w:spacing w:before="240" w:after="24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b/>
        </w:rPr>
        <w:lastRenderedPageBreak/>
        <w:t>Sexto</w:t>
      </w:r>
      <w:r>
        <w:rPr>
          <w:rFonts w:ascii="Palatino Linotype" w:eastAsia="Palatino Linotype" w:hAnsi="Palatino Linotype" w:cs="Palatino Linotype"/>
        </w:rPr>
        <w:t>.  Gírese oficio a la D</w:t>
      </w:r>
      <w:r>
        <w:rPr>
          <w:rFonts w:ascii="Palatino Linotype" w:eastAsia="Palatino Linotype" w:hAnsi="Palatino Linotype" w:cs="Palatino Linotype"/>
        </w:rPr>
        <w:t>irección General de Protección de Datos Personales de este Instituto, en términos de lo dispuesto en el Considerando Cuarto de la presente Resolución.</w:t>
      </w:r>
    </w:p>
    <w:p w14:paraId="587A9E47" w14:textId="77777777" w:rsidR="00C153A1" w:rsidRDefault="00C153A1">
      <w:pPr>
        <w:spacing w:before="240" w:after="240" w:line="360" w:lineRule="auto"/>
        <w:jc w:val="both"/>
        <w:rPr>
          <w:rFonts w:ascii="Palatino Linotype" w:eastAsia="Palatino Linotype" w:hAnsi="Palatino Linotype" w:cs="Palatino Linotype"/>
        </w:rPr>
      </w:pPr>
    </w:p>
    <w:p w14:paraId="7316E80D" w14:textId="77777777" w:rsidR="00C153A1" w:rsidRDefault="008E7C6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w:t>
      </w:r>
      <w:r>
        <w:rPr>
          <w:rFonts w:ascii="Palatino Linotype" w:eastAsia="Palatino Linotype" w:hAnsi="Palatino Linotype" w:cs="Palatino Linotype"/>
        </w:rPr>
        <w:t>ÓN PÚBLICA Y PROTECCIÓN DE DATOS PERSONALES DEL ESTADO DE MÉXICO Y MUNICIPIOS, CONFORMADO POR LOS COMISIONADOS JOSÉ MARTÍNEZ VILCHIS, MARÍA DEL ROSARIO MEJÍA AYALA, SHARON CRISTINA MORALES MARTÍNEZ, LUIS GUSTAVO PARRA NORIEGA Y GUADALUPE RAMÍREZ PEÑA; EN L</w:t>
      </w:r>
      <w:r>
        <w:rPr>
          <w:rFonts w:ascii="Palatino Linotype" w:eastAsia="Palatino Linotype" w:hAnsi="Palatino Linotype" w:cs="Palatino Linotype"/>
        </w:rPr>
        <w:t>A DÉCIMA SEGUNDA SESIÓN ORDINARIA CELEBRADA EL QUINCE DE JUNIO DE DOS MIL VEINTIDÓS, ANTE EL SECRETARIO TÉCNICO DEL PLENO ALEXIS TAPIA RAMÍREZ.</w:t>
      </w:r>
    </w:p>
    <w:p w14:paraId="50D127E4" w14:textId="77777777" w:rsidR="00C153A1" w:rsidRDefault="008E7C6A">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rPr>
        <w:t>----------------------------------------------------------------------------------------------------------------------------------------------------------------------------------------------------------------------------------------------------------------</w:t>
      </w:r>
      <w:r>
        <w:rPr>
          <w:rFonts w:ascii="Palatino Linotype" w:eastAsia="Palatino Linotype" w:hAnsi="Palatino Linotype" w:cs="Palatino Linotype"/>
        </w:rPr>
        <w:t>----------------------------------------------------------------------------------------------------------------------------------------------------------------------------------------------------------------------------------------------------------------</w:t>
      </w:r>
      <w:r>
        <w:rPr>
          <w:rFonts w:ascii="Palatino Linotype" w:eastAsia="Palatino Linotype" w:hAnsi="Palatino Linotype" w:cs="Palatino Linotype"/>
        </w:rPr>
        <w:t>----------------------------------------------------------------------------------------------------------------------------------------------------------------------------------------------------------------------------------------------------------------</w:t>
      </w:r>
      <w:r>
        <w:rPr>
          <w:rFonts w:ascii="Palatino Linotype" w:eastAsia="Palatino Linotype" w:hAnsi="Palatino Linotype" w:cs="Palatino Linotype"/>
        </w:rPr>
        <w:t>------------------------------------------------------------------------------------------------------------------------------------------------------------------------------------------------------------------</w:t>
      </w:r>
      <w:r>
        <w:rPr>
          <w:rFonts w:ascii="Palatino Linotype" w:eastAsia="Palatino Linotype" w:hAnsi="Palatino Linotype" w:cs="Palatino Linotype"/>
        </w:rPr>
        <w:lastRenderedPageBreak/>
        <w:t>----------------------------------------------</w:t>
      </w:r>
      <w:r>
        <w:rPr>
          <w:rFonts w:ascii="Palatino Linotype" w:eastAsia="Palatino Linotype" w:hAnsi="Palatino Linotype" w:cs="Palatino Linotype"/>
        </w:rPr>
        <w:t>----------------------------------------------------------------------------------------------------------------------------------------------------------------------------------------------------------------------------------------------------------------</w:t>
      </w:r>
      <w:r>
        <w:rPr>
          <w:rFonts w:ascii="Palatino Linotype" w:eastAsia="Palatino Linotype" w:hAnsi="Palatino Linotype" w:cs="Palatino Linotype"/>
        </w:rPr>
        <w:t>--------------------------------------------------------------------------------------------------------------------------------------</w:t>
      </w:r>
    </w:p>
    <w:p w14:paraId="02F448B2" w14:textId="77777777" w:rsidR="00C153A1" w:rsidRDefault="00C153A1">
      <w:pPr>
        <w:spacing w:line="360" w:lineRule="auto"/>
        <w:ind w:right="49"/>
        <w:jc w:val="both"/>
        <w:rPr>
          <w:rFonts w:ascii="Palatino Linotype" w:eastAsia="Palatino Linotype" w:hAnsi="Palatino Linotype" w:cs="Palatino Linotype"/>
        </w:rPr>
      </w:pPr>
    </w:p>
    <w:p w14:paraId="70959998" w14:textId="77777777" w:rsidR="00C153A1" w:rsidRDefault="00C153A1">
      <w:pPr>
        <w:spacing w:line="360" w:lineRule="auto"/>
        <w:ind w:right="49"/>
        <w:jc w:val="both"/>
        <w:rPr>
          <w:rFonts w:ascii="Palatino Linotype" w:eastAsia="Palatino Linotype" w:hAnsi="Palatino Linotype" w:cs="Palatino Linotype"/>
        </w:rPr>
      </w:pPr>
    </w:p>
    <w:p w14:paraId="3632609F" w14:textId="77777777" w:rsidR="00C153A1" w:rsidRDefault="00C153A1">
      <w:pPr>
        <w:spacing w:line="360" w:lineRule="auto"/>
        <w:ind w:right="49"/>
        <w:jc w:val="both"/>
        <w:rPr>
          <w:rFonts w:ascii="Palatino Linotype" w:eastAsia="Palatino Linotype" w:hAnsi="Palatino Linotype" w:cs="Palatino Linotype"/>
        </w:rPr>
      </w:pPr>
    </w:p>
    <w:p w14:paraId="45B17CAB" w14:textId="77777777" w:rsidR="00C153A1" w:rsidRDefault="00C153A1">
      <w:pPr>
        <w:spacing w:line="360" w:lineRule="auto"/>
        <w:ind w:right="49"/>
        <w:jc w:val="both"/>
        <w:rPr>
          <w:rFonts w:ascii="Palatino Linotype" w:eastAsia="Palatino Linotype" w:hAnsi="Palatino Linotype" w:cs="Palatino Linotype"/>
        </w:rPr>
      </w:pPr>
    </w:p>
    <w:p w14:paraId="45087BD8" w14:textId="77777777" w:rsidR="00C153A1" w:rsidRDefault="00C153A1">
      <w:pPr>
        <w:spacing w:line="360" w:lineRule="auto"/>
        <w:ind w:right="49"/>
        <w:jc w:val="both"/>
        <w:rPr>
          <w:rFonts w:ascii="Palatino Linotype" w:eastAsia="Palatino Linotype" w:hAnsi="Palatino Linotype" w:cs="Palatino Linotype"/>
        </w:rPr>
      </w:pPr>
    </w:p>
    <w:p w14:paraId="7183F17F" w14:textId="77777777" w:rsidR="00C153A1" w:rsidRDefault="00C153A1">
      <w:pPr>
        <w:spacing w:line="360" w:lineRule="auto"/>
        <w:ind w:right="49"/>
        <w:jc w:val="both"/>
        <w:rPr>
          <w:rFonts w:ascii="Palatino Linotype" w:eastAsia="Palatino Linotype" w:hAnsi="Palatino Linotype" w:cs="Palatino Linotype"/>
        </w:rPr>
      </w:pPr>
    </w:p>
    <w:p w14:paraId="6DD481C8" w14:textId="77777777" w:rsidR="00C153A1" w:rsidRDefault="00C153A1">
      <w:pPr>
        <w:spacing w:line="360" w:lineRule="auto"/>
        <w:ind w:right="49"/>
        <w:jc w:val="both"/>
        <w:rPr>
          <w:rFonts w:ascii="Palatino Linotype" w:eastAsia="Palatino Linotype" w:hAnsi="Palatino Linotype" w:cs="Palatino Linotype"/>
        </w:rPr>
      </w:pPr>
    </w:p>
    <w:p w14:paraId="0C83BE2F" w14:textId="77777777" w:rsidR="00C153A1" w:rsidRDefault="00C153A1">
      <w:pPr>
        <w:spacing w:line="360" w:lineRule="auto"/>
        <w:ind w:right="49"/>
        <w:jc w:val="both"/>
        <w:rPr>
          <w:rFonts w:ascii="Palatino Linotype" w:eastAsia="Palatino Linotype" w:hAnsi="Palatino Linotype" w:cs="Palatino Linotype"/>
        </w:rPr>
      </w:pPr>
    </w:p>
    <w:p w14:paraId="3523D389" w14:textId="77777777" w:rsidR="00C153A1" w:rsidRDefault="00C153A1">
      <w:pPr>
        <w:spacing w:line="360" w:lineRule="auto"/>
        <w:ind w:right="49"/>
        <w:jc w:val="both"/>
        <w:rPr>
          <w:rFonts w:ascii="Palatino Linotype" w:eastAsia="Palatino Linotype" w:hAnsi="Palatino Linotype" w:cs="Palatino Linotype"/>
        </w:rPr>
      </w:pPr>
    </w:p>
    <w:p w14:paraId="3A770D08" w14:textId="77777777" w:rsidR="00C153A1" w:rsidRDefault="00C153A1">
      <w:pPr>
        <w:spacing w:line="360" w:lineRule="auto"/>
        <w:ind w:right="49"/>
        <w:jc w:val="both"/>
        <w:rPr>
          <w:rFonts w:ascii="Palatino Linotype" w:eastAsia="Palatino Linotype" w:hAnsi="Palatino Linotype" w:cs="Palatino Linotype"/>
        </w:rPr>
      </w:pPr>
    </w:p>
    <w:p w14:paraId="043BB2B8" w14:textId="77777777" w:rsidR="00C153A1" w:rsidRDefault="00C153A1">
      <w:pPr>
        <w:spacing w:line="360" w:lineRule="auto"/>
        <w:ind w:right="49"/>
        <w:jc w:val="both"/>
        <w:rPr>
          <w:rFonts w:ascii="Palatino Linotype" w:eastAsia="Palatino Linotype" w:hAnsi="Palatino Linotype" w:cs="Palatino Linotype"/>
        </w:rPr>
      </w:pPr>
    </w:p>
    <w:p w14:paraId="0143E2E9" w14:textId="77777777" w:rsidR="00C153A1" w:rsidRDefault="00C153A1">
      <w:pPr>
        <w:spacing w:line="360" w:lineRule="auto"/>
        <w:ind w:right="49"/>
        <w:jc w:val="both"/>
        <w:rPr>
          <w:rFonts w:ascii="Palatino Linotype" w:eastAsia="Palatino Linotype" w:hAnsi="Palatino Linotype" w:cs="Palatino Linotype"/>
        </w:rPr>
      </w:pPr>
    </w:p>
    <w:p w14:paraId="2464C29D" w14:textId="77777777" w:rsidR="00C153A1" w:rsidRDefault="00C153A1">
      <w:pPr>
        <w:spacing w:line="360" w:lineRule="auto"/>
        <w:ind w:right="49"/>
        <w:jc w:val="both"/>
        <w:rPr>
          <w:rFonts w:ascii="Palatino Linotype" w:eastAsia="Palatino Linotype" w:hAnsi="Palatino Linotype" w:cs="Palatino Linotype"/>
        </w:rPr>
      </w:pPr>
    </w:p>
    <w:p w14:paraId="488ABCD4" w14:textId="77777777" w:rsidR="00C153A1" w:rsidRDefault="00C153A1">
      <w:pPr>
        <w:spacing w:line="360" w:lineRule="auto"/>
        <w:ind w:right="49"/>
        <w:jc w:val="both"/>
        <w:rPr>
          <w:rFonts w:ascii="Palatino Linotype" w:eastAsia="Palatino Linotype" w:hAnsi="Palatino Linotype" w:cs="Palatino Linotype"/>
        </w:rPr>
      </w:pPr>
    </w:p>
    <w:p w14:paraId="0D7AF469" w14:textId="77777777" w:rsidR="00C153A1" w:rsidRDefault="00C153A1">
      <w:pPr>
        <w:spacing w:line="360" w:lineRule="auto"/>
        <w:ind w:right="49"/>
        <w:jc w:val="both"/>
        <w:rPr>
          <w:rFonts w:ascii="Palatino Linotype" w:eastAsia="Palatino Linotype" w:hAnsi="Palatino Linotype" w:cs="Palatino Linotype"/>
        </w:rPr>
      </w:pPr>
    </w:p>
    <w:p w14:paraId="40FF24C7" w14:textId="77777777" w:rsidR="00C153A1" w:rsidRDefault="00C153A1">
      <w:pPr>
        <w:spacing w:line="360" w:lineRule="auto"/>
        <w:ind w:right="49"/>
        <w:jc w:val="both"/>
        <w:rPr>
          <w:rFonts w:ascii="Palatino Linotype" w:eastAsia="Palatino Linotype" w:hAnsi="Palatino Linotype" w:cs="Palatino Linotype"/>
        </w:rPr>
      </w:pPr>
    </w:p>
    <w:p w14:paraId="1732CED2" w14:textId="77777777" w:rsidR="00C153A1" w:rsidRDefault="00C153A1">
      <w:pPr>
        <w:spacing w:before="240" w:after="240" w:line="360" w:lineRule="auto"/>
        <w:jc w:val="both"/>
        <w:rPr>
          <w:rFonts w:ascii="Palatino Linotype" w:eastAsia="Palatino Linotype" w:hAnsi="Palatino Linotype" w:cs="Palatino Linotype"/>
        </w:rPr>
      </w:pPr>
    </w:p>
    <w:sectPr w:rsidR="00C153A1">
      <w:headerReference w:type="default" r:id="rId14"/>
      <w:footerReference w:type="default" r:id="rId15"/>
      <w:headerReference w:type="first" r:id="rId16"/>
      <w:footerReference w:type="first" r:id="rId17"/>
      <w:pgSz w:w="12240" w:h="15840"/>
      <w:pgMar w:top="1417" w:right="1701" w:bottom="1417"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89720" w14:textId="77777777" w:rsidR="008E7C6A" w:rsidRDefault="008E7C6A">
      <w:r>
        <w:separator/>
      </w:r>
    </w:p>
  </w:endnote>
  <w:endnote w:type="continuationSeparator" w:id="0">
    <w:p w14:paraId="194A1534" w14:textId="77777777" w:rsidR="008E7C6A" w:rsidRDefault="008E7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3234" w14:textId="77777777" w:rsidR="00C153A1" w:rsidRDefault="008E7C6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F3A94">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F3A94">
      <w:rPr>
        <w:rFonts w:ascii="Arial" w:eastAsia="Arial" w:hAnsi="Arial" w:cs="Arial"/>
        <w:b/>
        <w:noProof/>
        <w:color w:val="000000"/>
        <w:sz w:val="20"/>
        <w:szCs w:val="20"/>
      </w:rPr>
      <w:t>3</w:t>
    </w:r>
    <w:r>
      <w:rPr>
        <w:rFonts w:ascii="Arial" w:eastAsia="Arial" w:hAnsi="Arial" w:cs="Arial"/>
        <w:b/>
        <w:color w:val="000000"/>
        <w:sz w:val="20"/>
        <w:szCs w:val="20"/>
      </w:rPr>
      <w:fldChar w:fldCharType="end"/>
    </w:r>
  </w:p>
  <w:p w14:paraId="7258D3E6" w14:textId="77777777" w:rsidR="00C153A1" w:rsidRDefault="00C153A1">
    <w:pPr>
      <w:pBdr>
        <w:top w:val="nil"/>
        <w:left w:val="nil"/>
        <w:bottom w:val="nil"/>
        <w:right w:val="nil"/>
        <w:between w:val="nil"/>
      </w:pBdr>
      <w:tabs>
        <w:tab w:val="center" w:pos="4252"/>
        <w:tab w:val="right" w:pos="8504"/>
      </w:tabs>
      <w:rPr>
        <w:color w:val="000000"/>
      </w:rPr>
    </w:pPr>
  </w:p>
  <w:p w14:paraId="54C604AE" w14:textId="77777777" w:rsidR="00C153A1" w:rsidRDefault="00C153A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8D8F0" w14:textId="77777777" w:rsidR="00C153A1" w:rsidRDefault="008E7C6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F3A94">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F3A94">
      <w:rPr>
        <w:rFonts w:ascii="Arial" w:eastAsia="Arial" w:hAnsi="Arial" w:cs="Arial"/>
        <w:b/>
        <w:noProof/>
        <w:color w:val="000000"/>
        <w:sz w:val="20"/>
        <w:szCs w:val="20"/>
      </w:rPr>
      <w:t>2</w:t>
    </w:r>
    <w:r>
      <w:rPr>
        <w:rFonts w:ascii="Arial" w:eastAsia="Arial" w:hAnsi="Arial" w:cs="Arial"/>
        <w:b/>
        <w:color w:val="000000"/>
        <w:sz w:val="20"/>
        <w:szCs w:val="20"/>
      </w:rPr>
      <w:fldChar w:fldCharType="end"/>
    </w:r>
  </w:p>
  <w:p w14:paraId="02A73B52" w14:textId="77777777" w:rsidR="00C153A1" w:rsidRDefault="00C153A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BBAEE" w14:textId="77777777" w:rsidR="008E7C6A" w:rsidRDefault="008E7C6A">
      <w:r>
        <w:separator/>
      </w:r>
    </w:p>
  </w:footnote>
  <w:footnote w:type="continuationSeparator" w:id="0">
    <w:p w14:paraId="49AAAB7E" w14:textId="77777777" w:rsidR="008E7C6A" w:rsidRDefault="008E7C6A">
      <w:r>
        <w:continuationSeparator/>
      </w:r>
    </w:p>
  </w:footnote>
  <w:footnote w:id="1">
    <w:p w14:paraId="1E5FFD56" w14:textId="77777777" w:rsidR="00C153A1" w:rsidRDefault="008E7C6A">
      <w:pPr>
        <w:jc w:val="both"/>
        <w:rPr>
          <w:rFonts w:ascii="Palatino Linotype" w:eastAsia="Palatino Linotype" w:hAnsi="Palatino Linotype" w:cs="Palatino Linotype"/>
          <w:sz w:val="18"/>
          <w:szCs w:val="18"/>
        </w:rPr>
      </w:pPr>
      <w:r>
        <w:rPr>
          <w:vertAlign w:val="superscript"/>
        </w:rPr>
        <w:footnoteRef/>
      </w:r>
      <w:r>
        <w:t xml:space="preserve"> </w:t>
      </w:r>
      <w:r>
        <w:rPr>
          <w:rFonts w:ascii="Palatino Linotype" w:eastAsia="Palatino Linotype" w:hAnsi="Palatino Linotype" w:cs="Palatino Linotype"/>
          <w:b/>
          <w:sz w:val="18"/>
          <w:szCs w:val="18"/>
        </w:rPr>
        <w:t xml:space="preserve">Artículo 122. </w:t>
      </w:r>
      <w:r>
        <w:rPr>
          <w:rFonts w:ascii="Palatino Linotype" w:eastAsia="Palatino Linotype" w:hAnsi="Palatino Linotype" w:cs="Palatino Linotype"/>
          <w:sz w:val="18"/>
          <w:szCs w:val="18"/>
        </w:rPr>
        <w:t>La clasificación es el proceso mediante el cual el sujeto obligado determina que la información en su poder actualiza alguno de los supuestos de reserva o confidencialidad, de conformidad con lo dispuesto en el presente título.</w:t>
      </w:r>
    </w:p>
    <w:p w14:paraId="63869119" w14:textId="77777777" w:rsidR="00C153A1" w:rsidRDefault="00C153A1">
      <w:pPr>
        <w:jc w:val="both"/>
        <w:rPr>
          <w:rFonts w:ascii="Palatino Linotype" w:eastAsia="Palatino Linotype" w:hAnsi="Palatino Linotype" w:cs="Palatino Linotype"/>
          <w:sz w:val="18"/>
          <w:szCs w:val="18"/>
        </w:rPr>
      </w:pPr>
    </w:p>
    <w:p w14:paraId="3C796983" w14:textId="77777777" w:rsidR="00C153A1" w:rsidRDefault="008E7C6A">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Los supuestos de reserva o confidencialidad previstos en las leyes deberán ser acordes con las bases, principios y disposiciones establecidos en la Ley General y, en ningún caso, podrán contravenirla.</w:t>
      </w:r>
    </w:p>
    <w:p w14:paraId="18D1A2FB" w14:textId="77777777" w:rsidR="00C153A1" w:rsidRDefault="00C153A1">
      <w:pPr>
        <w:jc w:val="both"/>
        <w:rPr>
          <w:rFonts w:ascii="Palatino Linotype" w:eastAsia="Palatino Linotype" w:hAnsi="Palatino Linotype" w:cs="Palatino Linotype"/>
          <w:sz w:val="18"/>
          <w:szCs w:val="18"/>
        </w:rPr>
      </w:pPr>
    </w:p>
    <w:p w14:paraId="3D66293C" w14:textId="77777777" w:rsidR="00C153A1" w:rsidRDefault="008E7C6A">
      <w:pPr>
        <w:jc w:val="both"/>
        <w:rPr>
          <w:rFonts w:ascii="Arial" w:eastAsia="Arial" w:hAnsi="Arial" w:cs="Arial"/>
          <w:sz w:val="18"/>
          <w:szCs w:val="18"/>
        </w:rPr>
      </w:pPr>
      <w:r>
        <w:rPr>
          <w:rFonts w:ascii="Palatino Linotype" w:eastAsia="Palatino Linotype" w:hAnsi="Palatino Linotype" w:cs="Palatino Linotype"/>
          <w:sz w:val="18"/>
          <w:szCs w:val="18"/>
        </w:rPr>
        <w:t>Los titulares de las áreas de los sujetos obligados se</w:t>
      </w:r>
      <w:r>
        <w:rPr>
          <w:rFonts w:ascii="Palatino Linotype" w:eastAsia="Palatino Linotype" w:hAnsi="Palatino Linotype" w:cs="Palatino Linotype"/>
          <w:sz w:val="18"/>
          <w:szCs w:val="18"/>
        </w:rPr>
        <w:t>rán los responsables de clasificar la información, de conformidad con lo dispuesto en la presente Ley y demás disposiciones jurídicas aplicables</w:t>
      </w:r>
      <w:r>
        <w:rPr>
          <w:rFonts w:ascii="Arial" w:eastAsia="Arial" w:hAnsi="Arial" w:cs="Arial"/>
          <w:sz w:val="18"/>
          <w:szCs w:val="18"/>
        </w:rPr>
        <w:t>.</w:t>
      </w:r>
    </w:p>
    <w:p w14:paraId="1348C987" w14:textId="77777777" w:rsidR="00C153A1" w:rsidRDefault="00C153A1">
      <w:pPr>
        <w:jc w:val="both"/>
      </w:pPr>
    </w:p>
  </w:footnote>
  <w:footnote w:id="2">
    <w:p w14:paraId="6A67F4A4" w14:textId="77777777" w:rsidR="00C153A1" w:rsidRDefault="008E7C6A">
      <w:pPr>
        <w:jc w:val="both"/>
        <w:rPr>
          <w:rFonts w:ascii="Palatino Linotype" w:eastAsia="Palatino Linotype" w:hAnsi="Palatino Linotype" w:cs="Palatino Linotype"/>
          <w:sz w:val="18"/>
          <w:szCs w:val="18"/>
        </w:rPr>
      </w:pPr>
      <w:r>
        <w:rPr>
          <w:vertAlign w:val="superscript"/>
        </w:rPr>
        <w:footnoteRef/>
      </w:r>
      <w:r>
        <w:t xml:space="preserve"> </w:t>
      </w:r>
      <w:r>
        <w:rPr>
          <w:rFonts w:ascii="Palatino Linotype" w:eastAsia="Palatino Linotype" w:hAnsi="Palatino Linotype" w:cs="Palatino Linotype"/>
          <w:b/>
          <w:sz w:val="18"/>
          <w:szCs w:val="18"/>
        </w:rPr>
        <w:t>Artículo 135.</w:t>
      </w:r>
      <w:r>
        <w:rPr>
          <w:rFonts w:ascii="Palatino Linotype" w:eastAsia="Palatino Linotype" w:hAnsi="Palatino Linotype" w:cs="Palatino Linotype"/>
          <w:sz w:val="18"/>
          <w:szCs w:val="18"/>
        </w:rPr>
        <w:t xml:space="preserve"> Los lineamientos generales que se emitan al respecto en materia de clasificación de la inform</w:t>
      </w:r>
      <w:r>
        <w:rPr>
          <w:rFonts w:ascii="Palatino Linotype" w:eastAsia="Palatino Linotype" w:hAnsi="Palatino Linotype" w:cs="Palatino Linotype"/>
          <w:sz w:val="18"/>
          <w:szCs w:val="18"/>
        </w:rPr>
        <w:t>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B0A2F" w14:textId="77777777" w:rsidR="00C153A1" w:rsidRDefault="00C153A1">
    <w:pPr>
      <w:widowControl w:val="0"/>
      <w:pBdr>
        <w:top w:val="nil"/>
        <w:left w:val="nil"/>
        <w:bottom w:val="nil"/>
        <w:right w:val="nil"/>
        <w:between w:val="nil"/>
      </w:pBdr>
      <w:spacing w:line="276" w:lineRule="auto"/>
      <w:rPr>
        <w:rFonts w:ascii="Cambria" w:eastAsia="Cambria" w:hAnsi="Cambria" w:cs="Cambria"/>
        <w:color w:val="000000"/>
      </w:rPr>
    </w:pPr>
  </w:p>
  <w:tbl>
    <w:tblPr>
      <w:tblStyle w:val="a2"/>
      <w:tblW w:w="6240" w:type="dxa"/>
      <w:tblInd w:w="3746" w:type="dxa"/>
      <w:tblLayout w:type="fixed"/>
      <w:tblLook w:val="0400" w:firstRow="0" w:lastRow="0" w:firstColumn="0" w:lastColumn="0" w:noHBand="0" w:noVBand="1"/>
    </w:tblPr>
    <w:tblGrid>
      <w:gridCol w:w="2553"/>
      <w:gridCol w:w="3687"/>
    </w:tblGrid>
    <w:tr w:rsidR="00C153A1" w14:paraId="67C2D8AB" w14:textId="77777777">
      <w:tc>
        <w:tcPr>
          <w:tcW w:w="2553" w:type="dxa"/>
          <w:vAlign w:val="center"/>
        </w:tcPr>
        <w:p w14:paraId="75725B01"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F1A1C77" w14:textId="77777777" w:rsidR="00C153A1" w:rsidRDefault="008E7C6A">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03644/INFOEM/IP/RR/2022</w:t>
          </w:r>
        </w:p>
      </w:tc>
    </w:tr>
    <w:tr w:rsidR="00C153A1" w14:paraId="03B27A97" w14:textId="77777777">
      <w:trPr>
        <w:trHeight w:val="228"/>
      </w:trPr>
      <w:tc>
        <w:tcPr>
          <w:tcW w:w="2553" w:type="dxa"/>
          <w:vAlign w:val="center"/>
        </w:tcPr>
        <w:p w14:paraId="38FF175A"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D2F9B82" w14:textId="77777777" w:rsidR="00C153A1" w:rsidRDefault="00C153A1">
          <w:pPr>
            <w:ind w:right="954"/>
            <w:jc w:val="both"/>
            <w:rPr>
              <w:rFonts w:ascii="Palatino Linotype" w:eastAsia="Palatino Linotype" w:hAnsi="Palatino Linotype" w:cs="Palatino Linotype"/>
              <w:b/>
              <w:sz w:val="22"/>
              <w:szCs w:val="22"/>
            </w:rPr>
          </w:pPr>
        </w:p>
        <w:p w14:paraId="166D8C77" w14:textId="77777777" w:rsidR="00C153A1" w:rsidRDefault="008E7C6A">
          <w:pPr>
            <w:ind w:right="95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C153A1" w14:paraId="0791166C" w14:textId="77777777">
      <w:tc>
        <w:tcPr>
          <w:tcW w:w="2553" w:type="dxa"/>
          <w:vAlign w:val="center"/>
        </w:tcPr>
        <w:p w14:paraId="71159FA9"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59B080F" w14:textId="77777777" w:rsidR="00C153A1" w:rsidRDefault="008E7C6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415E115" w14:textId="77777777" w:rsidR="00C153A1" w:rsidRDefault="008E7C6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rPr>
      <w:drawing>
        <wp:anchor distT="0" distB="0" distL="0" distR="0" simplePos="0" relativeHeight="251658240" behindDoc="1" locked="0" layoutInCell="1" hidden="0" allowOverlap="1" wp14:anchorId="3DB6E2A2" wp14:editId="2C21422F">
          <wp:simplePos x="0" y="0"/>
          <wp:positionH relativeFrom="column">
            <wp:posOffset>-982344</wp:posOffset>
          </wp:positionH>
          <wp:positionV relativeFrom="paragraph">
            <wp:posOffset>-1108074</wp:posOffset>
          </wp:positionV>
          <wp:extent cx="7635600" cy="9943200"/>
          <wp:effectExtent l="0" t="0" r="0" b="0"/>
          <wp:wrapNone/>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DB1C" w14:textId="77777777" w:rsidR="00C153A1" w:rsidRDefault="008E7C6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rPr>
      <w:drawing>
        <wp:anchor distT="0" distB="0" distL="0" distR="0" simplePos="0" relativeHeight="251659264" behindDoc="1" locked="0" layoutInCell="1" hidden="0" allowOverlap="1" wp14:anchorId="12F4DD0B" wp14:editId="56D0ABE9">
          <wp:simplePos x="0" y="0"/>
          <wp:positionH relativeFrom="column">
            <wp:posOffset>-916304</wp:posOffset>
          </wp:positionH>
          <wp:positionV relativeFrom="paragraph">
            <wp:posOffset>-354865</wp:posOffset>
          </wp:positionV>
          <wp:extent cx="7635600" cy="9943200"/>
          <wp:effectExtent l="0" t="0" r="0" b="0"/>
          <wp:wrapNone/>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6240" w:type="dxa"/>
      <w:tblInd w:w="3685" w:type="dxa"/>
      <w:tblLayout w:type="fixed"/>
      <w:tblLook w:val="0400" w:firstRow="0" w:lastRow="0" w:firstColumn="0" w:lastColumn="0" w:noHBand="0" w:noVBand="1"/>
    </w:tblPr>
    <w:tblGrid>
      <w:gridCol w:w="2553"/>
      <w:gridCol w:w="3687"/>
    </w:tblGrid>
    <w:tr w:rsidR="00C153A1" w14:paraId="1CD9AA68" w14:textId="77777777">
      <w:tc>
        <w:tcPr>
          <w:tcW w:w="2553" w:type="dxa"/>
          <w:vAlign w:val="center"/>
        </w:tcPr>
        <w:p w14:paraId="2A82C8B8"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65B04F2"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03644/INFOEM/IP/RR/2022</w:t>
          </w:r>
        </w:p>
      </w:tc>
    </w:tr>
    <w:tr w:rsidR="00C153A1" w14:paraId="4B71EF14" w14:textId="77777777">
      <w:tc>
        <w:tcPr>
          <w:tcW w:w="2553" w:type="dxa"/>
          <w:vAlign w:val="center"/>
        </w:tcPr>
        <w:p w14:paraId="656B203C"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59C09070" w14:textId="2FA075F1" w:rsidR="00C153A1" w:rsidRDefault="008F3A9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w:t>
          </w:r>
          <w:r w:rsidR="008E7C6A">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w:t>
          </w:r>
          <w:r w:rsidR="008E7C6A">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w:t>
          </w:r>
          <w:r w:rsidR="008E7C6A">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w:t>
          </w:r>
        </w:p>
      </w:tc>
    </w:tr>
    <w:tr w:rsidR="00C153A1" w14:paraId="766F06FB" w14:textId="77777777">
      <w:trPr>
        <w:trHeight w:val="228"/>
      </w:trPr>
      <w:tc>
        <w:tcPr>
          <w:tcW w:w="2553" w:type="dxa"/>
          <w:vAlign w:val="center"/>
        </w:tcPr>
        <w:p w14:paraId="6CEDBCA9"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776B9CE5" w14:textId="77777777" w:rsidR="00C153A1" w:rsidRDefault="008E7C6A">
          <w:pPr>
            <w:ind w:right="59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Tultepec</w:t>
          </w:r>
        </w:p>
      </w:tc>
    </w:tr>
    <w:tr w:rsidR="00C153A1" w14:paraId="06FF7A4B" w14:textId="77777777">
      <w:tc>
        <w:tcPr>
          <w:tcW w:w="2553" w:type="dxa"/>
          <w:vAlign w:val="center"/>
        </w:tcPr>
        <w:p w14:paraId="1C6BCCE3" w14:textId="77777777" w:rsidR="00C153A1" w:rsidRDefault="008E7C6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E9FE41F" w14:textId="77777777" w:rsidR="00C153A1" w:rsidRDefault="008E7C6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2033AA2" w14:textId="77777777" w:rsidR="00C153A1" w:rsidRDefault="00C153A1">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464C8"/>
    <w:multiLevelType w:val="multilevel"/>
    <w:tmpl w:val="531E33D2"/>
    <w:lvl w:ilvl="0">
      <w:start w:val="1"/>
      <w:numFmt w:val="low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0E962FF4"/>
    <w:multiLevelType w:val="multilevel"/>
    <w:tmpl w:val="AC98F80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 w15:restartNumberingAfterBreak="0">
    <w:nsid w:val="4F1A6E2F"/>
    <w:multiLevelType w:val="multilevel"/>
    <w:tmpl w:val="B4000B4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C53A7A"/>
    <w:multiLevelType w:val="multilevel"/>
    <w:tmpl w:val="4162AF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8B5D97"/>
    <w:multiLevelType w:val="multilevel"/>
    <w:tmpl w:val="44AE3118"/>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5" w15:restartNumberingAfterBreak="0">
    <w:nsid w:val="5F200D17"/>
    <w:multiLevelType w:val="multilevel"/>
    <w:tmpl w:val="9D60F7A2"/>
    <w:lvl w:ilvl="0">
      <w:start w:val="1"/>
      <w:numFmt w:val="lowerLetter"/>
      <w:lvlText w:val="%1)"/>
      <w:lvlJc w:val="left"/>
      <w:pPr>
        <w:ind w:left="1428" w:hanging="360"/>
      </w:pPr>
      <w:rPr>
        <w:rFonts w:ascii="Palatino Linotype" w:eastAsia="Palatino Linotype" w:hAnsi="Palatino Linotype" w:cs="Palatino Linotype"/>
        <w:sz w:val="22"/>
        <w:szCs w:val="22"/>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num w:numId="1" w16cid:durableId="1773822840">
    <w:abstractNumId w:val="1"/>
  </w:num>
  <w:num w:numId="2" w16cid:durableId="1555695865">
    <w:abstractNumId w:val="5"/>
  </w:num>
  <w:num w:numId="3" w16cid:durableId="1647665566">
    <w:abstractNumId w:val="0"/>
  </w:num>
  <w:num w:numId="4" w16cid:durableId="732773161">
    <w:abstractNumId w:val="2"/>
  </w:num>
  <w:num w:numId="5" w16cid:durableId="1991010515">
    <w:abstractNumId w:val="4"/>
  </w:num>
  <w:num w:numId="6" w16cid:durableId="743334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3A1"/>
    <w:rsid w:val="008E7C6A"/>
    <w:rsid w:val="008F3A94"/>
    <w:rsid w:val="00C153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C983D"/>
  <w15:docId w15:val="{FF59F3D2-C992-401A-B85D-61F094571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006F2"/>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semiHidden/>
    <w:unhideWhenUsed/>
    <w:qFormat/>
    <w:rsid w:val="00D006F2"/>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3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CA08C0"/>
    <w:rPr>
      <w:color w:val="605E5C"/>
      <w:shd w:val="clear" w:color="auto" w:fill="E1DFDD"/>
    </w:rPr>
  </w:style>
  <w:style w:type="table" w:styleId="Tablaconcuadrcula4-nfasis5">
    <w:name w:val="Grid Table 4 Accent 5"/>
    <w:basedOn w:val="Tablanormal"/>
    <w:uiPriority w:val="49"/>
    <w:rsid w:val="006E38D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tulo3Car">
    <w:name w:val="Título 3 Car"/>
    <w:basedOn w:val="Fuentedeprrafopredeter"/>
    <w:link w:val="Ttulo3"/>
    <w:uiPriority w:val="9"/>
    <w:semiHidden/>
    <w:rsid w:val="00D006F2"/>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semiHidden/>
    <w:rsid w:val="00D006F2"/>
    <w:rPr>
      <w:rFonts w:asciiTheme="majorHAnsi" w:eastAsiaTheme="majorEastAsia" w:hAnsiTheme="majorHAnsi" w:cstheme="majorBidi"/>
      <w:i/>
      <w:iCs/>
      <w:color w:val="365F91" w:themeColor="accent1" w:themeShade="BF"/>
      <w:lang w:val="es-ES"/>
    </w:rPr>
  </w:style>
  <w:style w:type="paragraph" w:customStyle="1" w:styleId="m-698976158124685028gmail-default">
    <w:name w:val="m_-698976158124685028gmail-default"/>
    <w:basedOn w:val="Normal"/>
    <w:rsid w:val="006B1B2B"/>
    <w:pPr>
      <w:spacing w:before="100" w:beforeAutospacing="1" w:after="100" w:afterAutospacing="1"/>
    </w:pPr>
    <w:rPr>
      <w:lang w:val="es-MX"/>
    </w:rPr>
  </w:style>
  <w:style w:type="paragraph" w:customStyle="1" w:styleId="m-698976158124685028gmail-msolistparagraph">
    <w:name w:val="m_-698976158124685028gmail-msolistparagraph"/>
    <w:basedOn w:val="Normal"/>
    <w:rsid w:val="006B1B2B"/>
    <w:pPr>
      <w:spacing w:before="100" w:beforeAutospacing="1" w:after="100" w:afterAutospacing="1"/>
    </w:pPr>
    <w:rPr>
      <w:lang w:val="es-MX"/>
    </w:rPr>
  </w:style>
  <w:style w:type="paragraph" w:customStyle="1" w:styleId="m-698976158124685028gmail-m483811427706604298gmail-msolistparagraph">
    <w:name w:val="m_-698976158124685028gmail-m483811427706604298gmail-msolistparagraph"/>
    <w:basedOn w:val="Normal"/>
    <w:rsid w:val="00D41810"/>
    <w:pPr>
      <w:spacing w:before="100" w:beforeAutospacing="1" w:after="100" w:afterAutospacing="1"/>
    </w:pPr>
    <w:rPr>
      <w:lang w:val="es-MX"/>
    </w:rPr>
  </w:style>
  <w:style w:type="paragraph" w:customStyle="1" w:styleId="m-698976158124685028gmail-msonormal">
    <w:name w:val="m_-698976158124685028gmail-msonormal"/>
    <w:basedOn w:val="Normal"/>
    <w:rsid w:val="00D41810"/>
    <w:pPr>
      <w:spacing w:before="100" w:beforeAutospacing="1" w:after="100" w:afterAutospacing="1"/>
    </w:pPr>
    <w:rPr>
      <w:lang w:val="es-MX"/>
    </w:rPr>
  </w:style>
  <w:style w:type="character" w:customStyle="1" w:styleId="m-698976158124685028gmail-apple-converted-space">
    <w:name w:val="m_-698976158124685028gmail-apple-converted-space"/>
    <w:basedOn w:val="Fuentedeprrafopredeter"/>
    <w:rsid w:val="00D41810"/>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2YS4XPr+4uA9GS+a+HpZ3g3wGA==">AMUW2mWNY4Dz0Kevn1W0CwDzD8W08p3ujJmsQax5YzSURZrW8Q9QuqUBRz1PYOHnXDOxL9uKTJ/gy+CX5WBgs8GmS+acTtrDBljHVdVmDrdwFkya/VyM1enQuYYGFAFgZfO8+rgZhQly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7707</Words>
  <Characters>42394</Characters>
  <Application>Microsoft Office Word</Application>
  <DocSecurity>0</DocSecurity>
  <Lines>353</Lines>
  <Paragraphs>100</Paragraphs>
  <ScaleCrop>false</ScaleCrop>
  <Company/>
  <LinksUpToDate>false</LinksUpToDate>
  <CharactersWithSpaces>50001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VIRIDIANA SANTANA</cp:lastModifiedBy>
  <cp:revision>2</cp:revision>
  <dcterms:created xsi:type="dcterms:W3CDTF">2022-06-16T05:14:00Z</dcterms:created>
  <dcterms:modified xsi:type="dcterms:W3CDTF">2022-07-08T20:12:00Z</dcterms:modified>
</cp:coreProperties>
</file>