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D99" w:rsidRDefault="00A7007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siete de septiembre del dos mil veintidós</w:t>
      </w:r>
      <w:r>
        <w:rPr>
          <w:rFonts w:ascii="Palatino Linotype" w:eastAsia="Palatino Linotype" w:hAnsi="Palatino Linotype" w:cs="Palatino Linotype"/>
        </w:rPr>
        <w:t>.</w:t>
      </w:r>
    </w:p>
    <w:p w:rsidR="00DE1D99" w:rsidRDefault="00A7007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06694/INFOEM/IP/RR/2022</w:t>
      </w:r>
      <w:r>
        <w:rPr>
          <w:rFonts w:ascii="Palatino Linotype" w:eastAsia="Palatino Linotype" w:hAnsi="Palatino Linotype" w:cs="Palatino Linotype"/>
        </w:rPr>
        <w:t xml:space="preserve">, interpuesto por </w:t>
      </w:r>
      <w:r w:rsidR="00111C92" w:rsidRPr="00111C92">
        <w:rPr>
          <w:rFonts w:ascii="Palatino Linotype" w:eastAsia="Palatino Linotype" w:hAnsi="Palatino Linotype" w:cs="Palatino Linotype"/>
          <w:b/>
        </w:rPr>
        <w:t>XXXXX</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w:t>
      </w:r>
      <w:r>
        <w:rPr>
          <w:rFonts w:ascii="Palatino Linotype" w:eastAsia="Palatino Linotype" w:hAnsi="Palatino Linotype" w:cs="Palatino Linotype"/>
        </w:rPr>
        <w:t xml:space="preserve">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Ecatepec de Morelos,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DE1D99" w:rsidRDefault="00A7007F">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rsidR="00DE1D99" w:rsidRDefault="00A7007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veinticinco de abril de dos mil veintidós, 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a través de la Plataforma Nacional de Transparencia (PNT), vinculada al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00468/ECATEPEC/IP/2022, </w:t>
      </w:r>
      <w:r>
        <w:rPr>
          <w:rFonts w:ascii="Palatino Linotype" w:eastAsia="Palatino Linotype" w:hAnsi="Palatino Linotype" w:cs="Palatino Linotype"/>
        </w:rPr>
        <w:t xml:space="preserve">mediante la cual requirió la información siguiente: </w:t>
      </w:r>
    </w:p>
    <w:p w:rsidR="00DE1D99" w:rsidRDefault="00A7007F">
      <w:pPr>
        <w:spacing w:before="240" w:after="240" w:line="276" w:lineRule="auto"/>
        <w:ind w:left="426"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“Buenas tardes, le solicito de manera amable </w:t>
      </w:r>
      <w:r>
        <w:rPr>
          <w:rFonts w:ascii="Palatino Linotype" w:eastAsia="Palatino Linotype" w:hAnsi="Palatino Linotype" w:cs="Palatino Linotype"/>
          <w:b/>
          <w:i/>
          <w:sz w:val="22"/>
          <w:szCs w:val="22"/>
        </w:rPr>
        <w:t>se sirva a bien proporcionarme el Programa de Protección de Datos Personales</w:t>
      </w:r>
      <w:r>
        <w:rPr>
          <w:rFonts w:ascii="Palatino Linotype" w:eastAsia="Palatino Linotype" w:hAnsi="Palatino Linotype" w:cs="Palatino Linotype"/>
          <w:i/>
          <w:sz w:val="22"/>
          <w:szCs w:val="22"/>
        </w:rPr>
        <w:t>. De antemano agradezco su amabilidad. Gracias.” (Sic) (Énfasis añadido)</w:t>
      </w:r>
    </w:p>
    <w:p w:rsidR="00DE1D99" w:rsidRDefault="00A7007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p>
    <w:p w:rsidR="00B03139" w:rsidRDefault="00B03139">
      <w:pPr>
        <w:spacing w:before="240" w:after="240" w:line="360" w:lineRule="auto"/>
        <w:ind w:right="49"/>
        <w:jc w:val="both"/>
        <w:rPr>
          <w:rFonts w:ascii="Palatino Linotype" w:eastAsia="Palatino Linotype" w:hAnsi="Palatino Linotype" w:cs="Palatino Linotype"/>
        </w:rPr>
      </w:pPr>
      <w:r w:rsidRPr="00B03139">
        <w:rPr>
          <w:rFonts w:ascii="Palatino Linotype" w:eastAsia="Palatino Linotype" w:hAnsi="Palatino Linotype" w:cs="Palatino Linotype"/>
          <w:noProof/>
          <w:lang w:val="es-MX"/>
        </w:rPr>
        <w:lastRenderedPageBreak/>
        <w:drawing>
          <wp:inline distT="0" distB="0" distL="0" distR="0" wp14:anchorId="5BC76F81" wp14:editId="37F40703">
            <wp:extent cx="5581015" cy="66802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1015" cy="668020"/>
                    </a:xfrm>
                    <a:prstGeom prst="rect">
                      <a:avLst/>
                    </a:prstGeom>
                  </pic:spPr>
                </pic:pic>
              </a:graphicData>
            </a:graphic>
          </wp:inline>
        </w:drawing>
      </w:r>
    </w:p>
    <w:p w:rsidR="00DE1D99" w:rsidRDefault="00A7007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a la solicitud de información.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veintiséis de abril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la respuesta a la solicitud de información sustancialmente en los siguientes términos: </w:t>
      </w:r>
    </w:p>
    <w:p w:rsidR="00DE1D99" w:rsidRDefault="00A7007F">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H. Ayuntamiento Constitucional de Ecatepec de Morelos hace de su conocimiento la respuesta emitida por Unidad de Transparencia, la cual se anexa al presente en formato PDF.</w:t>
      </w:r>
    </w:p>
    <w:p w:rsidR="00DE1D99" w:rsidRDefault="00A7007F">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DE1D99" w:rsidRDefault="00A7007F">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Brianda Eunice Iberri Estrada”</w:t>
      </w:r>
    </w:p>
    <w:p w:rsidR="00DE1D99" w:rsidRDefault="00A7007F">
      <w:pPr>
        <w:spacing w:before="240" w:after="240" w:line="360" w:lineRule="auto"/>
        <w:ind w:left="567"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Archivos adjuntos: </w:t>
      </w:r>
    </w:p>
    <w:p w:rsidR="00DE1D99" w:rsidRDefault="00A7007F">
      <w:pPr>
        <w:spacing w:before="240" w:after="24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 xml:space="preserve">“468-3Programa Estatal y Municipal de Proteccion de Datos Personales..pdf”: </w:t>
      </w:r>
      <w:r>
        <w:rPr>
          <w:rFonts w:ascii="Palatino Linotype" w:eastAsia="Palatino Linotype" w:hAnsi="Palatino Linotype" w:cs="Palatino Linotype"/>
        </w:rPr>
        <w:t>Consiste en el Programa Estatal y Municipal de Protección de Datos Municipales, publicado en el Periódico Oficial “Gaceta de Gobierno” el 31 de mayo de 2018.</w:t>
      </w:r>
    </w:p>
    <w:p w:rsidR="00DE1D99" w:rsidRDefault="00A7007F">
      <w:pPr>
        <w:spacing w:before="240" w:after="24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782316" cy="5060263"/>
            <wp:effectExtent l="0" t="0" r="0" b="0"/>
            <wp:docPr id="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782316" cy="5060263"/>
                    </a:xfrm>
                    <a:prstGeom prst="rect">
                      <a:avLst/>
                    </a:prstGeom>
                    <a:ln/>
                  </pic:spPr>
                </pic:pic>
              </a:graphicData>
            </a:graphic>
          </wp:inline>
        </w:drawing>
      </w:r>
    </w:p>
    <w:p w:rsidR="00DE1D99" w:rsidRDefault="00A7007F">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 xml:space="preserve">“468-Aviso de Privacidad Unidad de Transparencia.pdf”: </w:t>
      </w:r>
      <w:r>
        <w:rPr>
          <w:rFonts w:ascii="Palatino Linotype" w:eastAsia="Palatino Linotype" w:hAnsi="Palatino Linotype" w:cs="Palatino Linotype"/>
        </w:rPr>
        <w:t xml:space="preserve">Aviso de Privacidad Integral para los expedientes y registro de las solicitudes de acceso a la información pública. </w:t>
      </w:r>
    </w:p>
    <w:p w:rsidR="00DE1D99" w:rsidRDefault="00A7007F">
      <w:pPr>
        <w:spacing w:before="240" w:after="24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836057" cy="5413743"/>
            <wp:effectExtent l="0" t="0" r="0" b="0"/>
            <wp:docPr id="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836057" cy="5413743"/>
                    </a:xfrm>
                    <a:prstGeom prst="rect">
                      <a:avLst/>
                    </a:prstGeom>
                    <a:ln/>
                  </pic:spPr>
                </pic:pic>
              </a:graphicData>
            </a:graphic>
          </wp:inline>
        </w:drawing>
      </w:r>
    </w:p>
    <w:p w:rsidR="00DE1D99" w:rsidRDefault="00A7007F">
      <w:pPr>
        <w:spacing w:before="240" w:after="24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 xml:space="preserve">“468-2 Ley de Protección de DatosPersonales.pdf”: </w:t>
      </w:r>
      <w:r>
        <w:rPr>
          <w:rFonts w:ascii="Palatino Linotype" w:eastAsia="Palatino Linotype" w:hAnsi="Palatino Linotype" w:cs="Palatino Linotype"/>
        </w:rPr>
        <w:t xml:space="preserve">Ley de Protección de Datos Personales en Posesión de Sujetos Obligados. </w:t>
      </w:r>
    </w:p>
    <w:p w:rsidR="00DE1D99" w:rsidRDefault="00A7007F">
      <w:pPr>
        <w:spacing w:before="240" w:after="240" w:line="276" w:lineRule="auto"/>
        <w:ind w:left="567" w:right="900"/>
        <w:jc w:val="both"/>
        <w:rPr>
          <w:rFonts w:ascii="Palatino Linotype" w:eastAsia="Palatino Linotype" w:hAnsi="Palatino Linotype" w:cs="Palatino Linotype"/>
          <w:b/>
          <w:i/>
        </w:rPr>
      </w:pPr>
      <w:r>
        <w:rPr>
          <w:rFonts w:ascii="Palatino Linotype" w:eastAsia="Palatino Linotype" w:hAnsi="Palatino Linotype" w:cs="Palatino Linotype"/>
          <w:b/>
          <w:i/>
          <w:noProof/>
          <w:lang w:val="es-MX"/>
        </w:rPr>
        <w:lastRenderedPageBreak/>
        <w:drawing>
          <wp:inline distT="0" distB="0" distL="0" distR="0">
            <wp:extent cx="4175320" cy="5790166"/>
            <wp:effectExtent l="0" t="0" r="0" b="0"/>
            <wp:docPr id="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175320" cy="5790166"/>
                    </a:xfrm>
                    <a:prstGeom prst="rect">
                      <a:avLst/>
                    </a:prstGeom>
                    <a:ln/>
                  </pic:spPr>
                </pic:pic>
              </a:graphicData>
            </a:graphic>
          </wp:inline>
        </w:drawing>
      </w:r>
    </w:p>
    <w:p w:rsidR="00DE1D99" w:rsidRDefault="00A7007F">
      <w:pPr>
        <w:spacing w:before="240" w:after="240" w:line="276"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 xml:space="preserve">“468.pdf”: </w:t>
      </w:r>
      <w:r>
        <w:rPr>
          <w:rFonts w:ascii="Palatino Linotype" w:eastAsia="Palatino Linotype" w:hAnsi="Palatino Linotype" w:cs="Palatino Linotype"/>
        </w:rPr>
        <w:t xml:space="preserve">Oficio signado por la Titular de la Unidad de Transparencia y el Secretario Técnico de Gabinete, mediante el cual remiten la respuesta a la presente solicitud de información. </w:t>
      </w:r>
    </w:p>
    <w:p w:rsidR="00DE1D99" w:rsidRDefault="00A7007F">
      <w:pPr>
        <w:spacing w:before="240" w:after="240" w:line="276" w:lineRule="auto"/>
        <w:ind w:left="567" w:right="900"/>
        <w:jc w:val="center"/>
        <w:rPr>
          <w:rFonts w:ascii="Palatino Linotype" w:eastAsia="Palatino Linotype" w:hAnsi="Palatino Linotype" w:cs="Palatino Linotype"/>
          <w:b/>
          <w:i/>
        </w:rPr>
      </w:pPr>
      <w:r>
        <w:rPr>
          <w:rFonts w:ascii="Palatino Linotype" w:eastAsia="Palatino Linotype" w:hAnsi="Palatino Linotype" w:cs="Palatino Linotype"/>
          <w:b/>
          <w:i/>
          <w:noProof/>
          <w:lang w:val="es-MX"/>
        </w:rPr>
        <w:lastRenderedPageBreak/>
        <w:drawing>
          <wp:inline distT="0" distB="0" distL="0" distR="0">
            <wp:extent cx="4759637" cy="4970815"/>
            <wp:effectExtent l="0" t="0" r="0" b="0"/>
            <wp:docPr id="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759637" cy="4970815"/>
                    </a:xfrm>
                    <a:prstGeom prst="rect">
                      <a:avLst/>
                    </a:prstGeom>
                    <a:ln/>
                  </pic:spPr>
                </pic:pic>
              </a:graphicData>
            </a:graphic>
          </wp:inline>
        </w:drawing>
      </w:r>
    </w:p>
    <w:p w:rsidR="00DE1D99" w:rsidRDefault="00A7007F">
      <w:pP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el recurso de revisión materia del presente estudio el día </w:t>
      </w:r>
      <w:r>
        <w:rPr>
          <w:rFonts w:ascii="Palatino Linotype" w:eastAsia="Palatino Linotype" w:hAnsi="Palatino Linotype" w:cs="Palatino Linotype"/>
          <w:b/>
        </w:rPr>
        <w:t>veintiséis de abril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rsidR="00DE1D99" w:rsidRDefault="00A7007F">
      <w:pPr>
        <w:spacing w:before="240" w:after="240"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rsidR="00DE1D99" w:rsidRDefault="00A7007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información que me proporcionan no corresponde a lo solicitado </w:t>
      </w:r>
      <w:r>
        <w:rPr>
          <w:rFonts w:ascii="Palatino Linotype" w:eastAsia="Palatino Linotype" w:hAnsi="Palatino Linotype" w:cs="Palatino Linotype"/>
          <w:b/>
          <w:i/>
          <w:sz w:val="22"/>
          <w:szCs w:val="22"/>
        </w:rPr>
        <w:t>En ninguno de los documentos se aprecia el Programa Municipal de Protección de Datos</w:t>
      </w:r>
      <w:r>
        <w:rPr>
          <w:rFonts w:ascii="Palatino Linotype" w:eastAsia="Palatino Linotype" w:hAnsi="Palatino Linotype" w:cs="Palatino Linotype"/>
          <w:i/>
          <w:sz w:val="22"/>
          <w:szCs w:val="22"/>
        </w:rPr>
        <w:t>.” (Sic) (Énfasis añadido)</w:t>
      </w:r>
    </w:p>
    <w:p w:rsidR="00DE1D99" w:rsidRDefault="00A7007F">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rPr>
        <w:lastRenderedPageBreak/>
        <w:t>b) Razones o motivos de inconformidad</w:t>
      </w:r>
      <w:r>
        <w:rPr>
          <w:rFonts w:ascii="Palatino Linotype" w:eastAsia="Palatino Linotype" w:hAnsi="Palatino Linotype" w:cs="Palatino Linotype"/>
        </w:rPr>
        <w:t>: No expresó manifestaciones en este rubro.</w:t>
      </w:r>
    </w:p>
    <w:p w:rsidR="00DE1D99" w:rsidRDefault="00A7007F">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DE1D99" w:rsidRDefault="00A7007F">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Pr>
          <w:rFonts w:ascii="Palatino Linotype" w:eastAsia="Palatino Linotype" w:hAnsi="Palatino Linotype" w:cs="Palatino Linotype"/>
          <w:b/>
        </w:rPr>
        <w:t xml:space="preserve"> veintinueve de abril de dos mil veintidós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rsidR="00DE1D99" w:rsidRDefault="00A7007F">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el </w:t>
      </w:r>
      <w:r>
        <w:rPr>
          <w:rFonts w:ascii="Palatino Linotype" w:eastAsia="Palatino Linotype" w:hAnsi="Palatino Linotype" w:cs="Palatino Linotype"/>
          <w:b/>
        </w:rPr>
        <w:t>cinco de mayo del dos mil veintidós</w:t>
      </w:r>
      <w:r>
        <w:rPr>
          <w:rFonts w:ascii="Palatino Linotype" w:eastAsia="Palatino Linotype" w:hAnsi="Palatino Linotype" w:cs="Palatino Linotype"/>
        </w:rPr>
        <w:t>, mediante el archivo electrónico siguiente:</w:t>
      </w:r>
    </w:p>
    <w:p w:rsidR="00DE1D99" w:rsidRDefault="00A7007F">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 xml:space="preserve">“RR 06694-2022.pdf”: </w:t>
      </w:r>
      <w:r>
        <w:rPr>
          <w:rFonts w:ascii="Palatino Linotype" w:eastAsia="Palatino Linotype" w:hAnsi="Palatino Linotype" w:cs="Palatino Linotype"/>
        </w:rPr>
        <w:t xml:space="preserve">Documento que consta de una foja, signado por la Titular de la Unidad de Transparencia y el Secretario Técnico de Gabinete, mediante el cual refieren que esta Unidad </w:t>
      </w:r>
      <w:r w:rsidRPr="00B03139">
        <w:rPr>
          <w:rFonts w:ascii="Palatino Linotype" w:eastAsia="Palatino Linotype" w:hAnsi="Palatino Linotype" w:cs="Palatino Linotype"/>
          <w:b/>
          <w:u w:val="single"/>
        </w:rPr>
        <w:t>no cuenta con un Programa de Protección de Datos Personale</w:t>
      </w:r>
      <w:r>
        <w:rPr>
          <w:rFonts w:ascii="Palatino Linotype" w:eastAsia="Palatino Linotype" w:hAnsi="Palatino Linotype" w:cs="Palatino Linotype"/>
        </w:rPr>
        <w:t xml:space="preserve">s, se trabaja conforme a lo dispuesto en la Ley de Protección de Datos Personales en Posesión de los Sujetos Obligados del Estado de México y Municipios. </w:t>
      </w:r>
    </w:p>
    <w:p w:rsidR="00DE1D99" w:rsidRDefault="00A7007F">
      <w:pPr>
        <w:widowControl w:val="0"/>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023330" cy="4946180"/>
            <wp:effectExtent l="0" t="0" r="0" b="0"/>
            <wp:docPr id="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023330" cy="4946180"/>
                    </a:xfrm>
                    <a:prstGeom prst="rect">
                      <a:avLst/>
                    </a:prstGeom>
                    <a:ln/>
                  </pic:spPr>
                </pic:pic>
              </a:graphicData>
            </a:graphic>
          </wp:inline>
        </w:drawing>
      </w:r>
    </w:p>
    <w:p w:rsidR="00DE1D99" w:rsidRDefault="00A7007F">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Dichos documentos se pusieron a la vista de la particular en fecha </w:t>
      </w:r>
      <w:r>
        <w:rPr>
          <w:rFonts w:ascii="Palatino Linotype" w:eastAsia="Palatino Linotype" w:hAnsi="Palatino Linotype" w:cs="Palatino Linotype"/>
          <w:b/>
        </w:rPr>
        <w:t>veinticinco de agosto de dos mil veintidós</w:t>
      </w:r>
      <w:r>
        <w:rPr>
          <w:rFonts w:ascii="Palatino Linotype" w:eastAsia="Palatino Linotype" w:hAnsi="Palatino Linotype" w:cs="Palatino Linotype"/>
        </w:rPr>
        <w:t xml:space="preserve">, mediante acuerdo emitido por la Comisionada Ponente, asimismo cabe señalar que </w:t>
      </w:r>
      <w:r>
        <w:rPr>
          <w:rFonts w:ascii="Palatino Linotype" w:eastAsia="Palatino Linotype" w:hAnsi="Palatino Linotype" w:cs="Palatino Linotype"/>
          <w:b/>
        </w:rPr>
        <w:t xml:space="preserve">la </w:t>
      </w:r>
      <w:r w:rsidR="00B03139">
        <w:rPr>
          <w:rFonts w:ascii="Palatino Linotype" w:eastAsia="Palatino Linotype" w:hAnsi="Palatino Linotype" w:cs="Palatino Linotype"/>
          <w:b/>
        </w:rPr>
        <w:t xml:space="preserve">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fue omisa en emitir pronunciamientos, ofrecer pruebas o alegatos, por lo que se tiene por precluido su derecho.</w:t>
      </w:r>
    </w:p>
    <w:p w:rsidR="00DE1D99" w:rsidRDefault="00A7007F">
      <w:pPr>
        <w:widowControl w:val="0"/>
        <w:spacing w:before="240" w:after="240"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b/>
          <w:i/>
          <w:noProof/>
          <w:lang w:val="es-MX"/>
        </w:rPr>
        <w:lastRenderedPageBreak/>
        <w:drawing>
          <wp:inline distT="0" distB="0" distL="0" distR="0">
            <wp:extent cx="5581650" cy="3114675"/>
            <wp:effectExtent l="0" t="0" r="0" b="0"/>
            <wp:docPr id="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581650" cy="3114675"/>
                    </a:xfrm>
                    <a:prstGeom prst="rect">
                      <a:avLst/>
                    </a:prstGeom>
                    <a:ln/>
                  </pic:spPr>
                </pic:pic>
              </a:graphicData>
            </a:graphic>
          </wp:inline>
        </w:drawing>
      </w:r>
    </w:p>
    <w:p w:rsidR="00DE1D99" w:rsidRDefault="00A7007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veinticinco de agosto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DE1D99" w:rsidRDefault="00A7007F">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Este organismo garante no pasa por alto justificar, que el plazo </w:t>
      </w:r>
      <w:r>
        <w:rPr>
          <w:rFonts w:ascii="Palatino Linotype" w:eastAsia="Palatino Linotype" w:hAnsi="Palatino Linotype" w:cs="Palatino Linotype"/>
        </w:rPr>
        <w:t>para</w:t>
      </w:r>
      <w:r>
        <w:rPr>
          <w:rFonts w:ascii="Palatino Linotype" w:eastAsia="Palatino Linotype" w:hAnsi="Palatino Linotype" w:cs="Palatino Linotype"/>
          <w:color w:val="000000"/>
        </w:rPr>
        <w:t xml:space="preserve">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DE1D99" w:rsidRDefault="00DE1D99">
      <w:pPr>
        <w:spacing w:line="360" w:lineRule="auto"/>
      </w:pPr>
    </w:p>
    <w:p w:rsidR="00DE1D99" w:rsidRDefault="00A7007F">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DE1D99" w:rsidRDefault="00DE1D99">
      <w:pPr>
        <w:spacing w:line="360" w:lineRule="auto"/>
      </w:pPr>
    </w:p>
    <w:p w:rsidR="00DE1D99" w:rsidRDefault="00A7007F">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DE1D99" w:rsidRDefault="00DE1D99">
      <w:pPr>
        <w:spacing w:line="360" w:lineRule="auto"/>
      </w:pPr>
    </w:p>
    <w:p w:rsidR="00DE1D99" w:rsidRDefault="00A7007F">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DE1D99" w:rsidRDefault="00DE1D99">
      <w:pPr>
        <w:spacing w:line="360" w:lineRule="auto"/>
      </w:pPr>
    </w:p>
    <w:p w:rsidR="00DE1D99" w:rsidRDefault="00A7007F">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Por ello, excepcionalmente, si un asunto es resuelto con posterioridad a los plazos señalados por la norma debe analizarse la razonabilidad del tiempo necesario para su resolución atentos a los siguientes criterios: </w:t>
      </w:r>
    </w:p>
    <w:p w:rsidR="00DE1D99" w:rsidRDefault="00DE1D99">
      <w:pPr>
        <w:spacing w:line="360" w:lineRule="auto"/>
      </w:pPr>
    </w:p>
    <w:p w:rsidR="00DE1D99" w:rsidRDefault="00A7007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Complejidad del Asunto: La complejidad de la prueba, la pluralidad de sujetos procesales, el tiempo transcurrido, las características y contexto del recurso. </w:t>
      </w:r>
    </w:p>
    <w:p w:rsidR="00DE1D99" w:rsidRDefault="00DE1D99">
      <w:pPr>
        <w:spacing w:line="360" w:lineRule="auto"/>
      </w:pPr>
    </w:p>
    <w:p w:rsidR="00DE1D99" w:rsidRDefault="00A7007F">
      <w:pPr>
        <w:numPr>
          <w:ilvl w:val="0"/>
          <w:numId w:val="4"/>
        </w:numPr>
        <w:pBdr>
          <w:top w:val="nil"/>
          <w:left w:val="nil"/>
          <w:bottom w:val="nil"/>
          <w:right w:val="nil"/>
          <w:between w:val="nil"/>
        </w:pBdr>
        <w:spacing w:line="360" w:lineRule="auto"/>
        <w:ind w:left="92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Actividad Procesal del interesado. Acciones u omisiones del interesado.</w:t>
      </w:r>
    </w:p>
    <w:p w:rsidR="00DE1D99" w:rsidRDefault="00DE1D99">
      <w:pPr>
        <w:spacing w:line="360" w:lineRule="auto"/>
      </w:pPr>
    </w:p>
    <w:p w:rsidR="00DE1D99" w:rsidRDefault="00A7007F">
      <w:pPr>
        <w:numPr>
          <w:ilvl w:val="0"/>
          <w:numId w:val="1"/>
        </w:numPr>
        <w:pBdr>
          <w:top w:val="nil"/>
          <w:left w:val="nil"/>
          <w:bottom w:val="nil"/>
          <w:right w:val="nil"/>
          <w:between w:val="nil"/>
        </w:pBdr>
        <w:spacing w:line="360" w:lineRule="auto"/>
        <w:ind w:left="92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rsidR="00DE1D99" w:rsidRDefault="00DE1D99">
      <w:pPr>
        <w:spacing w:line="360" w:lineRule="auto"/>
      </w:pPr>
    </w:p>
    <w:p w:rsidR="00DE1D99" w:rsidRDefault="00A7007F">
      <w:pPr>
        <w:pBdr>
          <w:top w:val="nil"/>
          <w:left w:val="nil"/>
          <w:bottom w:val="nil"/>
          <w:right w:val="nil"/>
          <w:between w:val="nil"/>
        </w:pBdr>
        <w:spacing w:line="360" w:lineRule="auto"/>
        <w:ind w:left="567"/>
        <w:jc w:val="both"/>
        <w:rPr>
          <w:color w:val="000000"/>
        </w:rPr>
      </w:pPr>
      <w:r>
        <w:rPr>
          <w:rFonts w:ascii="Palatino Linotype" w:eastAsia="Palatino Linotype" w:hAnsi="Palatino Linotype" w:cs="Palatino Linotype"/>
          <w:color w:val="000000"/>
        </w:rPr>
        <w:t>d) La afectación generada en la situación jurídica de la persona involucrada en el proceso: Violación a sus derechos humanos.</w:t>
      </w:r>
    </w:p>
    <w:p w:rsidR="00DE1D99" w:rsidRDefault="00DE1D99">
      <w:pPr>
        <w:spacing w:line="360" w:lineRule="auto"/>
      </w:pPr>
    </w:p>
    <w:p w:rsidR="00DE1D99" w:rsidRDefault="00A7007F">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DE1D99" w:rsidRDefault="00DE1D99">
      <w:pPr>
        <w:spacing w:line="360" w:lineRule="auto"/>
      </w:pPr>
    </w:p>
    <w:p w:rsidR="00DE1D99" w:rsidRDefault="00A7007F">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color w:val="000000"/>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color w:val="000000"/>
        </w:rPr>
        <w:t>, visible en la Gaceta del Seminario Judicial de la Federación con el registro digital 205635.</w:t>
      </w:r>
    </w:p>
    <w:p w:rsidR="00DE1D99" w:rsidRDefault="00DE1D99">
      <w:pPr>
        <w:spacing w:line="360" w:lineRule="auto"/>
      </w:pPr>
    </w:p>
    <w:p w:rsidR="00DE1D99" w:rsidRDefault="00A7007F">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DE1D99" w:rsidRDefault="00DE1D99">
      <w:pPr>
        <w:spacing w:line="360" w:lineRule="auto"/>
      </w:pPr>
    </w:p>
    <w:p w:rsidR="00DE1D99" w:rsidRDefault="00A7007F">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rsidR="00DE1D99" w:rsidRDefault="00DE1D99">
      <w:pPr>
        <w:spacing w:line="360" w:lineRule="auto"/>
      </w:pPr>
    </w:p>
    <w:p w:rsidR="00DE1D99" w:rsidRDefault="00A7007F">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w:t>
      </w:r>
      <w:r>
        <w:rPr>
          <w:rFonts w:ascii="Palatino Linotype" w:eastAsia="Palatino Linotype" w:hAnsi="Palatino Linotype" w:cs="Palatino Linotype"/>
          <w:i/>
          <w:color w:val="000000"/>
        </w:rPr>
        <w:t>“PLAZO RAZONABLE PARA RESOLVER. DIMENSIÓN Y EFECTOS DE ESTE CONCEPTO CUANDO SE ADUCE EXCESIVA CARGA DE TRABAJO.”</w:t>
      </w:r>
      <w:r>
        <w:rPr>
          <w:rFonts w:ascii="Palatino Linotype" w:eastAsia="Palatino Linotype" w:hAnsi="Palatino Linotype" w:cs="Palatino Linotype"/>
          <w:color w:val="000000"/>
        </w:rPr>
        <w:t xml:space="preserve"> consultable en el Seminario Judicial de la Federación y su gaceta, con el registro digital 2002351.</w:t>
      </w:r>
    </w:p>
    <w:p w:rsidR="00DE1D99" w:rsidRDefault="00DE1D99">
      <w:pPr>
        <w:spacing w:line="360" w:lineRule="auto"/>
      </w:pPr>
    </w:p>
    <w:p w:rsidR="00DE1D99" w:rsidRDefault="00A7007F">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i/>
          <w:color w:val="000000"/>
        </w:rPr>
        <w:t>“PLAZO RAZONABLE PARA RESOLVER. CONCEPTO Y ELEMENTOS QUE LO INTEGRAN A LA LUZ DEL DERECHO INTERNACIONAL DE LOS DERECHOS HUMANOS.”</w:t>
      </w:r>
      <w:r>
        <w:rPr>
          <w:rFonts w:ascii="Palatino Linotype" w:eastAsia="Palatino Linotype" w:hAnsi="Palatino Linotype" w:cs="Palatino Linotype"/>
          <w:color w:val="000000"/>
        </w:rPr>
        <w:t>, visible en el Seminario Judicial de la Federación y su gaceta, con el registro digital 2002350.</w:t>
      </w:r>
    </w:p>
    <w:p w:rsidR="00DE1D99" w:rsidRDefault="00DE1D99">
      <w:pPr>
        <w:spacing w:line="360" w:lineRule="auto"/>
      </w:pPr>
    </w:p>
    <w:p w:rsidR="00DE1D99" w:rsidRDefault="00A7007F">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lastRenderedPageBreak/>
        <w:t>Por ello, este organismo garante comprometido con la tutela de los derechos humanos confiados, señala que este exceso del plazo legal para resolver el presente asunto, resulta de carácter excepcional.</w:t>
      </w:r>
    </w:p>
    <w:p w:rsidR="00DE1D99" w:rsidRDefault="00A7007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w:t>
      </w:r>
      <w:r w:rsidRPr="00A10D9E">
        <w:rPr>
          <w:rFonts w:ascii="Palatino Linotype" w:eastAsia="Palatino Linotype" w:hAnsi="Palatino Linotype" w:cs="Palatino Linotype"/>
          <w:color w:val="000000" w:themeColor="text1"/>
        </w:rPr>
        <w:t xml:space="preserve">día </w:t>
      </w:r>
      <w:r w:rsidRPr="00A10D9E">
        <w:rPr>
          <w:rFonts w:ascii="Palatino Linotype" w:eastAsia="Palatino Linotype" w:hAnsi="Palatino Linotype" w:cs="Palatino Linotype"/>
          <w:b/>
          <w:color w:val="000000" w:themeColor="text1"/>
        </w:rPr>
        <w:t xml:space="preserve">uno de septiembre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w:t>
      </w:r>
    </w:p>
    <w:p w:rsidR="00DE1D99" w:rsidRDefault="00A7007F">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razón de que fue debidamente sustanciado el expediente electrónico y no existe diligencia pendiente de desahogo, se emite la Resolución que conforme a Derecho proceda, de acuerdo con los siguientes: </w:t>
      </w:r>
    </w:p>
    <w:p w:rsidR="00DE1D99" w:rsidRDefault="00A7007F">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rsidR="00DE1D99" w:rsidRDefault="00A7007F">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w:t>
      </w:r>
      <w:r>
        <w:rPr>
          <w:rFonts w:ascii="Palatino Linotype" w:eastAsia="Palatino Linotype" w:hAnsi="Palatino Linotype" w:cs="Palatino Linotype"/>
          <w:highlight w:val="white"/>
        </w:rPr>
        <w:lastRenderedPageBreak/>
        <w:t>del Instituto de Transparencia, Acceso a la Información Pública y Protección de Datos Personales del Estado de México y Municipios.</w:t>
      </w:r>
    </w:p>
    <w:p w:rsidR="00DE1D99" w:rsidRDefault="00A7007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Pr>
          <w:rFonts w:ascii="Palatino Linotype" w:eastAsia="Palatino Linotype" w:hAnsi="Palatino Linotype" w:cs="Palatino Linotype"/>
          <w:b/>
        </w:rPr>
        <w:t>veintiséis de abril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presentó su recurso de revisión el </w:t>
      </w:r>
      <w:r>
        <w:rPr>
          <w:rFonts w:ascii="Palatino Linotype" w:eastAsia="Palatino Linotype" w:hAnsi="Palatino Linotype" w:cs="Palatino Linotype"/>
          <w:b/>
        </w:rPr>
        <w:t>veintiséis de abril de dos mil veintidós</w:t>
      </w:r>
      <w:r>
        <w:rPr>
          <w:rFonts w:ascii="Palatino Linotype" w:eastAsia="Palatino Linotype" w:hAnsi="Palatino Linotype" w:cs="Palatino Linotype"/>
        </w:rPr>
        <w:t>, esto es el mismo día hábil en el que tuvo conocimiento de la respuesta; circunstancia que no es determinante para declararlo extemporáneo, toda vez que el tiempo concedido es para delimitar el término en que puede impugnarse la respuesta, lo cual no impide que se presente antes de iniciado el plazo previsto.</w:t>
      </w:r>
    </w:p>
    <w:p w:rsidR="00DE1D99" w:rsidRDefault="00A7007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w:t>
      </w:r>
      <w:r>
        <w:rPr>
          <w:rFonts w:ascii="Palatino Linotype" w:eastAsia="Palatino Linotype" w:hAnsi="Palatino Linotype" w:cs="Palatino Linotype"/>
        </w:rPr>
        <w:lastRenderedPageBreak/>
        <w:t>19, Junio de 2015, Tomo I, página 569 de la Décima época que lleva por rubro y texto los siguientes:</w:t>
      </w:r>
    </w:p>
    <w:p w:rsidR="00DE1D99" w:rsidRDefault="00A7007F">
      <w:pPr>
        <w:spacing w:before="240" w:after="240" w:line="276"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i/>
        </w:rPr>
        <w:t>“RECURSO DE RECLAMACIÓN. SU INTERPOSICIÓN NO ES EXTEMPORÁNEA SI SE REALIZA ANTES DE QUE INICIE EL PLAZO PARA HACERLO</w:t>
      </w:r>
      <w:r>
        <w:rPr>
          <w:rFonts w:ascii="Palatino Linotype" w:eastAsia="Palatino Linotype" w:hAnsi="Palatino Linotype" w:cs="Palatino Linotype"/>
          <w:i/>
        </w:rPr>
        <w:t>.</w:t>
      </w:r>
    </w:p>
    <w:p w:rsidR="00DE1D99" w:rsidRDefault="00A7007F">
      <w:pPr>
        <w:spacing w:before="240" w:after="240" w:line="276"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DE1D99" w:rsidRDefault="00A7007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por cuanto hace a la procedibilidad de</w:t>
      </w:r>
      <w:r>
        <w:rPr>
          <w:rFonts w:ascii="Palatino Linotype" w:eastAsia="Palatino Linotype" w:hAnsi="Palatino Linotype" w:cs="Palatino Linotype"/>
        </w:rPr>
        <w:t xml:space="preserve">l </w:t>
      </w:r>
      <w:r>
        <w:rPr>
          <w:rFonts w:ascii="Palatino Linotype" w:eastAsia="Palatino Linotype" w:hAnsi="Palatino Linotype" w:cs="Palatino Linotype"/>
          <w:color w:val="000000"/>
        </w:rPr>
        <w:t xml:space="preserve"> recurso de </w:t>
      </w:r>
      <w:r>
        <w:rPr>
          <w:rFonts w:ascii="Palatino Linotype" w:eastAsia="Palatino Linotype" w:hAnsi="Palatino Linotype" w:cs="Palatino Linotype"/>
        </w:rPr>
        <w:t>revisión</w:t>
      </w:r>
      <w:r>
        <w:rPr>
          <w:rFonts w:ascii="Palatino Linotype" w:eastAsia="Palatino Linotype" w:hAnsi="Palatino Linotype" w:cs="Palatino Linotype"/>
          <w:color w:val="000000"/>
        </w:rPr>
        <w:t xml:space="preserve">,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identificado toda vez que se identificó como “Nolet”,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DE1D99" w:rsidRDefault="00A7007F">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DE1D99" w:rsidRDefault="00DE1D99">
      <w:pPr>
        <w:spacing w:before="240" w:after="240" w:line="360" w:lineRule="auto"/>
        <w:ind w:right="-93"/>
        <w:jc w:val="both"/>
        <w:rPr>
          <w:rFonts w:ascii="Palatino Linotype" w:eastAsia="Palatino Linotype" w:hAnsi="Palatino Linotype" w:cs="Palatino Linotype"/>
          <w:color w:val="000000"/>
        </w:rPr>
      </w:pPr>
    </w:p>
    <w:p w:rsidR="00DE1D99" w:rsidRDefault="00A7007F">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DE1D99" w:rsidRDefault="00A7007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la</w:t>
      </w:r>
      <w:r w:rsidR="00B03139">
        <w:rPr>
          <w:rFonts w:ascii="Palatino Linotype" w:eastAsia="Palatino Linotype" w:hAnsi="Palatino Linotype" w:cs="Palatino Linotype"/>
          <w:b/>
          <w:color w:val="000000"/>
        </w:rPr>
        <w:t xml:space="preserve"> parte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VI del ordenamiento legal citado, que a la letra dice: </w:t>
      </w:r>
    </w:p>
    <w:p w:rsidR="00DE1D99" w:rsidRDefault="00A7007F">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rsidR="00DE1D99" w:rsidRDefault="00A7007F">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DE1D99" w:rsidRDefault="00A7007F">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 La entrega de información que no corresponda con lo solicitado;</w:t>
      </w:r>
    </w:p>
    <w:p w:rsidR="00DE1D99" w:rsidRDefault="00A7007F">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 ” </w:t>
      </w:r>
    </w:p>
    <w:p w:rsidR="00DE1D99" w:rsidRDefault="00A7007F">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rsidR="009F4767" w:rsidRPr="00413235" w:rsidRDefault="009F4767" w:rsidP="009F4767">
      <w:pPr>
        <w:spacing w:before="240" w:after="240" w:line="360" w:lineRule="auto"/>
        <w:jc w:val="both"/>
        <w:rPr>
          <w:rFonts w:ascii="Palatino Linotype" w:hAnsi="Palatino Linotype"/>
          <w:szCs w:val="28"/>
          <w:lang w:eastAsia="es-ES"/>
        </w:rPr>
      </w:pPr>
      <w:r w:rsidRPr="00413235">
        <w:rPr>
          <w:rFonts w:ascii="Palatino Linotype" w:hAnsi="Palatino Linotype" w:cs="Arial"/>
          <w:b/>
          <w:lang w:eastAsia="es-ES"/>
        </w:rPr>
        <w:t xml:space="preserve">Tercero. </w:t>
      </w:r>
      <w:r w:rsidRPr="00413235">
        <w:rPr>
          <w:rFonts w:ascii="Palatino Linotype" w:hAnsi="Palatino Linotype"/>
          <w:b/>
          <w:szCs w:val="28"/>
          <w:lang w:eastAsia="es-ES"/>
        </w:rPr>
        <w:t xml:space="preserve">Análisis de las causas de sobreseimiento del recurso de revisión. </w:t>
      </w:r>
      <w:r w:rsidRPr="00413235">
        <w:rPr>
          <w:rFonts w:ascii="Palatino Linotype" w:hAnsi="Palatino Linotype"/>
          <w:szCs w:val="28"/>
          <w:lang w:eastAsia="es-ES"/>
        </w:rPr>
        <w:t>En primera instancia, debe apuntarse que del análisis al recurso de revisión que ahora se resuelve, se tiene que se actualiza la causal de sobreseimiento del recurso de revisión establecido en la fracción III del artículo 192</w:t>
      </w:r>
      <w:r w:rsidRPr="00413235">
        <w:rPr>
          <w:rFonts w:ascii="Palatino Linotype" w:hAnsi="Palatino Linotype"/>
          <w:szCs w:val="28"/>
          <w:vertAlign w:val="superscript"/>
          <w:lang w:eastAsia="es-ES"/>
        </w:rPr>
        <w:footnoteReference w:id="1"/>
      </w:r>
      <w:r w:rsidRPr="00413235">
        <w:rPr>
          <w:rFonts w:ascii="Palatino Linotype" w:hAnsi="Palatino Linotype"/>
          <w:szCs w:val="28"/>
          <w:lang w:eastAsia="es-ES"/>
        </w:rPr>
        <w:t xml:space="preserve"> en relación con el diverso 186 </w:t>
      </w:r>
      <w:r w:rsidRPr="00413235">
        <w:rPr>
          <w:rFonts w:ascii="Palatino Linotype" w:hAnsi="Palatino Linotype"/>
          <w:szCs w:val="28"/>
          <w:lang w:eastAsia="es-ES"/>
        </w:rPr>
        <w:lastRenderedPageBreak/>
        <w:t>fracción I</w:t>
      </w:r>
      <w:r w:rsidRPr="00413235">
        <w:rPr>
          <w:rFonts w:ascii="Palatino Linotype" w:hAnsi="Palatino Linotype"/>
          <w:szCs w:val="28"/>
          <w:vertAlign w:val="superscript"/>
          <w:lang w:eastAsia="es-ES"/>
        </w:rPr>
        <w:footnoteReference w:id="2"/>
      </w:r>
      <w:r w:rsidRPr="00413235">
        <w:rPr>
          <w:rFonts w:ascii="Palatino Linotype" w:hAnsi="Palatino Linotype"/>
          <w:szCs w:val="28"/>
          <w:lang w:eastAsia="es-ES"/>
        </w:rPr>
        <w:t xml:space="preserve">, ambos de la Ley de Transparencia y Acceso a la Información Pública del Estado de México y Municipios, derivado del contenido del informe justificado rendido por el </w:t>
      </w:r>
      <w:r w:rsidRPr="00413235">
        <w:rPr>
          <w:rFonts w:ascii="Palatino Linotype" w:hAnsi="Palatino Linotype"/>
          <w:b/>
          <w:szCs w:val="28"/>
          <w:lang w:eastAsia="es-ES"/>
        </w:rPr>
        <w:t>Sujeto Obligado.</w:t>
      </w:r>
      <w:r w:rsidRPr="00413235">
        <w:rPr>
          <w:rFonts w:ascii="Palatino Linotype" w:hAnsi="Palatino Linotype"/>
          <w:noProof/>
        </w:rPr>
        <w:t xml:space="preserve"> </w:t>
      </w:r>
    </w:p>
    <w:p w:rsidR="00DE1D99" w:rsidRPr="00413235" w:rsidRDefault="00A7007F">
      <w:pPr>
        <w:spacing w:before="240" w:after="240" w:line="360" w:lineRule="auto"/>
        <w:jc w:val="both"/>
        <w:rPr>
          <w:rFonts w:ascii="Palatino Linotype" w:eastAsia="Palatino Linotype" w:hAnsi="Palatino Linotype" w:cs="Palatino Linotype"/>
        </w:rPr>
      </w:pPr>
      <w:r w:rsidRPr="00413235">
        <w:rPr>
          <w:rFonts w:ascii="Palatino Linotype" w:eastAsia="Palatino Linotype" w:hAnsi="Palatino Linotype" w:cs="Palatino Linotype"/>
        </w:rPr>
        <w:t xml:space="preserve">Ahora bien, para profundizar en el estudio del presente asunto, es conveniente recordar que la parte solicitante requirió al </w:t>
      </w:r>
      <w:r w:rsidRPr="00413235">
        <w:rPr>
          <w:rFonts w:ascii="Palatino Linotype" w:eastAsia="Palatino Linotype" w:hAnsi="Palatino Linotype" w:cs="Palatino Linotype"/>
          <w:b/>
        </w:rPr>
        <w:t>Sujeto Obligado</w:t>
      </w:r>
      <w:r w:rsidRPr="00413235">
        <w:rPr>
          <w:rFonts w:ascii="Palatino Linotype" w:eastAsia="Palatino Linotype" w:hAnsi="Palatino Linotype" w:cs="Palatino Linotype"/>
        </w:rPr>
        <w:t>, le proporcionara lo siguiente:</w:t>
      </w:r>
    </w:p>
    <w:p w:rsidR="00DE1D99" w:rsidRPr="00413235" w:rsidRDefault="00A7007F" w:rsidP="00A960BC">
      <w:pPr>
        <w:pStyle w:val="Prrafodelista"/>
        <w:numPr>
          <w:ilvl w:val="0"/>
          <w:numId w:val="6"/>
        </w:numPr>
        <w:pBdr>
          <w:top w:val="nil"/>
          <w:left w:val="nil"/>
          <w:bottom w:val="nil"/>
          <w:right w:val="nil"/>
          <w:between w:val="nil"/>
        </w:pBdr>
        <w:tabs>
          <w:tab w:val="left" w:pos="7513"/>
        </w:tabs>
        <w:spacing w:before="240" w:after="240" w:line="360" w:lineRule="auto"/>
        <w:ind w:right="49"/>
        <w:jc w:val="both"/>
        <w:rPr>
          <w:rFonts w:ascii="Palatino Linotype" w:eastAsia="Palatino Linotype" w:hAnsi="Palatino Linotype" w:cs="Palatino Linotype"/>
          <w:color w:val="000000"/>
        </w:rPr>
      </w:pPr>
      <w:r w:rsidRPr="00413235">
        <w:rPr>
          <w:rFonts w:ascii="Palatino Linotype" w:eastAsia="Palatino Linotype" w:hAnsi="Palatino Linotype" w:cs="Palatino Linotype"/>
          <w:color w:val="000000"/>
        </w:rPr>
        <w:t>Programa de Protección de Datos Personales.</w:t>
      </w:r>
    </w:p>
    <w:p w:rsidR="00DE1D99" w:rsidRPr="00413235" w:rsidRDefault="00A7007F">
      <w:pPr>
        <w:tabs>
          <w:tab w:val="left" w:pos="7513"/>
        </w:tabs>
        <w:spacing w:before="240" w:after="240" w:line="360" w:lineRule="auto"/>
        <w:ind w:right="49"/>
        <w:jc w:val="both"/>
        <w:rPr>
          <w:rFonts w:ascii="Palatino Linotype" w:eastAsia="Palatino Linotype" w:hAnsi="Palatino Linotype" w:cs="Palatino Linotype"/>
        </w:rPr>
      </w:pPr>
      <w:r w:rsidRPr="00413235">
        <w:rPr>
          <w:rFonts w:ascii="Palatino Linotype" w:eastAsia="Palatino Linotype" w:hAnsi="Palatino Linotype" w:cs="Palatino Linotype"/>
        </w:rPr>
        <w:t xml:space="preserve">Al respecto, el </w:t>
      </w:r>
      <w:r w:rsidRPr="00413235">
        <w:rPr>
          <w:rFonts w:ascii="Palatino Linotype" w:eastAsia="Palatino Linotype" w:hAnsi="Palatino Linotype" w:cs="Palatino Linotype"/>
          <w:b/>
        </w:rPr>
        <w:t>Sujeto Obligado</w:t>
      </w:r>
      <w:r w:rsidRPr="00413235">
        <w:rPr>
          <w:rFonts w:ascii="Palatino Linotype" w:eastAsia="Palatino Linotype" w:hAnsi="Palatino Linotype" w:cs="Palatino Linotype"/>
        </w:rPr>
        <w:t xml:space="preserve"> remitió los siguientes archivos electrónicos: </w:t>
      </w:r>
    </w:p>
    <w:p w:rsidR="00DE1D99" w:rsidRPr="00413235" w:rsidRDefault="00A7007F">
      <w:pPr>
        <w:tabs>
          <w:tab w:val="left" w:pos="7513"/>
        </w:tabs>
        <w:spacing w:before="240" w:after="240" w:line="360" w:lineRule="auto"/>
        <w:ind w:left="567" w:right="851"/>
        <w:jc w:val="both"/>
        <w:rPr>
          <w:rFonts w:ascii="Palatino Linotype" w:eastAsia="Palatino Linotype" w:hAnsi="Palatino Linotype" w:cs="Palatino Linotype"/>
          <w:color w:val="000000"/>
        </w:rPr>
      </w:pPr>
      <w:r w:rsidRPr="00413235">
        <w:rPr>
          <w:rFonts w:ascii="Palatino Linotype" w:eastAsia="Palatino Linotype" w:hAnsi="Palatino Linotype" w:cs="Palatino Linotype"/>
          <w:b/>
          <w:i/>
        </w:rPr>
        <w:t xml:space="preserve">“468-3Programa Estatal y Municipal de Proteccion de Datos Personales..pdf”: </w:t>
      </w:r>
      <w:r w:rsidRPr="00413235">
        <w:rPr>
          <w:rFonts w:ascii="Palatino Linotype" w:eastAsia="Palatino Linotype" w:hAnsi="Palatino Linotype" w:cs="Palatino Linotype"/>
        </w:rPr>
        <w:t>Consiste en el Programa Estatal y Municipal de Protección de Datos Municipales, publicado en el Periódico Oficial “Gaceta de Gobierno” el 31 de mayo de 2018.</w:t>
      </w:r>
    </w:p>
    <w:p w:rsidR="00DE1D99" w:rsidRPr="00413235" w:rsidRDefault="00A7007F">
      <w:pPr>
        <w:spacing w:before="240" w:after="240" w:line="360" w:lineRule="auto"/>
        <w:ind w:left="567" w:right="900"/>
        <w:jc w:val="both"/>
        <w:rPr>
          <w:rFonts w:ascii="Palatino Linotype" w:eastAsia="Palatino Linotype" w:hAnsi="Palatino Linotype" w:cs="Palatino Linotype"/>
        </w:rPr>
      </w:pPr>
      <w:r w:rsidRPr="00413235">
        <w:rPr>
          <w:rFonts w:ascii="Palatino Linotype" w:eastAsia="Palatino Linotype" w:hAnsi="Palatino Linotype" w:cs="Palatino Linotype"/>
          <w:b/>
          <w:i/>
        </w:rPr>
        <w:t xml:space="preserve">“468-Aviso de Privacidad Unidad de Transparencia.pdf”: </w:t>
      </w:r>
      <w:r w:rsidRPr="00413235">
        <w:rPr>
          <w:rFonts w:ascii="Palatino Linotype" w:eastAsia="Palatino Linotype" w:hAnsi="Palatino Linotype" w:cs="Palatino Linotype"/>
        </w:rPr>
        <w:t xml:space="preserve">Aviso de Privacidad Integral para los expedientes y registro de las solicitudes de acceso a la información pública. </w:t>
      </w:r>
    </w:p>
    <w:p w:rsidR="00DE1D99" w:rsidRPr="00413235" w:rsidRDefault="00A7007F">
      <w:pPr>
        <w:spacing w:before="240" w:after="240" w:line="276" w:lineRule="auto"/>
        <w:ind w:left="567" w:right="900"/>
        <w:jc w:val="both"/>
        <w:rPr>
          <w:rFonts w:ascii="Palatino Linotype" w:eastAsia="Palatino Linotype" w:hAnsi="Palatino Linotype" w:cs="Palatino Linotype"/>
        </w:rPr>
      </w:pPr>
      <w:r w:rsidRPr="00413235">
        <w:rPr>
          <w:rFonts w:ascii="Palatino Linotype" w:eastAsia="Palatino Linotype" w:hAnsi="Palatino Linotype" w:cs="Palatino Linotype"/>
          <w:b/>
          <w:i/>
        </w:rPr>
        <w:t xml:space="preserve">“468-2 Ley de Protección de DatosPersonales.pdf”: </w:t>
      </w:r>
      <w:r w:rsidRPr="00413235">
        <w:rPr>
          <w:rFonts w:ascii="Palatino Linotype" w:eastAsia="Palatino Linotype" w:hAnsi="Palatino Linotype" w:cs="Palatino Linotype"/>
        </w:rPr>
        <w:t xml:space="preserve">Ley de Protección de Datos Personales en Posesión de Sujetos Obligados. </w:t>
      </w:r>
    </w:p>
    <w:p w:rsidR="00DE1D99" w:rsidRPr="00413235" w:rsidRDefault="00A7007F">
      <w:pPr>
        <w:spacing w:before="240" w:after="240" w:line="276" w:lineRule="auto"/>
        <w:ind w:left="567" w:right="900"/>
        <w:jc w:val="both"/>
        <w:rPr>
          <w:rFonts w:ascii="Palatino Linotype" w:eastAsia="Palatino Linotype" w:hAnsi="Palatino Linotype" w:cs="Palatino Linotype"/>
        </w:rPr>
      </w:pPr>
      <w:r w:rsidRPr="00413235">
        <w:rPr>
          <w:rFonts w:ascii="Palatino Linotype" w:eastAsia="Palatino Linotype" w:hAnsi="Palatino Linotype" w:cs="Palatino Linotype"/>
          <w:b/>
          <w:i/>
        </w:rPr>
        <w:lastRenderedPageBreak/>
        <w:t xml:space="preserve">“468.pdf”: </w:t>
      </w:r>
      <w:r w:rsidRPr="00413235">
        <w:rPr>
          <w:rFonts w:ascii="Palatino Linotype" w:eastAsia="Palatino Linotype" w:hAnsi="Palatino Linotype" w:cs="Palatino Linotype"/>
        </w:rPr>
        <w:t xml:space="preserve">Oficio signado por la Titular de la Unidad de Transparencia y el Secretario Técnico de Gabinete, mediante el cual remiten la respuesta a la presente solicitud de información. </w:t>
      </w:r>
    </w:p>
    <w:p w:rsidR="00DE1D99" w:rsidRPr="00413235" w:rsidRDefault="00A7007F">
      <w:pPr>
        <w:spacing w:before="240" w:after="240" w:line="360" w:lineRule="auto"/>
        <w:jc w:val="both"/>
        <w:rPr>
          <w:rFonts w:ascii="Palatino Linotype" w:eastAsia="Palatino Linotype" w:hAnsi="Palatino Linotype" w:cs="Palatino Linotype"/>
          <w:i/>
        </w:rPr>
      </w:pPr>
      <w:r w:rsidRPr="00413235">
        <w:rPr>
          <w:rFonts w:ascii="Palatino Linotype" w:eastAsia="Palatino Linotype" w:hAnsi="Palatino Linotype" w:cs="Palatino Linotype"/>
        </w:rPr>
        <w:t xml:space="preserve">Conocida la respuesta a la solicitud de información, el particular, al no estar conforme con los términos de la misma, interpuso el recurso de revisión que nos ocupa, donde señaló como acto impugnado: </w:t>
      </w:r>
      <w:r w:rsidRPr="00413235">
        <w:rPr>
          <w:rFonts w:ascii="Palatino Linotype" w:eastAsia="Palatino Linotype" w:hAnsi="Palatino Linotype" w:cs="Palatino Linotype"/>
          <w:i/>
        </w:rPr>
        <w:t>“</w:t>
      </w:r>
      <w:r w:rsidRPr="00413235">
        <w:rPr>
          <w:rFonts w:ascii="Palatino Linotype" w:eastAsia="Palatino Linotype" w:hAnsi="Palatino Linotype" w:cs="Palatino Linotype"/>
          <w:b/>
          <w:i/>
        </w:rPr>
        <w:t>La información que me proporcionan no corresponde a lo solicitado En ninguno de los documentos se aprecia el Programa Municipal de Protección de Datos</w:t>
      </w:r>
      <w:r w:rsidRPr="00413235">
        <w:rPr>
          <w:rFonts w:ascii="Palatino Linotype" w:eastAsia="Palatino Linotype" w:hAnsi="Palatino Linotype" w:cs="Palatino Linotype"/>
          <w:i/>
        </w:rPr>
        <w:t xml:space="preserve">.” (Sic) (Énfasis añadido) </w:t>
      </w:r>
    </w:p>
    <w:p w:rsidR="00AA1F2D" w:rsidRDefault="00A7007F">
      <w:pPr>
        <w:spacing w:before="240" w:after="240" w:line="360" w:lineRule="auto"/>
        <w:jc w:val="both"/>
        <w:rPr>
          <w:rFonts w:ascii="Palatino Linotype" w:eastAsia="Palatino Linotype" w:hAnsi="Palatino Linotype" w:cs="Palatino Linotype"/>
        </w:rPr>
      </w:pPr>
      <w:r w:rsidRPr="00413235">
        <w:rPr>
          <w:rFonts w:ascii="Palatino Linotype" w:eastAsia="Palatino Linotype" w:hAnsi="Palatino Linotype" w:cs="Palatino Linotype"/>
        </w:rPr>
        <w:t xml:space="preserve">Así las cosas, durante la etapa de manifestaciones, el </w:t>
      </w:r>
      <w:r w:rsidRPr="00413235">
        <w:rPr>
          <w:rFonts w:ascii="Palatino Linotype" w:eastAsia="Palatino Linotype" w:hAnsi="Palatino Linotype" w:cs="Palatino Linotype"/>
          <w:b/>
        </w:rPr>
        <w:t>Sujeto Obligado</w:t>
      </w:r>
      <w:r w:rsidRPr="00413235">
        <w:rPr>
          <w:rFonts w:ascii="Palatino Linotype" w:eastAsia="Palatino Linotype" w:hAnsi="Palatino Linotype" w:cs="Palatino Linotype"/>
        </w:rPr>
        <w:t xml:space="preserve"> rindió su informe justificado, mediante el archivo electrónico </w:t>
      </w:r>
      <w:r w:rsidRPr="00413235">
        <w:rPr>
          <w:rFonts w:ascii="Palatino Linotype" w:eastAsia="Palatino Linotype" w:hAnsi="Palatino Linotype" w:cs="Palatino Linotype"/>
          <w:b/>
          <w:i/>
        </w:rPr>
        <w:t xml:space="preserve">“RR 06694-2022.pdf”, </w:t>
      </w:r>
      <w:r w:rsidRPr="00413235">
        <w:rPr>
          <w:rFonts w:ascii="Palatino Linotype" w:eastAsia="Palatino Linotype" w:hAnsi="Palatino Linotype" w:cs="Palatino Linotype"/>
        </w:rPr>
        <w:t>el cual consiste en un documento de una foja, signado por la Titular de la Unidad de Transparencia y el Secretario Técnico</w:t>
      </w:r>
      <w:r w:rsidR="00C34711" w:rsidRPr="00413235">
        <w:rPr>
          <w:rFonts w:ascii="Palatino Linotype" w:eastAsia="Palatino Linotype" w:hAnsi="Palatino Linotype" w:cs="Palatino Linotype"/>
        </w:rPr>
        <w:t xml:space="preserve"> de Gabinete, mediante el cual  precisa y aclara</w:t>
      </w:r>
      <w:r w:rsidR="00C34711">
        <w:rPr>
          <w:rFonts w:ascii="Palatino Linotype" w:eastAsia="Palatino Linotype" w:hAnsi="Palatino Linotype" w:cs="Palatino Linotype"/>
        </w:rPr>
        <w:t xml:space="preserve"> </w:t>
      </w:r>
      <w:r>
        <w:rPr>
          <w:rFonts w:ascii="Palatino Linotype" w:eastAsia="Palatino Linotype" w:hAnsi="Palatino Linotype" w:cs="Palatino Linotype"/>
        </w:rPr>
        <w:t xml:space="preserve">que esta Unidad no cuenta con un Programa de Protección de Datos Personales, se trabaja conforme a lo dispuesto en la Ley de Protección de Datos Personales en Posesión de los Sujetos Obligados del Estado de México y Municipios. </w:t>
      </w:r>
    </w:p>
    <w:p w:rsidR="00DE1D99" w:rsidRDefault="00A960BC">
      <w:pPr>
        <w:spacing w:before="240" w:after="240" w:line="360" w:lineRule="auto"/>
        <w:jc w:val="both"/>
        <w:rPr>
          <w:rFonts w:ascii="Palatino Linotype" w:eastAsia="Palatino Linotype" w:hAnsi="Palatino Linotype" w:cs="Palatino Linotype"/>
        </w:rPr>
      </w:pPr>
      <w:r w:rsidRPr="00AA1F2D">
        <w:rPr>
          <w:rFonts w:ascii="Palatino Linotype" w:eastAsia="Palatino Linotype" w:hAnsi="Palatino Linotype" w:cs="Palatino Linotype"/>
          <w:color w:val="000000" w:themeColor="text1"/>
        </w:rPr>
        <w:t xml:space="preserve">Por otra parte </w:t>
      </w:r>
      <w:r w:rsidR="00A7007F">
        <w:rPr>
          <w:rFonts w:ascii="Palatino Linotype" w:eastAsia="Palatino Linotype" w:hAnsi="Palatino Linotype" w:cs="Palatino Linotype"/>
        </w:rPr>
        <w:t xml:space="preserve">se tiene que </w:t>
      </w:r>
      <w:r w:rsidR="00A7007F">
        <w:rPr>
          <w:rFonts w:ascii="Palatino Linotype" w:eastAsia="Palatino Linotype" w:hAnsi="Palatino Linotype" w:cs="Palatino Linotype"/>
          <w:b/>
        </w:rPr>
        <w:t>la  Recurrente</w:t>
      </w:r>
      <w:r w:rsidR="00A7007F">
        <w:rPr>
          <w:rFonts w:ascii="Palatino Linotype" w:eastAsia="Palatino Linotype" w:hAnsi="Palatino Linotype" w:cs="Palatino Linotype"/>
        </w:rPr>
        <w:t xml:space="preserve"> no emitió alegatos, manifestaciones o pronunciamiento alguno que a su derecho conviniera, luego entonces, se tiene por precluido su derecho para tal efecto.</w:t>
      </w:r>
    </w:p>
    <w:p w:rsidR="00DE1D99" w:rsidRDefault="00A7007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expuestas las posturas de las partes, a efecto de garantizar el efectivo ejercicio del derecho de acceso a la información pública que asiste al particular, resulta conveniente entrar al estudio de las siguientes consideraciones de hecho y derecho: </w:t>
      </w:r>
    </w:p>
    <w:p w:rsidR="00DE1D99" w:rsidRDefault="00A7007F">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En primera instancia</w:t>
      </w:r>
      <w:r>
        <w:rPr>
          <w:rFonts w:ascii="Palatino Linotype" w:eastAsia="Palatino Linotype" w:hAnsi="Palatino Linotype" w:cs="Palatino Linotype"/>
          <w:color w:val="000000"/>
        </w:rPr>
        <w:t>,</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 xml:space="preserve">conviene mencionar que la servidora pública habilitada que dio atención a la presente solicitud es la Titular de la Unidad de Transparencia, la cual cuenta con las siguientes funciones, de conformidad con el Reglamento Interno de la Administración Pública Municipal de Ecatepec de Morelos, Estado de México: </w:t>
      </w:r>
    </w:p>
    <w:p w:rsidR="00DE1D99" w:rsidRDefault="00A7007F">
      <w:pPr>
        <w:spacing w:before="240"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81. La Unidad de Transparencia tendrá las siguientes funciones:</w:t>
      </w:r>
    </w:p>
    <w:p w:rsidR="00DE1D99" w:rsidRDefault="00A7007F">
      <w:pPr>
        <w:spacing w:before="240"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DE1D99" w:rsidRDefault="00A7007F">
      <w:pPr>
        <w:spacing w:before="240"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Dará trámite a todas las solicitudes que contengan los archivos de las dependencias de carácter municipal, de acuerdo a los formatos preestablecidos por el Instituto de Transparencia, Acceso a la Información Pública y Protección de Datos Personales del Estado de México y Municipios; </w:t>
      </w:r>
    </w:p>
    <w:p w:rsidR="00DE1D99" w:rsidRDefault="00A7007F">
      <w:pPr>
        <w:spacing w:before="240"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Requerirá a los servidores públicos habilitados de cada dependencia y entidad de la administración pública municipal la información para que sea proporcionado a los peticionarios; </w:t>
      </w:r>
    </w:p>
    <w:p w:rsidR="00DE1D99" w:rsidRDefault="00A7007F">
      <w:pPr>
        <w:spacing w:before="240"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Vigilará que los servidores públicos habilitados proporcionen la información requerida al peticionario de conformidad con lo que establece la Ley de Transparencia y Acceso a la Información Pública del Estado de México y Municipios; </w:t>
      </w:r>
    </w:p>
    <w:p w:rsidR="00DE1D99" w:rsidRDefault="00A7007F">
      <w:pPr>
        <w:spacing w:before="240" w:after="240" w:line="276" w:lineRule="auto"/>
        <w:ind w:left="567"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IV. Garantizará la protección de datos personales y de aquellos documentos que se encuentren en reserva;</w:t>
      </w:r>
    </w:p>
    <w:p w:rsidR="00DE1D99" w:rsidRDefault="00A7007F">
      <w:pPr>
        <w:spacing w:before="240" w:after="240" w:line="276" w:lineRule="auto"/>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DE1D99" w:rsidRDefault="00A7007F">
      <w:pPr>
        <w:spacing w:before="240" w:after="240" w:line="276" w:lineRule="auto"/>
        <w:ind w:left="567"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X. Las demás que les confiera la Ley de Transparencia y Acceso a la Información Pública del Estado de México y Municipios, Ley General de Transparencia y Acceso a la Información Pública, Ley Federal de Protección de Datos Personales en Posesión de los Particulares, Ley de Datos Personales del Estado de México, su reglamento y demás relativas y aplicables” </w:t>
      </w:r>
      <w:r>
        <w:rPr>
          <w:rFonts w:ascii="Palatino Linotype" w:eastAsia="Palatino Linotype" w:hAnsi="Palatino Linotype" w:cs="Palatino Linotype"/>
          <w:i/>
          <w:color w:val="000000"/>
          <w:sz w:val="22"/>
          <w:szCs w:val="22"/>
        </w:rPr>
        <w:t>(Sic) (Énfasis añadido)</w:t>
      </w:r>
    </w:p>
    <w:p w:rsidR="00DE1D99" w:rsidRDefault="00A7007F">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lo citado con antelación, se advierte que en el presente asunto se pronunció la servidora pública habilitada, pues es la unidad que se encarga de la protección de datos personales y se encarga de desempeñar las funciones que le otorgue la normatividad en materia de acceso a la información pública, así como en materia de protección de datos personales. </w:t>
      </w:r>
    </w:p>
    <w:p w:rsidR="00DE1D99" w:rsidRDefault="00A7007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esta tesitura, este Instituto procedió a analizar la respuesta vertida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lo cual se obtuvo lo siguiente: </w:t>
      </w:r>
    </w:p>
    <w:p w:rsidR="00DE1D99" w:rsidRDefault="00A7007F">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i/>
        </w:rPr>
        <w:t xml:space="preserve">“468-3Programa Estatal y Municipal de Proteccion de Datos Personales..pdf”: </w:t>
      </w:r>
      <w:r>
        <w:rPr>
          <w:rFonts w:ascii="Palatino Linotype" w:eastAsia="Palatino Linotype" w:hAnsi="Palatino Linotype" w:cs="Palatino Linotype"/>
        </w:rPr>
        <w:t>Consiste en el Programa Estatal y Municipal de Protección de Datos Municipales, publicado en el Periódico Oficial “Gaceta de Gobierno” el 31 de mayo de 2018.</w:t>
      </w:r>
    </w:p>
    <w:p w:rsidR="00DE1D99" w:rsidRDefault="00A7007F">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i/>
        </w:rPr>
        <w:t xml:space="preserve">“468-Aviso de Privacidad Unidad de Transparencia.pdf”: </w:t>
      </w:r>
      <w:r>
        <w:rPr>
          <w:rFonts w:ascii="Palatino Linotype" w:eastAsia="Palatino Linotype" w:hAnsi="Palatino Linotype" w:cs="Palatino Linotype"/>
        </w:rPr>
        <w:t xml:space="preserve">Aviso de Privacidad Integral para los expedientes y registro de las solicitudes de acceso a la información pública. </w:t>
      </w:r>
    </w:p>
    <w:p w:rsidR="00DE1D99" w:rsidRDefault="00A7007F">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i/>
        </w:rPr>
        <w:t xml:space="preserve">“468-2 Ley de Protección de DatosPersonales.pdf”: </w:t>
      </w:r>
      <w:r>
        <w:rPr>
          <w:rFonts w:ascii="Palatino Linotype" w:eastAsia="Palatino Linotype" w:hAnsi="Palatino Linotype" w:cs="Palatino Linotype"/>
        </w:rPr>
        <w:t xml:space="preserve">Ley de Protección de Datos Personales en Posesión de Sujetos Obligados. </w:t>
      </w:r>
    </w:p>
    <w:p w:rsidR="00DE1D99" w:rsidRDefault="00A7007F">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i/>
        </w:rPr>
        <w:t xml:space="preserve">“468.pdf”: </w:t>
      </w:r>
      <w:r>
        <w:rPr>
          <w:rFonts w:ascii="Palatino Linotype" w:eastAsia="Palatino Linotype" w:hAnsi="Palatino Linotype" w:cs="Palatino Linotype"/>
        </w:rPr>
        <w:t xml:space="preserve">Oficio signado por la Titular de la Unidad de Transparencia y el Secretario Técnico de Gabinete, mediante el cual remiten la respuesta a la presente solicitud de información. </w:t>
      </w:r>
    </w:p>
    <w:p w:rsidR="00DE1D99" w:rsidRDefault="00A7007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el presente asunto, reviste interés el archivo denominado </w:t>
      </w:r>
      <w:r>
        <w:rPr>
          <w:rFonts w:ascii="Palatino Linotype" w:eastAsia="Palatino Linotype" w:hAnsi="Palatino Linotype" w:cs="Palatino Linotype"/>
          <w:b/>
          <w:i/>
        </w:rPr>
        <w:t xml:space="preserve">“468-3Programa Estatal y Municipal de Proteccion de Datos Personales..pdf”, </w:t>
      </w:r>
      <w:r>
        <w:rPr>
          <w:rFonts w:ascii="Palatino Linotype" w:eastAsia="Palatino Linotype" w:hAnsi="Palatino Linotype" w:cs="Palatino Linotype"/>
        </w:rPr>
        <w:t xml:space="preserve">el cual consiste en el </w:t>
      </w:r>
      <w:r>
        <w:rPr>
          <w:rFonts w:ascii="Palatino Linotype" w:eastAsia="Palatino Linotype" w:hAnsi="Palatino Linotype" w:cs="Palatino Linotype"/>
        </w:rPr>
        <w:lastRenderedPageBreak/>
        <w:t xml:space="preserve">Programa Estatal y Municipal de Protección de Datos Personales, que fue emitido por este Instituto y posteriormente publicado en fecha 31 de mayo de 2018, en el Periódico Oficial “Gaceta de Gobierno”. </w:t>
      </w:r>
    </w:p>
    <w:p w:rsidR="00DE1D99" w:rsidRDefault="00A7007F">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127142" cy="5319957"/>
            <wp:effectExtent l="0" t="0" r="0" b="0"/>
            <wp:docPr id="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127142" cy="5319957"/>
                    </a:xfrm>
                    <a:prstGeom prst="rect">
                      <a:avLst/>
                    </a:prstGeom>
                    <a:ln/>
                  </pic:spPr>
                </pic:pic>
              </a:graphicData>
            </a:graphic>
          </wp:inline>
        </w:drawing>
      </w:r>
    </w:p>
    <w:p w:rsidR="00DE1D99" w:rsidRDefault="00A7007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Debe entenderse al Programa Estatal y Municipal de Protección de Datos Personales como un instrumento que busca promover, entre la población, el ejercicio y tutela </w:t>
      </w:r>
      <w:r>
        <w:rPr>
          <w:rFonts w:ascii="Palatino Linotype" w:eastAsia="Palatino Linotype" w:hAnsi="Palatino Linotype" w:cs="Palatino Linotype"/>
        </w:rPr>
        <w:lastRenderedPageBreak/>
        <w:t xml:space="preserve">de los derechos ARCO y la portabilidad, así como impulsar el desarrollo de la cultura de protección de los datos personales. Se dirige a los responsables del tratamiento de datos personales de la población de esta entidad, definidos en la Ley de Protección de Datos Personales en Posesión de Sujetos Obligados del Estado de México y Municipios, pues, como política pública rectora en la materia, integra y exhorta a todos los actores sociales para que, desde su ámbito de competencia y actuación, se fortalezca este derecho humano en beneficio de nuestro sistema democrático. </w:t>
      </w:r>
    </w:p>
    <w:p w:rsidR="00DE1D99" w:rsidRDefault="00A7007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Dentro de este Plan, se aprecia que se compone de la siguiente manera: </w:t>
      </w:r>
    </w:p>
    <w:p w:rsidR="00DE1D99" w:rsidRDefault="00A7007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Programa Estatal y Municipal de Protección de Datos Personales (PEMPDP) se ha estructurado con un esquema de política pública, utilizando la metodología de planeación estratégica y atendiendo a las disposiciones del artículo 14 de la Ley de Protección de Datos Personales en Posesión de Sujetos Obligados del Estado de México y Municipios y al propio Pronadatos 2018-2022. </w:t>
      </w:r>
    </w:p>
    <w:p w:rsidR="00DE1D99" w:rsidRDefault="00A7007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PEMPDP consta de un objetivo general, objetivos estratégicos y estrategias generales. Se encuentra organizado en 8 ejes temáticos que, en conjunto, llevan al cumplimiento de los objetivos estratégicos y las estrategias. Dichos ejes temáticos son los siguientes: </w:t>
      </w:r>
    </w:p>
    <w:p w:rsidR="00DE1D99" w:rsidRDefault="00A7007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Educación y cultura de protección de los datos personales de los mexiquenses. </w:t>
      </w:r>
    </w:p>
    <w:p w:rsidR="00DE1D99" w:rsidRDefault="00A7007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Capacitación de los responsables. </w:t>
      </w:r>
    </w:p>
    <w:p w:rsidR="00DE1D99" w:rsidRDefault="00A7007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Certificación de los sujetos obligados. </w:t>
      </w:r>
    </w:p>
    <w:p w:rsidR="00DE1D99" w:rsidRDefault="00A7007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4. Ejercicio de los derechos ARCO y la portabilidad. </w:t>
      </w:r>
    </w:p>
    <w:p w:rsidR="00DE1D99" w:rsidRDefault="00A7007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 Implementación y mantenimiento de los sistemas de gestión de seguridad. </w:t>
      </w:r>
    </w:p>
    <w:p w:rsidR="00DE1D99" w:rsidRDefault="00A7007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6. Estándares en buenas prácticas en materia de protección de los datos personales. 7. Gestión de recursos </w:t>
      </w:r>
    </w:p>
    <w:p w:rsidR="00DE1D99" w:rsidRDefault="00A7007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 Monitoreo, seguimiento y verificación de metas. </w:t>
      </w:r>
    </w:p>
    <w:p w:rsidR="00DE1D99" w:rsidRDefault="00A7007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Cada eje temático consta de un diagnóstico que describe la problemática detectada, un análisis FODA, líneas estratégicas y líneas de acción.”</w:t>
      </w:r>
    </w:p>
    <w:p w:rsidR="00DE1D99" w:rsidRDefault="00A7007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 por lo anterior que del análisis practicado al documento</w:t>
      </w:r>
      <w:r>
        <w:rPr>
          <w:rFonts w:ascii="Palatino Linotype" w:eastAsia="Palatino Linotype" w:hAnsi="Palatino Linotype" w:cs="Palatino Linotype"/>
          <w:b/>
          <w:i/>
        </w:rPr>
        <w:t>“468-3Programa Estatal y Municipal de Proteccion de Datos Personales..pdf”</w:t>
      </w:r>
      <w:r>
        <w:rPr>
          <w:rFonts w:ascii="Palatino Linotype" w:eastAsia="Palatino Linotype" w:hAnsi="Palatino Linotype" w:cs="Palatino Linotype"/>
        </w:rPr>
        <w:t xml:space="preserve">, se advierte que coincide con el requerimiento hecho por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toda vez que la normatividad en materia de datos personales vigente en la entidad, prevé la elaboración de un plan estatal de protección de datos personales</w:t>
      </w:r>
      <w:r w:rsidR="00AA1F2D">
        <w:rPr>
          <w:rFonts w:ascii="Palatino Linotype" w:eastAsia="Palatino Linotype" w:hAnsi="Palatino Linotype" w:cs="Palatino Linotype"/>
        </w:rPr>
        <w:t xml:space="preserve"> a cargo del Instituto</w:t>
      </w:r>
      <w:r>
        <w:rPr>
          <w:rFonts w:ascii="Palatino Linotype" w:eastAsia="Palatino Linotype" w:hAnsi="Palatino Linotype" w:cs="Palatino Linotype"/>
        </w:rPr>
        <w:t xml:space="preserve">. Para robustecer esta argumentación, resulta pertinente traer el artículo 14 de la multicitada legislación: </w:t>
      </w:r>
    </w:p>
    <w:p w:rsidR="00DE1D99" w:rsidRDefault="00A7007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“Del programa Estatal</w:t>
      </w:r>
    </w:p>
    <w:p w:rsidR="00DE1D99" w:rsidRDefault="00A7007F">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14. </w:t>
      </w:r>
      <w:r>
        <w:rPr>
          <w:rFonts w:ascii="Palatino Linotype" w:eastAsia="Palatino Linotype" w:hAnsi="Palatino Linotype" w:cs="Palatino Linotype"/>
          <w:b/>
          <w:i/>
          <w:sz w:val="22"/>
          <w:szCs w:val="22"/>
          <w:u w:val="single"/>
        </w:rPr>
        <w:t>El Instituto será responsable de diseñar, ejecutar y evaluar un Programa Estatal de Protección de Datos Personales</w:t>
      </w:r>
      <w:r>
        <w:rPr>
          <w:rFonts w:ascii="Palatino Linotype" w:eastAsia="Palatino Linotype" w:hAnsi="Palatino Linotype" w:cs="Palatino Linotype"/>
          <w:b/>
          <w:i/>
          <w:sz w:val="22"/>
          <w:szCs w:val="22"/>
        </w:rPr>
        <w:t xml:space="preserve"> que defina la política pública y establezca, como mínimo, objetivos, estrategias, acciones y metas; conforme a las bases siguientes:</w:t>
      </w:r>
    </w:p>
    <w:p w:rsidR="00DE1D99" w:rsidRDefault="00A7007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Hacer del conocimiento general el derecho a la protección de datos personales;</w:t>
      </w:r>
    </w:p>
    <w:p w:rsidR="00DE1D99" w:rsidRDefault="00A7007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Promover la educación y una cultura de protección de datos personales entre la sociedad mexiquense;</w:t>
      </w:r>
    </w:p>
    <w:p w:rsidR="00DE1D99" w:rsidRDefault="00A7007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Fomentar el ejercicio de los derechos de acceso, rectificación, cancelación y oposición;</w:t>
      </w:r>
    </w:p>
    <w:p w:rsidR="00DE1D99" w:rsidRDefault="00A7007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Capacitar a los sujetos obligados en materia de protección de datos personales;</w:t>
      </w:r>
    </w:p>
    <w:p w:rsidR="00DE1D99" w:rsidRDefault="00A7007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Certificar a los sujetos obligados, organizaciones o asociaciones de la sociedad, así como personas en general, que ofrezcan, en forma interdisciplinaria y profesional, la </w:t>
      </w:r>
      <w:r>
        <w:rPr>
          <w:rFonts w:ascii="Palatino Linotype" w:eastAsia="Palatino Linotype" w:hAnsi="Palatino Linotype" w:cs="Palatino Linotype"/>
          <w:i/>
          <w:sz w:val="22"/>
          <w:szCs w:val="22"/>
        </w:rPr>
        <w:lastRenderedPageBreak/>
        <w:t>posibilidad de llevar a cabo cursos o talleres en materia de protección de datos personales;</w:t>
      </w:r>
    </w:p>
    <w:p w:rsidR="00DE1D99" w:rsidRDefault="00A7007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Impulsar la implementación y mantenimiento de un sistema de gestión de seguridad a que se hace referencia en la presente Ley, así como promover la adopción de estándares nacionales e internacionales y buenas prácticas en la materia, y</w:t>
      </w:r>
    </w:p>
    <w:p w:rsidR="00DE1D99" w:rsidRDefault="00A7007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Prever los mecanismos que permitan medir, reportar y verificar las metas establecidas.</w:t>
      </w:r>
    </w:p>
    <w:p w:rsidR="00DE1D99" w:rsidRDefault="00A7007F">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El Programa Estatal, se constituirá como un instrumento rector para la implementación de la política pública en materia de protección de datos personales en el Estado de México; asimismo, deberá determinar y jerarquizar los objetivos y metas que éste debe cumplir, así como definir las líneas de acción estratégicas que resulten necesarias.</w:t>
      </w:r>
    </w:p>
    <w:p w:rsidR="00DE1D99" w:rsidRDefault="00A7007F">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El Programa Estatal, se evaluará objetiva, sistemática y anualmente, con respecto a las metas y los resultados de su ejecución, así como su incidencia en la consecución de la finalidad prevista en esta Ley. Con base en las evaluaciones correspondientes, el programa se modificará y/o adicionará al final de cada ejercicio anual y en la medida en que el Instituto lo estime necesario.” </w:t>
      </w:r>
      <w:r>
        <w:rPr>
          <w:rFonts w:ascii="Palatino Linotype" w:eastAsia="Palatino Linotype" w:hAnsi="Palatino Linotype" w:cs="Palatino Linotype"/>
          <w:i/>
          <w:sz w:val="22"/>
          <w:szCs w:val="22"/>
        </w:rPr>
        <w:t>(Sic) (Énfasis añadido)</w:t>
      </w:r>
    </w:p>
    <w:p w:rsidR="00A10D9E" w:rsidRPr="00413235" w:rsidRDefault="00A10D9E" w:rsidP="00A960BC">
      <w:pPr>
        <w:spacing w:before="240" w:after="240" w:line="360" w:lineRule="auto"/>
        <w:ind w:right="49"/>
        <w:jc w:val="both"/>
        <w:rPr>
          <w:rFonts w:ascii="Palatino Linotype" w:eastAsia="Palatino Linotype" w:hAnsi="Palatino Linotype" w:cs="Palatino Linotype"/>
        </w:rPr>
      </w:pPr>
      <w:bookmarkStart w:id="0" w:name="_heading=h.1fob9te" w:colFirst="0" w:colLast="0"/>
      <w:bookmarkEnd w:id="0"/>
      <w:r>
        <w:rPr>
          <w:rFonts w:ascii="Palatino Linotype" w:eastAsia="Palatino Linotype" w:hAnsi="Palatino Linotype" w:cs="Palatino Linotype"/>
        </w:rPr>
        <w:t>Aunado a lo anterior, conviene mencionar que del análisis a los motivos de inconformidad vertidos en la interposición del recurso de revisi</w:t>
      </w:r>
      <w:r w:rsidR="00AA1F2D">
        <w:rPr>
          <w:rFonts w:ascii="Palatino Linotype" w:eastAsia="Palatino Linotype" w:hAnsi="Palatino Linotype" w:cs="Palatino Linotype"/>
        </w:rPr>
        <w:t xml:space="preserve">ón, en los cuales no considera que no corresponde con lo solicitado pues dentro del documento no se aprecia el programa municipal de protección de datos personales, sin embargo, del análisis al soporte documental remitido, se advierte que este se denomina “Programa Estatal y Municipal de Protección de Datos Personales”, por lo que es coincidente con lo requerido, sin embargo, si el particular pretende que se le entregue un programa generado por el municipio para la protección de datos personales, se reitera que no existe la fuente obligacional que constriña al </w:t>
      </w:r>
      <w:r w:rsidR="00AA1F2D" w:rsidRPr="00AA1F2D">
        <w:rPr>
          <w:rFonts w:ascii="Palatino Linotype" w:eastAsia="Palatino Linotype" w:hAnsi="Palatino Linotype" w:cs="Palatino Linotype"/>
          <w:b/>
        </w:rPr>
        <w:t xml:space="preserve">Sujeto </w:t>
      </w:r>
      <w:r w:rsidR="00AA1F2D" w:rsidRPr="00AA1F2D">
        <w:rPr>
          <w:rFonts w:ascii="Palatino Linotype" w:eastAsia="Palatino Linotype" w:hAnsi="Palatino Linotype" w:cs="Palatino Linotype"/>
          <w:b/>
        </w:rPr>
        <w:lastRenderedPageBreak/>
        <w:t>Obligado</w:t>
      </w:r>
      <w:r w:rsidR="00AA1F2D">
        <w:rPr>
          <w:rFonts w:ascii="Palatino Linotype" w:eastAsia="Palatino Linotype" w:hAnsi="Palatino Linotype" w:cs="Palatino Linotype"/>
        </w:rPr>
        <w:t xml:space="preserve"> a generarlo, en virtud de que como se analizó, esta facultad es atribuible únicamente a este Organismo Garante</w:t>
      </w:r>
      <w:r w:rsidR="00AA1F2D" w:rsidRPr="00413235">
        <w:rPr>
          <w:rFonts w:ascii="Palatino Linotype" w:eastAsia="Palatino Linotype" w:hAnsi="Palatino Linotype" w:cs="Palatino Linotype"/>
        </w:rPr>
        <w:t xml:space="preserve">, </w:t>
      </w:r>
      <w:r w:rsidR="00C34711" w:rsidRPr="00413235">
        <w:rPr>
          <w:rFonts w:ascii="Palatino Linotype" w:eastAsia="Palatino Linotype" w:hAnsi="Palatino Linotype" w:cs="Palatino Linotype"/>
        </w:rPr>
        <w:t>por lo que las precisiones hechas por</w:t>
      </w:r>
      <w:r w:rsidR="00AA1F2D" w:rsidRPr="00413235">
        <w:rPr>
          <w:rFonts w:ascii="Palatino Linotype" w:eastAsia="Palatino Linotype" w:hAnsi="Palatino Linotype" w:cs="Palatino Linotype"/>
        </w:rPr>
        <w:t xml:space="preserve"> del </w:t>
      </w:r>
      <w:r w:rsidR="00AA1F2D" w:rsidRPr="00413235">
        <w:rPr>
          <w:rFonts w:ascii="Palatino Linotype" w:eastAsia="Palatino Linotype" w:hAnsi="Palatino Linotype" w:cs="Palatino Linotype"/>
          <w:b/>
        </w:rPr>
        <w:t>Sujeto Obligado</w:t>
      </w:r>
      <w:r w:rsidR="00AA1F2D" w:rsidRPr="00413235">
        <w:rPr>
          <w:rFonts w:ascii="Palatino Linotype" w:eastAsia="Palatino Linotype" w:hAnsi="Palatino Linotype" w:cs="Palatino Linotype"/>
        </w:rPr>
        <w:t xml:space="preserve"> </w:t>
      </w:r>
      <w:r w:rsidR="00C34711" w:rsidRPr="00413235">
        <w:rPr>
          <w:rFonts w:ascii="Palatino Linotype" w:eastAsia="Palatino Linotype" w:hAnsi="Palatino Linotype" w:cs="Palatino Linotype"/>
        </w:rPr>
        <w:t xml:space="preserve">mediante informe justificado </w:t>
      </w:r>
      <w:r w:rsidR="00AA1F2D" w:rsidRPr="00413235">
        <w:rPr>
          <w:rFonts w:ascii="Palatino Linotype" w:eastAsia="Palatino Linotype" w:hAnsi="Palatino Linotype" w:cs="Palatino Linotype"/>
        </w:rPr>
        <w:t xml:space="preserve">referentes a que no cuenta con un programa de protección de datos personales y que se trabaja conforme a lo dispuesto por la Ley de Protección de Datos Personales en Posesión de los Sujetos Obligados del Estado de México, que se reporta a través del Sistema de Actualización de la Información mediante la actualización y publicación de las Cédulas de Bases de Datos Personales y Avisos de Privacidad de cada una de las áreas, </w:t>
      </w:r>
      <w:r w:rsidR="00C34711" w:rsidRPr="00413235">
        <w:rPr>
          <w:rFonts w:ascii="Palatino Linotype" w:eastAsia="Palatino Linotype" w:hAnsi="Palatino Linotype" w:cs="Palatino Linotype"/>
        </w:rPr>
        <w:t xml:space="preserve">da certeza </w:t>
      </w:r>
      <w:r w:rsidR="00AA1F2D" w:rsidRPr="00413235">
        <w:rPr>
          <w:rFonts w:ascii="Palatino Linotype" w:eastAsia="Palatino Linotype" w:hAnsi="Palatino Linotype" w:cs="Palatino Linotype"/>
        </w:rPr>
        <w:t xml:space="preserve">respecto de la no generación del programa municipal de protección de datos personales. </w:t>
      </w:r>
    </w:p>
    <w:p w:rsidR="009F4767" w:rsidRPr="00413235" w:rsidRDefault="009F4767" w:rsidP="009F4767">
      <w:pPr>
        <w:spacing w:line="360" w:lineRule="auto"/>
        <w:jc w:val="both"/>
        <w:rPr>
          <w:rFonts w:ascii="Palatino Linotype" w:eastAsia="Palatino Linotype" w:hAnsi="Palatino Linotype" w:cs="Palatino Linotype"/>
        </w:rPr>
      </w:pPr>
      <w:r w:rsidRPr="00413235">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rsidR="009F4767" w:rsidRPr="00413235" w:rsidRDefault="009F4767" w:rsidP="009F4767">
      <w:pPr>
        <w:spacing w:line="360" w:lineRule="auto"/>
        <w:jc w:val="both"/>
        <w:rPr>
          <w:rFonts w:ascii="Palatino Linotype" w:eastAsia="Palatino Linotype" w:hAnsi="Palatino Linotype" w:cs="Palatino Linotype"/>
          <w:color w:val="FF0000"/>
        </w:rPr>
      </w:pPr>
    </w:p>
    <w:p w:rsidR="009F4767" w:rsidRPr="00413235" w:rsidRDefault="009F4767" w:rsidP="009F4767">
      <w:pPr>
        <w:ind w:left="992" w:right="1043"/>
        <w:jc w:val="both"/>
        <w:rPr>
          <w:rFonts w:ascii="Palatino Linotype" w:eastAsia="Palatino Linotype" w:hAnsi="Palatino Linotype" w:cs="Palatino Linotype"/>
          <w:i/>
          <w:sz w:val="22"/>
          <w:szCs w:val="22"/>
        </w:rPr>
      </w:pPr>
      <w:r w:rsidRPr="00413235">
        <w:rPr>
          <w:rFonts w:ascii="Palatino Linotype" w:eastAsia="Palatino Linotype" w:hAnsi="Palatino Linotype" w:cs="Palatino Linotype"/>
          <w:b/>
          <w:i/>
          <w:sz w:val="22"/>
          <w:szCs w:val="22"/>
        </w:rPr>
        <w:t xml:space="preserve">“Artículo 192. </w:t>
      </w:r>
      <w:r w:rsidRPr="00413235">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9F4767" w:rsidRPr="00413235" w:rsidRDefault="009F4767" w:rsidP="009F4767">
      <w:pPr>
        <w:ind w:left="992" w:right="1043"/>
        <w:jc w:val="both"/>
        <w:rPr>
          <w:rFonts w:ascii="Palatino Linotype" w:eastAsia="Palatino Linotype" w:hAnsi="Palatino Linotype" w:cs="Palatino Linotype"/>
          <w:i/>
          <w:sz w:val="22"/>
          <w:szCs w:val="22"/>
        </w:rPr>
      </w:pPr>
      <w:r w:rsidRPr="00413235">
        <w:rPr>
          <w:rFonts w:ascii="Palatino Linotype" w:eastAsia="Palatino Linotype" w:hAnsi="Palatino Linotype" w:cs="Palatino Linotype"/>
          <w:b/>
          <w:i/>
          <w:sz w:val="22"/>
          <w:szCs w:val="22"/>
        </w:rPr>
        <w:t>…</w:t>
      </w:r>
    </w:p>
    <w:p w:rsidR="009F4767" w:rsidRPr="00413235" w:rsidRDefault="009F4767" w:rsidP="009F4767">
      <w:pPr>
        <w:ind w:left="992" w:right="1043"/>
        <w:jc w:val="both"/>
        <w:rPr>
          <w:rFonts w:ascii="Palatino Linotype" w:eastAsia="Palatino Linotype" w:hAnsi="Palatino Linotype" w:cs="Palatino Linotype"/>
          <w:b/>
          <w:i/>
          <w:sz w:val="22"/>
          <w:szCs w:val="22"/>
        </w:rPr>
      </w:pPr>
      <w:r w:rsidRPr="00413235">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rsidR="009F4767" w:rsidRPr="00413235" w:rsidRDefault="009F4767" w:rsidP="009F4767">
      <w:pPr>
        <w:spacing w:line="360" w:lineRule="auto"/>
        <w:jc w:val="both"/>
        <w:rPr>
          <w:rFonts w:ascii="Palatino Linotype" w:eastAsia="Palatino Linotype" w:hAnsi="Palatino Linotype" w:cs="Palatino Linotype"/>
          <w:b/>
          <w:i/>
        </w:rPr>
      </w:pPr>
    </w:p>
    <w:p w:rsidR="009F4767" w:rsidRPr="00413235" w:rsidRDefault="009F4767" w:rsidP="009F4767">
      <w:pPr>
        <w:spacing w:after="240" w:line="360" w:lineRule="auto"/>
        <w:jc w:val="both"/>
        <w:rPr>
          <w:rFonts w:ascii="Palatino Linotype" w:eastAsia="Palatino Linotype" w:hAnsi="Palatino Linotype" w:cs="Palatino Linotype"/>
        </w:rPr>
      </w:pPr>
      <w:r w:rsidRPr="00413235">
        <w:rPr>
          <w:rFonts w:ascii="Palatino Linotype" w:eastAsia="Palatino Linotype" w:hAnsi="Palatino Linotype" w:cs="Palatino Linotype"/>
        </w:rPr>
        <w:t>De lo establecido en el precepto legal citado se advierte que el sobreseimiento del recurso de revisión procede en los siguientes casos:</w:t>
      </w:r>
    </w:p>
    <w:p w:rsidR="009F4767" w:rsidRPr="00413235" w:rsidRDefault="009F4767" w:rsidP="009F4767">
      <w:pPr>
        <w:spacing w:before="240" w:after="240" w:line="360" w:lineRule="auto"/>
        <w:jc w:val="both"/>
        <w:rPr>
          <w:rFonts w:ascii="Palatino Linotype" w:eastAsia="Palatino Linotype" w:hAnsi="Palatino Linotype" w:cs="Palatino Linotype"/>
        </w:rPr>
      </w:pPr>
      <w:r w:rsidRPr="00413235">
        <w:rPr>
          <w:rFonts w:ascii="Palatino Linotype" w:eastAsia="Palatino Linotype" w:hAnsi="Palatino Linotype" w:cs="Palatino Linotype"/>
        </w:rPr>
        <w:t>a) Cuando el sujeto obligado modifique el acto impugnado.</w:t>
      </w:r>
    </w:p>
    <w:p w:rsidR="009F4767" w:rsidRPr="00413235" w:rsidRDefault="009F4767" w:rsidP="009F4767">
      <w:pPr>
        <w:spacing w:before="240" w:after="240" w:line="360" w:lineRule="auto"/>
        <w:jc w:val="both"/>
        <w:rPr>
          <w:rFonts w:ascii="Palatino Linotype" w:eastAsia="Palatino Linotype" w:hAnsi="Palatino Linotype" w:cs="Palatino Linotype"/>
        </w:rPr>
      </w:pPr>
      <w:r w:rsidRPr="00413235">
        <w:rPr>
          <w:rFonts w:ascii="Palatino Linotype" w:eastAsia="Palatino Linotype" w:hAnsi="Palatino Linotype" w:cs="Palatino Linotype"/>
        </w:rPr>
        <w:t>b) Cuando el sujeto obligado revoque el acto impugnado.</w:t>
      </w:r>
    </w:p>
    <w:p w:rsidR="009F4767" w:rsidRPr="00413235" w:rsidRDefault="009F4767" w:rsidP="009F4767">
      <w:pPr>
        <w:spacing w:before="240" w:after="240" w:line="360" w:lineRule="auto"/>
        <w:jc w:val="both"/>
        <w:rPr>
          <w:rFonts w:ascii="Palatino Linotype" w:eastAsia="Palatino Linotype" w:hAnsi="Palatino Linotype" w:cs="Palatino Linotype"/>
        </w:rPr>
      </w:pPr>
      <w:r w:rsidRPr="00413235">
        <w:rPr>
          <w:rFonts w:ascii="Palatino Linotype" w:eastAsia="Palatino Linotype" w:hAnsi="Palatino Linotype" w:cs="Palatino Linotype"/>
        </w:rPr>
        <w:lastRenderedPageBreak/>
        <w:t>Quedando en ambos casos el acto combatido sin materia o sin efectos.</w:t>
      </w:r>
    </w:p>
    <w:p w:rsidR="009F4767" w:rsidRPr="00413235" w:rsidRDefault="009F4767" w:rsidP="009F4767">
      <w:pPr>
        <w:spacing w:before="240" w:after="240" w:line="360" w:lineRule="auto"/>
        <w:jc w:val="both"/>
        <w:rPr>
          <w:rFonts w:ascii="Palatino Linotype" w:eastAsia="Palatino Linotype" w:hAnsi="Palatino Linotype" w:cs="Palatino Linotype"/>
        </w:rPr>
      </w:pPr>
      <w:r w:rsidRPr="00413235">
        <w:rPr>
          <w:rFonts w:ascii="Palatino Linotype" w:eastAsia="Palatino Linotype" w:hAnsi="Palatino Linotype" w:cs="Palatino Linotype"/>
        </w:rPr>
        <w:t xml:space="preserve">Como se observa de lo anterior, un acto impugnado es modificado en aquellos casos en los que el </w:t>
      </w:r>
      <w:r w:rsidRPr="00413235">
        <w:rPr>
          <w:rFonts w:ascii="Palatino Linotype" w:eastAsia="Palatino Linotype" w:hAnsi="Palatino Linotype" w:cs="Palatino Linotype"/>
          <w:b/>
        </w:rPr>
        <w:t>Sujeto Obligado</w:t>
      </w:r>
      <w:r w:rsidRPr="00413235">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sidRPr="00413235">
        <w:rPr>
          <w:rFonts w:ascii="Palatino Linotype" w:eastAsia="Palatino Linotype" w:hAnsi="Palatino Linotype" w:cs="Palatino Linotype"/>
          <w:b/>
        </w:rPr>
        <w:t>Recurrente</w:t>
      </w:r>
      <w:r w:rsidRPr="00413235">
        <w:rPr>
          <w:rFonts w:ascii="Palatino Linotype" w:eastAsia="Palatino Linotype" w:hAnsi="Palatino Linotype" w:cs="Palatino Linotype"/>
        </w:rPr>
        <w:t>.</w:t>
      </w:r>
    </w:p>
    <w:p w:rsidR="009F4767" w:rsidRPr="00413235" w:rsidRDefault="009F4767" w:rsidP="009F4767">
      <w:pPr>
        <w:spacing w:before="240" w:after="240" w:line="360" w:lineRule="auto"/>
        <w:jc w:val="both"/>
        <w:rPr>
          <w:rFonts w:ascii="Palatino Linotype" w:eastAsia="Palatino Linotype" w:hAnsi="Palatino Linotype" w:cs="Palatino Linotype"/>
        </w:rPr>
      </w:pPr>
      <w:r w:rsidRPr="00413235">
        <w:rPr>
          <w:rFonts w:ascii="Palatino Linotype" w:eastAsia="Palatino Linotype" w:hAnsi="Palatino Linotype" w:cs="Palatino Linotype"/>
        </w:rPr>
        <w:t xml:space="preserve">Por lo que hace a la revocación, esta se actualiza cuando el </w:t>
      </w:r>
      <w:r w:rsidRPr="00413235">
        <w:rPr>
          <w:rFonts w:ascii="Palatino Linotype" w:eastAsia="Palatino Linotype" w:hAnsi="Palatino Linotype" w:cs="Palatino Linotype"/>
          <w:b/>
        </w:rPr>
        <w:t xml:space="preserve">Sujeto Obligado </w:t>
      </w:r>
      <w:r w:rsidRPr="00413235">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rsidR="009F4767" w:rsidRPr="00413235" w:rsidRDefault="009F4767" w:rsidP="009F4767">
      <w:pPr>
        <w:spacing w:before="240" w:line="360" w:lineRule="auto"/>
        <w:jc w:val="both"/>
        <w:rPr>
          <w:rFonts w:ascii="Palatino Linotype" w:eastAsia="Palatino Linotype" w:hAnsi="Palatino Linotype" w:cs="Palatino Linotype"/>
        </w:rPr>
      </w:pPr>
      <w:r w:rsidRPr="00413235">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rsidR="009F4767" w:rsidRPr="00413235" w:rsidRDefault="009F4767" w:rsidP="009F4767">
      <w:pPr>
        <w:spacing w:before="240" w:after="240" w:line="360" w:lineRule="auto"/>
        <w:jc w:val="both"/>
        <w:rPr>
          <w:rFonts w:ascii="Palatino Linotype" w:eastAsia="Palatino Linotype" w:hAnsi="Palatino Linotype" w:cs="Palatino Linotype"/>
          <w:color w:val="000000" w:themeColor="text1"/>
        </w:rPr>
      </w:pPr>
      <w:r w:rsidRPr="00413235">
        <w:rPr>
          <w:rFonts w:ascii="Palatino Linotype" w:eastAsia="Palatino Linotype" w:hAnsi="Palatino Linotype" w:cs="Palatino Linotype"/>
        </w:rPr>
        <w:t xml:space="preserve">En tanto, en el presente caso queda sin materia, toda vez que con el alcance al Informe Justificado, el </w:t>
      </w:r>
      <w:r w:rsidRPr="00413235">
        <w:rPr>
          <w:rFonts w:ascii="Palatino Linotype" w:eastAsia="Palatino Linotype" w:hAnsi="Palatino Linotype" w:cs="Palatino Linotype"/>
          <w:b/>
        </w:rPr>
        <w:t>Sujeto Obligado</w:t>
      </w:r>
      <w:r w:rsidRPr="00413235">
        <w:rPr>
          <w:rFonts w:ascii="Palatino Linotype" w:eastAsia="Palatino Linotype" w:hAnsi="Palatino Linotype" w:cs="Palatino Linotype"/>
        </w:rPr>
        <w:t xml:space="preserve"> modificó la respuesta </w:t>
      </w:r>
      <w:r w:rsidRPr="00413235">
        <w:rPr>
          <w:rFonts w:ascii="Palatino Linotype" w:eastAsia="Palatino Linotype" w:hAnsi="Palatino Linotype" w:cs="Palatino Linotype"/>
          <w:color w:val="000000" w:themeColor="text1"/>
        </w:rPr>
        <w:t xml:space="preserve">al </w:t>
      </w:r>
      <w:r w:rsidR="003C4DF1" w:rsidRPr="00413235">
        <w:rPr>
          <w:rFonts w:ascii="Palatino Linotype" w:eastAsia="Palatino Linotype" w:hAnsi="Palatino Linotype" w:cs="Palatino Linotype"/>
          <w:color w:val="000000" w:themeColor="text1"/>
        </w:rPr>
        <w:t xml:space="preserve">precisar y aclarar </w:t>
      </w:r>
      <w:r w:rsidRPr="00413235">
        <w:rPr>
          <w:rFonts w:ascii="Palatino Linotype" w:eastAsia="Palatino Linotype" w:hAnsi="Palatino Linotype" w:cs="Palatino Linotype"/>
          <w:color w:val="000000" w:themeColor="text1"/>
        </w:rPr>
        <w:t xml:space="preserve">que la  Unidad no cuenta con un Programa Municipal de Protección de Datos Personales, se trabaja conforme a lo dispuesto en la Ley de Protección de Datos Personales en Posesión de los Sujetos Obligados del Estado de México y Municipios. </w:t>
      </w:r>
    </w:p>
    <w:p w:rsidR="009F4767" w:rsidRPr="00413235" w:rsidRDefault="009F4767" w:rsidP="009F4767">
      <w:pPr>
        <w:spacing w:before="240" w:after="240" w:line="360" w:lineRule="auto"/>
        <w:jc w:val="both"/>
        <w:rPr>
          <w:rFonts w:ascii="Palatino Linotype" w:eastAsia="Palatino Linotype" w:hAnsi="Palatino Linotype" w:cs="Palatino Linotype"/>
        </w:rPr>
      </w:pPr>
      <w:r w:rsidRPr="00413235">
        <w:rPr>
          <w:rFonts w:ascii="Palatino Linotype" w:eastAsia="Palatino Linotype" w:hAnsi="Palatino Linotype" w:cs="Palatino Linotype"/>
        </w:rPr>
        <w:t xml:space="preserve">Tomando en consideración dicha circunstancia, así como el hecho de que la información proporcionada por el </w:t>
      </w:r>
      <w:r w:rsidRPr="00413235">
        <w:rPr>
          <w:rFonts w:ascii="Palatino Linotype" w:eastAsia="Palatino Linotype" w:hAnsi="Palatino Linotype" w:cs="Palatino Linotype"/>
          <w:b/>
        </w:rPr>
        <w:t>Sujeto Obligado</w:t>
      </w:r>
      <w:r w:rsidRPr="00413235">
        <w:rPr>
          <w:rFonts w:ascii="Palatino Linotype" w:eastAsia="Palatino Linotype" w:hAnsi="Palatino Linotype" w:cs="Palatino Linotype"/>
        </w:rPr>
        <w:t xml:space="preserve"> fue puesta a la vista de la parte </w:t>
      </w:r>
      <w:r w:rsidRPr="00413235">
        <w:rPr>
          <w:rFonts w:ascii="Palatino Linotype" w:eastAsia="Palatino Linotype" w:hAnsi="Palatino Linotype" w:cs="Palatino Linotype"/>
          <w:b/>
        </w:rPr>
        <w:t xml:space="preserve">Recurrente </w:t>
      </w:r>
      <w:r w:rsidRPr="00413235">
        <w:rPr>
          <w:rFonts w:ascii="Palatino Linotype" w:eastAsia="Palatino Linotype" w:hAnsi="Palatino Linotype" w:cs="Palatino Linotype"/>
        </w:rPr>
        <w:t xml:space="preserve">con la finalidad de que manifestara lo que a su derecho conviniera, sin que obre constancia en el expediente electrónico de que dicho derecho se hiciera </w:t>
      </w:r>
      <w:r w:rsidRPr="00413235">
        <w:rPr>
          <w:rFonts w:ascii="Palatino Linotype" w:eastAsia="Palatino Linotype" w:hAnsi="Palatino Linotype" w:cs="Palatino Linotype"/>
        </w:rPr>
        <w:lastRenderedPageBreak/>
        <w:t>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rsidR="009F4767" w:rsidRPr="00413235" w:rsidRDefault="009F4767" w:rsidP="009F4767">
      <w:pPr>
        <w:spacing w:before="240" w:after="240" w:line="360" w:lineRule="auto"/>
        <w:jc w:val="both"/>
        <w:rPr>
          <w:rFonts w:ascii="Palatino Linotype" w:eastAsia="Palatino Linotype" w:hAnsi="Palatino Linotype" w:cs="Palatino Linotype"/>
        </w:rPr>
      </w:pPr>
      <w:r w:rsidRPr="00413235">
        <w:rPr>
          <w:rFonts w:ascii="Palatino Linotype" w:eastAsia="Palatino Linotype" w:hAnsi="Palatino Linotype" w:cs="Palatino Linotype"/>
        </w:rPr>
        <w:t xml:space="preserve">En resumen, el </w:t>
      </w:r>
      <w:r w:rsidRPr="00413235">
        <w:rPr>
          <w:rFonts w:ascii="Palatino Linotype" w:eastAsia="Palatino Linotype" w:hAnsi="Palatino Linotype" w:cs="Palatino Linotype"/>
          <w:b/>
        </w:rPr>
        <w:t>sujeto obligado</w:t>
      </w:r>
      <w:r w:rsidRPr="00413235">
        <w:rPr>
          <w:rFonts w:ascii="Palatino Linotype" w:eastAsia="Palatino Linotype" w:hAnsi="Palatino Linotype" w:cs="Palatino Linotype"/>
        </w:rPr>
        <w:t xml:space="preserve"> </w:t>
      </w:r>
      <w:r w:rsidR="003C4DF1" w:rsidRPr="00413235">
        <w:rPr>
          <w:rFonts w:ascii="Palatino Linotype" w:eastAsia="Palatino Linotype" w:hAnsi="Palatino Linotype" w:cs="Palatino Linotype"/>
        </w:rPr>
        <w:t>precisó y aclaró su respuesta</w:t>
      </w:r>
      <w:r w:rsidRPr="00413235">
        <w:rPr>
          <w:rFonts w:ascii="Palatino Linotype" w:eastAsia="Palatino Linotype" w:hAnsi="Palatino Linotype" w:cs="Palatino Linotype"/>
        </w:rPr>
        <w:t xml:space="preserve"> a la solicitud de acceso a la información pública del ahora </w:t>
      </w:r>
      <w:r w:rsidRPr="00413235">
        <w:rPr>
          <w:rFonts w:ascii="Palatino Linotype" w:eastAsia="Palatino Linotype" w:hAnsi="Palatino Linotype" w:cs="Palatino Linotype"/>
          <w:b/>
        </w:rPr>
        <w:t>Recurrente</w:t>
      </w:r>
      <w:r w:rsidRPr="00413235">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9F4767" w:rsidRPr="00413235" w:rsidRDefault="009F4767" w:rsidP="009F4767">
      <w:pPr>
        <w:spacing w:before="240" w:after="240" w:line="360" w:lineRule="auto"/>
        <w:jc w:val="both"/>
        <w:rPr>
          <w:rFonts w:ascii="Palatino Linotype" w:eastAsia="Palatino Linotype" w:hAnsi="Palatino Linotype" w:cs="Palatino Linotype"/>
        </w:rPr>
      </w:pPr>
      <w:r w:rsidRPr="00413235">
        <w:rPr>
          <w:rFonts w:ascii="Palatino Linotype" w:eastAsia="Palatino Linotype" w:hAnsi="Palatino Linotype" w:cs="Palatino Linotype"/>
        </w:rPr>
        <w:t xml:space="preserve">Siendo el </w:t>
      </w:r>
      <w:r w:rsidRPr="00413235">
        <w:rPr>
          <w:rFonts w:ascii="Palatino Linotype" w:eastAsia="Palatino Linotype" w:hAnsi="Palatino Linotype" w:cs="Palatino Linotype"/>
          <w:i/>
        </w:rPr>
        <w:t>sobreseimiento</w:t>
      </w:r>
      <w:r w:rsidRPr="00413235">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w:t>
      </w:r>
      <w:r w:rsidRPr="00413235">
        <w:rPr>
          <w:rFonts w:ascii="Palatino Linotype" w:eastAsia="Palatino Linotype" w:hAnsi="Palatino Linotype" w:cs="Palatino Linotype"/>
          <w:b/>
        </w:rPr>
        <w:t>Recurrente</w:t>
      </w:r>
      <w:r w:rsidRPr="00413235">
        <w:rPr>
          <w:rFonts w:ascii="Palatino Linotype" w:eastAsia="Palatino Linotype" w:hAnsi="Palatino Linotype" w:cs="Palatino Linotype"/>
        </w:rPr>
        <w:t>, los efectos del sobreseimiento consisten en dar por concluido el recurso administrativo sin entrar al estudio de fondo del asunto de que se trate; lo anterior con apoyo en el criterio del Poder Judicial de la Federación con rubro:</w:t>
      </w:r>
    </w:p>
    <w:p w:rsidR="009F4767" w:rsidRPr="00413235" w:rsidRDefault="009F4767" w:rsidP="009F4767">
      <w:pPr>
        <w:spacing w:before="240"/>
        <w:ind w:left="567" w:right="567"/>
        <w:jc w:val="both"/>
        <w:rPr>
          <w:rFonts w:ascii="Palatino Linotype" w:eastAsia="Palatino Linotype" w:hAnsi="Palatino Linotype" w:cs="Palatino Linotype"/>
          <w:b/>
          <w:i/>
        </w:rPr>
      </w:pPr>
      <w:r w:rsidRPr="00413235">
        <w:rPr>
          <w:rFonts w:ascii="Palatino Linotype" w:eastAsia="Palatino Linotype" w:hAnsi="Palatino Linotype" w:cs="Palatino Linotype"/>
          <w:i/>
          <w:sz w:val="22"/>
          <w:szCs w:val="22"/>
        </w:rPr>
        <w:t>“</w:t>
      </w:r>
      <w:r w:rsidRPr="00413235">
        <w:rPr>
          <w:rFonts w:ascii="Palatino Linotype" w:eastAsia="Palatino Linotype" w:hAnsi="Palatino Linotype" w:cs="Palatino Linotype"/>
          <w:b/>
          <w:i/>
          <w:sz w:val="22"/>
          <w:szCs w:val="22"/>
        </w:rPr>
        <w:t>SOBRESEIMIENTO, NO PERMITE ENTRAR AL ESTUDIO DE LAS CUESTIONES DE FONDO</w:t>
      </w:r>
    </w:p>
    <w:p w:rsidR="009F4767" w:rsidRPr="00413235" w:rsidRDefault="009F4767" w:rsidP="009F4767">
      <w:pPr>
        <w:ind w:left="567" w:right="567"/>
        <w:jc w:val="both"/>
        <w:rPr>
          <w:rFonts w:ascii="Palatino Linotype" w:eastAsia="Palatino Linotype" w:hAnsi="Palatino Linotype" w:cs="Palatino Linotype"/>
          <w:i/>
          <w:sz w:val="22"/>
          <w:szCs w:val="22"/>
        </w:rPr>
      </w:pPr>
      <w:r w:rsidRPr="00413235">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9F4767" w:rsidRPr="00413235" w:rsidRDefault="009F4767" w:rsidP="009F4767">
      <w:pPr>
        <w:ind w:left="567" w:right="567"/>
        <w:jc w:val="both"/>
        <w:rPr>
          <w:rFonts w:ascii="Palatino Linotype" w:eastAsia="Palatino Linotype" w:hAnsi="Palatino Linotype" w:cs="Palatino Linotype"/>
          <w:i/>
          <w:sz w:val="22"/>
          <w:szCs w:val="22"/>
        </w:rPr>
      </w:pPr>
      <w:r w:rsidRPr="00413235">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9F4767" w:rsidRPr="00413235" w:rsidRDefault="009F4767" w:rsidP="009F4767">
      <w:pPr>
        <w:ind w:left="567" w:right="567"/>
        <w:jc w:val="both"/>
        <w:rPr>
          <w:rFonts w:ascii="Palatino Linotype" w:eastAsia="Palatino Linotype" w:hAnsi="Palatino Linotype" w:cs="Palatino Linotype"/>
          <w:i/>
          <w:sz w:val="22"/>
          <w:szCs w:val="22"/>
        </w:rPr>
      </w:pPr>
    </w:p>
    <w:p w:rsidR="009F4767" w:rsidRPr="00413235" w:rsidRDefault="009F4767" w:rsidP="009F4767">
      <w:pPr>
        <w:spacing w:after="240" w:line="360" w:lineRule="auto"/>
        <w:jc w:val="both"/>
        <w:rPr>
          <w:rFonts w:ascii="Palatino Linotype" w:eastAsia="Palatino Linotype" w:hAnsi="Palatino Linotype" w:cs="Palatino Linotype"/>
        </w:rPr>
      </w:pPr>
      <w:r w:rsidRPr="00413235">
        <w:rPr>
          <w:rFonts w:ascii="Palatino Linotype" w:eastAsia="Palatino Linotype" w:hAnsi="Palatino Linotype" w:cs="Palatino Linotype"/>
        </w:rPr>
        <w:lastRenderedPageBreak/>
        <w:t>Cabe destacar que la decisión de este órgano colegiado de sobreseer el recurso de revisión no implica una limitación o negación a la justicia, según lo ha establecido el Poder Judicial Federal, en el criterio que es aplicable por analogía, con rubro:</w:t>
      </w:r>
    </w:p>
    <w:p w:rsidR="009F4767" w:rsidRPr="00413235" w:rsidRDefault="009F4767" w:rsidP="009F4767">
      <w:pPr>
        <w:spacing w:before="240"/>
        <w:ind w:left="567" w:right="567"/>
        <w:jc w:val="both"/>
        <w:rPr>
          <w:rFonts w:ascii="Palatino Linotype" w:eastAsia="Palatino Linotype" w:hAnsi="Palatino Linotype" w:cs="Palatino Linotype"/>
          <w:i/>
          <w:sz w:val="22"/>
          <w:szCs w:val="22"/>
        </w:rPr>
      </w:pPr>
      <w:r w:rsidRPr="00413235">
        <w:rPr>
          <w:rFonts w:ascii="Palatino Linotype" w:eastAsia="Palatino Linotype" w:hAnsi="Palatino Linotype" w:cs="Palatino Linotype"/>
        </w:rPr>
        <w:t xml:space="preserve"> </w:t>
      </w:r>
      <w:r w:rsidRPr="00413235">
        <w:rPr>
          <w:rFonts w:ascii="Palatino Linotype" w:eastAsia="Palatino Linotype" w:hAnsi="Palatino Linotype" w:cs="Palatino Linotype"/>
          <w:i/>
          <w:sz w:val="22"/>
          <w:szCs w:val="22"/>
        </w:rPr>
        <w:t>“DESECHAMIENTO O SOBRESEIMIENTO EN EL JUICIO DE AMPARO. NO IMPLICA DENEGACIÓN DE JUSTICIA NI GENERA INSEGURIDAD JURÍDICA”</w:t>
      </w:r>
    </w:p>
    <w:p w:rsidR="009F4767" w:rsidRPr="00413235" w:rsidRDefault="009F4767" w:rsidP="009F4767">
      <w:pPr>
        <w:ind w:left="567" w:right="567"/>
        <w:jc w:val="both"/>
        <w:rPr>
          <w:rFonts w:ascii="Palatino Linotype" w:eastAsia="Palatino Linotype" w:hAnsi="Palatino Linotype" w:cs="Palatino Linotype"/>
          <w:i/>
          <w:sz w:val="22"/>
          <w:szCs w:val="22"/>
        </w:rPr>
      </w:pPr>
      <w:r w:rsidRPr="00413235">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9F4767" w:rsidRPr="00413235" w:rsidRDefault="009F4767" w:rsidP="009F4767">
      <w:pPr>
        <w:spacing w:before="240" w:after="240" w:line="360" w:lineRule="auto"/>
        <w:contextualSpacing/>
        <w:jc w:val="both"/>
        <w:rPr>
          <w:rFonts w:ascii="Palatino Linotype" w:eastAsia="Calibri" w:hAnsi="Palatino Linotype"/>
          <w:lang w:val="es-CO" w:eastAsia="es-ES"/>
        </w:rPr>
      </w:pPr>
    </w:p>
    <w:p w:rsidR="009F4767" w:rsidRPr="00413235" w:rsidRDefault="009F4767" w:rsidP="009F4767">
      <w:pPr>
        <w:spacing w:before="240" w:after="240" w:line="360" w:lineRule="auto"/>
        <w:jc w:val="both"/>
        <w:rPr>
          <w:rFonts w:ascii="Palatino Linotype" w:hAnsi="Palatino Linotype" w:cs="Arial"/>
          <w:lang w:val="es-MX" w:eastAsia="es-ES"/>
        </w:rPr>
      </w:pPr>
      <w:r w:rsidRPr="00413235">
        <w:rPr>
          <w:rFonts w:ascii="Palatino Linotype" w:hAnsi="Palatino Linotype" w:cs="Arial"/>
          <w:lang w:val="es-MX" w:eastAsia="es-ES"/>
        </w:rPr>
        <w:t xml:space="preserve">Así, con fundamento en lo prescrito en los artículos 5 </w:t>
      </w:r>
      <w:r w:rsidRPr="00413235">
        <w:rPr>
          <w:rFonts w:ascii="Palatino Linotype" w:hAnsi="Palatino Linotype"/>
          <w:shd w:val="clear" w:color="auto" w:fill="FFFFFF"/>
          <w:lang w:val="es-MX" w:eastAsia="es-ES"/>
        </w:rPr>
        <w:t>párrafos</w:t>
      </w:r>
      <w:r w:rsidRPr="00413235">
        <w:rPr>
          <w:rFonts w:ascii="Palatino Linotype" w:hAnsi="Palatino Linotype"/>
          <w:shd w:val="clear" w:color="auto" w:fill="FFFFFF"/>
          <w:lang w:eastAsia="es-ES"/>
        </w:rPr>
        <w:t xml:space="preserve"> trigésimo, trigésimo primero y trigésimo segundo, fracciones IV y V </w:t>
      </w:r>
      <w:r w:rsidRPr="00413235">
        <w:rPr>
          <w:rFonts w:ascii="Palatino Linotype" w:hAnsi="Palatino Linotype" w:cs="Arial"/>
          <w:lang w:val="es-MX" w:eastAsia="es-ES"/>
        </w:rPr>
        <w:t>de la Constitución Política del Estado Libre y Soberano de México; 2, fracción II; 29, 36 fracciones I y II; 176, 178, 181, 185 de la Ley de Transparencia y Acceso a la Información Pública del Estado de México y Municipios, este Pleno:</w:t>
      </w:r>
    </w:p>
    <w:p w:rsidR="009F4767" w:rsidRPr="00413235" w:rsidRDefault="009F4767" w:rsidP="009F4767">
      <w:pPr>
        <w:numPr>
          <w:ilvl w:val="0"/>
          <w:numId w:val="7"/>
        </w:numPr>
        <w:spacing w:before="100" w:beforeAutospacing="1" w:after="100" w:afterAutospacing="1" w:line="360" w:lineRule="auto"/>
        <w:ind w:left="284" w:hanging="426"/>
        <w:jc w:val="center"/>
        <w:rPr>
          <w:rFonts w:ascii="Palatino Linotype" w:hAnsi="Palatino Linotype" w:cs="Arial"/>
          <w:b/>
          <w:lang w:val="es-MX"/>
        </w:rPr>
      </w:pPr>
      <w:r w:rsidRPr="00413235">
        <w:rPr>
          <w:rFonts w:ascii="Palatino Linotype" w:hAnsi="Palatino Linotype" w:cs="Arial"/>
          <w:b/>
          <w:lang w:val="es-MX"/>
        </w:rPr>
        <w:t>R E S U E L V E:</w:t>
      </w:r>
    </w:p>
    <w:p w:rsidR="009F4767" w:rsidRPr="00413235" w:rsidRDefault="009F4767" w:rsidP="009F4767">
      <w:pPr>
        <w:spacing w:line="360" w:lineRule="auto"/>
        <w:jc w:val="both"/>
        <w:rPr>
          <w:rFonts w:ascii="Palatino Linotype" w:eastAsia="Palatino Linotype" w:hAnsi="Palatino Linotype" w:cs="Palatino Linotype"/>
          <w:color w:val="000000" w:themeColor="text1"/>
        </w:rPr>
      </w:pPr>
      <w:r w:rsidRPr="00413235">
        <w:rPr>
          <w:rFonts w:ascii="Palatino Linotype" w:hAnsi="Palatino Linotype" w:cs="Arial"/>
          <w:b/>
          <w:lang w:eastAsia="es-ES"/>
        </w:rPr>
        <w:t>Primero.</w:t>
      </w:r>
      <w:r w:rsidRPr="00413235">
        <w:rPr>
          <w:rFonts w:ascii="Palatino Linotype" w:eastAsia="Calibri" w:hAnsi="Palatino Linotype"/>
          <w:lang w:eastAsia="es-ES"/>
        </w:rPr>
        <w:t xml:space="preserve"> </w:t>
      </w:r>
      <w:r w:rsidRPr="00413235">
        <w:rPr>
          <w:rFonts w:ascii="Palatino Linotype" w:hAnsi="Palatino Linotype" w:cs="Arial"/>
          <w:lang w:eastAsia="es-ES"/>
        </w:rPr>
        <w:t xml:space="preserve">Se </w:t>
      </w:r>
      <w:r w:rsidRPr="00413235">
        <w:rPr>
          <w:rFonts w:ascii="Palatino Linotype" w:hAnsi="Palatino Linotype" w:cs="Arial"/>
          <w:b/>
          <w:lang w:eastAsia="es-ES"/>
        </w:rPr>
        <w:t>SOBRESEE</w:t>
      </w:r>
      <w:r w:rsidRPr="00413235">
        <w:rPr>
          <w:rFonts w:ascii="Palatino Linotype" w:hAnsi="Palatino Linotype" w:cs="Arial"/>
          <w:lang w:eastAsia="es-ES"/>
        </w:rPr>
        <w:t xml:space="preserve"> el recurso de revisión </w:t>
      </w:r>
      <w:r w:rsidRPr="00413235">
        <w:rPr>
          <w:rFonts w:ascii="Palatino Linotype" w:hAnsi="Palatino Linotype" w:cs="Arial"/>
          <w:b/>
          <w:lang w:eastAsia="es-ES"/>
        </w:rPr>
        <w:t xml:space="preserve">06694/INFOEM/IP/RR/2022, </w:t>
      </w:r>
      <w:r w:rsidRPr="00413235">
        <w:rPr>
          <w:rFonts w:ascii="Palatino Linotype" w:eastAsia="Palatino Linotype" w:hAnsi="Palatino Linotype" w:cs="Palatino Linotype"/>
          <w:color w:val="000000" w:themeColor="text1"/>
        </w:rPr>
        <w:t xml:space="preserve">porque al </w:t>
      </w:r>
      <w:r w:rsidRPr="00413235">
        <w:rPr>
          <w:rFonts w:ascii="Palatino Linotype" w:eastAsia="Palatino Linotype" w:hAnsi="Palatino Linotype" w:cs="Palatino Linotype"/>
          <w:b/>
          <w:color w:val="000000" w:themeColor="text1"/>
        </w:rPr>
        <w:t>modificar la respuesta</w:t>
      </w:r>
      <w:r w:rsidRPr="00413235">
        <w:rPr>
          <w:rFonts w:ascii="Palatino Linotype" w:eastAsia="Palatino Linotype" w:hAnsi="Palatino Linotype" w:cs="Palatino Linotype"/>
          <w:color w:val="000000" w:themeColor="text1"/>
        </w:rPr>
        <w:t xml:space="preserve"> se actualizó la causal prevista en el artículo 192, fracción </w:t>
      </w:r>
      <w:r w:rsidRPr="00413235">
        <w:rPr>
          <w:rFonts w:ascii="Palatino Linotype" w:eastAsia="Palatino Linotype" w:hAnsi="Palatino Linotype" w:cs="Palatino Linotype"/>
          <w:color w:val="000000" w:themeColor="text1"/>
        </w:rPr>
        <w:lastRenderedPageBreak/>
        <w:t xml:space="preserve">III, de la Ley de Transparencia y Acceso a la Información Pública del Estado de México y Municipios, quedando sin materia en términos del </w:t>
      </w:r>
      <w:r w:rsidR="001B6134" w:rsidRPr="00413235">
        <w:rPr>
          <w:rFonts w:ascii="Palatino Linotype" w:eastAsia="Palatino Linotype" w:hAnsi="Palatino Linotype" w:cs="Palatino Linotype"/>
          <w:b/>
          <w:color w:val="000000" w:themeColor="text1"/>
        </w:rPr>
        <w:t xml:space="preserve">Considerando </w:t>
      </w:r>
      <w:r w:rsidRPr="00413235">
        <w:rPr>
          <w:rFonts w:ascii="Palatino Linotype" w:eastAsia="Palatino Linotype" w:hAnsi="Palatino Linotype" w:cs="Palatino Linotype"/>
          <w:b/>
          <w:color w:val="000000" w:themeColor="text1"/>
        </w:rPr>
        <w:t xml:space="preserve">Tercero </w:t>
      </w:r>
      <w:r w:rsidRPr="00413235">
        <w:rPr>
          <w:rFonts w:ascii="Palatino Linotype" w:eastAsia="Palatino Linotype" w:hAnsi="Palatino Linotype" w:cs="Palatino Linotype"/>
          <w:color w:val="000000" w:themeColor="text1"/>
        </w:rPr>
        <w:t>de la presente Resolución.</w:t>
      </w:r>
    </w:p>
    <w:p w:rsidR="009F4767" w:rsidRPr="00A97581" w:rsidRDefault="009F4767" w:rsidP="009F4767">
      <w:pPr>
        <w:spacing w:before="240" w:after="240" w:line="360" w:lineRule="auto"/>
        <w:ind w:right="49"/>
        <w:jc w:val="both"/>
        <w:rPr>
          <w:rFonts w:ascii="Palatino Linotype" w:hAnsi="Palatino Linotype" w:cs="Arial"/>
          <w:color w:val="000000" w:themeColor="text1"/>
          <w:lang w:val="es-MX" w:eastAsia="es-ES"/>
        </w:rPr>
      </w:pPr>
      <w:r w:rsidRPr="00413235">
        <w:rPr>
          <w:rFonts w:ascii="Palatino Linotype" w:hAnsi="Palatino Linotype" w:cs="Arial"/>
          <w:b/>
          <w:bCs/>
          <w:color w:val="000000" w:themeColor="text1"/>
          <w:szCs w:val="28"/>
          <w:shd w:val="clear" w:color="auto" w:fill="FFFFFF"/>
          <w:lang w:eastAsia="es-ES"/>
        </w:rPr>
        <w:t>Segundo</w:t>
      </w:r>
      <w:r w:rsidRPr="00413235">
        <w:rPr>
          <w:rFonts w:ascii="Palatino Linotype" w:hAnsi="Palatino Linotype" w:cs="Arial"/>
          <w:b/>
          <w:bCs/>
          <w:color w:val="000000" w:themeColor="text1"/>
          <w:sz w:val="28"/>
          <w:szCs w:val="28"/>
          <w:shd w:val="clear" w:color="auto" w:fill="FFFFFF"/>
          <w:lang w:eastAsia="es-ES"/>
        </w:rPr>
        <w:t>.</w:t>
      </w:r>
      <w:r w:rsidRPr="00413235">
        <w:rPr>
          <w:rFonts w:ascii="Palatino Linotype" w:hAnsi="Palatino Linotype" w:cs="Arial"/>
          <w:b/>
          <w:bCs/>
          <w:color w:val="000000" w:themeColor="text1"/>
          <w:sz w:val="19"/>
          <w:szCs w:val="19"/>
          <w:shd w:val="clear" w:color="auto" w:fill="FFFFFF"/>
          <w:lang w:eastAsia="es-ES"/>
        </w:rPr>
        <w:t xml:space="preserve"> </w:t>
      </w:r>
      <w:r w:rsidRPr="00413235">
        <w:rPr>
          <w:rFonts w:ascii="Palatino Linotype" w:eastAsia="Palatino Linotype" w:hAnsi="Palatino Linotype" w:cs="Palatino Linotype"/>
          <w:b/>
          <w:color w:val="000000" w:themeColor="text1"/>
        </w:rPr>
        <w:t xml:space="preserve">Notifíquese vía </w:t>
      </w:r>
      <w:r w:rsidRPr="00413235">
        <w:rPr>
          <w:rFonts w:ascii="Palatino Linotype" w:eastAsia="Palatino Linotype" w:hAnsi="Palatino Linotype" w:cs="Palatino Linotype"/>
          <w:color w:val="000000" w:themeColor="text1"/>
        </w:rPr>
        <w:t>Sistema de Acceso a la Información Mexiquense (</w:t>
      </w:r>
      <w:r w:rsidRPr="00413235">
        <w:rPr>
          <w:rFonts w:ascii="Palatino Linotype" w:eastAsia="Palatino Linotype" w:hAnsi="Palatino Linotype" w:cs="Palatino Linotype"/>
          <w:b/>
          <w:color w:val="000000" w:themeColor="text1"/>
        </w:rPr>
        <w:t>SAIMEX)</w:t>
      </w:r>
      <w:r w:rsidRPr="00413235">
        <w:rPr>
          <w:rFonts w:ascii="Palatino Linotype" w:eastAsia="Palatino Linotype" w:hAnsi="Palatino Linotype" w:cs="Palatino Linotype"/>
          <w:b/>
          <w:i/>
          <w:color w:val="000000" w:themeColor="text1"/>
        </w:rPr>
        <w:t xml:space="preserve">, </w:t>
      </w:r>
      <w:r w:rsidRPr="00413235">
        <w:rPr>
          <w:rFonts w:ascii="Palatino Linotype" w:eastAsia="Palatino Linotype" w:hAnsi="Palatino Linotype" w:cs="Palatino Linotype"/>
          <w:color w:val="000000" w:themeColor="text1"/>
        </w:rPr>
        <w:t xml:space="preserve">al Titular de la Unidad de Transparencia del </w:t>
      </w:r>
      <w:r w:rsidRPr="00413235">
        <w:rPr>
          <w:rFonts w:ascii="Palatino Linotype" w:eastAsia="Palatino Linotype" w:hAnsi="Palatino Linotype" w:cs="Palatino Linotype"/>
          <w:b/>
          <w:color w:val="000000" w:themeColor="text1"/>
        </w:rPr>
        <w:t>Sujeto Obligado</w:t>
      </w:r>
      <w:r w:rsidRPr="00413235">
        <w:rPr>
          <w:rFonts w:ascii="Palatino Linotype" w:eastAsia="Palatino Linotype" w:hAnsi="Palatino Linotype" w:cs="Palatino Linotype"/>
          <w:color w:val="000000" w:themeColor="text1"/>
        </w:rPr>
        <w:t xml:space="preserve"> la presente resolución, para su conocimiento.</w:t>
      </w:r>
    </w:p>
    <w:p w:rsidR="009F4767" w:rsidRPr="003F43AF" w:rsidRDefault="009F4767" w:rsidP="009F4767">
      <w:pPr>
        <w:spacing w:before="240" w:after="240" w:line="360" w:lineRule="auto"/>
        <w:jc w:val="both"/>
        <w:rPr>
          <w:rFonts w:ascii="Palatino Linotype" w:hAnsi="Palatino Linotype" w:cs="Arial"/>
          <w:lang w:eastAsia="es-ES"/>
        </w:rPr>
      </w:pPr>
      <w:r w:rsidRPr="003F43AF">
        <w:rPr>
          <w:rFonts w:ascii="Palatino Linotype" w:hAnsi="Palatino Linotype" w:cs="Arial"/>
          <w:b/>
          <w:bCs/>
          <w:szCs w:val="28"/>
          <w:shd w:val="clear" w:color="auto" w:fill="FFFFFF"/>
          <w:lang w:eastAsia="es-ES"/>
        </w:rPr>
        <w:t>Tercero.</w:t>
      </w:r>
      <w:r w:rsidRPr="003F43AF">
        <w:rPr>
          <w:rFonts w:ascii="Palatino Linotype" w:hAnsi="Palatino Linotype" w:cs="Arial"/>
          <w:b/>
          <w:bCs/>
          <w:sz w:val="28"/>
          <w:szCs w:val="28"/>
          <w:shd w:val="clear" w:color="auto" w:fill="FFFFFF"/>
          <w:lang w:eastAsia="es-ES"/>
        </w:rPr>
        <w:t xml:space="preserve"> </w:t>
      </w:r>
      <w:r w:rsidRPr="003F43AF">
        <w:rPr>
          <w:rFonts w:ascii="Palatino Linotype" w:hAnsi="Palatino Linotype" w:cs="Arial"/>
          <w:b/>
          <w:lang w:val="es-MX"/>
        </w:rPr>
        <w:t xml:space="preserve">Notifíquese vía Sistema de Acceso a la Información Mexiquense (SAIMEX), </w:t>
      </w:r>
      <w:r w:rsidRPr="003F43AF">
        <w:rPr>
          <w:rFonts w:ascii="Palatino Linotype" w:hAnsi="Palatino Linotype" w:cs="Arial"/>
          <w:lang w:val="es-MX"/>
        </w:rPr>
        <w:t>la presente resolución a la parte recurrente</w:t>
      </w:r>
      <w:r w:rsidRPr="003F43AF">
        <w:rPr>
          <w:rFonts w:ascii="Palatino Linotype" w:hAnsi="Palatino Linotype" w:cs="Arial"/>
          <w:lang w:eastAsia="es-ES"/>
        </w:rPr>
        <w:t xml:space="preserve">, así como, que de conformidad con lo establecido en el artículo 196 de la Ley de Transparencia y Acceso a la Información Pública del Estado de México y Municipios, podrá impugnarla vía </w:t>
      </w:r>
      <w:r w:rsidRPr="003F43AF">
        <w:rPr>
          <w:rFonts w:ascii="Palatino Linotype" w:hAnsi="Palatino Linotype" w:cs="Arial"/>
          <w:b/>
          <w:lang w:eastAsia="es-ES"/>
        </w:rPr>
        <w:t>Juicio de Amparo</w:t>
      </w:r>
      <w:r w:rsidRPr="003F43AF">
        <w:rPr>
          <w:rFonts w:ascii="Palatino Linotype" w:hAnsi="Palatino Linotype" w:cs="Arial"/>
          <w:lang w:eastAsia="es-ES"/>
        </w:rPr>
        <w:t xml:space="preserve"> en los términos de las leyes aplicables.</w:t>
      </w:r>
    </w:p>
    <w:p w:rsidR="00DE1D99" w:rsidRDefault="00A7007F">
      <w:pPr>
        <w:spacing w:before="240" w:after="240" w:line="360" w:lineRule="auto"/>
        <w:jc w:val="both"/>
        <w:rPr>
          <w:rFonts w:ascii="Palatino Linotype" w:eastAsia="Palatino Linotype" w:hAnsi="Palatino Linotype" w:cs="Palatino Linotype"/>
        </w:rPr>
        <w:sectPr w:rsidR="00DE1D99">
          <w:headerReference w:type="default" r:id="rId16"/>
          <w:footerReference w:type="default" r:id="rId17"/>
          <w:headerReference w:type="first" r:id="rId18"/>
          <w:footerReference w:type="first" r:id="rId19"/>
          <w:pgSz w:w="12240" w:h="15840"/>
          <w:pgMar w:top="1417" w:right="1750" w:bottom="1417" w:left="1701" w:header="708" w:footer="708" w:gutter="0"/>
          <w:pgNumType w:start="1"/>
          <w:cols w:space="720"/>
          <w:titlePg/>
        </w:sectPr>
      </w:pPr>
      <w:bookmarkStart w:id="1" w:name="_heading=h.30j0zll" w:colFirst="0" w:colLast="0"/>
      <w:bookmarkEnd w:id="1"/>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SHARON CRISTINA MORALES MARTÍNEZ,  MARÍA DEL ROSARIO MEJÍA AYALA; LUIS GUSTAVO PARRA NORIEGA Y GUADALUPE RAMÍREZ PEÑA; EN LA TRIGÉ</w:t>
      </w:r>
      <w:bookmarkStart w:id="2" w:name="_GoBack"/>
      <w:bookmarkEnd w:id="2"/>
      <w:r>
        <w:rPr>
          <w:rFonts w:ascii="Palatino Linotype" w:eastAsia="Palatino Linotype" w:hAnsi="Palatino Linotype" w:cs="Palatino Linotype"/>
        </w:rPr>
        <w:t>SIMA SEGUNDA SESIÓN ORDINARIA CELEBRADA EL SIETE DE SEPTIEMBRE DEL DOS MIL VEINTIDÓS, ANTE EL SECRETARIO TÉCNICO DEL PLENO, ALEXIS TAPIA RAMÍREZ.</w:t>
      </w:r>
    </w:p>
    <w:p w:rsidR="00DE1D99" w:rsidRDefault="00DE1D9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DE1D99" w:rsidRDefault="00DE1D9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DE1D99" w:rsidRDefault="00DE1D9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DE1D99">
      <w:headerReference w:type="first" r:id="rId20"/>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06B" w:rsidRDefault="00D9406B">
      <w:r>
        <w:separator/>
      </w:r>
    </w:p>
  </w:endnote>
  <w:endnote w:type="continuationSeparator" w:id="0">
    <w:p w:rsidR="00D9406B" w:rsidRDefault="00D94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D99" w:rsidRDefault="00A7007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11C92">
      <w:rPr>
        <w:rFonts w:ascii="Arial" w:eastAsia="Arial" w:hAnsi="Arial" w:cs="Arial"/>
        <w:b/>
        <w:noProof/>
        <w:color w:val="000000"/>
        <w:sz w:val="20"/>
        <w:szCs w:val="20"/>
      </w:rPr>
      <w:t>29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11C92">
      <w:rPr>
        <w:rFonts w:ascii="Arial" w:eastAsia="Arial" w:hAnsi="Arial" w:cs="Arial"/>
        <w:b/>
        <w:noProof/>
        <w:color w:val="000000"/>
        <w:sz w:val="20"/>
        <w:szCs w:val="20"/>
      </w:rPr>
      <w:t>30</w:t>
    </w:r>
    <w:r>
      <w:rPr>
        <w:rFonts w:ascii="Arial" w:eastAsia="Arial" w:hAnsi="Arial" w:cs="Arial"/>
        <w:b/>
        <w:color w:val="000000"/>
        <w:sz w:val="20"/>
        <w:szCs w:val="20"/>
      </w:rPr>
      <w:fldChar w:fldCharType="end"/>
    </w:r>
  </w:p>
  <w:p w:rsidR="00DE1D99" w:rsidRDefault="00DE1D99">
    <w:pPr>
      <w:pBdr>
        <w:top w:val="nil"/>
        <w:left w:val="nil"/>
        <w:bottom w:val="nil"/>
        <w:right w:val="nil"/>
        <w:between w:val="nil"/>
      </w:pBdr>
      <w:tabs>
        <w:tab w:val="center" w:pos="4252"/>
        <w:tab w:val="right" w:pos="8504"/>
      </w:tabs>
      <w:rPr>
        <w:color w:val="000000"/>
      </w:rPr>
    </w:pPr>
  </w:p>
  <w:p w:rsidR="00DE1D99" w:rsidRDefault="00DE1D9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D99" w:rsidRDefault="00A7007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11C92">
      <w:rPr>
        <w:rFonts w:ascii="Arial" w:eastAsia="Arial" w:hAnsi="Arial" w:cs="Arial"/>
        <w:b/>
        <w:noProof/>
        <w:color w:val="000000"/>
        <w:sz w:val="20"/>
        <w:szCs w:val="20"/>
      </w:rPr>
      <w:t>30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11C92">
      <w:rPr>
        <w:rFonts w:ascii="Arial" w:eastAsia="Arial" w:hAnsi="Arial" w:cs="Arial"/>
        <w:b/>
        <w:noProof/>
        <w:color w:val="000000"/>
        <w:sz w:val="20"/>
        <w:szCs w:val="20"/>
      </w:rPr>
      <w:t>30</w:t>
    </w:r>
    <w:r>
      <w:rPr>
        <w:rFonts w:ascii="Arial" w:eastAsia="Arial" w:hAnsi="Arial" w:cs="Arial"/>
        <w:b/>
        <w:color w:val="000000"/>
        <w:sz w:val="20"/>
        <w:szCs w:val="20"/>
      </w:rPr>
      <w:fldChar w:fldCharType="end"/>
    </w:r>
  </w:p>
  <w:p w:rsidR="00DE1D99" w:rsidRDefault="00DE1D9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06B" w:rsidRDefault="00D9406B">
      <w:r>
        <w:separator/>
      </w:r>
    </w:p>
  </w:footnote>
  <w:footnote w:type="continuationSeparator" w:id="0">
    <w:p w:rsidR="00D9406B" w:rsidRDefault="00D9406B">
      <w:r>
        <w:continuationSeparator/>
      </w:r>
    </w:p>
  </w:footnote>
  <w:footnote w:id="1">
    <w:p w:rsidR="009F4767" w:rsidRPr="006E31CF" w:rsidRDefault="009F4767" w:rsidP="009F4767">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rsidR="009F4767" w:rsidRPr="006E31CF" w:rsidRDefault="009F4767" w:rsidP="009F4767">
      <w:pPr>
        <w:pStyle w:val="Textonotapie"/>
        <w:rPr>
          <w:rFonts w:ascii="Palatino Linotype" w:hAnsi="Palatino Linotype"/>
          <w:sz w:val="18"/>
        </w:rPr>
      </w:pPr>
      <w:r w:rsidRPr="006E31CF">
        <w:rPr>
          <w:rFonts w:ascii="Palatino Linotype" w:hAnsi="Palatino Linotype"/>
          <w:sz w:val="18"/>
        </w:rPr>
        <w:t>…</w:t>
      </w:r>
    </w:p>
    <w:p w:rsidR="009F4767" w:rsidRPr="006E31CF" w:rsidRDefault="009F4767" w:rsidP="009F4767">
      <w:pPr>
        <w:pStyle w:val="Textonotapie"/>
        <w:rPr>
          <w:rFonts w:ascii="Palatino Linotype" w:hAnsi="Palatino Linotype"/>
          <w:sz w:val="18"/>
        </w:rPr>
      </w:pPr>
      <w:r w:rsidRPr="006E31CF">
        <w:rPr>
          <w:rFonts w:ascii="Palatino Linotype" w:hAnsi="Palatino Linotype"/>
          <w:sz w:val="18"/>
        </w:rPr>
        <w:t>III. El sujeto obligado responsable del acto lo modifique o revoque de tal manera que el recurso de revisión quede sin materia;</w:t>
      </w:r>
    </w:p>
  </w:footnote>
  <w:footnote w:id="2">
    <w:p w:rsidR="009F4767" w:rsidRPr="006E31CF" w:rsidRDefault="009F4767" w:rsidP="009F4767">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rsidR="009F4767" w:rsidRDefault="009F4767" w:rsidP="009F4767">
      <w:pPr>
        <w:pStyle w:val="Textonotapie"/>
      </w:pPr>
      <w:r w:rsidRPr="006E31CF">
        <w:rPr>
          <w:rFonts w:ascii="Palatino Linotype" w:hAnsi="Palatino Linotype"/>
          <w:sz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D99" w:rsidRDefault="00A7007F">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-345438</wp:posOffset>
          </wp:positionV>
          <wp:extent cx="7635600" cy="9943200"/>
          <wp:effectExtent l="0" t="0" r="0" b="0"/>
          <wp:wrapNone/>
          <wp:docPr id="7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5"/>
      <w:tblW w:w="6240" w:type="dxa"/>
      <w:tblInd w:w="3746" w:type="dxa"/>
      <w:tblLayout w:type="fixed"/>
      <w:tblLook w:val="0400" w:firstRow="0" w:lastRow="0" w:firstColumn="0" w:lastColumn="0" w:noHBand="0" w:noVBand="1"/>
    </w:tblPr>
    <w:tblGrid>
      <w:gridCol w:w="2553"/>
      <w:gridCol w:w="3687"/>
    </w:tblGrid>
    <w:tr w:rsidR="00DE1D99">
      <w:tc>
        <w:tcPr>
          <w:tcW w:w="2553" w:type="dxa"/>
          <w:vAlign w:val="center"/>
        </w:tcPr>
        <w:p w:rsidR="00DE1D99" w:rsidRDefault="00A7007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DE1D99" w:rsidRDefault="00A7007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06694/INFOEM/IP/RR/2022</w:t>
          </w:r>
        </w:p>
      </w:tc>
    </w:tr>
    <w:tr w:rsidR="00DE1D99">
      <w:trPr>
        <w:trHeight w:val="228"/>
      </w:trPr>
      <w:tc>
        <w:tcPr>
          <w:tcW w:w="2553" w:type="dxa"/>
          <w:vAlign w:val="center"/>
        </w:tcPr>
        <w:p w:rsidR="00DE1D99" w:rsidRDefault="00A7007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DE1D99" w:rsidRDefault="00A7007F">
          <w:pPr>
            <w:ind w:right="79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DE1D99">
      <w:tc>
        <w:tcPr>
          <w:tcW w:w="2553" w:type="dxa"/>
          <w:vAlign w:val="center"/>
        </w:tcPr>
        <w:p w:rsidR="00DE1D99" w:rsidRDefault="00A7007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DE1D99" w:rsidRDefault="00A7007F">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DE1D99" w:rsidRDefault="00A7007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rsidR="00DE1D99" w:rsidRDefault="00DE1D99">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D99" w:rsidRDefault="00A7007F">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-984249</wp:posOffset>
          </wp:positionH>
          <wp:positionV relativeFrom="paragraph">
            <wp:posOffset>-247649</wp:posOffset>
          </wp:positionV>
          <wp:extent cx="7635600" cy="9943200"/>
          <wp:effectExtent l="0" t="0" r="0" b="0"/>
          <wp:wrapNone/>
          <wp:docPr id="7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4"/>
      <w:tblW w:w="6240" w:type="dxa"/>
      <w:tblInd w:w="3685" w:type="dxa"/>
      <w:tblLayout w:type="fixed"/>
      <w:tblLook w:val="0400" w:firstRow="0" w:lastRow="0" w:firstColumn="0" w:lastColumn="0" w:noHBand="0" w:noVBand="1"/>
    </w:tblPr>
    <w:tblGrid>
      <w:gridCol w:w="2553"/>
      <w:gridCol w:w="3687"/>
    </w:tblGrid>
    <w:tr w:rsidR="00DE1D99">
      <w:tc>
        <w:tcPr>
          <w:tcW w:w="2553" w:type="dxa"/>
          <w:vAlign w:val="center"/>
        </w:tcPr>
        <w:p w:rsidR="00DE1D99" w:rsidRDefault="00A7007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DE1D99" w:rsidRDefault="00A7007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06694/INFOEM/IP/RR/2022</w:t>
          </w:r>
        </w:p>
      </w:tc>
    </w:tr>
    <w:tr w:rsidR="00DE1D99">
      <w:tc>
        <w:tcPr>
          <w:tcW w:w="2553" w:type="dxa"/>
          <w:vAlign w:val="center"/>
        </w:tcPr>
        <w:p w:rsidR="00DE1D99" w:rsidRDefault="00A7007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DE1D99" w:rsidRDefault="00111C92" w:rsidP="00111C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w:t>
          </w:r>
        </w:p>
      </w:tc>
    </w:tr>
    <w:tr w:rsidR="00DE1D99">
      <w:trPr>
        <w:trHeight w:val="228"/>
      </w:trPr>
      <w:tc>
        <w:tcPr>
          <w:tcW w:w="2553" w:type="dxa"/>
          <w:vAlign w:val="center"/>
        </w:tcPr>
        <w:p w:rsidR="00DE1D99" w:rsidRDefault="00A7007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DE1D99" w:rsidRDefault="00A7007F">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DE1D99">
      <w:tc>
        <w:tcPr>
          <w:tcW w:w="2553" w:type="dxa"/>
          <w:vAlign w:val="center"/>
        </w:tcPr>
        <w:p w:rsidR="00DE1D99" w:rsidRDefault="00A7007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DE1D99" w:rsidRDefault="00A7007F">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DE1D99" w:rsidRDefault="00DE1D99">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D99" w:rsidRDefault="00A7007F">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DE1D99" w:rsidRDefault="00DE1D9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C543E9"/>
    <w:multiLevelType w:val="multilevel"/>
    <w:tmpl w:val="EAEE51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2B12166E"/>
    <w:multiLevelType w:val="multilevel"/>
    <w:tmpl w:val="4858B7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642715C"/>
    <w:multiLevelType w:val="hybridMultilevel"/>
    <w:tmpl w:val="BCB60312"/>
    <w:lvl w:ilvl="0" w:tplc="65CCA2DE">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B7F4628"/>
    <w:multiLevelType w:val="multilevel"/>
    <w:tmpl w:val="3ACE6EE8"/>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74535D9D"/>
    <w:multiLevelType w:val="multilevel"/>
    <w:tmpl w:val="2DC64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69F777B"/>
    <w:multiLevelType w:val="multilevel"/>
    <w:tmpl w:val="1ADA86BC"/>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4"/>
  </w:num>
  <w:num w:numId="2">
    <w:abstractNumId w:val="0"/>
  </w:num>
  <w:num w:numId="3">
    <w:abstractNumId w:val="5"/>
  </w:num>
  <w:num w:numId="4">
    <w:abstractNumId w:val="6"/>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D99"/>
    <w:rsid w:val="00111C92"/>
    <w:rsid w:val="001B6134"/>
    <w:rsid w:val="003C4DF1"/>
    <w:rsid w:val="00413235"/>
    <w:rsid w:val="007B531E"/>
    <w:rsid w:val="00807F95"/>
    <w:rsid w:val="009F4767"/>
    <w:rsid w:val="00A10D9E"/>
    <w:rsid w:val="00A7007F"/>
    <w:rsid w:val="00A960BC"/>
    <w:rsid w:val="00AA1F2D"/>
    <w:rsid w:val="00B03139"/>
    <w:rsid w:val="00C34711"/>
    <w:rsid w:val="00D9406B"/>
    <w:rsid w:val="00DE1D99"/>
    <w:rsid w:val="00E45F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6C4C23-510D-40C2-A703-5CFB3384F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7C9"/>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xNtIdcB9+g5F2KjfrnBVDIkAlg==">AMUW2mWT44XGFOO1DsKG3YY/4LCWUQygtumCaVTMB7iiWv6+LnPA77ctLs8LFB7sPx8UTyPc0P4rTHUH5qQqUHf2NJ7p7jkOEFQKjni+ftyy/BwrHUbG1IhlH0a49k1fgaxY51x+pIsVNx7qbV1hRQJNPYKHBR8ZxA==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5418</Words>
  <Characters>29803</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35151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cp:lastModifiedBy>
  <cp:revision>2</cp:revision>
  <dcterms:created xsi:type="dcterms:W3CDTF">2022-09-27T17:38:00Z</dcterms:created>
  <dcterms:modified xsi:type="dcterms:W3CDTF">2022-09-27T17:38:00Z</dcterms:modified>
</cp:coreProperties>
</file>