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46E23">
        <w:rPr>
          <w:rFonts w:ascii="Palatino Linotype" w:eastAsia="Palatino Linotype" w:hAnsi="Palatino Linotype" w:cs="Palatino Linotype"/>
          <w:b/>
        </w:rPr>
        <w:t>tres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sidR="00046E23" w:rsidRPr="00046E23">
        <w:rPr>
          <w:rFonts w:ascii="Palatino Linotype" w:eastAsia="Palatino Linotype" w:hAnsi="Palatino Linotype" w:cs="Palatino Linotype"/>
          <w:b/>
        </w:rPr>
        <w:t>05204/INFOEM/IP/RR/2022 05206/INFOEM/IP/RR/2022, 05207/INFOEM/IP/RR/2022 y 05208/INFOEM/IP/RR/2022 acumulados</w:t>
      </w:r>
      <w:r>
        <w:rPr>
          <w:rFonts w:ascii="Palatino Linotype" w:eastAsia="Palatino Linotype" w:hAnsi="Palatino Linotype" w:cs="Palatino Linotype"/>
          <w:b/>
        </w:rPr>
        <w:t xml:space="preserve">, </w:t>
      </w:r>
      <w:r>
        <w:rPr>
          <w:rFonts w:ascii="Palatino Linotype" w:eastAsia="Palatino Linotype" w:hAnsi="Palatino Linotype" w:cs="Palatino Linotype"/>
        </w:rPr>
        <w:t>interpuestos por</w:t>
      </w:r>
      <w:r w:rsidR="00046E23">
        <w:rPr>
          <w:rFonts w:ascii="Palatino Linotype" w:eastAsia="Palatino Linotype" w:hAnsi="Palatino Linotype" w:cs="Palatino Linotype"/>
          <w:b/>
        </w:rPr>
        <w:t xml:space="preserve"> </w:t>
      </w:r>
      <w:r w:rsidR="00A04767" w:rsidRPr="00A04767">
        <w:rPr>
          <w:rFonts w:ascii="Palatino Linotype" w:eastAsia="Palatino Linotype" w:hAnsi="Palatino Linotype" w:cs="Palatino Linotype"/>
          <w:b/>
        </w:rPr>
        <w:t>XXXXX XXXXXX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sidR="00046E23">
        <w:rPr>
          <w:rFonts w:ascii="Palatino Linotype" w:eastAsia="Palatino Linotype" w:hAnsi="Palatino Linotype" w:cs="Palatino Linotype"/>
          <w:b/>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en las solicitudes de información con número de folio </w:t>
      </w:r>
      <w:r w:rsidR="00046E23" w:rsidRPr="00046E23">
        <w:rPr>
          <w:rFonts w:ascii="Palatino Linotype" w:eastAsia="Palatino Linotype" w:hAnsi="Palatino Linotype" w:cs="Palatino Linotype"/>
          <w:b/>
        </w:rPr>
        <w:t>00199/TENANCIN/IP/2022</w:t>
      </w:r>
      <w:r>
        <w:rPr>
          <w:rFonts w:ascii="Palatino Linotype" w:eastAsia="Palatino Linotype" w:hAnsi="Palatino Linotype" w:cs="Palatino Linotype"/>
          <w:b/>
        </w:rPr>
        <w:t xml:space="preserve">, </w:t>
      </w:r>
      <w:r w:rsidR="00046E23">
        <w:rPr>
          <w:rFonts w:ascii="Palatino Linotype" w:eastAsia="Palatino Linotype" w:hAnsi="Palatino Linotype" w:cs="Palatino Linotype"/>
          <w:b/>
        </w:rPr>
        <w:t>00198/TENANCIN/IP/2022</w:t>
      </w:r>
      <w:r>
        <w:rPr>
          <w:rFonts w:ascii="Palatino Linotype" w:eastAsia="Palatino Linotype" w:hAnsi="Palatino Linotype" w:cs="Palatino Linotype"/>
          <w:b/>
        </w:rPr>
        <w:t xml:space="preserve">, </w:t>
      </w:r>
      <w:r w:rsidR="00046E23" w:rsidRPr="00046E23">
        <w:rPr>
          <w:rFonts w:ascii="Palatino Linotype" w:eastAsia="Palatino Linotype" w:hAnsi="Palatino Linotype" w:cs="Palatino Linotype"/>
          <w:b/>
        </w:rPr>
        <w:t>00197/TENANCIN/IP/2022</w:t>
      </w:r>
      <w:r w:rsidR="00046E23">
        <w:rPr>
          <w:rFonts w:ascii="Palatino Linotype" w:eastAsia="Palatino Linotype" w:hAnsi="Palatino Linotype" w:cs="Palatino Linotype"/>
          <w:b/>
        </w:rPr>
        <w:t xml:space="preserve"> y </w:t>
      </w:r>
      <w:r w:rsidR="00046E23" w:rsidRPr="00046E23">
        <w:rPr>
          <w:rFonts w:ascii="Palatino Linotype" w:eastAsia="Palatino Linotype" w:hAnsi="Palatino Linotype" w:cs="Palatino Linotype"/>
          <w:b/>
        </w:rPr>
        <w:t>00196/TENANCIN/IP/2022</w:t>
      </w:r>
      <w:r w:rsidR="00046E23">
        <w:rPr>
          <w:rFonts w:ascii="Palatino Linotype" w:eastAsia="Palatino Linotype" w:hAnsi="Palatino Linotype" w:cs="Palatino Linotype"/>
          <w:b/>
        </w:rPr>
        <w:t xml:space="preserve">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sidR="00046E23" w:rsidRPr="00046E23">
        <w:rPr>
          <w:rFonts w:ascii="Palatino Linotype" w:eastAsia="Palatino Linotype" w:hAnsi="Palatino Linotype" w:cs="Palatino Linotype"/>
          <w:b/>
        </w:rPr>
        <w:t>Ayuntamiento de Tenancingo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C514A1" w:rsidRDefault="008B7725">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C514A1" w:rsidRDefault="008B7725">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1. Solicitudes de acceso a la información.</w:t>
      </w:r>
      <w:r w:rsidR="00046E23">
        <w:rPr>
          <w:rFonts w:ascii="Palatino Linotype" w:eastAsia="Palatino Linotype" w:hAnsi="Palatino Linotype" w:cs="Palatino Linotype"/>
        </w:rPr>
        <w:t xml:space="preserve"> En fecha</w:t>
      </w:r>
      <w:r>
        <w:rPr>
          <w:rFonts w:ascii="Palatino Linotype" w:eastAsia="Palatino Linotype" w:hAnsi="Palatino Linotype" w:cs="Palatino Linotype"/>
        </w:rPr>
        <w:t xml:space="preserve">, </w:t>
      </w:r>
      <w:r w:rsidR="00046E23">
        <w:rPr>
          <w:rFonts w:ascii="Palatino Linotype" w:eastAsia="Palatino Linotype" w:hAnsi="Palatino Linotype" w:cs="Palatino Linotype"/>
          <w:b/>
        </w:rPr>
        <w:t>diecisiete de marz</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p w:rsidR="00046E23" w:rsidRDefault="00046E23">
      <w:pPr>
        <w:spacing w:before="240" w:after="240" w:line="360" w:lineRule="auto"/>
        <w:jc w:val="both"/>
        <w:rPr>
          <w:rFonts w:ascii="Palatino Linotype" w:eastAsia="Palatino Linotype" w:hAnsi="Palatino Linotype" w:cs="Palatino Linotype"/>
        </w:rPr>
      </w:pPr>
    </w:p>
    <w:p w:rsidR="00046E23" w:rsidRDefault="00046E23">
      <w:pPr>
        <w:spacing w:before="240" w:after="240" w:line="360" w:lineRule="auto"/>
        <w:jc w:val="both"/>
        <w:rPr>
          <w:rFonts w:ascii="Palatino Linotype" w:eastAsia="Palatino Linotype" w:hAnsi="Palatino Linotype" w:cs="Palatino Linotype"/>
        </w:rPr>
      </w:pPr>
    </w:p>
    <w:tbl>
      <w:tblPr>
        <w:tblStyle w:val="af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514A1">
        <w:tc>
          <w:tcPr>
            <w:tcW w:w="4460" w:type="dxa"/>
            <w:shd w:val="clear" w:color="auto" w:fill="2F5496"/>
          </w:tcPr>
          <w:p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lastRenderedPageBreak/>
              <w:t>Número de solicitud</w:t>
            </w:r>
          </w:p>
        </w:tc>
        <w:tc>
          <w:tcPr>
            <w:tcW w:w="4461" w:type="dxa"/>
            <w:shd w:val="clear" w:color="auto" w:fill="2F5496"/>
          </w:tcPr>
          <w:p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Requerimientos</w:t>
            </w:r>
          </w:p>
        </w:tc>
      </w:tr>
      <w:tr w:rsidR="00C514A1">
        <w:tc>
          <w:tcPr>
            <w:tcW w:w="4460" w:type="dxa"/>
          </w:tcPr>
          <w:p w:rsidR="00C514A1" w:rsidRDefault="00046E23">
            <w:pPr>
              <w:spacing w:before="240" w:after="240"/>
              <w:jc w:val="center"/>
              <w:rPr>
                <w:rFonts w:ascii="Palatino Linotype" w:eastAsia="Palatino Linotype" w:hAnsi="Palatino Linotype" w:cs="Palatino Linotype"/>
                <w:b/>
                <w:sz w:val="20"/>
                <w:szCs w:val="20"/>
              </w:rPr>
            </w:pPr>
            <w:r w:rsidRPr="00046E23">
              <w:rPr>
                <w:rFonts w:ascii="Palatino Linotype" w:eastAsia="Palatino Linotype" w:hAnsi="Palatino Linotype" w:cs="Palatino Linotype"/>
                <w:b/>
                <w:sz w:val="20"/>
                <w:szCs w:val="20"/>
              </w:rPr>
              <w:t>00199/TENANCIN/IP/2022</w:t>
            </w:r>
            <w:r w:rsidR="008B7725">
              <w:rPr>
                <w:rFonts w:ascii="Palatino Linotype" w:eastAsia="Palatino Linotype" w:hAnsi="Palatino Linotype" w:cs="Palatino Linotype"/>
                <w:b/>
                <w:sz w:val="20"/>
                <w:szCs w:val="20"/>
              </w:rPr>
              <w:t xml:space="preserve">, </w:t>
            </w:r>
            <w:r w:rsidR="008B7725">
              <w:rPr>
                <w:rFonts w:ascii="Palatino Linotype" w:eastAsia="Palatino Linotype" w:hAnsi="Palatino Linotype" w:cs="Palatino Linotype"/>
                <w:sz w:val="20"/>
                <w:szCs w:val="20"/>
              </w:rPr>
              <w:t>correspondiente al Recurso de Revisión</w:t>
            </w:r>
            <w:r w:rsidR="008B7725">
              <w:rPr>
                <w:rFonts w:ascii="Palatino Linotype" w:eastAsia="Palatino Linotype" w:hAnsi="Palatino Linotype" w:cs="Palatino Linotype"/>
                <w:b/>
                <w:sz w:val="20"/>
                <w:szCs w:val="20"/>
              </w:rPr>
              <w:t xml:space="preserve"> </w:t>
            </w:r>
            <w:r w:rsidRPr="00046E23">
              <w:rPr>
                <w:rFonts w:ascii="Palatino Linotype" w:eastAsia="Palatino Linotype" w:hAnsi="Palatino Linotype" w:cs="Palatino Linotype"/>
                <w:b/>
                <w:sz w:val="20"/>
                <w:szCs w:val="20"/>
              </w:rPr>
              <w:t>05204/INFOEM/IP/RR/2022</w:t>
            </w:r>
          </w:p>
        </w:tc>
        <w:tc>
          <w:tcPr>
            <w:tcW w:w="4461" w:type="dxa"/>
          </w:tcPr>
          <w:p w:rsidR="00C514A1" w:rsidRDefault="008B7725">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046E23" w:rsidRPr="00046E23">
              <w:rPr>
                <w:rFonts w:ascii="Palatino Linotype" w:eastAsia="Palatino Linotype" w:hAnsi="Palatino Linotype" w:cs="Palatino Linotype"/>
                <w:i/>
                <w:sz w:val="20"/>
                <w:szCs w:val="20"/>
              </w:rPr>
              <w:t xml:space="preserve">Solicito </w:t>
            </w:r>
            <w:r w:rsidR="00046E23" w:rsidRPr="00046E23">
              <w:rPr>
                <w:rFonts w:ascii="Palatino Linotype" w:eastAsia="Palatino Linotype" w:hAnsi="Palatino Linotype" w:cs="Palatino Linotype"/>
                <w:b/>
                <w:i/>
                <w:sz w:val="20"/>
                <w:szCs w:val="20"/>
              </w:rPr>
              <w:t>la relación del personal adscrito a la secretaria particular en la quincena de primero de marzo 2022, listas de asistencia de todos los adscritos al área mencionada, recibos de nómina de la primer quincena de marzo 2022, curriculum vitae de todos los adscritos al área, gafete de todos los adscritos al área, contrato de los servidores públicos adscritos al área.</w:t>
            </w:r>
            <w:r>
              <w:rPr>
                <w:rFonts w:ascii="Palatino Linotype" w:eastAsia="Palatino Linotype" w:hAnsi="Palatino Linotype" w:cs="Palatino Linotype"/>
                <w:i/>
                <w:sz w:val="20"/>
                <w:szCs w:val="20"/>
              </w:rPr>
              <w:t>” (Sic)</w:t>
            </w:r>
          </w:p>
        </w:tc>
      </w:tr>
      <w:tr w:rsidR="00C514A1">
        <w:tc>
          <w:tcPr>
            <w:tcW w:w="4460" w:type="dxa"/>
          </w:tcPr>
          <w:p w:rsidR="00C514A1" w:rsidRDefault="00046E23">
            <w:pPr>
              <w:spacing w:before="240" w:after="240"/>
              <w:jc w:val="center"/>
              <w:rPr>
                <w:rFonts w:ascii="Palatino Linotype" w:eastAsia="Palatino Linotype" w:hAnsi="Palatino Linotype" w:cs="Palatino Linotype"/>
                <w:b/>
              </w:rPr>
            </w:pPr>
            <w:r w:rsidRPr="00046E23">
              <w:rPr>
                <w:rFonts w:ascii="Palatino Linotype" w:eastAsia="Palatino Linotype" w:hAnsi="Palatino Linotype" w:cs="Palatino Linotype"/>
                <w:b/>
                <w:sz w:val="20"/>
                <w:szCs w:val="20"/>
              </w:rPr>
              <w:t>00198/TENANCIN/IP/2022</w:t>
            </w:r>
            <w:r w:rsidR="008B7725">
              <w:rPr>
                <w:rFonts w:ascii="Palatino Linotype" w:eastAsia="Palatino Linotype" w:hAnsi="Palatino Linotype" w:cs="Palatino Linotype"/>
                <w:b/>
                <w:sz w:val="20"/>
                <w:szCs w:val="20"/>
              </w:rPr>
              <w:t xml:space="preserve">, </w:t>
            </w:r>
            <w:r w:rsidR="008B7725">
              <w:rPr>
                <w:rFonts w:ascii="Palatino Linotype" w:eastAsia="Palatino Linotype" w:hAnsi="Palatino Linotype" w:cs="Palatino Linotype"/>
                <w:sz w:val="20"/>
                <w:szCs w:val="20"/>
              </w:rPr>
              <w:t>correspondiente al Recurso de Revisión</w:t>
            </w:r>
            <w:r w:rsidR="008B7725">
              <w:rPr>
                <w:rFonts w:ascii="Palatino Linotype" w:eastAsia="Palatino Linotype" w:hAnsi="Palatino Linotype" w:cs="Palatino Linotype"/>
                <w:b/>
                <w:sz w:val="20"/>
                <w:szCs w:val="20"/>
              </w:rPr>
              <w:t xml:space="preserve">  </w:t>
            </w:r>
            <w:r w:rsidRPr="00046E23">
              <w:rPr>
                <w:rFonts w:ascii="Palatino Linotype" w:eastAsia="Palatino Linotype" w:hAnsi="Palatino Linotype" w:cs="Palatino Linotype"/>
                <w:b/>
                <w:sz w:val="20"/>
                <w:szCs w:val="20"/>
              </w:rPr>
              <w:t>05206/INFOEM/IP/RR/2022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046E23" w:rsidRPr="00046E23">
              <w:rPr>
                <w:rFonts w:ascii="Palatino Linotype" w:eastAsia="Palatino Linotype" w:hAnsi="Palatino Linotype" w:cs="Palatino Linotype"/>
                <w:i/>
                <w:sz w:val="20"/>
                <w:szCs w:val="20"/>
              </w:rPr>
              <w:t>Solicito la relación del personal adscrito a la secretaria particular en la quincena de primero de marzo 2022, listas de asistencia de todos los adscritos al área mencionada, recibos de nómina de la primer quincena de marzo 2022, curriculum vitae de todos los adscritos al área, gafete de todos los adscritos al área, contrato de los servidores públicos adscritos al área.</w:t>
            </w:r>
            <w:r>
              <w:rPr>
                <w:rFonts w:ascii="Palatino Linotype" w:eastAsia="Palatino Linotype" w:hAnsi="Palatino Linotype" w:cs="Palatino Linotype"/>
                <w:i/>
                <w:sz w:val="20"/>
                <w:szCs w:val="20"/>
              </w:rPr>
              <w:t>” (Sic)</w:t>
            </w:r>
          </w:p>
        </w:tc>
      </w:tr>
      <w:tr w:rsidR="00C514A1">
        <w:tc>
          <w:tcPr>
            <w:tcW w:w="4460" w:type="dxa"/>
          </w:tcPr>
          <w:p w:rsidR="00C514A1" w:rsidRDefault="00046E23">
            <w:pPr>
              <w:spacing w:before="240" w:after="240"/>
              <w:jc w:val="center"/>
              <w:rPr>
                <w:rFonts w:ascii="Palatino Linotype" w:eastAsia="Palatino Linotype" w:hAnsi="Palatino Linotype" w:cs="Palatino Linotype"/>
                <w:b/>
              </w:rPr>
            </w:pPr>
            <w:r w:rsidRPr="00046E23">
              <w:rPr>
                <w:rFonts w:ascii="Palatino Linotype" w:eastAsia="Palatino Linotype" w:hAnsi="Palatino Linotype" w:cs="Palatino Linotype"/>
                <w:b/>
                <w:sz w:val="20"/>
                <w:szCs w:val="20"/>
              </w:rPr>
              <w:t>00197/TENANCIN/IP/2022</w:t>
            </w:r>
            <w:r w:rsidR="008B7725">
              <w:rPr>
                <w:rFonts w:ascii="Palatino Linotype" w:eastAsia="Palatino Linotype" w:hAnsi="Palatino Linotype" w:cs="Palatino Linotype"/>
                <w:b/>
                <w:sz w:val="20"/>
                <w:szCs w:val="20"/>
              </w:rPr>
              <w:t xml:space="preserve">, </w:t>
            </w:r>
            <w:r w:rsidR="008B7725">
              <w:rPr>
                <w:rFonts w:ascii="Palatino Linotype" w:eastAsia="Palatino Linotype" w:hAnsi="Palatino Linotype" w:cs="Palatino Linotype"/>
                <w:sz w:val="20"/>
                <w:szCs w:val="20"/>
              </w:rPr>
              <w:t>correspondiente al Recurso de Revisión</w:t>
            </w:r>
            <w:r w:rsidR="008B7725">
              <w:rPr>
                <w:rFonts w:ascii="Palatino Linotype" w:eastAsia="Palatino Linotype" w:hAnsi="Palatino Linotype" w:cs="Palatino Linotype"/>
                <w:b/>
                <w:sz w:val="20"/>
                <w:szCs w:val="20"/>
              </w:rPr>
              <w:t xml:space="preserve"> </w:t>
            </w:r>
            <w:r w:rsidRPr="00046E23">
              <w:rPr>
                <w:rFonts w:ascii="Palatino Linotype" w:eastAsia="Palatino Linotype" w:hAnsi="Palatino Linotype" w:cs="Palatino Linotype"/>
                <w:b/>
                <w:sz w:val="20"/>
                <w:szCs w:val="20"/>
              </w:rPr>
              <w:t>05207/INFOEM/IP/RR/2022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046E23" w:rsidRPr="00046E23">
              <w:rPr>
                <w:rFonts w:ascii="Palatino Linotype" w:eastAsia="Palatino Linotype" w:hAnsi="Palatino Linotype" w:cs="Palatino Linotype"/>
                <w:i/>
                <w:sz w:val="20"/>
                <w:szCs w:val="20"/>
              </w:rPr>
              <w:t>Solicito la relación del personal adscrito a la secretaria particular en la quincena de primero de marzo 2022, listas de asistencia de todos los adscritos al área mencionada, recibos de nómina de la primer quincena de marzo 2022, curriculum vitae de todos los adscritos al área, gafete de todos los adscritos al área, contrato de los servidores públicos adscritos al área.</w:t>
            </w:r>
            <w:r>
              <w:rPr>
                <w:rFonts w:ascii="Palatino Linotype" w:eastAsia="Palatino Linotype" w:hAnsi="Palatino Linotype" w:cs="Palatino Linotype"/>
                <w:i/>
                <w:sz w:val="20"/>
                <w:szCs w:val="20"/>
              </w:rPr>
              <w:t>” (Sic)</w:t>
            </w:r>
          </w:p>
        </w:tc>
      </w:tr>
      <w:tr w:rsidR="00C514A1">
        <w:tc>
          <w:tcPr>
            <w:tcW w:w="4460" w:type="dxa"/>
          </w:tcPr>
          <w:p w:rsidR="00C514A1" w:rsidRDefault="00046E23">
            <w:pPr>
              <w:spacing w:before="240" w:after="240"/>
              <w:jc w:val="center"/>
              <w:rPr>
                <w:rFonts w:ascii="Palatino Linotype" w:eastAsia="Palatino Linotype" w:hAnsi="Palatino Linotype" w:cs="Palatino Linotype"/>
                <w:b/>
              </w:rPr>
            </w:pPr>
            <w:r w:rsidRPr="00046E23">
              <w:rPr>
                <w:rFonts w:ascii="Palatino Linotype" w:eastAsia="Palatino Linotype" w:hAnsi="Palatino Linotype" w:cs="Palatino Linotype"/>
                <w:b/>
                <w:sz w:val="20"/>
                <w:szCs w:val="20"/>
              </w:rPr>
              <w:t>00196/TENANCIN/IP/2022</w:t>
            </w:r>
            <w:r w:rsidR="008B7725">
              <w:rPr>
                <w:rFonts w:ascii="Palatino Linotype" w:eastAsia="Palatino Linotype" w:hAnsi="Palatino Linotype" w:cs="Palatino Linotype"/>
                <w:b/>
                <w:sz w:val="20"/>
                <w:szCs w:val="20"/>
              </w:rPr>
              <w:t xml:space="preserve">, </w:t>
            </w:r>
            <w:r w:rsidR="008B7725">
              <w:rPr>
                <w:rFonts w:ascii="Palatino Linotype" w:eastAsia="Palatino Linotype" w:hAnsi="Palatino Linotype" w:cs="Palatino Linotype"/>
                <w:sz w:val="20"/>
                <w:szCs w:val="20"/>
              </w:rPr>
              <w:t>correspondiente al Recurso de Revisión</w:t>
            </w:r>
            <w:r w:rsidR="008B7725">
              <w:rPr>
                <w:rFonts w:ascii="Palatino Linotype" w:eastAsia="Palatino Linotype" w:hAnsi="Palatino Linotype" w:cs="Palatino Linotype"/>
                <w:b/>
                <w:sz w:val="20"/>
                <w:szCs w:val="20"/>
              </w:rPr>
              <w:t xml:space="preserve"> </w:t>
            </w:r>
            <w:r w:rsidRPr="00046E23">
              <w:rPr>
                <w:rFonts w:ascii="Palatino Linotype" w:eastAsia="Palatino Linotype" w:hAnsi="Palatino Linotype" w:cs="Palatino Linotype"/>
                <w:b/>
                <w:sz w:val="20"/>
                <w:szCs w:val="20"/>
              </w:rPr>
              <w:t>05208/INFOEM/IP/RR/2022</w:t>
            </w:r>
          </w:p>
        </w:tc>
        <w:tc>
          <w:tcPr>
            <w:tcW w:w="4461" w:type="dxa"/>
          </w:tcPr>
          <w:p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046E23" w:rsidRPr="00046E23">
              <w:rPr>
                <w:rFonts w:ascii="Palatino Linotype" w:eastAsia="Palatino Linotype" w:hAnsi="Palatino Linotype" w:cs="Palatino Linotype"/>
                <w:i/>
                <w:sz w:val="20"/>
                <w:szCs w:val="20"/>
              </w:rPr>
              <w:t>Solicito la relación del personal adscrito a la oficina de presidencia en la quincena de primero de marzo 2022, listas de asistencia de todos los adscritos a la oficina de presidencia, recibos de nómina de la primer quincena de marzo 2022, curriculum vitae, gafette, contrato de los servidores públicos.</w:t>
            </w:r>
            <w:r>
              <w:rPr>
                <w:rFonts w:ascii="Palatino Linotype" w:eastAsia="Palatino Linotype" w:hAnsi="Palatino Linotype" w:cs="Palatino Linotype"/>
                <w:i/>
                <w:sz w:val="20"/>
                <w:szCs w:val="20"/>
              </w:rPr>
              <w:t>” (Sic)</w:t>
            </w:r>
          </w:p>
        </w:tc>
      </w:tr>
    </w:tbl>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C514A1" w:rsidRPr="00046E23"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Respuestas. </w:t>
      </w:r>
      <w:r>
        <w:rPr>
          <w:rFonts w:ascii="Palatino Linotype" w:eastAsia="Palatino Linotype" w:hAnsi="Palatino Linotype" w:cs="Palatino Linotype"/>
        </w:rPr>
        <w:t xml:space="preserve"> En fecha </w:t>
      </w:r>
      <w:r w:rsidR="00046E23">
        <w:rPr>
          <w:rFonts w:ascii="Palatino Linotype" w:eastAsia="Palatino Linotype" w:hAnsi="Palatino Linotype" w:cs="Palatino Linotype"/>
          <w:b/>
        </w:rPr>
        <w:t>veinticinco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w:t>
      </w:r>
      <w:r w:rsidRPr="00C40ABE">
        <w:rPr>
          <w:rFonts w:ascii="Palatino Linotype" w:eastAsia="Palatino Linotype" w:hAnsi="Palatino Linotype" w:cs="Palatino Linotype"/>
          <w:b/>
        </w:rPr>
        <w:t>Obligado</w:t>
      </w:r>
      <w:r w:rsidRPr="00C40ABE">
        <w:rPr>
          <w:rFonts w:ascii="Palatino Linotype" w:eastAsia="Palatino Linotype" w:hAnsi="Palatino Linotype" w:cs="Palatino Linotype"/>
        </w:rPr>
        <w:t xml:space="preserve"> notificó</w:t>
      </w:r>
      <w:r>
        <w:rPr>
          <w:rFonts w:ascii="Palatino Linotype" w:eastAsia="Palatino Linotype" w:hAnsi="Palatino Linotype" w:cs="Palatino Linotype"/>
        </w:rPr>
        <w:t xml:space="preserv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w:t>
      </w:r>
      <w:r w:rsidR="00C40ABE">
        <w:rPr>
          <w:rFonts w:ascii="Palatino Linotype" w:eastAsia="Palatino Linotype" w:hAnsi="Palatino Linotype" w:cs="Palatino Linotype"/>
        </w:rPr>
        <w:t>e</w:t>
      </w:r>
      <w:r w:rsidR="000D20C5">
        <w:rPr>
          <w:rFonts w:ascii="Palatino Linotype" w:eastAsia="Palatino Linotype" w:hAnsi="Palatino Linotype" w:cs="Palatino Linotype"/>
        </w:rPr>
        <w:t xml:space="preserve">n la totalidad de los expedientes, </w:t>
      </w:r>
      <w:r>
        <w:rPr>
          <w:rFonts w:ascii="Palatino Linotype" w:eastAsia="Palatino Linotype" w:hAnsi="Palatino Linotype" w:cs="Palatino Linotype"/>
        </w:rPr>
        <w:t xml:space="preserve">las respuestas a sus solicitudes en los términos siguientes: </w:t>
      </w:r>
    </w:p>
    <w:p w:rsidR="004D042F" w:rsidRPr="004D042F" w:rsidRDefault="000D20C5" w:rsidP="004D042F">
      <w:pPr>
        <w:ind w:left="567" w:right="900"/>
        <w:jc w:val="both"/>
        <w:rPr>
          <w:rFonts w:ascii="Palatino Linotype" w:hAnsi="Palatino Linotype"/>
          <w:i/>
          <w:sz w:val="22"/>
        </w:rPr>
      </w:pPr>
      <w:r w:rsidRPr="004D042F">
        <w:rPr>
          <w:rFonts w:ascii="Palatino Linotype" w:hAnsi="Palatino Linotype"/>
          <w:i/>
          <w:sz w:val="22"/>
        </w:rPr>
        <w:t xml:space="preserve"> </w:t>
      </w:r>
      <w:r w:rsidR="00046E23" w:rsidRPr="004D042F">
        <w:rPr>
          <w:rFonts w:ascii="Palatino Linotype" w:hAnsi="Palatino Linotype"/>
          <w:i/>
          <w:sz w:val="22"/>
        </w:rPr>
        <w:t>“</w:t>
      </w:r>
      <w:r w:rsidR="004D042F" w:rsidRPr="004D042F">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D042F" w:rsidRPr="004D042F" w:rsidRDefault="004D042F" w:rsidP="004D042F">
      <w:pPr>
        <w:ind w:left="567" w:right="900"/>
        <w:jc w:val="both"/>
        <w:rPr>
          <w:rFonts w:ascii="Palatino Linotype" w:hAnsi="Palatino Linotype"/>
          <w:i/>
          <w:sz w:val="22"/>
        </w:rPr>
      </w:pPr>
      <w:r w:rsidRPr="004D042F">
        <w:rPr>
          <w:rFonts w:ascii="Palatino Linotype" w:hAnsi="Palatino Linotype"/>
          <w:i/>
          <w:sz w:val="22"/>
        </w:rPr>
        <w:t>SE ENVIA RESPUESTA A LA SOLICITUD</w:t>
      </w:r>
    </w:p>
    <w:p w:rsidR="004D042F" w:rsidRPr="004D042F" w:rsidRDefault="004D042F" w:rsidP="004D042F">
      <w:pPr>
        <w:ind w:left="567" w:right="900"/>
        <w:jc w:val="both"/>
        <w:rPr>
          <w:rFonts w:ascii="Palatino Linotype" w:hAnsi="Palatino Linotype"/>
          <w:i/>
          <w:sz w:val="22"/>
        </w:rPr>
      </w:pPr>
      <w:r w:rsidRPr="004D042F">
        <w:rPr>
          <w:rFonts w:ascii="Palatino Linotype" w:hAnsi="Palatino Linotype"/>
          <w:i/>
          <w:sz w:val="22"/>
        </w:rPr>
        <w:t>ATENTAMENTE</w:t>
      </w:r>
    </w:p>
    <w:p w:rsidR="00046E23" w:rsidRDefault="004D042F" w:rsidP="004D042F">
      <w:pPr>
        <w:ind w:left="567" w:right="900"/>
        <w:jc w:val="both"/>
        <w:rPr>
          <w:rFonts w:ascii="Palatino Linotype" w:hAnsi="Palatino Linotype"/>
          <w:i/>
          <w:sz w:val="22"/>
        </w:rPr>
      </w:pPr>
      <w:r w:rsidRPr="004D042F">
        <w:rPr>
          <w:rFonts w:ascii="Palatino Linotype" w:hAnsi="Palatino Linotype"/>
          <w:i/>
          <w:sz w:val="22"/>
        </w:rPr>
        <w:t>L. en D. OSCAR MANUEL MARTINEZ RODRIGUEZ</w:t>
      </w:r>
      <w:r>
        <w:rPr>
          <w:rFonts w:ascii="Palatino Linotype" w:hAnsi="Palatino Linotype"/>
          <w:i/>
          <w:sz w:val="22"/>
        </w:rPr>
        <w:t>”</w:t>
      </w:r>
    </w:p>
    <w:p w:rsidR="004D042F" w:rsidRDefault="004D042F" w:rsidP="004D042F">
      <w:pPr>
        <w:ind w:left="567" w:right="900"/>
        <w:jc w:val="both"/>
        <w:rPr>
          <w:rFonts w:ascii="Palatino Linotype" w:hAnsi="Palatino Linotype"/>
          <w:i/>
          <w:sz w:val="22"/>
        </w:rPr>
      </w:pPr>
    </w:p>
    <w:p w:rsidR="004D042F" w:rsidRDefault="004D042F" w:rsidP="004D042F">
      <w:pPr>
        <w:ind w:left="567" w:right="900"/>
        <w:jc w:val="both"/>
        <w:rPr>
          <w:rFonts w:ascii="Palatino Linotype" w:hAnsi="Palatino Linotype"/>
          <w:b/>
          <w:sz w:val="22"/>
        </w:rPr>
      </w:pPr>
      <w:r>
        <w:rPr>
          <w:rFonts w:ascii="Palatino Linotype" w:hAnsi="Palatino Linotype"/>
          <w:b/>
          <w:sz w:val="22"/>
        </w:rPr>
        <w:t xml:space="preserve">Archivos adjuntos: </w:t>
      </w:r>
    </w:p>
    <w:p w:rsidR="000D20C5" w:rsidRPr="000D20C5" w:rsidRDefault="004D042F" w:rsidP="000D20C5">
      <w:pPr>
        <w:ind w:left="567" w:right="900"/>
        <w:jc w:val="both"/>
        <w:rPr>
          <w:rFonts w:ascii="Palatino Linotype" w:hAnsi="Palatino Linotype"/>
          <w:b/>
          <w:i/>
          <w:sz w:val="22"/>
        </w:rPr>
      </w:pPr>
      <w:r>
        <w:rPr>
          <w:rFonts w:ascii="Palatino Linotype" w:hAnsi="Palatino Linotype"/>
          <w:b/>
          <w:i/>
          <w:sz w:val="22"/>
        </w:rPr>
        <w:t>“</w:t>
      </w:r>
      <w:r w:rsidRPr="004D042F">
        <w:rPr>
          <w:rFonts w:ascii="Palatino Linotype" w:hAnsi="Palatino Linotype"/>
          <w:b/>
          <w:i/>
          <w:sz w:val="22"/>
        </w:rPr>
        <w:t>199-RESP-RH.pdf</w:t>
      </w:r>
      <w:r>
        <w:rPr>
          <w:rFonts w:ascii="Palatino Linotype" w:hAnsi="Palatino Linotype"/>
          <w:b/>
          <w:i/>
          <w:sz w:val="22"/>
        </w:rPr>
        <w:t>”</w:t>
      </w:r>
      <w:r w:rsidR="000D20C5">
        <w:t>, “</w:t>
      </w:r>
      <w:r w:rsidR="000D20C5" w:rsidRPr="000D20C5">
        <w:rPr>
          <w:rFonts w:ascii="Palatino Linotype" w:hAnsi="Palatino Linotype"/>
          <w:b/>
          <w:i/>
          <w:sz w:val="22"/>
        </w:rPr>
        <w:t>198-RESP-RH.pdf</w:t>
      </w:r>
      <w:r w:rsidR="000D20C5">
        <w:rPr>
          <w:rFonts w:ascii="Palatino Linotype" w:hAnsi="Palatino Linotype"/>
          <w:b/>
          <w:i/>
          <w:sz w:val="22"/>
        </w:rPr>
        <w:t>”</w:t>
      </w:r>
    </w:p>
    <w:p w:rsidR="000D20C5" w:rsidRDefault="000D20C5" w:rsidP="0050185E">
      <w:pPr>
        <w:spacing w:line="360" w:lineRule="auto"/>
        <w:ind w:left="567" w:right="900"/>
        <w:jc w:val="both"/>
        <w:rPr>
          <w:rFonts w:ascii="Palatino Linotype" w:hAnsi="Palatino Linotype"/>
          <w:sz w:val="22"/>
        </w:rPr>
      </w:pPr>
      <w:r>
        <w:rPr>
          <w:rFonts w:ascii="Palatino Linotype" w:hAnsi="Palatino Linotype"/>
          <w:b/>
          <w:i/>
          <w:sz w:val="22"/>
        </w:rPr>
        <w:t>“</w:t>
      </w:r>
      <w:r w:rsidRPr="000D20C5">
        <w:rPr>
          <w:rFonts w:ascii="Palatino Linotype" w:hAnsi="Palatino Linotype"/>
          <w:b/>
          <w:i/>
          <w:sz w:val="22"/>
        </w:rPr>
        <w:t>196-RESP-RH.pdf</w:t>
      </w:r>
      <w:r>
        <w:rPr>
          <w:rFonts w:ascii="Palatino Linotype" w:hAnsi="Palatino Linotype"/>
          <w:b/>
          <w:i/>
          <w:sz w:val="22"/>
        </w:rPr>
        <w:t>” y “</w:t>
      </w:r>
      <w:r w:rsidRPr="000D20C5">
        <w:rPr>
          <w:rFonts w:ascii="Palatino Linotype" w:hAnsi="Palatino Linotype"/>
          <w:b/>
          <w:i/>
          <w:sz w:val="22"/>
        </w:rPr>
        <w:t>197-RESP-RH.pdf</w:t>
      </w:r>
      <w:r>
        <w:rPr>
          <w:rFonts w:ascii="Palatino Linotype" w:hAnsi="Palatino Linotype"/>
          <w:b/>
          <w:i/>
          <w:sz w:val="22"/>
        </w:rPr>
        <w:t xml:space="preserve">”: </w:t>
      </w:r>
      <w:r>
        <w:rPr>
          <w:rFonts w:ascii="Palatino Linotype" w:hAnsi="Palatino Linotype"/>
          <w:sz w:val="22"/>
        </w:rPr>
        <w:t xml:space="preserve">Oficio de dos fojas suscrito por el Coordinador de Recursos Humanos, en el que manifiesta que </w:t>
      </w:r>
      <w:r w:rsidR="0050185E">
        <w:rPr>
          <w:rFonts w:ascii="Palatino Linotype" w:hAnsi="Palatino Linotype"/>
          <w:sz w:val="22"/>
        </w:rPr>
        <w:t xml:space="preserve">no es posible proporcionar la información de manera electrónica por la extensión, es imposible cargarla a la plataforma. </w:t>
      </w:r>
    </w:p>
    <w:p w:rsidR="0050185E" w:rsidRDefault="0050185E" w:rsidP="000D20C5">
      <w:pPr>
        <w:ind w:left="567" w:right="900"/>
        <w:jc w:val="both"/>
        <w:rPr>
          <w:rFonts w:ascii="Palatino Linotype" w:hAnsi="Palatino Linotype"/>
          <w:sz w:val="22"/>
        </w:rPr>
      </w:pPr>
      <w:r>
        <w:rPr>
          <w:rFonts w:ascii="Palatino Linotype" w:hAnsi="Palatino Linotype"/>
          <w:noProof/>
          <w:sz w:val="22"/>
          <w:lang w:val="es-MX"/>
        </w:rPr>
        <w:lastRenderedPageBreak/>
        <w:drawing>
          <wp:inline distT="0" distB="0" distL="0" distR="0">
            <wp:extent cx="4714875" cy="5943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5943600"/>
                    </a:xfrm>
                    <a:prstGeom prst="rect">
                      <a:avLst/>
                    </a:prstGeom>
                    <a:noFill/>
                    <a:ln>
                      <a:noFill/>
                    </a:ln>
                  </pic:spPr>
                </pic:pic>
              </a:graphicData>
            </a:graphic>
          </wp:inline>
        </w:drawing>
      </w:r>
    </w:p>
    <w:p w:rsidR="0050185E" w:rsidRPr="000D20C5" w:rsidRDefault="0050185E" w:rsidP="000D20C5">
      <w:pPr>
        <w:ind w:left="567" w:right="900"/>
        <w:jc w:val="both"/>
        <w:rPr>
          <w:rFonts w:ascii="Palatino Linotype" w:hAnsi="Palatino Linotype"/>
          <w:sz w:val="22"/>
        </w:rPr>
      </w:pPr>
    </w:p>
    <w:p w:rsidR="000D20C5" w:rsidRDefault="0050185E" w:rsidP="000D20C5">
      <w:pPr>
        <w:ind w:left="567" w:right="900"/>
        <w:jc w:val="both"/>
        <w:rPr>
          <w:rFonts w:ascii="Palatino Linotype" w:hAnsi="Palatino Linotype"/>
          <w:b/>
          <w:i/>
          <w:sz w:val="22"/>
        </w:rPr>
      </w:pPr>
      <w:r>
        <w:rPr>
          <w:rFonts w:ascii="Palatino Linotype" w:hAnsi="Palatino Linotype"/>
          <w:b/>
          <w:i/>
          <w:noProof/>
          <w:sz w:val="22"/>
          <w:lang w:val="es-MX"/>
        </w:rPr>
        <w:lastRenderedPageBreak/>
        <w:drawing>
          <wp:inline distT="0" distB="0" distL="0" distR="0">
            <wp:extent cx="4905375" cy="5400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5400675"/>
                    </a:xfrm>
                    <a:prstGeom prst="rect">
                      <a:avLst/>
                    </a:prstGeom>
                    <a:noFill/>
                    <a:ln>
                      <a:noFill/>
                    </a:ln>
                  </pic:spPr>
                </pic:pic>
              </a:graphicData>
            </a:graphic>
          </wp:inline>
        </w:drawing>
      </w:r>
    </w:p>
    <w:p w:rsidR="000D20C5" w:rsidRPr="000D20C5" w:rsidRDefault="000D20C5" w:rsidP="000D20C5">
      <w:pPr>
        <w:ind w:left="567" w:right="900"/>
        <w:jc w:val="both"/>
        <w:rPr>
          <w:rFonts w:ascii="Palatino Linotype" w:hAnsi="Palatino Linotype"/>
          <w:b/>
          <w:i/>
          <w:sz w:val="22"/>
        </w:rPr>
      </w:pPr>
    </w:p>
    <w:p w:rsidR="004D042F" w:rsidRDefault="0050185E" w:rsidP="0050185E">
      <w:pPr>
        <w:spacing w:line="360" w:lineRule="auto"/>
        <w:ind w:left="567" w:right="900"/>
        <w:jc w:val="both"/>
        <w:rPr>
          <w:rFonts w:ascii="Palatino Linotype" w:hAnsi="Palatino Linotype"/>
          <w:sz w:val="22"/>
        </w:rPr>
      </w:pPr>
      <w:r>
        <w:rPr>
          <w:rFonts w:ascii="Palatino Linotype" w:hAnsi="Palatino Linotype"/>
          <w:b/>
          <w:i/>
          <w:sz w:val="22"/>
        </w:rPr>
        <w:t>“</w:t>
      </w:r>
      <w:r w:rsidR="000D20C5" w:rsidRPr="000D20C5">
        <w:rPr>
          <w:rFonts w:ascii="Palatino Linotype" w:hAnsi="Palatino Linotype"/>
          <w:b/>
          <w:i/>
          <w:sz w:val="22"/>
        </w:rPr>
        <w:t>196-RESP-TESO.pdf</w:t>
      </w:r>
      <w:r>
        <w:rPr>
          <w:rFonts w:ascii="Palatino Linotype" w:hAnsi="Palatino Linotype"/>
          <w:b/>
          <w:i/>
          <w:sz w:val="22"/>
        </w:rPr>
        <w:t>”, “</w:t>
      </w:r>
      <w:r w:rsidR="000D20C5" w:rsidRPr="000D20C5">
        <w:rPr>
          <w:rFonts w:ascii="Palatino Linotype" w:hAnsi="Palatino Linotype"/>
          <w:b/>
          <w:i/>
          <w:sz w:val="22"/>
        </w:rPr>
        <w:t>197-RESP-TESO.pdf</w:t>
      </w:r>
      <w:r>
        <w:rPr>
          <w:rFonts w:ascii="Palatino Linotype" w:hAnsi="Palatino Linotype"/>
          <w:b/>
          <w:i/>
          <w:sz w:val="22"/>
        </w:rPr>
        <w:t>”, “</w:t>
      </w:r>
      <w:r w:rsidR="000D20C5" w:rsidRPr="000D20C5">
        <w:rPr>
          <w:rFonts w:ascii="Palatino Linotype" w:hAnsi="Palatino Linotype"/>
          <w:b/>
          <w:i/>
          <w:sz w:val="22"/>
        </w:rPr>
        <w:t>198A-RESP-TESO-1.pdf</w:t>
      </w:r>
      <w:r>
        <w:rPr>
          <w:rFonts w:ascii="Palatino Linotype" w:hAnsi="Palatino Linotype"/>
          <w:b/>
          <w:i/>
          <w:sz w:val="22"/>
        </w:rPr>
        <w:t xml:space="preserve">” y </w:t>
      </w:r>
      <w:r w:rsidR="000D20C5" w:rsidRPr="000D20C5">
        <w:rPr>
          <w:rFonts w:ascii="Palatino Linotype" w:hAnsi="Palatino Linotype"/>
          <w:b/>
          <w:i/>
          <w:sz w:val="22"/>
        </w:rPr>
        <w:t xml:space="preserve"> </w:t>
      </w:r>
      <w:r w:rsidR="004D042F">
        <w:rPr>
          <w:rFonts w:ascii="Palatino Linotype" w:hAnsi="Palatino Linotype"/>
          <w:b/>
          <w:i/>
          <w:sz w:val="22"/>
        </w:rPr>
        <w:t>“</w:t>
      </w:r>
      <w:r w:rsidR="004D042F" w:rsidRPr="004D042F">
        <w:rPr>
          <w:rFonts w:ascii="Palatino Linotype" w:hAnsi="Palatino Linotype"/>
          <w:b/>
          <w:i/>
          <w:sz w:val="22"/>
        </w:rPr>
        <w:t>199-RESP-TESO.pdf</w:t>
      </w:r>
      <w:r w:rsidR="004D042F">
        <w:rPr>
          <w:rFonts w:ascii="Palatino Linotype" w:hAnsi="Palatino Linotype"/>
          <w:b/>
          <w:i/>
          <w:sz w:val="22"/>
        </w:rPr>
        <w:t xml:space="preserve">”: </w:t>
      </w:r>
      <w:r>
        <w:rPr>
          <w:rFonts w:ascii="Palatino Linotype" w:hAnsi="Palatino Linotype"/>
          <w:sz w:val="22"/>
        </w:rPr>
        <w:t xml:space="preserve">Documento de tres fojas, suscrito por el Tesorero Municipal en el que refiere que se encuentra en imposibilidad de proporcionar la información en la modalidad que señala, por lo que se cambia la modalidad a “consulta directa”. </w:t>
      </w:r>
    </w:p>
    <w:p w:rsidR="0050185E" w:rsidRDefault="0050185E" w:rsidP="0050185E">
      <w:pPr>
        <w:spacing w:line="360" w:lineRule="auto"/>
        <w:ind w:left="567" w:right="900"/>
        <w:jc w:val="both"/>
        <w:rPr>
          <w:rFonts w:ascii="Palatino Linotype" w:hAnsi="Palatino Linotype"/>
          <w:sz w:val="22"/>
        </w:rPr>
      </w:pPr>
    </w:p>
    <w:p w:rsidR="0050185E" w:rsidRDefault="00F078BE" w:rsidP="0050185E">
      <w:pPr>
        <w:spacing w:line="360" w:lineRule="auto"/>
        <w:ind w:left="567" w:right="900"/>
        <w:jc w:val="both"/>
        <w:rPr>
          <w:rFonts w:ascii="Palatino Linotype" w:hAnsi="Palatino Linotype"/>
          <w:sz w:val="22"/>
        </w:rPr>
      </w:pPr>
      <w:r>
        <w:rPr>
          <w:rFonts w:ascii="Palatino Linotype" w:hAnsi="Palatino Linotype"/>
          <w:noProof/>
          <w:sz w:val="22"/>
          <w:lang w:val="es-MX"/>
        </w:rPr>
        <w:lastRenderedPageBreak/>
        <w:drawing>
          <wp:inline distT="0" distB="0" distL="0" distR="0">
            <wp:extent cx="5106413" cy="6486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712" cy="6489445"/>
                    </a:xfrm>
                    <a:prstGeom prst="rect">
                      <a:avLst/>
                    </a:prstGeom>
                    <a:noFill/>
                    <a:ln>
                      <a:noFill/>
                    </a:ln>
                  </pic:spPr>
                </pic:pic>
              </a:graphicData>
            </a:graphic>
          </wp:inline>
        </w:drawing>
      </w:r>
    </w:p>
    <w:p w:rsidR="00F078BE" w:rsidRDefault="00F078BE" w:rsidP="0050185E">
      <w:pPr>
        <w:spacing w:line="360" w:lineRule="auto"/>
        <w:ind w:left="567" w:right="900"/>
        <w:jc w:val="both"/>
        <w:rPr>
          <w:rFonts w:ascii="Palatino Linotype" w:hAnsi="Palatino Linotype"/>
          <w:sz w:val="22"/>
        </w:rPr>
      </w:pPr>
      <w:r>
        <w:rPr>
          <w:rFonts w:ascii="Palatino Linotype" w:hAnsi="Palatino Linotype"/>
          <w:noProof/>
          <w:sz w:val="22"/>
          <w:lang w:val="es-MX"/>
        </w:rPr>
        <w:lastRenderedPageBreak/>
        <w:drawing>
          <wp:inline distT="0" distB="0" distL="0" distR="0">
            <wp:extent cx="5543550" cy="6419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6419850"/>
                    </a:xfrm>
                    <a:prstGeom prst="rect">
                      <a:avLst/>
                    </a:prstGeom>
                    <a:noFill/>
                    <a:ln>
                      <a:noFill/>
                    </a:ln>
                  </pic:spPr>
                </pic:pic>
              </a:graphicData>
            </a:graphic>
          </wp:inline>
        </w:drawing>
      </w:r>
    </w:p>
    <w:p w:rsidR="00F078BE" w:rsidRPr="0050185E" w:rsidRDefault="00F078BE" w:rsidP="0050185E">
      <w:pPr>
        <w:spacing w:line="360" w:lineRule="auto"/>
        <w:ind w:left="567" w:right="900"/>
        <w:jc w:val="both"/>
        <w:rPr>
          <w:rFonts w:ascii="Palatino Linotype" w:hAnsi="Palatino Linotype"/>
          <w:sz w:val="22"/>
        </w:rPr>
      </w:pPr>
    </w:p>
    <w:p w:rsidR="00C514A1" w:rsidRDefault="00F078BE" w:rsidP="0050185E">
      <w:pPr>
        <w:spacing w:line="360" w:lineRule="auto"/>
        <w:ind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lastRenderedPageBreak/>
        <w:drawing>
          <wp:inline distT="0" distB="0" distL="0" distR="0">
            <wp:extent cx="5133975" cy="49720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4972050"/>
                    </a:xfrm>
                    <a:prstGeom prst="rect">
                      <a:avLst/>
                    </a:prstGeom>
                    <a:noFill/>
                    <a:ln>
                      <a:noFill/>
                    </a:ln>
                  </pic:spPr>
                </pic:pic>
              </a:graphicData>
            </a:graphic>
          </wp:inline>
        </w:drawing>
      </w:r>
    </w:p>
    <w:p w:rsidR="00C514A1" w:rsidRDefault="00046E2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3</w:t>
      </w:r>
      <w:r w:rsidR="00B12A5B">
        <w:rPr>
          <w:rFonts w:ascii="Palatino Linotype" w:eastAsia="Palatino Linotype" w:hAnsi="Palatino Linotype" w:cs="Palatino Linotype"/>
          <w:b/>
        </w:rPr>
        <w:t>. Interposición de los</w:t>
      </w:r>
      <w:r w:rsidR="008B7725">
        <w:rPr>
          <w:rFonts w:ascii="Palatino Linotype" w:eastAsia="Palatino Linotype" w:hAnsi="Palatino Linotype" w:cs="Palatino Linotype"/>
          <w:b/>
        </w:rPr>
        <w:t xml:space="preserve"> recurso</w:t>
      </w:r>
      <w:r w:rsidR="00B12A5B">
        <w:rPr>
          <w:rFonts w:ascii="Palatino Linotype" w:eastAsia="Palatino Linotype" w:hAnsi="Palatino Linotype" w:cs="Palatino Linotype"/>
          <w:b/>
        </w:rPr>
        <w:t>s</w:t>
      </w:r>
      <w:r w:rsidR="008B7725">
        <w:rPr>
          <w:rFonts w:ascii="Palatino Linotype" w:eastAsia="Palatino Linotype" w:hAnsi="Palatino Linotype" w:cs="Palatino Linotype"/>
          <w:b/>
        </w:rPr>
        <w:t xml:space="preserve"> de revisión.  </w:t>
      </w:r>
      <w:r w:rsidR="00F078BE">
        <w:rPr>
          <w:rFonts w:ascii="Palatino Linotype" w:eastAsia="Palatino Linotype" w:hAnsi="Palatino Linotype" w:cs="Palatino Linotype"/>
        </w:rPr>
        <w:t xml:space="preserve">En fecha </w:t>
      </w:r>
      <w:r w:rsidR="00F078BE" w:rsidRPr="00F078BE">
        <w:rPr>
          <w:rFonts w:ascii="Palatino Linotype" w:eastAsia="Palatino Linotype" w:hAnsi="Palatino Linotype" w:cs="Palatino Linotype"/>
          <w:b/>
        </w:rPr>
        <w:t>veintinueve</w:t>
      </w:r>
      <w:r w:rsidR="008B7725" w:rsidRPr="00F078BE">
        <w:rPr>
          <w:rFonts w:ascii="Palatino Linotype" w:eastAsia="Palatino Linotype" w:hAnsi="Palatino Linotype" w:cs="Palatino Linotype"/>
          <w:b/>
        </w:rPr>
        <w:t xml:space="preserve"> </w:t>
      </w:r>
      <w:r w:rsidR="008B7725">
        <w:rPr>
          <w:rFonts w:ascii="Palatino Linotype" w:eastAsia="Palatino Linotype" w:hAnsi="Palatino Linotype" w:cs="Palatino Linotype"/>
          <w:b/>
        </w:rPr>
        <w:t>de marzo</w:t>
      </w:r>
      <w:r w:rsidR="008B7725">
        <w:rPr>
          <w:rFonts w:ascii="Palatino Linotype" w:eastAsia="Palatino Linotype" w:hAnsi="Palatino Linotype" w:cs="Palatino Linotype"/>
        </w:rPr>
        <w:t xml:space="preserve"> </w:t>
      </w:r>
      <w:r w:rsidR="008B7725">
        <w:rPr>
          <w:rFonts w:ascii="Palatino Linotype" w:eastAsia="Palatino Linotype" w:hAnsi="Palatino Linotype" w:cs="Palatino Linotype"/>
          <w:b/>
        </w:rPr>
        <w:t xml:space="preserve">de dos mil veintidós, </w:t>
      </w:r>
      <w:r w:rsidR="00F078BE">
        <w:rPr>
          <w:rFonts w:ascii="Palatino Linotype" w:eastAsia="Palatino Linotype" w:hAnsi="Palatino Linotype" w:cs="Palatino Linotype"/>
          <w:b/>
        </w:rPr>
        <w:t xml:space="preserve">el </w:t>
      </w:r>
      <w:r w:rsidR="008B7725">
        <w:rPr>
          <w:rFonts w:ascii="Palatino Linotype" w:eastAsia="Palatino Linotype" w:hAnsi="Palatino Linotype" w:cs="Palatino Linotype"/>
          <w:b/>
        </w:rPr>
        <w:t xml:space="preserve">Recurrente, </w:t>
      </w:r>
      <w:r w:rsidR="008B7725">
        <w:rPr>
          <w:rFonts w:ascii="Palatino Linotype" w:eastAsia="Palatino Linotype" w:hAnsi="Palatino Linotype" w:cs="Palatino Linotype"/>
        </w:rPr>
        <w:t>inconforme con las respuestas, interpuso los recursos de revisión que nos ocupan, expresando las siguientes manifestaciones:</w:t>
      </w:r>
    </w:p>
    <w:p w:rsidR="00F078BE" w:rsidRDefault="00F078BE">
      <w:pPr>
        <w:spacing w:before="240" w:after="240" w:line="360" w:lineRule="auto"/>
        <w:ind w:right="49"/>
        <w:jc w:val="both"/>
        <w:rPr>
          <w:rFonts w:ascii="Palatino Linotype" w:eastAsia="Palatino Linotype" w:hAnsi="Palatino Linotype" w:cs="Palatino Linotype"/>
          <w:i/>
          <w:sz w:val="2"/>
          <w:szCs w:val="2"/>
        </w:rPr>
      </w:pPr>
      <w:r w:rsidRPr="00F078BE">
        <w:rPr>
          <w:rFonts w:ascii="Palatino Linotype" w:eastAsia="Palatino Linotype" w:hAnsi="Palatino Linotype" w:cs="Palatino Linotype"/>
          <w:b/>
          <w:sz w:val="22"/>
        </w:rPr>
        <w:t>Recurso de Revisión 05204/INFOEM/IP/RR/2022:</w:t>
      </w:r>
      <w:r w:rsidRPr="00F078BE">
        <w:rPr>
          <w:rFonts w:ascii="Palatino Linotype" w:eastAsia="Palatino Linotype" w:hAnsi="Palatino Linotype" w:cs="Palatino Linotype"/>
          <w:sz w:val="22"/>
        </w:rPr>
        <w:t xml:space="preserve">  </w:t>
      </w:r>
    </w:p>
    <w:p w:rsidR="00C514A1" w:rsidRDefault="008B7725">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C514A1" w:rsidRDefault="008B7725">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078BE" w:rsidRPr="00F078BE">
        <w:rPr>
          <w:rFonts w:ascii="Palatino Linotype" w:eastAsia="Palatino Linotype" w:hAnsi="Palatino Linotype" w:cs="Palatino Linotype"/>
          <w:i/>
          <w:color w:val="000000"/>
          <w:sz w:val="22"/>
          <w:szCs w:val="22"/>
        </w:rPr>
        <w:t>NO ENTREGAN LA INFORMACIÓN, CAMBIAN LA MODALIDAD DE LA CONSULTA DIRECTA</w:t>
      </w:r>
      <w:r>
        <w:rPr>
          <w:rFonts w:ascii="Palatino Linotype" w:eastAsia="Palatino Linotype" w:hAnsi="Palatino Linotype" w:cs="Palatino Linotype"/>
          <w:i/>
          <w:color w:val="000000"/>
          <w:sz w:val="22"/>
          <w:szCs w:val="22"/>
        </w:rPr>
        <w:t>” (Sic)</w:t>
      </w:r>
    </w:p>
    <w:p w:rsidR="00C514A1" w:rsidRDefault="008B7725">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C514A1" w:rsidRDefault="008B7725">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w:t>
      </w:r>
      <w:r w:rsidR="00F078BE" w:rsidRPr="00F078BE">
        <w:rPr>
          <w:rFonts w:ascii="Palatino Linotype" w:eastAsia="Palatino Linotype" w:hAnsi="Palatino Linotype" w:cs="Palatino Linotype"/>
          <w:i/>
          <w:sz w:val="22"/>
          <w:szCs w:val="22"/>
        </w:rPr>
        <w:t>En la respuesta a mi solicitud declaro incompetente al Lic. Juan Carlos Cerón Camacho, Coordinador de Recursos Humanos ya que manda a una consulta directa porque dice que no es posible entregar la información vía electrónica por la extensión él dice que es imposible cargarla a la plataforma; cuando no menciona cuantas hojas son y por eso manda a consulta directa, ni costos que tendría si la solicito vía SAIMEX en tiempo y forma si es que es esto fuera mucha información, es clara la falta de conocimiento de la plataforma y los lineamientos para una consulta directa de esta persona. Deberían poner a persona competente para la respuesta de las solicitudes o por lo menos darles un curso de lo básico. Porque es clara la negativa de información a lo solicitado. Respecto a la tesorería municipal cambia a consulta directa porque sobrepasa sus capacidades técnicas y humanas, pero menciona que si se acude a la consulta directa se dará, pero fue hasta las últimas días para aclarar esto negando la información en su versión electrónica a la cual se tiene derecho mediante esta plataforma</w:t>
      </w:r>
      <w:r>
        <w:rPr>
          <w:rFonts w:ascii="Palatino Linotype" w:eastAsia="Palatino Linotype" w:hAnsi="Palatino Linotype" w:cs="Palatino Linotype"/>
          <w:i/>
          <w:sz w:val="22"/>
          <w:szCs w:val="22"/>
        </w:rPr>
        <w:t>” (Sic)</w:t>
      </w:r>
    </w:p>
    <w:p w:rsidR="00C514A1" w:rsidRDefault="00C514A1">
      <w:pPr>
        <w:spacing w:line="360" w:lineRule="auto"/>
        <w:jc w:val="both"/>
        <w:rPr>
          <w:rFonts w:ascii="Palatino Linotype" w:eastAsia="Palatino Linotype" w:hAnsi="Palatino Linotype" w:cs="Palatino Linotype"/>
          <w:sz w:val="2"/>
          <w:szCs w:val="2"/>
        </w:rPr>
      </w:pPr>
    </w:p>
    <w:p w:rsidR="00C514A1" w:rsidRDefault="00C514A1">
      <w:pPr>
        <w:spacing w:line="360" w:lineRule="auto"/>
        <w:jc w:val="both"/>
        <w:rPr>
          <w:rFonts w:ascii="Palatino Linotype" w:eastAsia="Palatino Linotype" w:hAnsi="Palatino Linotype" w:cs="Palatino Linotype"/>
          <w:sz w:val="2"/>
          <w:szCs w:val="2"/>
        </w:rPr>
      </w:pPr>
    </w:p>
    <w:p w:rsidR="00C514A1" w:rsidRDefault="00C514A1">
      <w:pPr>
        <w:spacing w:line="360" w:lineRule="auto"/>
        <w:jc w:val="both"/>
        <w:rPr>
          <w:rFonts w:ascii="Palatino Linotype" w:eastAsia="Palatino Linotype" w:hAnsi="Palatino Linotype" w:cs="Palatino Linotype"/>
          <w:sz w:val="2"/>
          <w:szCs w:val="2"/>
        </w:rPr>
      </w:pPr>
    </w:p>
    <w:p w:rsidR="00F078BE" w:rsidRPr="00F078BE" w:rsidRDefault="00F078BE" w:rsidP="00F078BE">
      <w:pPr>
        <w:spacing w:before="240" w:after="240" w:line="360" w:lineRule="auto"/>
        <w:jc w:val="both"/>
        <w:rPr>
          <w:rFonts w:ascii="Palatino Linotype" w:eastAsia="Palatino Linotype" w:hAnsi="Palatino Linotype" w:cs="Palatino Linotype"/>
          <w:b/>
          <w:sz w:val="22"/>
        </w:rPr>
      </w:pPr>
      <w:r w:rsidRPr="00F078BE">
        <w:rPr>
          <w:rFonts w:ascii="Palatino Linotype" w:eastAsia="Palatino Linotype" w:hAnsi="Palatino Linotype" w:cs="Palatino Linotype"/>
          <w:b/>
          <w:sz w:val="22"/>
        </w:rPr>
        <w:t xml:space="preserve">Recurso de Revisión </w:t>
      </w:r>
      <w:r>
        <w:rPr>
          <w:rFonts w:ascii="Palatino Linotype" w:eastAsia="Palatino Linotype" w:hAnsi="Palatino Linotype" w:cs="Palatino Linotype"/>
          <w:b/>
          <w:sz w:val="22"/>
        </w:rPr>
        <w:t>05206/INFOEM/IP/RR/2022:</w:t>
      </w:r>
      <w:r w:rsidRPr="00F078BE">
        <w:rPr>
          <w:rFonts w:ascii="Palatino Linotype" w:eastAsia="Palatino Linotype" w:hAnsi="Palatino Linotype" w:cs="Palatino Linotype"/>
          <w:b/>
          <w:sz w:val="22"/>
        </w:rPr>
        <w:t xml:space="preserve"> </w:t>
      </w:r>
    </w:p>
    <w:p w:rsidR="00F078BE" w:rsidRDefault="00F078BE" w:rsidP="00F078BE">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078BE" w:rsidRDefault="00F078BE" w:rsidP="00F078BE">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F078BE">
        <w:rPr>
          <w:rFonts w:ascii="Palatino Linotype" w:eastAsia="Palatino Linotype" w:hAnsi="Palatino Linotype" w:cs="Palatino Linotype"/>
          <w:i/>
          <w:color w:val="000000"/>
          <w:sz w:val="22"/>
          <w:szCs w:val="22"/>
        </w:rPr>
        <w:t>no entregan información, cambian modalidad de consulta directa</w:t>
      </w:r>
      <w:r>
        <w:rPr>
          <w:rFonts w:ascii="Palatino Linotype" w:eastAsia="Palatino Linotype" w:hAnsi="Palatino Linotype" w:cs="Palatino Linotype"/>
          <w:i/>
          <w:color w:val="000000"/>
          <w:sz w:val="22"/>
          <w:szCs w:val="22"/>
        </w:rPr>
        <w:t>” (Sic)</w:t>
      </w:r>
    </w:p>
    <w:p w:rsidR="00F078BE" w:rsidRDefault="00F078BE" w:rsidP="00F078BE">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078BE" w:rsidRDefault="00F078BE" w:rsidP="00F078BE">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w:t>
      </w:r>
      <w:r w:rsidRPr="00F078BE">
        <w:rPr>
          <w:rFonts w:ascii="Palatino Linotype" w:eastAsia="Palatino Linotype" w:hAnsi="Palatino Linotype" w:cs="Palatino Linotype"/>
          <w:i/>
          <w:sz w:val="22"/>
          <w:szCs w:val="22"/>
        </w:rPr>
        <w:t xml:space="preserve">En la respuesta a mi solicitud declaro incompetente al Lic. Juan Carlos Cerón Camacho, Coordinador de Recursos Humanos ya que manda a una consulta directa porque dice que no es posible entregar la información vía electrónica por la extensión él dice que es imposible cargarla a la plataforma; cuando no menciona cuantas hojas son y por eso manda a consulta directa, ni costos que tendría si la solicito vía SAIMEX en tiempo y forma si es que es esto fuera mucha información, es clara la falta de conocimiento de la plataforma y los lineamientos para una consulta directa de esta persona. Deberían poner a persona competente para la respuesta de las solicitudes o por lo menos darles un curso de lo básico. Porque es clara la negativa de información a lo solicitado. Respecto a la tesorería municipal cambia a consulta directa porque sobrepasa sus capacidades técnicas y humanas, pero menciona que si </w:t>
      </w:r>
      <w:r w:rsidRPr="00F078BE">
        <w:rPr>
          <w:rFonts w:ascii="Palatino Linotype" w:eastAsia="Palatino Linotype" w:hAnsi="Palatino Linotype" w:cs="Palatino Linotype"/>
          <w:i/>
          <w:sz w:val="22"/>
          <w:szCs w:val="22"/>
        </w:rPr>
        <w:lastRenderedPageBreak/>
        <w:t>se acude a la consulta directa se dará, pero fue hasta los últimos días para aclarar esto negando la información en su versión electrónica la cual se tiene derecho mediante esta plataforma.</w:t>
      </w:r>
      <w:r>
        <w:rPr>
          <w:rFonts w:ascii="Palatino Linotype" w:eastAsia="Palatino Linotype" w:hAnsi="Palatino Linotype" w:cs="Palatino Linotype"/>
          <w:i/>
          <w:sz w:val="22"/>
          <w:szCs w:val="22"/>
        </w:rPr>
        <w:t>” (Sic)</w:t>
      </w:r>
    </w:p>
    <w:p w:rsidR="00F078BE" w:rsidRDefault="00F078BE" w:rsidP="00F078BE">
      <w:pPr>
        <w:spacing w:before="240" w:after="240" w:line="360" w:lineRule="auto"/>
        <w:jc w:val="both"/>
        <w:rPr>
          <w:rFonts w:ascii="Palatino Linotype" w:eastAsia="Palatino Linotype" w:hAnsi="Palatino Linotype" w:cs="Palatino Linotype"/>
          <w:b/>
          <w:sz w:val="22"/>
        </w:rPr>
      </w:pPr>
      <w:r w:rsidRPr="00F078BE">
        <w:rPr>
          <w:rFonts w:ascii="Palatino Linotype" w:eastAsia="Palatino Linotype" w:hAnsi="Palatino Linotype" w:cs="Palatino Linotype"/>
          <w:b/>
          <w:sz w:val="22"/>
        </w:rPr>
        <w:t xml:space="preserve">Recurso de Revisión </w:t>
      </w:r>
      <w:r>
        <w:rPr>
          <w:rFonts w:ascii="Palatino Linotype" w:eastAsia="Palatino Linotype" w:hAnsi="Palatino Linotype" w:cs="Palatino Linotype"/>
          <w:b/>
          <w:sz w:val="22"/>
        </w:rPr>
        <w:t xml:space="preserve"> 05207/INFOEM/IP/RR/2022 </w:t>
      </w:r>
    </w:p>
    <w:p w:rsidR="00F078BE" w:rsidRDefault="00F078BE" w:rsidP="00F078BE">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078BE" w:rsidRDefault="00F078BE" w:rsidP="00F078BE">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F078BE">
        <w:rPr>
          <w:rFonts w:ascii="Palatino Linotype" w:eastAsia="Palatino Linotype" w:hAnsi="Palatino Linotype" w:cs="Palatino Linotype"/>
          <w:i/>
          <w:color w:val="000000"/>
          <w:sz w:val="22"/>
          <w:szCs w:val="22"/>
        </w:rPr>
        <w:t>No entregan la informacion, cambian modalidad de consulta directa</w:t>
      </w:r>
      <w:r>
        <w:rPr>
          <w:rFonts w:ascii="Palatino Linotype" w:eastAsia="Palatino Linotype" w:hAnsi="Palatino Linotype" w:cs="Palatino Linotype"/>
          <w:i/>
          <w:color w:val="000000"/>
          <w:sz w:val="22"/>
          <w:szCs w:val="22"/>
        </w:rPr>
        <w:t>” (Sic)</w:t>
      </w:r>
    </w:p>
    <w:p w:rsidR="00F078BE" w:rsidRDefault="00F078BE" w:rsidP="00F078BE">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078BE" w:rsidRPr="00F078BE" w:rsidRDefault="00F078BE" w:rsidP="00F078BE">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w:t>
      </w:r>
      <w:r w:rsidRPr="00F078BE">
        <w:rPr>
          <w:rFonts w:ascii="Palatino Linotype" w:eastAsia="Palatino Linotype" w:hAnsi="Palatino Linotype" w:cs="Palatino Linotype"/>
          <w:i/>
          <w:sz w:val="22"/>
          <w:szCs w:val="22"/>
        </w:rPr>
        <w:t>En la respuesta a mi solicitud declaro incompetente al Lic. Juan Carlos Cerón Camacho, Coordinador de Recursos Humanos ya que manda a una consulta directa porque dice que no es posible entregar la información vía electrónica por la extensión él dice que es imposible cargarla a la plataforma; cuando no menciona cuantas hojas son y por eso manda a consulta directa, ni costos que tendría si la solicito vía SAIMEX en tiempo y forma si es que es esto fuera mucha información, es clara la falta de conocimiento de la plataforma y los lineamientos para una consulta directa de esta persona. Deberían poner a persona competente para la respuesta de las solicitudes o por lo menos darles un curso de lo básico. Porque es clara la negativa de información a lo solicitado. Respecto a la tesorería municipal cambia a consulta directa porque sobrepasa sus capacidades técnicas y humanas, pero menciona que si se acude a la consulta directa se dará, pero fue hasta los últimos días para aclarar esto negando la información en su versión electrónica la cual se tiene derecho mediante esta plataforma.</w:t>
      </w:r>
      <w:r>
        <w:rPr>
          <w:rFonts w:ascii="Palatino Linotype" w:eastAsia="Palatino Linotype" w:hAnsi="Palatino Linotype" w:cs="Palatino Linotype"/>
          <w:i/>
          <w:sz w:val="22"/>
          <w:szCs w:val="22"/>
        </w:rPr>
        <w:t>” (Sic)</w:t>
      </w:r>
    </w:p>
    <w:p w:rsidR="00F078BE" w:rsidRPr="00F078BE" w:rsidRDefault="00F078BE" w:rsidP="00F078BE">
      <w:pPr>
        <w:spacing w:before="240" w:after="240" w:line="360" w:lineRule="auto"/>
        <w:jc w:val="both"/>
        <w:rPr>
          <w:rFonts w:ascii="Palatino Linotype" w:eastAsia="Palatino Linotype" w:hAnsi="Palatino Linotype" w:cs="Palatino Linotype"/>
          <w:b/>
          <w:sz w:val="22"/>
        </w:rPr>
      </w:pPr>
      <w:r w:rsidRPr="00F078BE">
        <w:rPr>
          <w:rFonts w:ascii="Palatino Linotype" w:eastAsia="Palatino Linotype" w:hAnsi="Palatino Linotype" w:cs="Palatino Linotype"/>
          <w:b/>
          <w:sz w:val="22"/>
        </w:rPr>
        <w:t xml:space="preserve">Recurso de Revisión </w:t>
      </w:r>
      <w:r>
        <w:rPr>
          <w:rFonts w:ascii="Palatino Linotype" w:eastAsia="Palatino Linotype" w:hAnsi="Palatino Linotype" w:cs="Palatino Linotype"/>
          <w:b/>
          <w:sz w:val="22"/>
        </w:rPr>
        <w:t xml:space="preserve"> </w:t>
      </w:r>
      <w:r w:rsidRPr="00F078BE">
        <w:rPr>
          <w:rFonts w:ascii="Palatino Linotype" w:eastAsia="Palatino Linotype" w:hAnsi="Palatino Linotype" w:cs="Palatino Linotype"/>
          <w:b/>
          <w:sz w:val="22"/>
        </w:rPr>
        <w:t>05208/INFOEM/IP/RR/2022:</w:t>
      </w:r>
    </w:p>
    <w:p w:rsidR="00F078BE" w:rsidRDefault="00F078BE" w:rsidP="00F078BE">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078BE" w:rsidRDefault="00F078BE" w:rsidP="00F078BE">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F078BE">
        <w:rPr>
          <w:rFonts w:ascii="Palatino Linotype" w:eastAsia="Palatino Linotype" w:hAnsi="Palatino Linotype" w:cs="Palatino Linotype"/>
          <w:i/>
          <w:color w:val="000000"/>
          <w:sz w:val="22"/>
          <w:szCs w:val="22"/>
        </w:rPr>
        <w:t>no entregan información, cambian modalidad de consulta directa</w:t>
      </w:r>
      <w:r>
        <w:rPr>
          <w:rFonts w:ascii="Palatino Linotype" w:eastAsia="Palatino Linotype" w:hAnsi="Palatino Linotype" w:cs="Palatino Linotype"/>
          <w:i/>
          <w:color w:val="000000"/>
          <w:sz w:val="22"/>
          <w:szCs w:val="22"/>
        </w:rPr>
        <w:t>” (Sic)</w:t>
      </w:r>
    </w:p>
    <w:p w:rsidR="00F078BE" w:rsidRDefault="00F078BE" w:rsidP="00F078BE">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078BE" w:rsidRDefault="00F078BE" w:rsidP="00F078BE">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w:t>
      </w:r>
      <w:r w:rsidRPr="00F078BE">
        <w:rPr>
          <w:rFonts w:ascii="Palatino Linotype" w:eastAsia="Palatino Linotype" w:hAnsi="Palatino Linotype" w:cs="Palatino Linotype"/>
          <w:i/>
          <w:sz w:val="22"/>
          <w:szCs w:val="22"/>
        </w:rPr>
        <w:t xml:space="preserve">En la respuesta a mi solicitud declaro incompetente al Lic. Juan Carlos Cerón Camacho, Coordinador de Recursos Humanos ya que manda a una consulta directa porque dice que no es posible entregar la información vía electrónica por la extensión </w:t>
      </w:r>
      <w:r w:rsidRPr="00F078BE">
        <w:rPr>
          <w:rFonts w:ascii="Palatino Linotype" w:eastAsia="Palatino Linotype" w:hAnsi="Palatino Linotype" w:cs="Palatino Linotype"/>
          <w:i/>
          <w:sz w:val="22"/>
          <w:szCs w:val="22"/>
        </w:rPr>
        <w:lastRenderedPageBreak/>
        <w:t>él dice que es imposible cargarla a la plataforma; cuando no menciona cuantas hojas son y por eso manda a consulta directa, ni costos que tendría si la solicito vía SAIMEX en tiempo y forma si es que es esto fuera mucha información, es clara la falta de conocimiento de la plataforma y los lineamientos para una consulta directa de esta persona. Deberían poner a persona competente para la respuesta de las solicitudes o por lo menos darles un curso de lo básico. Porque es clara la negativa de información a lo solicitado. Respecto a la tesorería municipal cambia a consulta directa porque sobrepasa sus capacidades técnicas y humanas, pero menciona que si se acude a la consulta directa se dará, pero fue hasta los últimos días para aclarar esto negando la información en su versión electrónica la cual se tiene derecho mediante esta plataforma.</w:t>
      </w:r>
      <w:r>
        <w:rPr>
          <w:rFonts w:ascii="Palatino Linotype" w:eastAsia="Palatino Linotype" w:hAnsi="Palatino Linotype" w:cs="Palatino Linotype"/>
          <w:i/>
          <w:sz w:val="22"/>
          <w:szCs w:val="22"/>
        </w:rPr>
        <w:t>” (Sic)</w:t>
      </w:r>
    </w:p>
    <w:p w:rsidR="00C514A1" w:rsidRDefault="00F078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8B7725">
        <w:rPr>
          <w:rFonts w:ascii="Palatino Linotype" w:eastAsia="Palatino Linotype" w:hAnsi="Palatino Linotype" w:cs="Palatino Linotype"/>
          <w:b/>
        </w:rPr>
        <w:t xml:space="preserve">. Turno. </w:t>
      </w:r>
      <w:r w:rsidR="008B7725">
        <w:rPr>
          <w:rFonts w:ascii="Palatino Linotype" w:eastAsia="Palatino Linotype" w:hAnsi="Palatino Linotype" w:cs="Palatino Linotype"/>
        </w:rPr>
        <w:t>De conformidad con el artículo 185 fracción I de la Ley Transparencia y Acceso a la Información Pública, los recursos de revisión fueron</w:t>
      </w:r>
      <w:r w:rsidR="008B7725">
        <w:rPr>
          <w:rFonts w:ascii="Palatino Linotype" w:eastAsia="Palatino Linotype" w:hAnsi="Palatino Linotype" w:cs="Palatino Linotype"/>
          <w:b/>
        </w:rPr>
        <w:t xml:space="preserve"> </w:t>
      </w:r>
      <w:r w:rsidR="008B7725">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514A1">
        <w:tc>
          <w:tcPr>
            <w:tcW w:w="4460" w:type="dxa"/>
            <w:shd w:val="clear" w:color="auto" w:fill="2F5496"/>
          </w:tcPr>
          <w:p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Recurso de Revisión</w:t>
            </w:r>
          </w:p>
        </w:tc>
        <w:tc>
          <w:tcPr>
            <w:tcW w:w="4461" w:type="dxa"/>
            <w:shd w:val="clear" w:color="auto" w:fill="2F5496"/>
          </w:tcPr>
          <w:p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Comisionada/o</w:t>
            </w:r>
          </w:p>
        </w:tc>
      </w:tr>
      <w:tr w:rsidR="00C514A1">
        <w:tc>
          <w:tcPr>
            <w:tcW w:w="4460" w:type="dxa"/>
          </w:tcPr>
          <w:p w:rsidR="00C514A1" w:rsidRDefault="00F078BE" w:rsidP="00F078BE">
            <w:pPr>
              <w:spacing w:before="240" w:after="240" w:line="276" w:lineRule="auto"/>
              <w:jc w:val="center"/>
              <w:rPr>
                <w:rFonts w:ascii="Palatino Linotype" w:eastAsia="Palatino Linotype" w:hAnsi="Palatino Linotype" w:cs="Palatino Linotype"/>
                <w:b/>
              </w:rPr>
            </w:pPr>
            <w:r w:rsidRPr="00F078BE">
              <w:rPr>
                <w:rFonts w:ascii="Palatino Linotype" w:eastAsia="Palatino Linotype" w:hAnsi="Palatino Linotype" w:cs="Palatino Linotype"/>
                <w:b/>
                <w:sz w:val="20"/>
                <w:szCs w:val="20"/>
              </w:rPr>
              <w:t xml:space="preserve">05204/INFOEM/IP/RR/2022 </w:t>
            </w:r>
          </w:p>
        </w:tc>
        <w:tc>
          <w:tcPr>
            <w:tcW w:w="4461" w:type="dxa"/>
          </w:tcPr>
          <w:p w:rsidR="00C514A1" w:rsidRDefault="008B7725">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Comisionada Guadalupe Ramírez Peña</w:t>
            </w:r>
          </w:p>
        </w:tc>
      </w:tr>
      <w:tr w:rsidR="00C514A1">
        <w:tc>
          <w:tcPr>
            <w:tcW w:w="4460" w:type="dxa"/>
          </w:tcPr>
          <w:p w:rsidR="00C514A1" w:rsidRDefault="00F078BE" w:rsidP="00F078BE">
            <w:pPr>
              <w:spacing w:before="240" w:after="240" w:line="276" w:lineRule="auto"/>
              <w:jc w:val="center"/>
              <w:rPr>
                <w:rFonts w:ascii="Palatino Linotype" w:eastAsia="Palatino Linotype" w:hAnsi="Palatino Linotype" w:cs="Palatino Linotype"/>
                <w:b/>
                <w:sz w:val="20"/>
                <w:szCs w:val="20"/>
                <w:highlight w:val="red"/>
              </w:rPr>
            </w:pPr>
            <w:r>
              <w:rPr>
                <w:rFonts w:ascii="Palatino Linotype" w:eastAsia="Palatino Linotype" w:hAnsi="Palatino Linotype" w:cs="Palatino Linotype"/>
                <w:b/>
                <w:sz w:val="20"/>
                <w:szCs w:val="20"/>
              </w:rPr>
              <w:t>05206/INFOEM/IP/RR/2022</w:t>
            </w:r>
          </w:p>
        </w:tc>
        <w:tc>
          <w:tcPr>
            <w:tcW w:w="4461" w:type="dxa"/>
          </w:tcPr>
          <w:p w:rsidR="00C514A1" w:rsidRDefault="008B7725">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Comisionado Luis Gustavo Parra Noriega</w:t>
            </w:r>
          </w:p>
        </w:tc>
      </w:tr>
      <w:tr w:rsidR="00F078BE">
        <w:tc>
          <w:tcPr>
            <w:tcW w:w="4460" w:type="dxa"/>
          </w:tcPr>
          <w:p w:rsidR="00F078BE" w:rsidRPr="00F078BE" w:rsidRDefault="00F078BE">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05207/INFOEM/IP/RR/2022 </w:t>
            </w:r>
          </w:p>
        </w:tc>
        <w:tc>
          <w:tcPr>
            <w:tcW w:w="4461" w:type="dxa"/>
          </w:tcPr>
          <w:p w:rsidR="00F078BE" w:rsidRDefault="00F078BE">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Comisionada Sharon Cristina Morales Martínez</w:t>
            </w:r>
          </w:p>
        </w:tc>
      </w:tr>
      <w:tr w:rsidR="00B12A5B">
        <w:tc>
          <w:tcPr>
            <w:tcW w:w="4460" w:type="dxa"/>
          </w:tcPr>
          <w:p w:rsidR="00B12A5B" w:rsidRDefault="00B12A5B" w:rsidP="00B12A5B">
            <w:pPr>
              <w:spacing w:before="240" w:after="240" w:line="276" w:lineRule="auto"/>
              <w:jc w:val="center"/>
              <w:rPr>
                <w:rFonts w:ascii="Palatino Linotype" w:eastAsia="Palatino Linotype" w:hAnsi="Palatino Linotype" w:cs="Palatino Linotype"/>
                <w:b/>
              </w:rPr>
            </w:pPr>
            <w:r w:rsidRPr="00F078BE">
              <w:rPr>
                <w:rFonts w:ascii="Palatino Linotype" w:eastAsia="Palatino Linotype" w:hAnsi="Palatino Linotype" w:cs="Palatino Linotype"/>
                <w:b/>
                <w:sz w:val="20"/>
                <w:szCs w:val="20"/>
              </w:rPr>
              <w:t>05208/INFOEM/IP/RR/2022</w:t>
            </w:r>
          </w:p>
        </w:tc>
        <w:tc>
          <w:tcPr>
            <w:tcW w:w="4461" w:type="dxa"/>
          </w:tcPr>
          <w:p w:rsidR="00B12A5B" w:rsidRDefault="00B12A5B" w:rsidP="00B12A5B">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Comisionada María del Rosario Mejía Ayala</w:t>
            </w:r>
          </w:p>
        </w:tc>
      </w:tr>
    </w:tbl>
    <w:p w:rsidR="00C514A1" w:rsidRDefault="00F078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w:t>
      </w:r>
      <w:r w:rsidR="008B7725">
        <w:rPr>
          <w:rFonts w:ascii="Palatino Linotype" w:eastAsia="Palatino Linotype" w:hAnsi="Palatino Linotype" w:cs="Palatino Linotype"/>
          <w:b/>
        </w:rPr>
        <w:t xml:space="preserve">. Admisión. </w:t>
      </w:r>
      <w:r w:rsidR="008B7725">
        <w:rPr>
          <w:rFonts w:ascii="Palatino Linotype" w:eastAsia="Palatino Linotype" w:hAnsi="Palatino Linotype" w:cs="Palatino Linotype"/>
        </w:rPr>
        <w:t xml:space="preserve">En fechas, </w:t>
      </w:r>
      <w:r w:rsidR="00B12A5B" w:rsidRPr="00B12A5B">
        <w:rPr>
          <w:rFonts w:ascii="Palatino Linotype" w:eastAsia="Palatino Linotype" w:hAnsi="Palatino Linotype" w:cs="Palatino Linotype"/>
          <w:b/>
        </w:rPr>
        <w:t>treinta de marzo y</w:t>
      </w:r>
      <w:r w:rsidR="00B12A5B">
        <w:rPr>
          <w:rFonts w:ascii="Palatino Linotype" w:eastAsia="Palatino Linotype" w:hAnsi="Palatino Linotype" w:cs="Palatino Linotype"/>
        </w:rPr>
        <w:t xml:space="preserve"> </w:t>
      </w:r>
      <w:r w:rsidR="00B12A5B">
        <w:rPr>
          <w:rFonts w:ascii="Palatino Linotype" w:eastAsia="Palatino Linotype" w:hAnsi="Palatino Linotype" w:cs="Palatino Linotype"/>
          <w:b/>
        </w:rPr>
        <w:t xml:space="preserve">uno de abril, </w:t>
      </w:r>
      <w:r w:rsidR="008B7725">
        <w:rPr>
          <w:rFonts w:ascii="Palatino Linotype" w:eastAsia="Palatino Linotype" w:hAnsi="Palatino Linotype" w:cs="Palatino Linotype"/>
          <w:b/>
        </w:rPr>
        <w:t>de dos mil veintidós,</w:t>
      </w:r>
      <w:r w:rsidR="008B7725">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rsidR="00C514A1" w:rsidRDefault="00B12A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8B7725">
        <w:rPr>
          <w:rFonts w:ascii="Palatino Linotype" w:eastAsia="Palatino Linotype" w:hAnsi="Palatino Linotype" w:cs="Palatino Linotype"/>
          <w:b/>
        </w:rPr>
        <w:t xml:space="preserve">. Acumulación. </w:t>
      </w:r>
      <w:r w:rsidR="008B7725">
        <w:rPr>
          <w:rFonts w:ascii="Palatino Linotype" w:eastAsia="Palatino Linotype" w:hAnsi="Palatino Linotype" w:cs="Palatino Linotype"/>
        </w:rPr>
        <w:t xml:space="preserve">En la </w:t>
      </w:r>
      <w:r w:rsidR="008B7725">
        <w:rPr>
          <w:rFonts w:ascii="Palatino Linotype" w:eastAsia="Palatino Linotype" w:hAnsi="Palatino Linotype" w:cs="Palatino Linotype"/>
          <w:b/>
        </w:rPr>
        <w:t xml:space="preserve">Décima </w:t>
      </w:r>
      <w:r>
        <w:rPr>
          <w:rFonts w:ascii="Palatino Linotype" w:eastAsia="Palatino Linotype" w:hAnsi="Palatino Linotype" w:cs="Palatino Linotype"/>
          <w:b/>
        </w:rPr>
        <w:t xml:space="preserve">Tercera </w:t>
      </w:r>
      <w:r w:rsidR="008B7725">
        <w:rPr>
          <w:rFonts w:ascii="Palatino Linotype" w:eastAsia="Palatino Linotype" w:hAnsi="Palatino Linotype" w:cs="Palatino Linotype"/>
          <w:b/>
        </w:rPr>
        <w:t>Sesión Ordinaria</w:t>
      </w:r>
      <w:r w:rsidR="008B7725">
        <w:rPr>
          <w:rFonts w:ascii="Palatino Linotype" w:eastAsia="Palatino Linotype" w:hAnsi="Palatino Linotype" w:cs="Palatino Linotype"/>
        </w:rPr>
        <w:t xml:space="preserve"> celebrada el </w:t>
      </w:r>
      <w:r>
        <w:rPr>
          <w:rFonts w:ascii="Palatino Linotype" w:eastAsia="Palatino Linotype" w:hAnsi="Palatino Linotype" w:cs="Palatino Linotype"/>
          <w:b/>
        </w:rPr>
        <w:t>siete de abril</w:t>
      </w:r>
      <w:r w:rsidR="008B7725">
        <w:rPr>
          <w:rFonts w:ascii="Palatino Linotype" w:eastAsia="Palatino Linotype" w:hAnsi="Palatino Linotype" w:cs="Palatino Linotype"/>
          <w:b/>
        </w:rPr>
        <w:t xml:space="preserve"> de dos mil veintidós</w:t>
      </w:r>
      <w:r w:rsidR="008B7725">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8B7725">
        <w:rPr>
          <w:rFonts w:ascii="Palatino Linotype" w:eastAsia="Palatino Linotype" w:hAnsi="Palatino Linotype" w:cs="Palatino Linotype"/>
          <w:b/>
        </w:rPr>
        <w:t>Comisionada</w:t>
      </w:r>
      <w:r w:rsidR="008B7725">
        <w:rPr>
          <w:rFonts w:ascii="Palatino Linotype" w:eastAsia="Palatino Linotype" w:hAnsi="Palatino Linotype" w:cs="Palatino Linotype"/>
        </w:rPr>
        <w:t xml:space="preserve"> </w:t>
      </w:r>
      <w:r w:rsidR="008B7725">
        <w:rPr>
          <w:rFonts w:ascii="Palatino Linotype" w:eastAsia="Palatino Linotype" w:hAnsi="Palatino Linotype" w:cs="Palatino Linotype"/>
          <w:b/>
        </w:rPr>
        <w:t>Guadalupe Ramírez Peña</w:t>
      </w:r>
      <w:r w:rsidR="000F6281">
        <w:rPr>
          <w:rFonts w:ascii="Palatino Linotype" w:eastAsia="Palatino Linotype" w:hAnsi="Palatino Linotype" w:cs="Palatino Linotype"/>
        </w:rPr>
        <w:t xml:space="preserve">; que mediante acuerdo se notificó a las partes vía SAIMEX. </w:t>
      </w:r>
    </w:p>
    <w:p w:rsidR="00C514A1" w:rsidRDefault="00B12A5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7</w:t>
      </w:r>
      <w:r w:rsidR="008B7725">
        <w:rPr>
          <w:rFonts w:ascii="Palatino Linotype" w:eastAsia="Palatino Linotype" w:hAnsi="Palatino Linotype" w:cs="Palatino Linotype"/>
          <w:b/>
        </w:rPr>
        <w:t xml:space="preserve">. Manifestaciones. </w:t>
      </w:r>
      <w:r w:rsidR="008B7725">
        <w:rPr>
          <w:rFonts w:ascii="Palatino Linotype" w:eastAsia="Palatino Linotype" w:hAnsi="Palatino Linotype" w:cs="Palatino Linotype"/>
        </w:rPr>
        <w:t xml:space="preserve">De las constancias que obran en los expedientes electrónicos del SAIMEX se desprende que el </w:t>
      </w:r>
      <w:r w:rsidR="008B7725">
        <w:rPr>
          <w:rFonts w:ascii="Palatino Linotype" w:eastAsia="Palatino Linotype" w:hAnsi="Palatino Linotype" w:cs="Palatino Linotype"/>
          <w:b/>
        </w:rPr>
        <w:t>Sujeto Obligado</w:t>
      </w:r>
      <w:r w:rsidR="008B7725">
        <w:rPr>
          <w:rFonts w:ascii="Palatino Linotype" w:eastAsia="Palatino Linotype" w:hAnsi="Palatino Linotype" w:cs="Palatino Linotype"/>
        </w:rPr>
        <w:t xml:space="preserve"> fue omiso en rendir informes justificados, asimismo resulta pertinente apuntar que por su parte, </w:t>
      </w:r>
      <w:r w:rsidR="008B7725">
        <w:rPr>
          <w:rFonts w:ascii="Palatino Linotype" w:eastAsia="Palatino Linotype" w:hAnsi="Palatino Linotype" w:cs="Palatino Linotype"/>
          <w:b/>
        </w:rPr>
        <w:t>la</w:t>
      </w:r>
      <w:r w:rsidR="008B7725">
        <w:rPr>
          <w:rFonts w:ascii="Palatino Linotype" w:eastAsia="Palatino Linotype" w:hAnsi="Palatino Linotype" w:cs="Palatino Linotype"/>
        </w:rPr>
        <w:t xml:space="preserve"> </w:t>
      </w:r>
      <w:r w:rsidR="008B7725">
        <w:rPr>
          <w:rFonts w:ascii="Palatino Linotype" w:eastAsia="Palatino Linotype" w:hAnsi="Palatino Linotype" w:cs="Palatino Linotype"/>
          <w:b/>
        </w:rPr>
        <w:t xml:space="preserve">parte Recurrente </w:t>
      </w:r>
      <w:r w:rsidR="008B7725">
        <w:rPr>
          <w:rFonts w:ascii="Palatino Linotype" w:eastAsia="Palatino Linotype" w:hAnsi="Palatino Linotype" w:cs="Palatino Linotype"/>
        </w:rPr>
        <w:t xml:space="preserve">omitió realizar manifestaciones, formular alegatos y ofrecer algún medio de prueba. </w:t>
      </w:r>
    </w:p>
    <w:p w:rsidR="00C514A1" w:rsidRDefault="00B12A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Ampliaciones</w:t>
      </w:r>
      <w:r w:rsidR="008B7725">
        <w:rPr>
          <w:rFonts w:ascii="Palatino Linotype" w:eastAsia="Palatino Linotype" w:hAnsi="Palatino Linotype" w:cs="Palatino Linotype"/>
          <w:b/>
        </w:rPr>
        <w:t xml:space="preserve"> del plazo para emitir resolución.</w:t>
      </w:r>
      <w:r w:rsidR="008B7725">
        <w:rPr>
          <w:rFonts w:ascii="Palatino Linotype" w:eastAsia="Palatino Linotype" w:hAnsi="Palatino Linotype" w:cs="Palatino Linotype"/>
        </w:rPr>
        <w:t xml:space="preserve"> En fecha </w:t>
      </w:r>
      <w:r w:rsidRPr="00C40ABE">
        <w:rPr>
          <w:rFonts w:ascii="Palatino Linotype" w:eastAsia="Palatino Linotype" w:hAnsi="Palatino Linotype" w:cs="Palatino Linotype"/>
          <w:b/>
        </w:rPr>
        <w:t>trece de juli</w:t>
      </w:r>
      <w:r w:rsidR="008B7725" w:rsidRPr="00C40ABE">
        <w:rPr>
          <w:rFonts w:ascii="Palatino Linotype" w:eastAsia="Palatino Linotype" w:hAnsi="Palatino Linotype" w:cs="Palatino Linotype"/>
          <w:b/>
        </w:rPr>
        <w:t>o de dos mil veintidós</w:t>
      </w:r>
      <w:r w:rsidR="008B7725" w:rsidRPr="00C40ABE">
        <w:rPr>
          <w:rFonts w:ascii="Palatino Linotype" w:eastAsia="Palatino Linotype" w:hAnsi="Palatino Linotype" w:cs="Palatino Linotype"/>
        </w:rPr>
        <w:t>,</w:t>
      </w:r>
      <w:r w:rsidR="008B7725">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lastRenderedPageBreak/>
        <w:t>Por ello, excepcionalmente, si un asunto es resuelto con posterioridad a los plazos señalados por la norma debe analizarse la razonabilidad del tiempo necesario para su resolución atentos a los siguientes criterios: </w:t>
      </w:r>
    </w:p>
    <w:p w:rsidR="00B12A5B" w:rsidRPr="00E9263B" w:rsidRDefault="00B12A5B" w:rsidP="00B12A5B">
      <w:pPr>
        <w:numPr>
          <w:ilvl w:val="0"/>
          <w:numId w:val="10"/>
        </w:numPr>
        <w:spacing w:before="240" w:after="240" w:line="360" w:lineRule="auto"/>
        <w:ind w:left="567" w:right="1183" w:hanging="283"/>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Complejidad del Asunto: La complejidad de la prueba, la pluralidad de sujetos procesales, el tiempo transcurrido, las características y contexto del recurso. </w:t>
      </w:r>
    </w:p>
    <w:p w:rsidR="00B12A5B" w:rsidRPr="00E9263B" w:rsidRDefault="00B12A5B" w:rsidP="00B12A5B">
      <w:pPr>
        <w:numPr>
          <w:ilvl w:val="0"/>
          <w:numId w:val="10"/>
        </w:numPr>
        <w:spacing w:before="240" w:after="240" w:line="360" w:lineRule="auto"/>
        <w:ind w:left="567" w:right="1183" w:hanging="283"/>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Actividad Procesal del interesado. Acciones u omisiones del interesado.</w:t>
      </w:r>
    </w:p>
    <w:p w:rsidR="00B12A5B" w:rsidRPr="00E9263B" w:rsidRDefault="00B12A5B" w:rsidP="00B12A5B">
      <w:pPr>
        <w:numPr>
          <w:ilvl w:val="0"/>
          <w:numId w:val="11"/>
        </w:numPr>
        <w:spacing w:before="240" w:after="240" w:line="360" w:lineRule="auto"/>
        <w:ind w:left="567" w:right="1183" w:hanging="283"/>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Conducta de la Autoridad: Las Acciones u omisiones realizadas en el procedimiento. Así como si la autoridad actuó con la debida diligencia.</w:t>
      </w:r>
    </w:p>
    <w:p w:rsidR="00B12A5B" w:rsidRPr="00E9263B" w:rsidRDefault="00B12A5B" w:rsidP="00B12A5B">
      <w:pPr>
        <w:spacing w:before="240" w:after="240" w:line="360" w:lineRule="auto"/>
        <w:ind w:left="567" w:right="1183" w:hanging="283"/>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t>d.</w:t>
      </w:r>
      <w:r w:rsidRPr="00E9263B">
        <w:rPr>
          <w:rFonts w:ascii="Palatino Linotype" w:eastAsia="Palatino Linotype" w:hAnsi="Palatino Linotype" w:cs="Palatino Linotype"/>
          <w:lang w:val="es-MX"/>
        </w:rPr>
        <w:t xml:space="preserve"> La afectación generada en la situación jurídica de la persona involucrada en el proceso: Violación a sus derechos humanos.</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 xml:space="preserve">Argumento que encuentra sustento en la jurisprudencia P./J. 32/92 emitida por el Pleno de la Suprema Corte de Justicia de la Nación de rubro </w:t>
      </w:r>
      <w:r w:rsidRPr="00E9263B">
        <w:rPr>
          <w:rFonts w:ascii="Palatino Linotype" w:eastAsia="Palatino Linotype" w:hAnsi="Palatino Linotype" w:cs="Palatino Linotype"/>
          <w:i/>
          <w:iCs/>
          <w:lang w:val="es-MX"/>
        </w:rPr>
        <w:t xml:space="preserve">“TÉRMINOS </w:t>
      </w:r>
      <w:r w:rsidRPr="00E9263B">
        <w:rPr>
          <w:rFonts w:ascii="Palatino Linotype" w:eastAsia="Palatino Linotype" w:hAnsi="Palatino Linotype" w:cs="Palatino Linotype"/>
          <w:i/>
          <w:iCs/>
          <w:lang w:val="es-MX"/>
        </w:rPr>
        <w:lastRenderedPageBreak/>
        <w:t>PROCESALES. PARA DETERMINAR SI UN FUNCIONARIO JUDICIAL ACTUÓ INDEBIDAMENTE POR NO RESPETARLOS SE DEBE ATENDER AL PRESUPUESTO QUE CONSIDERÓ EL LEGISLADOR AL FIJARLOS Y LAS CARACTERÍSTICAS DEL CASO.”</w:t>
      </w:r>
      <w:r w:rsidRPr="00E9263B">
        <w:rPr>
          <w:rFonts w:ascii="Palatino Linotype" w:eastAsia="Palatino Linotype" w:hAnsi="Palatino Linotype" w:cs="Palatino Linotype"/>
          <w:lang w:val="es-MX"/>
        </w:rPr>
        <w:t>, visible en la Gaceta del Seminario Judicial de la Federación con el registro digital 205635.</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Al respecto, también son de considerar los criterios sostenidos por el Cuarto Tribunal Colegiado en Materia Administrativa del Primer Circuito, cuyos rubros y datos de identificación son los siguientes:</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 </w:t>
      </w:r>
      <w:r w:rsidRPr="00E9263B">
        <w:rPr>
          <w:rFonts w:ascii="Palatino Linotype" w:eastAsia="Palatino Linotype" w:hAnsi="Palatino Linotype" w:cs="Palatino Linotype"/>
          <w:i/>
          <w:iCs/>
          <w:lang w:val="es-MX"/>
        </w:rPr>
        <w:t>“PLAZO RAZONABLE PARA RESOLVER. DIMENSIÓN Y EFECTOS DE ESTE CONCEPTO CUANDO SE ADUCE EXCESIVA CARGA DE TRABAJO.”</w:t>
      </w:r>
      <w:r w:rsidRPr="00E9263B">
        <w:rPr>
          <w:rFonts w:ascii="Palatino Linotype" w:eastAsia="Palatino Linotype" w:hAnsi="Palatino Linotype" w:cs="Palatino Linotype"/>
          <w:lang w:val="es-MX"/>
        </w:rPr>
        <w:t xml:space="preserve"> consultable en el Seminario Judicial de la Federación y su gaceta, con el registro digital 2002351.</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i/>
          <w:iCs/>
          <w:lang w:val="es-MX"/>
        </w:rPr>
        <w:lastRenderedPageBreak/>
        <w:t>“PLAZO RAZONABLE PARA RESOLVER. CONCEPTO Y ELEMENTOS QUE LO INTEGRAN A LA LUZ DEL DERECHO INTERNACIONAL DE LOS DERECHOS HUMANOS.”</w:t>
      </w:r>
      <w:r w:rsidRPr="00E9263B">
        <w:rPr>
          <w:rFonts w:ascii="Palatino Linotype" w:eastAsia="Palatino Linotype" w:hAnsi="Palatino Linotype" w:cs="Palatino Linotype"/>
          <w:lang w:val="es-MX"/>
        </w:rPr>
        <w:t>, visible en el Seminario Judicial de la Federación y su gaceta, con el registro digital 2002350.</w:t>
      </w:r>
    </w:p>
    <w:p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Por ello, este organismo garante comprometido con la tutela de los derechos humanos confiados, señala que este exceso del plazo legal para resolver el presente asunto, resulta de carácter excepcional.</w:t>
      </w:r>
    </w:p>
    <w:p w:rsidR="00C514A1" w:rsidRDefault="00B12A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8B7725">
        <w:rPr>
          <w:rFonts w:ascii="Palatino Linotype" w:eastAsia="Palatino Linotype" w:hAnsi="Palatino Linotype" w:cs="Palatino Linotype"/>
          <w:b/>
        </w:rPr>
        <w:t>. Cierre</w:t>
      </w:r>
      <w:r>
        <w:rPr>
          <w:rFonts w:ascii="Palatino Linotype" w:eastAsia="Palatino Linotype" w:hAnsi="Palatino Linotype" w:cs="Palatino Linotype"/>
          <w:b/>
        </w:rPr>
        <w:t>s</w:t>
      </w:r>
      <w:r w:rsidR="008B7725">
        <w:rPr>
          <w:rFonts w:ascii="Palatino Linotype" w:eastAsia="Palatino Linotype" w:hAnsi="Palatino Linotype" w:cs="Palatino Linotype"/>
          <w:b/>
        </w:rPr>
        <w:t xml:space="preserve"> de instrucción. </w:t>
      </w:r>
      <w:r w:rsidR="008B7725">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008B7725" w:rsidRPr="000F6281">
        <w:rPr>
          <w:rFonts w:ascii="Palatino Linotype" w:eastAsia="Palatino Linotype" w:hAnsi="Palatino Linotype" w:cs="Palatino Linotype"/>
        </w:rPr>
        <w:t xml:space="preserve">el </w:t>
      </w:r>
      <w:r w:rsidRPr="000F6281">
        <w:rPr>
          <w:rFonts w:ascii="Palatino Linotype" w:eastAsia="Palatino Linotype" w:hAnsi="Palatino Linotype" w:cs="Palatino Linotype"/>
          <w:b/>
          <w:color w:val="000000"/>
        </w:rPr>
        <w:t>trece de jul</w:t>
      </w:r>
      <w:r w:rsidR="008B7725" w:rsidRPr="000F6281">
        <w:rPr>
          <w:rFonts w:ascii="Palatino Linotype" w:eastAsia="Palatino Linotype" w:hAnsi="Palatino Linotype" w:cs="Palatino Linotype"/>
          <w:b/>
          <w:color w:val="000000"/>
        </w:rPr>
        <w:t xml:space="preserve">io </w:t>
      </w:r>
      <w:r w:rsidR="008B7725" w:rsidRPr="000F6281">
        <w:rPr>
          <w:rFonts w:ascii="Palatino Linotype" w:eastAsia="Palatino Linotype" w:hAnsi="Palatino Linotype" w:cs="Palatino Linotype"/>
          <w:b/>
        </w:rPr>
        <w:t>de dos mil veintidós</w:t>
      </w:r>
      <w:r w:rsidR="008B7725" w:rsidRPr="000F6281">
        <w:rPr>
          <w:rFonts w:ascii="Palatino Linotype" w:eastAsia="Palatino Linotype" w:hAnsi="Palatino Linotype" w:cs="Palatino Linotype"/>
        </w:rPr>
        <w:t>, la</w:t>
      </w:r>
      <w:r w:rsidR="008B7725">
        <w:rPr>
          <w:rFonts w:ascii="Palatino Linotype" w:eastAsia="Palatino Linotype" w:hAnsi="Palatino Linotype" w:cs="Palatino Linotype"/>
        </w:rPr>
        <w:t xml:space="preserve"> Comisionada Ponente determinó el cierre de instrucción en términos de la fracción VI del artículo 185 de la Ley de Transparencia y Acceso a la Información Pública del Estado de México y Municipios.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C514A1" w:rsidRDefault="008B7725">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w:t>
      </w:r>
      <w:r>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514A1" w:rsidRDefault="008B7725">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 xml:space="preserve">Segundo. </w:t>
      </w:r>
      <w:r w:rsidR="00B12A5B">
        <w:rPr>
          <w:rFonts w:ascii="Palatino Linotype" w:eastAsia="Palatino Linotype" w:hAnsi="Palatino Linotype" w:cs="Palatino Linotype"/>
          <w:b/>
        </w:rPr>
        <w:t>Oportunidad y Procedibilidad de los</w:t>
      </w:r>
      <w:r>
        <w:rPr>
          <w:rFonts w:ascii="Palatino Linotype" w:eastAsia="Palatino Linotype" w:hAnsi="Palatino Linotype" w:cs="Palatino Linotype"/>
          <w:b/>
        </w:rPr>
        <w:t xml:space="preserve"> Recurso</w:t>
      </w:r>
      <w:r w:rsidR="00B12A5B">
        <w:rPr>
          <w:rFonts w:ascii="Palatino Linotype" w:eastAsia="Palatino Linotype" w:hAnsi="Palatino Linotype" w:cs="Palatino Linotype"/>
          <w:b/>
        </w:rPr>
        <w:t>s</w:t>
      </w:r>
      <w:r>
        <w:rPr>
          <w:rFonts w:ascii="Palatino Linotype" w:eastAsia="Palatino Linotype" w:hAnsi="Palatino Linotype" w:cs="Palatino Linotype"/>
          <w:b/>
        </w:rPr>
        <w:t xml:space="preserve">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las solicitudes de información el día </w:t>
      </w:r>
      <w:r w:rsidR="00B12A5B">
        <w:rPr>
          <w:rFonts w:ascii="Palatino Linotype" w:eastAsia="Palatino Linotype" w:hAnsi="Palatino Linotype" w:cs="Palatino Linotype"/>
          <w:b/>
        </w:rPr>
        <w:t>veinticinco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sin embargo, los recursos de revisión se interpusieron el día </w:t>
      </w:r>
      <w:r w:rsidR="00B12A5B">
        <w:rPr>
          <w:rFonts w:ascii="Palatino Linotype" w:eastAsia="Palatino Linotype" w:hAnsi="Palatino Linotype" w:cs="Palatino Linotype"/>
          <w:b/>
        </w:rPr>
        <w:t xml:space="preserve">veintinueve </w:t>
      </w:r>
      <w:r>
        <w:rPr>
          <w:rFonts w:ascii="Palatino Linotype" w:eastAsia="Palatino Linotype" w:hAnsi="Palatino Linotype" w:cs="Palatino Linotype"/>
          <w:b/>
        </w:rPr>
        <w:t>de marzo de dos mil veintidós</w:t>
      </w:r>
      <w:r>
        <w:rPr>
          <w:rFonts w:ascii="Palatino Linotype" w:eastAsia="Palatino Linotype" w:hAnsi="Palatino Linotype" w:cs="Palatino Linotype"/>
        </w:rPr>
        <w:t xml:space="preserve">, esto es al </w:t>
      </w:r>
      <w:r w:rsidR="00B12A5B">
        <w:rPr>
          <w:rFonts w:ascii="Palatino Linotype" w:eastAsia="Palatino Linotype" w:hAnsi="Palatino Linotype" w:cs="Palatino Linotype"/>
          <w:b/>
        </w:rPr>
        <w:t xml:space="preserve">segundo </w:t>
      </w:r>
      <w:r>
        <w:rPr>
          <w:rFonts w:ascii="Palatino Linotype" w:eastAsia="Palatino Linotype" w:hAnsi="Palatino Linotype" w:cs="Palatino Linotype"/>
          <w:b/>
        </w:rPr>
        <w:t>día hábil después de conocerse la</w:t>
      </w:r>
      <w:r w:rsidR="00B12A5B">
        <w:rPr>
          <w:rFonts w:ascii="Palatino Linotype" w:eastAsia="Palatino Linotype" w:hAnsi="Palatino Linotype" w:cs="Palatino Linotype"/>
          <w:b/>
        </w:rPr>
        <w:t>s</w:t>
      </w:r>
      <w:r>
        <w:rPr>
          <w:rFonts w:ascii="Palatino Linotype" w:eastAsia="Palatino Linotype" w:hAnsi="Palatino Linotype" w:cs="Palatino Linotype"/>
          <w:b/>
        </w:rPr>
        <w:t xml:space="preserve"> respuesta</w:t>
      </w:r>
      <w:r w:rsidR="00B12A5B">
        <w:rPr>
          <w:rFonts w:ascii="Palatino Linotype" w:eastAsia="Palatino Linotype" w:hAnsi="Palatino Linotype" w:cs="Palatino Linotype"/>
          <w:b/>
        </w:rPr>
        <w:t>s</w:t>
      </w:r>
      <w:r>
        <w:rPr>
          <w:rFonts w:ascii="Palatino Linotype" w:eastAsia="Palatino Linotype" w:hAnsi="Palatino Linotype" w:cs="Palatino Linotype"/>
        </w:rPr>
        <w:t xml:space="preserve"> por lo que se encuentra</w:t>
      </w:r>
      <w:r w:rsidR="00B12A5B">
        <w:rPr>
          <w:rFonts w:ascii="Palatino Linotype" w:eastAsia="Palatino Linotype" w:hAnsi="Palatino Linotype" w:cs="Palatino Linotype"/>
        </w:rPr>
        <w:t>n</w:t>
      </w:r>
      <w:r>
        <w:rPr>
          <w:rFonts w:ascii="Palatino Linotype" w:eastAsia="Palatino Linotype" w:hAnsi="Palatino Linotype" w:cs="Palatino Linotype"/>
        </w:rPr>
        <w:t xml:space="preserve"> dentro de los márgenes temporales establecidos por la Ley en la materia.</w:t>
      </w:r>
    </w:p>
    <w:p w:rsidR="00C514A1" w:rsidRDefault="008B772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procedibilidad de los recursos de revisión, es de suma importancia señalar que </w:t>
      </w:r>
      <w:r w:rsidR="00B12A5B">
        <w:rPr>
          <w:rFonts w:ascii="Palatino Linotype" w:eastAsia="Palatino Linotype" w:hAnsi="Palatino Linotype" w:cs="Palatino Linotype"/>
          <w:b/>
          <w:color w:val="000000"/>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no señaló nombre </w:t>
      </w:r>
      <w:r w:rsidR="00B12A5B">
        <w:rPr>
          <w:rFonts w:ascii="Palatino Linotype" w:eastAsia="Palatino Linotype" w:hAnsi="Palatino Linotype" w:cs="Palatino Linotype"/>
          <w:color w:val="000000"/>
        </w:rPr>
        <w:t xml:space="preserve">completo </w:t>
      </w:r>
      <w:r>
        <w:rPr>
          <w:rFonts w:ascii="Palatino Linotype" w:eastAsia="Palatino Linotype" w:hAnsi="Palatino Linotype" w:cs="Palatino Linotype"/>
          <w:color w:val="000000"/>
        </w:rPr>
        <w:t xml:space="preserve">con el cual desee ser identificado, como se advierte en el detalle de seguimiento del SAIMEX, </w:t>
      </w:r>
      <w:r>
        <w:rPr>
          <w:rFonts w:ascii="Palatino Linotype" w:eastAsia="Palatino Linotype" w:hAnsi="Palatino Linotype" w:cs="Palatino Linotype"/>
          <w:color w:val="000000"/>
        </w:rPr>
        <w:lastRenderedPageBreak/>
        <w:t xml:space="preserve">no obstante lo anterior, no proporcionar el nombre </w:t>
      </w:r>
      <w:r w:rsidR="00B12A5B">
        <w:rPr>
          <w:rFonts w:ascii="Palatino Linotype" w:eastAsia="Palatino Linotype" w:hAnsi="Palatino Linotype" w:cs="Palatino Linotype"/>
          <w:color w:val="000000"/>
        </w:rPr>
        <w:t xml:space="preserve">completo </w:t>
      </w:r>
      <w:r>
        <w:rPr>
          <w:rFonts w:ascii="Palatino Linotype" w:eastAsia="Palatino Linotype" w:hAnsi="Palatino Linotype" w:cs="Palatino Linotype"/>
          <w:color w:val="000000"/>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514A1" w:rsidRDefault="008B7725">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VIII del ordenamiento legal citado, que a la letra dice: </w:t>
      </w:r>
    </w:p>
    <w:p w:rsidR="00C514A1" w:rsidRDefault="008B772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C514A1" w:rsidRDefault="008B772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 La notificación, entrega o puesta a disposición de información en una modalidad o formato distinto al solicitado;</w:t>
      </w:r>
      <w:r>
        <w:rPr>
          <w:rFonts w:ascii="Palatino Linotype" w:eastAsia="Palatino Linotype" w:hAnsi="Palatino Linotype" w:cs="Palatino Linotype"/>
          <w:i/>
          <w:sz w:val="22"/>
          <w:szCs w:val="22"/>
        </w:rPr>
        <w:t>”</w:t>
      </w:r>
    </w:p>
    <w:p w:rsidR="00C514A1" w:rsidRDefault="008B772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514A1" w:rsidRDefault="008B772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C514A1" w:rsidRDefault="008B7725">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w:t>
      </w:r>
      <w:r>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C514A1" w:rsidRDefault="008B7725">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C514A1" w:rsidRDefault="00C514A1">
      <w:pPr>
        <w:ind w:right="851"/>
        <w:jc w:val="both"/>
        <w:rPr>
          <w:rFonts w:ascii="Palatino Linotype" w:eastAsia="Palatino Linotype" w:hAnsi="Palatino Linotype" w:cs="Palatino Linotype"/>
          <w:i/>
          <w:sz w:val="22"/>
          <w:szCs w:val="22"/>
        </w:rPr>
      </w:pPr>
    </w:p>
    <w:p w:rsidR="00C514A1" w:rsidRDefault="008B772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C514A1" w:rsidRDefault="008B7725">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14A1" w:rsidRDefault="008B7725">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14A1" w:rsidRDefault="008B772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rsidR="00C514A1" w:rsidRDefault="00C514A1">
      <w:pPr>
        <w:spacing w:line="360" w:lineRule="auto"/>
        <w:jc w:val="both"/>
        <w:rPr>
          <w:rFonts w:ascii="Palatino Linotype" w:eastAsia="Palatino Linotype" w:hAnsi="Palatino Linotype" w:cs="Palatino Linotype"/>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w:t>
      </w:r>
      <w:r>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C514A1" w:rsidRDefault="00C514A1">
      <w:pPr>
        <w:ind w:left="851" w:right="851"/>
        <w:jc w:val="both"/>
        <w:rPr>
          <w:rFonts w:ascii="Palatino Linotype" w:eastAsia="Palatino Linotype" w:hAnsi="Palatino Linotype" w:cs="Palatino Linotype"/>
          <w:b/>
          <w:i/>
          <w:sz w:val="22"/>
          <w:szCs w:val="22"/>
        </w:rPr>
      </w:pPr>
    </w:p>
    <w:p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C514A1" w:rsidRDefault="00C514A1">
      <w:pPr>
        <w:spacing w:line="360" w:lineRule="auto"/>
        <w:jc w:val="both"/>
        <w:rPr>
          <w:rFonts w:ascii="Palatino Linotype" w:eastAsia="Palatino Linotype" w:hAnsi="Palatino Linotype" w:cs="Palatino Linotype"/>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C514A1" w:rsidRDefault="00C514A1">
      <w:pPr>
        <w:ind w:left="851" w:right="851"/>
        <w:jc w:val="both"/>
        <w:rPr>
          <w:rFonts w:ascii="Palatino Linotype" w:eastAsia="Palatino Linotype" w:hAnsi="Palatino Linotype" w:cs="Palatino Linotype"/>
          <w:b/>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514A1" w:rsidRDefault="00C514A1">
      <w:pPr>
        <w:ind w:left="851" w:right="851"/>
        <w:jc w:val="both"/>
        <w:rPr>
          <w:rFonts w:ascii="Palatino Linotype" w:eastAsia="Palatino Linotype" w:hAnsi="Palatino Linotype" w:cs="Palatino Linotype"/>
          <w:i/>
          <w:sz w:val="22"/>
          <w:szCs w:val="22"/>
        </w:rPr>
      </w:pPr>
    </w:p>
    <w:p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 xml:space="preserve">el derecho de acceso a la </w:t>
      </w:r>
      <w:r>
        <w:rPr>
          <w:rFonts w:ascii="Palatino Linotype" w:eastAsia="Palatino Linotype" w:hAnsi="Palatino Linotype" w:cs="Palatino Linotype"/>
          <w:b/>
        </w:rPr>
        <w:lastRenderedPageBreak/>
        <w:t>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14A1" w:rsidRDefault="008B772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C514A1" w:rsidRDefault="008B772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el particular 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rsidR="00B12A5B" w:rsidRPr="00B12A5B" w:rsidRDefault="00B12A5B" w:rsidP="00B12A5B">
      <w:pPr>
        <w:pStyle w:val="Prrafodelista"/>
        <w:numPr>
          <w:ilvl w:val="0"/>
          <w:numId w:val="12"/>
        </w:numPr>
        <w:tabs>
          <w:tab w:val="left" w:pos="709"/>
        </w:tabs>
        <w:spacing w:before="240" w:after="240" w:line="360" w:lineRule="auto"/>
        <w:ind w:right="900"/>
        <w:jc w:val="both"/>
        <w:rPr>
          <w:rFonts w:ascii="Palatino Linotype" w:eastAsia="Palatino Linotype" w:hAnsi="Palatino Linotype" w:cs="Palatino Linotype"/>
          <w:color w:val="000000"/>
        </w:rPr>
      </w:pPr>
      <w:r w:rsidRPr="00B12A5B">
        <w:rPr>
          <w:rFonts w:ascii="Palatino Linotype" w:eastAsia="Palatino Linotype" w:hAnsi="Palatino Linotype" w:cs="Palatino Linotype"/>
          <w:color w:val="000000"/>
        </w:rPr>
        <w:lastRenderedPageBreak/>
        <w:t>Relación del personal adscrito a la secretaria particular en la quincena de primero de marzo 2022, listas de asistencia de todos los adscritos al área mencionada, recibos de nómina de la primer quincena de marzo 2022, curriculum vitae de todos los adscritos al área, gafete de todos los adscritos al área, contrato de los servidores públicos adscritos al área.</w:t>
      </w:r>
    </w:p>
    <w:p w:rsidR="00B12A5B" w:rsidRPr="00B12A5B" w:rsidRDefault="00B12A5B" w:rsidP="00B12A5B">
      <w:pPr>
        <w:pStyle w:val="Prrafodelista"/>
        <w:numPr>
          <w:ilvl w:val="0"/>
          <w:numId w:val="12"/>
        </w:numPr>
        <w:tabs>
          <w:tab w:val="left" w:pos="709"/>
        </w:tabs>
        <w:spacing w:before="240" w:after="240" w:line="360" w:lineRule="auto"/>
        <w:ind w:right="900"/>
        <w:jc w:val="both"/>
        <w:rPr>
          <w:rFonts w:ascii="Palatino Linotype" w:eastAsia="Palatino Linotype" w:hAnsi="Palatino Linotype" w:cs="Palatino Linotype"/>
          <w:color w:val="000000"/>
        </w:rPr>
      </w:pPr>
      <w:r w:rsidRPr="00B12A5B">
        <w:rPr>
          <w:rFonts w:ascii="Palatino Linotype" w:eastAsia="Palatino Linotype" w:hAnsi="Palatino Linotype" w:cs="Palatino Linotype"/>
          <w:color w:val="000000"/>
        </w:rPr>
        <w:t>Relación del personal adscrito a la oficina de presidencia en la quincena de primero de marzo 2022, listas de asistencia de todos los adscritos a la oficina de presidencia, recibos de nómina de la primer quincena de marzo 2022, curriculum vitae, gafette, contrato de los servidores públicos.</w:t>
      </w:r>
    </w:p>
    <w:p w:rsidR="007D5748" w:rsidRPr="007D5748" w:rsidRDefault="008B7725" w:rsidP="007D5748">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sidR="00B12A5B">
        <w:rPr>
          <w:rFonts w:ascii="Palatino Linotype" w:eastAsia="Palatino Linotype" w:hAnsi="Palatino Linotype" w:cs="Palatino Linotype"/>
        </w:rPr>
        <w:t>notificó en cada recurso de revisi</w:t>
      </w:r>
      <w:r w:rsidR="007D5748">
        <w:rPr>
          <w:rFonts w:ascii="Palatino Linotype" w:eastAsia="Palatino Linotype" w:hAnsi="Palatino Linotype" w:cs="Palatino Linotype"/>
        </w:rPr>
        <w:t xml:space="preserve">ón, </w:t>
      </w:r>
      <w:r w:rsidR="00B12A5B">
        <w:rPr>
          <w:rFonts w:ascii="Palatino Linotype" w:eastAsia="Palatino Linotype" w:hAnsi="Palatino Linotype" w:cs="Palatino Linotype"/>
        </w:rPr>
        <w:t>dos</w:t>
      </w:r>
      <w:r>
        <w:rPr>
          <w:rFonts w:ascii="Palatino Linotype" w:eastAsia="Palatino Linotype" w:hAnsi="Palatino Linotype" w:cs="Palatino Linotype"/>
        </w:rPr>
        <w:t xml:space="preserve"> documento</w:t>
      </w:r>
      <w:r w:rsidR="007D5748">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B12A5B">
        <w:rPr>
          <w:rFonts w:ascii="Palatino Linotype" w:eastAsia="Palatino Linotype" w:hAnsi="Palatino Linotype" w:cs="Palatino Linotype"/>
        </w:rPr>
        <w:t>s</w:t>
      </w:r>
      <w:r>
        <w:rPr>
          <w:rFonts w:ascii="Palatino Linotype" w:eastAsia="Palatino Linotype" w:hAnsi="Palatino Linotype" w:cs="Palatino Linotype"/>
        </w:rPr>
        <w:t xml:space="preserve"> </w:t>
      </w:r>
      <w:r w:rsidR="00B12A5B">
        <w:rPr>
          <w:rFonts w:ascii="Palatino Linotype" w:eastAsia="Palatino Linotype" w:hAnsi="Palatino Linotype" w:cs="Palatino Linotype"/>
        </w:rPr>
        <w:t>en los cuales</w:t>
      </w:r>
      <w:r w:rsidR="007D5748">
        <w:rPr>
          <w:rFonts w:ascii="Palatino Linotype" w:eastAsia="Palatino Linotype" w:hAnsi="Palatino Linotype" w:cs="Palatino Linotype"/>
        </w:rPr>
        <w:t xml:space="preserve"> </w:t>
      </w:r>
      <w:r w:rsidR="007D5748" w:rsidRPr="007D5748">
        <w:rPr>
          <w:rFonts w:ascii="Palatino Linotype" w:eastAsia="Palatino Linotype" w:hAnsi="Palatino Linotype" w:cs="Palatino Linotype"/>
        </w:rPr>
        <w:t>el Coordinador de Recursos Humanos, manifiesta que no es posible proporcionar la información de manera electrónica por la extensión, es impos</w:t>
      </w:r>
      <w:r w:rsidR="007D5748">
        <w:rPr>
          <w:rFonts w:ascii="Palatino Linotype" w:eastAsia="Palatino Linotype" w:hAnsi="Palatino Linotype" w:cs="Palatino Linotype"/>
        </w:rPr>
        <w:t xml:space="preserve">ible cargarla a la plataforma y a su vez, </w:t>
      </w:r>
      <w:r w:rsidR="007D5748" w:rsidRPr="007D5748">
        <w:rPr>
          <w:rFonts w:ascii="Palatino Linotype" w:eastAsia="Palatino Linotype" w:hAnsi="Palatino Linotype" w:cs="Palatino Linotype"/>
        </w:rPr>
        <w:t xml:space="preserve">el Tesorero Municipal refiere que se encuentra en imposibilidad de proporcionar la información en la modalidad que señala, por lo que se cambia la modalidad a “consulta directa”. </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se estima importante referir, que </w:t>
      </w:r>
      <w:r w:rsidR="007D5748">
        <w:rPr>
          <w:rFonts w:ascii="Palatino Linotype" w:eastAsia="Palatino Linotype" w:hAnsi="Palatino Linotype" w:cs="Palatino Linotype"/>
          <w:b/>
        </w:rPr>
        <w:t>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al momento de presentar las solicitudes de información que dieron origen a los recursos de revisión que nos ocupan, eligió como modalidad de entrega </w:t>
      </w:r>
      <w:r>
        <w:rPr>
          <w:rFonts w:ascii="Palatino Linotype" w:eastAsia="Palatino Linotype" w:hAnsi="Palatino Linotype" w:cs="Palatino Linotype"/>
          <w:b/>
        </w:rPr>
        <w:t>vía SAIMEX</w:t>
      </w:r>
      <w:r>
        <w:rPr>
          <w:rFonts w:ascii="Palatino Linotype" w:eastAsia="Palatino Linotype" w:hAnsi="Palatino Linotype" w:cs="Palatino Linotype"/>
        </w:rPr>
        <w:t>.</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debe tener en cuenta que el artículo 155, fracción V, de la Ley de Transparencia y Acceso a la Información Pública del Estado de México y Municipios, </w:t>
      </w:r>
      <w:r>
        <w:rPr>
          <w:rFonts w:ascii="Palatino Linotype" w:eastAsia="Palatino Linotype" w:hAnsi="Palatino Linotype" w:cs="Palatino Linotype"/>
        </w:rPr>
        <w:lastRenderedPageBreak/>
        <w:t>se precisa que para presentar una solicitud, el particular podrá señalar la modalidad en la que prefiere que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158, dispone que de manera excepcional, cuando de manera fundada y motivada lo determine el Sujeto Obligado, en los casos en que la entrega de la información que se encuentre a su disposición, </w:t>
      </w:r>
      <w:r>
        <w:rPr>
          <w:rFonts w:ascii="Palatino Linotype" w:eastAsia="Palatino Linotype" w:hAnsi="Palatino Linotype" w:cs="Palatino Linotype"/>
          <w:b/>
        </w:rPr>
        <w:t xml:space="preserve">sobrepase las capacidades técnicas del Sujeto Obligado </w:t>
      </w:r>
      <w:r>
        <w:rPr>
          <w:rFonts w:ascii="Palatino Linotype" w:eastAsia="Palatino Linotype" w:hAnsi="Palatino Linotype" w:cs="Palatino Linotype"/>
        </w:rPr>
        <w:t>para cumplir con la solicitud, se podrá poner a disposición del solicitante la información en consulta directa.</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importante mencionar que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otras modalidades.</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tales consideraciones, la entrega deberá hacerse, </w:t>
      </w:r>
      <w:r>
        <w:rPr>
          <w:rFonts w:ascii="Palatino Linotype" w:eastAsia="Palatino Linotype" w:hAnsi="Palatino Linotype" w:cs="Palatino Linotype"/>
          <w:b/>
        </w:rPr>
        <w:t xml:space="preserve">en la medida de lo posible, en la forma solicitada por el interesado, salvo que exista un impedimento </w:t>
      </w:r>
      <w:r>
        <w:rPr>
          <w:rFonts w:ascii="Palatino Linotype" w:eastAsia="Palatino Linotype" w:hAnsi="Palatino Linotype" w:cs="Palatino Linotype"/>
          <w:b/>
        </w:rPr>
        <w:lastRenderedPageBreak/>
        <w:t>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C514A1" w:rsidRDefault="00C514A1">
      <w:pPr>
        <w:spacing w:line="360" w:lineRule="auto"/>
        <w:jc w:val="both"/>
        <w:rPr>
          <w:rFonts w:ascii="Palatino Linotype" w:eastAsia="Palatino Linotype" w:hAnsi="Palatino Linotype" w:cs="Palatino Linotype"/>
          <w:sz w:val="22"/>
          <w:szCs w:val="22"/>
        </w:rPr>
      </w:pPr>
    </w:p>
    <w:p w:rsidR="00C514A1" w:rsidRDefault="008B772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rsidR="00C514A1" w:rsidRDefault="008B7725">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lastRenderedPageBreak/>
        <w:t xml:space="preserve">Así las cosas, debe resaltarse que en el presente asunto, </w:t>
      </w:r>
      <w:r>
        <w:rPr>
          <w:rFonts w:ascii="Palatino Linotype" w:eastAsia="Palatino Linotype" w:hAnsi="Palatino Linotype" w:cs="Palatino Linotype"/>
          <w:color w:val="000000"/>
        </w:rPr>
        <w:t>se aludieron imposibilidades materiales y humanas, sin aportar mayores elementos que permitan a este organismo determinar que efectivamente, existen impedimentos de carácter humano, administrativo o material para entregar la información requerida.</w:t>
      </w:r>
    </w:p>
    <w:p w:rsidR="00C514A1" w:rsidRDefault="00C514A1">
      <w:pPr>
        <w:spacing w:line="360" w:lineRule="auto"/>
        <w:jc w:val="both"/>
        <w:rPr>
          <w:rFonts w:ascii="Palatino Linotype" w:eastAsia="Palatino Linotype" w:hAnsi="Palatino Linotype" w:cs="Palatino Linotype"/>
          <w:b/>
        </w:rPr>
      </w:pPr>
    </w:p>
    <w:p w:rsidR="00C514A1" w:rsidRDefault="008B7725">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C514A1" w:rsidRDefault="00C514A1">
      <w:pPr>
        <w:spacing w:line="360" w:lineRule="auto"/>
        <w:jc w:val="both"/>
        <w:rPr>
          <w:rFonts w:ascii="Palatino Linotype" w:eastAsia="Palatino Linotype" w:hAnsi="Palatino Linotype" w:cs="Palatino Linotype"/>
        </w:rPr>
      </w:pPr>
    </w:p>
    <w:p w:rsidR="00C514A1" w:rsidRDefault="008B7725">
      <w:pPr>
        <w:numPr>
          <w:ilvl w:val="0"/>
          <w:numId w:val="7"/>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rsidR="00C514A1" w:rsidRDefault="00C514A1">
      <w:pPr>
        <w:spacing w:line="360" w:lineRule="auto"/>
        <w:ind w:left="567" w:right="900" w:hanging="283"/>
        <w:jc w:val="both"/>
        <w:rPr>
          <w:rFonts w:ascii="Palatino Linotype" w:eastAsia="Palatino Linotype" w:hAnsi="Palatino Linotype" w:cs="Palatino Linotype"/>
        </w:rPr>
      </w:pPr>
    </w:p>
    <w:p w:rsidR="00C514A1" w:rsidRDefault="008B7725">
      <w:pPr>
        <w:numPr>
          <w:ilvl w:val="0"/>
          <w:numId w:val="7"/>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rsidR="00C514A1" w:rsidRDefault="00C514A1">
      <w:pPr>
        <w:spacing w:line="360" w:lineRule="auto"/>
        <w:ind w:left="567" w:right="900" w:hanging="283"/>
        <w:rPr>
          <w:rFonts w:ascii="Palatino Linotype" w:eastAsia="Palatino Linotype" w:hAnsi="Palatino Linotype" w:cs="Palatino Linotype"/>
        </w:rPr>
      </w:pPr>
    </w:p>
    <w:p w:rsidR="00C514A1" w:rsidRDefault="008B7725">
      <w:pPr>
        <w:numPr>
          <w:ilvl w:val="0"/>
          <w:numId w:val="7"/>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rsidR="00C514A1" w:rsidRDefault="00C514A1">
      <w:pPr>
        <w:spacing w:line="360" w:lineRule="auto"/>
        <w:ind w:right="-28"/>
        <w:jc w:val="both"/>
        <w:rPr>
          <w:rFonts w:ascii="Palatino Linotype" w:eastAsia="Palatino Linotype" w:hAnsi="Palatino Linotype" w:cs="Palatino Linotype"/>
          <w:color w:val="000000"/>
        </w:rPr>
      </w:pPr>
    </w:p>
    <w:p w:rsidR="00C514A1" w:rsidRDefault="008B772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ese contexto, este Instituto reitera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señaló de manera puntual</w:t>
      </w:r>
      <w:r>
        <w:t xml:space="preserve"> las </w:t>
      </w:r>
      <w:r>
        <w:rPr>
          <w:rFonts w:ascii="Palatino Linotype" w:eastAsia="Palatino Linotype" w:hAnsi="Palatino Linotype" w:cs="Palatino Linotype"/>
          <w:color w:val="000000"/>
        </w:rPr>
        <w:t>imposibilidades técnicas, administrativas y humanas, esto en observancia a las siguientes circunstancias:</w:t>
      </w:r>
    </w:p>
    <w:p w:rsidR="00C514A1" w:rsidRDefault="00C514A1">
      <w:pPr>
        <w:spacing w:line="360" w:lineRule="auto"/>
        <w:ind w:right="900"/>
        <w:jc w:val="both"/>
        <w:rPr>
          <w:rFonts w:ascii="Palatino Linotype" w:eastAsia="Palatino Linotype" w:hAnsi="Palatino Linotype" w:cs="Palatino Linotype"/>
          <w:color w:val="000000"/>
        </w:rPr>
      </w:pPr>
    </w:p>
    <w:p w:rsidR="00C514A1" w:rsidRDefault="008B7725">
      <w:pPr>
        <w:numPr>
          <w:ilvl w:val="0"/>
          <w:numId w:val="9"/>
        </w:numP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formato, en que se encontraba la información, es decir, de manera digital o física, y</w:t>
      </w:r>
    </w:p>
    <w:p w:rsidR="00C514A1" w:rsidRDefault="00C514A1">
      <w:pPr>
        <w:spacing w:line="360" w:lineRule="auto"/>
        <w:ind w:left="780" w:right="900"/>
        <w:jc w:val="both"/>
        <w:rPr>
          <w:rFonts w:ascii="Palatino Linotype" w:eastAsia="Palatino Linotype" w:hAnsi="Palatino Linotype" w:cs="Palatino Linotype"/>
          <w:color w:val="000000"/>
        </w:rPr>
      </w:pPr>
    </w:p>
    <w:p w:rsidR="00C514A1" w:rsidRDefault="008B7725">
      <w:pPr>
        <w:numPr>
          <w:ilvl w:val="0"/>
          <w:numId w:val="9"/>
        </w:numP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número de hojas o peso aproximado de la información, </w:t>
      </w:r>
      <w:r>
        <w:rPr>
          <w:rFonts w:ascii="Palatino Linotype" w:eastAsia="Palatino Linotype" w:hAnsi="Palatino Linotype" w:cs="Palatino Linotype"/>
        </w:rPr>
        <w:t>solicitada</w:t>
      </w:r>
      <w:r>
        <w:rPr>
          <w:rFonts w:ascii="Palatino Linotype" w:eastAsia="Palatino Linotype" w:hAnsi="Palatino Linotype" w:cs="Palatino Linotype"/>
          <w:color w:val="000000"/>
        </w:rPr>
        <w:t>, del cual se pudiera conocer cuántos documentos había generado y recibido las áreas, o bien, cuando menos un aproximado, y</w:t>
      </w:r>
    </w:p>
    <w:p w:rsidR="00C514A1" w:rsidRDefault="00C514A1">
      <w:pPr>
        <w:spacing w:line="360" w:lineRule="auto"/>
        <w:ind w:left="708"/>
        <w:rPr>
          <w:rFonts w:ascii="Palatino Linotype" w:eastAsia="Palatino Linotype" w:hAnsi="Palatino Linotype" w:cs="Palatino Linotype"/>
          <w:color w:val="000000"/>
        </w:rPr>
      </w:pPr>
    </w:p>
    <w:p w:rsidR="00C514A1" w:rsidRDefault="008B7725">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Además, tampoco acreditó que lo peticionado implicaba un análisis, procesamiento o estudio de documentos cuya reproducción sobrepasará las capacidades técnicas, administrativas y humanas del </w:t>
      </w:r>
      <w:r w:rsidRPr="007D5748">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la justificación </w:t>
      </w:r>
      <w:r>
        <w:rPr>
          <w:rFonts w:ascii="Palatino Linotype" w:eastAsia="Palatino Linotype" w:hAnsi="Palatino Linotype" w:cs="Palatino Linotype"/>
          <w:b/>
          <w:u w:val="single"/>
        </w:rPr>
        <w:t>se basó únicamente en que sobrepasaba las capacidades, sin acreditar su dicho.</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w:t>
      </w:r>
      <w:r>
        <w:rPr>
          <w:rFonts w:ascii="Palatino Linotype" w:eastAsia="Palatino Linotype" w:hAnsi="Palatino Linotype" w:cs="Palatino Linotype"/>
        </w:rPr>
        <w:lastRenderedPageBreak/>
        <w:t xml:space="preserve">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C514A1" w:rsidRDefault="00C514A1">
      <w:pPr>
        <w:spacing w:line="360" w:lineRule="auto"/>
        <w:jc w:val="both"/>
        <w:rPr>
          <w:rFonts w:ascii="Palatino Linotype" w:eastAsia="Palatino Linotype" w:hAnsi="Palatino Linotype" w:cs="Palatino Linotype"/>
        </w:rPr>
      </w:pPr>
    </w:p>
    <w:p w:rsidR="00C514A1" w:rsidRDefault="008B7725">
      <w:pPr>
        <w:widowControl w:val="0"/>
        <w:spacing w:line="360" w:lineRule="auto"/>
        <w:jc w:val="both"/>
        <w:rPr>
          <w:rFonts w:ascii="Palatino Linotype" w:eastAsia="Palatino Linotype" w:hAnsi="Palatino Linotype" w:cs="Palatino Linotype"/>
          <w:b/>
          <w:u w:val="single"/>
        </w:rPr>
      </w:pPr>
      <w:bookmarkStart w:id="3" w:name="_heading=h.2et92p0" w:colFirst="0" w:colLast="0"/>
      <w:bookmarkEnd w:id="3"/>
      <w:r>
        <w:rPr>
          <w:rFonts w:ascii="Palatino Linotype" w:eastAsia="Palatino Linotype" w:hAnsi="Palatino Linotype" w:cs="Palatino Linotype"/>
        </w:rPr>
        <w:t xml:space="preserve">Conforme a lo expuesto, este Instituto no tiene certeza que la información solicitada implicará un análisis, procesamiento y estudio, pues </w:t>
      </w:r>
      <w:r>
        <w:rPr>
          <w:rFonts w:ascii="Palatino Linotype" w:eastAsia="Palatino Linotype" w:hAnsi="Palatino Linotype" w:cs="Palatino Linotype"/>
          <w:b/>
          <w:u w:val="single"/>
        </w:rPr>
        <w:t>se desconoce si la misma obra en un solo expediente o en varios, o bien, la cantidad de la documentación excede las capacidades de las unidades administrativas en cuestión, para atender la solicitud, dentro del plazo establecido en la normatividad aplicable.</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b/>
          <w:u w:val="single"/>
        </w:rPr>
      </w:pPr>
      <w:bookmarkStart w:id="4" w:name="_heading=h.tyjcwt" w:colFirst="0" w:colLast="0"/>
      <w:bookmarkEnd w:id="4"/>
      <w:r>
        <w:rPr>
          <w:rFonts w:ascii="Palatino Linotype" w:eastAsia="Palatino Linotype" w:hAnsi="Palatino Linotype" w:cs="Palatino Linotype"/>
        </w:rPr>
        <w:t xml:space="preserve">Por lo anterior, se advierte que </w:t>
      </w:r>
      <w:r>
        <w:rPr>
          <w:rFonts w:ascii="Palatino Linotype" w:eastAsia="Palatino Linotype" w:hAnsi="Palatino Linotype" w:cs="Palatino Linotype"/>
          <w:b/>
          <w:u w:val="single"/>
        </w:rPr>
        <w:t>el Sujeto Obligado, no acreditó la imposibilidad humana, técnica y administrativa, establecida en el artículo 158 de la Ley de Transparencia y Acceso a la Información Pública del Estado de México y Municipios, para validar el cambio de modalidad a consulta directa; situación que se robustece, con el hecho de que tampoco vio la posibilidad de poner a disposición la información, en el resto de modalidades establecidas en la Ley de la materia.</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las cosas así, cabe invocar el contenido del Capítulo X de Lineamientos Generales en Materia de Clasificación y Desclasificación de la Información, así como para la Elaboración de Versiones Públicas, respecto a la consulta directa, que reza así:</w:t>
      </w:r>
    </w:p>
    <w:p w:rsidR="00C514A1" w:rsidRDefault="008B7725">
      <w:pPr>
        <w:spacing w:before="120" w:after="12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CAPÍTULO X </w:t>
      </w:r>
    </w:p>
    <w:p w:rsidR="00C514A1" w:rsidRDefault="008B7725">
      <w:pPr>
        <w:spacing w:before="120" w:after="12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 CONSULTA DIRECTA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séptimo</w:t>
      </w:r>
      <w:r>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sz w:val="22"/>
          <w:szCs w:val="22"/>
        </w:rPr>
        <w:t>deberá emitir la resolución en la que funde y motive la clasificación</w:t>
      </w:r>
      <w:r>
        <w:rPr>
          <w:rFonts w:ascii="Palatino Linotype" w:eastAsia="Palatino Linotype" w:hAnsi="Palatino Linotype" w:cs="Palatino Linotype"/>
          <w:i/>
          <w:sz w:val="22"/>
          <w:szCs w:val="22"/>
        </w:rPr>
        <w:t xml:space="preserve"> de las partes o secciones que no podrán dejarse a la vista del solicitante.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octavo</w:t>
      </w:r>
      <w:r>
        <w:rPr>
          <w:rFonts w:ascii="Palatino Linotype" w:eastAsia="Palatino Linotype" w:hAnsi="Palatino Linotype" w:cs="Palatino Linotype"/>
          <w:i/>
          <w:sz w:val="22"/>
          <w:szCs w:val="22"/>
        </w:rPr>
        <w:t xml:space="preserve">. En la </w:t>
      </w:r>
      <w:r>
        <w:rPr>
          <w:rFonts w:ascii="Palatino Linotype" w:eastAsia="Palatino Linotype" w:hAnsi="Palatino Linotype" w:cs="Palatino Linotype"/>
          <w:b/>
          <w:i/>
          <w:sz w:val="22"/>
          <w:szCs w:val="22"/>
        </w:rPr>
        <w:t>resolución del Comité de Transparencia</w:t>
      </w:r>
      <w:r>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noveno</w:t>
      </w:r>
      <w:r>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w:t>
      </w:r>
      <w:r>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w:t>
      </w:r>
      <w:r>
        <w:rPr>
          <w:rFonts w:ascii="Palatino Linotype" w:eastAsia="Palatino Linotype" w:hAnsi="Palatino Linotype" w:cs="Palatino Linotype"/>
          <w:i/>
          <w:sz w:val="22"/>
          <w:szCs w:val="22"/>
        </w:rPr>
        <w:lastRenderedPageBreak/>
        <w:t xml:space="preserve">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Proporcionar al solicitante las facilidades y asistencia requerida para la consulta de los documentos;</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Abstenerse de requerir al solicitante que acredite interés alguno;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Equipo y personal de vigilancia;</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Plan de acción contra robo o vandalismo;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Extintores de fuego de gas inocuo;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w:t>
      </w:r>
      <w:r>
        <w:rPr>
          <w:rFonts w:ascii="Palatino Linotype" w:eastAsia="Palatino Linotype" w:hAnsi="Palatino Linotype" w:cs="Palatino Linotype"/>
          <w:i/>
          <w:sz w:val="22"/>
          <w:szCs w:val="22"/>
        </w:rPr>
        <w:t xml:space="preserve"> Registro e identificación de los particulares autorizados para llevar a cabo la consulta directa, y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g)</w:t>
      </w:r>
      <w:r>
        <w:rPr>
          <w:rFonts w:ascii="Palatino Linotype" w:eastAsia="Palatino Linotype" w:hAnsi="Palatino Linotype" w:cs="Palatino Linotype"/>
          <w:i/>
          <w:sz w:val="22"/>
          <w:szCs w:val="22"/>
        </w:rPr>
        <w:t xml:space="preserve"> Las demás que, a criterio de los sujetos obligados, resulten necesarias. </w:t>
      </w:r>
    </w:p>
    <w:p w:rsidR="00C514A1" w:rsidRDefault="008B7725">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VII.</w:t>
      </w:r>
      <w:r>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rsidR="00C514A1" w:rsidRDefault="008B7725">
      <w:pPr>
        <w:spacing w:before="120" w:after="12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Septuagésimo primero. </w:t>
      </w:r>
      <w:r>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segundo.</w:t>
      </w:r>
      <w:r>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tercero</w:t>
      </w:r>
      <w:r>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C514A1" w:rsidRDefault="008B7725">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deberá ser entregada sin costo, cuando implique la entrega de no más de veinte hojas simples.”</w:t>
      </w:r>
    </w:p>
    <w:p w:rsidR="00C514A1" w:rsidRDefault="00C514A1">
      <w:pPr>
        <w:spacing w:before="120" w:after="120"/>
        <w:ind w:left="851" w:right="902"/>
        <w:jc w:val="both"/>
        <w:rPr>
          <w:rFonts w:ascii="Palatino Linotype" w:eastAsia="Palatino Linotype" w:hAnsi="Palatino Linotype" w:cs="Palatino Linotype"/>
          <w:i/>
          <w:sz w:val="20"/>
          <w:szCs w:val="20"/>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consecuencia de lo anterior, se reitera que los argumentos señalados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resultan insuficientes para que tenga lugar un cambio de modalidad, pues no se acreditó la existencia de una imposibilidad técnica que impida la entrega de la información por el medio solicitado; además,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aportó elementos argumentativos que demostraran una imposibilidad técnica y humana para atender la solicitud de información; pues de la misma no se apreció que se trate de una cantidad extraordinaria de información o que se requiera realizar varias versiones públicas o que la información pueda obrar en una gran magnitud de hojas.</w:t>
      </w:r>
    </w:p>
    <w:p w:rsidR="00C514A1" w:rsidRDefault="00C514A1">
      <w:pPr>
        <w:spacing w:line="360" w:lineRule="auto"/>
        <w:jc w:val="both"/>
        <w:rPr>
          <w:rFonts w:ascii="Palatino Linotype" w:eastAsia="Palatino Linotype" w:hAnsi="Palatino Linotype" w:cs="Palatino Linotype"/>
        </w:rPr>
      </w:pP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pues, </w:t>
      </w:r>
      <w:r>
        <w:rPr>
          <w:rFonts w:ascii="Palatino Linotype" w:eastAsia="Palatino Linotype" w:hAnsi="Palatino Linotype" w:cs="Palatino Linotype"/>
          <w:b/>
        </w:rPr>
        <w:t>resulta improcedente el cambio de modalidad propuesto por el Sujeto Obligado</w:t>
      </w:r>
      <w:r>
        <w:rPr>
          <w:rFonts w:ascii="Palatino Linotype" w:eastAsia="Palatino Linotype" w:hAnsi="Palatino Linotype" w:cs="Palatino Linotype"/>
        </w:rPr>
        <w:t xml:space="preserve"> y por tanto, se continúa con el análisis de la naturaleza de la información, para determinar su entrega en la modalidad elegida por el Particular. </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teniendo estas premisas en cuenta, debe trasladarse al caso concreto que sobre este requerimiento de información, únicamente se pronunció la </w:t>
      </w:r>
      <w:r>
        <w:rPr>
          <w:rFonts w:ascii="Palatino Linotype" w:eastAsia="Palatino Linotype" w:hAnsi="Palatino Linotype" w:cs="Palatino Linotype"/>
          <w:b/>
        </w:rPr>
        <w:t>Unidad de Transparencia</w:t>
      </w:r>
      <w:r>
        <w:rPr>
          <w:rFonts w:ascii="Palatino Linotype" w:eastAsia="Palatino Linotype" w:hAnsi="Palatino Linotype" w:cs="Palatino Linotype"/>
        </w:rPr>
        <w:t xml:space="preserve">, lo cual no satisfizo el derecho de acceso el derecho de acceso a la información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sidR="00C40ABE">
        <w:rPr>
          <w:rFonts w:ascii="Palatino Linotype" w:eastAsia="Palatino Linotype" w:hAnsi="Palatino Linotype" w:cs="Palatino Linotype"/>
        </w:rPr>
        <w:t>, a la destrucción del material.</w:t>
      </w:r>
    </w:p>
    <w:p w:rsidR="00C514A1" w:rsidRPr="00612E6F" w:rsidRDefault="008B7725" w:rsidP="007D574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conviene analizar la naturaleza de la información para determinar si es procedente su entrega. </w:t>
      </w:r>
      <w:r w:rsidRPr="00612E6F">
        <w:rPr>
          <w:rFonts w:ascii="Palatino Linotype" w:eastAsia="Palatino Linotype" w:hAnsi="Palatino Linotype" w:cs="Palatino Linotype"/>
        </w:rPr>
        <w:t xml:space="preserve">En el presente asunto, se advierte que los requerimientos del particular versan sobre </w:t>
      </w:r>
      <w:r w:rsidR="007D5748" w:rsidRPr="00612E6F">
        <w:rPr>
          <w:rFonts w:ascii="Palatino Linotype" w:eastAsia="Palatino Linotype" w:hAnsi="Palatino Linotype" w:cs="Palatino Linotype"/>
        </w:rPr>
        <w:t xml:space="preserve">el personal adscrito a la Secretaría Particular y la Oficina de Presidencia, al respecto el Código Reglamentario para el Municipio de Tenancingo, Estado de México, delimita que dichas áreas pertenecen a la estructura orgánica municipal: </w:t>
      </w:r>
    </w:p>
    <w:p w:rsidR="007D5748" w:rsidRPr="00612E6F" w:rsidRDefault="007D5748" w:rsidP="007D5748">
      <w:pPr>
        <w:spacing w:line="360" w:lineRule="auto"/>
        <w:jc w:val="both"/>
        <w:rPr>
          <w:rFonts w:ascii="Palatino Linotype" w:eastAsia="Palatino Linotype" w:hAnsi="Palatino Linotype" w:cs="Palatino Linotype"/>
        </w:rPr>
      </w:pP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“CAPITULO SEGUNDO DE LA OFICINA DE PRESIDENCIA MUNICIPAL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Artículo 3.13. </w:t>
      </w:r>
      <w:r w:rsidRPr="00612E6F">
        <w:rPr>
          <w:rFonts w:ascii="Palatino Linotype" w:eastAsia="Palatino Linotype" w:hAnsi="Palatino Linotype" w:cs="Palatino Linotype"/>
          <w:b/>
          <w:i/>
          <w:sz w:val="22"/>
          <w:u w:val="single"/>
        </w:rPr>
        <w:t>La oficina de la Presidencia Municipal estará integrada por unidades administrativas conformadas por un titular y el personal que requiera las necesidades del servicio.</w:t>
      </w:r>
      <w:r w:rsidRPr="00612E6F">
        <w:rPr>
          <w:rFonts w:ascii="Palatino Linotype" w:eastAsia="Palatino Linotype" w:hAnsi="Palatino Linotype" w:cs="Palatino Linotype"/>
          <w:i/>
          <w:sz w:val="22"/>
        </w:rPr>
        <w:t xml:space="preserve">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Artículo 3.14. </w:t>
      </w:r>
      <w:r w:rsidRPr="00612E6F">
        <w:rPr>
          <w:rFonts w:ascii="Palatino Linotype" w:eastAsia="Palatino Linotype" w:hAnsi="Palatino Linotype" w:cs="Palatino Linotype"/>
          <w:b/>
          <w:i/>
          <w:sz w:val="22"/>
          <w:u w:val="single"/>
        </w:rPr>
        <w:t>La Oficina de la Presidencia Municipal, además del área que lleva su nombre, estará integrada de la siguiente forma:</w:t>
      </w:r>
      <w:r w:rsidRPr="00612E6F">
        <w:rPr>
          <w:rFonts w:ascii="Palatino Linotype" w:eastAsia="Palatino Linotype" w:hAnsi="Palatino Linotype" w:cs="Palatino Linotype"/>
          <w:i/>
          <w:sz w:val="22"/>
        </w:rPr>
        <w:t xml:space="preserve">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 Presidencia municipal. </w:t>
      </w:r>
    </w:p>
    <w:p w:rsidR="007D5748" w:rsidRPr="00612E6F" w:rsidRDefault="007D5748" w:rsidP="007D5748">
      <w:pPr>
        <w:spacing w:line="276" w:lineRule="auto"/>
        <w:ind w:left="567" w:right="900"/>
        <w:jc w:val="both"/>
        <w:rPr>
          <w:rFonts w:ascii="Palatino Linotype" w:eastAsia="Palatino Linotype" w:hAnsi="Palatino Linotype" w:cs="Palatino Linotype"/>
          <w:b/>
          <w:i/>
          <w:sz w:val="22"/>
        </w:rPr>
      </w:pPr>
      <w:r w:rsidRPr="00612E6F">
        <w:rPr>
          <w:rFonts w:ascii="Palatino Linotype" w:eastAsia="Palatino Linotype" w:hAnsi="Palatino Linotype" w:cs="Palatino Linotype"/>
          <w:b/>
          <w:i/>
          <w:sz w:val="22"/>
        </w:rPr>
        <w:t xml:space="preserve">1.1 Secretaría Particular.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1.1.1. Oficialía de partes. </w:t>
      </w:r>
    </w:p>
    <w:p w:rsidR="00B17F47" w:rsidRPr="00612E6F" w:rsidRDefault="00B17F47" w:rsidP="007D5748">
      <w:pPr>
        <w:spacing w:line="276" w:lineRule="auto"/>
        <w:ind w:left="567" w:right="900"/>
        <w:jc w:val="both"/>
        <w:rPr>
          <w:rFonts w:ascii="Palatino Linotype" w:eastAsia="Palatino Linotype" w:hAnsi="Palatino Linotype" w:cs="Palatino Linotype"/>
          <w:i/>
          <w:sz w:val="22"/>
        </w:rPr>
      </w:pP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1.2 Secretaría Técnica.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1.2.1. Unidad de Información, Planeación, Programación y Evaluación (UIPPE). 1.2.2. Unidad de Transparencia.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1.2.3. Unidad de Gobierno Digital.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1.2.4. Coordinación de Mejora Regulatoria. </w:t>
      </w:r>
    </w:p>
    <w:p w:rsidR="00B17F47" w:rsidRPr="00612E6F" w:rsidRDefault="00B17F47" w:rsidP="007D5748">
      <w:pPr>
        <w:spacing w:line="276" w:lineRule="auto"/>
        <w:ind w:left="567" w:right="900"/>
        <w:jc w:val="both"/>
        <w:rPr>
          <w:rFonts w:ascii="Palatino Linotype" w:eastAsia="Palatino Linotype" w:hAnsi="Palatino Linotype" w:cs="Palatino Linotype"/>
          <w:i/>
          <w:sz w:val="22"/>
        </w:rPr>
      </w:pPr>
    </w:p>
    <w:p w:rsidR="00B17F47" w:rsidRPr="00612E6F" w:rsidRDefault="007D5748" w:rsidP="00B17F47">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1.3. Coordinación Jurídica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1.4. Coordinación de Comunicación Social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1.5. Coordinación de Eventos Especiales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1.6. Coordinación de Enlace Institucional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1.7. Coordinación de Giras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1.8. Oficialía Mediadora-Conciliadora </w:t>
      </w:r>
    </w:p>
    <w:p w:rsidR="007D5748" w:rsidRPr="00612E6F" w:rsidRDefault="007D5748" w:rsidP="007D5748">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1.9. Oficialía Calificadora </w:t>
      </w:r>
    </w:p>
    <w:p w:rsidR="00B17F47" w:rsidRPr="00612E6F" w:rsidRDefault="007D5748" w:rsidP="00672995">
      <w:pPr>
        <w:spacing w:line="276" w:lineRule="auto"/>
        <w:ind w:left="567" w:right="900"/>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1.10. Oficina de enlace con la Secretaría de Relaciones Exteriores”</w:t>
      </w:r>
    </w:p>
    <w:p w:rsidR="00672995" w:rsidRPr="00612E6F" w:rsidRDefault="00B17F47" w:rsidP="00672995">
      <w:pPr>
        <w:spacing w:before="240" w:after="240" w:line="360" w:lineRule="auto"/>
        <w:jc w:val="both"/>
        <w:rPr>
          <w:rFonts w:ascii="Palatino Linotype" w:eastAsia="Palatino Linotype" w:hAnsi="Palatino Linotype" w:cs="Palatino Linotype"/>
        </w:rPr>
      </w:pPr>
      <w:r w:rsidRPr="00612E6F">
        <w:rPr>
          <w:rFonts w:ascii="Palatino Linotype" w:eastAsia="Palatino Linotype" w:hAnsi="Palatino Linotype" w:cs="Palatino Linotype"/>
        </w:rPr>
        <w:t xml:space="preserve">De manera que como se vislumbra de la siguiente cita, la Oficina de la Presidencia se conforma de diferentes áreas administrativas, entre las cuales se encuentra la Secretaría Particular, asimismo resulta importante señalar que dentro de </w:t>
      </w:r>
      <w:r w:rsidR="00672995" w:rsidRPr="00612E6F">
        <w:rPr>
          <w:rFonts w:ascii="Palatino Linotype" w:eastAsia="Palatino Linotype" w:hAnsi="Palatino Linotype" w:cs="Palatino Linotype"/>
        </w:rPr>
        <w:t>esta estructura se encuentra la Presidencia Municipal, sin embargo, no deberá incluirse al momento de entregar la información</w:t>
      </w:r>
      <w:r w:rsidR="00B8397E" w:rsidRPr="00612E6F">
        <w:rPr>
          <w:rFonts w:ascii="Palatino Linotype" w:eastAsia="Palatino Linotype" w:hAnsi="Palatino Linotype" w:cs="Palatino Linotype"/>
        </w:rPr>
        <w:t xml:space="preserve"> la información del presidente municipal</w:t>
      </w:r>
      <w:r w:rsidR="00672995" w:rsidRPr="00612E6F">
        <w:rPr>
          <w:rFonts w:ascii="Palatino Linotype" w:eastAsia="Palatino Linotype" w:hAnsi="Palatino Linotype" w:cs="Palatino Linotype"/>
        </w:rPr>
        <w:t xml:space="preserve">, en razón de que ostenta un cargo de elección popular, ello encuentra sustento en los artículos 117, 118, 119 y 120 de la Constitución Política del Estado Libre y Soberano de México, los cuales establecen que los integrantes del ayuntamiento, propietarios o suplentes deberán cumplir una serie de requisitos, de las cuales no se advierte la firma de un contrato, expedición de gafete, relación de personal o listas de asistencia, sirve de ilustración la siguiente cita: </w:t>
      </w:r>
    </w:p>
    <w:p w:rsidR="00672995" w:rsidRPr="00612E6F" w:rsidRDefault="00672995" w:rsidP="00672995">
      <w:pPr>
        <w:spacing w:before="240" w:after="240"/>
        <w:ind w:left="567" w:right="851"/>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 xml:space="preserve">“Artículo 117.- </w:t>
      </w:r>
      <w:r w:rsidRPr="00612E6F">
        <w:rPr>
          <w:rFonts w:ascii="Palatino Linotype" w:eastAsia="Palatino Linotype" w:hAnsi="Palatino Linotype" w:cs="Palatino Linotype"/>
          <w:b/>
          <w:i/>
          <w:sz w:val="22"/>
          <w:szCs w:val="22"/>
        </w:rPr>
        <w:t>Los ayuntamientos se integrarán con una jefa o jefe de asamblea que se denominará Presidenta o Presidente Municipal, respectivamente</w:t>
      </w:r>
      <w:r w:rsidRPr="00612E6F">
        <w:rPr>
          <w:rFonts w:ascii="Palatino Linotype" w:eastAsia="Palatino Linotype" w:hAnsi="Palatino Linotype" w:cs="Palatino Linotype"/>
          <w:i/>
          <w:sz w:val="22"/>
          <w:szCs w:val="22"/>
        </w:rPr>
        <w:t xml:space="preserve">, </w:t>
      </w:r>
      <w:r w:rsidRPr="00612E6F">
        <w:rPr>
          <w:rFonts w:ascii="Palatino Linotype" w:eastAsia="Palatino Linotype" w:hAnsi="Palatino Linotype" w:cs="Palatino Linotype"/>
          <w:b/>
          <w:i/>
          <w:sz w:val="22"/>
          <w:szCs w:val="22"/>
        </w:rPr>
        <w:t>y con varios miembros más llamados Síndicas o Síndicos y Regidoras o Regidores</w:t>
      </w:r>
      <w:r w:rsidRPr="00612E6F">
        <w:rPr>
          <w:rFonts w:ascii="Palatino Linotype" w:eastAsia="Palatino Linotype" w:hAnsi="Palatino Linotype" w:cs="Palatino Linotype"/>
          <w:i/>
          <w:sz w:val="22"/>
          <w:szCs w:val="22"/>
        </w:rPr>
        <w:t xml:space="preserve">, cuyo número se determinará en razón directa de la población del municipio que representen, como lo disponga la Ley Orgánica respectiva. 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 </w:t>
      </w:r>
    </w:p>
    <w:p w:rsidR="00672995" w:rsidRPr="00612E6F" w:rsidRDefault="00672995" w:rsidP="00672995">
      <w:pPr>
        <w:spacing w:before="240" w:after="240"/>
        <w:ind w:left="567" w:right="851"/>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lastRenderedPageBreak/>
        <w:t xml:space="preserve">CAPITULO SEGUNDO </w:t>
      </w:r>
    </w:p>
    <w:p w:rsidR="00672995" w:rsidRPr="00612E6F" w:rsidRDefault="00672995" w:rsidP="00672995">
      <w:pPr>
        <w:spacing w:before="240" w:after="240"/>
        <w:ind w:left="567" w:right="851"/>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 xml:space="preserve">De los Miembros de los Ayuntamientos </w:t>
      </w:r>
    </w:p>
    <w:p w:rsidR="00672995" w:rsidRPr="00612E6F" w:rsidRDefault="00672995" w:rsidP="00672995">
      <w:pPr>
        <w:spacing w:before="240" w:after="240"/>
        <w:ind w:left="567" w:right="851"/>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 xml:space="preserve">Artículo 118.- </w:t>
      </w:r>
      <w:r w:rsidRPr="00612E6F">
        <w:rPr>
          <w:rFonts w:ascii="Palatino Linotype" w:eastAsia="Palatino Linotype" w:hAnsi="Palatino Linotype" w:cs="Palatino Linotype"/>
          <w:b/>
          <w:i/>
          <w:sz w:val="22"/>
          <w:szCs w:val="22"/>
        </w:rPr>
        <w:t>Los miembros de un ayuntamiento serán designados en una sola elección.</w:t>
      </w:r>
      <w:r w:rsidRPr="00612E6F">
        <w:rPr>
          <w:rFonts w:ascii="Palatino Linotype" w:eastAsia="Palatino Linotype" w:hAnsi="Palatino Linotype" w:cs="Palatino Linotype"/>
          <w:i/>
          <w:sz w:val="22"/>
          <w:szCs w:val="22"/>
        </w:rPr>
        <w:t xml:space="preserve"> 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síndicas electas y los síndicos electos por ambas fórmulas tendrán las atribuciones que les señale la ley. Por cada miembro del ayuntamiento que se elija como propietario se elegirá un suplente. </w:t>
      </w:r>
    </w:p>
    <w:p w:rsidR="00672995" w:rsidRPr="00612E6F" w:rsidRDefault="00672995" w:rsidP="00672995">
      <w:pPr>
        <w:spacing w:before="240" w:after="240"/>
        <w:ind w:left="567" w:right="851"/>
        <w:jc w:val="both"/>
        <w:rPr>
          <w:rFonts w:ascii="Palatino Linotype" w:eastAsia="Palatino Linotype" w:hAnsi="Palatino Linotype" w:cs="Palatino Linotype"/>
          <w:b/>
          <w:i/>
          <w:sz w:val="22"/>
          <w:szCs w:val="22"/>
        </w:rPr>
      </w:pPr>
      <w:r w:rsidRPr="00612E6F">
        <w:rPr>
          <w:rFonts w:ascii="Palatino Linotype" w:eastAsia="Palatino Linotype" w:hAnsi="Palatino Linotype" w:cs="Palatino Linotype"/>
          <w:b/>
          <w:i/>
          <w:sz w:val="22"/>
          <w:szCs w:val="22"/>
        </w:rPr>
        <w:t xml:space="preserve">Artículo 119.- Para ser miembro propietario o suplente de un ayuntamiento se requiere: </w:t>
      </w:r>
    </w:p>
    <w:p w:rsidR="00672995" w:rsidRPr="00612E6F" w:rsidRDefault="00672995" w:rsidP="00672995">
      <w:pPr>
        <w:numPr>
          <w:ilvl w:val="0"/>
          <w:numId w:val="14"/>
        </w:numPr>
        <w:pBdr>
          <w:top w:val="nil"/>
          <w:left w:val="nil"/>
          <w:bottom w:val="nil"/>
          <w:right w:val="nil"/>
          <w:between w:val="nil"/>
        </w:pBdr>
        <w:spacing w:before="240" w:after="240" w:line="256" w:lineRule="auto"/>
        <w:ind w:left="567" w:right="851"/>
        <w:jc w:val="both"/>
        <w:rPr>
          <w:rFonts w:ascii="Palatino Linotype" w:eastAsia="Palatino Linotype" w:hAnsi="Palatino Linotype" w:cs="Palatino Linotype"/>
          <w:b/>
          <w:i/>
          <w:color w:val="000000"/>
          <w:sz w:val="22"/>
          <w:szCs w:val="22"/>
        </w:rPr>
      </w:pPr>
      <w:r w:rsidRPr="00612E6F">
        <w:rPr>
          <w:rFonts w:ascii="Palatino Linotype" w:eastAsia="Palatino Linotype" w:hAnsi="Palatino Linotype" w:cs="Palatino Linotype"/>
          <w:b/>
          <w:i/>
          <w:color w:val="000000"/>
          <w:sz w:val="22"/>
          <w:szCs w:val="22"/>
        </w:rPr>
        <w:t xml:space="preserve">Ser mexicana o mexicano, ciudadana o ciudadano del Estado, en pleno ejercicio de sus derechos; </w:t>
      </w:r>
    </w:p>
    <w:p w:rsidR="00672995" w:rsidRPr="00612E6F" w:rsidRDefault="00672995" w:rsidP="00672995">
      <w:pPr>
        <w:numPr>
          <w:ilvl w:val="0"/>
          <w:numId w:val="14"/>
        </w:numPr>
        <w:pBdr>
          <w:top w:val="nil"/>
          <w:left w:val="nil"/>
          <w:bottom w:val="nil"/>
          <w:right w:val="nil"/>
          <w:between w:val="nil"/>
        </w:pBdr>
        <w:spacing w:before="240" w:after="240" w:line="256" w:lineRule="auto"/>
        <w:ind w:left="567" w:right="851" w:hanging="141"/>
        <w:jc w:val="both"/>
        <w:rPr>
          <w:rFonts w:ascii="Palatino Linotype" w:eastAsia="Palatino Linotype" w:hAnsi="Palatino Linotype" w:cs="Palatino Linotype"/>
          <w:b/>
          <w:i/>
          <w:color w:val="000000"/>
          <w:sz w:val="22"/>
          <w:szCs w:val="22"/>
        </w:rPr>
      </w:pPr>
      <w:r w:rsidRPr="00612E6F">
        <w:rPr>
          <w:rFonts w:ascii="Palatino Linotype" w:eastAsia="Palatino Linotype" w:hAnsi="Palatino Linotype" w:cs="Palatino Linotype"/>
          <w:b/>
          <w:i/>
          <w:color w:val="000000"/>
          <w:sz w:val="22"/>
          <w:szCs w:val="22"/>
        </w:rPr>
        <w:t xml:space="preserve">Ser mexiquense con residencia efectiva en el municipio no menor a un año o vecino del mismo, con residencia efectiva en su territorio no menor a tres años, anteriores al día de la elección; y </w:t>
      </w:r>
    </w:p>
    <w:p w:rsidR="00672995" w:rsidRPr="00612E6F" w:rsidRDefault="00672995" w:rsidP="00672995">
      <w:pPr>
        <w:numPr>
          <w:ilvl w:val="0"/>
          <w:numId w:val="14"/>
        </w:numPr>
        <w:pBdr>
          <w:top w:val="nil"/>
          <w:left w:val="nil"/>
          <w:bottom w:val="nil"/>
          <w:right w:val="nil"/>
          <w:between w:val="nil"/>
        </w:pBdr>
        <w:spacing w:before="240" w:after="240" w:line="256" w:lineRule="auto"/>
        <w:ind w:left="567" w:right="851" w:hanging="283"/>
        <w:jc w:val="both"/>
        <w:rPr>
          <w:rFonts w:ascii="Palatino Linotype" w:eastAsia="Palatino Linotype" w:hAnsi="Palatino Linotype" w:cs="Palatino Linotype"/>
          <w:b/>
          <w:i/>
          <w:color w:val="000000"/>
          <w:sz w:val="22"/>
          <w:szCs w:val="22"/>
        </w:rPr>
      </w:pPr>
      <w:r w:rsidRPr="00612E6F">
        <w:rPr>
          <w:rFonts w:ascii="Palatino Linotype" w:eastAsia="Palatino Linotype" w:hAnsi="Palatino Linotype" w:cs="Palatino Linotype"/>
          <w:b/>
          <w:i/>
          <w:color w:val="000000"/>
          <w:sz w:val="22"/>
          <w:szCs w:val="22"/>
        </w:rPr>
        <w:t xml:space="preserve">Ser de reconocida probidad y buena fama pública. </w:t>
      </w:r>
    </w:p>
    <w:p w:rsidR="00672995" w:rsidRPr="00612E6F" w:rsidRDefault="00672995" w:rsidP="00672995">
      <w:pPr>
        <w:numPr>
          <w:ilvl w:val="0"/>
          <w:numId w:val="14"/>
        </w:numPr>
        <w:pBdr>
          <w:top w:val="nil"/>
          <w:left w:val="nil"/>
          <w:bottom w:val="nil"/>
          <w:right w:val="nil"/>
          <w:between w:val="nil"/>
        </w:pBdr>
        <w:spacing w:before="240" w:after="240" w:line="256" w:lineRule="auto"/>
        <w:ind w:left="567" w:right="851" w:hanging="283"/>
        <w:jc w:val="both"/>
        <w:rPr>
          <w:rFonts w:ascii="Palatino Linotype" w:eastAsia="Palatino Linotype" w:hAnsi="Palatino Linotype" w:cs="Palatino Linotype"/>
          <w:b/>
          <w:i/>
          <w:color w:val="000000"/>
          <w:sz w:val="22"/>
          <w:szCs w:val="22"/>
        </w:rPr>
      </w:pPr>
      <w:r w:rsidRPr="00612E6F">
        <w:rPr>
          <w:rFonts w:ascii="Palatino Linotype" w:eastAsia="Palatino Linotype" w:hAnsi="Palatino Linotype" w:cs="Palatino Linotype"/>
          <w:b/>
          <w:i/>
          <w:color w:val="000000"/>
          <w:sz w:val="22"/>
          <w:szCs w:val="22"/>
        </w:rPr>
        <w:t xml:space="preserve">No estar condenada o condenado por sentencia ejecutoriada por el delito de violencia política contra las mujeres en razón de género; </w:t>
      </w:r>
    </w:p>
    <w:p w:rsidR="00672995" w:rsidRPr="00612E6F" w:rsidRDefault="00672995" w:rsidP="00672995">
      <w:pPr>
        <w:numPr>
          <w:ilvl w:val="0"/>
          <w:numId w:val="14"/>
        </w:numPr>
        <w:pBdr>
          <w:top w:val="nil"/>
          <w:left w:val="nil"/>
          <w:bottom w:val="nil"/>
          <w:right w:val="nil"/>
          <w:between w:val="nil"/>
        </w:pBdr>
        <w:spacing w:before="240" w:after="240" w:line="256" w:lineRule="auto"/>
        <w:ind w:left="567" w:right="851" w:hanging="283"/>
        <w:jc w:val="both"/>
        <w:rPr>
          <w:rFonts w:ascii="Palatino Linotype" w:eastAsia="Palatino Linotype" w:hAnsi="Palatino Linotype" w:cs="Palatino Linotype"/>
          <w:b/>
          <w:i/>
          <w:color w:val="000000"/>
          <w:sz w:val="22"/>
          <w:szCs w:val="22"/>
        </w:rPr>
      </w:pPr>
      <w:r w:rsidRPr="00612E6F">
        <w:rPr>
          <w:rFonts w:ascii="Palatino Linotype" w:eastAsia="Palatino Linotype" w:hAnsi="Palatino Linotype" w:cs="Palatino Linotype"/>
          <w:b/>
          <w:i/>
          <w:color w:val="000000"/>
          <w:sz w:val="22"/>
          <w:szCs w:val="22"/>
        </w:rPr>
        <w:t xml:space="preserve">No estar inscrito en el Registro de Deudores Alimentarios Morosos en el Estado, ni en otra entidad federativa, y </w:t>
      </w:r>
    </w:p>
    <w:p w:rsidR="00672995" w:rsidRPr="00612E6F" w:rsidRDefault="00672995" w:rsidP="00672995">
      <w:pPr>
        <w:numPr>
          <w:ilvl w:val="0"/>
          <w:numId w:val="14"/>
        </w:numPr>
        <w:pBdr>
          <w:top w:val="nil"/>
          <w:left w:val="nil"/>
          <w:bottom w:val="nil"/>
          <w:right w:val="nil"/>
          <w:between w:val="nil"/>
        </w:pBdr>
        <w:spacing w:before="240" w:after="240" w:line="256" w:lineRule="auto"/>
        <w:ind w:left="567" w:right="851" w:hanging="283"/>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b/>
          <w:i/>
          <w:color w:val="000000"/>
          <w:sz w:val="22"/>
          <w:szCs w:val="22"/>
        </w:rPr>
        <w:t>No estar condenada o condenado por sentencia ejecutoriada por delitos de violencia familiar, contra la libertad sexual o de violencia de género.</w:t>
      </w:r>
    </w:p>
    <w:p w:rsidR="00672995" w:rsidRPr="00612E6F" w:rsidRDefault="00672995" w:rsidP="00672995">
      <w:pPr>
        <w:pBdr>
          <w:top w:val="nil"/>
          <w:left w:val="nil"/>
          <w:bottom w:val="nil"/>
          <w:right w:val="nil"/>
          <w:between w:val="nil"/>
        </w:pBdr>
        <w:spacing w:before="240" w:after="240"/>
        <w:ind w:left="567" w:right="851"/>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i/>
          <w:color w:val="000000"/>
          <w:sz w:val="22"/>
          <w:szCs w:val="22"/>
        </w:rPr>
        <w:t xml:space="preserve">Artículo 120.- No pueden ser miembros propietarios o suplentes de los ayuntamientos: </w:t>
      </w:r>
    </w:p>
    <w:p w:rsidR="00672995" w:rsidRPr="00612E6F" w:rsidRDefault="00672995" w:rsidP="00672995">
      <w:pPr>
        <w:numPr>
          <w:ilvl w:val="0"/>
          <w:numId w:val="15"/>
        </w:numPr>
        <w:pBdr>
          <w:top w:val="nil"/>
          <w:left w:val="nil"/>
          <w:bottom w:val="nil"/>
          <w:right w:val="nil"/>
          <w:between w:val="nil"/>
        </w:pBdr>
        <w:spacing w:before="240" w:after="240" w:line="256" w:lineRule="auto"/>
        <w:ind w:left="567" w:right="851" w:hanging="141"/>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i/>
          <w:color w:val="000000"/>
          <w:sz w:val="22"/>
          <w:szCs w:val="22"/>
        </w:rPr>
        <w:t xml:space="preserve">Las diputadas o diputados y senadoras o senadores al Congreso de la Unión que se encuentren en ejercicio de su cargo; </w:t>
      </w:r>
    </w:p>
    <w:p w:rsidR="00672995" w:rsidRPr="00612E6F" w:rsidRDefault="00672995" w:rsidP="00672995">
      <w:pPr>
        <w:numPr>
          <w:ilvl w:val="0"/>
          <w:numId w:val="15"/>
        </w:numPr>
        <w:pBdr>
          <w:top w:val="nil"/>
          <w:left w:val="nil"/>
          <w:bottom w:val="nil"/>
          <w:right w:val="nil"/>
          <w:between w:val="nil"/>
        </w:pBdr>
        <w:spacing w:before="240" w:after="240" w:line="256" w:lineRule="auto"/>
        <w:ind w:left="567" w:right="851" w:hanging="141"/>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i/>
          <w:color w:val="000000"/>
          <w:sz w:val="22"/>
          <w:szCs w:val="22"/>
        </w:rPr>
        <w:lastRenderedPageBreak/>
        <w:t xml:space="preserve">Las diputadas o diputados a la Legislatura del Estado que se encuentren en ejercicio de su cargo; </w:t>
      </w:r>
    </w:p>
    <w:p w:rsidR="00672995" w:rsidRPr="00612E6F" w:rsidRDefault="00672995" w:rsidP="00672995">
      <w:pPr>
        <w:numPr>
          <w:ilvl w:val="0"/>
          <w:numId w:val="15"/>
        </w:numPr>
        <w:pBdr>
          <w:top w:val="nil"/>
          <w:left w:val="nil"/>
          <w:bottom w:val="nil"/>
          <w:right w:val="nil"/>
          <w:between w:val="nil"/>
        </w:pBdr>
        <w:spacing w:before="240" w:after="240" w:line="256" w:lineRule="auto"/>
        <w:ind w:left="567" w:right="851" w:hanging="141"/>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i/>
          <w:color w:val="000000"/>
          <w:sz w:val="22"/>
          <w:szCs w:val="22"/>
        </w:rPr>
        <w:t xml:space="preserve">Las juezas o jueces, magistradas o magistrados o consejeras o consejeros de la Judicatura del Poder Judicial del Estado o de la Federación; </w:t>
      </w:r>
    </w:p>
    <w:p w:rsidR="00672995" w:rsidRPr="00612E6F" w:rsidRDefault="00672995" w:rsidP="00672995">
      <w:pPr>
        <w:numPr>
          <w:ilvl w:val="0"/>
          <w:numId w:val="15"/>
        </w:numPr>
        <w:pBdr>
          <w:top w:val="nil"/>
          <w:left w:val="nil"/>
          <w:bottom w:val="nil"/>
          <w:right w:val="nil"/>
          <w:between w:val="nil"/>
        </w:pBdr>
        <w:spacing w:before="240" w:after="240" w:line="256" w:lineRule="auto"/>
        <w:ind w:left="567" w:right="851" w:hanging="141"/>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i/>
          <w:color w:val="000000"/>
          <w:sz w:val="22"/>
          <w:szCs w:val="22"/>
        </w:rPr>
        <w:t xml:space="preserve">Las y los servidores públicos federales, estatales o municipales en ejercicio de autoridad; </w:t>
      </w:r>
    </w:p>
    <w:p w:rsidR="00672995" w:rsidRPr="00612E6F" w:rsidRDefault="00672995" w:rsidP="00672995">
      <w:pPr>
        <w:numPr>
          <w:ilvl w:val="0"/>
          <w:numId w:val="15"/>
        </w:numPr>
        <w:pBdr>
          <w:top w:val="nil"/>
          <w:left w:val="nil"/>
          <w:bottom w:val="nil"/>
          <w:right w:val="nil"/>
          <w:between w:val="nil"/>
        </w:pBdr>
        <w:spacing w:before="240" w:after="240" w:line="256" w:lineRule="auto"/>
        <w:ind w:left="567" w:right="851" w:hanging="141"/>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i/>
          <w:color w:val="000000"/>
          <w:sz w:val="22"/>
          <w:szCs w:val="22"/>
        </w:rPr>
        <w:t xml:space="preserve">Las y los militares y los miembros de las fuerzas de seguridad pública del Estado y los de los municipios que ejerzan mando en el territorio de la elección; y </w:t>
      </w:r>
    </w:p>
    <w:p w:rsidR="00672995" w:rsidRPr="00612E6F" w:rsidRDefault="00672995" w:rsidP="00672995">
      <w:pPr>
        <w:numPr>
          <w:ilvl w:val="0"/>
          <w:numId w:val="15"/>
        </w:numPr>
        <w:pBdr>
          <w:top w:val="nil"/>
          <w:left w:val="nil"/>
          <w:bottom w:val="nil"/>
          <w:right w:val="nil"/>
          <w:between w:val="nil"/>
        </w:pBdr>
        <w:spacing w:before="240" w:after="240" w:line="256" w:lineRule="auto"/>
        <w:ind w:left="567" w:right="851" w:hanging="141"/>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i/>
          <w:color w:val="000000"/>
          <w:sz w:val="22"/>
          <w:szCs w:val="22"/>
        </w:rPr>
        <w:t xml:space="preserve">Las y los ministros de cualquier culto, a menos que se separen formal, material y definitivamente de su ministerio, cuando menos cinco años antes del día de la elección. </w:t>
      </w:r>
    </w:p>
    <w:p w:rsidR="00672995" w:rsidRPr="00612E6F" w:rsidRDefault="00672995" w:rsidP="00672995">
      <w:pPr>
        <w:pBdr>
          <w:top w:val="nil"/>
          <w:left w:val="nil"/>
          <w:bottom w:val="nil"/>
          <w:right w:val="nil"/>
          <w:between w:val="nil"/>
        </w:pBdr>
        <w:spacing w:before="240" w:after="240"/>
        <w:ind w:left="567" w:right="851" w:hanging="141"/>
        <w:jc w:val="both"/>
        <w:rPr>
          <w:rFonts w:ascii="Palatino Linotype" w:eastAsia="Palatino Linotype" w:hAnsi="Palatino Linotype" w:cs="Palatino Linotype"/>
          <w:i/>
          <w:color w:val="000000"/>
          <w:sz w:val="22"/>
          <w:szCs w:val="22"/>
        </w:rPr>
      </w:pPr>
      <w:r w:rsidRPr="00612E6F">
        <w:rPr>
          <w:rFonts w:ascii="Palatino Linotype" w:eastAsia="Palatino Linotype" w:hAnsi="Palatino Linotype" w:cs="Palatino Linotype"/>
          <w:i/>
          <w:color w:val="000000"/>
          <w:sz w:val="22"/>
          <w:szCs w:val="22"/>
        </w:rPr>
        <w:t>Las y los servidores públicos a que se refieren las fracciones de la I a la V serán exceptuados del impedimento si se separan de sus respectivos cargos por lo menos, veinticuatro horas antes del inicio de las campañas, conforme al calendario electoral vigente</w:t>
      </w:r>
      <w:r w:rsidRPr="00612E6F">
        <w:rPr>
          <w:rFonts w:ascii="Palatino Linotype" w:eastAsia="Palatino Linotype" w:hAnsi="Palatino Linotype" w:cs="Palatino Linotype"/>
          <w:b/>
          <w:i/>
          <w:color w:val="000000"/>
          <w:sz w:val="22"/>
          <w:szCs w:val="22"/>
        </w:rPr>
        <w:t xml:space="preserve">.” </w:t>
      </w:r>
      <w:r w:rsidRPr="00612E6F">
        <w:rPr>
          <w:rFonts w:ascii="Palatino Linotype" w:eastAsia="Palatino Linotype" w:hAnsi="Palatino Linotype" w:cs="Palatino Linotype"/>
          <w:i/>
          <w:color w:val="000000"/>
          <w:sz w:val="22"/>
          <w:szCs w:val="22"/>
        </w:rPr>
        <w:t>(Sic) (Énfasis añadido)</w:t>
      </w:r>
    </w:p>
    <w:p w:rsidR="00672995" w:rsidRPr="00612E6F" w:rsidRDefault="00672995" w:rsidP="00672995">
      <w:pPr>
        <w:widowControl w:val="0"/>
        <w:tabs>
          <w:tab w:val="left" w:pos="1701"/>
          <w:tab w:val="left" w:pos="1843"/>
        </w:tabs>
        <w:spacing w:before="240" w:after="240" w:line="360" w:lineRule="auto"/>
        <w:jc w:val="both"/>
        <w:rPr>
          <w:rFonts w:ascii="Palatino Linotype" w:eastAsia="Palatino Linotype" w:hAnsi="Palatino Linotype" w:cs="Palatino Linotype"/>
        </w:rPr>
      </w:pPr>
      <w:r w:rsidRPr="00612E6F">
        <w:rPr>
          <w:rFonts w:ascii="Palatino Linotype" w:eastAsia="Palatino Linotype" w:hAnsi="Palatino Linotype" w:cs="Palatino Linotype"/>
        </w:rPr>
        <w:t xml:space="preserve">De igual forma, el Código Electoral del Estado de México señala: </w:t>
      </w:r>
    </w:p>
    <w:p w:rsidR="00672995" w:rsidRPr="00612E6F" w:rsidRDefault="00672995" w:rsidP="00672995">
      <w:pPr>
        <w:widowControl w:val="0"/>
        <w:tabs>
          <w:tab w:val="left" w:pos="1701"/>
          <w:tab w:val="left" w:pos="1843"/>
        </w:tabs>
        <w:spacing w:before="240" w:after="240" w:line="276" w:lineRule="auto"/>
        <w:ind w:left="567" w:right="851"/>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“Artículo 16. 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 Las ciudadanas y los ciudadanos que reúnan los requisitos establecidos en el artículo 119 y que no se encuentren en cualquiera de los supuestos previstos en el artículo 120 de la Constitución Local, son elegibles para ser miembros de los ayuntamientos. Las ciudadanas y los ciudadanos que se hayan separado de un cargo público para contender en un proceso electoral, podrán reincorporase al mismo, una vez que concluya la jornada electoral. </w:t>
      </w:r>
    </w:p>
    <w:p w:rsidR="00672995" w:rsidRPr="00612E6F" w:rsidRDefault="00672995" w:rsidP="00672995">
      <w:pPr>
        <w:widowControl w:val="0"/>
        <w:tabs>
          <w:tab w:val="left" w:pos="1701"/>
          <w:tab w:val="left" w:pos="1843"/>
        </w:tabs>
        <w:spacing w:before="240" w:after="240" w:line="276" w:lineRule="auto"/>
        <w:ind w:left="567" w:right="851"/>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Artículo 17. Además de los requisitos señalados en el artículo anterior, las ciudadanas y los ciudadanos que aspiren a las candidaturas a Gobernadora o Gobernador, </w:t>
      </w:r>
      <w:r w:rsidRPr="00612E6F">
        <w:rPr>
          <w:rFonts w:ascii="Palatino Linotype" w:eastAsia="Palatino Linotype" w:hAnsi="Palatino Linotype" w:cs="Palatino Linotype"/>
          <w:i/>
          <w:sz w:val="22"/>
        </w:rPr>
        <w:lastRenderedPageBreak/>
        <w:t xml:space="preserve">Diputada, Diputado o integrante de los ayuntamientos deberán satisfacer lo siguiente: </w:t>
      </w:r>
    </w:p>
    <w:p w:rsidR="00672995" w:rsidRPr="00612E6F" w:rsidRDefault="00672995" w:rsidP="00672995">
      <w:pPr>
        <w:widowControl w:val="0"/>
        <w:numPr>
          <w:ilvl w:val="0"/>
          <w:numId w:val="16"/>
        </w:numPr>
        <w:tabs>
          <w:tab w:val="left" w:pos="1701"/>
          <w:tab w:val="left" w:pos="1843"/>
        </w:tabs>
        <w:spacing w:before="240" w:after="240" w:line="276" w:lineRule="auto"/>
        <w:ind w:left="567" w:right="851" w:hanging="141"/>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Estar inscrito en el padrón electoral correspondiente, la lista nominal y contar con credencial para votar vigente. </w:t>
      </w:r>
    </w:p>
    <w:p w:rsidR="00672995" w:rsidRPr="00612E6F" w:rsidRDefault="00672995" w:rsidP="00672995">
      <w:pPr>
        <w:widowControl w:val="0"/>
        <w:numPr>
          <w:ilvl w:val="0"/>
          <w:numId w:val="16"/>
        </w:numPr>
        <w:tabs>
          <w:tab w:val="left" w:pos="1701"/>
          <w:tab w:val="left" w:pos="1843"/>
        </w:tabs>
        <w:spacing w:before="240" w:after="240" w:line="276" w:lineRule="auto"/>
        <w:ind w:left="567" w:right="851" w:hanging="283"/>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No ser magistrada o magistrado del Tribunal Superior de Justicia o del Tribunal Electoral o funcionario de este, salvo que se separe del cargo dos años antes de la fecha de inicio del proceso electoral de que se trate. </w:t>
      </w:r>
    </w:p>
    <w:p w:rsidR="00672995" w:rsidRPr="00612E6F" w:rsidRDefault="00672995" w:rsidP="00672995">
      <w:pPr>
        <w:widowControl w:val="0"/>
        <w:numPr>
          <w:ilvl w:val="0"/>
          <w:numId w:val="16"/>
        </w:numPr>
        <w:tabs>
          <w:tab w:val="left" w:pos="1701"/>
          <w:tab w:val="left" w:pos="1843"/>
        </w:tabs>
        <w:spacing w:before="240" w:after="240" w:line="276" w:lineRule="auto"/>
        <w:ind w:left="567" w:right="851" w:hanging="283"/>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No formar parte del servicio profesional electoral del Instituto, salvo que se separe del cargo dos años antes de la fecha de inicio del proceso electoral de que se trate. </w:t>
      </w:r>
    </w:p>
    <w:p w:rsidR="00672995" w:rsidRPr="00612E6F" w:rsidRDefault="00672995" w:rsidP="00672995">
      <w:pPr>
        <w:widowControl w:val="0"/>
        <w:numPr>
          <w:ilvl w:val="0"/>
          <w:numId w:val="16"/>
        </w:numPr>
        <w:tabs>
          <w:tab w:val="left" w:pos="1701"/>
          <w:tab w:val="left" w:pos="1843"/>
        </w:tabs>
        <w:spacing w:before="240" w:after="240" w:line="276" w:lineRule="auto"/>
        <w:ind w:left="567" w:right="851" w:hanging="283"/>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No ser consejera o consejero electoral en el consejo general, del Instituto ni secretario ejecutivo, salvo que se separe del cargo dos años antes de la fecha de inicio del proceso electoral de que se trate. </w:t>
      </w:r>
    </w:p>
    <w:p w:rsidR="00672995" w:rsidRPr="00612E6F" w:rsidRDefault="00672995" w:rsidP="00672995">
      <w:pPr>
        <w:widowControl w:val="0"/>
        <w:numPr>
          <w:ilvl w:val="0"/>
          <w:numId w:val="16"/>
        </w:numPr>
        <w:tabs>
          <w:tab w:val="left" w:pos="1701"/>
          <w:tab w:val="left" w:pos="1843"/>
        </w:tabs>
        <w:spacing w:before="240" w:after="240" w:line="276" w:lineRule="auto"/>
        <w:ind w:left="567" w:right="851" w:hanging="283"/>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No ser consejera o consejero electoral en los consejos distritales o municipales del Instituto ni director del mismo, salvo que se haya separado del cargo dos años antes de la fecha de inicio del proceso electoral de que se trate. </w:t>
      </w:r>
    </w:p>
    <w:p w:rsidR="00672995" w:rsidRPr="00612E6F" w:rsidRDefault="00672995" w:rsidP="00672995">
      <w:pPr>
        <w:widowControl w:val="0"/>
        <w:numPr>
          <w:ilvl w:val="0"/>
          <w:numId w:val="16"/>
        </w:numPr>
        <w:tabs>
          <w:tab w:val="left" w:pos="1701"/>
          <w:tab w:val="left" w:pos="1843"/>
        </w:tabs>
        <w:spacing w:before="240" w:after="240" w:line="276" w:lineRule="auto"/>
        <w:ind w:left="567" w:right="851" w:hanging="283"/>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No ser integrante del órgano de dirección de los organismos a los que la Constitución Local otorga autonomía, salvo que se separe del cargo dos años antes de la fecha de inicio del proceso electoral de que se trate; </w:t>
      </w:r>
    </w:p>
    <w:p w:rsidR="00672995" w:rsidRPr="00612E6F" w:rsidRDefault="00672995" w:rsidP="00672995">
      <w:pPr>
        <w:widowControl w:val="0"/>
        <w:numPr>
          <w:ilvl w:val="0"/>
          <w:numId w:val="16"/>
        </w:numPr>
        <w:tabs>
          <w:tab w:val="left" w:pos="1701"/>
          <w:tab w:val="left" w:pos="1843"/>
        </w:tabs>
        <w:spacing w:before="240" w:after="240" w:line="276" w:lineRule="auto"/>
        <w:ind w:left="567" w:right="851" w:hanging="425"/>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 xml:space="preserve">No ser secretaria, secretario o subsecretaria o subsecretario de Estado, ni titular de los organismos públicos desconcentrados o descentralizados de la administración pública estatal, a menos que se separen noventa días antes de la elección, y </w:t>
      </w:r>
    </w:p>
    <w:p w:rsidR="00672995" w:rsidRPr="00612E6F" w:rsidRDefault="00672995" w:rsidP="00672995">
      <w:pPr>
        <w:widowControl w:val="0"/>
        <w:tabs>
          <w:tab w:val="left" w:pos="1701"/>
          <w:tab w:val="left" w:pos="1843"/>
        </w:tabs>
        <w:spacing w:before="240" w:after="240" w:line="276" w:lineRule="auto"/>
        <w:ind w:left="567" w:right="851"/>
        <w:jc w:val="both"/>
        <w:rPr>
          <w:rFonts w:ascii="Palatino Linotype" w:eastAsia="Palatino Linotype" w:hAnsi="Palatino Linotype" w:cs="Palatino Linotype"/>
          <w:i/>
          <w:sz w:val="22"/>
        </w:rPr>
      </w:pPr>
      <w:r w:rsidRPr="00612E6F">
        <w:rPr>
          <w:rFonts w:ascii="Palatino Linotype" w:eastAsia="Palatino Linotype" w:hAnsi="Palatino Linotype" w:cs="Palatino Linotype"/>
          <w:i/>
          <w:sz w:val="22"/>
        </w:rPr>
        <w:t>VIII. Ser electo o designado candidata o candidato, de conformidad con los procedimientos democráticos internos del partido político que lo postule”</w:t>
      </w:r>
    </w:p>
    <w:p w:rsidR="00672995" w:rsidRPr="00672995" w:rsidRDefault="00672995" w:rsidP="00672995">
      <w:pPr>
        <w:widowControl w:val="0"/>
        <w:tabs>
          <w:tab w:val="left" w:pos="1701"/>
          <w:tab w:val="left" w:pos="1843"/>
        </w:tabs>
        <w:spacing w:before="240" w:after="240" w:line="360" w:lineRule="auto"/>
        <w:jc w:val="both"/>
        <w:rPr>
          <w:rFonts w:ascii="Palatino Linotype" w:eastAsia="Palatino Linotype" w:hAnsi="Palatino Linotype" w:cs="Palatino Linotype"/>
          <w:b/>
        </w:rPr>
      </w:pPr>
      <w:r w:rsidRPr="00612E6F">
        <w:rPr>
          <w:rFonts w:ascii="Palatino Linotype" w:eastAsia="Palatino Linotype" w:hAnsi="Palatino Linotype" w:cs="Palatino Linotype"/>
        </w:rPr>
        <w:t xml:space="preserve">En relación a estos preceptos, la Ley Orgánica Municipal en su artículo 18, fracción I dispone que una vez rendidos los informes de los ayuntamientos en funciones, previa convocatoria a sesión solemne, </w:t>
      </w:r>
      <w:r w:rsidRPr="00612E6F">
        <w:rPr>
          <w:rFonts w:ascii="Palatino Linotype" w:eastAsia="Palatino Linotype" w:hAnsi="Palatino Linotype" w:cs="Palatino Linotype"/>
          <w:b/>
        </w:rPr>
        <w:t xml:space="preserve">deberán presentarse los ciudadanos que en </w:t>
      </w:r>
      <w:r w:rsidRPr="00612E6F">
        <w:rPr>
          <w:rFonts w:ascii="Palatino Linotype" w:eastAsia="Palatino Linotype" w:hAnsi="Palatino Linotype" w:cs="Palatino Linotype"/>
          <w:b/>
        </w:rPr>
        <w:lastRenderedPageBreak/>
        <w:t>términos de ley resultaron electos para rendir protesta y ocupar los cargos de</w:t>
      </w:r>
      <w:r w:rsidRPr="00612E6F">
        <w:rPr>
          <w:rFonts w:ascii="Palatino Linotype" w:eastAsia="Palatino Linotype" w:hAnsi="Palatino Linotype" w:cs="Palatino Linotype"/>
        </w:rPr>
        <w:t xml:space="preserve"> </w:t>
      </w:r>
      <w:r w:rsidRPr="00612E6F">
        <w:rPr>
          <w:rFonts w:ascii="Palatino Linotype" w:eastAsia="Palatino Linotype" w:hAnsi="Palatino Linotype" w:cs="Palatino Linotype"/>
          <w:b/>
        </w:rPr>
        <w:t xml:space="preserve">presidente municipal, </w:t>
      </w:r>
      <w:r w:rsidRPr="00612E6F">
        <w:rPr>
          <w:rFonts w:ascii="Palatino Linotype" w:eastAsia="Palatino Linotype" w:hAnsi="Palatino Linotype" w:cs="Palatino Linotype"/>
        </w:rPr>
        <w:t xml:space="preserve">síndico o síndicos y regidores, sin que dicho plazo exceda el mes de diciembre del último año de la gestión del ayuntamiento saliente, </w:t>
      </w:r>
      <w:r w:rsidRPr="00612E6F">
        <w:rPr>
          <w:rFonts w:ascii="Palatino Linotype" w:eastAsia="Palatino Linotype" w:hAnsi="Palatino Linotype" w:cs="Palatino Linotype"/>
          <w:b/>
        </w:rPr>
        <w:t>dicha reunión tendrá por objeto que los miembros del ayuntamiento entrante, rindan la protesta en términos de lo dispuesto por el artículo 144</w:t>
      </w:r>
      <w:r w:rsidRPr="00612E6F">
        <w:rPr>
          <w:rFonts w:ascii="Palatino Linotype" w:eastAsia="Palatino Linotype" w:hAnsi="Palatino Linotype" w:cs="Palatino Linotype"/>
          <w:b/>
          <w:vertAlign w:val="superscript"/>
        </w:rPr>
        <w:footnoteReference w:id="3"/>
      </w:r>
      <w:r w:rsidRPr="00612E6F">
        <w:rPr>
          <w:rFonts w:ascii="Palatino Linotype" w:eastAsia="Palatino Linotype" w:hAnsi="Palatino Linotype" w:cs="Palatino Linotype"/>
          <w:b/>
        </w:rPr>
        <w:t xml:space="preserve"> de la Constitución Política del Estado Libre y Soberano de México</w:t>
      </w:r>
      <w:r w:rsidRPr="00612E6F">
        <w:rPr>
          <w:rFonts w:ascii="Palatino Linotype" w:eastAsia="Palatino Linotype" w:hAnsi="Palatino Linotype" w:cs="Palatino Linotype"/>
        </w:rPr>
        <w:t>, por lo que el</w:t>
      </w:r>
      <w:r w:rsidRPr="00612E6F">
        <w:rPr>
          <w:rFonts w:ascii="Palatino Linotype" w:eastAsia="Palatino Linotype" w:hAnsi="Palatino Linotype" w:cs="Palatino Linotype"/>
          <w:b/>
        </w:rPr>
        <w:t xml:space="preserve"> </w:t>
      </w:r>
      <w:r w:rsidRPr="00612E6F">
        <w:rPr>
          <w:rFonts w:ascii="Palatino Linotype" w:eastAsia="Palatino Linotype" w:hAnsi="Palatino Linotype" w:cs="Palatino Linotype"/>
        </w:rPr>
        <w:t>presidente municipal electo para el período siguiente lo hará ante el representante designado</w:t>
      </w:r>
      <w:r w:rsidRPr="00612E6F">
        <w:rPr>
          <w:rFonts w:ascii="Palatino Linotype" w:eastAsia="Palatino Linotype" w:hAnsi="Palatino Linotype" w:cs="Palatino Linotype"/>
          <w:b/>
        </w:rPr>
        <w:t xml:space="preserve"> </w:t>
      </w:r>
      <w:r w:rsidRPr="00612E6F">
        <w:rPr>
          <w:rFonts w:ascii="Palatino Linotype" w:eastAsia="Palatino Linotype" w:hAnsi="Palatino Linotype" w:cs="Palatino Linotype"/>
        </w:rPr>
        <w:t>por el Ejecutivo del Estado y a su vez, hará de inmediato lo propio con los demás miembros del</w:t>
      </w:r>
      <w:r w:rsidRPr="00612E6F">
        <w:rPr>
          <w:rFonts w:ascii="Palatino Linotype" w:eastAsia="Palatino Linotype" w:hAnsi="Palatino Linotype" w:cs="Palatino Linotype"/>
          <w:b/>
        </w:rPr>
        <w:t xml:space="preserve"> </w:t>
      </w:r>
      <w:r w:rsidRPr="00612E6F">
        <w:rPr>
          <w:rFonts w:ascii="Palatino Linotype" w:eastAsia="Palatino Linotype" w:hAnsi="Palatino Linotype" w:cs="Palatino Linotype"/>
        </w:rPr>
        <w:t>ayuntamiento electo, por lo tanto, derivado de la naturaleza de su designación, se tiene que no contará con dicha información por lo que no deberá incluirse a este servidor público al momento de entregar la documentación requerida.</w:t>
      </w:r>
    </w:p>
    <w:p w:rsidR="00C37192" w:rsidRPr="00C37192" w:rsidRDefault="00C37192" w:rsidP="00C37192">
      <w:pPr>
        <w:spacing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A</w:t>
      </w:r>
      <w:r w:rsidR="00672995">
        <w:rPr>
          <w:rFonts w:ascii="Palatino Linotype" w:eastAsia="Palatino Linotype" w:hAnsi="Palatino Linotype" w:cs="Palatino Linotype"/>
        </w:rPr>
        <w:t>hora bien, a</w:t>
      </w:r>
      <w:r>
        <w:rPr>
          <w:rFonts w:ascii="Palatino Linotype" w:eastAsia="Palatino Linotype" w:hAnsi="Palatino Linotype" w:cs="Palatino Linotype"/>
        </w:rPr>
        <w:t xml:space="preserve">ntes de iniciar el estudio del presente asunto, resulta procedente suplir la deficiencia de la queja en términos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rsidR="00C37192" w:rsidRDefault="00C37192" w:rsidP="00C37192">
      <w:pPr>
        <w:shd w:val="clear" w:color="auto" w:fill="FFFFFF"/>
        <w:spacing w:before="240" w:after="240"/>
        <w:ind w:left="567" w:right="56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Artículo 13</w:t>
      </w:r>
      <w:r>
        <w:rPr>
          <w:rFonts w:ascii="Palatino Linotype" w:eastAsia="Palatino Linotype" w:hAnsi="Palatino Linotype" w:cs="Palatino Linotype"/>
          <w:i/>
          <w:sz w:val="22"/>
          <w:szCs w:val="22"/>
        </w:rPr>
        <w:t>. El Instituto, en el ámbito de sus atribuciones, deberá suplir cualquier deficiencia para garantizar el ejercicio del derecho de acceso a la información.</w:t>
      </w:r>
    </w:p>
    <w:p w:rsidR="00C37192" w:rsidRDefault="00C37192" w:rsidP="00C37192">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w:t>
      </w:r>
    </w:p>
    <w:p w:rsidR="00C37192" w:rsidRDefault="00C37192" w:rsidP="00C37192">
      <w:pPr>
        <w:shd w:val="clear" w:color="auto" w:fill="FFFFFF"/>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p>
    <w:p w:rsidR="00C37192" w:rsidRDefault="00C37192" w:rsidP="00C37192">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Durante el procedimiento deberá aplicarse la suplencia de la queja a favor del recurrente, sin cambiar los hechos expuestos, asegurándose de que las partes puedan presentar, de manera oral o escrita, los argumentos que funden y motiven sus pretensiones.</w:t>
      </w:r>
    </w:p>
    <w:p w:rsidR="00C37192" w:rsidRDefault="00C37192" w:rsidP="00C37192">
      <w:pPr>
        <w:shd w:val="clear" w:color="auto" w:fill="FFFFFF"/>
        <w:ind w:right="567"/>
        <w:jc w:val="both"/>
        <w:rPr>
          <w:rFonts w:ascii="Palatino Linotype" w:eastAsia="Palatino Linotype" w:hAnsi="Palatino Linotype" w:cs="Palatino Linotype"/>
          <w:i/>
          <w:sz w:val="22"/>
          <w:szCs w:val="22"/>
        </w:rPr>
      </w:pPr>
    </w:p>
    <w:p w:rsidR="00C37192" w:rsidRDefault="00C37192" w:rsidP="00C37192">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en armonía con lo señalado en la jurisprudencia y en la tesis aislada, emitida por la Suprema Corte de Justicia de la Nación, que llevan por rubro respectivamente; “</w:t>
      </w:r>
      <w:r>
        <w:rPr>
          <w:rFonts w:ascii="Palatino Linotype" w:eastAsia="Palatino Linotype" w:hAnsi="Palatino Linotype" w:cs="Palatino Linotype"/>
          <w:i/>
        </w:rPr>
        <w:t>SUPLENCIA DE LA QUEJA DEFICIENTE SU PROCEDENCIA EN OTRAS MATERIAS, AUN A FALTA DE CONCEPTO DE VIOLACIÓN O AGRAVIO, CUANDO SE ADVIERTA VIOLACIÓN GRAVE Y MANIFIESTA DE LA LEY”</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rPr>
        <w:t xml:space="preserve"> y </w:t>
      </w:r>
      <w:r>
        <w:rPr>
          <w:rFonts w:ascii="Palatino Linotype" w:eastAsia="Palatino Linotype" w:hAnsi="Palatino Linotype" w:cs="Palatino Linotype"/>
          <w:i/>
        </w:rPr>
        <w:t>“SUPLENCIA DE LA QUEJA DEFICIENTE EN MATERIAS CIVIL Y ADMINISTRATIVA (INTERPRETACIÓN DEL ARTÍCULO 79, FRACCIÓN VI, DE LA LEY DE AMPARO).”</w:t>
      </w:r>
      <w:r>
        <w:rPr>
          <w:rFonts w:ascii="Palatino Linotype" w:eastAsia="Palatino Linotype" w:hAnsi="Palatino Linotype" w:cs="Palatino Linotype"/>
          <w:i/>
          <w:vertAlign w:val="superscript"/>
        </w:rPr>
        <w:footnoteReference w:id="5"/>
      </w:r>
      <w:r>
        <w:rPr>
          <w:rFonts w:ascii="Palatino Linotype" w:eastAsia="Palatino Linotype" w:hAnsi="Palatino Linotype" w:cs="Palatino Linotype"/>
        </w:rPr>
        <w:t xml:space="preserve">, que indican esencialmente que es obligación del juzgador </w:t>
      </w:r>
      <w:r>
        <w:rPr>
          <w:rFonts w:ascii="Palatino Linotype" w:eastAsia="Palatino Linotype" w:hAnsi="Palatino Linotype" w:cs="Palatino Linotype"/>
        </w:rPr>
        <w:lastRenderedPageBreak/>
        <w:t>suplir la queja deficiente ante una violación evidente de la ley que haya dejado sin defensa al particular, aún ante la ausencia de concepto de violación con el fin de evitar el beneficio de una de las partes a costa de la indefensión de la otra.</w:t>
      </w:r>
    </w:p>
    <w:p w:rsidR="00B8397E" w:rsidRDefault="00B8397E" w:rsidP="00C37192">
      <w:pPr>
        <w:shd w:val="clear" w:color="auto" w:fill="FFFFFF"/>
        <w:spacing w:line="360" w:lineRule="auto"/>
        <w:jc w:val="both"/>
        <w:rPr>
          <w:rFonts w:ascii="Palatino Linotype" w:eastAsia="Palatino Linotype" w:hAnsi="Palatino Linotype" w:cs="Palatino Linotype"/>
          <w:i/>
          <w:sz w:val="22"/>
          <w:szCs w:val="22"/>
        </w:rPr>
      </w:pPr>
    </w:p>
    <w:p w:rsidR="00C37192" w:rsidRDefault="00C37192" w:rsidP="00C371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highlight w:val="white"/>
        </w:rPr>
        <w:t>Lo anterior, se estima resulta aplicable en el caso concreto, derivado de que si bien es cierto la petición del particular consistió en acceder a la relación de personal adscrito, recibos de nómina y listas de asistencia en la quincena de primero de marzo de 2022,</w:t>
      </w:r>
      <w:r>
        <w:rPr>
          <w:rFonts w:ascii="Palatino Linotype" w:eastAsia="Palatino Linotype" w:hAnsi="Palatino Linotype" w:cs="Palatino Linotype"/>
        </w:rPr>
        <w:t xml:space="preserve"> bajo la óptica de esta autoridad se precisa que el particular requiere que la temporalidad sea de la primera quincena de marzo de 2022, mientras que de la información que no se precisa temporalidad se entregará la generada a la fecha de la solicitud. </w:t>
      </w:r>
    </w:p>
    <w:p w:rsidR="00C37192" w:rsidRDefault="00C37192" w:rsidP="007D5748">
      <w:pPr>
        <w:spacing w:line="360" w:lineRule="auto"/>
        <w:jc w:val="both"/>
        <w:rPr>
          <w:rFonts w:ascii="Palatino Linotype" w:eastAsia="Palatino Linotype" w:hAnsi="Palatino Linotype" w:cs="Palatino Linotype"/>
        </w:rPr>
      </w:pPr>
    </w:p>
    <w:p w:rsidR="009F6905" w:rsidRDefault="009F6905" w:rsidP="009F6905">
      <w:pPr>
        <w:spacing w:line="360" w:lineRule="auto"/>
        <w:jc w:val="both"/>
        <w:rPr>
          <w:rFonts w:ascii="Palatino Linotype" w:eastAsia="Palatino Linotype" w:hAnsi="Palatino Linotype" w:cs="Palatino Linotype"/>
          <w:b/>
        </w:rPr>
      </w:pPr>
      <w:r w:rsidRPr="00C80777">
        <w:rPr>
          <w:rFonts w:ascii="Palatino Linotype" w:eastAsia="Palatino Linotype" w:hAnsi="Palatino Linotype" w:cs="Palatino Linotype"/>
          <w:b/>
        </w:rPr>
        <w:t xml:space="preserve">Relación del personal adscrito </w:t>
      </w:r>
    </w:p>
    <w:p w:rsidR="00C80777" w:rsidRPr="00A975DB" w:rsidRDefault="00C80777" w:rsidP="00C80777">
      <w:pPr>
        <w:spacing w:before="240" w:after="240" w:line="360" w:lineRule="auto"/>
        <w:ind w:right="-141"/>
        <w:jc w:val="both"/>
        <w:rPr>
          <w:rFonts w:ascii="Palatino Linotype" w:eastAsia="Palatino Linotype" w:hAnsi="Palatino Linotype" w:cs="Palatino Linotype"/>
          <w:lang w:eastAsia="es-ES"/>
        </w:rPr>
      </w:pPr>
      <w:r>
        <w:rPr>
          <w:rFonts w:ascii="Palatino Linotype" w:eastAsia="Palatino Linotype" w:hAnsi="Palatino Linotype" w:cs="Palatino Linotype"/>
          <w:lang w:eastAsia="es-ES"/>
        </w:rPr>
        <w:t>Para iniciar el estudio de este apartado, n</w:t>
      </w:r>
      <w:r w:rsidRPr="00A975DB">
        <w:rPr>
          <w:rFonts w:ascii="Palatino Linotype" w:eastAsia="Palatino Linotype" w:hAnsi="Palatino Linotype" w:cs="Palatino Linotype"/>
          <w:lang w:eastAsia="es-ES"/>
        </w:rPr>
        <w:t xml:space="preserve">o pasa desapercibido </w:t>
      </w:r>
      <w:r>
        <w:rPr>
          <w:rFonts w:ascii="Palatino Linotype" w:eastAsia="Palatino Linotype" w:hAnsi="Palatino Linotype" w:cs="Palatino Linotype"/>
          <w:lang w:eastAsia="es-ES"/>
        </w:rPr>
        <w:t xml:space="preserve">para este organismo garante </w:t>
      </w:r>
      <w:r w:rsidRPr="00A975DB">
        <w:rPr>
          <w:rFonts w:ascii="Palatino Linotype" w:eastAsia="Palatino Linotype" w:hAnsi="Palatino Linotype" w:cs="Palatino Linotype"/>
          <w:lang w:eastAsia="es-ES"/>
        </w:rPr>
        <w:t xml:space="preserve">que el particular </w:t>
      </w:r>
      <w:r>
        <w:rPr>
          <w:rFonts w:ascii="Palatino Linotype" w:eastAsia="Palatino Linotype" w:hAnsi="Palatino Linotype" w:cs="Palatino Linotype"/>
          <w:lang w:eastAsia="es-ES"/>
        </w:rPr>
        <w:t>solicitó la información en una relación de personal adscrito</w:t>
      </w:r>
      <w:r w:rsidRPr="00A975DB">
        <w:rPr>
          <w:rFonts w:ascii="Palatino Linotype" w:eastAsia="Palatino Linotype" w:hAnsi="Palatino Linotype" w:cs="Palatino Linotype"/>
          <w:lang w:eastAsia="es-ES"/>
        </w:rPr>
        <w:t>, así es necesario traer a contexto los numerales 11 y 12 de la Ley de Transparencia y Acceso a la Información Pública del Estado de México y Municipios, los cuales, exponen lo siguiente:</w:t>
      </w:r>
    </w:p>
    <w:p w:rsidR="00C80777" w:rsidRPr="00A975DB" w:rsidRDefault="00C80777" w:rsidP="00C80777">
      <w:pPr>
        <w:spacing w:before="160" w:after="160"/>
        <w:ind w:left="709" w:right="567"/>
        <w:jc w:val="both"/>
        <w:rPr>
          <w:rFonts w:ascii="Palatino Linotype" w:eastAsia="Palatino Linotype" w:hAnsi="Palatino Linotype" w:cs="Palatino Linotype"/>
          <w:i/>
          <w:sz w:val="22"/>
          <w:szCs w:val="22"/>
          <w:lang w:eastAsia="es-ES"/>
        </w:rPr>
      </w:pPr>
      <w:r w:rsidRPr="00A975DB">
        <w:rPr>
          <w:rFonts w:ascii="Palatino Linotype" w:eastAsia="Palatino Linotype" w:hAnsi="Palatino Linotype" w:cs="Palatino Linotype"/>
          <w:b/>
          <w:i/>
          <w:sz w:val="22"/>
          <w:szCs w:val="22"/>
          <w:lang w:eastAsia="es-ES"/>
        </w:rPr>
        <w:t>“Artículo 11.-</w:t>
      </w:r>
      <w:r w:rsidRPr="00A975DB">
        <w:rPr>
          <w:rFonts w:ascii="Palatino Linotype" w:eastAsia="Palatino Linotype" w:hAnsi="Palatino Linotype" w:cs="Palatino Linotype"/>
          <w:i/>
          <w:sz w:val="22"/>
          <w:szCs w:val="22"/>
          <w:lang w:eastAsia="es-ES"/>
        </w:rPr>
        <w:t xml:space="preserve"> </w:t>
      </w:r>
      <w:r w:rsidRPr="00A975DB">
        <w:rPr>
          <w:rFonts w:ascii="Palatino Linotype" w:eastAsia="Palatino Linotype" w:hAnsi="Palatino Linotype" w:cs="Palatino Linotype"/>
          <w:b/>
          <w:i/>
          <w:sz w:val="22"/>
          <w:szCs w:val="22"/>
          <w:lang w:eastAsia="es-ES"/>
        </w:rPr>
        <w:t>Los Sujetos Obligados sólo proporcionarán la información que generen en el ejercicio de sus atribuciones</w:t>
      </w:r>
      <w:r w:rsidRPr="00A975DB">
        <w:rPr>
          <w:rFonts w:ascii="Palatino Linotype" w:eastAsia="Palatino Linotype" w:hAnsi="Palatino Linotype" w:cs="Palatino Linotype"/>
          <w:i/>
          <w:sz w:val="22"/>
          <w:szCs w:val="22"/>
          <w:lang w:eastAsia="es-ES"/>
        </w:rPr>
        <w:t>.</w:t>
      </w:r>
    </w:p>
    <w:p w:rsidR="00C80777" w:rsidRPr="00A975DB" w:rsidRDefault="00C80777" w:rsidP="00C80777">
      <w:pPr>
        <w:spacing w:before="160" w:after="160"/>
        <w:ind w:left="709" w:right="567"/>
        <w:jc w:val="both"/>
        <w:rPr>
          <w:rFonts w:ascii="Palatino Linotype" w:eastAsia="Palatino Linotype" w:hAnsi="Palatino Linotype" w:cs="Palatino Linotype"/>
          <w:i/>
          <w:sz w:val="22"/>
          <w:szCs w:val="22"/>
          <w:lang w:eastAsia="es-ES"/>
        </w:rPr>
      </w:pPr>
      <w:r w:rsidRPr="00A975DB">
        <w:rPr>
          <w:rFonts w:ascii="Palatino Linotype" w:eastAsia="Palatino Linotype" w:hAnsi="Palatino Linotype" w:cs="Palatino Linotype"/>
          <w:b/>
          <w:i/>
          <w:sz w:val="22"/>
          <w:szCs w:val="22"/>
          <w:lang w:eastAsia="es-ES"/>
        </w:rPr>
        <w:lastRenderedPageBreak/>
        <w:t>Artículo 12.</w:t>
      </w:r>
      <w:r w:rsidRPr="00A975DB">
        <w:rPr>
          <w:rFonts w:ascii="Palatino Linotype" w:eastAsia="Palatino Linotype" w:hAnsi="Palatino Linotype" w:cs="Palatino Linotype"/>
          <w:i/>
          <w:sz w:val="22"/>
          <w:szCs w:val="22"/>
          <w:lang w:eastAsia="es-ES"/>
        </w:rPr>
        <w:t xml:space="preserve"> Quienes generen, recopilen, administren, manejen, procesen, archiven o conserven información pública</w:t>
      </w:r>
      <w:r w:rsidRPr="00A975DB">
        <w:rPr>
          <w:rFonts w:ascii="Palatino Linotype" w:eastAsia="Palatino Linotype" w:hAnsi="Palatino Linotype" w:cs="Palatino Linotype"/>
          <w:b/>
          <w:i/>
          <w:sz w:val="22"/>
          <w:szCs w:val="22"/>
          <w:lang w:eastAsia="es-ES"/>
        </w:rPr>
        <w:t xml:space="preserve"> </w:t>
      </w:r>
      <w:r w:rsidRPr="00A975DB">
        <w:rPr>
          <w:rFonts w:ascii="Palatino Linotype" w:eastAsia="Palatino Linotype" w:hAnsi="Palatino Linotype" w:cs="Palatino Linotype"/>
          <w:i/>
          <w:sz w:val="22"/>
          <w:szCs w:val="22"/>
          <w:lang w:eastAsia="es-ES"/>
        </w:rPr>
        <w:t xml:space="preserve">serán responsables de la misma en los términos de las disposiciones jurídicas </w:t>
      </w:r>
      <w:r w:rsidRPr="00A975DB">
        <w:rPr>
          <w:rFonts w:ascii="Palatino Linotype" w:eastAsia="Palatino Linotype" w:hAnsi="Palatino Linotype" w:cs="Palatino Linotype"/>
          <w:i/>
          <w:color w:val="000000"/>
          <w:sz w:val="22"/>
          <w:szCs w:val="22"/>
          <w:lang w:eastAsia="es-ES"/>
        </w:rPr>
        <w:t>aplicables</w:t>
      </w:r>
      <w:r w:rsidRPr="00A975DB">
        <w:rPr>
          <w:rFonts w:ascii="Palatino Linotype" w:eastAsia="Palatino Linotype" w:hAnsi="Palatino Linotype" w:cs="Palatino Linotype"/>
          <w:i/>
          <w:sz w:val="22"/>
          <w:szCs w:val="22"/>
          <w:lang w:eastAsia="es-ES"/>
        </w:rPr>
        <w:t xml:space="preserve">. </w:t>
      </w:r>
    </w:p>
    <w:p w:rsidR="00C80777" w:rsidRPr="00A975DB" w:rsidRDefault="00C80777" w:rsidP="00C80777">
      <w:pPr>
        <w:spacing w:before="160" w:after="160"/>
        <w:ind w:left="709" w:right="567"/>
        <w:jc w:val="both"/>
        <w:rPr>
          <w:rFonts w:ascii="Palatino Linotype" w:eastAsia="Palatino Linotype" w:hAnsi="Palatino Linotype" w:cs="Palatino Linotype"/>
          <w:i/>
          <w:sz w:val="22"/>
          <w:szCs w:val="22"/>
          <w:lang w:eastAsia="es-ES"/>
        </w:rPr>
      </w:pPr>
      <w:r w:rsidRPr="00A975DB">
        <w:rPr>
          <w:rFonts w:ascii="Palatino Linotype" w:eastAsia="Palatino Linotype" w:hAnsi="Palatino Linotype" w:cs="Palatino Linotype"/>
          <w:b/>
          <w:i/>
          <w:sz w:val="22"/>
          <w:szCs w:val="22"/>
          <w:lang w:eastAsia="es-ES"/>
        </w:rPr>
        <w:t>Los sujetos obligados sólo proporcionarán la información pública que se les requiera y que obre en sus archivos</w:t>
      </w:r>
      <w:r w:rsidRPr="00A975DB">
        <w:rPr>
          <w:rFonts w:ascii="Palatino Linotype" w:eastAsia="Palatino Linotype" w:hAnsi="Palatino Linotype" w:cs="Palatino Linotype"/>
          <w:i/>
          <w:sz w:val="22"/>
          <w:szCs w:val="22"/>
          <w:lang w:eastAsia="es-ES"/>
        </w:rPr>
        <w:t xml:space="preserve"> </w:t>
      </w:r>
      <w:r w:rsidRPr="00A975DB">
        <w:rPr>
          <w:rFonts w:ascii="Palatino Linotype" w:eastAsia="Palatino Linotype" w:hAnsi="Palatino Linotype" w:cs="Palatino Linotype"/>
          <w:b/>
          <w:i/>
          <w:sz w:val="22"/>
          <w:szCs w:val="22"/>
          <w:lang w:eastAsia="es-ES"/>
        </w:rPr>
        <w:t>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975DB">
        <w:rPr>
          <w:rFonts w:ascii="Palatino Linotype" w:eastAsia="Palatino Linotype" w:hAnsi="Palatino Linotype" w:cs="Palatino Linotype"/>
          <w:i/>
          <w:sz w:val="22"/>
          <w:szCs w:val="22"/>
          <w:lang w:eastAsia="es-ES"/>
        </w:rPr>
        <w:t>”</w:t>
      </w:r>
    </w:p>
    <w:p w:rsidR="00C80777" w:rsidRPr="00A975DB" w:rsidRDefault="00C80777" w:rsidP="00C80777">
      <w:pPr>
        <w:spacing w:before="160" w:after="160"/>
        <w:ind w:left="709" w:right="567"/>
        <w:jc w:val="both"/>
        <w:rPr>
          <w:rFonts w:ascii="Palatino Linotype" w:eastAsia="Palatino Linotype" w:hAnsi="Palatino Linotype" w:cs="Palatino Linotype"/>
          <w:i/>
          <w:color w:val="000000"/>
          <w:sz w:val="22"/>
          <w:szCs w:val="22"/>
          <w:lang w:eastAsia="es-ES"/>
        </w:rPr>
      </w:pPr>
      <w:r w:rsidRPr="00A975DB">
        <w:rPr>
          <w:rFonts w:ascii="Palatino Linotype" w:eastAsia="Palatino Linotype" w:hAnsi="Palatino Linotype" w:cs="Palatino Linotype"/>
          <w:i/>
          <w:color w:val="000000"/>
          <w:sz w:val="22"/>
          <w:szCs w:val="22"/>
          <w:lang w:eastAsia="es-ES"/>
        </w:rPr>
        <w:t>(Énfasis añadido)</w:t>
      </w:r>
    </w:p>
    <w:p w:rsidR="00C80777" w:rsidRPr="00A975DB" w:rsidRDefault="00C80777" w:rsidP="00C80777">
      <w:pPr>
        <w:tabs>
          <w:tab w:val="left" w:pos="142"/>
          <w:tab w:val="left" w:pos="284"/>
          <w:tab w:val="left" w:pos="426"/>
        </w:tabs>
        <w:spacing w:before="160" w:line="360" w:lineRule="auto"/>
        <w:jc w:val="both"/>
        <w:rPr>
          <w:rFonts w:ascii="Palatino Linotype" w:eastAsia="Palatino Linotype" w:hAnsi="Palatino Linotype" w:cs="Palatino Linotype"/>
          <w:b/>
          <w:lang w:eastAsia="es-ES"/>
        </w:rPr>
      </w:pPr>
    </w:p>
    <w:p w:rsidR="00C80777" w:rsidRPr="00A975DB" w:rsidRDefault="00C80777" w:rsidP="00C80777">
      <w:pPr>
        <w:tabs>
          <w:tab w:val="left" w:pos="142"/>
          <w:tab w:val="left" w:pos="284"/>
          <w:tab w:val="left" w:pos="426"/>
        </w:tabs>
        <w:spacing w:line="360" w:lineRule="auto"/>
        <w:jc w:val="both"/>
        <w:rPr>
          <w:rFonts w:ascii="Palatino Linotype" w:eastAsia="Palatino Linotype" w:hAnsi="Palatino Linotype" w:cs="Palatino Linotype"/>
          <w:b/>
          <w:lang w:eastAsia="es-ES"/>
        </w:rPr>
      </w:pPr>
      <w:r w:rsidRPr="00A975DB">
        <w:rPr>
          <w:rFonts w:ascii="Palatino Linotype" w:eastAsia="Palatino Linotype" w:hAnsi="Palatino Linotype" w:cs="Palatino Linotype"/>
          <w:lang w:eastAsia="es-ES"/>
        </w:rPr>
        <w:t xml:space="preserve">De lo anterior se entiende que el ejercicio del derecho de acceso a la información pública se centra en la potestad de los particulares de tener </w:t>
      </w:r>
      <w:r w:rsidRPr="00A975DB">
        <w:rPr>
          <w:rFonts w:ascii="Palatino Linotype" w:eastAsia="Palatino Linotype" w:hAnsi="Palatino Linotype" w:cs="Palatino Linotype"/>
          <w:b/>
          <w:lang w:eastAsia="es-ES"/>
        </w:rPr>
        <w:t>acceso a los documentos públicos que obren en los archivos de los Sujetos Obligados</w:t>
      </w:r>
      <w:r w:rsidRPr="00A975DB">
        <w:rPr>
          <w:rFonts w:ascii="Palatino Linotype" w:eastAsia="Palatino Linotype" w:hAnsi="Palatino Linotype" w:cs="Palatino Linotype"/>
          <w:lang w:eastAsia="es-ES"/>
        </w:rPr>
        <w:t xml:space="preserve">, ya sea porque los generen en el uso de sus atribuciones, los administren o simplemente los posean. </w:t>
      </w:r>
    </w:p>
    <w:p w:rsidR="00C80777" w:rsidRPr="00A975DB" w:rsidRDefault="00C80777" w:rsidP="00C80777">
      <w:pPr>
        <w:tabs>
          <w:tab w:val="left" w:pos="142"/>
          <w:tab w:val="left" w:pos="284"/>
          <w:tab w:val="left" w:pos="426"/>
        </w:tabs>
        <w:spacing w:line="360" w:lineRule="auto"/>
        <w:jc w:val="both"/>
        <w:rPr>
          <w:rFonts w:ascii="Palatino Linotype" w:eastAsia="Palatino Linotype" w:hAnsi="Palatino Linotype" w:cs="Palatino Linotype"/>
          <w:b/>
          <w:lang w:eastAsia="es-ES"/>
        </w:rPr>
      </w:pPr>
    </w:p>
    <w:p w:rsidR="00C80777" w:rsidRPr="00A975DB" w:rsidRDefault="00C80777" w:rsidP="00C80777">
      <w:pPr>
        <w:tabs>
          <w:tab w:val="left" w:pos="142"/>
          <w:tab w:val="left" w:pos="284"/>
          <w:tab w:val="left" w:pos="426"/>
        </w:tabs>
        <w:spacing w:line="360" w:lineRule="auto"/>
        <w:jc w:val="both"/>
        <w:rPr>
          <w:rFonts w:ascii="Palatino Linotype" w:eastAsia="Palatino Linotype" w:hAnsi="Palatino Linotype" w:cs="Palatino Linotype"/>
          <w:b/>
          <w:lang w:eastAsia="es-ES"/>
        </w:rPr>
      </w:pPr>
      <w:r w:rsidRPr="00A975DB">
        <w:rPr>
          <w:rFonts w:ascii="Palatino Linotype" w:eastAsia="Palatino Linotype" w:hAnsi="Palatino Linotype" w:cs="Palatino Linotype"/>
          <w:lang w:eastAsia="es-ES"/>
        </w:rPr>
        <w:t xml:space="preserve">En consecuencia,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A975DB">
        <w:rPr>
          <w:rFonts w:ascii="Palatino Linotype" w:eastAsia="Palatino Linotype" w:hAnsi="Palatino Linotype" w:cs="Palatino Linotype"/>
          <w:b/>
          <w:i/>
          <w:lang w:eastAsia="es-ES"/>
        </w:rPr>
        <w:t>ad hoc</w:t>
      </w:r>
      <w:r w:rsidRPr="00A975DB">
        <w:rPr>
          <w:rFonts w:ascii="Palatino Linotype" w:eastAsia="Palatino Linotype" w:hAnsi="Palatino Linotype" w:cs="Palatino Linotype"/>
          <w:lang w:eastAsia="es-ES"/>
        </w:rPr>
        <w:t>, para satisfacer el derecho de acceso a la información pública.</w:t>
      </w:r>
    </w:p>
    <w:p w:rsidR="00C80777" w:rsidRPr="00A975DB" w:rsidRDefault="00C80777" w:rsidP="00C80777">
      <w:pPr>
        <w:tabs>
          <w:tab w:val="left" w:pos="142"/>
          <w:tab w:val="left" w:pos="284"/>
          <w:tab w:val="left" w:pos="426"/>
        </w:tabs>
        <w:spacing w:line="360" w:lineRule="auto"/>
        <w:jc w:val="both"/>
        <w:rPr>
          <w:rFonts w:ascii="Palatino Linotype" w:eastAsia="Palatino Linotype" w:hAnsi="Palatino Linotype" w:cs="Palatino Linotype"/>
          <w:b/>
          <w:lang w:eastAsia="es-ES"/>
        </w:rPr>
      </w:pPr>
    </w:p>
    <w:p w:rsidR="00C80777" w:rsidRPr="00A975DB" w:rsidRDefault="00C80777" w:rsidP="00C80777">
      <w:pPr>
        <w:tabs>
          <w:tab w:val="left" w:pos="142"/>
          <w:tab w:val="left" w:pos="284"/>
          <w:tab w:val="left" w:pos="426"/>
        </w:tabs>
        <w:spacing w:line="360" w:lineRule="auto"/>
        <w:jc w:val="both"/>
        <w:rPr>
          <w:rFonts w:ascii="Palatino Linotype" w:eastAsia="Palatino Linotype" w:hAnsi="Palatino Linotype" w:cs="Palatino Linotype"/>
          <w:b/>
          <w:lang w:eastAsia="es-ES"/>
        </w:rPr>
      </w:pPr>
      <w:r w:rsidRPr="00A975DB">
        <w:rPr>
          <w:rFonts w:ascii="Palatino Linotype" w:eastAsia="Palatino Linotype" w:hAnsi="Palatino Linotype" w:cs="Palatino Linotype"/>
          <w:lang w:eastAsia="es-ES"/>
        </w:rPr>
        <w:t xml:space="preserve">Robustece lo anterior el Criterio 09/10, emitido por el Pleno del entonces Instituto Federal de Acceso a la Información y Protección de Datos (IFAI), ahora Instituto </w:t>
      </w:r>
      <w:r w:rsidRPr="00A975DB">
        <w:rPr>
          <w:rFonts w:ascii="Palatino Linotype" w:eastAsia="Palatino Linotype" w:hAnsi="Palatino Linotype" w:cs="Palatino Linotype"/>
          <w:lang w:eastAsia="es-ES"/>
        </w:rPr>
        <w:lastRenderedPageBreak/>
        <w:t>Nacional de Transparencia, Acceso a la Información y Protección de Datos Personales (INAI), que dice:</w:t>
      </w:r>
    </w:p>
    <w:p w:rsidR="00C80777" w:rsidRPr="00A975DB" w:rsidRDefault="00C80777" w:rsidP="00C80777">
      <w:pPr>
        <w:tabs>
          <w:tab w:val="left" w:pos="142"/>
          <w:tab w:val="left" w:pos="284"/>
          <w:tab w:val="left" w:pos="426"/>
        </w:tabs>
        <w:spacing w:line="360" w:lineRule="auto"/>
        <w:jc w:val="both"/>
        <w:rPr>
          <w:rFonts w:ascii="Palatino Linotype" w:eastAsia="Palatino Linotype" w:hAnsi="Palatino Linotype" w:cs="Palatino Linotype"/>
          <w:b/>
          <w:lang w:eastAsia="es-ES"/>
        </w:rPr>
      </w:pPr>
    </w:p>
    <w:p w:rsidR="00C80777" w:rsidRPr="00A975DB" w:rsidRDefault="00C80777" w:rsidP="00C80777">
      <w:pPr>
        <w:spacing w:after="160"/>
        <w:ind w:left="567" w:right="567"/>
        <w:jc w:val="both"/>
        <w:rPr>
          <w:rFonts w:ascii="Palatino Linotype" w:eastAsia="Palatino Linotype" w:hAnsi="Palatino Linotype" w:cs="Palatino Linotype"/>
          <w:i/>
          <w:sz w:val="22"/>
          <w:szCs w:val="22"/>
          <w:lang w:eastAsia="es-ES"/>
        </w:rPr>
      </w:pPr>
      <w:r w:rsidRPr="00A975DB">
        <w:rPr>
          <w:rFonts w:ascii="Palatino Linotype" w:eastAsia="Palatino Linotype" w:hAnsi="Palatino Linotype" w:cs="Palatino Linotype"/>
          <w:i/>
          <w:sz w:val="22"/>
          <w:szCs w:val="22"/>
          <w:lang w:eastAsia="es-ES"/>
        </w:rPr>
        <w:t>“</w:t>
      </w:r>
      <w:r w:rsidRPr="00A975DB">
        <w:rPr>
          <w:rFonts w:ascii="Palatino Linotype" w:eastAsia="Palatino Linotype" w:hAnsi="Palatino Linotype" w:cs="Palatino Linotype"/>
          <w:b/>
          <w:i/>
          <w:sz w:val="22"/>
          <w:szCs w:val="22"/>
          <w:lang w:eastAsia="es-ES"/>
        </w:rPr>
        <w:t>Las dependencias y entidades no están obligadas a generar documentos ad hoc para responder una solicitud de acceso a la información.</w:t>
      </w:r>
      <w:r w:rsidRPr="00A975DB">
        <w:rPr>
          <w:rFonts w:ascii="Palatino Linotype" w:eastAsia="Palatino Linotype" w:hAnsi="Palatino Linotype" w:cs="Palatino Linotype"/>
          <w:i/>
          <w:sz w:val="22"/>
          <w:szCs w:val="22"/>
          <w:lang w:eastAsia="es-ES"/>
        </w:rPr>
        <w:t xml:space="preserve"> Tomando en consideración lo establecido por el artículo 42 de la Ley Federal de Transparencia y Acceso a la Información Pública Gubernamental, que establece que </w:t>
      </w:r>
      <w:r w:rsidRPr="00A975DB">
        <w:rPr>
          <w:rFonts w:ascii="Palatino Linotype" w:eastAsia="Palatino Linotype" w:hAnsi="Palatino Linotype" w:cs="Palatino Linotype"/>
          <w:b/>
          <w:i/>
          <w:sz w:val="22"/>
          <w:szCs w:val="22"/>
          <w:lang w:eastAsia="es-ES"/>
        </w:rPr>
        <w:t>las dependencias y entidades sólo estarán obligadas a entregar documentos que se encuentren en sus archivos</w:t>
      </w:r>
      <w:r w:rsidRPr="00A975DB">
        <w:rPr>
          <w:rFonts w:ascii="Palatino Linotype" w:eastAsia="Palatino Linotype" w:hAnsi="Palatino Linotype" w:cs="Palatino Linotype"/>
          <w:i/>
          <w:sz w:val="22"/>
          <w:szCs w:val="22"/>
          <w:lang w:eastAsia="es-ES"/>
        </w:rPr>
        <w:t xml:space="preserve">, las dependencias y entidades </w:t>
      </w:r>
      <w:r w:rsidRPr="00A975DB">
        <w:rPr>
          <w:rFonts w:ascii="Palatino Linotype" w:eastAsia="Palatino Linotype" w:hAnsi="Palatino Linotype" w:cs="Palatino Linotype"/>
          <w:b/>
          <w:i/>
          <w:sz w:val="22"/>
          <w:szCs w:val="22"/>
          <w:lang w:eastAsia="es-ES"/>
        </w:rPr>
        <w:t>no están obligadas a elaborar documentos ad hoc para atender las solicitudes de información</w:t>
      </w:r>
      <w:r w:rsidRPr="00A975DB">
        <w:rPr>
          <w:rFonts w:ascii="Palatino Linotype" w:eastAsia="Palatino Linotype" w:hAnsi="Palatino Linotype" w:cs="Palatino Linotype"/>
          <w:i/>
          <w:sz w:val="22"/>
          <w:szCs w:val="22"/>
          <w:lang w:eastAsia="es-ES"/>
        </w:rPr>
        <w:t>, sino que deben garantizar el acceso a la información con la que cuentan en el formato que la misma así lo permita o se encuentre, en aras de dar satisfacción a la solicitud presentada.”</w:t>
      </w:r>
    </w:p>
    <w:p w:rsidR="009B7365" w:rsidRDefault="009B7365" w:rsidP="009B7365">
      <w:pPr>
        <w:tabs>
          <w:tab w:val="left" w:pos="7513"/>
        </w:tabs>
        <w:spacing w:before="240" w:after="240" w:line="360" w:lineRule="auto"/>
        <w:ind w:right="49"/>
        <w:jc w:val="both"/>
        <w:rPr>
          <w:rFonts w:ascii="Palatino Linotype" w:eastAsia="Palatino Linotype" w:hAnsi="Palatino Linotype" w:cs="Palatino Linotype"/>
          <w:b/>
        </w:rPr>
      </w:pPr>
      <w:r w:rsidRPr="00950ABA">
        <w:rPr>
          <w:rFonts w:ascii="Palatino Linotype" w:eastAsia="Palatino Linotype" w:hAnsi="Palatino Linotype" w:cs="Palatino Linotype"/>
        </w:rPr>
        <w:t>Bajo esta línea de pensamiento,</w:t>
      </w:r>
      <w:r>
        <w:rPr>
          <w:rFonts w:ascii="Palatino Linotype" w:eastAsia="Palatino Linotype" w:hAnsi="Palatino Linotype" w:cs="Palatino Linotype"/>
        </w:rPr>
        <w:t xml:space="preserve"> debe resaltarse que nos encontramos ante el supuesto de la obligación engendrada a partir del criterio 16/17 del Instituto Nacional de Transparencia, Acceso a la Información Pública y Protección de Datos Personales, que constriñe a los Sujetos Obligados y este Organismo Garante, a identificar expresión documental que sirva para atender al requerimiento de información del Particular, en los términos del criterio invocado.</w:t>
      </w:r>
    </w:p>
    <w:p w:rsidR="009B7365" w:rsidRDefault="009B7365" w:rsidP="009B7365">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“Expresión documental</w:t>
      </w:r>
      <w:r>
        <w:rPr>
          <w:rFonts w:ascii="Palatino Linotype" w:eastAsia="Palatino Linotype" w:hAnsi="Palatino Linotype" w:cs="Palatino Linotype"/>
          <w:i/>
          <w:sz w:val="22"/>
          <w:szCs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9B7365" w:rsidRDefault="009B7365" w:rsidP="009B7365">
      <w:pPr>
        <w:spacing w:line="276" w:lineRule="auto"/>
        <w:ind w:left="567" w:right="539"/>
        <w:jc w:val="both"/>
        <w:rPr>
          <w:rFonts w:ascii="Palatino Linotype" w:eastAsia="Palatino Linotype" w:hAnsi="Palatino Linotype" w:cs="Palatino Linotype"/>
          <w:i/>
          <w:sz w:val="22"/>
          <w:szCs w:val="22"/>
        </w:rPr>
      </w:pPr>
    </w:p>
    <w:p w:rsidR="009B7365" w:rsidRDefault="009B7365" w:rsidP="009B736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debe perderse de vista que los artículos 7 y 23 fracciones I y XI, de la Ley de Transparencia y Acceso a la Información Pública del Estado de México y Municipios, establece como deber de los sujetos obligados, publicitar toda la información respecto de los montos y personas a las que se otorguen recursos </w:t>
      </w:r>
      <w:r>
        <w:rPr>
          <w:rFonts w:ascii="Palatino Linotype" w:eastAsia="Palatino Linotype" w:hAnsi="Palatino Linotype" w:cs="Palatino Linotype"/>
        </w:rPr>
        <w:lastRenderedPageBreak/>
        <w:t xml:space="preserve">públicos, esto con la finalidad de dar a conocer a la ciudadanía la forma, términos y montos en los que se aplican dichos recursos, por lo que bajo esta premisa, si el personal sindicalizado recibe recursos de carácter público, en consecuencia, dichos datos revisten interés público:  </w:t>
      </w:r>
    </w:p>
    <w:p w:rsidR="009B7365" w:rsidRDefault="009B7365" w:rsidP="009B736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9B7365" w:rsidRDefault="009B7365" w:rsidP="009B736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B7365" w:rsidRDefault="009B7365" w:rsidP="009B736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rsidR="00C40ABE" w:rsidRDefault="00C40ABE" w:rsidP="009B736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40ABE" w:rsidRDefault="00C40ABE" w:rsidP="009B7365">
      <w:pPr>
        <w:spacing w:before="240" w:after="240" w:line="276" w:lineRule="auto"/>
        <w:ind w:left="567" w:right="851"/>
        <w:jc w:val="both"/>
        <w:rPr>
          <w:rFonts w:ascii="Palatino Linotype" w:eastAsia="Palatino Linotype" w:hAnsi="Palatino Linotype" w:cs="Palatino Linotype"/>
          <w:i/>
          <w:sz w:val="22"/>
          <w:szCs w:val="22"/>
        </w:rPr>
      </w:pPr>
      <w:r w:rsidRPr="00C40ABE">
        <w:rPr>
          <w:rFonts w:ascii="Palatino Linotype" w:eastAsia="Palatino Linotype" w:hAnsi="Palatino Linotype" w:cs="Palatino Linotype"/>
          <w:i/>
          <w:sz w:val="22"/>
          <w:szCs w:val="22"/>
        </w:rPr>
        <w:t>IV. Los ayuntamientos y las dependencias, organismos, órganos y entidades de la administración municipal;</w:t>
      </w:r>
    </w:p>
    <w:p w:rsidR="009B7365" w:rsidRDefault="009B7365" w:rsidP="009B736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9B7365" w:rsidRDefault="009B7365" w:rsidP="009B736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rsidR="00EE03A2" w:rsidRDefault="009B7365" w:rsidP="009B7365">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ello, este organismo garante considera dable ordenar la entrega en versión pública del o los documentos donde conste lo siguiente: nombres, cargos y áreas de adscripción de todas y todos los servidores públicos que se encuentran </w:t>
      </w:r>
      <w:r>
        <w:rPr>
          <w:rFonts w:ascii="Palatino Linotype" w:eastAsia="Palatino Linotype" w:hAnsi="Palatino Linotype" w:cs="Palatino Linotype"/>
        </w:rPr>
        <w:lastRenderedPageBreak/>
        <w:t xml:space="preserve">laborando en la Secretaría Particular y Oficina de Presidencia, que en el asunto que nos ocupa, pudiera colmarse de manera enunciativa más no limitativa con el </w:t>
      </w:r>
      <w:r w:rsidRPr="00EE03A2">
        <w:rPr>
          <w:rFonts w:ascii="Palatino Linotype" w:eastAsia="Palatino Linotype" w:hAnsi="Palatino Linotype" w:cs="Palatino Linotype"/>
        </w:rPr>
        <w:t>Formato Único de Movimientos de Personal</w:t>
      </w:r>
      <w:r w:rsidR="00EE03A2">
        <w:rPr>
          <w:rFonts w:ascii="Palatino Linotype" w:eastAsia="Palatino Linotype" w:hAnsi="Palatino Linotype" w:cs="Palatino Linotype"/>
        </w:rPr>
        <w:t xml:space="preserve"> y la conciliación de nómina, en virtud de lo siguiente: </w:t>
      </w:r>
    </w:p>
    <w:p w:rsidR="009B7365" w:rsidRDefault="00EE03A2" w:rsidP="009B7365">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del formato único de movimientos de personal, resulta importante señalar los</w:t>
      </w:r>
      <w:r w:rsidR="009B7365">
        <w:rPr>
          <w:rFonts w:ascii="Palatino Linotype" w:eastAsia="Palatino Linotype" w:hAnsi="Palatino Linotype" w:cs="Palatino Linotype"/>
        </w:rPr>
        <w:t xml:space="preserve"> elementos que lo componen, de acuerdo al artículo 49 de la Ley del Trabajo de los Servidores Públicos del Estado de México y Municipios, el cual versa de la siguiente manera: </w:t>
      </w:r>
    </w:p>
    <w:p w:rsidR="009B7365" w:rsidRDefault="009B7365" w:rsidP="009B7365">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49.- Los nombramientos, contratos o formato único de Movimientos de Personal de los servidores públicos deberán contener: </w:t>
      </w:r>
    </w:p>
    <w:p w:rsidR="009B7365" w:rsidRDefault="009B7365" w:rsidP="009B7365">
      <w:pPr>
        <w:spacing w:after="16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Nombre completo del servidor público; </w:t>
      </w:r>
    </w:p>
    <w:p w:rsidR="009B7365" w:rsidRDefault="009B7365" w:rsidP="009B7365">
      <w:pPr>
        <w:spacing w:after="16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Cargo para el que es designado, fecha de inicio de sus servicios y lugar de adscripción; </w:t>
      </w:r>
    </w:p>
    <w:p w:rsidR="009B7365" w:rsidRDefault="009B7365" w:rsidP="009B7365">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rsidR="009B7365" w:rsidRPr="009B7365" w:rsidRDefault="009B7365" w:rsidP="009B7365">
      <w:pPr>
        <w:spacing w:after="160" w:line="276" w:lineRule="auto"/>
        <w:ind w:left="567" w:right="851"/>
        <w:jc w:val="both"/>
        <w:rPr>
          <w:rFonts w:ascii="Palatino Linotype" w:eastAsia="Palatino Linotype" w:hAnsi="Palatino Linotype" w:cs="Palatino Linotype"/>
          <w:i/>
          <w:sz w:val="22"/>
          <w:szCs w:val="22"/>
        </w:rPr>
      </w:pPr>
      <w:r w:rsidRPr="009B7365">
        <w:rPr>
          <w:rFonts w:ascii="Palatino Linotype" w:eastAsia="Palatino Linotype" w:hAnsi="Palatino Linotype" w:cs="Palatino Linotype"/>
          <w:i/>
          <w:sz w:val="22"/>
          <w:szCs w:val="22"/>
        </w:rPr>
        <w:t xml:space="preserve">IV. Remuneración correspondiente al puesto; </w:t>
      </w:r>
    </w:p>
    <w:p w:rsidR="009B7365" w:rsidRPr="009F6905" w:rsidRDefault="009B7365" w:rsidP="009B7365">
      <w:pPr>
        <w:spacing w:after="160" w:line="276" w:lineRule="auto"/>
        <w:ind w:left="567" w:right="851"/>
        <w:jc w:val="both"/>
        <w:rPr>
          <w:rFonts w:ascii="Palatino Linotype" w:eastAsia="Palatino Linotype" w:hAnsi="Palatino Linotype" w:cs="Palatino Linotype"/>
          <w:i/>
          <w:sz w:val="22"/>
          <w:szCs w:val="22"/>
        </w:rPr>
      </w:pPr>
      <w:r w:rsidRPr="009F6905">
        <w:rPr>
          <w:rFonts w:ascii="Palatino Linotype" w:eastAsia="Palatino Linotype" w:hAnsi="Palatino Linotype" w:cs="Palatino Linotype"/>
          <w:i/>
          <w:sz w:val="22"/>
          <w:szCs w:val="22"/>
        </w:rPr>
        <w:t xml:space="preserve">V. Jornada de trabajo; </w:t>
      </w:r>
    </w:p>
    <w:p w:rsidR="009B7365" w:rsidRDefault="009B7365" w:rsidP="009B7365">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Derogada; </w:t>
      </w:r>
    </w:p>
    <w:p w:rsidR="009B7365" w:rsidRDefault="009B7365" w:rsidP="009B7365">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 (Sic) (Énfasis añadido)</w:t>
      </w:r>
    </w:p>
    <w:p w:rsidR="009B7365" w:rsidRDefault="009B7365" w:rsidP="009B7365">
      <w:pPr>
        <w:spacing w:after="16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De lo anterior podemos advertir que este soporte documental al contener el nombre del servidor público, fecha de inicio de los servicios, lugar de adscripción y cargo, pudiera satisfacer este requerimiento. </w:t>
      </w:r>
    </w:p>
    <w:p w:rsidR="00EE03A2" w:rsidRPr="00EE03A2" w:rsidRDefault="00EE03A2" w:rsidP="00EE03A2">
      <w:pPr>
        <w:tabs>
          <w:tab w:val="right" w:pos="8505"/>
        </w:tabs>
        <w:spacing w:after="240" w:line="360" w:lineRule="auto"/>
        <w:jc w:val="both"/>
        <w:rPr>
          <w:rFonts w:ascii="Calibri" w:eastAsia="Calibri" w:hAnsi="Calibri" w:cs="Calibri"/>
          <w:lang w:val="es-MX" w:eastAsia="es-ES"/>
        </w:rPr>
      </w:pPr>
      <w:r>
        <w:rPr>
          <w:rFonts w:ascii="Palatino Linotype" w:eastAsia="Palatino Linotype" w:hAnsi="Palatino Linotype" w:cs="Palatino Linotype"/>
          <w:lang w:val="es-MX" w:eastAsia="es-ES"/>
        </w:rPr>
        <w:lastRenderedPageBreak/>
        <w:t xml:space="preserve">En otro orden de ideas, </w:t>
      </w:r>
      <w:r w:rsidRPr="00EE03A2">
        <w:rPr>
          <w:rFonts w:ascii="Palatino Linotype" w:eastAsia="Palatino Linotype" w:hAnsi="Palatino Linotype" w:cs="Palatino Linotype"/>
          <w:lang w:val="es-MX" w:eastAsia="es-ES"/>
        </w:rPr>
        <w:t xml:space="preserve">la Ley de Fiscalización Superior del Estado de México, toda vez que señala que los municipios que conforman el Estado de México, entre ellos el </w:t>
      </w:r>
      <w:r w:rsidRPr="00EE03A2">
        <w:rPr>
          <w:rFonts w:ascii="Palatino Linotype" w:eastAsia="Palatino Linotype" w:hAnsi="Palatino Linotype" w:cs="Palatino Linotype"/>
          <w:b/>
          <w:lang w:val="es-MX" w:eastAsia="es-ES"/>
        </w:rPr>
        <w:t>Sujeto Obligado</w:t>
      </w:r>
      <w:r w:rsidRPr="00EE03A2">
        <w:rPr>
          <w:rFonts w:ascii="Palatino Linotype" w:eastAsia="Palatino Linotype" w:hAnsi="Palatino Linotype" w:cs="Palatino Linotype"/>
          <w:lang w:val="es-MX" w:eastAsia="es-ES"/>
        </w:rPr>
        <w:t>,</w:t>
      </w:r>
      <w:r w:rsidRPr="00EE03A2">
        <w:rPr>
          <w:rFonts w:ascii="Calibri" w:eastAsia="Calibri" w:hAnsi="Calibri" w:cs="Calibri"/>
          <w:lang w:val="es-MX" w:eastAsia="es-ES"/>
        </w:rPr>
        <w:t xml:space="preserve"> </w:t>
      </w:r>
      <w:r w:rsidRPr="00EE03A2">
        <w:rPr>
          <w:rFonts w:ascii="Palatino Linotype" w:eastAsia="Palatino Linotype" w:hAnsi="Palatino Linotype" w:cs="Palatino Linotype"/>
          <w:lang w:val="es-MX" w:eastAsia="es-ES"/>
        </w:rPr>
        <w:t>es considerado como ente fiscalizable, como así lo señala el artículo 4 fracción II de la Ley de Fiscalización Superior del Estado de México, el cual señala:</w:t>
      </w:r>
    </w:p>
    <w:p w:rsidR="00EE03A2" w:rsidRPr="00EE03A2" w:rsidRDefault="00EE03A2" w:rsidP="00EE03A2">
      <w:pPr>
        <w:spacing w:before="240" w:after="160" w:line="276" w:lineRule="auto"/>
        <w:ind w:left="567" w:right="85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 xml:space="preserve">“Artículo 4. </w:t>
      </w:r>
      <w:r w:rsidRPr="00EE03A2">
        <w:rPr>
          <w:rFonts w:ascii="Palatino Linotype" w:eastAsia="Palatino Linotype" w:hAnsi="Palatino Linotype" w:cs="Palatino Linotype"/>
          <w:i/>
          <w:sz w:val="22"/>
          <w:szCs w:val="22"/>
          <w:lang w:val="es-MX" w:eastAsia="es-ES"/>
        </w:rPr>
        <w:t>Son sujetos de fiscalización:</w:t>
      </w:r>
    </w:p>
    <w:p w:rsidR="00EE03A2" w:rsidRPr="00EE03A2" w:rsidRDefault="00EE03A2" w:rsidP="00EE03A2">
      <w:pPr>
        <w:spacing w:after="160" w:line="276" w:lineRule="auto"/>
        <w:ind w:left="567" w:right="851"/>
        <w:jc w:val="both"/>
        <w:rPr>
          <w:rFonts w:ascii="Calibri" w:eastAsia="Calibri" w:hAnsi="Calibri" w:cs="Calibri"/>
          <w:i/>
          <w:sz w:val="22"/>
          <w:szCs w:val="22"/>
          <w:lang w:val="es-MX" w:eastAsia="es-ES"/>
        </w:rPr>
      </w:pPr>
      <w:r w:rsidRPr="00EE03A2">
        <w:rPr>
          <w:rFonts w:ascii="Palatino Linotype" w:eastAsia="Palatino Linotype" w:hAnsi="Palatino Linotype" w:cs="Palatino Linotype"/>
          <w:i/>
          <w:sz w:val="22"/>
          <w:szCs w:val="22"/>
          <w:lang w:val="es-MX" w:eastAsia="es-ES"/>
        </w:rPr>
        <w:t>…</w:t>
      </w:r>
    </w:p>
    <w:p w:rsidR="00EE03A2" w:rsidRPr="00EE03A2" w:rsidRDefault="00EE03A2" w:rsidP="00EE03A2">
      <w:pPr>
        <w:numPr>
          <w:ilvl w:val="0"/>
          <w:numId w:val="13"/>
        </w:numPr>
        <w:spacing w:before="240" w:after="160" w:line="276" w:lineRule="auto"/>
        <w:ind w:left="567" w:right="851" w:hanging="1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Los municipios del Estado de México…” (Sic)</w:t>
      </w:r>
    </w:p>
    <w:p w:rsidR="00EE03A2" w:rsidRPr="00EE03A2" w:rsidRDefault="00EE03A2" w:rsidP="00EE03A2">
      <w:pPr>
        <w:spacing w:before="240" w:after="160" w:line="259" w:lineRule="auto"/>
        <w:ind w:left="851" w:right="851"/>
        <w:jc w:val="both"/>
        <w:rPr>
          <w:rFonts w:ascii="Calibri" w:eastAsia="Calibri" w:hAnsi="Calibri" w:cs="Calibri"/>
          <w:b/>
          <w:sz w:val="22"/>
          <w:szCs w:val="22"/>
          <w:lang w:val="es-MX" w:eastAsia="es-ES"/>
        </w:rPr>
      </w:pPr>
    </w:p>
    <w:p w:rsidR="00EE03A2" w:rsidRPr="00EE03A2" w:rsidRDefault="00EE03A2" w:rsidP="00EE03A2">
      <w:pPr>
        <w:spacing w:after="160" w:line="360" w:lineRule="auto"/>
        <w:ind w:right="49"/>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rsidR="00EE03A2" w:rsidRPr="00EE03A2" w:rsidRDefault="00EE03A2" w:rsidP="00EE03A2">
      <w:pPr>
        <w:spacing w:after="160" w:line="259" w:lineRule="auto"/>
        <w:ind w:left="851" w:right="851"/>
        <w:jc w:val="both"/>
        <w:rPr>
          <w:rFonts w:ascii="Calibri" w:eastAsia="Calibri" w:hAnsi="Calibri" w:cs="Calibri"/>
          <w:i/>
          <w:sz w:val="22"/>
          <w:szCs w:val="22"/>
          <w:lang w:val="es-MX" w:eastAsia="es-ES"/>
        </w:rPr>
      </w:pPr>
      <w:r w:rsidRPr="00EE03A2">
        <w:rPr>
          <w:rFonts w:ascii="Palatino Linotype" w:eastAsia="Palatino Linotype" w:hAnsi="Palatino Linotype" w:cs="Palatino Linotype"/>
          <w:b/>
          <w:i/>
          <w:sz w:val="22"/>
          <w:szCs w:val="22"/>
          <w:lang w:val="es-MX" w:eastAsia="es-ES"/>
        </w:rPr>
        <w:t xml:space="preserve">“Artículo 8. </w:t>
      </w:r>
      <w:r w:rsidRPr="00EE03A2">
        <w:rPr>
          <w:rFonts w:ascii="Palatino Linotype" w:eastAsia="Palatino Linotype" w:hAnsi="Palatino Linotype" w:cs="Palatino Linotype"/>
          <w:i/>
          <w:sz w:val="22"/>
          <w:szCs w:val="22"/>
          <w:lang w:val="es-MX" w:eastAsia="es-ES"/>
        </w:rPr>
        <w:t>El Órgano Superior tendrá las siguientes atribuciones:</w:t>
      </w:r>
    </w:p>
    <w:p w:rsidR="00EE03A2" w:rsidRPr="00EE03A2" w:rsidRDefault="00EE03A2" w:rsidP="00EE03A2">
      <w:pPr>
        <w:spacing w:after="160" w:line="259" w:lineRule="auto"/>
        <w:ind w:left="851" w:right="85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w:t>
      </w:r>
    </w:p>
    <w:p w:rsidR="00EE03A2" w:rsidRPr="00EE03A2" w:rsidRDefault="00EE03A2" w:rsidP="00EE03A2">
      <w:pPr>
        <w:spacing w:after="160" w:line="259" w:lineRule="auto"/>
        <w:ind w:left="851" w:right="851"/>
        <w:jc w:val="both"/>
        <w:rPr>
          <w:rFonts w:ascii="Palatino Linotype" w:eastAsia="Palatino Linotype" w:hAnsi="Palatino Linotype" w:cs="Palatino Linotype"/>
          <w:b/>
          <w:i/>
          <w:sz w:val="22"/>
          <w:szCs w:val="22"/>
          <w:lang w:val="es-MX" w:eastAsia="es-ES"/>
        </w:rPr>
      </w:pPr>
      <w:r w:rsidRPr="00EE03A2">
        <w:rPr>
          <w:rFonts w:ascii="Palatino Linotype" w:eastAsia="Palatino Linotype" w:hAnsi="Palatino Linotype" w:cs="Palatino Linotype"/>
          <w:b/>
          <w:i/>
          <w:sz w:val="22"/>
          <w:szCs w:val="22"/>
          <w:lang w:val="es-MX" w:eastAsia="es-ES"/>
        </w:rPr>
        <w:t>XI. Establecer los lineamientos</w:t>
      </w:r>
      <w:r w:rsidRPr="00EE03A2">
        <w:rPr>
          <w:rFonts w:ascii="Palatino Linotype" w:eastAsia="Palatino Linotype" w:hAnsi="Palatino Linotype" w:cs="Palatino Linotype"/>
          <w:i/>
          <w:sz w:val="22"/>
          <w:szCs w:val="22"/>
          <w:lang w:val="es-MX" w:eastAsia="es-ES"/>
        </w:rPr>
        <w:t xml:space="preserve">, criterios, procedimientos, métodos y sistemas </w:t>
      </w:r>
      <w:r w:rsidRPr="00EE03A2">
        <w:rPr>
          <w:rFonts w:ascii="Palatino Linotype" w:eastAsia="Palatino Linotype" w:hAnsi="Palatino Linotype" w:cs="Palatino Linotype"/>
          <w:b/>
          <w:i/>
          <w:sz w:val="22"/>
          <w:szCs w:val="22"/>
          <w:lang w:val="es-MX" w:eastAsia="es-ES"/>
        </w:rPr>
        <w:t>para las acciones de control y evaluación, necesarios para la fiscalización de las cuentas públicas y los informes trimestrales</w:t>
      </w:r>
      <w:r w:rsidRPr="00EE03A2">
        <w:rPr>
          <w:rFonts w:ascii="Palatino Linotype" w:eastAsia="Palatino Linotype" w:hAnsi="Palatino Linotype" w:cs="Palatino Linotype"/>
          <w:i/>
          <w:sz w:val="22"/>
          <w:szCs w:val="22"/>
          <w:lang w:val="es-MX" w:eastAsia="es-ES"/>
        </w:rPr>
        <w:t>…</w:t>
      </w:r>
      <w:r w:rsidRPr="00EE03A2">
        <w:rPr>
          <w:rFonts w:ascii="Palatino Linotype" w:eastAsia="Palatino Linotype" w:hAnsi="Palatino Linotype" w:cs="Palatino Linotype"/>
          <w:sz w:val="22"/>
          <w:szCs w:val="22"/>
          <w:lang w:val="es-MX" w:eastAsia="es-ES"/>
        </w:rPr>
        <w:t>” (</w:t>
      </w:r>
      <w:r w:rsidRPr="00EE03A2">
        <w:rPr>
          <w:rFonts w:ascii="Palatino Linotype" w:eastAsia="Palatino Linotype" w:hAnsi="Palatino Linotype" w:cs="Palatino Linotype"/>
          <w:i/>
          <w:sz w:val="22"/>
          <w:szCs w:val="22"/>
          <w:lang w:val="es-MX" w:eastAsia="es-ES"/>
        </w:rPr>
        <w:t>Sic)</w:t>
      </w:r>
    </w:p>
    <w:p w:rsidR="00EE03A2" w:rsidRPr="00EE03A2" w:rsidRDefault="00EE03A2" w:rsidP="00EE03A2">
      <w:pPr>
        <w:spacing w:after="160" w:line="259" w:lineRule="auto"/>
        <w:ind w:left="851" w:right="851"/>
        <w:jc w:val="both"/>
        <w:rPr>
          <w:rFonts w:ascii="Palatino Linotype" w:eastAsia="Palatino Linotype" w:hAnsi="Palatino Linotype" w:cs="Palatino Linotype"/>
          <w:b/>
          <w:i/>
          <w:sz w:val="22"/>
          <w:szCs w:val="22"/>
          <w:lang w:val="es-MX" w:eastAsia="es-ES"/>
        </w:rPr>
      </w:pPr>
    </w:p>
    <w:p w:rsidR="00EE03A2" w:rsidRPr="00EE03A2" w:rsidRDefault="00EE03A2" w:rsidP="00EE03A2">
      <w:pPr>
        <w:spacing w:after="160" w:line="360" w:lineRule="auto"/>
        <w:jc w:val="both"/>
        <w:rPr>
          <w:rFonts w:ascii="Palatino Linotype" w:eastAsia="Palatino Linotype" w:hAnsi="Palatino Linotype" w:cs="Palatino Linotype"/>
          <w:lang w:val="es-MX" w:eastAsia="es-ES"/>
        </w:rPr>
      </w:pPr>
    </w:p>
    <w:p w:rsidR="00EE03A2" w:rsidRPr="00EE03A2" w:rsidRDefault="00EE03A2" w:rsidP="00EE03A2">
      <w:pPr>
        <w:spacing w:after="160" w:line="360" w:lineRule="auto"/>
        <w:jc w:val="both"/>
        <w:rPr>
          <w:rFonts w:ascii="Palatino Linotype" w:hAnsi="Palatino Linotype"/>
          <w:lang w:val="es-MX" w:eastAsia="es-ES"/>
        </w:rPr>
      </w:pPr>
      <w:r w:rsidRPr="00EE03A2">
        <w:rPr>
          <w:rFonts w:ascii="Palatino Linotype" w:hAnsi="Palatino Linotype"/>
          <w:lang w:val="es-MX" w:eastAsia="es-ES"/>
        </w:rPr>
        <w:t>En ese sentido, el Instructivo de dicho curso establece los documentos denominados:</w:t>
      </w:r>
    </w:p>
    <w:p w:rsidR="00EE03A2" w:rsidRPr="00EE03A2" w:rsidRDefault="00EE03A2" w:rsidP="00EE03A2">
      <w:pPr>
        <w:spacing w:after="160" w:line="360" w:lineRule="auto"/>
        <w:jc w:val="both"/>
        <w:rPr>
          <w:rFonts w:ascii="Calibri" w:eastAsia="Calibri" w:hAnsi="Calibri" w:cs="Calibri"/>
          <w:sz w:val="22"/>
          <w:szCs w:val="22"/>
          <w:lang w:val="es-MX" w:eastAsia="es-ES"/>
        </w:rPr>
      </w:pPr>
      <w:r w:rsidRPr="00EE03A2">
        <w:rPr>
          <w:rFonts w:ascii="Calibri" w:eastAsia="Calibri" w:hAnsi="Calibri" w:cs="Calibri"/>
          <w:noProof/>
          <w:sz w:val="22"/>
          <w:szCs w:val="22"/>
          <w:lang w:val="es-MX"/>
        </w:rPr>
        <w:lastRenderedPageBreak/>
        <w:drawing>
          <wp:inline distT="0" distB="0" distL="0" distR="0" wp14:anchorId="10382F6E" wp14:editId="56804EE0">
            <wp:extent cx="5441950" cy="35687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3986" t="26966" r="3144" b="13259"/>
                    <a:stretch>
                      <a:fillRect/>
                    </a:stretch>
                  </pic:blipFill>
                  <pic:spPr>
                    <a:xfrm>
                      <a:off x="0" y="0"/>
                      <a:ext cx="5441950" cy="3568700"/>
                    </a:xfrm>
                    <a:prstGeom prst="rect">
                      <a:avLst/>
                    </a:prstGeom>
                    <a:ln/>
                  </pic:spPr>
                </pic:pic>
              </a:graphicData>
            </a:graphic>
          </wp:inline>
        </w:drawing>
      </w:r>
      <w:r w:rsidRPr="00EE03A2">
        <w:rPr>
          <w:noProof/>
          <w:lang w:val="es-MX"/>
        </w:rPr>
        <mc:AlternateContent>
          <mc:Choice Requires="wps">
            <w:drawing>
              <wp:anchor distT="0" distB="0" distL="114300" distR="114300" simplePos="0" relativeHeight="251666432" behindDoc="0" locked="0" layoutInCell="1" hidden="0" allowOverlap="1" wp14:anchorId="135EBEE5" wp14:editId="34CE10AA">
                <wp:simplePos x="0" y="0"/>
                <wp:positionH relativeFrom="column">
                  <wp:posOffset>215900</wp:posOffset>
                </wp:positionH>
                <wp:positionV relativeFrom="paragraph">
                  <wp:posOffset>1676400</wp:posOffset>
                </wp:positionV>
                <wp:extent cx="5200650" cy="400050"/>
                <wp:effectExtent l="0" t="0" r="0" b="0"/>
                <wp:wrapNone/>
                <wp:docPr id="70" name="Rectángulo 70"/>
                <wp:cNvGraphicFramePr/>
                <a:graphic xmlns:a="http://schemas.openxmlformats.org/drawingml/2006/main">
                  <a:graphicData uri="http://schemas.microsoft.com/office/word/2010/wordprocessingShape">
                    <wps:wsp>
                      <wps:cNvSpPr/>
                      <wps:spPr>
                        <a:xfrm>
                          <a:off x="2783775" y="3618075"/>
                          <a:ext cx="5124450" cy="323850"/>
                        </a:xfrm>
                        <a:prstGeom prst="rect">
                          <a:avLst/>
                        </a:prstGeom>
                        <a:noFill/>
                        <a:ln w="38100" cap="flat" cmpd="sng">
                          <a:solidFill>
                            <a:srgbClr val="002060"/>
                          </a:solidFill>
                          <a:prstDash val="solid"/>
                          <a:miter lim="800000"/>
                          <a:headEnd type="none" w="sm" len="sm"/>
                          <a:tailEnd type="none" w="sm" len="sm"/>
                        </a:ln>
                      </wps:spPr>
                      <wps:txbx>
                        <w:txbxContent>
                          <w:p w:rsidR="002528F2" w:rsidRDefault="002528F2" w:rsidP="00EE03A2">
                            <w:pPr>
                              <w:textDirection w:val="btLr"/>
                            </w:pPr>
                          </w:p>
                        </w:txbxContent>
                      </wps:txbx>
                      <wps:bodyPr spcFirstLastPara="1" wrap="square" lIns="91425" tIns="91425" rIns="91425" bIns="91425" anchor="ctr" anchorCtr="0">
                        <a:noAutofit/>
                      </wps:bodyPr>
                    </wps:wsp>
                  </a:graphicData>
                </a:graphic>
              </wp:anchor>
            </w:drawing>
          </mc:Choice>
          <mc:Fallback>
            <w:pict>
              <v:rect w14:anchorId="135EBEE5" id="Rectángulo 70" o:spid="_x0000_s1026" style="position:absolute;left:0;text-align:left;margin-left:17pt;margin-top:132pt;width:409.5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" filled="f" strokecolor="#002060" strokeweight="3pt">
                <v:stroke startarrowwidth="narrow" startarrowlength="short" endarrowwidth="narrow" endarrowlength="short"/>
                <v:textbox inset="2.53958mm,2.53958mm,2.53958mm,2.53958mm">
                  <w:txbxContent>
                    <w:p w:rsidR="002528F2" w:rsidRDefault="002528F2" w:rsidP="00EE03A2">
                      <w:pPr>
                        <w:textDirection w:val="btLr"/>
                      </w:pPr>
                    </w:p>
                  </w:txbxContent>
                </v:textbox>
              </v:rect>
            </w:pict>
          </mc:Fallback>
        </mc:AlternateContent>
      </w:r>
    </w:p>
    <w:p w:rsidR="00EE03A2" w:rsidRPr="00EE03A2" w:rsidRDefault="00EE03A2" w:rsidP="00EE03A2">
      <w:pPr>
        <w:spacing w:after="160"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De la imagen antes referida, sSubmódulo Nómina contiene el documento denominado </w:t>
      </w:r>
      <w:r w:rsidRPr="00EE03A2">
        <w:rPr>
          <w:rFonts w:ascii="Palatino Linotype" w:eastAsia="Palatino Linotype" w:hAnsi="Palatino Linotype" w:cs="Palatino Linotype"/>
          <w:u w:val="single"/>
          <w:lang w:val="es-MX" w:eastAsia="es-ES"/>
        </w:rPr>
        <w:t>Conciliación de Nómina Mensual,</w:t>
      </w:r>
      <w:r w:rsidRPr="00EE03A2">
        <w:rPr>
          <w:rFonts w:ascii="Palatino Linotype" w:eastAsia="Palatino Linotype" w:hAnsi="Palatino Linotype" w:cs="Palatino Linotype"/>
          <w:lang w:val="es-MX" w:eastAsia="es-ES"/>
        </w:rPr>
        <w:t xml:space="preserve"> el cual sería el documento que colmaría lo referente al </w:t>
      </w:r>
      <w:r w:rsidRPr="00EE03A2">
        <w:rPr>
          <w:rFonts w:ascii="Palatino Linotype" w:eastAsia="Palatino Linotype" w:hAnsi="Palatino Linotype" w:cs="Palatino Linotype"/>
          <w:color w:val="000000"/>
          <w:lang w:val="es-MX" w:eastAsia="es-ES"/>
        </w:rPr>
        <w:t>monto de las percepciones mensuales</w:t>
      </w:r>
      <w:r w:rsidRPr="00EE03A2">
        <w:rPr>
          <w:rFonts w:ascii="Palatino Linotype" w:eastAsia="Palatino Linotype" w:hAnsi="Palatino Linotype" w:cs="Palatino Linotype"/>
          <w:lang w:val="es-MX" w:eastAsia="es-ES"/>
        </w:rPr>
        <w:t>, toda vez que contiene de manera detallada las percepciones de los servidores públicos como se muestra a continuación:</w:t>
      </w:r>
    </w:p>
    <w:p w:rsidR="00EE03A2" w:rsidRPr="00EE03A2" w:rsidRDefault="00EE03A2" w:rsidP="00EE03A2">
      <w:pPr>
        <w:spacing w:after="160" w:line="360" w:lineRule="auto"/>
        <w:jc w:val="both"/>
        <w:rPr>
          <w:rFonts w:ascii="Palatino Linotype" w:eastAsia="Palatino Linotype" w:hAnsi="Palatino Linotype" w:cs="Palatino Linotype"/>
          <w:sz w:val="22"/>
          <w:szCs w:val="22"/>
          <w:lang w:val="es-MX" w:eastAsia="es-ES"/>
        </w:rPr>
      </w:pPr>
    </w:p>
    <w:p w:rsidR="00EE03A2" w:rsidRPr="00EE03A2" w:rsidRDefault="00EE03A2" w:rsidP="00EE03A2">
      <w:pPr>
        <w:spacing w:after="160" w:line="360" w:lineRule="auto"/>
        <w:jc w:val="center"/>
        <w:rPr>
          <w:rFonts w:ascii="Calibri" w:eastAsia="Calibri" w:hAnsi="Calibri" w:cs="Calibri"/>
          <w:sz w:val="22"/>
          <w:szCs w:val="22"/>
          <w:lang w:val="es-MX" w:eastAsia="es-ES"/>
        </w:rPr>
      </w:pPr>
      <w:r w:rsidRPr="00EE03A2">
        <w:rPr>
          <w:rFonts w:ascii="Calibri" w:eastAsia="Calibri" w:hAnsi="Calibri" w:cs="Calibri"/>
          <w:sz w:val="22"/>
          <w:szCs w:val="22"/>
          <w:lang w:val="es-MX" w:eastAsia="es-ES"/>
        </w:rPr>
        <w:lastRenderedPageBreak/>
        <w:t xml:space="preserve"> </w:t>
      </w:r>
      <w:r w:rsidRPr="00EE03A2">
        <w:rPr>
          <w:rFonts w:ascii="Calibri" w:eastAsia="Calibri" w:hAnsi="Calibri" w:cs="Calibri"/>
          <w:noProof/>
          <w:sz w:val="22"/>
          <w:szCs w:val="22"/>
          <w:lang w:val="es-MX"/>
        </w:rPr>
        <w:drawing>
          <wp:inline distT="0" distB="0" distL="0" distR="0" wp14:anchorId="5C5AF75B" wp14:editId="28D04F80">
            <wp:extent cx="5536718" cy="255409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2016" t="21238" r="22858" b="33554"/>
                    <a:stretch>
                      <a:fillRect/>
                    </a:stretch>
                  </pic:blipFill>
                  <pic:spPr>
                    <a:xfrm>
                      <a:off x="0" y="0"/>
                      <a:ext cx="5536718" cy="2554090"/>
                    </a:xfrm>
                    <a:prstGeom prst="rect">
                      <a:avLst/>
                    </a:prstGeom>
                    <a:ln/>
                  </pic:spPr>
                </pic:pic>
              </a:graphicData>
            </a:graphic>
          </wp:inline>
        </w:drawing>
      </w:r>
    </w:p>
    <w:p w:rsidR="00EE03A2" w:rsidRPr="00EE03A2" w:rsidRDefault="00EE03A2" w:rsidP="00EE03A2">
      <w:pPr>
        <w:spacing w:after="160" w:line="360" w:lineRule="auto"/>
        <w:jc w:val="center"/>
        <w:rPr>
          <w:rFonts w:ascii="Calibri" w:eastAsia="Calibri" w:hAnsi="Calibri" w:cs="Calibri"/>
          <w:sz w:val="22"/>
          <w:szCs w:val="22"/>
          <w:lang w:val="es-MX" w:eastAsia="es-ES"/>
        </w:rPr>
      </w:pPr>
    </w:p>
    <w:p w:rsidR="00EE03A2" w:rsidRPr="00EE03A2" w:rsidRDefault="00EE03A2" w:rsidP="00EE03A2">
      <w:pPr>
        <w:spacing w:after="160" w:line="360" w:lineRule="auto"/>
        <w:jc w:val="center"/>
        <w:rPr>
          <w:rFonts w:ascii="Palatino Linotype" w:eastAsia="Palatino Linotype" w:hAnsi="Palatino Linotype" w:cs="Palatino Linotype"/>
          <w:sz w:val="22"/>
          <w:szCs w:val="22"/>
          <w:lang w:val="es-MX" w:eastAsia="es-ES"/>
        </w:rPr>
      </w:pPr>
      <w:r w:rsidRPr="00EE03A2">
        <w:rPr>
          <w:noProof/>
          <w:lang w:val="es-MX"/>
        </w:rPr>
        <w:lastRenderedPageBreak/>
        <mc:AlternateContent>
          <mc:Choice Requires="wps">
            <w:drawing>
              <wp:anchor distT="0" distB="0" distL="114300" distR="114300" simplePos="0" relativeHeight="251663360" behindDoc="0" locked="0" layoutInCell="1" hidden="0" allowOverlap="1" wp14:anchorId="5FB4A419" wp14:editId="30083DB5">
                <wp:simplePos x="0" y="0"/>
                <wp:positionH relativeFrom="column">
                  <wp:posOffset>205740</wp:posOffset>
                </wp:positionH>
                <wp:positionV relativeFrom="paragraph">
                  <wp:posOffset>3362960</wp:posOffset>
                </wp:positionV>
                <wp:extent cx="5095875" cy="2238375"/>
                <wp:effectExtent l="19050" t="19050" r="28575" b="28575"/>
                <wp:wrapNone/>
                <wp:docPr id="72" name="Rectángulo 72"/>
                <wp:cNvGraphicFramePr/>
                <a:graphic xmlns:a="http://schemas.openxmlformats.org/drawingml/2006/main">
                  <a:graphicData uri="http://schemas.microsoft.com/office/word/2010/wordprocessingShape">
                    <wps:wsp>
                      <wps:cNvSpPr/>
                      <wps:spPr>
                        <a:xfrm>
                          <a:off x="0" y="0"/>
                          <a:ext cx="5095875" cy="2238375"/>
                        </a:xfrm>
                        <a:prstGeom prst="rect">
                          <a:avLst/>
                        </a:prstGeom>
                        <a:noFill/>
                        <a:ln w="38100" cap="flat" cmpd="sng">
                          <a:solidFill>
                            <a:srgbClr val="002060"/>
                          </a:solidFill>
                          <a:prstDash val="solid"/>
                          <a:miter lim="800000"/>
                          <a:headEnd type="none" w="sm" len="sm"/>
                          <a:tailEnd type="none" w="sm" len="sm"/>
                        </a:ln>
                      </wps:spPr>
                      <wps:txbx>
                        <w:txbxContent>
                          <w:p w:rsidR="002528F2" w:rsidRDefault="002528F2" w:rsidP="00EE03A2">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FB4A419" id="Rectángulo 72" o:spid="_x0000_s1027" style="position:absolute;left:0;text-align:left;margin-left:16.2pt;margin-top:264.8pt;width:401.25pt;height:17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" filled="f" strokecolor="#002060" strokeweight="3pt">
                <v:stroke startarrowwidth="narrow" startarrowlength="short" endarrowwidth="narrow" endarrowlength="short"/>
                <v:textbox inset="2.53958mm,2.53958mm,2.53958mm,2.53958mm">
                  <w:txbxContent>
                    <w:p w:rsidR="002528F2" w:rsidRDefault="002528F2" w:rsidP="00EE03A2">
                      <w:pPr>
                        <w:textDirection w:val="btLr"/>
                      </w:pPr>
                    </w:p>
                  </w:txbxContent>
                </v:textbox>
              </v:rect>
            </w:pict>
          </mc:Fallback>
        </mc:AlternateContent>
      </w:r>
      <w:r w:rsidRPr="00EE03A2">
        <w:rPr>
          <w:rFonts w:ascii="Calibri" w:eastAsia="Calibri" w:hAnsi="Calibri" w:cs="Calibri"/>
          <w:noProof/>
          <w:sz w:val="22"/>
          <w:szCs w:val="22"/>
          <w:lang w:val="es-MX"/>
        </w:rPr>
        <w:drawing>
          <wp:inline distT="0" distB="0" distL="0" distR="0" wp14:anchorId="7187DC47" wp14:editId="041A91CD">
            <wp:extent cx="5358860" cy="6902937"/>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34816" t="24272" r="34975" b="6553"/>
                    <a:stretch>
                      <a:fillRect/>
                    </a:stretch>
                  </pic:blipFill>
                  <pic:spPr>
                    <a:xfrm>
                      <a:off x="0" y="0"/>
                      <a:ext cx="5358860" cy="6902937"/>
                    </a:xfrm>
                    <a:prstGeom prst="rect">
                      <a:avLst/>
                    </a:prstGeom>
                    <a:ln/>
                  </pic:spPr>
                </pic:pic>
              </a:graphicData>
            </a:graphic>
          </wp:inline>
        </w:drawing>
      </w:r>
    </w:p>
    <w:p w:rsidR="00EE03A2" w:rsidRPr="00EE03A2" w:rsidRDefault="00EE03A2" w:rsidP="00EE03A2">
      <w:pPr>
        <w:spacing w:after="160" w:line="360" w:lineRule="auto"/>
        <w:jc w:val="center"/>
        <w:rPr>
          <w:rFonts w:ascii="Palatino Linotype" w:eastAsia="Palatino Linotype" w:hAnsi="Palatino Linotype" w:cs="Palatino Linotype"/>
          <w:sz w:val="22"/>
          <w:szCs w:val="22"/>
          <w:lang w:val="es-MX" w:eastAsia="es-ES"/>
        </w:rPr>
      </w:pPr>
      <w:r w:rsidRPr="00EE03A2">
        <w:rPr>
          <w:rFonts w:ascii="Calibri" w:eastAsia="Calibri" w:hAnsi="Calibri" w:cs="Calibri"/>
          <w:noProof/>
          <w:sz w:val="22"/>
          <w:szCs w:val="22"/>
          <w:lang w:val="es-MX"/>
        </w:rPr>
        <w:lastRenderedPageBreak/>
        <w:drawing>
          <wp:inline distT="0" distB="0" distL="0" distR="0" wp14:anchorId="0957D056" wp14:editId="08E03841">
            <wp:extent cx="4303809" cy="3578166"/>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34816" t="38531" r="35829" b="18080"/>
                    <a:stretch>
                      <a:fillRect/>
                    </a:stretch>
                  </pic:blipFill>
                  <pic:spPr>
                    <a:xfrm>
                      <a:off x="0" y="0"/>
                      <a:ext cx="4303809" cy="3578166"/>
                    </a:xfrm>
                    <a:prstGeom prst="rect">
                      <a:avLst/>
                    </a:prstGeom>
                    <a:ln/>
                  </pic:spPr>
                </pic:pic>
              </a:graphicData>
            </a:graphic>
          </wp:inline>
        </w:drawing>
      </w:r>
    </w:p>
    <w:p w:rsidR="00EE03A2" w:rsidRPr="00EE03A2" w:rsidRDefault="00EE03A2" w:rsidP="00EE03A2">
      <w:pPr>
        <w:spacing w:line="360" w:lineRule="auto"/>
        <w:ind w:right="-91"/>
        <w:jc w:val="both"/>
        <w:rPr>
          <w:rFonts w:ascii="Palatino Linotype" w:eastAsia="Palatino Linotype" w:hAnsi="Palatino Linotype" w:cs="Palatino Linotype"/>
          <w:color w:val="000000"/>
          <w:lang w:val="es-MX" w:eastAsia="es-ES"/>
        </w:rPr>
      </w:pPr>
      <w:r w:rsidRPr="00EE03A2">
        <w:rPr>
          <w:rFonts w:ascii="Palatino Linotype" w:eastAsia="Palatino Linotype" w:hAnsi="Palatino Linotype" w:cs="Palatino Linotype"/>
          <w:color w:val="000000"/>
          <w:lang w:val="es-MX" w:eastAsia="es-ES"/>
        </w:rPr>
        <w:t>De acuerdo a lo anterior, se observa que dicho documento, contiene el desglose de deducciones, y percepciones en las remuneraciones de los servidores públicos referidos en la solicitud del particular.</w:t>
      </w:r>
    </w:p>
    <w:p w:rsidR="00EE03A2" w:rsidRPr="00950ABA" w:rsidRDefault="00EE03A2" w:rsidP="009B7365">
      <w:pPr>
        <w:spacing w:after="160" w:line="360" w:lineRule="auto"/>
        <w:jc w:val="both"/>
        <w:rPr>
          <w:rFonts w:ascii="Palatino Linotype" w:eastAsia="Palatino Linotype" w:hAnsi="Palatino Linotype" w:cs="Palatino Linotype"/>
          <w:color w:val="FF0000"/>
        </w:rPr>
      </w:pPr>
    </w:p>
    <w:p w:rsidR="009F6905" w:rsidRPr="009F6905" w:rsidRDefault="009F6905" w:rsidP="009B7365">
      <w:pPr>
        <w:spacing w:after="160" w:line="360" w:lineRule="auto"/>
        <w:jc w:val="both"/>
        <w:rPr>
          <w:rFonts w:ascii="Palatino Linotype" w:eastAsia="Palatino Linotype" w:hAnsi="Palatino Linotype" w:cs="Palatino Linotype"/>
          <w:b/>
        </w:rPr>
      </w:pPr>
      <w:r w:rsidRPr="009F6905">
        <w:rPr>
          <w:rFonts w:ascii="Palatino Linotype" w:eastAsia="Palatino Linotype" w:hAnsi="Palatino Linotype" w:cs="Palatino Linotype"/>
          <w:b/>
        </w:rPr>
        <w:t>Lista de asistencia</w:t>
      </w:r>
    </w:p>
    <w:p w:rsidR="009F6905" w:rsidRPr="009F6905" w:rsidRDefault="009F6905" w:rsidP="009F6905">
      <w:pPr>
        <w:spacing w:after="160" w:line="360" w:lineRule="auto"/>
        <w:jc w:val="both"/>
        <w:rPr>
          <w:rFonts w:ascii="Palatino Linotype" w:eastAsia="Palatino Linotype" w:hAnsi="Palatino Linotype" w:cs="Palatino Linotype"/>
          <w:lang w:val="es-MX"/>
        </w:rPr>
      </w:pPr>
      <w:r w:rsidRPr="009F6905">
        <w:rPr>
          <w:rFonts w:ascii="Palatino Linotype" w:eastAsia="Palatino Linotype" w:hAnsi="Palatino Linotype" w:cs="Palatino Linotype"/>
          <w:lang w:val="es-MX"/>
        </w:rPr>
        <w:t>Ahora bien, sobre la naturaleza de la información solicita debe decirse que la Ley del Trabajo de los Servidores Públicos del Estado y Municipios, establece ciertos requisitos para tener por formalizada una relación de trabajo entre el servidor público y las entidades públicas, los que se destacan los siguiente:</w:t>
      </w:r>
    </w:p>
    <w:p w:rsidR="009F6905" w:rsidRPr="009F6905" w:rsidRDefault="009F6905" w:rsidP="009F6905">
      <w:pPr>
        <w:spacing w:after="160"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w:t>
      </w:r>
      <w:r w:rsidRPr="009F6905">
        <w:rPr>
          <w:rFonts w:ascii="Palatino Linotype" w:eastAsia="Palatino Linotype" w:hAnsi="Palatino Linotype" w:cs="Palatino Linotype"/>
          <w:b/>
          <w:bCs/>
          <w:i/>
          <w:iCs/>
          <w:sz w:val="22"/>
          <w:lang w:val="es-MX"/>
        </w:rPr>
        <w:t>ARTÍCULO 49.-</w:t>
      </w:r>
      <w:r w:rsidRPr="009F6905">
        <w:rPr>
          <w:rFonts w:ascii="Palatino Linotype" w:eastAsia="Palatino Linotype" w:hAnsi="Palatino Linotype" w:cs="Palatino Linotype"/>
          <w:i/>
          <w:iCs/>
          <w:sz w:val="22"/>
          <w:lang w:val="es-MX"/>
        </w:rPr>
        <w:t xml:space="preserve"> Los nombramientos, contratos o formato único de Movimientos de Personal de los servidores públicos deberán contener:</w:t>
      </w:r>
    </w:p>
    <w:p w:rsidR="009F6905" w:rsidRPr="009F6905" w:rsidRDefault="009F6905" w:rsidP="009F6905">
      <w:pPr>
        <w:spacing w:after="160"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lastRenderedPageBreak/>
        <w:t>I. Nombre completo del servidor público;</w:t>
      </w:r>
    </w:p>
    <w:p w:rsidR="009F6905" w:rsidRPr="009F6905" w:rsidRDefault="009F6905" w:rsidP="009F6905">
      <w:pPr>
        <w:spacing w:after="160"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II. Cargo para el que es designado, fecha de inicio de sus servicios y lugar de adscripción; III. Carácter del nombramiento, ya sea de servidores públicos generales o de confianza, así como la temporalidad del mismo;</w:t>
      </w:r>
    </w:p>
    <w:p w:rsidR="009F6905" w:rsidRPr="009F6905" w:rsidRDefault="009F6905" w:rsidP="009F6905">
      <w:pPr>
        <w:spacing w:after="160"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IV. Remuneración correspondiente al puesto;</w:t>
      </w:r>
    </w:p>
    <w:p w:rsidR="009F6905" w:rsidRPr="009F6905" w:rsidRDefault="009F6905" w:rsidP="009F6905">
      <w:pPr>
        <w:spacing w:after="160"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
          <w:bCs/>
          <w:i/>
          <w:iCs/>
          <w:sz w:val="22"/>
          <w:lang w:val="es-MX"/>
        </w:rPr>
        <w:t>V. Jornada de trabajo;</w:t>
      </w:r>
    </w:p>
    <w:p w:rsidR="009F6905" w:rsidRPr="009F6905" w:rsidRDefault="009F6905" w:rsidP="009F6905">
      <w:pPr>
        <w:spacing w:after="160"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VI. Derogada;</w:t>
      </w:r>
    </w:p>
    <w:p w:rsidR="009F6905" w:rsidRPr="009F6905" w:rsidRDefault="009F6905" w:rsidP="009F6905">
      <w:pPr>
        <w:spacing w:after="160"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VII. Firma del servidor público autorizado para emitir el nombramiento, contrato o formato único de Movimientos de Personal, así como el fundamento legal de esa atribución.” (Sic)</w:t>
      </w:r>
    </w:p>
    <w:p w:rsidR="009F6905" w:rsidRPr="009F6905" w:rsidRDefault="009F6905" w:rsidP="009F6905">
      <w:pPr>
        <w:spacing w:line="360" w:lineRule="auto"/>
        <w:jc w:val="both"/>
        <w:rPr>
          <w:rFonts w:ascii="Palatino Linotype" w:eastAsia="Palatino Linotype" w:hAnsi="Palatino Linotype" w:cs="Palatino Linotype"/>
          <w:lang w:val="es-MX"/>
        </w:rPr>
      </w:pPr>
      <w:r w:rsidRPr="009F6905">
        <w:rPr>
          <w:rFonts w:ascii="Palatino Linotype" w:eastAsia="Palatino Linotype" w:hAnsi="Palatino Linotype" w:cs="Palatino Linotype"/>
          <w:lang w:val="es-MX"/>
        </w:rPr>
        <w:t>Del anterior ordenamiento legal, se advierte que, en los nombramientos, contratos o formatos únicos de movimiento de personal, deben contener como requisitos entre otros la jornada de trabajo; es decir el periodo o espacio de tiempo por el cual el Servidor Público prestará su servicio al organismo público que se trate, lo que se robustece con lo establecido por los artículos 56 y 59 del mismo ordenamiento legal señalado en el párrafo anterior, que dispone:</w:t>
      </w:r>
    </w:p>
    <w:p w:rsidR="009F6905" w:rsidRPr="009F6905" w:rsidRDefault="009F6905" w:rsidP="009F6905">
      <w:pPr>
        <w:spacing w:line="360" w:lineRule="auto"/>
        <w:jc w:val="both"/>
        <w:rPr>
          <w:rFonts w:ascii="Palatino Linotype" w:eastAsia="Palatino Linotype" w:hAnsi="Palatino Linotype" w:cs="Palatino Linotype"/>
          <w:b/>
          <w:lang w:val="es-MX"/>
        </w:rPr>
      </w:pP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“ARTÍCULO 56</w:t>
      </w:r>
      <w:r w:rsidRPr="009F6905">
        <w:rPr>
          <w:rFonts w:ascii="Palatino Linotype" w:eastAsia="Palatino Linotype" w:hAnsi="Palatino Linotype" w:cs="Palatino Linotype"/>
          <w:i/>
          <w:iCs/>
          <w:sz w:val="22"/>
          <w:lang w:val="es-MX"/>
        </w:rPr>
        <w:t>. Las condiciones generales de trabajo, establecerán como mínimo:</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I. Duración de la jornada de trabajo.</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ARTÍCULO 59</w:t>
      </w:r>
      <w:r w:rsidRPr="009F6905">
        <w:rPr>
          <w:rFonts w:ascii="Palatino Linotype" w:eastAsia="Palatino Linotype" w:hAnsi="Palatino Linotype" w:cs="Palatino Linotype"/>
          <w:i/>
          <w:iCs/>
          <w:sz w:val="22"/>
          <w:lang w:val="es-MX"/>
        </w:rPr>
        <w:t>.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 (Sic)</w:t>
      </w:r>
    </w:p>
    <w:p w:rsidR="009F6905" w:rsidRPr="009F6905" w:rsidRDefault="009F6905" w:rsidP="009F6905">
      <w:pPr>
        <w:spacing w:line="360" w:lineRule="auto"/>
        <w:jc w:val="both"/>
        <w:rPr>
          <w:rFonts w:ascii="Palatino Linotype" w:eastAsia="Palatino Linotype" w:hAnsi="Palatino Linotype" w:cs="Palatino Linotype"/>
          <w:b/>
          <w:lang w:val="es-MX"/>
        </w:rPr>
      </w:pPr>
    </w:p>
    <w:p w:rsidR="009F6905" w:rsidRPr="009F6905" w:rsidRDefault="009F6905" w:rsidP="009F6905">
      <w:pPr>
        <w:spacing w:line="360" w:lineRule="auto"/>
        <w:jc w:val="both"/>
        <w:rPr>
          <w:rFonts w:ascii="Palatino Linotype" w:eastAsia="Palatino Linotype" w:hAnsi="Palatino Linotype" w:cs="Palatino Linotype"/>
          <w:lang w:val="es-MX"/>
        </w:rPr>
      </w:pPr>
      <w:r w:rsidRPr="009F6905">
        <w:rPr>
          <w:rFonts w:ascii="Palatino Linotype" w:eastAsia="Palatino Linotype" w:hAnsi="Palatino Linotype" w:cs="Palatino Linotype"/>
          <w:lang w:val="es-MX"/>
        </w:rPr>
        <w:lastRenderedPageBreak/>
        <w:t>En ese contexto, la duración de la jornada de trabajo puede ser de varias maneras las cuales se encuentran establecidas en el artículo 60, 61, 62 y 63 de la mencionada Ley de Trabajo, que literalmente señalan lo siguiente:</w:t>
      </w:r>
    </w:p>
    <w:p w:rsidR="009F6905" w:rsidRPr="009F6905" w:rsidRDefault="009F6905" w:rsidP="009F6905">
      <w:pPr>
        <w:spacing w:line="360" w:lineRule="auto"/>
        <w:jc w:val="both"/>
        <w:rPr>
          <w:rFonts w:ascii="Palatino Linotype" w:eastAsia="Palatino Linotype" w:hAnsi="Palatino Linotype" w:cs="Palatino Linotype"/>
          <w:b/>
          <w:lang w:val="es-MX"/>
        </w:rPr>
      </w:pP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w:t>
      </w:r>
      <w:r w:rsidRPr="009F6905">
        <w:rPr>
          <w:rFonts w:ascii="Palatino Linotype" w:eastAsia="Palatino Linotype" w:hAnsi="Palatino Linotype" w:cs="Palatino Linotype"/>
          <w:bCs/>
          <w:i/>
          <w:iCs/>
          <w:sz w:val="22"/>
          <w:lang w:val="es-MX"/>
        </w:rPr>
        <w:t>ARTÍCULO 60</w:t>
      </w:r>
      <w:r w:rsidRPr="009F6905">
        <w:rPr>
          <w:rFonts w:ascii="Palatino Linotype" w:eastAsia="Palatino Linotype" w:hAnsi="Palatino Linotype" w:cs="Palatino Linotype"/>
          <w:i/>
          <w:iCs/>
          <w:sz w:val="22"/>
          <w:lang w:val="es-MX"/>
        </w:rPr>
        <w:t>. La jornada de trabajo puede ser diurna, nocturna o mixta, conforme a lo siguiente:</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I. Diurna, la comprendida entre las seis y las veinte horas;</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II. Nocturna, la comprendida entre las veinte y las seis horas; y </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III. Mixta, la que comprenda períodos de tiempo de las jornadas diurna y nocturna, siempre que el período nocturno sea menor de tres horas y media, pues en caso contrario, se considerará como jornada nocturna.” </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ARTÍCULO 61</w:t>
      </w:r>
      <w:r w:rsidRPr="009F6905">
        <w:rPr>
          <w:rFonts w:ascii="Palatino Linotype" w:eastAsia="Palatino Linotype" w:hAnsi="Palatino Linotype" w:cs="Palatino Linotype"/>
          <w:i/>
          <w:iCs/>
          <w:sz w:val="22"/>
          <w:lang w:val="es-MX"/>
        </w:rPr>
        <w:t>. Cuando la naturaleza del trabajo así lo exija, la jornada se reducirá teniendo en cuenta el número de horas que pueda trabajar un individuo normal sin sufrir quebranto en su salud. </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ARTÍCULO 62.</w:t>
      </w:r>
      <w:r w:rsidRPr="009F6905">
        <w:rPr>
          <w:rFonts w:ascii="Palatino Linotype" w:eastAsia="Palatino Linotype" w:hAnsi="Palatino Linotype" w:cs="Palatino Linotype"/>
          <w:i/>
          <w:iCs/>
          <w:sz w:val="22"/>
          <w:lang w:val="es-MX"/>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ARTÍCULO 63</w:t>
      </w:r>
      <w:r w:rsidRPr="009F6905">
        <w:rPr>
          <w:rFonts w:ascii="Palatino Linotype" w:eastAsia="Palatino Linotype" w:hAnsi="Palatino Linotype" w:cs="Palatino Linotype"/>
          <w:i/>
          <w:iCs/>
          <w:sz w:val="22"/>
          <w:lang w:val="es-MX"/>
        </w:rPr>
        <w:t>.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 (Sic)</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CAPITULO V</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DEL SUELDO</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ARTÍCULO 71. El sueldo es la retribución que la institución pública debe pagar al servidor público por los servicios prestados.</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ARTÍCULO 72.- A trabajo igual, desempeñado en puesto, horario y condiciones de eficiencia, también iguales y sin distinción de sexo, corresponde sueldo igual, debiendo ser éste uniforme para cada uno de los puestos que ocupen los servidores públicos.</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lastRenderedPageBreak/>
        <w:t>ARTÍCULO 73. El pago del sueldo se efectuará preferentemente en el lugar donde los servidores públicos presten sus servicios dentro del horario normal de labores; su monto se podrá cubrir en moneda de curso legal, en cheques nominativos de fácil cobro o utilizando el sistema que brinde mayor oportunidad y seguridad en el pago a los servidores públicos de acuerdo a lo establecido en las condiciones generales de trabajo o de conformidad con el sindicato respectivo.</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ARTÍCULO 84.</w:t>
      </w:r>
      <w:r w:rsidRPr="009F6905">
        <w:rPr>
          <w:rFonts w:ascii="Palatino Linotype" w:eastAsia="Palatino Linotype" w:hAnsi="Palatino Linotype" w:cs="Palatino Linotype"/>
          <w:bCs/>
          <w:i/>
          <w:iCs/>
          <w:sz w:val="22"/>
          <w:lang w:val="es-MX"/>
        </w:rPr>
        <w:t xml:space="preserve">- </w:t>
      </w:r>
      <w:r w:rsidRPr="009F6905">
        <w:rPr>
          <w:rFonts w:ascii="Palatino Linotype" w:eastAsia="Palatino Linotype" w:hAnsi="Palatino Linotype" w:cs="Palatino Linotype"/>
          <w:i/>
          <w:iCs/>
          <w:sz w:val="22"/>
          <w:lang w:val="es-MX"/>
        </w:rPr>
        <w:t>Sólo podrán hacerse retenciones, descuentos o deducciones al sueldo de los servidores públicos por concepto de:</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w:t>
      </w:r>
      <w:r w:rsidRPr="009F6905">
        <w:rPr>
          <w:rFonts w:ascii="Palatino Linotype" w:eastAsia="Palatino Linotype" w:hAnsi="Palatino Linotype" w:cs="Palatino Linotype"/>
          <w:i/>
          <w:iCs/>
          <w:sz w:val="22"/>
          <w:lang w:val="es-MX"/>
        </w:rPr>
        <w:t>)</w:t>
      </w:r>
    </w:p>
    <w:p w:rsidR="009F6905" w:rsidRPr="009F6905" w:rsidRDefault="009F6905" w:rsidP="009F6905">
      <w:pPr>
        <w:spacing w:line="276" w:lineRule="auto"/>
        <w:ind w:left="567" w:right="1041"/>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VII. Faltas de puntualidad o de asistencia injustificadas;</w:t>
      </w:r>
    </w:p>
    <w:p w:rsidR="009F6905" w:rsidRPr="009F6905" w:rsidRDefault="009F6905" w:rsidP="009F6905">
      <w:pPr>
        <w:spacing w:line="276" w:lineRule="auto"/>
        <w:jc w:val="both"/>
        <w:rPr>
          <w:rFonts w:ascii="Palatino Linotype" w:eastAsia="Palatino Linotype" w:hAnsi="Palatino Linotype" w:cs="Palatino Linotype"/>
          <w:sz w:val="22"/>
          <w:lang w:val="es-MX"/>
        </w:rPr>
      </w:pPr>
    </w:p>
    <w:p w:rsidR="009F6905" w:rsidRPr="009F6905" w:rsidRDefault="009F6905" w:rsidP="009F6905">
      <w:pPr>
        <w:spacing w:line="360" w:lineRule="auto"/>
        <w:jc w:val="both"/>
        <w:rPr>
          <w:rFonts w:ascii="Palatino Linotype" w:eastAsia="Palatino Linotype" w:hAnsi="Palatino Linotype" w:cs="Palatino Linotype"/>
          <w:lang w:val="es-MX"/>
        </w:rPr>
      </w:pPr>
      <w:r w:rsidRPr="009F6905">
        <w:rPr>
          <w:rFonts w:ascii="Palatino Linotype" w:eastAsia="Palatino Linotype" w:hAnsi="Palatino Linotype" w:cs="Palatino Linotype"/>
          <w:lang w:val="es-MX"/>
        </w:rPr>
        <w:t>De lo precedente, se establecen algunos supuestos para la duración de la jornada de trabajo, la cual deberá cumplir cabalmente el Servidor Público ya que se establece como una obligación en la Ley de Trabajo de los Servidores Públicos del Estado de México y Municipios, en su artículo 88, que literalmente indica:</w:t>
      </w:r>
    </w:p>
    <w:p w:rsidR="009F6905" w:rsidRPr="009F6905" w:rsidRDefault="009F6905" w:rsidP="009F6905">
      <w:pPr>
        <w:spacing w:line="360" w:lineRule="auto"/>
        <w:jc w:val="both"/>
        <w:rPr>
          <w:rFonts w:ascii="Palatino Linotype" w:eastAsia="Palatino Linotype" w:hAnsi="Palatino Linotype" w:cs="Palatino Linotype"/>
          <w:b/>
          <w:lang w:val="es-MX"/>
        </w:rPr>
      </w:pPr>
    </w:p>
    <w:p w:rsidR="009F6905" w:rsidRPr="009F6905" w:rsidRDefault="009F6905" w:rsidP="009F6905">
      <w:pPr>
        <w:spacing w:line="276" w:lineRule="auto"/>
        <w:ind w:left="567"/>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“ARTÍCULO 88</w:t>
      </w:r>
      <w:r w:rsidRPr="009F6905">
        <w:rPr>
          <w:rFonts w:ascii="Palatino Linotype" w:eastAsia="Palatino Linotype" w:hAnsi="Palatino Linotype" w:cs="Palatino Linotype"/>
          <w:i/>
          <w:iCs/>
          <w:sz w:val="22"/>
          <w:lang w:val="es-MX"/>
        </w:rPr>
        <w:t>. Son obligaciones de los servidores públicos:</w:t>
      </w:r>
    </w:p>
    <w:p w:rsidR="009F6905" w:rsidRPr="009F6905" w:rsidRDefault="009F6905" w:rsidP="009F6905">
      <w:pPr>
        <w:spacing w:line="276" w:lineRule="auto"/>
        <w:ind w:left="567"/>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VI. Cumplir con las obligaciones que señalan las condiciones generales de trabajo” (Sic)</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CAPITULO IX</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DE LA RESCISION DE LA RELACION LABORAL</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ARTÍCULO 93.- Son causas de rescisión de la relación laboral, sin responsabilidad para las instituciones públicas:</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u w:val="single"/>
          <w:lang w:val="es-MX"/>
        </w:rPr>
        <w:lastRenderedPageBreak/>
        <w:t>IV. Incurrir en cuatro o más faltas de asistencia a sus labores sin causa justificada, dentro de un lapso de treinta días;</w:t>
      </w:r>
    </w:p>
    <w:p w:rsidR="009F6905" w:rsidRPr="009F6905" w:rsidRDefault="009F6905" w:rsidP="009F6905">
      <w:pPr>
        <w:spacing w:line="360" w:lineRule="auto"/>
        <w:jc w:val="both"/>
        <w:rPr>
          <w:rFonts w:ascii="Palatino Linotype" w:eastAsia="Palatino Linotype" w:hAnsi="Palatino Linotype" w:cs="Palatino Linotype"/>
          <w:b/>
          <w:lang w:val="es-MX"/>
        </w:rPr>
      </w:pPr>
    </w:p>
    <w:p w:rsidR="009F6905" w:rsidRPr="009F6905" w:rsidRDefault="009F6905" w:rsidP="009F6905">
      <w:pPr>
        <w:spacing w:line="360" w:lineRule="auto"/>
        <w:jc w:val="both"/>
        <w:rPr>
          <w:rFonts w:ascii="Palatino Linotype" w:eastAsia="Palatino Linotype" w:hAnsi="Palatino Linotype" w:cs="Palatino Linotype"/>
          <w:lang w:val="es-MX"/>
        </w:rPr>
      </w:pPr>
      <w:r w:rsidRPr="009F6905">
        <w:rPr>
          <w:rFonts w:ascii="Palatino Linotype" w:eastAsia="Palatino Linotype" w:hAnsi="Palatino Linotype" w:cs="Palatino Linotype"/>
          <w:lang w:val="es-MX"/>
        </w:rPr>
        <w:t>Es decir, que el Servidor Público tiene la obligación de cumplir con la jornada de trabajo estipulada en su nombramiento, contrato o formato único de movimiento de personal; en caso contrario, será motivo de rescisión de la relación laboral. </w:t>
      </w:r>
    </w:p>
    <w:p w:rsidR="009F6905" w:rsidRPr="009F6905" w:rsidRDefault="009F6905" w:rsidP="009F6905">
      <w:pPr>
        <w:spacing w:line="360" w:lineRule="auto"/>
        <w:jc w:val="both"/>
        <w:rPr>
          <w:rFonts w:ascii="Palatino Linotype" w:eastAsia="Palatino Linotype" w:hAnsi="Palatino Linotype" w:cs="Palatino Linotype"/>
          <w:lang w:val="es-MX"/>
        </w:rPr>
      </w:pPr>
    </w:p>
    <w:p w:rsidR="009F6905" w:rsidRPr="009F6905" w:rsidRDefault="009F6905" w:rsidP="009F6905">
      <w:pPr>
        <w:spacing w:line="360" w:lineRule="auto"/>
        <w:jc w:val="both"/>
        <w:rPr>
          <w:rFonts w:ascii="Palatino Linotype" w:eastAsia="Palatino Linotype" w:hAnsi="Palatino Linotype" w:cs="Palatino Linotype"/>
          <w:lang w:val="es-MX"/>
        </w:rPr>
      </w:pPr>
      <w:r w:rsidRPr="009F6905">
        <w:rPr>
          <w:rFonts w:ascii="Palatino Linotype" w:eastAsia="Palatino Linotype" w:hAnsi="Palatino Linotype" w:cs="Palatino Linotype"/>
          <w:lang w:val="es-MX"/>
        </w:rPr>
        <w:t>Ahora bien, para comprobar el cumplimiento de la jornada de trabajo del Servidor Público el patrón, jefe o superior jerárquico, debe establecer un control de asistencias para sus servidores públicos, como así se lo establece el artículo 220-K de la repetitiva Ley de Trabajo, que de manera literal señala:</w:t>
      </w:r>
    </w:p>
    <w:p w:rsidR="009F6905" w:rsidRPr="009F6905" w:rsidRDefault="009F6905" w:rsidP="009F6905">
      <w:pPr>
        <w:spacing w:line="360" w:lineRule="auto"/>
        <w:jc w:val="both"/>
        <w:rPr>
          <w:rFonts w:ascii="Palatino Linotype" w:eastAsia="Palatino Linotype" w:hAnsi="Palatino Linotype" w:cs="Palatino Linotype"/>
          <w:b/>
          <w:lang w:val="es-MX"/>
        </w:rPr>
      </w:pP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“ARTÍCULO 220 K.-</w:t>
      </w:r>
      <w:r w:rsidRPr="009F6905">
        <w:rPr>
          <w:rFonts w:ascii="Palatino Linotype" w:eastAsia="Palatino Linotype" w:hAnsi="Palatino Linotype" w:cs="Palatino Linotype"/>
          <w:i/>
          <w:iCs/>
          <w:sz w:val="22"/>
          <w:lang w:val="es-MX"/>
        </w:rPr>
        <w:t xml:space="preserve"> La institución o dependencia pública tiene la obligación de conservar y exhibir en el proceso los documentos que a continuación se precisan:</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w:t>
      </w:r>
    </w:p>
    <w:p w:rsidR="009F6905" w:rsidRPr="00847483" w:rsidRDefault="009F6905" w:rsidP="009F6905">
      <w:pPr>
        <w:spacing w:line="276" w:lineRule="auto"/>
        <w:ind w:left="567" w:right="900"/>
        <w:jc w:val="both"/>
        <w:rPr>
          <w:rFonts w:ascii="Palatino Linotype" w:eastAsia="Palatino Linotype" w:hAnsi="Palatino Linotype" w:cs="Palatino Linotype"/>
          <w:b/>
          <w:sz w:val="22"/>
          <w:u w:val="single"/>
          <w:lang w:val="es-MX"/>
        </w:rPr>
      </w:pPr>
      <w:r w:rsidRPr="009F6905">
        <w:rPr>
          <w:rFonts w:ascii="Palatino Linotype" w:eastAsia="Palatino Linotype" w:hAnsi="Palatino Linotype" w:cs="Palatino Linotype"/>
          <w:bCs/>
          <w:i/>
          <w:iCs/>
          <w:sz w:val="22"/>
          <w:lang w:val="es-MX"/>
        </w:rPr>
        <w:t xml:space="preserve">III. </w:t>
      </w:r>
      <w:r w:rsidRPr="00847483">
        <w:rPr>
          <w:rFonts w:ascii="Palatino Linotype" w:eastAsia="Palatino Linotype" w:hAnsi="Palatino Linotype" w:cs="Palatino Linotype"/>
          <w:b/>
          <w:bCs/>
          <w:i/>
          <w:iCs/>
          <w:sz w:val="22"/>
          <w:u w:val="single"/>
          <w:lang w:val="es-MX"/>
        </w:rPr>
        <w:t>Controles de asistencia o la información magnética o electrónica de asistencia de los servidores públicos;</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i/>
          <w:iCs/>
          <w:sz w:val="22"/>
          <w:lang w:val="es-MX"/>
        </w:rPr>
        <w:t>…</w:t>
      </w:r>
    </w:p>
    <w:p w:rsidR="009F6905" w:rsidRPr="009F6905" w:rsidRDefault="009F6905" w:rsidP="009F6905">
      <w:pPr>
        <w:spacing w:line="276" w:lineRule="auto"/>
        <w:ind w:left="567" w:right="900"/>
        <w:jc w:val="both"/>
        <w:rPr>
          <w:rFonts w:ascii="Palatino Linotype" w:eastAsia="Palatino Linotype" w:hAnsi="Palatino Linotype" w:cs="Palatino Linotype"/>
          <w:sz w:val="22"/>
          <w:lang w:val="es-MX"/>
        </w:rPr>
      </w:pPr>
      <w:r w:rsidRPr="009F6905">
        <w:rPr>
          <w:rFonts w:ascii="Palatino Linotype" w:eastAsia="Palatino Linotype" w:hAnsi="Palatino Linotype" w:cs="Palatino Linotype"/>
          <w:bCs/>
          <w:i/>
          <w:iCs/>
          <w:sz w:val="22"/>
          <w:lang w:val="es-MX"/>
        </w:rPr>
        <w:t>Los documentos señalados</w:t>
      </w:r>
      <w:r w:rsidRPr="009F6905">
        <w:rPr>
          <w:rFonts w:ascii="Palatino Linotype" w:eastAsia="Palatino Linotype" w:hAnsi="Palatino Linotype" w:cs="Palatino Linotype"/>
          <w:i/>
          <w:iCs/>
          <w:sz w:val="22"/>
          <w:lang w:val="es-MX"/>
        </w:rPr>
        <w:t xml:space="preserve"> en la fracción I de este artículo, </w:t>
      </w:r>
      <w:r w:rsidRPr="009F6905">
        <w:rPr>
          <w:rFonts w:ascii="Palatino Linotype" w:eastAsia="Palatino Linotype" w:hAnsi="Palatino Linotype" w:cs="Palatino Linotype"/>
          <w:bCs/>
          <w:i/>
          <w:iCs/>
          <w:sz w:val="22"/>
          <w:lang w:val="es-MX"/>
        </w:rPr>
        <w:t>deberán conservarse</w:t>
      </w:r>
      <w:r w:rsidRPr="009F6905">
        <w:rPr>
          <w:rFonts w:ascii="Palatino Linotype" w:eastAsia="Palatino Linotype" w:hAnsi="Palatino Linotype" w:cs="Palatino Linotype"/>
          <w:i/>
          <w:iCs/>
          <w:sz w:val="22"/>
          <w:lang w:val="es-MX"/>
        </w:rPr>
        <w:t xml:space="preserve"> mientras dure la relación laboral y hasta un año después; </w:t>
      </w:r>
      <w:r w:rsidRPr="009F6905">
        <w:rPr>
          <w:rFonts w:ascii="Palatino Linotype" w:eastAsia="Palatino Linotype" w:hAnsi="Palatino Linotype" w:cs="Palatino Linotype"/>
          <w:bCs/>
          <w:i/>
          <w:iCs/>
          <w:sz w:val="22"/>
          <w:lang w:val="es-MX"/>
        </w:rPr>
        <w:t>los señalados por las fracciones</w:t>
      </w:r>
      <w:r w:rsidRPr="009F6905">
        <w:rPr>
          <w:rFonts w:ascii="Palatino Linotype" w:eastAsia="Palatino Linotype" w:hAnsi="Palatino Linotype" w:cs="Palatino Linotype"/>
          <w:i/>
          <w:iCs/>
          <w:sz w:val="22"/>
          <w:lang w:val="es-MX"/>
        </w:rPr>
        <w:t xml:space="preserve"> II, </w:t>
      </w:r>
      <w:r w:rsidRPr="009F6905">
        <w:rPr>
          <w:rFonts w:ascii="Palatino Linotype" w:eastAsia="Palatino Linotype" w:hAnsi="Palatino Linotype" w:cs="Palatino Linotype"/>
          <w:bCs/>
          <w:i/>
          <w:iCs/>
          <w:sz w:val="22"/>
          <w:lang w:val="es-MX"/>
        </w:rPr>
        <w:t>III,</w:t>
      </w:r>
      <w:r w:rsidRPr="009F6905">
        <w:rPr>
          <w:rFonts w:ascii="Palatino Linotype" w:eastAsia="Palatino Linotype" w:hAnsi="Palatino Linotype" w:cs="Palatino Linotype"/>
          <w:i/>
          <w:iCs/>
          <w:sz w:val="22"/>
          <w:lang w:val="es-MX"/>
        </w:rPr>
        <w:t xml:space="preserve"> IV </w:t>
      </w:r>
      <w:r w:rsidRPr="009F6905">
        <w:rPr>
          <w:rFonts w:ascii="Palatino Linotype" w:eastAsia="Palatino Linotype" w:hAnsi="Palatino Linotype" w:cs="Palatino Linotype"/>
          <w:bCs/>
          <w:i/>
          <w:iCs/>
          <w:sz w:val="22"/>
          <w:lang w:val="es-MX"/>
        </w:rPr>
        <w:t>durante el último año y un año después de que se extinga la relación laboral</w:t>
      </w:r>
      <w:r w:rsidRPr="009F6905">
        <w:rPr>
          <w:rFonts w:ascii="Palatino Linotype" w:eastAsia="Palatino Linotype" w:hAnsi="Palatino Linotype" w:cs="Palatino Linotype"/>
          <w:i/>
          <w:iCs/>
          <w:sz w:val="22"/>
          <w:lang w:val="es-MX"/>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C80777" w:rsidRPr="00C80777" w:rsidRDefault="00C80777" w:rsidP="007D5748">
      <w:pPr>
        <w:spacing w:line="360" w:lineRule="auto"/>
        <w:jc w:val="both"/>
        <w:rPr>
          <w:rFonts w:ascii="Palatino Linotype" w:eastAsia="Palatino Linotype" w:hAnsi="Palatino Linotype" w:cs="Palatino Linotype"/>
          <w:b/>
        </w:rPr>
      </w:pPr>
    </w:p>
    <w:p w:rsidR="009F6905" w:rsidRPr="009F6905" w:rsidRDefault="009F6905" w:rsidP="009F6905">
      <w:pPr>
        <w:spacing w:line="360" w:lineRule="auto"/>
        <w:jc w:val="both"/>
        <w:rPr>
          <w:rFonts w:ascii="Palatino Linotype" w:eastAsia="Palatino Linotype" w:hAnsi="Palatino Linotype" w:cs="Palatino Linotype"/>
          <w:lang w:val="es-MX"/>
        </w:rPr>
      </w:pPr>
      <w:r w:rsidRPr="009F6905">
        <w:rPr>
          <w:rFonts w:ascii="Palatino Linotype" w:eastAsia="Palatino Linotype" w:hAnsi="Palatino Linotype" w:cs="Palatino Linotype"/>
          <w:lang w:val="es-MX"/>
        </w:rPr>
        <w:lastRenderedPageBreak/>
        <w:t>A mayor abundamiento, cabe señalar que las listas de asistencias están vinculadas con el pago de remuneraciones pues la jornada de trabajo es el tiempo durante el cual el Servidor Pública está a disposición de la institución pública para prestar sus servicios.  Y en este sentido el horario de trabajo será determinado conforme a las necesidades del servicio de la institución pública o dependencia, de acuerdo a lo estipulado en las condiciones generales de trabajo sin que exceda los máximos legales , por lo que en función de la disposición del servidor público  a la institución,  es  que  se realiza el pago de remuneraciones lo que  implica un gasto con recursos públicos que obviamente justifica su publicidad, por las siguientes razones: Primero, se trata de uno de los temas fundacionales del régimen de transparencia: el dinero público. En el caso en comento, del dinero público asignado y gastado. Segundo, no hay tema más atractivo en el marco del acceso a la información que el de conocer el uso y destino de los recursos financieros o dinerarios públicos administrados por los Sujetos Obligados. Es una de las razones primordiales de que exista el régimen de transparencia y del derecho de acceso a la información.</w:t>
      </w:r>
    </w:p>
    <w:p w:rsidR="009F6905" w:rsidRDefault="009F6905" w:rsidP="009F6905">
      <w:pPr>
        <w:spacing w:line="360" w:lineRule="auto"/>
        <w:jc w:val="both"/>
        <w:rPr>
          <w:rFonts w:ascii="Palatino Linotype" w:eastAsia="Palatino Linotype" w:hAnsi="Palatino Linotype" w:cs="Palatino Linotype"/>
          <w:i/>
          <w:iCs/>
          <w:lang w:val="es-MX"/>
        </w:rPr>
      </w:pPr>
      <w:r w:rsidRPr="009F6905">
        <w:rPr>
          <w:rFonts w:ascii="Palatino Linotype" w:eastAsia="Palatino Linotype" w:hAnsi="Palatino Linotype" w:cs="Palatino Linotype"/>
          <w:lang w:val="es-MX"/>
        </w:rPr>
        <w:t xml:space="preserve">La publicidad de información además sin duda se justifica ya que los sistemas los sistemas de administración o de control de personal son herramientas útiles para que la consecución de los objetivos, obligaciones y metas institucionales. De ahí resulta importante que todo servidor sea, al mismo tiempo, parte viva o actuante para la observancia de la puntualidad, asistencia, permanencia, productividad con calidad y de responsabilidad social de cara a un futuro de más y nuevas oportunidades de realización personal, social, familiar y laboral. En suma, el cumplimiento, o no, de la asistencia laboral, se refleja en los propósitos de conseguir </w:t>
      </w:r>
      <w:r w:rsidRPr="009F6905">
        <w:rPr>
          <w:rFonts w:ascii="Palatino Linotype" w:eastAsia="Palatino Linotype" w:hAnsi="Palatino Linotype" w:cs="Palatino Linotype"/>
          <w:lang w:val="es-MX"/>
        </w:rPr>
        <w:lastRenderedPageBreak/>
        <w:t>un mejor y mayor desempeño o rendimiento contraen responsabilidades, algunas de las cuales obligan a sancionar con el fin de encarar y eliminar las inconductas laborales que se puedan manifestar, asentar y debilitar a la institución municipal. Definitivamente, las conductas que son relevantes por su laboriosidad, dedicación mostrada, el esfuerzo conseguido o el cumplimiento oportuno de deberes, sin duda, ameritan, responsablemente, reconocer, estimular y resaltar como contribución tendiente al engrandecimiento institucional y la buena práctica de puntualidad y responsabilidad con la ciudadanía</w:t>
      </w:r>
      <w:r w:rsidRPr="009F6905">
        <w:rPr>
          <w:rFonts w:ascii="Palatino Linotype" w:eastAsia="Palatino Linotype" w:hAnsi="Palatino Linotype" w:cs="Palatino Linotype"/>
          <w:i/>
          <w:iCs/>
          <w:lang w:val="es-MX"/>
        </w:rPr>
        <w:t>.</w:t>
      </w:r>
    </w:p>
    <w:p w:rsidR="009F6905" w:rsidRDefault="009F6905" w:rsidP="009F6905">
      <w:pPr>
        <w:spacing w:line="360" w:lineRule="auto"/>
        <w:jc w:val="both"/>
        <w:rPr>
          <w:rFonts w:ascii="Palatino Linotype" w:eastAsia="Palatino Linotype" w:hAnsi="Palatino Linotype" w:cs="Palatino Linotype"/>
          <w:i/>
          <w:iCs/>
          <w:lang w:val="es-MX"/>
        </w:rPr>
      </w:pPr>
    </w:p>
    <w:p w:rsidR="009F6905" w:rsidRPr="009F6905" w:rsidRDefault="009F6905" w:rsidP="007D5748">
      <w:pPr>
        <w:spacing w:line="360" w:lineRule="auto"/>
        <w:jc w:val="both"/>
        <w:rPr>
          <w:rFonts w:ascii="Palatino Linotype" w:eastAsia="Palatino Linotype" w:hAnsi="Palatino Linotype" w:cs="Palatino Linotype"/>
          <w:b/>
        </w:rPr>
      </w:pPr>
      <w:r w:rsidRPr="009F6905">
        <w:rPr>
          <w:rFonts w:ascii="Palatino Linotype" w:eastAsia="Palatino Linotype" w:hAnsi="Palatino Linotype" w:cs="Palatino Linotype"/>
          <w:b/>
        </w:rPr>
        <w:t>Recibos</w:t>
      </w:r>
      <w:r w:rsidR="007D5748" w:rsidRPr="009F6905">
        <w:rPr>
          <w:rFonts w:ascii="Palatino Linotype" w:eastAsia="Palatino Linotype" w:hAnsi="Palatino Linotype" w:cs="Palatino Linotype"/>
          <w:b/>
        </w:rPr>
        <w:t xml:space="preserve"> de nómina de la</w:t>
      </w:r>
      <w:r w:rsidRPr="009F6905">
        <w:rPr>
          <w:rFonts w:ascii="Palatino Linotype" w:eastAsia="Palatino Linotype" w:hAnsi="Palatino Linotype" w:cs="Palatino Linotype"/>
          <w:b/>
        </w:rPr>
        <w:t xml:space="preserve"> primera quincena de marzo 2022</w:t>
      </w:r>
    </w:p>
    <w:p w:rsidR="009F6905" w:rsidRDefault="009F6905" w:rsidP="007D5748">
      <w:pPr>
        <w:spacing w:line="360" w:lineRule="auto"/>
        <w:jc w:val="both"/>
        <w:rPr>
          <w:rFonts w:ascii="Palatino Linotype" w:eastAsia="Palatino Linotype" w:hAnsi="Palatino Linotype" w:cs="Palatino Linotype"/>
        </w:rPr>
      </w:pPr>
    </w:p>
    <w:p w:rsidR="009F6905" w:rsidRPr="009F6905" w:rsidRDefault="009F6905" w:rsidP="009F6905">
      <w:pPr>
        <w:spacing w:line="360" w:lineRule="auto"/>
        <w:ind w:right="-91"/>
        <w:jc w:val="both"/>
        <w:rPr>
          <w:rFonts w:ascii="Palatino Linotype" w:eastAsia="Palatino Linotype" w:hAnsi="Palatino Linotype" w:cs="Palatino Linotype"/>
          <w:sz w:val="22"/>
          <w:szCs w:val="22"/>
          <w:lang w:val="es-MX" w:eastAsia="es-ES"/>
        </w:rPr>
      </w:pPr>
      <w:r w:rsidRPr="009F6905">
        <w:rPr>
          <w:rFonts w:ascii="Palatino Linotype" w:eastAsia="Palatino Linotype" w:hAnsi="Palatino Linotype" w:cs="Palatino Linotype"/>
          <w:lang w:val="es-MX" w:eastAsia="es-ES"/>
        </w:rPr>
        <w:t xml:space="preserve">No pasa desapercibido para este organismo garante que de igual forma el particular, requiere </w:t>
      </w:r>
      <w:r>
        <w:rPr>
          <w:rFonts w:ascii="Palatino Linotype" w:eastAsia="Palatino Linotype" w:hAnsi="Palatino Linotype" w:cs="Palatino Linotype"/>
          <w:color w:val="000000"/>
          <w:lang w:val="es-MX" w:eastAsia="es-ES"/>
        </w:rPr>
        <w:t xml:space="preserve">los </w:t>
      </w:r>
      <w:r w:rsidRPr="009F6905">
        <w:rPr>
          <w:rFonts w:ascii="Palatino Linotype" w:eastAsia="Palatino Linotype" w:hAnsi="Palatino Linotype" w:cs="Palatino Linotype"/>
          <w:color w:val="000000"/>
          <w:u w:val="single"/>
          <w:lang w:val="es-MX" w:eastAsia="es-ES"/>
        </w:rPr>
        <w:t>recibo</w:t>
      </w:r>
      <w:r>
        <w:rPr>
          <w:rFonts w:ascii="Palatino Linotype" w:eastAsia="Palatino Linotype" w:hAnsi="Palatino Linotype" w:cs="Palatino Linotype"/>
          <w:color w:val="000000"/>
          <w:u w:val="single"/>
          <w:lang w:val="es-MX" w:eastAsia="es-ES"/>
        </w:rPr>
        <w:t xml:space="preserve">s de nómina </w:t>
      </w:r>
      <w:r>
        <w:rPr>
          <w:rFonts w:ascii="Palatino Linotype" w:eastAsia="Palatino Linotype" w:hAnsi="Palatino Linotype" w:cs="Palatino Linotype"/>
          <w:lang w:val="es-MX" w:eastAsia="es-ES"/>
        </w:rPr>
        <w:t>de los servidores públicos adscritos a la oficina de presidencia y secretaría particular</w:t>
      </w:r>
      <w:r w:rsidRPr="009F6905">
        <w:rPr>
          <w:rFonts w:ascii="Palatino Linotype" w:eastAsia="Palatino Linotype" w:hAnsi="Palatino Linotype" w:cs="Palatino Linotype"/>
          <w:lang w:val="es-MX" w:eastAsia="es-ES"/>
        </w:rPr>
        <w:t>, mismo</w:t>
      </w:r>
      <w:r>
        <w:rPr>
          <w:rFonts w:ascii="Palatino Linotype" w:eastAsia="Palatino Linotype" w:hAnsi="Palatino Linotype" w:cs="Palatino Linotype"/>
          <w:lang w:val="es-MX" w:eastAsia="es-ES"/>
        </w:rPr>
        <w:t>s</w:t>
      </w:r>
      <w:r w:rsidRPr="009F6905">
        <w:rPr>
          <w:rFonts w:ascii="Palatino Linotype" w:eastAsia="Palatino Linotype" w:hAnsi="Palatino Linotype" w:cs="Palatino Linotype"/>
          <w:lang w:val="es-MX" w:eastAsia="es-ES"/>
        </w:rPr>
        <w:t xml:space="preserve"> que </w:t>
      </w:r>
      <w:r w:rsidR="00077DBE">
        <w:rPr>
          <w:rFonts w:ascii="Palatino Linotype" w:eastAsia="Palatino Linotype" w:hAnsi="Palatino Linotype" w:cs="Palatino Linotype"/>
          <w:lang w:val="es-MX" w:eastAsia="es-ES"/>
        </w:rPr>
        <w:t xml:space="preserve"> forman parte d</w:t>
      </w:r>
      <w:r w:rsidRPr="009F6905">
        <w:rPr>
          <w:rFonts w:ascii="Palatino Linotype" w:eastAsia="Palatino Linotype" w:hAnsi="Palatino Linotype" w:cs="Palatino Linotype"/>
          <w:lang w:val="es-MX" w:eastAsia="es-ES"/>
        </w:rPr>
        <w:t>el Módulo 4, ya que corresponde a los comprobantes fiscales digitales por internet por concepto de nómina.</w:t>
      </w:r>
    </w:p>
    <w:p w:rsidR="009F6905" w:rsidRPr="009F6905" w:rsidRDefault="009F6905" w:rsidP="009F6905">
      <w:pPr>
        <w:spacing w:after="160" w:line="360" w:lineRule="auto"/>
        <w:jc w:val="both"/>
        <w:rPr>
          <w:rFonts w:ascii="Calibri" w:eastAsia="Calibri" w:hAnsi="Calibri" w:cs="Calibri"/>
          <w:sz w:val="22"/>
          <w:szCs w:val="22"/>
          <w:lang w:val="es-MX" w:eastAsia="es-ES"/>
        </w:rPr>
      </w:pPr>
    </w:p>
    <w:p w:rsidR="009F6905" w:rsidRPr="009F6905" w:rsidRDefault="009F6905" w:rsidP="009F6905">
      <w:pPr>
        <w:spacing w:after="160" w:line="360" w:lineRule="auto"/>
        <w:jc w:val="both"/>
        <w:rPr>
          <w:rFonts w:ascii="Calibri" w:eastAsia="Calibri" w:hAnsi="Calibri" w:cs="Calibri"/>
          <w:sz w:val="22"/>
          <w:szCs w:val="22"/>
          <w:lang w:val="es-MX" w:eastAsia="es-ES"/>
        </w:rPr>
      </w:pPr>
      <w:r w:rsidRPr="009F6905">
        <w:rPr>
          <w:rFonts w:ascii="Calibri" w:eastAsia="Calibri" w:hAnsi="Calibri" w:cs="Calibri"/>
          <w:noProof/>
          <w:sz w:val="22"/>
          <w:szCs w:val="22"/>
          <w:lang w:val="es-MX"/>
        </w:rPr>
        <w:lastRenderedPageBreak/>
        <w:drawing>
          <wp:inline distT="0" distB="0" distL="0" distR="0" wp14:anchorId="26ABBDC7" wp14:editId="259C5223">
            <wp:extent cx="5020357" cy="33151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32361" t="20325" r="3937" b="4205"/>
                    <a:stretch>
                      <a:fillRect/>
                    </a:stretch>
                  </pic:blipFill>
                  <pic:spPr>
                    <a:xfrm>
                      <a:off x="0" y="0"/>
                      <a:ext cx="5020357" cy="3315150"/>
                    </a:xfrm>
                    <a:prstGeom prst="rect">
                      <a:avLst/>
                    </a:prstGeom>
                    <a:ln/>
                  </pic:spPr>
                </pic:pic>
              </a:graphicData>
            </a:graphic>
          </wp:inline>
        </w:drawing>
      </w:r>
      <w:r w:rsidRPr="009F6905">
        <w:rPr>
          <w:noProof/>
          <w:lang w:val="es-MX"/>
        </w:rPr>
        <mc:AlternateContent>
          <mc:Choice Requires="wps">
            <w:drawing>
              <wp:anchor distT="0" distB="0" distL="114300" distR="114300" simplePos="0" relativeHeight="251661312" behindDoc="0" locked="0" layoutInCell="1" hidden="0" allowOverlap="1" wp14:anchorId="7907D031" wp14:editId="3BCAF2F1">
                <wp:simplePos x="0" y="0"/>
                <wp:positionH relativeFrom="column">
                  <wp:posOffset>1816100</wp:posOffset>
                </wp:positionH>
                <wp:positionV relativeFrom="paragraph">
                  <wp:posOffset>1422400</wp:posOffset>
                </wp:positionV>
                <wp:extent cx="942975" cy="552450"/>
                <wp:effectExtent l="0" t="0" r="0" b="0"/>
                <wp:wrapNone/>
                <wp:docPr id="71" name="Rectángulo 71"/>
                <wp:cNvGraphicFramePr/>
                <a:graphic xmlns:a="http://schemas.openxmlformats.org/drawingml/2006/main">
                  <a:graphicData uri="http://schemas.microsoft.com/office/word/2010/wordprocessingShape">
                    <wps:wsp>
                      <wps:cNvSpPr/>
                      <wps:spPr>
                        <a:xfrm>
                          <a:off x="4912613" y="3541875"/>
                          <a:ext cx="866775" cy="476250"/>
                        </a:xfrm>
                        <a:prstGeom prst="rect">
                          <a:avLst/>
                        </a:prstGeom>
                        <a:noFill/>
                        <a:ln w="38100" cap="flat" cmpd="sng">
                          <a:solidFill>
                            <a:srgbClr val="FF0000"/>
                          </a:solidFill>
                          <a:prstDash val="solid"/>
                          <a:miter lim="800000"/>
                          <a:headEnd type="none" w="sm" len="sm"/>
                          <a:tailEnd type="none" w="sm" len="sm"/>
                        </a:ln>
                      </wps:spPr>
                      <wps:txbx>
                        <w:txbxContent>
                          <w:p w:rsidR="002528F2" w:rsidRDefault="002528F2" w:rsidP="009F6905">
                            <w:pPr>
                              <w:textDirection w:val="btLr"/>
                            </w:pPr>
                          </w:p>
                        </w:txbxContent>
                      </wps:txbx>
                      <wps:bodyPr spcFirstLastPara="1" wrap="square" lIns="91425" tIns="91425" rIns="91425" bIns="91425" anchor="ctr" anchorCtr="0">
                        <a:noAutofit/>
                      </wps:bodyPr>
                    </wps:wsp>
                  </a:graphicData>
                </a:graphic>
              </wp:anchor>
            </w:drawing>
          </mc:Choice>
          <mc:Fallback>
            <w:pict>
              <v:rect w14:anchorId="7907D031" id="Rectángulo 71" o:spid="_x0000_s1028" style="position:absolute;left:0;text-align:left;margin-left:143pt;margin-top:112pt;width:74.25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" filled="f" strokecolor="red" strokeweight="3pt">
                <v:stroke startarrowwidth="narrow" startarrowlength="short" endarrowwidth="narrow" endarrowlength="short"/>
                <v:textbox inset="2.53958mm,2.53958mm,2.53958mm,2.53958mm">
                  <w:txbxContent>
                    <w:p w:rsidR="002528F2" w:rsidRDefault="002528F2" w:rsidP="009F6905">
                      <w:pPr>
                        <w:textDirection w:val="btLr"/>
                      </w:pPr>
                    </w:p>
                  </w:txbxContent>
                </v:textbox>
              </v:rect>
            </w:pict>
          </mc:Fallback>
        </mc:AlternateContent>
      </w:r>
    </w:p>
    <w:p w:rsidR="009F6905" w:rsidRPr="009F6905" w:rsidRDefault="009F6905" w:rsidP="009F6905">
      <w:pPr>
        <w:spacing w:after="160" w:line="360" w:lineRule="auto"/>
        <w:jc w:val="both"/>
        <w:rPr>
          <w:rFonts w:ascii="Calibri" w:eastAsia="Calibri" w:hAnsi="Calibri" w:cs="Calibri"/>
          <w:sz w:val="22"/>
          <w:szCs w:val="22"/>
          <w:lang w:val="es-MX" w:eastAsia="es-ES"/>
        </w:rPr>
      </w:pPr>
    </w:p>
    <w:p w:rsidR="009F6905" w:rsidRPr="009F6905" w:rsidRDefault="009F6905" w:rsidP="009F6905">
      <w:pPr>
        <w:spacing w:after="160" w:line="360" w:lineRule="auto"/>
        <w:jc w:val="both"/>
        <w:rPr>
          <w:rFonts w:ascii="Calibri" w:eastAsia="Calibri" w:hAnsi="Calibri" w:cs="Calibri"/>
          <w:sz w:val="22"/>
          <w:szCs w:val="22"/>
          <w:lang w:val="es-MX" w:eastAsia="es-ES"/>
        </w:rPr>
      </w:pPr>
    </w:p>
    <w:p w:rsidR="009F6905" w:rsidRPr="009F6905" w:rsidRDefault="009F6905" w:rsidP="009F6905">
      <w:pPr>
        <w:spacing w:after="160" w:line="360" w:lineRule="auto"/>
        <w:jc w:val="both"/>
        <w:rPr>
          <w:rFonts w:ascii="Calibri" w:eastAsia="Calibri" w:hAnsi="Calibri" w:cs="Calibri"/>
          <w:sz w:val="22"/>
          <w:szCs w:val="22"/>
          <w:lang w:val="es-MX" w:eastAsia="es-ES"/>
        </w:rPr>
      </w:pPr>
      <w:r w:rsidRPr="009F6905">
        <w:rPr>
          <w:rFonts w:ascii="Calibri" w:eastAsia="Calibri" w:hAnsi="Calibri" w:cs="Calibri"/>
          <w:noProof/>
          <w:sz w:val="22"/>
          <w:szCs w:val="22"/>
          <w:lang w:val="es-MX"/>
        </w:rPr>
        <w:drawing>
          <wp:inline distT="0" distB="0" distL="0" distR="0" wp14:anchorId="73D6ED3A" wp14:editId="1757B692">
            <wp:extent cx="5191125" cy="29146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36206" t="14489" r="18081"/>
                    <a:stretch>
                      <a:fillRect/>
                    </a:stretch>
                  </pic:blipFill>
                  <pic:spPr>
                    <a:xfrm>
                      <a:off x="0" y="0"/>
                      <a:ext cx="5191125" cy="2914650"/>
                    </a:xfrm>
                    <a:prstGeom prst="rect">
                      <a:avLst/>
                    </a:prstGeom>
                    <a:ln/>
                  </pic:spPr>
                </pic:pic>
              </a:graphicData>
            </a:graphic>
          </wp:inline>
        </w:drawing>
      </w:r>
    </w:p>
    <w:p w:rsidR="009F6905" w:rsidRPr="009F6905" w:rsidRDefault="009F6905" w:rsidP="009F6905">
      <w:pPr>
        <w:spacing w:after="160" w:line="360" w:lineRule="auto"/>
        <w:jc w:val="both"/>
        <w:rPr>
          <w:rFonts w:ascii="Calibri" w:eastAsia="Calibri" w:hAnsi="Calibri" w:cs="Calibri"/>
          <w:sz w:val="22"/>
          <w:szCs w:val="22"/>
          <w:lang w:val="es-MX" w:eastAsia="es-ES"/>
        </w:rPr>
      </w:pPr>
      <w:r w:rsidRPr="009F6905">
        <w:rPr>
          <w:rFonts w:ascii="Calibri" w:eastAsia="Calibri" w:hAnsi="Calibri" w:cs="Calibri"/>
          <w:noProof/>
          <w:sz w:val="22"/>
          <w:szCs w:val="22"/>
          <w:lang w:val="es-MX"/>
        </w:rPr>
        <w:lastRenderedPageBreak/>
        <w:drawing>
          <wp:inline distT="0" distB="0" distL="0" distR="0" wp14:anchorId="1B03B31E" wp14:editId="77FB4296">
            <wp:extent cx="5435600" cy="40703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37792" t="16704" r="16949" b="2191"/>
                    <a:stretch>
                      <a:fillRect/>
                    </a:stretch>
                  </pic:blipFill>
                  <pic:spPr>
                    <a:xfrm>
                      <a:off x="0" y="0"/>
                      <a:ext cx="5435600" cy="4070350"/>
                    </a:xfrm>
                    <a:prstGeom prst="rect">
                      <a:avLst/>
                    </a:prstGeom>
                    <a:ln/>
                  </pic:spPr>
                </pic:pic>
              </a:graphicData>
            </a:graphic>
          </wp:inline>
        </w:drawing>
      </w:r>
    </w:p>
    <w:p w:rsidR="009F6905" w:rsidRPr="009F6905" w:rsidRDefault="009F6905" w:rsidP="009F6905">
      <w:pPr>
        <w:spacing w:after="160" w:line="360" w:lineRule="auto"/>
        <w:jc w:val="both"/>
        <w:rPr>
          <w:rFonts w:ascii="Calibri" w:eastAsia="Calibri" w:hAnsi="Calibri" w:cs="Calibri"/>
          <w:sz w:val="22"/>
          <w:szCs w:val="22"/>
          <w:lang w:val="es-MX" w:eastAsia="es-ES"/>
        </w:rPr>
      </w:pPr>
      <w:r w:rsidRPr="009F6905">
        <w:rPr>
          <w:rFonts w:ascii="Calibri" w:eastAsia="Calibri" w:hAnsi="Calibri" w:cs="Calibri"/>
          <w:noProof/>
          <w:sz w:val="22"/>
          <w:szCs w:val="22"/>
          <w:lang w:val="es-MX"/>
        </w:rPr>
        <w:drawing>
          <wp:inline distT="0" distB="0" distL="0" distR="0" wp14:anchorId="7D3679A3" wp14:editId="2DE559E0">
            <wp:extent cx="5435600" cy="30734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43222" t="23949" r="22605" b="9436"/>
                    <a:stretch>
                      <a:fillRect/>
                    </a:stretch>
                  </pic:blipFill>
                  <pic:spPr>
                    <a:xfrm>
                      <a:off x="0" y="0"/>
                      <a:ext cx="5435600" cy="3073400"/>
                    </a:xfrm>
                    <a:prstGeom prst="rect">
                      <a:avLst/>
                    </a:prstGeom>
                    <a:ln/>
                  </pic:spPr>
                </pic:pic>
              </a:graphicData>
            </a:graphic>
          </wp:inline>
        </w:drawing>
      </w:r>
    </w:p>
    <w:p w:rsidR="009F6905" w:rsidRPr="009F6905" w:rsidRDefault="009F6905" w:rsidP="009F6905">
      <w:pPr>
        <w:spacing w:line="360" w:lineRule="auto"/>
        <w:jc w:val="both"/>
        <w:rPr>
          <w:rFonts w:ascii="Palatino Linotype" w:eastAsia="Palatino Linotype" w:hAnsi="Palatino Linotype" w:cs="Palatino Linotype"/>
          <w:lang w:val="es-MX" w:eastAsia="es-ES"/>
        </w:rPr>
      </w:pPr>
      <w:r w:rsidRPr="009F6905">
        <w:rPr>
          <w:rFonts w:ascii="Palatino Linotype" w:eastAsia="Palatino Linotype" w:hAnsi="Palatino Linotype" w:cs="Palatino Linotype"/>
          <w:lang w:val="es-MX" w:eastAsia="es-ES"/>
        </w:rPr>
        <w:lastRenderedPageBreak/>
        <w:t xml:space="preserve">En observancia a las imágenes anteriores, se acredita que el </w:t>
      </w:r>
      <w:r w:rsidRPr="009F6905">
        <w:rPr>
          <w:rFonts w:ascii="Palatino Linotype" w:eastAsia="Palatino Linotype" w:hAnsi="Palatino Linotype" w:cs="Palatino Linotype"/>
          <w:b/>
          <w:lang w:val="es-MX" w:eastAsia="es-ES"/>
        </w:rPr>
        <w:t>Sujeto Obligado</w:t>
      </w:r>
      <w:r w:rsidRPr="009F6905">
        <w:rPr>
          <w:rFonts w:ascii="Palatino Linotype" w:eastAsia="Palatino Linotype" w:hAnsi="Palatino Linotype" w:cs="Palatino Linotype"/>
          <w:lang w:val="es-MX" w:eastAsia="es-ES"/>
        </w:rPr>
        <w:t>, debió generar la información solicitada y remitirla al Órgano Superior de Fiscalización del Estado de México, para su respectiva revisión y fiscalización.</w:t>
      </w:r>
    </w:p>
    <w:p w:rsidR="009F6905" w:rsidRPr="009F6905" w:rsidRDefault="009F6905" w:rsidP="009F6905">
      <w:pPr>
        <w:spacing w:line="360" w:lineRule="auto"/>
        <w:jc w:val="both"/>
        <w:rPr>
          <w:rFonts w:ascii="Palatino Linotype" w:eastAsia="Palatino Linotype" w:hAnsi="Palatino Linotype" w:cs="Palatino Linotype"/>
          <w:lang w:val="es-MX" w:eastAsia="es-ES"/>
        </w:rPr>
      </w:pPr>
    </w:p>
    <w:p w:rsidR="009F6905" w:rsidRPr="009F6905" w:rsidRDefault="009F6905" w:rsidP="009F6905">
      <w:pPr>
        <w:spacing w:line="360" w:lineRule="auto"/>
        <w:ind w:right="51"/>
        <w:jc w:val="both"/>
        <w:rPr>
          <w:rFonts w:ascii="Palatino Linotype" w:eastAsia="Palatino Linotype" w:hAnsi="Palatino Linotype" w:cs="Palatino Linotype"/>
          <w:lang w:val="es-MX" w:eastAsia="es-ES"/>
        </w:rPr>
      </w:pPr>
      <w:r w:rsidRPr="009F6905">
        <w:rPr>
          <w:rFonts w:ascii="Palatino Linotype" w:eastAsia="Palatino Linotype" w:hAnsi="Palatino Linotype" w:cs="Palatino Linotype"/>
          <w:lang w:val="es-MX" w:eastAsia="es-ES"/>
        </w:rPr>
        <w:t xml:space="preserve">En resumen, la nómina y  los recibos de pago o de nómina, es el documento que de manera enunciativa mas no limitativa contiene los salarios de todos los funcionarios de la administración pública del </w:t>
      </w:r>
      <w:r w:rsidRPr="009F6905">
        <w:rPr>
          <w:rFonts w:ascii="Palatino Linotype" w:eastAsia="Palatino Linotype" w:hAnsi="Palatino Linotype" w:cs="Palatino Linotype"/>
          <w:b/>
          <w:lang w:val="es-MX" w:eastAsia="es-ES"/>
        </w:rPr>
        <w:t>Sujeto Obligado</w:t>
      </w:r>
      <w:r w:rsidRPr="009F6905">
        <w:rPr>
          <w:rFonts w:ascii="Palatino Linotype" w:eastAsia="Palatino Linotype" w:hAnsi="Palatino Linotype" w:cs="Palatino Linotype"/>
          <w:lang w:val="es-MX" w:eastAsia="es-ES"/>
        </w:rPr>
        <w:t xml:space="preserve"> y que debió haber</w:t>
      </w:r>
      <w:r w:rsidRPr="009F6905">
        <w:rPr>
          <w:rFonts w:ascii="Palatino Linotype" w:eastAsia="Palatino Linotype" w:hAnsi="Palatino Linotype" w:cs="Palatino Linotype"/>
          <w:b/>
          <w:lang w:val="es-MX" w:eastAsia="es-ES"/>
        </w:rPr>
        <w:t xml:space="preserve"> </w:t>
      </w:r>
      <w:r w:rsidRPr="009F6905">
        <w:rPr>
          <w:rFonts w:ascii="Palatino Linotype" w:eastAsia="Palatino Linotype" w:hAnsi="Palatino Linotype" w:cs="Palatino Linotype"/>
          <w:lang w:val="es-MX" w:eastAsia="es-ES"/>
        </w:rPr>
        <w:t xml:space="preserve">generado, administrado o poseído de acuerdo a lo establecido en el presente considerando; por lo que resulta procedente ordenar al </w:t>
      </w:r>
      <w:r w:rsidRPr="009F6905">
        <w:rPr>
          <w:rFonts w:ascii="Palatino Linotype" w:eastAsia="Palatino Linotype" w:hAnsi="Palatino Linotype" w:cs="Palatino Linotype"/>
          <w:b/>
          <w:lang w:val="es-MX" w:eastAsia="es-ES"/>
        </w:rPr>
        <w:t>Sujeto Obligado</w:t>
      </w:r>
      <w:r w:rsidRPr="009F6905">
        <w:rPr>
          <w:rFonts w:ascii="Palatino Linotype" w:eastAsia="Palatino Linotype" w:hAnsi="Palatino Linotype" w:cs="Palatino Linotype"/>
          <w:lang w:val="es-MX" w:eastAsia="es-ES"/>
        </w:rPr>
        <w:t xml:space="preserve"> su entrega salvaguardando los datos personales que contenga, de conformidad con el considerando quinto. </w:t>
      </w:r>
    </w:p>
    <w:p w:rsidR="009F6905" w:rsidRPr="009F6905" w:rsidRDefault="009F6905" w:rsidP="009F6905">
      <w:pPr>
        <w:spacing w:line="360" w:lineRule="auto"/>
        <w:ind w:right="51"/>
        <w:jc w:val="both"/>
        <w:rPr>
          <w:rFonts w:ascii="Palatino Linotype" w:eastAsia="Palatino Linotype" w:hAnsi="Palatino Linotype" w:cs="Palatino Linotype"/>
          <w:lang w:val="es-MX" w:eastAsia="es-ES"/>
        </w:rPr>
      </w:pPr>
    </w:p>
    <w:p w:rsidR="009F6905" w:rsidRPr="009F6905" w:rsidRDefault="009F6905" w:rsidP="009F6905">
      <w:pPr>
        <w:spacing w:line="360" w:lineRule="auto"/>
        <w:jc w:val="both"/>
        <w:rPr>
          <w:rFonts w:ascii="Palatino Linotype" w:eastAsia="Palatino Linotype" w:hAnsi="Palatino Linotype" w:cs="Palatino Linotype"/>
          <w:lang w:val="es-MX" w:eastAsia="es-ES"/>
        </w:rPr>
      </w:pPr>
      <w:r w:rsidRPr="009F6905">
        <w:rPr>
          <w:rFonts w:ascii="Palatino Linotype" w:eastAsia="Palatino Linotype" w:hAnsi="Palatino Linotype" w:cs="Palatino Linotype"/>
          <w:lang w:val="es-MX" w:eastAsia="es-ES"/>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9F6905" w:rsidRPr="009F6905" w:rsidRDefault="009F6905" w:rsidP="009F6905">
      <w:pPr>
        <w:spacing w:after="160" w:line="360" w:lineRule="auto"/>
        <w:jc w:val="both"/>
        <w:rPr>
          <w:rFonts w:ascii="Palatino Linotype" w:eastAsia="Palatino Linotype" w:hAnsi="Palatino Linotype" w:cs="Palatino Linotype"/>
          <w:sz w:val="22"/>
          <w:szCs w:val="22"/>
          <w:lang w:val="es-MX" w:eastAsia="es-ES"/>
        </w:rPr>
      </w:pPr>
    </w:p>
    <w:p w:rsidR="009F6905" w:rsidRPr="009F6905" w:rsidRDefault="009F6905" w:rsidP="009F6905">
      <w:pPr>
        <w:spacing w:after="160" w:line="259" w:lineRule="auto"/>
        <w:ind w:left="851" w:right="851"/>
        <w:jc w:val="both"/>
        <w:rPr>
          <w:rFonts w:ascii="Palatino Linotype" w:eastAsia="Palatino Linotype" w:hAnsi="Palatino Linotype" w:cs="Palatino Linotype"/>
          <w:i/>
          <w:sz w:val="22"/>
          <w:szCs w:val="22"/>
          <w:u w:val="single"/>
          <w:lang w:val="es-MX" w:eastAsia="es-ES"/>
        </w:rPr>
      </w:pPr>
      <w:r w:rsidRPr="009F6905">
        <w:rPr>
          <w:rFonts w:ascii="Palatino Linotype" w:eastAsia="Palatino Linotype" w:hAnsi="Palatino Linotype" w:cs="Palatino Linotype"/>
          <w:b/>
          <w:i/>
          <w:sz w:val="22"/>
          <w:szCs w:val="22"/>
          <w:u w:val="single"/>
          <w:lang w:val="es-MX" w:eastAsia="es-ES"/>
        </w:rPr>
        <w:lastRenderedPageBreak/>
        <w:t>“Artículo 7. El Estado de México garantizará el efectivo acceso de toda persona a la información en posesión de cualquier entidad,</w:t>
      </w:r>
      <w:r w:rsidRPr="009F6905">
        <w:rPr>
          <w:rFonts w:ascii="Palatino Linotype" w:eastAsia="Palatino Linotype" w:hAnsi="Palatino Linotype" w:cs="Palatino Linotype"/>
          <w:i/>
          <w:sz w:val="22"/>
          <w:szCs w:val="22"/>
          <w:lang w:val="es-MX" w:eastAsia="es-ES"/>
        </w:rPr>
        <w:t xml:space="preserve"> autoridad, órgano y organismo de los poderes Ejecutivo, Legislativo y Judicial, órganos autónomos, partidos políticos, fideicomisos y fondos públicos, así como de cualquier persona física, jurídico colectiva o sindicato </w:t>
      </w:r>
      <w:r w:rsidRPr="009F6905">
        <w:rPr>
          <w:rFonts w:ascii="Palatino Linotype" w:eastAsia="Palatino Linotype" w:hAnsi="Palatino Linotype" w:cs="Palatino Linotype"/>
          <w:b/>
          <w:i/>
          <w:sz w:val="22"/>
          <w:szCs w:val="22"/>
          <w:u w:val="single"/>
          <w:lang w:val="es-MX" w:eastAsia="es-ES"/>
        </w:rPr>
        <w:t>que reciba y ejerza recursos públicos</w:t>
      </w:r>
      <w:r w:rsidRPr="009F6905">
        <w:rPr>
          <w:rFonts w:ascii="Palatino Linotype" w:eastAsia="Palatino Linotype" w:hAnsi="Palatino Linotype" w:cs="Palatino Linotype"/>
          <w:i/>
          <w:sz w:val="22"/>
          <w:szCs w:val="22"/>
          <w:lang w:val="es-MX" w:eastAsia="es-ES"/>
        </w:rPr>
        <w:t xml:space="preserve"> o realice actos de autoridad </w:t>
      </w:r>
      <w:r w:rsidRPr="009F6905">
        <w:rPr>
          <w:rFonts w:ascii="Palatino Linotype" w:eastAsia="Palatino Linotype" w:hAnsi="Palatino Linotype" w:cs="Palatino Linotype"/>
          <w:b/>
          <w:i/>
          <w:sz w:val="22"/>
          <w:szCs w:val="22"/>
          <w:u w:val="single"/>
          <w:lang w:val="es-MX" w:eastAsia="es-ES"/>
        </w:rPr>
        <w:t>en el ámbito de competencia del Estado de México y sus municipios</w:t>
      </w:r>
      <w:r w:rsidRPr="009F6905">
        <w:rPr>
          <w:rFonts w:ascii="Palatino Linotype" w:eastAsia="Palatino Linotype" w:hAnsi="Palatino Linotype" w:cs="Palatino Linotype"/>
          <w:i/>
          <w:sz w:val="22"/>
          <w:szCs w:val="22"/>
          <w:u w:val="single"/>
          <w:lang w:val="es-MX" w:eastAsia="es-ES"/>
        </w:rPr>
        <w:t>.</w:t>
      </w:r>
    </w:p>
    <w:p w:rsidR="009F6905" w:rsidRPr="009F6905" w:rsidRDefault="009F6905" w:rsidP="009F6905">
      <w:pPr>
        <w:spacing w:after="160" w:line="259" w:lineRule="auto"/>
        <w:ind w:left="851" w:right="851"/>
        <w:jc w:val="both"/>
        <w:rPr>
          <w:rFonts w:ascii="Palatino Linotype" w:eastAsia="Palatino Linotype" w:hAnsi="Palatino Linotype" w:cs="Palatino Linotype"/>
          <w:i/>
          <w:sz w:val="22"/>
          <w:szCs w:val="22"/>
          <w:lang w:val="es-MX" w:eastAsia="es-ES"/>
        </w:rPr>
      </w:pPr>
      <w:r w:rsidRPr="009F6905">
        <w:rPr>
          <w:rFonts w:ascii="Palatino Linotype" w:eastAsia="Palatino Linotype" w:hAnsi="Palatino Linotype" w:cs="Palatino Linotype"/>
          <w:i/>
          <w:sz w:val="22"/>
          <w:szCs w:val="22"/>
          <w:lang w:val="es-MX" w:eastAsia="es-ES"/>
        </w:rPr>
        <w:t>Artículo 23. Son sujetos obligados a transparentar y permitir el acceso a su información y proteger los datos personales que obren en su poder:</w:t>
      </w:r>
    </w:p>
    <w:p w:rsidR="009F6905" w:rsidRPr="009F6905" w:rsidRDefault="009F6905" w:rsidP="009F6905">
      <w:pPr>
        <w:spacing w:after="160" w:line="259" w:lineRule="auto"/>
        <w:ind w:left="851" w:right="851"/>
        <w:jc w:val="both"/>
        <w:rPr>
          <w:rFonts w:ascii="Palatino Linotype" w:eastAsia="Palatino Linotype" w:hAnsi="Palatino Linotype" w:cs="Palatino Linotype"/>
          <w:i/>
          <w:sz w:val="22"/>
          <w:szCs w:val="22"/>
          <w:lang w:val="es-MX" w:eastAsia="es-ES"/>
        </w:rPr>
      </w:pPr>
      <w:r w:rsidRPr="009F6905">
        <w:rPr>
          <w:rFonts w:ascii="Palatino Linotype" w:eastAsia="Palatino Linotype" w:hAnsi="Palatino Linotype" w:cs="Palatino Linotype"/>
          <w:i/>
          <w:sz w:val="22"/>
          <w:szCs w:val="22"/>
          <w:lang w:val="es-MX" w:eastAsia="es-ES"/>
        </w:rPr>
        <w:t>(…)</w:t>
      </w:r>
    </w:p>
    <w:p w:rsidR="009F6905" w:rsidRPr="009F6905" w:rsidRDefault="009F6905" w:rsidP="009F6905">
      <w:pPr>
        <w:spacing w:after="160" w:line="259" w:lineRule="auto"/>
        <w:ind w:left="851" w:right="851"/>
        <w:jc w:val="both"/>
        <w:rPr>
          <w:rFonts w:ascii="Palatino Linotype" w:eastAsia="Palatino Linotype" w:hAnsi="Palatino Linotype" w:cs="Palatino Linotype"/>
          <w:b/>
          <w:i/>
          <w:sz w:val="22"/>
          <w:szCs w:val="22"/>
          <w:u w:val="single"/>
          <w:lang w:val="es-MX" w:eastAsia="es-ES"/>
        </w:rPr>
      </w:pPr>
      <w:r w:rsidRPr="009F6905">
        <w:rPr>
          <w:rFonts w:ascii="Palatino Linotype" w:eastAsia="Palatino Linotype" w:hAnsi="Palatino Linotype" w:cs="Palatino Linotype"/>
          <w:b/>
          <w:i/>
          <w:sz w:val="22"/>
          <w:szCs w:val="22"/>
          <w:u w:val="single"/>
          <w:lang w:val="es-MX" w:eastAsia="es-ES"/>
        </w:rPr>
        <w:t>IV. Los ayuntamientos y las dependencias, organismos, órganos y entidades de la administración municipal;</w:t>
      </w:r>
    </w:p>
    <w:p w:rsidR="009F6905" w:rsidRPr="009F6905" w:rsidRDefault="009F6905" w:rsidP="009F6905">
      <w:pPr>
        <w:spacing w:after="160" w:line="259" w:lineRule="auto"/>
        <w:ind w:left="851" w:right="851"/>
        <w:jc w:val="both"/>
        <w:rPr>
          <w:rFonts w:ascii="Palatino Linotype" w:eastAsia="Palatino Linotype" w:hAnsi="Palatino Linotype" w:cs="Palatino Linotype"/>
          <w:i/>
          <w:sz w:val="22"/>
          <w:szCs w:val="22"/>
          <w:lang w:val="es-MX" w:eastAsia="es-ES"/>
        </w:rPr>
      </w:pPr>
      <w:r w:rsidRPr="009F6905">
        <w:rPr>
          <w:rFonts w:ascii="Palatino Linotype" w:eastAsia="Palatino Linotype" w:hAnsi="Palatino Linotype" w:cs="Palatino Linotype"/>
          <w:i/>
          <w:sz w:val="22"/>
          <w:szCs w:val="22"/>
          <w:lang w:val="es-MX" w:eastAsia="es-ES"/>
        </w:rPr>
        <w:t>(…)</w:t>
      </w:r>
    </w:p>
    <w:p w:rsidR="009F6905" w:rsidRPr="009F6905" w:rsidRDefault="009F6905" w:rsidP="009F6905">
      <w:pPr>
        <w:spacing w:after="160" w:line="259" w:lineRule="auto"/>
        <w:ind w:left="851" w:right="851"/>
        <w:jc w:val="both"/>
        <w:rPr>
          <w:rFonts w:ascii="Palatino Linotype" w:eastAsia="Palatino Linotype" w:hAnsi="Palatino Linotype" w:cs="Palatino Linotype"/>
          <w:b/>
          <w:i/>
          <w:sz w:val="22"/>
          <w:szCs w:val="22"/>
          <w:u w:val="single"/>
          <w:lang w:val="es-MX" w:eastAsia="es-ES"/>
        </w:rPr>
      </w:pPr>
      <w:r w:rsidRPr="009F6905">
        <w:rPr>
          <w:rFonts w:ascii="Palatino Linotype" w:eastAsia="Palatino Linotype" w:hAnsi="Palatino Linotype" w:cs="Palatino Linotype"/>
          <w:b/>
          <w:i/>
          <w:sz w:val="22"/>
          <w:szCs w:val="22"/>
          <w:u w:val="single"/>
          <w:lang w:val="es-MX"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F6905" w:rsidRPr="009F6905" w:rsidRDefault="009F6905" w:rsidP="009F6905">
      <w:pPr>
        <w:spacing w:after="160" w:line="259" w:lineRule="auto"/>
        <w:ind w:left="851" w:right="851"/>
        <w:jc w:val="both"/>
        <w:rPr>
          <w:rFonts w:ascii="Palatino Linotype" w:eastAsia="Palatino Linotype" w:hAnsi="Palatino Linotype" w:cs="Palatino Linotype"/>
          <w:b/>
          <w:i/>
          <w:sz w:val="22"/>
          <w:szCs w:val="22"/>
          <w:lang w:val="es-MX" w:eastAsia="es-ES"/>
        </w:rPr>
      </w:pPr>
      <w:r w:rsidRPr="009F6905">
        <w:rPr>
          <w:rFonts w:ascii="Palatino Linotype" w:eastAsia="Palatino Linotype" w:hAnsi="Palatino Linotype" w:cs="Palatino Linotype"/>
          <w:i/>
          <w:sz w:val="22"/>
          <w:szCs w:val="22"/>
          <w:lang w:val="es-MX" w:eastAsia="es-ES"/>
        </w:rPr>
        <w:t>Los servidores públicos deberán transparentar sus acciones así como garantizar y respetar el derecho de acceso a la información pública.”</w:t>
      </w:r>
      <w:r w:rsidRPr="009F6905">
        <w:rPr>
          <w:rFonts w:ascii="Palatino Linotype" w:eastAsia="Palatino Linotype" w:hAnsi="Palatino Linotype" w:cs="Palatino Linotype"/>
          <w:b/>
          <w:i/>
          <w:sz w:val="22"/>
          <w:szCs w:val="22"/>
          <w:lang w:val="es-MX" w:eastAsia="es-ES"/>
        </w:rPr>
        <w:t xml:space="preserve"> [Sic]</w:t>
      </w:r>
    </w:p>
    <w:p w:rsidR="009F6905" w:rsidRPr="009F6905" w:rsidRDefault="009F6905" w:rsidP="009F6905">
      <w:pPr>
        <w:spacing w:after="160" w:line="360" w:lineRule="auto"/>
        <w:jc w:val="both"/>
        <w:rPr>
          <w:rFonts w:ascii="Palatino Linotype" w:eastAsia="Palatino Linotype" w:hAnsi="Palatino Linotype" w:cs="Palatino Linotype"/>
          <w:lang w:val="es-MX" w:eastAsia="es-ES"/>
        </w:rPr>
      </w:pPr>
      <w:r w:rsidRPr="009F6905">
        <w:rPr>
          <w:rFonts w:ascii="Palatino Linotype" w:eastAsia="Palatino Linotype" w:hAnsi="Palatino Linotype" w:cs="Palatino Linotype"/>
          <w:lang w:val="es-MX" w:eastAsia="es-ES"/>
        </w:rPr>
        <w:t xml:space="preserve">Sirve de sustento por analogía, para justificar la publicidad sobre los datos relativos a los montos por concepto de pago de las remuneraciones, los criterios </w:t>
      </w:r>
      <w:r w:rsidRPr="009F6905">
        <w:rPr>
          <w:rFonts w:ascii="Palatino Linotype" w:eastAsia="Palatino Linotype" w:hAnsi="Palatino Linotype" w:cs="Palatino Linotype"/>
          <w:b/>
          <w:lang w:val="es-MX" w:eastAsia="es-ES"/>
        </w:rPr>
        <w:t>01/2003</w:t>
      </w:r>
      <w:r w:rsidRPr="009F6905">
        <w:rPr>
          <w:rFonts w:ascii="Palatino Linotype" w:eastAsia="Palatino Linotype" w:hAnsi="Palatino Linotype" w:cs="Palatino Linotype"/>
          <w:lang w:val="es-MX" w:eastAsia="es-ES"/>
        </w:rPr>
        <w:t xml:space="preserve"> y </w:t>
      </w:r>
      <w:r w:rsidRPr="009F6905">
        <w:rPr>
          <w:rFonts w:ascii="Palatino Linotype" w:eastAsia="Palatino Linotype" w:hAnsi="Palatino Linotype" w:cs="Palatino Linotype"/>
          <w:b/>
          <w:lang w:val="es-MX" w:eastAsia="es-ES"/>
        </w:rPr>
        <w:t>02/2003</w:t>
      </w:r>
      <w:r w:rsidRPr="009F6905">
        <w:rPr>
          <w:rFonts w:ascii="Palatino Linotype" w:eastAsia="Palatino Linotype" w:hAnsi="Palatino Linotype" w:cs="Palatino Linotype"/>
          <w:lang w:val="es-MX" w:eastAsia="es-ES"/>
        </w:rPr>
        <w:t xml:space="preserve"> emitidos por el Comité de Acceso a la Información Pública y Protección de Datos Personales de la Suprema Corte de Justicia de la Nación que a continuación se citan: </w:t>
      </w:r>
    </w:p>
    <w:p w:rsidR="009F6905" w:rsidRPr="009F6905" w:rsidRDefault="009F6905" w:rsidP="009F6905">
      <w:pPr>
        <w:spacing w:after="160" w:line="276" w:lineRule="auto"/>
        <w:ind w:left="851" w:right="851"/>
        <w:rPr>
          <w:rFonts w:ascii="Palatino Linotype" w:eastAsia="Palatino Linotype" w:hAnsi="Palatino Linotype" w:cs="Palatino Linotype"/>
          <w:b/>
          <w:i/>
          <w:sz w:val="22"/>
          <w:szCs w:val="22"/>
          <w:lang w:val="es-MX" w:eastAsia="es-ES"/>
        </w:rPr>
      </w:pPr>
      <w:r w:rsidRPr="009F6905">
        <w:rPr>
          <w:rFonts w:ascii="Palatino Linotype" w:eastAsia="Palatino Linotype" w:hAnsi="Palatino Linotype" w:cs="Palatino Linotype"/>
          <w:b/>
          <w:i/>
          <w:sz w:val="22"/>
          <w:szCs w:val="22"/>
          <w:lang w:val="es-MX" w:eastAsia="es-ES"/>
        </w:rPr>
        <w:t>“Criterio 01/2003.</w:t>
      </w:r>
    </w:p>
    <w:p w:rsidR="009F6905" w:rsidRPr="009F6905" w:rsidRDefault="009F6905" w:rsidP="009F6905">
      <w:pPr>
        <w:spacing w:after="160" w:line="276" w:lineRule="auto"/>
        <w:ind w:left="851" w:right="851"/>
        <w:jc w:val="both"/>
        <w:rPr>
          <w:rFonts w:ascii="Palatino Linotype" w:eastAsia="Palatino Linotype" w:hAnsi="Palatino Linotype" w:cs="Palatino Linotype"/>
          <w:i/>
          <w:sz w:val="22"/>
          <w:szCs w:val="22"/>
          <w:lang w:val="es-MX" w:eastAsia="es-ES"/>
        </w:rPr>
      </w:pPr>
      <w:r w:rsidRPr="009F6905">
        <w:rPr>
          <w:rFonts w:ascii="Palatino Linotype" w:eastAsia="Palatino Linotype" w:hAnsi="Palatino Linotype" w:cs="Palatino Linotype"/>
          <w:b/>
          <w:i/>
          <w:sz w:val="22"/>
          <w:szCs w:val="22"/>
          <w:lang w:val="es-MX" w:eastAsia="es-ES"/>
        </w:rPr>
        <w:t>INGRESOS DE LOS SERVIDORES PÚBLICOS. CONSTITUYEN INFORMACIÓN PÚBLICA AÚN Y CUANDO SU DIFUSIÓN PUEDE AFECTAR LA VIDA O LA SEGURIDAD DE AQUELLOS.</w:t>
      </w:r>
      <w:r w:rsidRPr="009F6905">
        <w:rPr>
          <w:rFonts w:ascii="Palatino Linotype" w:eastAsia="Palatino Linotype" w:hAnsi="Palatino Linotype" w:cs="Palatino Linotype"/>
          <w:i/>
          <w:sz w:val="22"/>
          <w:szCs w:val="22"/>
          <w:lang w:val="es-MX" w:eastAsia="es-ES"/>
        </w:rPr>
        <w:t xml:space="preserve"> </w:t>
      </w:r>
    </w:p>
    <w:p w:rsidR="009F6905" w:rsidRPr="009F6905" w:rsidRDefault="009F6905" w:rsidP="009F6905">
      <w:pPr>
        <w:spacing w:after="160" w:line="276" w:lineRule="auto"/>
        <w:ind w:left="851" w:right="851"/>
        <w:jc w:val="both"/>
        <w:rPr>
          <w:rFonts w:ascii="Palatino Linotype" w:eastAsia="Palatino Linotype" w:hAnsi="Palatino Linotype" w:cs="Palatino Linotype"/>
          <w:i/>
          <w:sz w:val="22"/>
          <w:szCs w:val="22"/>
          <w:u w:val="single"/>
          <w:lang w:val="es-MX" w:eastAsia="es-ES"/>
        </w:rPr>
      </w:pPr>
      <w:r w:rsidRPr="009F6905">
        <w:rPr>
          <w:rFonts w:ascii="Palatino Linotype" w:eastAsia="Palatino Linotype" w:hAnsi="Palatino Linotype" w:cs="Palatino Linotype"/>
          <w:i/>
          <w:sz w:val="22"/>
          <w:szCs w:val="22"/>
          <w:lang w:val="es-MX" w:eastAsia="es-ES"/>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9F6905">
        <w:rPr>
          <w:rFonts w:ascii="Palatino Linotype" w:eastAsia="Palatino Linotype" w:hAnsi="Palatino Linotype" w:cs="Palatino Linotype"/>
          <w:b/>
          <w:i/>
          <w:sz w:val="22"/>
          <w:szCs w:val="22"/>
          <w:u w:val="single"/>
          <w:lang w:val="es-MX"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9F6905">
        <w:rPr>
          <w:rFonts w:ascii="Palatino Linotype" w:eastAsia="Palatino Linotype" w:hAnsi="Palatino Linotype" w:cs="Palatino Linotype"/>
          <w:i/>
          <w:sz w:val="22"/>
          <w:szCs w:val="22"/>
          <w:u w:val="single"/>
          <w:lang w:val="es-MX" w:eastAsia="es-ES"/>
        </w:rPr>
        <w:t>…”</w:t>
      </w:r>
    </w:p>
    <w:p w:rsidR="009F6905" w:rsidRPr="009F6905" w:rsidRDefault="009F6905" w:rsidP="009F6905">
      <w:pPr>
        <w:spacing w:after="160" w:line="276" w:lineRule="auto"/>
        <w:ind w:left="851" w:right="851"/>
        <w:jc w:val="both"/>
        <w:rPr>
          <w:rFonts w:ascii="Palatino Linotype" w:eastAsia="Palatino Linotype" w:hAnsi="Palatino Linotype" w:cs="Palatino Linotype"/>
          <w:i/>
          <w:sz w:val="22"/>
          <w:szCs w:val="22"/>
          <w:lang w:val="es-MX" w:eastAsia="es-ES"/>
        </w:rPr>
      </w:pPr>
    </w:p>
    <w:p w:rsidR="009F6905" w:rsidRPr="009F6905" w:rsidRDefault="009F6905" w:rsidP="009F6905">
      <w:pPr>
        <w:spacing w:after="160" w:line="276" w:lineRule="auto"/>
        <w:ind w:left="851" w:right="851"/>
        <w:rPr>
          <w:rFonts w:ascii="Palatino Linotype" w:eastAsia="Palatino Linotype" w:hAnsi="Palatino Linotype" w:cs="Palatino Linotype"/>
          <w:b/>
          <w:i/>
          <w:sz w:val="22"/>
          <w:szCs w:val="22"/>
          <w:lang w:val="es-MX" w:eastAsia="es-ES"/>
        </w:rPr>
      </w:pPr>
      <w:r w:rsidRPr="009F6905">
        <w:rPr>
          <w:rFonts w:ascii="Palatino Linotype" w:eastAsia="Palatino Linotype" w:hAnsi="Palatino Linotype" w:cs="Palatino Linotype"/>
          <w:b/>
          <w:i/>
          <w:sz w:val="22"/>
          <w:szCs w:val="22"/>
          <w:lang w:val="es-MX" w:eastAsia="es-ES"/>
        </w:rPr>
        <w:t>“Criterio 02/2003.</w:t>
      </w:r>
    </w:p>
    <w:p w:rsidR="009F6905" w:rsidRPr="009F6905" w:rsidRDefault="009F6905" w:rsidP="009F6905">
      <w:pPr>
        <w:spacing w:after="160" w:line="276" w:lineRule="auto"/>
        <w:ind w:left="851" w:right="851"/>
        <w:jc w:val="both"/>
        <w:rPr>
          <w:rFonts w:ascii="Palatino Linotype" w:eastAsia="Palatino Linotype" w:hAnsi="Palatino Linotype" w:cs="Palatino Linotype"/>
          <w:i/>
          <w:sz w:val="22"/>
          <w:szCs w:val="22"/>
          <w:lang w:val="es-MX" w:eastAsia="es-ES"/>
        </w:rPr>
      </w:pPr>
      <w:r w:rsidRPr="009F6905">
        <w:rPr>
          <w:rFonts w:ascii="Palatino Linotype" w:eastAsia="Palatino Linotype" w:hAnsi="Palatino Linotype" w:cs="Palatino Linotype"/>
          <w:b/>
          <w:i/>
          <w:sz w:val="22"/>
          <w:szCs w:val="22"/>
          <w:lang w:val="es-MX" w:eastAsia="es-ES"/>
        </w:rPr>
        <w:t>INGRESOS DE LOS SERVIDORES PÚBLICOS, SON INFORMACIÓN PÚBLICA AÚN Y CUANDO CONSTITUYEN DATOS PERSONALES QUE SE REFIEREN AL PATRIMONIO DE AQUÉLLOS.</w:t>
      </w:r>
      <w:r w:rsidRPr="009F6905">
        <w:rPr>
          <w:rFonts w:ascii="Palatino Linotype" w:eastAsia="Palatino Linotype" w:hAnsi="Palatino Linotype" w:cs="Palatino Linotype"/>
          <w:i/>
          <w:sz w:val="22"/>
          <w:szCs w:val="22"/>
          <w:lang w:val="es-MX" w:eastAsia="es-ES"/>
        </w:rPr>
        <w:t xml:space="preserve"> </w:t>
      </w:r>
    </w:p>
    <w:p w:rsidR="009F6905" w:rsidRPr="009F6905" w:rsidRDefault="009F6905" w:rsidP="009F6905">
      <w:pPr>
        <w:spacing w:line="276" w:lineRule="auto"/>
        <w:ind w:left="851" w:right="851"/>
        <w:jc w:val="both"/>
        <w:rPr>
          <w:rFonts w:ascii="Palatino Linotype" w:eastAsia="Palatino Linotype" w:hAnsi="Palatino Linotype" w:cs="Palatino Linotype"/>
          <w:b/>
          <w:i/>
          <w:sz w:val="22"/>
          <w:szCs w:val="22"/>
          <w:lang w:val="es-MX" w:eastAsia="es-ES"/>
        </w:rPr>
      </w:pPr>
      <w:r w:rsidRPr="009F6905">
        <w:rPr>
          <w:rFonts w:ascii="Palatino Linotype" w:eastAsia="Palatino Linotype" w:hAnsi="Palatino Linotype" w:cs="Palatino Linotype"/>
          <w:i/>
          <w:sz w:val="22"/>
          <w:szCs w:val="22"/>
          <w:lang w:val="es-MX" w:eastAsia="es-ES"/>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9F6905">
        <w:rPr>
          <w:rFonts w:ascii="Palatino Linotype" w:eastAsia="Palatino Linotype" w:hAnsi="Palatino Linotype" w:cs="Palatino Linotype"/>
          <w:b/>
          <w:i/>
          <w:sz w:val="22"/>
          <w:szCs w:val="22"/>
          <w:u w:val="single"/>
          <w:lang w:val="es-MX"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9F6905">
        <w:rPr>
          <w:rFonts w:ascii="Palatino Linotype" w:eastAsia="Palatino Linotype" w:hAnsi="Palatino Linotype" w:cs="Palatino Linotype"/>
          <w:i/>
          <w:sz w:val="22"/>
          <w:szCs w:val="22"/>
          <w:lang w:val="es-MX" w:eastAsia="es-ES"/>
        </w:rPr>
        <w:t xml:space="preserve"> el sistema de compensación…” </w:t>
      </w:r>
      <w:r w:rsidRPr="009F6905">
        <w:rPr>
          <w:rFonts w:ascii="Palatino Linotype" w:eastAsia="Palatino Linotype" w:hAnsi="Palatino Linotype" w:cs="Palatino Linotype"/>
          <w:b/>
          <w:i/>
          <w:sz w:val="22"/>
          <w:szCs w:val="22"/>
          <w:lang w:val="es-MX" w:eastAsia="es-ES"/>
        </w:rPr>
        <w:t>[Sic]</w:t>
      </w:r>
    </w:p>
    <w:p w:rsidR="009F6905" w:rsidRPr="009F6905" w:rsidRDefault="009F6905" w:rsidP="009F6905">
      <w:pPr>
        <w:spacing w:line="360" w:lineRule="auto"/>
        <w:jc w:val="both"/>
        <w:rPr>
          <w:rFonts w:ascii="Palatino Linotype" w:eastAsia="Palatino Linotype" w:hAnsi="Palatino Linotype" w:cs="Palatino Linotype"/>
          <w:lang w:val="es-MX" w:eastAsia="es-ES"/>
        </w:rPr>
      </w:pPr>
    </w:p>
    <w:p w:rsidR="009F6905" w:rsidRDefault="009F6905" w:rsidP="009F6905">
      <w:pPr>
        <w:spacing w:line="360" w:lineRule="auto"/>
        <w:ind w:right="49"/>
        <w:jc w:val="both"/>
        <w:rPr>
          <w:rFonts w:ascii="Palatino Linotype" w:eastAsia="Palatino Linotype" w:hAnsi="Palatino Linotype" w:cs="Palatino Linotype"/>
          <w:lang w:val="es-MX" w:eastAsia="es-ES"/>
        </w:rPr>
      </w:pPr>
      <w:r w:rsidRPr="009F6905">
        <w:rPr>
          <w:rFonts w:ascii="Palatino Linotype" w:eastAsia="Palatino Linotype" w:hAnsi="Palatino Linotype" w:cs="Palatino Linotype"/>
          <w:lang w:val="es-MX" w:eastAsia="es-ES"/>
        </w:rPr>
        <w:lastRenderedPageBreak/>
        <w:t>Razones por las cual</w:t>
      </w:r>
      <w:r w:rsidR="00077DBE">
        <w:rPr>
          <w:rFonts w:ascii="Palatino Linotype" w:eastAsia="Palatino Linotype" w:hAnsi="Palatino Linotype" w:cs="Palatino Linotype"/>
          <w:lang w:val="es-MX" w:eastAsia="es-ES"/>
        </w:rPr>
        <w:t xml:space="preserve">es lo procedente es ordenar, los </w:t>
      </w:r>
      <w:r w:rsidRPr="009F6905">
        <w:rPr>
          <w:rFonts w:ascii="Palatino Linotype" w:eastAsia="Palatino Linotype" w:hAnsi="Palatino Linotype" w:cs="Palatino Linotype"/>
          <w:lang w:val="es-MX" w:eastAsia="es-ES"/>
        </w:rPr>
        <w:t>recibo</w:t>
      </w:r>
      <w:r w:rsidR="00077DBE">
        <w:rPr>
          <w:rFonts w:ascii="Palatino Linotype" w:eastAsia="Palatino Linotype" w:hAnsi="Palatino Linotype" w:cs="Palatino Linotype"/>
          <w:lang w:val="es-MX" w:eastAsia="es-ES"/>
        </w:rPr>
        <w:t>s</w:t>
      </w:r>
      <w:r w:rsidRPr="009F6905">
        <w:rPr>
          <w:rFonts w:ascii="Palatino Linotype" w:eastAsia="Palatino Linotype" w:hAnsi="Palatino Linotype" w:cs="Palatino Linotype"/>
          <w:lang w:val="es-MX" w:eastAsia="es-ES"/>
        </w:rPr>
        <w:t xml:space="preserve"> de nómina </w:t>
      </w:r>
      <w:r w:rsidR="00077DBE">
        <w:rPr>
          <w:rFonts w:ascii="Palatino Linotype" w:eastAsia="Palatino Linotype" w:hAnsi="Palatino Linotype" w:cs="Palatino Linotype"/>
          <w:lang w:val="es-MX" w:eastAsia="es-ES"/>
        </w:rPr>
        <w:t>de los servidores públicos adscritos a la Secretaría Particular y Oficina de Presidencia en la primera quincena de marzo de 2022</w:t>
      </w:r>
      <w:r w:rsidRPr="009F6905">
        <w:rPr>
          <w:rFonts w:ascii="Palatino Linotype" w:eastAsia="Palatino Linotype" w:hAnsi="Palatino Linotype" w:cs="Palatino Linotype"/>
          <w:lang w:val="es-MX" w:eastAsia="es-ES"/>
        </w:rPr>
        <w:t>, en términos de lo señalado por el considerando quinto del presente fallo.</w:t>
      </w:r>
    </w:p>
    <w:p w:rsidR="00077DBE" w:rsidRPr="009F6905" w:rsidRDefault="00077DBE" w:rsidP="009F6905">
      <w:pPr>
        <w:spacing w:line="360" w:lineRule="auto"/>
        <w:ind w:right="49"/>
        <w:jc w:val="both"/>
        <w:rPr>
          <w:rFonts w:ascii="Palatino Linotype" w:eastAsia="Palatino Linotype" w:hAnsi="Palatino Linotype" w:cs="Palatino Linotype"/>
          <w:lang w:val="es-MX" w:eastAsia="es-ES"/>
        </w:rPr>
      </w:pPr>
    </w:p>
    <w:p w:rsidR="009F6905" w:rsidRDefault="00077DBE" w:rsidP="007D5748">
      <w:pPr>
        <w:spacing w:line="360" w:lineRule="auto"/>
        <w:jc w:val="both"/>
        <w:rPr>
          <w:rFonts w:ascii="Palatino Linotype" w:eastAsia="Palatino Linotype" w:hAnsi="Palatino Linotype" w:cs="Palatino Linotype"/>
          <w:b/>
        </w:rPr>
      </w:pPr>
      <w:r w:rsidRPr="00077DBE">
        <w:rPr>
          <w:rFonts w:ascii="Palatino Linotype" w:eastAsia="Palatino Linotype" w:hAnsi="Palatino Linotype" w:cs="Palatino Linotype"/>
          <w:b/>
        </w:rPr>
        <w:t xml:space="preserve">Curriculum vitae </w:t>
      </w:r>
    </w:p>
    <w:p w:rsidR="00077DBE" w:rsidRDefault="00077DBE" w:rsidP="00077DBE">
      <w:pPr>
        <w:pStyle w:val="NormalWeb"/>
        <w:spacing w:before="0" w:beforeAutospacing="0" w:after="0" w:afterAutospacing="0" w:line="360" w:lineRule="auto"/>
        <w:jc w:val="both"/>
      </w:pPr>
      <w:r>
        <w:rPr>
          <w:rFonts w:ascii="Palatino Linotype" w:hAnsi="Palatino Linotype"/>
          <w:color w:val="000000"/>
        </w:rPr>
        <w:t>Sobre el curriculum, conviene señalar que el curriculum es el documento que las personas elaboran con los datos principalmente de preparación académica y experiencia profesional con la finalidad de presentarlo ante un posible empleador, por lo que, dicho documento permite identificar el nivel de conocimiento de su titular, su perfil profesional y/o laboral. </w:t>
      </w:r>
    </w:p>
    <w:p w:rsidR="00077DBE" w:rsidRDefault="00077DBE" w:rsidP="00077DBE">
      <w:pPr>
        <w:pStyle w:val="NormalWeb"/>
        <w:spacing w:before="240" w:beforeAutospacing="0" w:after="240" w:afterAutospacing="0" w:line="360" w:lineRule="auto"/>
        <w:ind w:right="-234"/>
        <w:jc w:val="both"/>
      </w:pPr>
      <w:r>
        <w:rPr>
          <w:rFonts w:ascii="Palatino Linotype" w:hAnsi="Palatino Linotype"/>
          <w:color w:val="000000"/>
        </w:rPr>
        <w:t xml:space="preserve">En ese orden de ideas, si bien, el documento referido es elaborado por cada persona sin ninguna validez oficial, también lo es que como se mencionó, este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Pr>
          <w:rFonts w:ascii="Palatino Linotype" w:hAnsi="Palatino Linotype"/>
          <w:b/>
          <w:bCs/>
          <w:color w:val="000000"/>
        </w:rPr>
        <w:t>El Sujeto Obligado</w:t>
      </w:r>
      <w:r>
        <w:rPr>
          <w:rFonts w:ascii="Palatino Linotype" w:hAnsi="Palatino Linotype"/>
          <w:color w:val="000000"/>
        </w:rPr>
        <w:t xml:space="preserve"> cuenta con las capacidades, conocimientos y experiencia necesaria para el cabal cumplimiento de sus funciones. </w:t>
      </w:r>
    </w:p>
    <w:p w:rsidR="00077DBE" w:rsidRDefault="00077DBE" w:rsidP="00077DBE">
      <w:pPr>
        <w:pStyle w:val="NormalWeb"/>
        <w:spacing w:before="0" w:beforeAutospacing="0" w:after="240" w:afterAutospacing="0" w:line="360" w:lineRule="auto"/>
        <w:jc w:val="both"/>
      </w:pPr>
      <w:r>
        <w:rPr>
          <w:rFonts w:ascii="Palatino Linotype" w:hAnsi="Palatino Linotype"/>
          <w:color w:val="000000"/>
        </w:rPr>
        <w:t xml:space="preserve">En esa tesitura, debe apuntarse que esta información constituye una obligación de transparencia, pues el </w:t>
      </w:r>
      <w:r>
        <w:rPr>
          <w:rFonts w:ascii="Palatino Linotype" w:hAnsi="Palatino Linotype"/>
          <w:b/>
          <w:bCs/>
          <w:color w:val="000000"/>
        </w:rPr>
        <w:t>Sujeto Obligado</w:t>
      </w:r>
      <w:r>
        <w:rPr>
          <w:rFonts w:ascii="Palatino Linotype" w:hAnsi="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w:t>
      </w:r>
      <w:r>
        <w:rPr>
          <w:rFonts w:ascii="Palatino Linotype" w:hAnsi="Palatino Linotype"/>
          <w:color w:val="000000"/>
        </w:rPr>
        <w:lastRenderedPageBreak/>
        <w:t>estipula  el artículo 92, fracción XXI de la ley aplicable a la materia, que es del tenor literal siguiente: </w:t>
      </w:r>
    </w:p>
    <w:p w:rsidR="00077DBE" w:rsidRDefault="00077DBE" w:rsidP="00077DBE">
      <w:pPr>
        <w:pStyle w:val="NormalWeb"/>
        <w:spacing w:before="240" w:beforeAutospacing="0" w:after="0" w:afterAutospacing="0"/>
        <w:ind w:left="567" w:right="902"/>
        <w:jc w:val="both"/>
      </w:pPr>
      <w:r>
        <w:rPr>
          <w:rFonts w:ascii="Palatino Linotype" w:hAnsi="Palatino Linotype"/>
          <w:i/>
          <w:iCs/>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77DBE" w:rsidRDefault="00077DBE" w:rsidP="00077DBE">
      <w:pPr>
        <w:pStyle w:val="NormalWeb"/>
        <w:spacing w:before="0" w:beforeAutospacing="0" w:after="0" w:afterAutospacing="0"/>
        <w:ind w:left="567" w:right="902"/>
        <w:jc w:val="both"/>
      </w:pPr>
      <w:r>
        <w:rPr>
          <w:rFonts w:ascii="Palatino Linotype" w:hAnsi="Palatino Linotype"/>
          <w:i/>
          <w:iCs/>
          <w:color w:val="000000"/>
          <w:sz w:val="22"/>
          <w:szCs w:val="22"/>
        </w:rPr>
        <w:t>...</w:t>
      </w:r>
    </w:p>
    <w:p w:rsidR="00077DBE" w:rsidRDefault="00077DBE" w:rsidP="00077DBE">
      <w:pPr>
        <w:pStyle w:val="NormalWeb"/>
        <w:spacing w:before="0" w:beforeAutospacing="0" w:after="0" w:afterAutospacing="0"/>
        <w:ind w:left="567" w:right="902"/>
        <w:jc w:val="both"/>
      </w:pPr>
      <w:r>
        <w:rPr>
          <w:rFonts w:ascii="Palatino Linotype" w:hAnsi="Palatino Linotype"/>
          <w:b/>
          <w:bCs/>
          <w:i/>
          <w:iCs/>
          <w:color w:val="000000"/>
          <w:sz w:val="22"/>
          <w:szCs w:val="22"/>
        </w:rPr>
        <w:t>XXI. La información curricular, desde el nivel de jefe de departamento o equivalente, hasta el titular del sujeto obligado</w:t>
      </w:r>
      <w:r>
        <w:rPr>
          <w:rFonts w:ascii="Palatino Linotype" w:hAnsi="Palatino Linotype"/>
          <w:i/>
          <w:iCs/>
          <w:color w:val="000000"/>
          <w:sz w:val="22"/>
          <w:szCs w:val="22"/>
        </w:rPr>
        <w:t>, así como, en su caso, las sanciones administrativas de que haya sido objeto;”(Sic)</w:t>
      </w:r>
    </w:p>
    <w:p w:rsidR="00077DBE" w:rsidRDefault="00077DBE" w:rsidP="00077DBE"/>
    <w:p w:rsidR="00077DBE" w:rsidRDefault="00077DBE" w:rsidP="00077DBE">
      <w:pPr>
        <w:pStyle w:val="NormalWeb"/>
        <w:spacing w:before="0" w:beforeAutospacing="0" w:after="240" w:afterAutospacing="0" w:line="360" w:lineRule="auto"/>
        <w:ind w:right="51"/>
        <w:jc w:val="both"/>
      </w:pPr>
      <w:r>
        <w:rPr>
          <w:rFonts w:ascii="Palatino Linotype" w:hAnsi="Palatino Linotype"/>
          <w:color w:val="000000"/>
        </w:rPr>
        <w:t>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077DBE" w:rsidRDefault="00077DBE" w:rsidP="00077DBE">
      <w:pPr>
        <w:pStyle w:val="NormalWeb"/>
        <w:spacing w:before="240" w:beforeAutospacing="0" w:after="0" w:afterAutospacing="0"/>
        <w:ind w:left="567" w:right="902"/>
        <w:jc w:val="both"/>
      </w:pPr>
      <w:r>
        <w:rPr>
          <w:rFonts w:ascii="Palatino Linotype" w:hAnsi="Palatino Linotype"/>
          <w:i/>
          <w:iCs/>
          <w:color w:val="000000"/>
          <w:sz w:val="22"/>
          <w:szCs w:val="22"/>
        </w:rPr>
        <w:t>“XVII. La información curricular desde el nivel de jefe de departamento o equivalente hasta el titular del sujeto obligado, así como, en su caso, las sanciones administrativas de que haya sido objeto. </w:t>
      </w:r>
    </w:p>
    <w:p w:rsidR="00077DBE" w:rsidRDefault="00077DBE" w:rsidP="00077DBE">
      <w:pPr>
        <w:pStyle w:val="NormalWeb"/>
        <w:spacing w:before="0" w:beforeAutospacing="0" w:after="0" w:afterAutospacing="0"/>
        <w:ind w:left="567" w:right="902"/>
        <w:jc w:val="both"/>
      </w:pPr>
      <w:r>
        <w:rPr>
          <w:rFonts w:ascii="Palatino Linotype" w:hAnsi="Palatino Linotype"/>
          <w:b/>
          <w:bCs/>
          <w:i/>
          <w:iCs/>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hAnsi="Palatino Linotype"/>
          <w:i/>
          <w:iCs/>
          <w:color w:val="000000"/>
          <w:sz w:val="22"/>
          <w:szCs w:val="22"/>
        </w:rPr>
        <w:t>. </w:t>
      </w:r>
    </w:p>
    <w:p w:rsidR="00077DBE" w:rsidRDefault="00077DBE" w:rsidP="00077DBE">
      <w:pPr>
        <w:pStyle w:val="NormalWeb"/>
        <w:spacing w:before="0" w:beforeAutospacing="0" w:after="0" w:afterAutospacing="0"/>
        <w:ind w:left="567" w:right="902"/>
        <w:jc w:val="both"/>
      </w:pPr>
      <w:r>
        <w:rPr>
          <w:rFonts w:ascii="Palatino Linotype" w:hAnsi="Palatino Linotype"/>
          <w:i/>
          <w:iCs/>
          <w:color w:val="000000"/>
          <w:sz w:val="22"/>
          <w:szCs w:val="22"/>
        </w:rPr>
        <w:t>Por cada servidor(a) público(a) se deberá especificar si ha sido acreedor a sanciones administrativas definitivas y que hayan sido aplicadas por autoridad u organismo competente. </w:t>
      </w:r>
    </w:p>
    <w:p w:rsidR="00077DBE" w:rsidRDefault="00077DBE" w:rsidP="00077DBE">
      <w:pPr>
        <w:pStyle w:val="NormalWeb"/>
        <w:spacing w:before="0" w:beforeAutospacing="0" w:after="0" w:afterAutospacing="0"/>
        <w:ind w:left="567" w:right="902"/>
        <w:jc w:val="both"/>
      </w:pPr>
      <w:r>
        <w:rPr>
          <w:rFonts w:ascii="Palatino Linotype" w:hAnsi="Palatino Linotype"/>
          <w:b/>
          <w:bCs/>
          <w:i/>
          <w:iCs/>
          <w:color w:val="000000"/>
          <w:sz w:val="22"/>
          <w:szCs w:val="22"/>
        </w:rPr>
        <w:lastRenderedPageBreak/>
        <w:t>Periodo de actualización: trimestral </w:t>
      </w:r>
    </w:p>
    <w:p w:rsidR="00077DBE" w:rsidRDefault="00077DBE" w:rsidP="00077DBE">
      <w:pPr>
        <w:pStyle w:val="NormalWeb"/>
        <w:spacing w:before="0" w:beforeAutospacing="0" w:after="0" w:afterAutospacing="0"/>
        <w:ind w:left="567" w:right="902"/>
        <w:jc w:val="both"/>
      </w:pPr>
      <w:r>
        <w:rPr>
          <w:rFonts w:ascii="Palatino Linotype" w:hAnsi="Palatino Linotype"/>
          <w:b/>
          <w:bCs/>
          <w:i/>
          <w:iCs/>
          <w:color w:val="000000"/>
          <w:sz w:val="22"/>
          <w:szCs w:val="22"/>
        </w:rPr>
        <w:t>En su caso, 15 días hábiles después de alguna modificación a la información de los servidores públicos que integran el sujeto obligado, así como su información curricular.</w:t>
      </w:r>
    </w:p>
    <w:p w:rsidR="00077DBE" w:rsidRDefault="00077DBE" w:rsidP="00077DBE">
      <w:pPr>
        <w:pStyle w:val="NormalWeb"/>
        <w:spacing w:before="0" w:beforeAutospacing="0" w:after="0" w:afterAutospacing="0"/>
        <w:ind w:left="567" w:right="902"/>
        <w:jc w:val="both"/>
      </w:pPr>
      <w:r>
        <w:rPr>
          <w:rFonts w:ascii="Palatino Linotype" w:hAnsi="Palatino Linotype"/>
          <w:b/>
          <w:bCs/>
          <w:i/>
          <w:iCs/>
          <w:color w:val="000000"/>
          <w:sz w:val="22"/>
          <w:szCs w:val="22"/>
        </w:rPr>
        <w:t>Conservar en el sitio de Internet: información vigente </w:t>
      </w:r>
    </w:p>
    <w:p w:rsidR="00077DBE" w:rsidRDefault="00077DBE" w:rsidP="00077DBE">
      <w:pPr>
        <w:pStyle w:val="NormalWeb"/>
        <w:spacing w:before="0" w:beforeAutospacing="0" w:after="0" w:afterAutospacing="0"/>
        <w:ind w:left="567" w:right="902"/>
        <w:jc w:val="both"/>
      </w:pPr>
      <w:r>
        <w:rPr>
          <w:rFonts w:ascii="Palatino Linotype" w:hAnsi="Palatino Linotype"/>
          <w:b/>
          <w:bCs/>
          <w:i/>
          <w:iCs/>
          <w:color w:val="000000"/>
          <w:sz w:val="22"/>
          <w:szCs w:val="22"/>
        </w:rPr>
        <w:t>Aplica a: todos los sujetos obligados</w:t>
      </w:r>
      <w:r>
        <w:rPr>
          <w:rFonts w:ascii="Palatino Linotype" w:hAnsi="Palatino Linotype"/>
          <w:i/>
          <w:iCs/>
          <w:color w:val="000000"/>
          <w:sz w:val="22"/>
          <w:szCs w:val="22"/>
        </w:rPr>
        <w:t>”(Sic)</w:t>
      </w:r>
    </w:p>
    <w:p w:rsidR="00077DBE" w:rsidRDefault="00077DBE" w:rsidP="00077DBE"/>
    <w:p w:rsidR="00077DBE" w:rsidRDefault="00077DBE" w:rsidP="00077DBE">
      <w:pPr>
        <w:pStyle w:val="NormalWeb"/>
        <w:spacing w:before="0" w:beforeAutospacing="0" w:after="240" w:afterAutospacing="0"/>
        <w:ind w:right="51"/>
        <w:jc w:val="both"/>
      </w:pPr>
      <w:r>
        <w:rPr>
          <w:rFonts w:ascii="Palatino Linotype" w:hAnsi="Palatino Linotype"/>
          <w:noProof/>
          <w:color w:val="000000"/>
          <w:bdr w:val="none" w:sz="0" w:space="0" w:color="auto" w:frame="1"/>
          <w:lang w:val="es-MX"/>
        </w:rPr>
        <w:drawing>
          <wp:inline distT="0" distB="0" distL="0" distR="0" wp14:anchorId="4B3012BA" wp14:editId="426FA055">
            <wp:extent cx="5920915" cy="3781425"/>
            <wp:effectExtent l="0" t="0" r="3810" b="0"/>
            <wp:docPr id="12" name="Imagen 12" descr="https://lh3.googleusercontent.com/f_V3NsuA-nem8tRU471_Ufr4-7R1s8DE2ydURxlYe95EVRR2SxDCTnb4Xz1Rkq1mwILPNlGkUB7SXVHnhYs33rwZcQbaej2zRMleWTQIDhD1SBRoQJjevevLrUKTCjaaNQXvQ4_jSnbmcDd3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_V3NsuA-nem8tRU471_Ufr4-7R1s8DE2ydURxlYe95EVRR2SxDCTnb4Xz1Rkq1mwILPNlGkUB7SXVHnhYs33rwZcQbaej2zRMleWTQIDhD1SBRoQJjevevLrUKTCjaaNQXvQ4_jSnbmcDd3l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2144" cy="3782210"/>
                    </a:xfrm>
                    <a:prstGeom prst="rect">
                      <a:avLst/>
                    </a:prstGeom>
                    <a:noFill/>
                    <a:ln>
                      <a:noFill/>
                    </a:ln>
                  </pic:spPr>
                </pic:pic>
              </a:graphicData>
            </a:graphic>
          </wp:inline>
        </w:drawing>
      </w:r>
    </w:p>
    <w:p w:rsidR="00077DBE" w:rsidRDefault="00077DBE" w:rsidP="00077DBE">
      <w:pPr>
        <w:pStyle w:val="NormalWeb"/>
        <w:spacing w:before="240" w:beforeAutospacing="0" w:after="240" w:afterAutospacing="0"/>
        <w:ind w:right="51"/>
        <w:jc w:val="both"/>
      </w:pPr>
      <w:r>
        <w:rPr>
          <w:rFonts w:ascii="Palatino Linotype" w:hAnsi="Palatino Linotype"/>
          <w:noProof/>
          <w:color w:val="FF0000"/>
          <w:bdr w:val="none" w:sz="0" w:space="0" w:color="auto" w:frame="1"/>
          <w:shd w:val="clear" w:color="auto" w:fill="00FF00"/>
          <w:lang w:val="es-MX"/>
        </w:rPr>
        <w:lastRenderedPageBreak/>
        <w:drawing>
          <wp:inline distT="0" distB="0" distL="0" distR="0" wp14:anchorId="0E4B3ADF" wp14:editId="318B0DCB">
            <wp:extent cx="5610225" cy="4105275"/>
            <wp:effectExtent l="0" t="0" r="9525" b="9525"/>
            <wp:docPr id="13" name="Imagen 13" descr="https://lh4.googleusercontent.com/KVlicySsC8WTK0Gp1idcfPz6JoA0RUGrK8HJLw2I_DXGqud3WqSGBiYvtTekvnvVzkircI6_f5mYVk1GvvJK7sWyBybkPbOi-WPmVNsEOUXMM6YepBiyceFPxWNMJerNnScNHKfUb0xWhMP2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VlicySsC8WTK0Gp1idcfPz6JoA0RUGrK8HJLw2I_DXGqud3WqSGBiYvtTekvnvVzkircI6_f5mYVk1GvvJK7sWyBybkPbOi-WPmVNsEOUXMM6YepBiyceFPxWNMJerNnScNHKfUb0xWhMP2Y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4105275"/>
                    </a:xfrm>
                    <a:prstGeom prst="rect">
                      <a:avLst/>
                    </a:prstGeom>
                    <a:noFill/>
                    <a:ln>
                      <a:noFill/>
                    </a:ln>
                  </pic:spPr>
                </pic:pic>
              </a:graphicData>
            </a:graphic>
          </wp:inline>
        </w:drawing>
      </w:r>
    </w:p>
    <w:p w:rsidR="00077DBE" w:rsidRDefault="00077DBE" w:rsidP="00077DBE">
      <w:pPr>
        <w:pStyle w:val="NormalWeb"/>
        <w:spacing w:before="240" w:beforeAutospacing="0" w:after="240" w:afterAutospacing="0" w:line="360" w:lineRule="auto"/>
        <w:ind w:right="51"/>
        <w:jc w:val="both"/>
      </w:pPr>
      <w:r>
        <w:rPr>
          <w:rFonts w:ascii="Palatino Linotype" w:hAnsi="Palatino Linotype"/>
          <w:color w:val="000000"/>
        </w:rPr>
        <w:t xml:space="preserve">Como se aprecia en el dispositivo legal citado, lo sujetos obligados deben publicar la información curricular desde el nivel del jefe de departamento o equivalente, hasta el titular del </w:t>
      </w:r>
      <w:r>
        <w:rPr>
          <w:rFonts w:ascii="Palatino Linotype" w:hAnsi="Palatino Linotype"/>
          <w:b/>
          <w:bCs/>
          <w:color w:val="000000"/>
        </w:rPr>
        <w:t xml:space="preserve">Sujeto Obligado, </w:t>
      </w:r>
      <w:r>
        <w:rPr>
          <w:rFonts w:ascii="Palatino Linotype" w:hAnsi="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Pr>
          <w:rFonts w:ascii="Palatino Linotype" w:hAnsi="Palatino Linotype"/>
          <w:b/>
          <w:bCs/>
          <w:color w:val="000000"/>
        </w:rPr>
        <w:t xml:space="preserve"> </w:t>
      </w:r>
      <w:r>
        <w:rPr>
          <w:rFonts w:ascii="Palatino Linotype" w:hAnsi="Palatino Linotype"/>
          <w:color w:val="000000"/>
        </w:rPr>
        <w:t>óbice para que se encuentre impedido a contar con dicha información respecto de todos los servidores públicos con los que tenga una relación laboral.</w:t>
      </w:r>
    </w:p>
    <w:p w:rsidR="00077DBE" w:rsidRDefault="00077DBE" w:rsidP="00077DBE">
      <w:pPr>
        <w:pStyle w:val="NormalWeb"/>
        <w:spacing w:before="240" w:beforeAutospacing="0" w:after="240" w:afterAutospacing="0" w:line="360" w:lineRule="auto"/>
        <w:ind w:right="-234"/>
        <w:jc w:val="both"/>
      </w:pPr>
      <w:r>
        <w:rPr>
          <w:rFonts w:ascii="Palatino Linotype" w:hAnsi="Palatino Linotype"/>
          <w:color w:val="000000"/>
        </w:rPr>
        <w:lastRenderedPageBreak/>
        <w:t>De lo anterior,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077DBE" w:rsidRDefault="00077DBE" w:rsidP="00077DBE">
      <w:pPr>
        <w:pStyle w:val="NormalWeb"/>
        <w:spacing w:before="240" w:beforeAutospacing="0" w:after="240" w:afterAutospacing="0" w:line="360" w:lineRule="auto"/>
        <w:ind w:right="-234"/>
        <w:jc w:val="both"/>
      </w:pPr>
      <w:r>
        <w:rPr>
          <w:rFonts w:ascii="Palatino Linotype" w:hAnsi="Palatino Linotype"/>
          <w:color w:val="000000"/>
        </w:rPr>
        <w:t>A mayor abundamiento conviene mencionar, el Criterio 03/09 emitido por el Pleno del entonces Instituto Federal de Acceso a la Información y Protección de Datos establece que: </w:t>
      </w:r>
    </w:p>
    <w:p w:rsidR="00077DBE" w:rsidRDefault="00077DBE" w:rsidP="00077DBE">
      <w:pPr>
        <w:pStyle w:val="NormalWeb"/>
        <w:spacing w:before="240" w:beforeAutospacing="0" w:after="240" w:afterAutospacing="0"/>
        <w:ind w:left="851" w:right="900"/>
        <w:jc w:val="both"/>
      </w:pPr>
      <w:r>
        <w:rPr>
          <w:rFonts w:ascii="Palatino Linotype" w:hAnsi="Palatino Linotype"/>
          <w:i/>
          <w:iCs/>
          <w:color w:val="000000"/>
          <w:sz w:val="22"/>
          <w:szCs w:val="22"/>
        </w:rPr>
        <w:t>“Curriculum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rsidR="00077DBE" w:rsidRDefault="00077DBE" w:rsidP="00077DBE">
      <w:pPr>
        <w:pStyle w:val="NormalWeb"/>
        <w:spacing w:before="240" w:beforeAutospacing="0" w:after="0" w:afterAutospacing="0" w:line="360" w:lineRule="auto"/>
        <w:jc w:val="both"/>
        <w:rPr>
          <w:rFonts w:ascii="Palatino Linotype" w:hAnsi="Palatino Linotype"/>
          <w:color w:val="000000"/>
        </w:rPr>
      </w:pPr>
      <w:r>
        <w:rPr>
          <w:rFonts w:ascii="Palatino Linotype" w:hAnsi="Palatino Linotype"/>
          <w:color w:val="000000"/>
        </w:rPr>
        <w:lastRenderedPageBreak/>
        <w:t>Por lo que se estima que, en el presente punto, es procedente la entrega del curriculum vitae o ficha curricular de los servidores públicos adscritos a la Oficina de Presidencia y Secretaría Particular, vigentes al diecisiete de marzo del año dos mil veintidós y de ser procedente en versión pública conforme a lo señalado por el considerando quinto del presente fallo.</w:t>
      </w:r>
    </w:p>
    <w:p w:rsidR="00077DBE" w:rsidRPr="00085742" w:rsidRDefault="00085742" w:rsidP="007D5748">
      <w:pPr>
        <w:spacing w:line="360" w:lineRule="auto"/>
        <w:jc w:val="both"/>
        <w:rPr>
          <w:rFonts w:ascii="Palatino Linotype" w:hAnsi="Palatino Linotype"/>
          <w:b/>
        </w:rPr>
      </w:pPr>
      <w:r w:rsidRPr="00085742">
        <w:rPr>
          <w:rFonts w:ascii="Palatino Linotype" w:hAnsi="Palatino Linotype"/>
          <w:b/>
        </w:rPr>
        <w:t>Gafetes</w:t>
      </w:r>
    </w:p>
    <w:p w:rsidR="00085742" w:rsidRPr="00085742" w:rsidRDefault="00085742" w:rsidP="00085742">
      <w:pPr>
        <w:spacing w:before="240" w:after="240" w:line="360" w:lineRule="auto"/>
        <w:ind w:right="51"/>
        <w:jc w:val="both"/>
        <w:rPr>
          <w:rFonts w:ascii="Palatino Linotype" w:hAnsi="Palatino Linotype" w:cs="Arial"/>
          <w:lang w:eastAsia="es-ES"/>
        </w:rPr>
      </w:pPr>
      <w:r>
        <w:rPr>
          <w:rFonts w:ascii="Palatino Linotype" w:hAnsi="Palatino Linotype" w:cs="Arial"/>
          <w:lang w:eastAsia="es-ES"/>
        </w:rPr>
        <w:t xml:space="preserve">Al </w:t>
      </w:r>
      <w:r w:rsidRPr="00085742">
        <w:rPr>
          <w:rFonts w:ascii="Palatino Linotype" w:hAnsi="Palatino Linotype" w:cs="Arial"/>
          <w:lang w:eastAsia="es-ES"/>
        </w:rPr>
        <w:t xml:space="preserve">respecto, resulta oportuno traer a colación lo previsto por la </w:t>
      </w:r>
      <w:r>
        <w:rPr>
          <w:rFonts w:ascii="Palatino Linotype" w:hAnsi="Palatino Linotype" w:cs="Arial"/>
          <w:lang w:eastAsia="es-ES"/>
        </w:rPr>
        <w:t xml:space="preserve">multicitada </w:t>
      </w:r>
      <w:r w:rsidRPr="00085742">
        <w:rPr>
          <w:rFonts w:ascii="Palatino Linotype" w:hAnsi="Palatino Linotype" w:cs="Arial"/>
          <w:i/>
          <w:lang w:eastAsia="es-ES"/>
        </w:rPr>
        <w:t xml:space="preserve">Ley del Trabajo de los Servidores Públicos del Estado de México, </w:t>
      </w:r>
      <w:r w:rsidRPr="00085742">
        <w:rPr>
          <w:rFonts w:ascii="Palatino Linotype" w:hAnsi="Palatino Linotype" w:cs="Arial"/>
          <w:lang w:eastAsia="es-ES"/>
        </w:rPr>
        <w:t>que tiene por objeto regular las relaciones de trabajo comprendidas entre los poderes públicos del Estado y los Municipios, y sus respectivos servidores públicos</w:t>
      </w:r>
      <w:r w:rsidRPr="00085742">
        <w:rPr>
          <w:rFonts w:ascii="Palatino Linotype" w:hAnsi="Palatino Linotype" w:cs="Arial"/>
          <w:vertAlign w:val="superscript"/>
          <w:lang w:eastAsia="es-ES"/>
        </w:rPr>
        <w:footnoteReference w:id="6"/>
      </w:r>
      <w:r w:rsidRPr="00085742">
        <w:rPr>
          <w:rFonts w:ascii="Palatino Linotype" w:hAnsi="Palatino Linotype" w:cs="Arial"/>
          <w:lang w:eastAsia="es-ES"/>
        </w:rPr>
        <w:t>,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085742" w:rsidRPr="00085742" w:rsidRDefault="00085742" w:rsidP="00085742">
      <w:pPr>
        <w:spacing w:before="240" w:after="240"/>
        <w:ind w:left="851" w:right="900"/>
        <w:jc w:val="both"/>
        <w:rPr>
          <w:rFonts w:ascii="Palatino Linotype" w:hAnsi="Palatino Linotype"/>
          <w:i/>
          <w:sz w:val="22"/>
          <w:lang w:eastAsia="es-ES"/>
        </w:rPr>
      </w:pPr>
      <w:r w:rsidRPr="00085742">
        <w:rPr>
          <w:rFonts w:ascii="Palatino Linotype" w:hAnsi="Palatino Linotype" w:cs="Arial"/>
          <w:sz w:val="22"/>
          <w:lang w:eastAsia="es-ES"/>
        </w:rPr>
        <w:t>“</w:t>
      </w:r>
      <w:r w:rsidRPr="00085742">
        <w:rPr>
          <w:rFonts w:ascii="Palatino Linotype" w:hAnsi="Palatino Linotype"/>
          <w:b/>
          <w:i/>
          <w:sz w:val="22"/>
          <w:lang w:eastAsia="es-ES"/>
        </w:rPr>
        <w:t>ARTÍCULO 5.-</w:t>
      </w:r>
      <w:r w:rsidRPr="00085742">
        <w:rPr>
          <w:rFonts w:ascii="Palatino Linotype" w:hAnsi="Palatino Linotype"/>
          <w:i/>
          <w:sz w:val="22"/>
          <w:lang w:eastAsia="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085742" w:rsidRPr="00085742" w:rsidRDefault="00085742" w:rsidP="00085742">
      <w:pPr>
        <w:spacing w:before="240" w:after="240"/>
        <w:ind w:left="851" w:right="900"/>
        <w:jc w:val="both"/>
        <w:rPr>
          <w:rFonts w:ascii="Palatino Linotype" w:hAnsi="Palatino Linotype" w:cs="Arial"/>
          <w:i/>
          <w:sz w:val="22"/>
          <w:lang w:eastAsia="es-ES"/>
        </w:rPr>
      </w:pPr>
      <w:r w:rsidRPr="00085742">
        <w:rPr>
          <w:rFonts w:ascii="Palatino Linotype" w:hAnsi="Palatino Linotype"/>
          <w:i/>
          <w:sz w:val="22"/>
          <w:lang w:eastAsia="es-ES"/>
        </w:rPr>
        <w:t>Para los efectos de esta ley, las instituciones públicas estarán representadas por sus titulares.</w:t>
      </w:r>
      <w:r w:rsidRPr="00085742">
        <w:rPr>
          <w:rFonts w:ascii="Palatino Linotype" w:hAnsi="Palatino Linotype" w:cs="Arial"/>
          <w:i/>
          <w:sz w:val="22"/>
          <w:lang w:eastAsia="es-ES"/>
        </w:rPr>
        <w:t>”</w:t>
      </w:r>
    </w:p>
    <w:p w:rsidR="00085742" w:rsidRPr="00085742" w:rsidRDefault="00085742" w:rsidP="00085742">
      <w:pPr>
        <w:spacing w:before="240" w:after="240" w:line="360" w:lineRule="auto"/>
        <w:ind w:right="51"/>
        <w:jc w:val="both"/>
        <w:rPr>
          <w:rFonts w:ascii="Palatino Linotype" w:hAnsi="Palatino Linotype" w:cs="Arial"/>
          <w:lang w:eastAsia="es-ES"/>
        </w:rPr>
      </w:pPr>
      <w:r w:rsidRPr="00085742">
        <w:rPr>
          <w:rFonts w:ascii="Palatino Linotype" w:hAnsi="Palatino Linotype" w:cs="Arial"/>
          <w:lang w:eastAsia="es-ES"/>
        </w:rPr>
        <w:t xml:space="preserve">Correlacionado con lo arriba señalado, los servidores públicos que ingresan al servicio público, deben cumplir ciertos requisitos, de los cuales podría desprenderse </w:t>
      </w:r>
      <w:r w:rsidRPr="00085742">
        <w:rPr>
          <w:rFonts w:ascii="Palatino Linotype" w:hAnsi="Palatino Linotype" w:cs="Arial"/>
          <w:lang w:eastAsia="es-ES"/>
        </w:rPr>
        <w:lastRenderedPageBreak/>
        <w:t>la información solicitada</w:t>
      </w:r>
      <w:r w:rsidRPr="00085742">
        <w:rPr>
          <w:rFonts w:ascii="Palatino Linotype" w:hAnsi="Palatino Linotype" w:cs="Arial"/>
          <w:sz w:val="22"/>
          <w:lang w:eastAsia="es-ES"/>
        </w:rPr>
        <w:t xml:space="preserve">, </w:t>
      </w:r>
      <w:r w:rsidRPr="00085742">
        <w:rPr>
          <w:rFonts w:ascii="Palatino Linotype" w:hAnsi="Palatino Linotype" w:cs="Arial"/>
          <w:lang w:eastAsia="es-ES"/>
        </w:rPr>
        <w:t>requisitos que se encuentran establecidos en el  artículo 47 de la Ley en cita, a saber:</w:t>
      </w:r>
    </w:p>
    <w:p w:rsidR="00085742" w:rsidRPr="00085742" w:rsidRDefault="00085742" w:rsidP="00085742">
      <w:pPr>
        <w:spacing w:before="120" w:after="120"/>
        <w:ind w:left="851" w:right="902"/>
        <w:jc w:val="both"/>
        <w:rPr>
          <w:rFonts w:ascii="Palatino Linotype" w:hAnsi="Palatino Linotype"/>
          <w:i/>
          <w:sz w:val="22"/>
          <w:lang w:eastAsia="es-ES"/>
        </w:rPr>
      </w:pPr>
      <w:r w:rsidRPr="00085742">
        <w:rPr>
          <w:rFonts w:ascii="Palatino Linotype" w:hAnsi="Palatino Linotype"/>
          <w:i/>
          <w:sz w:val="22"/>
          <w:lang w:eastAsia="es-ES"/>
        </w:rPr>
        <w:t xml:space="preserve"> “</w:t>
      </w:r>
      <w:r w:rsidRPr="00085742">
        <w:rPr>
          <w:rFonts w:ascii="Palatino Linotype" w:hAnsi="Palatino Linotype"/>
          <w:b/>
          <w:i/>
          <w:sz w:val="22"/>
          <w:lang w:eastAsia="es-ES"/>
        </w:rPr>
        <w:t>ARTÍCULO 47</w:t>
      </w:r>
      <w:r w:rsidRPr="00085742">
        <w:rPr>
          <w:rFonts w:ascii="Palatino Linotype" w:hAnsi="Palatino Linotype"/>
          <w:i/>
          <w:sz w:val="22"/>
          <w:lang w:eastAsia="es-ES"/>
        </w:rPr>
        <w:t xml:space="preserve">. Para ingresar al servicio público se requiere: </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I.</w:t>
      </w:r>
      <w:r w:rsidRPr="00085742">
        <w:rPr>
          <w:rFonts w:ascii="Palatino Linotype" w:hAnsi="Palatino Linotype"/>
          <w:i/>
          <w:sz w:val="22"/>
          <w:lang w:eastAsia="es-ES"/>
        </w:rPr>
        <w:t xml:space="preserve"> Presentar una solicitud utilizando la forma oficial que se autorice por la institución pública o dependencia correspondiente; </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II.</w:t>
      </w:r>
      <w:r w:rsidRPr="00085742">
        <w:rPr>
          <w:rFonts w:ascii="Palatino Linotype" w:hAnsi="Palatino Linotype"/>
          <w:i/>
          <w:sz w:val="22"/>
          <w:lang w:eastAsia="es-ES"/>
        </w:rPr>
        <w:t xml:space="preserve"> Ser de nacionalidad mexicana, con la excepción prevista en el artículo 17 de la presente ley; </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III.</w:t>
      </w:r>
      <w:r w:rsidRPr="00085742">
        <w:rPr>
          <w:rFonts w:ascii="Palatino Linotype" w:hAnsi="Palatino Linotype"/>
          <w:i/>
          <w:sz w:val="22"/>
          <w:lang w:eastAsia="es-ES"/>
        </w:rPr>
        <w:t xml:space="preserve"> Estar en pleno ejercicio de sus derechos civiles y políticos, en su caso;</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IV.</w:t>
      </w:r>
      <w:r w:rsidRPr="00085742">
        <w:rPr>
          <w:rFonts w:ascii="Palatino Linotype" w:hAnsi="Palatino Linotype"/>
          <w:i/>
          <w:sz w:val="22"/>
          <w:lang w:eastAsia="es-ES"/>
        </w:rPr>
        <w:t xml:space="preserve"> Acreditar, cuando proceda, el cumplimiento de la Ley del Servicio Militar Nacional;</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V.</w:t>
      </w:r>
      <w:r w:rsidRPr="00085742">
        <w:rPr>
          <w:rFonts w:ascii="Palatino Linotype" w:hAnsi="Palatino Linotype"/>
          <w:i/>
          <w:sz w:val="22"/>
          <w:lang w:eastAsia="es-ES"/>
        </w:rPr>
        <w:t xml:space="preserve"> Derogada. </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VI.</w:t>
      </w:r>
      <w:r w:rsidRPr="00085742">
        <w:rPr>
          <w:rFonts w:ascii="Palatino Linotype" w:hAnsi="Palatino Linotype"/>
          <w:i/>
          <w:sz w:val="22"/>
          <w:lang w:eastAsia="es-ES"/>
        </w:rPr>
        <w:t xml:space="preserve"> No haber sido separado anteriormente del servicio por las causas previstas en el artículo 93 de la presente ley; </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VII.</w:t>
      </w:r>
      <w:r w:rsidRPr="00085742">
        <w:rPr>
          <w:rFonts w:ascii="Palatino Linotype" w:hAnsi="Palatino Linotype"/>
          <w:i/>
          <w:sz w:val="22"/>
          <w:lang w:eastAsia="es-ES"/>
        </w:rPr>
        <w:t xml:space="preserve"> Tener buena salud, lo que se comprobará con los certificados médicos correspondientes, en la forma en que se establezca en cada institución pública; </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VIII.</w:t>
      </w:r>
      <w:r w:rsidRPr="00085742">
        <w:rPr>
          <w:rFonts w:ascii="Palatino Linotype" w:hAnsi="Palatino Linotype"/>
          <w:i/>
          <w:sz w:val="22"/>
          <w:lang w:eastAsia="es-ES"/>
        </w:rPr>
        <w:t xml:space="preserve"> Cumplir con los requisitos que se establezcan para los diferentes puestos; </w:t>
      </w:r>
    </w:p>
    <w:p w:rsidR="00085742" w:rsidRPr="00085742" w:rsidRDefault="00085742" w:rsidP="00085742">
      <w:pPr>
        <w:spacing w:before="120" w:after="120"/>
        <w:ind w:left="993" w:right="902"/>
        <w:jc w:val="both"/>
        <w:rPr>
          <w:rFonts w:ascii="Palatino Linotype" w:hAnsi="Palatino Linotype" w:cs="Arial"/>
          <w:i/>
          <w:sz w:val="22"/>
          <w:lang w:eastAsia="es-ES"/>
        </w:rPr>
      </w:pPr>
      <w:r w:rsidRPr="00085742">
        <w:rPr>
          <w:rFonts w:ascii="Palatino Linotype" w:hAnsi="Palatino Linotype"/>
          <w:i/>
          <w:sz w:val="22"/>
          <w:lang w:eastAsia="es-ES"/>
        </w:rPr>
        <w:t>IX. Acreditar por medio de los exámenes correspondientes los conocimientos y aptitudes necesarios para el desempeño del puesto; y</w:t>
      </w:r>
      <w:r w:rsidRPr="00085742">
        <w:rPr>
          <w:rFonts w:ascii="Palatino Linotype" w:hAnsi="Palatino Linotype" w:cs="Arial"/>
          <w:i/>
          <w:sz w:val="22"/>
          <w:lang w:eastAsia="es-ES"/>
        </w:rPr>
        <w:t xml:space="preserve"> </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i/>
          <w:sz w:val="22"/>
          <w:lang w:eastAsia="es-ES"/>
        </w:rPr>
        <w:t xml:space="preserve">X. No estar inhabilitado para el ejercicio del servicio público. </w:t>
      </w:r>
    </w:p>
    <w:p w:rsidR="00085742" w:rsidRPr="00085742" w:rsidRDefault="00085742" w:rsidP="00085742">
      <w:pPr>
        <w:spacing w:before="120" w:after="120"/>
        <w:ind w:left="993" w:right="902"/>
        <w:jc w:val="both"/>
        <w:rPr>
          <w:rFonts w:ascii="Palatino Linotype" w:hAnsi="Palatino Linotype"/>
          <w:i/>
          <w:sz w:val="22"/>
          <w:lang w:eastAsia="es-ES"/>
        </w:rPr>
      </w:pPr>
      <w:r w:rsidRPr="00085742">
        <w:rPr>
          <w:rFonts w:ascii="Palatino Linotype" w:hAnsi="Palatino Linotype"/>
          <w:b/>
          <w:i/>
          <w:sz w:val="22"/>
          <w:lang w:eastAsia="es-ES"/>
        </w:rPr>
        <w:t>XI.</w:t>
      </w:r>
      <w:r w:rsidRPr="00085742">
        <w:rPr>
          <w:rFonts w:ascii="Palatino Linotype" w:hAnsi="Palatino Linotype"/>
          <w:i/>
          <w:sz w:val="22"/>
          <w:lang w:eastAsia="es-ES"/>
        </w:rPr>
        <w:t xml:space="preserve"> Presentar certificado expedido por la Unidad del Registro de Deudores Alimentarios Morosos en el que conste, si se encuentra inscrito o no en el mismo. </w:t>
      </w:r>
    </w:p>
    <w:p w:rsidR="00085742" w:rsidRPr="00085742" w:rsidRDefault="00085742" w:rsidP="00085742">
      <w:pPr>
        <w:spacing w:before="120" w:after="120"/>
        <w:ind w:left="851" w:right="902"/>
        <w:jc w:val="both"/>
        <w:rPr>
          <w:rFonts w:ascii="Palatino Linotype" w:hAnsi="Palatino Linotype" w:cs="Arial"/>
          <w:sz w:val="22"/>
          <w:lang w:eastAsia="es-ES"/>
        </w:rPr>
      </w:pPr>
      <w:r w:rsidRPr="00085742">
        <w:rPr>
          <w:rFonts w:ascii="Palatino Linotype" w:hAnsi="Palatino Linotype"/>
          <w:i/>
          <w:sz w:val="22"/>
          <w:lang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085742">
        <w:rPr>
          <w:rFonts w:ascii="Palatino Linotype" w:hAnsi="Palatino Linotype"/>
          <w:sz w:val="22"/>
          <w:lang w:eastAsia="es-ES"/>
        </w:rPr>
        <w:t>.”</w:t>
      </w:r>
    </w:p>
    <w:p w:rsidR="00085742" w:rsidRPr="00085742" w:rsidRDefault="00085742" w:rsidP="00085742">
      <w:pPr>
        <w:spacing w:before="100" w:beforeAutospacing="1" w:after="100" w:afterAutospacing="1" w:line="360" w:lineRule="auto"/>
        <w:jc w:val="both"/>
        <w:rPr>
          <w:rFonts w:ascii="Palatino Linotype" w:hAnsi="Palatino Linotype" w:cs="Arial"/>
          <w:lang w:eastAsia="es-ES"/>
        </w:rPr>
      </w:pPr>
      <w:r w:rsidRPr="00085742">
        <w:rPr>
          <w:rFonts w:ascii="Palatino Linotype" w:hAnsi="Palatino Linotype" w:cs="Arial"/>
          <w:lang w:eastAsia="es-ES"/>
        </w:rPr>
        <w:t xml:space="preserve">Del precepto citado se advierte que para formar parte del servicio público, los interesados deben cumplir con los elementos señalados, así como aquellos requisitos que se establezcan para los diferentes puestos, siendo obligación de las instituciones </w:t>
      </w:r>
    </w:p>
    <w:p w:rsidR="00085742" w:rsidRPr="00085742" w:rsidRDefault="00085742" w:rsidP="00085742">
      <w:pPr>
        <w:spacing w:before="100" w:beforeAutospacing="1" w:after="100" w:afterAutospacing="1" w:line="360" w:lineRule="auto"/>
        <w:jc w:val="both"/>
        <w:rPr>
          <w:rFonts w:ascii="Palatino Linotype" w:hAnsi="Palatino Linotype" w:cs="Arial"/>
          <w:lang w:eastAsia="es-ES"/>
        </w:rPr>
      </w:pPr>
    </w:p>
    <w:p w:rsidR="00085742" w:rsidRPr="00085742" w:rsidRDefault="00085742" w:rsidP="00085742">
      <w:pPr>
        <w:spacing w:before="100" w:beforeAutospacing="1" w:after="100" w:afterAutospacing="1" w:line="360" w:lineRule="auto"/>
        <w:jc w:val="both"/>
        <w:rPr>
          <w:rFonts w:ascii="Palatino Linotype" w:hAnsi="Palatino Linotype" w:cs="Arial"/>
          <w:lang w:eastAsia="es-ES"/>
        </w:rPr>
      </w:pPr>
      <w:r w:rsidRPr="00085742">
        <w:rPr>
          <w:rFonts w:ascii="Palatino Linotype" w:hAnsi="Palatino Linotype" w:cs="Arial"/>
          <w:lang w:eastAsia="es-ES"/>
        </w:rPr>
        <w:t xml:space="preserve">públicas integrar los expedientes correspondientes, en términos del artículo 98 fracción XVII de la </w:t>
      </w:r>
      <w:r w:rsidRPr="00085742">
        <w:rPr>
          <w:rFonts w:ascii="Palatino Linotype" w:hAnsi="Palatino Linotype" w:cs="Arial"/>
          <w:i/>
          <w:lang w:eastAsia="es-ES"/>
        </w:rPr>
        <w:t xml:space="preserve">Ley del Trabajo de los Servidores Públicos del Estado de México, </w:t>
      </w:r>
      <w:r w:rsidRPr="00085742">
        <w:rPr>
          <w:rFonts w:ascii="Palatino Linotype" w:hAnsi="Palatino Linotype" w:cs="Arial"/>
          <w:lang w:eastAsia="es-ES"/>
        </w:rPr>
        <w:t>que es del tenor literal siguiente:</w:t>
      </w:r>
    </w:p>
    <w:p w:rsidR="00085742" w:rsidRPr="00085742" w:rsidRDefault="00085742" w:rsidP="00085742">
      <w:pPr>
        <w:spacing w:before="120" w:after="120"/>
        <w:ind w:left="851" w:right="902"/>
        <w:jc w:val="both"/>
        <w:rPr>
          <w:rFonts w:ascii="Palatino Linotype" w:hAnsi="Palatino Linotype"/>
          <w:i/>
          <w:sz w:val="22"/>
          <w:lang w:eastAsia="es-ES"/>
        </w:rPr>
      </w:pPr>
      <w:r w:rsidRPr="00085742">
        <w:rPr>
          <w:rFonts w:ascii="Palatino Linotype" w:hAnsi="Palatino Linotype"/>
          <w:i/>
          <w:sz w:val="22"/>
          <w:lang w:eastAsia="es-ES"/>
        </w:rPr>
        <w:t>“</w:t>
      </w:r>
      <w:r w:rsidRPr="00085742">
        <w:rPr>
          <w:rFonts w:ascii="Palatino Linotype" w:hAnsi="Palatino Linotype"/>
          <w:b/>
          <w:i/>
          <w:sz w:val="22"/>
          <w:lang w:eastAsia="es-ES"/>
        </w:rPr>
        <w:t>ARTÍCULO 98</w:t>
      </w:r>
      <w:r w:rsidRPr="00085742">
        <w:rPr>
          <w:rFonts w:ascii="Palatino Linotype" w:hAnsi="Palatino Linotype"/>
          <w:i/>
          <w:sz w:val="22"/>
          <w:lang w:eastAsia="es-ES"/>
        </w:rPr>
        <w:t xml:space="preserve">. </w:t>
      </w:r>
      <w:r w:rsidRPr="00085742">
        <w:rPr>
          <w:rFonts w:ascii="Palatino Linotype" w:hAnsi="Palatino Linotype"/>
          <w:b/>
          <w:i/>
          <w:sz w:val="22"/>
          <w:lang w:eastAsia="es-ES"/>
        </w:rPr>
        <w:t>Son obligaciones de las instituciones públicas</w:t>
      </w:r>
      <w:r w:rsidRPr="00085742">
        <w:rPr>
          <w:rFonts w:ascii="Palatino Linotype" w:hAnsi="Palatino Linotype"/>
          <w:i/>
          <w:sz w:val="22"/>
          <w:lang w:eastAsia="es-ES"/>
        </w:rPr>
        <w:t>:</w:t>
      </w:r>
    </w:p>
    <w:p w:rsidR="00085742" w:rsidRPr="00085742" w:rsidRDefault="00085742" w:rsidP="00085742">
      <w:pPr>
        <w:spacing w:before="120" w:after="120"/>
        <w:ind w:left="851" w:right="902"/>
        <w:jc w:val="both"/>
        <w:rPr>
          <w:rFonts w:ascii="Palatino Linotype" w:hAnsi="Palatino Linotype"/>
          <w:i/>
          <w:sz w:val="22"/>
          <w:lang w:eastAsia="es-ES"/>
        </w:rPr>
      </w:pPr>
      <w:r w:rsidRPr="00085742">
        <w:rPr>
          <w:rFonts w:ascii="Palatino Linotype" w:hAnsi="Palatino Linotype"/>
          <w:i/>
          <w:sz w:val="22"/>
          <w:lang w:eastAsia="es-ES"/>
        </w:rPr>
        <w:t>…</w:t>
      </w:r>
    </w:p>
    <w:p w:rsidR="00085742" w:rsidRPr="00085742" w:rsidRDefault="00085742" w:rsidP="00085742">
      <w:pPr>
        <w:spacing w:before="120" w:after="120"/>
        <w:ind w:left="851" w:right="902"/>
        <w:jc w:val="both"/>
        <w:rPr>
          <w:rFonts w:ascii="Palatino Linotype" w:hAnsi="Palatino Linotype" w:cs="Arial"/>
          <w:i/>
          <w:sz w:val="22"/>
          <w:lang w:eastAsia="es-ES"/>
        </w:rPr>
      </w:pPr>
      <w:r w:rsidRPr="00085742">
        <w:rPr>
          <w:rFonts w:ascii="Palatino Linotype" w:hAnsi="Palatino Linotype"/>
          <w:b/>
          <w:i/>
          <w:sz w:val="22"/>
          <w:lang w:eastAsia="es-ES"/>
        </w:rPr>
        <w:t>XVII. Integrar los expedientes de los servidores públicos</w:t>
      </w:r>
      <w:r w:rsidRPr="00085742">
        <w:rPr>
          <w:rFonts w:ascii="Palatino Linotype" w:hAnsi="Palatino Linotype"/>
          <w:i/>
          <w:sz w:val="22"/>
          <w:lang w:eastAsia="es-ES"/>
        </w:rPr>
        <w:t xml:space="preserve"> y proporcionar las constancias que éstos soliciten para el trámite de los asuntos de su interés en los términos que señalen los ordenamientos respectivos.”</w:t>
      </w:r>
    </w:p>
    <w:p w:rsidR="00085742" w:rsidRPr="00085742" w:rsidRDefault="00085742" w:rsidP="00085742">
      <w:pPr>
        <w:spacing w:before="100" w:beforeAutospacing="1" w:after="100" w:afterAutospacing="1" w:line="360" w:lineRule="auto"/>
        <w:jc w:val="both"/>
        <w:rPr>
          <w:rFonts w:ascii="Palatino Linotype" w:hAnsi="Palatino Linotype" w:cs="Arial"/>
          <w:lang w:eastAsia="es-ES"/>
        </w:rPr>
      </w:pPr>
      <w:r w:rsidRPr="00085742">
        <w:rPr>
          <w:rFonts w:ascii="Palatino Linotype" w:hAnsi="Palatino Linotype" w:cs="Arial"/>
          <w:lang w:eastAsia="es-ES"/>
        </w:rPr>
        <w:t xml:space="preserve">En esta virtud, se asume que el </w:t>
      </w:r>
      <w:r w:rsidRPr="00085742">
        <w:rPr>
          <w:rFonts w:ascii="Palatino Linotype" w:hAnsi="Palatino Linotype" w:cs="Arial"/>
          <w:b/>
          <w:lang w:eastAsia="es-ES"/>
        </w:rPr>
        <w:t>Sujeto Obligado</w:t>
      </w:r>
      <w:r w:rsidRPr="00085742">
        <w:rPr>
          <w:rFonts w:ascii="Palatino Linotype" w:hAnsi="Palatino Linotype" w:cs="Arial"/>
          <w:lang w:eastAsia="es-ES"/>
        </w:rPr>
        <w:t xml:space="preserve"> al establecer las relaciones de trabajo con sus servidores públicos, debió integrar los expedientes laborales de los mismos como parte de sus obligaciones, asimismo, los interesados debieron presentar documentos para integrar su expediente laboral, entre los cuales podría localizarse el gafete o credencial de los servidores públicos.</w:t>
      </w:r>
    </w:p>
    <w:p w:rsidR="00085742" w:rsidRPr="00085742" w:rsidRDefault="00085742" w:rsidP="00085742">
      <w:pPr>
        <w:tabs>
          <w:tab w:val="left" w:pos="709"/>
        </w:tabs>
        <w:spacing w:line="360" w:lineRule="auto"/>
        <w:jc w:val="both"/>
        <w:rPr>
          <w:rFonts w:ascii="Palatino Linotype" w:hAnsi="Palatino Linotype" w:cs="Arial"/>
          <w:lang w:eastAsia="es-ES"/>
        </w:rPr>
      </w:pPr>
      <w:r w:rsidRPr="00085742">
        <w:rPr>
          <w:rFonts w:ascii="Palatino Linotype" w:hAnsi="Palatino Linotype" w:cs="Arial"/>
          <w:lang w:eastAsia="es-ES"/>
        </w:rPr>
        <w:t>En ese sentido, la Ley del Trabajo de los Servidores Públicos del Estado de México y Municipios, también determina en su artículo 49 los requisitos para tener por formalizada una relación de trabajo entre el servidor público y las entidades públicas, los cuales se enlistan a continuación:</w:t>
      </w:r>
    </w:p>
    <w:p w:rsidR="00085742" w:rsidRPr="00085742" w:rsidRDefault="00085742" w:rsidP="00085742">
      <w:pPr>
        <w:tabs>
          <w:tab w:val="left" w:pos="709"/>
        </w:tabs>
        <w:ind w:left="567" w:right="616"/>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“ARTÍCULO 49.- Los nombramientos, contratos o formato único de Movimientos de Personal de los servidores públicos deberán contener:</w:t>
      </w:r>
    </w:p>
    <w:p w:rsidR="00085742" w:rsidRPr="00085742" w:rsidRDefault="00085742" w:rsidP="00085742">
      <w:pPr>
        <w:tabs>
          <w:tab w:val="left" w:pos="709"/>
        </w:tabs>
        <w:ind w:left="567" w:right="616"/>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I. Nombre completo del servidor público;</w:t>
      </w:r>
    </w:p>
    <w:p w:rsidR="00085742" w:rsidRPr="00085742" w:rsidRDefault="00085742" w:rsidP="00085742">
      <w:pPr>
        <w:tabs>
          <w:tab w:val="left" w:pos="709"/>
        </w:tabs>
        <w:ind w:left="567" w:right="616"/>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II. Cargo para el que es designado, fecha de inicio de sus servicios y lugar de adscripción; III. Carácter del nombramiento, ya sea de servidores públicos generales o de confianza, así como la temporalidad del mismo;</w:t>
      </w:r>
    </w:p>
    <w:p w:rsidR="00085742" w:rsidRPr="00085742" w:rsidRDefault="00085742" w:rsidP="00085742">
      <w:pPr>
        <w:tabs>
          <w:tab w:val="left" w:pos="709"/>
        </w:tabs>
        <w:ind w:left="567" w:right="616"/>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IV. Remuneración correspondiente al puesto;</w:t>
      </w:r>
    </w:p>
    <w:p w:rsidR="00085742" w:rsidRPr="00085742" w:rsidRDefault="00085742" w:rsidP="00085742">
      <w:pPr>
        <w:tabs>
          <w:tab w:val="left" w:pos="709"/>
        </w:tabs>
        <w:ind w:left="567" w:right="616"/>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V. Jornada de trabajo;</w:t>
      </w:r>
    </w:p>
    <w:p w:rsidR="00085742" w:rsidRPr="00085742" w:rsidRDefault="00085742" w:rsidP="00085742">
      <w:pPr>
        <w:tabs>
          <w:tab w:val="left" w:pos="709"/>
        </w:tabs>
        <w:ind w:left="567" w:right="616"/>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lastRenderedPageBreak/>
        <w:t>VI. Derogada;</w:t>
      </w:r>
    </w:p>
    <w:p w:rsidR="00085742" w:rsidRPr="00085742" w:rsidRDefault="00085742" w:rsidP="00085742">
      <w:pPr>
        <w:tabs>
          <w:tab w:val="left" w:pos="709"/>
        </w:tabs>
        <w:spacing w:before="240"/>
        <w:ind w:left="567" w:right="616"/>
        <w:contextualSpacing/>
        <w:jc w:val="both"/>
        <w:rPr>
          <w:rFonts w:ascii="Palatino Linotype" w:hAnsi="Palatino Linotype" w:cs="Arial"/>
          <w:i/>
          <w:sz w:val="22"/>
          <w:szCs w:val="22"/>
          <w:lang w:eastAsia="es-ES"/>
        </w:rPr>
      </w:pPr>
      <w:r w:rsidRPr="00085742">
        <w:rPr>
          <w:rFonts w:ascii="Palatino Linotype" w:hAnsi="Palatino Linotype"/>
          <w:i/>
          <w:sz w:val="22"/>
          <w:szCs w:val="22"/>
          <w:lang w:eastAsia="es-ES"/>
        </w:rPr>
        <w:t>VII. Firma del servidor público autorizado para emitir el nombramiento, contrato o formato único de Movimientos de Personal, así como el fundamento legal de esa atribución.</w:t>
      </w:r>
      <w:r w:rsidRPr="00085742">
        <w:rPr>
          <w:rFonts w:ascii="Palatino Linotype" w:hAnsi="Palatino Linotype" w:cs="Arial"/>
          <w:i/>
          <w:sz w:val="22"/>
          <w:szCs w:val="22"/>
          <w:lang w:eastAsia="es-ES"/>
        </w:rPr>
        <w:t>”(Sic)</w:t>
      </w:r>
    </w:p>
    <w:p w:rsidR="00085742" w:rsidRPr="00085742" w:rsidRDefault="00085742" w:rsidP="00085742">
      <w:pPr>
        <w:tabs>
          <w:tab w:val="left" w:pos="709"/>
        </w:tabs>
        <w:spacing w:before="240" w:line="360" w:lineRule="auto"/>
        <w:jc w:val="both"/>
        <w:rPr>
          <w:rFonts w:ascii="Palatino Linotype" w:hAnsi="Palatino Linotype" w:cs="Arial"/>
          <w:lang w:eastAsia="es-ES"/>
        </w:rPr>
      </w:pPr>
      <w:r w:rsidRPr="00085742">
        <w:rPr>
          <w:rFonts w:ascii="Palatino Linotype" w:hAnsi="Palatino Linotype" w:cs="Arial"/>
          <w:lang w:eastAsia="es-ES"/>
        </w:rPr>
        <w:t>Del citado ordenamiento legal, se advierte que en los nombramientos, contratos o formatos únicos de movimiento de personal, deben contener, entre otros requisitos, la jornada de trabajo; es decir el periodo o espacio de tiempo por el cual el servidor público prestará su servicio al ente público del que se trate, lo que se robustece con lo establecido en los artículos 56 y 59 del mismo ordenamiento legal, que dispone lo siguiente:</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“ARTÍCULO 56. Las condiciones generales de trabajo, establecerán como mínimo:</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I. Duración de la jornada de trabajo.</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ARTÍCULO 59.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legales.”(Sic)</w:t>
      </w:r>
    </w:p>
    <w:p w:rsidR="00085742" w:rsidRPr="00085742" w:rsidRDefault="00085742" w:rsidP="00085742">
      <w:pPr>
        <w:tabs>
          <w:tab w:val="left" w:pos="709"/>
        </w:tabs>
        <w:spacing w:line="360" w:lineRule="auto"/>
        <w:jc w:val="both"/>
        <w:rPr>
          <w:rFonts w:ascii="Palatino Linotype" w:hAnsi="Palatino Linotype" w:cs="Arial"/>
          <w:lang w:eastAsia="es-ES"/>
        </w:rPr>
      </w:pPr>
    </w:p>
    <w:p w:rsidR="00085742" w:rsidRPr="00085742" w:rsidRDefault="00085742" w:rsidP="00085742">
      <w:pPr>
        <w:tabs>
          <w:tab w:val="left" w:pos="709"/>
        </w:tabs>
        <w:spacing w:line="360" w:lineRule="auto"/>
        <w:jc w:val="both"/>
        <w:rPr>
          <w:rFonts w:ascii="Palatino Linotype" w:hAnsi="Palatino Linotype" w:cs="Arial"/>
          <w:lang w:eastAsia="es-ES"/>
        </w:rPr>
      </w:pPr>
      <w:r w:rsidRPr="00085742">
        <w:rPr>
          <w:rFonts w:ascii="Palatino Linotype" w:hAnsi="Palatino Linotype" w:cs="Arial"/>
          <w:lang w:eastAsia="es-ES"/>
        </w:rPr>
        <w:t>En ese contexto, la duración de la jornada de trabajo puede ser de varias maneras las cuales se encuentran establecidas en el artículo 60, 61, 62 y 63 de la mencionada Ley de Trabajo, que literalmente señalan lo siguiente:</w:t>
      </w:r>
    </w:p>
    <w:p w:rsidR="00085742" w:rsidRPr="00085742" w:rsidRDefault="00085742" w:rsidP="00085742">
      <w:pPr>
        <w:tabs>
          <w:tab w:val="left" w:pos="709"/>
        </w:tabs>
        <w:spacing w:line="360" w:lineRule="auto"/>
        <w:jc w:val="both"/>
        <w:rPr>
          <w:rFonts w:ascii="Palatino Linotype" w:hAnsi="Palatino Linotype" w:cs="Arial"/>
          <w:lang w:eastAsia="es-ES"/>
        </w:rPr>
      </w:pP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“ARTÍCULO 60. La jornada de trabajo puede ser diurna, nocturna o mixta, conforme a lo siguiente:</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I. Diurna, la comprendida entre las seis y las veinte horas;</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 xml:space="preserve">II. Nocturna, la comprendida entre las veinte y las seis horas; y </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III. Mixta, la que comprenda períodos de tiempo de las jornadas diurna y nocturna, siempre que el período nocturno sea menor de tres horas y media, pues en caso contrario, se considerará como jornada nocturna.”(Sic)</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lastRenderedPageBreak/>
        <w:t xml:space="preserve">ARTÍCULO 61. Cuando la naturaleza del trabajo así lo exija, la jornada se reducirá teniendo en cuenta el número de horas que pueda trabajar un individuo normal sin sufrir quebranto en su salud. </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 xml:space="preserve">ARTÍCULO 62.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ARTÍCULO 63.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rsidR="00085742" w:rsidRPr="00085742" w:rsidRDefault="00085742" w:rsidP="00085742">
      <w:pPr>
        <w:tabs>
          <w:tab w:val="left" w:pos="709"/>
        </w:tabs>
        <w:spacing w:line="360" w:lineRule="auto"/>
        <w:jc w:val="both"/>
        <w:rPr>
          <w:rFonts w:ascii="Palatino Linotype" w:hAnsi="Palatino Linotype" w:cs="Arial"/>
          <w:lang w:eastAsia="es-ES"/>
        </w:rPr>
      </w:pPr>
    </w:p>
    <w:p w:rsidR="00085742" w:rsidRPr="00085742" w:rsidRDefault="00085742" w:rsidP="00085742">
      <w:pPr>
        <w:tabs>
          <w:tab w:val="left" w:pos="709"/>
        </w:tabs>
        <w:spacing w:line="360" w:lineRule="auto"/>
        <w:jc w:val="both"/>
        <w:rPr>
          <w:rFonts w:ascii="Palatino Linotype" w:hAnsi="Palatino Linotype" w:cs="Arial"/>
          <w:lang w:eastAsia="es-ES"/>
        </w:rPr>
      </w:pPr>
      <w:r w:rsidRPr="00085742">
        <w:rPr>
          <w:rFonts w:ascii="Palatino Linotype" w:hAnsi="Palatino Linotype" w:cs="Arial"/>
          <w:lang w:eastAsia="es-ES"/>
        </w:rPr>
        <w:t>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que literalmente indica:</w:t>
      </w:r>
    </w:p>
    <w:p w:rsidR="00085742" w:rsidRPr="00085742" w:rsidRDefault="00085742" w:rsidP="00085742">
      <w:pPr>
        <w:tabs>
          <w:tab w:val="left" w:pos="709"/>
        </w:tabs>
        <w:spacing w:line="360" w:lineRule="auto"/>
        <w:jc w:val="both"/>
        <w:rPr>
          <w:rFonts w:ascii="Palatino Linotype" w:hAnsi="Palatino Linotype" w:cs="Arial"/>
          <w:lang w:eastAsia="es-ES"/>
        </w:rPr>
      </w:pPr>
    </w:p>
    <w:p w:rsidR="00085742" w:rsidRPr="00085742" w:rsidRDefault="00085742" w:rsidP="00085742">
      <w:pPr>
        <w:tabs>
          <w:tab w:val="left" w:pos="709"/>
        </w:tabs>
        <w:ind w:left="567" w:right="618"/>
        <w:contextualSpacing/>
        <w:jc w:val="both"/>
        <w:rPr>
          <w:rFonts w:ascii="Palatino Linotype" w:hAnsi="Palatino Linotype"/>
          <w:b/>
          <w:i/>
          <w:sz w:val="22"/>
          <w:szCs w:val="22"/>
          <w:lang w:eastAsia="es-ES"/>
        </w:rPr>
      </w:pPr>
      <w:r w:rsidRPr="00085742">
        <w:rPr>
          <w:rFonts w:ascii="Palatino Linotype" w:hAnsi="Palatino Linotype"/>
          <w:b/>
          <w:i/>
          <w:sz w:val="22"/>
          <w:szCs w:val="22"/>
          <w:lang w:eastAsia="es-ES"/>
        </w:rPr>
        <w:t>ARTÍCULO 88. Son obligaciones de los servidores públicos:</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i/>
          <w:sz w:val="22"/>
          <w:szCs w:val="22"/>
          <w:lang w:eastAsia="es-ES"/>
        </w:rPr>
        <w:t>VI. Cumplir con las obligaciones que señalan las condiciones generales de trabajo… (Sic)</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p>
    <w:p w:rsidR="00085742" w:rsidRPr="00085742" w:rsidRDefault="00085742" w:rsidP="00085742">
      <w:pPr>
        <w:tabs>
          <w:tab w:val="left" w:pos="709"/>
        </w:tabs>
        <w:spacing w:line="360" w:lineRule="auto"/>
        <w:jc w:val="both"/>
        <w:rPr>
          <w:rFonts w:ascii="Palatino Linotype" w:hAnsi="Palatino Linotype" w:cs="Arial"/>
          <w:lang w:eastAsia="es-ES"/>
        </w:rPr>
      </w:pPr>
      <w:r w:rsidRPr="00085742">
        <w:rPr>
          <w:rFonts w:ascii="Palatino Linotype" w:hAnsi="Palatino Linotype" w:cs="Arial"/>
          <w:lang w:eastAsia="es-ES"/>
        </w:rPr>
        <w:lastRenderedPageBreak/>
        <w:t>Es decir, que los servidores públicos tienen la obligación de cumplir con la jornada de trabajo estipulada en su nombramiento, contrato o formato único de movimiento de personal; en caso contrario, será motivo de rescisión de la relación laboral</w:t>
      </w:r>
      <w:r w:rsidRPr="00085742">
        <w:rPr>
          <w:rFonts w:ascii="Palatino Linotype" w:hAnsi="Palatino Linotype" w:cs="Arial"/>
          <w:vertAlign w:val="superscript"/>
          <w:lang w:eastAsia="es-ES"/>
        </w:rPr>
        <w:footnoteReference w:id="7"/>
      </w:r>
      <w:r w:rsidRPr="00085742">
        <w:rPr>
          <w:rFonts w:ascii="Palatino Linotype" w:hAnsi="Palatino Linotype" w:cs="Arial"/>
          <w:lang w:eastAsia="es-ES"/>
        </w:rPr>
        <w:t xml:space="preserve">. </w:t>
      </w:r>
    </w:p>
    <w:p w:rsidR="00085742" w:rsidRPr="00085742" w:rsidRDefault="00085742" w:rsidP="00085742">
      <w:pPr>
        <w:tabs>
          <w:tab w:val="left" w:pos="709"/>
        </w:tabs>
        <w:spacing w:line="360" w:lineRule="auto"/>
        <w:jc w:val="both"/>
        <w:rPr>
          <w:rFonts w:ascii="Palatino Linotype" w:hAnsi="Palatino Linotype" w:cs="Arial"/>
          <w:lang w:eastAsia="es-ES"/>
        </w:rPr>
      </w:pPr>
      <w:r w:rsidRPr="00085742">
        <w:rPr>
          <w:rFonts w:ascii="Palatino Linotype" w:hAnsi="Palatino Linotype" w:cs="Arial"/>
          <w:lang w:eastAsia="es-ES"/>
        </w:rPr>
        <w:t>Ahora bien, para efectos de la Ley en mérito, se destaca que, el servidor público o la institución pública podrán rescindir en cualquier tiempo, por causa justificada, la relación laboral, por lo que se consideran como causantes, entre otras, las siguientes:</w:t>
      </w:r>
    </w:p>
    <w:p w:rsidR="00085742" w:rsidRPr="00085742" w:rsidRDefault="00085742" w:rsidP="00085742">
      <w:pPr>
        <w:tabs>
          <w:tab w:val="left" w:pos="709"/>
        </w:tabs>
        <w:ind w:left="567" w:right="618"/>
        <w:contextualSpacing/>
        <w:jc w:val="both"/>
        <w:rPr>
          <w:rFonts w:ascii="Palatino Linotype" w:hAnsi="Palatino Linotype"/>
          <w:i/>
          <w:sz w:val="22"/>
          <w:szCs w:val="22"/>
          <w:lang w:eastAsia="es-ES"/>
        </w:rPr>
      </w:pPr>
      <w:r w:rsidRPr="00085742">
        <w:rPr>
          <w:rFonts w:ascii="Palatino Linotype" w:hAnsi="Palatino Linotype"/>
          <w:b/>
          <w:i/>
          <w:sz w:val="22"/>
          <w:szCs w:val="22"/>
          <w:lang w:eastAsia="es-ES"/>
        </w:rPr>
        <w:t xml:space="preserve">“ARTÍCULO 93. </w:t>
      </w:r>
      <w:r w:rsidRPr="00085742">
        <w:rPr>
          <w:rFonts w:ascii="Palatino Linotype" w:hAnsi="Palatino Linotype"/>
          <w:i/>
          <w:sz w:val="22"/>
          <w:szCs w:val="22"/>
          <w:lang w:eastAsia="es-ES"/>
        </w:rPr>
        <w:t>Son causas de rescisión de la relación laboral, sin responsabilidad para las instituciones públicas:</w:t>
      </w:r>
    </w:p>
    <w:p w:rsidR="00085742" w:rsidRPr="00085742" w:rsidRDefault="00085742" w:rsidP="00085742">
      <w:pPr>
        <w:tabs>
          <w:tab w:val="left" w:pos="709"/>
        </w:tabs>
        <w:ind w:left="567" w:right="618"/>
        <w:contextualSpacing/>
        <w:jc w:val="both"/>
        <w:rPr>
          <w:rFonts w:ascii="Palatino Linotype" w:hAnsi="Palatino Linotype"/>
          <w:b/>
          <w:i/>
          <w:sz w:val="22"/>
          <w:szCs w:val="22"/>
          <w:lang w:eastAsia="es-ES"/>
        </w:rPr>
      </w:pPr>
      <w:r w:rsidRPr="00085742">
        <w:rPr>
          <w:rFonts w:ascii="Palatino Linotype" w:hAnsi="Palatino Linotype"/>
          <w:b/>
          <w:i/>
          <w:sz w:val="22"/>
          <w:szCs w:val="22"/>
          <w:lang w:eastAsia="es-ES"/>
        </w:rPr>
        <w:t>XVI. Portar y hacer uso de credenciales de identificación no autorizadas por la autoridad competente;</w:t>
      </w:r>
    </w:p>
    <w:p w:rsidR="00085742" w:rsidRPr="00085742" w:rsidRDefault="00085742" w:rsidP="00085742">
      <w:pPr>
        <w:tabs>
          <w:tab w:val="left" w:pos="709"/>
        </w:tabs>
        <w:ind w:left="567" w:right="618"/>
        <w:contextualSpacing/>
        <w:jc w:val="both"/>
        <w:rPr>
          <w:rFonts w:ascii="Palatino Linotype" w:hAnsi="Palatino Linotype"/>
          <w:b/>
          <w:i/>
          <w:sz w:val="22"/>
          <w:szCs w:val="22"/>
          <w:lang w:eastAsia="es-ES"/>
        </w:rPr>
      </w:pPr>
      <w:r w:rsidRPr="00085742">
        <w:rPr>
          <w:rFonts w:ascii="Palatino Linotype" w:hAnsi="Palatino Linotype"/>
          <w:b/>
          <w:i/>
          <w:sz w:val="22"/>
          <w:szCs w:val="22"/>
          <w:lang w:eastAsia="es-ES"/>
        </w:rPr>
        <w:t>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rsidR="00085742" w:rsidRPr="00085742" w:rsidRDefault="00085742" w:rsidP="00085742">
      <w:pPr>
        <w:tabs>
          <w:tab w:val="left" w:pos="709"/>
        </w:tabs>
        <w:ind w:left="567" w:right="618"/>
        <w:contextualSpacing/>
        <w:jc w:val="both"/>
        <w:rPr>
          <w:rFonts w:ascii="Palatino Linotype" w:hAnsi="Palatino Linotype"/>
          <w:b/>
          <w:i/>
          <w:sz w:val="22"/>
          <w:szCs w:val="22"/>
          <w:lang w:eastAsia="es-ES"/>
        </w:rPr>
      </w:pPr>
    </w:p>
    <w:p w:rsidR="00085742" w:rsidRDefault="00085742" w:rsidP="00085742">
      <w:pPr>
        <w:spacing w:before="100" w:beforeAutospacing="1" w:after="100" w:afterAutospacing="1" w:line="360" w:lineRule="auto"/>
        <w:jc w:val="both"/>
        <w:rPr>
          <w:rFonts w:ascii="Palatino Linotype" w:hAnsi="Palatino Linotype" w:cs="Arial"/>
          <w:lang w:eastAsia="es-ES"/>
        </w:rPr>
      </w:pPr>
      <w:r w:rsidRPr="00085742">
        <w:rPr>
          <w:rFonts w:ascii="Palatino Linotype" w:hAnsi="Palatino Linotype" w:cs="Arial"/>
          <w:lang w:eastAsia="es-ES"/>
        </w:rPr>
        <w:t xml:space="preserve">Del precepto normativo anterior, se puede advertir que en el caso de que los servidores públicos poten y hagan uso de credenciales de identificación no autorizadas o sustraigan gafete-credencial y registren asistencia distinta a la suya será una causa de rescisión laboral; en ese entendido tenemos que si de manera expresa no se enuncia la obligación de contar con un gafete o credencial de los servidores públicos, sí existe implícitamente dentro de la Ley el deber de generarlos por parte de los entes públicos, como en este caso el Sujeto Obligado, ya que su mal </w:t>
      </w:r>
      <w:r w:rsidRPr="00085742">
        <w:rPr>
          <w:rFonts w:ascii="Palatino Linotype" w:hAnsi="Palatino Linotype" w:cs="Arial"/>
          <w:lang w:eastAsia="es-ES"/>
        </w:rPr>
        <w:lastRenderedPageBreak/>
        <w:t>uso es u</w:t>
      </w:r>
      <w:r>
        <w:rPr>
          <w:rFonts w:ascii="Palatino Linotype" w:hAnsi="Palatino Linotype" w:cs="Arial"/>
          <w:lang w:eastAsia="es-ES"/>
        </w:rPr>
        <w:t xml:space="preserve">na causante de recisión laboral, por lo tanto, de ser el caso en el que cuente con ellos, deberá proporcionarlos en versión pública de ser procedente. </w:t>
      </w:r>
    </w:p>
    <w:p w:rsidR="00085742" w:rsidRPr="00085742" w:rsidRDefault="00085742" w:rsidP="00085742">
      <w:pPr>
        <w:spacing w:before="100" w:beforeAutospacing="1" w:after="100" w:afterAutospacing="1" w:line="360" w:lineRule="auto"/>
        <w:jc w:val="both"/>
        <w:rPr>
          <w:rFonts w:ascii="Palatino Linotype" w:hAnsi="Palatino Linotype" w:cs="Arial"/>
          <w:b/>
          <w:lang w:eastAsia="es-ES"/>
        </w:rPr>
      </w:pPr>
      <w:r w:rsidRPr="00085742">
        <w:rPr>
          <w:rFonts w:ascii="Palatino Linotype" w:hAnsi="Palatino Linotype" w:cs="Arial"/>
          <w:b/>
          <w:lang w:eastAsia="es-ES"/>
        </w:rPr>
        <w:t>Contrato de los servidores públicos.</w:t>
      </w:r>
    </w:p>
    <w:p w:rsidR="00085742" w:rsidRDefault="00085742" w:rsidP="00085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Sobre el particular, no se omite comentar que el documento que, </w:t>
      </w:r>
      <w:r w:rsidRPr="00612E6F">
        <w:rPr>
          <w:rFonts w:ascii="Palatino Linotype" w:eastAsia="Palatino Linotype" w:hAnsi="Palatino Linotype" w:cs="Palatino Linotype"/>
          <w:color w:val="000000"/>
        </w:rPr>
        <w:t xml:space="preserve">de manera enunciativa más </w:t>
      </w:r>
      <w:r w:rsidRPr="00612E6F">
        <w:rPr>
          <w:rFonts w:ascii="Palatino Linotype" w:eastAsia="Palatino Linotype" w:hAnsi="Palatino Linotype" w:cs="Palatino Linotype"/>
        </w:rPr>
        <w:t>limitativa,</w:t>
      </w:r>
      <w:r w:rsidRPr="00612E6F">
        <w:rPr>
          <w:rFonts w:ascii="Palatino Linotype" w:eastAsia="Palatino Linotype" w:hAnsi="Palatino Linotype" w:cs="Palatino Linotype"/>
          <w:color w:val="000000"/>
        </w:rPr>
        <w:t xml:space="preserve"> colmaría la solicitud de acceso a la información del </w:t>
      </w:r>
      <w:r w:rsidRPr="00612E6F">
        <w:rPr>
          <w:rFonts w:ascii="Palatino Linotype" w:eastAsia="Palatino Linotype" w:hAnsi="Palatino Linotype" w:cs="Palatino Linotype"/>
          <w:b/>
          <w:color w:val="000000"/>
        </w:rPr>
        <w:t>Recurrente</w:t>
      </w:r>
      <w:r w:rsidRPr="00612E6F">
        <w:rPr>
          <w:rFonts w:ascii="Palatino Linotype" w:eastAsia="Palatino Linotype" w:hAnsi="Palatino Linotype" w:cs="Palatino Linotype"/>
          <w:color w:val="000000"/>
        </w:rPr>
        <w:t xml:space="preserve"> podría ser el </w:t>
      </w:r>
      <w:r w:rsidRPr="00612E6F">
        <w:rPr>
          <w:rFonts w:ascii="Palatino Linotype" w:eastAsia="Palatino Linotype" w:hAnsi="Palatino Linotype" w:cs="Palatino Linotype"/>
        </w:rPr>
        <w:t>nombramiento, el formato único de movimiento de personal, o contrato, lo anterior de conformidad con lo siguiente:</w:t>
      </w:r>
    </w:p>
    <w:p w:rsidR="00085742" w:rsidRDefault="00085742" w:rsidP="00085742">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LEY DEL TRABAJO DE LOS SERVIDORES PUBLICOS DEL ESTADO Y MUNICIPIOS</w:t>
      </w:r>
    </w:p>
    <w:p w:rsidR="00085742" w:rsidRDefault="00085742" w:rsidP="00085742">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sz w:val="22"/>
          <w:szCs w:val="22"/>
        </w:rPr>
        <w:t xml:space="preserve">ARTÍCULO 5.- La relación de trabajo entre las instituciones públicas y sus servidores públicos se entiende establecida mediante </w:t>
      </w:r>
      <w:r>
        <w:rPr>
          <w:rFonts w:ascii="Palatino Linotype" w:eastAsia="Palatino Linotype" w:hAnsi="Palatino Linotype" w:cs="Palatino Linotype"/>
          <w:i/>
          <w:sz w:val="22"/>
          <w:szCs w:val="22"/>
          <w:u w:val="single"/>
        </w:rPr>
        <w:t>nombramiento, formato único de movimiento de personal, contrato</w:t>
      </w:r>
      <w:r>
        <w:rPr>
          <w:rFonts w:ascii="Palatino Linotype" w:eastAsia="Palatino Linotype" w:hAnsi="Palatino Linotype" w:cs="Palatino Linotype"/>
          <w:i/>
          <w:sz w:val="22"/>
          <w:szCs w:val="22"/>
        </w:rPr>
        <w:t xml:space="preserve"> o por cualquier otro acto que tenga como consecuencia la prestación personal subordinada del servicio y la percepción de un sueldo.</w:t>
      </w:r>
    </w:p>
    <w:p w:rsidR="00085742" w:rsidRDefault="00085742" w:rsidP="00085742">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Documentos que además adquieren el carácter de información pública ya que </w:t>
      </w:r>
      <w:r>
        <w:rPr>
          <w:rFonts w:ascii="Palatino Linotype" w:eastAsia="Palatino Linotype" w:hAnsi="Palatino Linotype" w:cs="Palatino Linotype"/>
        </w:rPr>
        <w:t>atiende directamente a la actividad de la administración de personal, es decir, tener acceso a los nombramientos o contratos realizados, que de acuerdo a las correctas prácticas administrativas, deben existir expedientes laborales para llevar a cabo el control del personal adscrito a la dependencia gubernamental o Ayuntamiento.</w:t>
      </w:r>
    </w:p>
    <w:p w:rsidR="00085742" w:rsidRDefault="00085742" w:rsidP="00085742">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estima así porque derivado del control de expedientes del personal que integran las entidades públicas, se lleva un adecuado control administrativo sobre aspectos tan fundamentales como: </w:t>
      </w:r>
      <w:r>
        <w:rPr>
          <w:rFonts w:ascii="Palatino Linotype" w:eastAsia="Palatino Linotype" w:hAnsi="Palatino Linotype" w:cs="Palatino Linotype"/>
          <w:b/>
        </w:rPr>
        <w:t>el nombre del personal contratado</w:t>
      </w:r>
      <w:r>
        <w:rPr>
          <w:rFonts w:ascii="Palatino Linotype" w:eastAsia="Palatino Linotype" w:hAnsi="Palatino Linotype" w:cs="Palatino Linotype"/>
        </w:rPr>
        <w:t xml:space="preserve">, las plazas existentes, las plazas ocupadas o vacantes, el nombre y perfil de los servidores </w:t>
      </w:r>
      <w:r>
        <w:rPr>
          <w:rFonts w:ascii="Palatino Linotype" w:eastAsia="Palatino Linotype" w:hAnsi="Palatino Linotype" w:cs="Palatino Linotype"/>
        </w:rPr>
        <w:lastRenderedPageBreak/>
        <w:t>públicos, el cargo que se desempeñará y el nombramiento  el nombre del personal dado de alta, etc.</w:t>
      </w:r>
    </w:p>
    <w:p w:rsidR="00085742" w:rsidRDefault="00085742" w:rsidP="00085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Lo que también se vincula con la forma de llevar un efectivo control y registro de pagos,  y fecha de antigüedad de su personal, información que, se insiste, debe formar parte de su expediente de personal. </w:t>
      </w:r>
    </w:p>
    <w:p w:rsidR="00085742" w:rsidRDefault="00085742" w:rsidP="00085742">
      <w:pPr>
        <w:spacing w:line="360" w:lineRule="auto"/>
        <w:ind w:right="-93"/>
        <w:jc w:val="both"/>
        <w:rPr>
          <w:rFonts w:ascii="Palatino Linotype" w:eastAsia="Palatino Linotype" w:hAnsi="Palatino Linotype" w:cs="Palatino Linotype"/>
        </w:rPr>
      </w:pPr>
    </w:p>
    <w:p w:rsidR="00085742" w:rsidRDefault="00085742" w:rsidP="00085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Adicionalmente que sirve como analogía  el criterio  004/2006 y  15/2006 del Comité de Información emitido por el Poder Judicial sobre la publicidad de la información de los expedientes laborales de los servidores públicos que señala lo siguiente:</w:t>
      </w:r>
    </w:p>
    <w:p w:rsidR="00085742" w:rsidRDefault="00085742" w:rsidP="00085742">
      <w:pPr>
        <w:spacing w:line="360" w:lineRule="auto"/>
        <w:ind w:right="-162"/>
        <w:jc w:val="both"/>
        <w:rPr>
          <w:rFonts w:ascii="Palatino Linotype" w:eastAsia="Palatino Linotype" w:hAnsi="Palatino Linotype" w:cs="Palatino Linotype"/>
        </w:rPr>
      </w:pPr>
    </w:p>
    <w:p w:rsidR="00085742" w:rsidRDefault="00085742" w:rsidP="00085742">
      <w:pPr>
        <w:ind w:left="709"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04/2006</w:t>
      </w:r>
    </w:p>
    <w:p w:rsidR="00085742" w:rsidRDefault="00085742" w:rsidP="00085742">
      <w:pPr>
        <w:ind w:left="709"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NOMBRAMIENTOS Y AVISOS DE BAJA DE LOS SERVIDORES PÚBLICOS DE LA SUPREMA CORTE DE JUSTICIA DE LA NACIÓN. EL DOCUMENTO EN EL QUE CONSTEN ES PÚBLICO, CON EXCEPCIÓN DE LOS DATOS PERSONALES QUE CONTENGAN, LOS QUE CONSTITUYEN INFORMACIÓN CONFIDENCIAL QUE DEBE SUPRIMIRSE DE LA VERSIÓN PÚBLICA QUE SE GENERE. </w:t>
      </w:r>
    </w:p>
    <w:p w:rsidR="00085742" w:rsidRDefault="00085742" w:rsidP="00085742">
      <w:pPr>
        <w:ind w:left="709"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documentos relativos a los nombramientos y avisos de baja de los servidores públicos de la Suprema Corte de Justicia de la Nación constituyen información pública, toda vez que se trata de actos administrativos relativos al manejo de su personal y, por ende, justifican parte del ejercicio del presupuesto público asignado.</w:t>
      </w:r>
      <w:r>
        <w:rPr>
          <w:rFonts w:ascii="Palatino Linotype" w:eastAsia="Palatino Linotype" w:hAnsi="Palatino Linotype" w:cs="Palatino Linotype"/>
          <w:i/>
          <w:sz w:val="22"/>
          <w:szCs w:val="22"/>
        </w:rPr>
        <w:t xml:space="preserve"> En este sentido, si bien se trata de información de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naturaleza pública, lo cierto es que en acatamiento a lo dispuesto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en la Ley Federal de Transparencia y Acceso a la Información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Pública Gubernamental </w:t>
      </w:r>
      <w:r>
        <w:rPr>
          <w:rFonts w:ascii="Palatino Linotype" w:eastAsia="Palatino Linotype" w:hAnsi="Palatino Linotype" w:cs="Palatino Linotype"/>
          <w:i/>
          <w:sz w:val="22"/>
          <w:szCs w:val="22"/>
          <w:u w:val="single"/>
        </w:rPr>
        <w:t>para dar acceso a los referidos</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documentos es necesario generar una versión pública de la</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que se supriman los datos confidenciales que contengan, como</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pueden ser el domicilio, el estado civil o el teléfono particular</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del servidor público respectivo.</w:t>
      </w:r>
    </w:p>
    <w:p w:rsidR="00085742" w:rsidRDefault="00085742" w:rsidP="00085742">
      <w:pPr>
        <w:ind w:left="709"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Clasificación de Información 10/2006-A, </w:t>
      </w:r>
      <w:r>
        <w:rPr>
          <w:rFonts w:ascii="Palatino Linotype" w:eastAsia="Palatino Linotype" w:hAnsi="Palatino Linotype" w:cs="Palatino Linotype"/>
          <w:i/>
          <w:sz w:val="22"/>
          <w:szCs w:val="22"/>
        </w:rPr>
        <w:t>derivada de la solicitud</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acceso a la información presentada por Aldo González</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Gutiérrez.- 11 de abril de 2006.- Unanimidad de votos.</w:t>
      </w:r>
    </w:p>
    <w:p w:rsidR="00085742" w:rsidRDefault="00085742" w:rsidP="00085742">
      <w:pPr>
        <w:ind w:left="709" w:right="616"/>
        <w:jc w:val="both"/>
        <w:rPr>
          <w:rFonts w:ascii="Palatino Linotype" w:eastAsia="Palatino Linotype" w:hAnsi="Palatino Linotype" w:cs="Palatino Linotype"/>
          <w:b/>
          <w:i/>
          <w:sz w:val="22"/>
          <w:szCs w:val="22"/>
        </w:rPr>
      </w:pPr>
    </w:p>
    <w:p w:rsidR="00085742" w:rsidRDefault="00085742" w:rsidP="00085742">
      <w:pPr>
        <w:ind w:right="616"/>
        <w:jc w:val="both"/>
        <w:rPr>
          <w:rFonts w:ascii="Palatino Linotype" w:eastAsia="Palatino Linotype" w:hAnsi="Palatino Linotype" w:cs="Palatino Linotype"/>
          <w:b/>
          <w:i/>
          <w:sz w:val="22"/>
          <w:szCs w:val="22"/>
        </w:rPr>
      </w:pPr>
    </w:p>
    <w:p w:rsidR="00085742" w:rsidRDefault="00085742" w:rsidP="00085742">
      <w:pPr>
        <w:ind w:left="709"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Criterio 15/2006</w:t>
      </w:r>
    </w:p>
    <w:p w:rsidR="00085742" w:rsidRDefault="00085742" w:rsidP="00085742">
      <w:pPr>
        <w:ind w:left="709"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EXPEDIENTES LABORALES ADMINISTRATIVOS DE LOS SERVIDORES PÚBLICOS DE LA SUPREMA CORTE DE JUSTICIA DE LA NACIÓN. ES PÚBLICA LA INFORMACIÓN QUE EN ELLOS SE CONTIENE, SALVO LOS DATOS PERSONALES.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w:t>
      </w:r>
      <w:r>
        <w:rPr>
          <w:rFonts w:ascii="Palatino Linotype" w:eastAsia="Palatino Linotype" w:hAnsi="Palatino Linotype" w:cs="Palatino Linotype"/>
          <w:i/>
          <w:sz w:val="22"/>
          <w:szCs w:val="22"/>
        </w:rPr>
        <w:t xml:space="preserve"> A diferencia de lo que sucede con los datos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personales que en dichos expedientes se contengan, pues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debe tenerse en cuenta que una de las excepciones al principio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publicidad de la información la constituyen los datos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tal naturaleza que requieran del consentimiento de los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individuos para su difusión, distribución o comercialización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en los términos de los artículos 3°, fracción II, y 18, fracción II,</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la Ley Federal de Transparencia y Acceso a la Información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Pública Gubernamental. Para ello es necesario considerar</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los datos personales se refiere únicamente a las personas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físicas por estar encausado al respeto de un derecho personalísimo,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como es el de la intimidad, del cual derivó aquél. Esto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es, en el apuntado supuesto no se actualiza una igualdad</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jurídica entre las personas físicas y las morales porque ambas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están en situaciones de derecho dispares, ya que la protección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datos personales, entre ellos el del patrimonio y su confidencialidad,</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es </w:t>
      </w:r>
      <w:r>
        <w:rPr>
          <w:rFonts w:ascii="Palatino Linotype" w:eastAsia="Palatino Linotype" w:hAnsi="Palatino Linotype" w:cs="Palatino Linotype"/>
          <w:b/>
          <w:i/>
          <w:sz w:val="22"/>
          <w:szCs w:val="22"/>
        </w:rPr>
        <w:t>una derivación del derecho a la intimidad, del cual únicamente goza el individuo, entendido como la persona humana</w:t>
      </w:r>
      <w:r>
        <w:rPr>
          <w:rFonts w:ascii="Palatino Linotype" w:eastAsia="Palatino Linotype" w:hAnsi="Palatino Linotype" w:cs="Palatino Linotype"/>
          <w:i/>
          <w:sz w:val="22"/>
          <w:szCs w:val="22"/>
        </w:rPr>
        <w:t>.</w:t>
      </w:r>
    </w:p>
    <w:p w:rsidR="00085742" w:rsidRDefault="00085742" w:rsidP="00085742">
      <w:pPr>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191/2008. Grupo Senda Autotransporte, S.A. de C.V. 7 de mayo de 2008. Cinco votos. Ponente: José Fernando Franco González Salas. Secretario: Óscar Rodríguez Álvarez.</w:t>
      </w:r>
    </w:p>
    <w:p w:rsidR="00085742" w:rsidRDefault="00085742" w:rsidP="00085742">
      <w:pPr>
        <w:ind w:right="-162"/>
        <w:jc w:val="both"/>
        <w:rPr>
          <w:rFonts w:ascii="Palatino Linotype" w:eastAsia="Palatino Linotype" w:hAnsi="Palatino Linotype" w:cs="Palatino Linotype"/>
          <w:sz w:val="20"/>
          <w:szCs w:val="20"/>
        </w:rPr>
      </w:pPr>
    </w:p>
    <w:p w:rsidR="00085742" w:rsidRPr="00085742" w:rsidRDefault="00085742" w:rsidP="00085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este Instituto, no quiere dejar de indicar que el documento soporte solicitado, </w:t>
      </w:r>
      <w:r>
        <w:rPr>
          <w:rFonts w:ascii="Palatino Linotype" w:eastAsia="Palatino Linotype" w:hAnsi="Palatino Linotype" w:cs="Palatino Linotype"/>
          <w:b/>
        </w:rPr>
        <w:t>se trata de información pública,</w:t>
      </w:r>
      <w:r>
        <w:rPr>
          <w:rFonts w:ascii="Palatino Linotype" w:eastAsia="Palatino Linotype" w:hAnsi="Palatino Linotype" w:cs="Palatino Linotype"/>
        </w:rPr>
        <w:t xml:space="preserve">  ya que nada impide que los interesados obtengan acceso a la información que por definición legal es pública, como aquellos documentos que deban generarse en virtud de las disposiciones que regulan el presupuesto asignado, su ejecución y las contrataciones, siempre que la misma se encuentre en posesión de los sujetos obligados. Toda vez que la Ley de Transparencia y Acceso a la Información Pública del Estado de México y Municipios, establece </w:t>
      </w:r>
      <w:r>
        <w:rPr>
          <w:rFonts w:ascii="Palatino Linotype" w:eastAsia="Palatino Linotype" w:hAnsi="Palatino Linotype" w:cs="Palatino Linotype"/>
        </w:rPr>
        <w:lastRenderedPageBreak/>
        <w:t>expresamente entre sus objetivos proveer lo necesario para que toda persona pueda tener acceso a la información mediante procedimientos sencillos y expeditos, transparentar la gestión pública mediante la difusión de la información y favorecer la rendición de cuentas; por lo que este Instituto considera que procedente la entrega de la información solicitada.</w:t>
      </w:r>
    </w:p>
    <w:p w:rsidR="00C514A1" w:rsidRDefault="008B7725" w:rsidP="00C40A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 todo lo anteriormente expuesto,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garantizó el derecho de acceso a la información del particular, toda vez que, en términos del marco normativo planteado, el </w:t>
      </w:r>
      <w:r w:rsidR="00085742" w:rsidRPr="00085742">
        <w:rPr>
          <w:rFonts w:ascii="Palatino Linotype" w:eastAsia="Palatino Linotype" w:hAnsi="Palatino Linotype" w:cs="Palatino Linotype"/>
          <w:b/>
        </w:rPr>
        <w:t>Ayuntamiento de Tenancingo</w:t>
      </w:r>
      <w:r>
        <w:rPr>
          <w:rFonts w:ascii="Palatino Linotype" w:eastAsia="Palatino Linotype" w:hAnsi="Palatino Linotype" w:cs="Palatino Linotype"/>
        </w:rPr>
        <w:t xml:space="preserve"> genera, posee y administra </w:t>
      </w:r>
      <w:r w:rsidR="00672995" w:rsidRPr="002B434F">
        <w:rPr>
          <w:rFonts w:ascii="Palatino Linotype" w:eastAsia="Palatino Linotype" w:hAnsi="Palatino Linotype" w:cs="Palatino Linotype"/>
          <w:b/>
        </w:rPr>
        <w:t>la siguiente información de la secretaría particular y la oficina de presidencia</w:t>
      </w:r>
      <w:r w:rsidR="00672995">
        <w:rPr>
          <w:rFonts w:ascii="Palatino Linotype" w:eastAsia="Palatino Linotype" w:hAnsi="Palatino Linotype" w:cs="Palatino Linotype"/>
        </w:rPr>
        <w:t xml:space="preserve">: </w:t>
      </w:r>
      <w:r w:rsidR="00E15506">
        <w:rPr>
          <w:rFonts w:ascii="Palatino Linotype" w:eastAsia="Palatino Linotype" w:hAnsi="Palatino Linotype" w:cs="Palatino Linotype"/>
        </w:rPr>
        <w:t>la r</w:t>
      </w:r>
      <w:r w:rsidR="00E15506" w:rsidRPr="00E15506">
        <w:rPr>
          <w:rFonts w:ascii="Palatino Linotype" w:eastAsia="Palatino Linotype" w:hAnsi="Palatino Linotype" w:cs="Palatino Linotype"/>
        </w:rPr>
        <w:t>elación del personal</w:t>
      </w:r>
      <w:r w:rsidR="00E15506" w:rsidRPr="00672995">
        <w:rPr>
          <w:rFonts w:ascii="Palatino Linotype" w:eastAsia="Palatino Linotype" w:hAnsi="Palatino Linotype" w:cs="Palatino Linotype"/>
        </w:rPr>
        <w:t>, listas de asistencia</w:t>
      </w:r>
      <w:r w:rsidR="00672995" w:rsidRPr="00672995">
        <w:rPr>
          <w:rFonts w:ascii="Palatino Linotype" w:eastAsia="Palatino Linotype" w:hAnsi="Palatino Linotype" w:cs="Palatino Linotype"/>
        </w:rPr>
        <w:t xml:space="preserve"> y</w:t>
      </w:r>
      <w:r w:rsidR="002B434F">
        <w:rPr>
          <w:rFonts w:ascii="Palatino Linotype" w:eastAsia="Palatino Linotype" w:hAnsi="Palatino Linotype" w:cs="Palatino Linotype"/>
        </w:rPr>
        <w:t xml:space="preserve"> recibos de nómina, generados en</w:t>
      </w:r>
      <w:r w:rsidR="00E15506" w:rsidRPr="00672995">
        <w:rPr>
          <w:rFonts w:ascii="Palatino Linotype" w:eastAsia="Palatino Linotype" w:hAnsi="Palatino Linotype" w:cs="Palatino Linotype"/>
        </w:rPr>
        <w:t xml:space="preserve"> la primer</w:t>
      </w:r>
      <w:r w:rsidR="00672995" w:rsidRPr="00672995">
        <w:rPr>
          <w:rFonts w:ascii="Palatino Linotype" w:eastAsia="Palatino Linotype" w:hAnsi="Palatino Linotype" w:cs="Palatino Linotype"/>
        </w:rPr>
        <w:t>a</w:t>
      </w:r>
      <w:r w:rsidR="00E15506" w:rsidRPr="00672995">
        <w:rPr>
          <w:rFonts w:ascii="Palatino Linotype" w:eastAsia="Palatino Linotype" w:hAnsi="Palatino Linotype" w:cs="Palatino Linotype"/>
        </w:rPr>
        <w:t xml:space="preserve"> quincena de marzo de 2022, </w:t>
      </w:r>
      <w:r w:rsidR="002B434F">
        <w:rPr>
          <w:rFonts w:ascii="Palatino Linotype" w:eastAsia="Palatino Linotype" w:hAnsi="Palatino Linotype" w:cs="Palatino Linotype"/>
        </w:rPr>
        <w:t xml:space="preserve">así como el </w:t>
      </w:r>
      <w:r w:rsidR="00E15506" w:rsidRPr="00672995">
        <w:rPr>
          <w:rFonts w:ascii="Palatino Linotype" w:eastAsia="Palatino Linotype" w:hAnsi="Palatino Linotype" w:cs="Palatino Linotype"/>
        </w:rPr>
        <w:t>curriculum</w:t>
      </w:r>
      <w:r w:rsidR="00E15506" w:rsidRPr="00E15506">
        <w:rPr>
          <w:rFonts w:ascii="Palatino Linotype" w:eastAsia="Palatino Linotype" w:hAnsi="Palatino Linotype" w:cs="Palatino Linotype"/>
        </w:rPr>
        <w:t xml:space="preserve"> vitae de todos los servidores públicos adscritos</w:t>
      </w:r>
      <w:r w:rsidR="00E15506">
        <w:rPr>
          <w:rFonts w:ascii="Palatino Linotype" w:eastAsia="Palatino Linotype" w:hAnsi="Palatino Linotype" w:cs="Palatino Linotype"/>
        </w:rPr>
        <w:t>, g</w:t>
      </w:r>
      <w:r w:rsidR="00E15506" w:rsidRPr="00E15506">
        <w:rPr>
          <w:rFonts w:ascii="Palatino Linotype" w:eastAsia="Palatino Linotype" w:hAnsi="Palatino Linotype" w:cs="Palatino Linotype"/>
        </w:rPr>
        <w:t xml:space="preserve">afete de todos los servidores </w:t>
      </w:r>
      <w:r w:rsidR="00672995">
        <w:rPr>
          <w:rFonts w:ascii="Palatino Linotype" w:eastAsia="Palatino Linotype" w:hAnsi="Palatino Linotype" w:cs="Palatino Linotype"/>
        </w:rPr>
        <w:t xml:space="preserve">públicos adscritos a las áreas </w:t>
      </w:r>
      <w:r w:rsidR="00E15506">
        <w:rPr>
          <w:rFonts w:ascii="Palatino Linotype" w:eastAsia="Palatino Linotype" w:hAnsi="Palatino Linotype" w:cs="Palatino Linotype"/>
        </w:rPr>
        <w:t>y el c</w:t>
      </w:r>
      <w:r w:rsidR="00E15506" w:rsidRPr="00E15506">
        <w:rPr>
          <w:rFonts w:ascii="Palatino Linotype" w:eastAsia="Palatino Linotype" w:hAnsi="Palatino Linotype" w:cs="Palatino Linotype"/>
        </w:rPr>
        <w:t>ontrato de los servidores públicos, vigente</w:t>
      </w:r>
      <w:r w:rsidR="00672995">
        <w:rPr>
          <w:rFonts w:ascii="Palatino Linotype" w:eastAsia="Palatino Linotype" w:hAnsi="Palatino Linotype" w:cs="Palatino Linotype"/>
        </w:rPr>
        <w:t>s</w:t>
      </w:r>
      <w:r w:rsidR="00E15506" w:rsidRPr="00E15506">
        <w:rPr>
          <w:rFonts w:ascii="Palatino Linotype" w:eastAsia="Palatino Linotype" w:hAnsi="Palatino Linotype" w:cs="Palatino Linotype"/>
        </w:rPr>
        <w:t xml:space="preserve"> al 17 de marzo de 2022</w:t>
      </w:r>
      <w:r>
        <w:rPr>
          <w:rFonts w:ascii="Palatino Linotype" w:eastAsia="Palatino Linotype" w:hAnsi="Palatino Linotype" w:cs="Palatino Linotype"/>
        </w:rPr>
        <w:t xml:space="preserve"> y al no justificar debidamente el cambio de modalidad de entrega de la información, vulneró este derecho humano que le asiste al particular, por ello se determina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entrega de los documentos requeridos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debe ser en versión pública, tomando en consideración los aspectos antes señalados y lo que se detallará en el considerando quinto.</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b/>
          <w:lang w:val="es-MX" w:eastAsia="es-ES"/>
        </w:rPr>
        <w:t>Quinto. Versión Pública. C</w:t>
      </w:r>
      <w:r w:rsidRPr="00EE03A2">
        <w:rPr>
          <w:rFonts w:ascii="Palatino Linotype" w:eastAsia="Palatino Linotype" w:hAnsi="Palatino Linotype" w:cs="Palatino Linotype"/>
          <w:lang w:val="es-MX" w:eastAsia="es-ES"/>
        </w:rPr>
        <w:t>omo fue debidamente apuntado, el</w:t>
      </w:r>
      <w:r w:rsidRPr="00EE03A2">
        <w:rPr>
          <w:rFonts w:ascii="Palatino Linotype" w:eastAsia="Palatino Linotype" w:hAnsi="Palatino Linotype" w:cs="Palatino Linotype"/>
          <w:b/>
          <w:lang w:val="es-MX" w:eastAsia="es-ES"/>
        </w:rPr>
        <w:t> Sujeto Obligado</w:t>
      </w:r>
      <w:r w:rsidRPr="00EE03A2">
        <w:rPr>
          <w:rFonts w:ascii="Palatino Linotype" w:eastAsia="Palatino Linotype" w:hAnsi="Palatino Linotype" w:cs="Palatino Linotype"/>
          <w:lang w:val="es-MX" w:eastAsia="es-ES"/>
        </w:rPr>
        <w:t xml:space="preserve"> debe satisfacer las solicitudes de acceso a la información; sin embargo, dada la naturaleza de la información de la cual se ordena su entrega, pudieran encontrarse documentos que contengan datos personales, motivo por el cual es </w:t>
      </w:r>
      <w:r w:rsidRPr="00EE03A2">
        <w:rPr>
          <w:rFonts w:ascii="Palatino Linotype" w:eastAsia="Palatino Linotype" w:hAnsi="Palatino Linotype" w:cs="Palatino Linotype"/>
          <w:lang w:val="es-MX" w:eastAsia="es-ES"/>
        </w:rPr>
        <w:lastRenderedPageBreak/>
        <w:t>dable señalar que la entrega de la información deberá ser en versión pública atento a lo siguiente:</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hd w:val="clear" w:color="auto" w:fill="FFFFFF"/>
        <w:spacing w:line="360" w:lineRule="auto"/>
        <w:ind w:right="49"/>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EE03A2" w:rsidRPr="00EE03A2" w:rsidRDefault="00EE03A2" w:rsidP="00EE03A2">
      <w:pPr>
        <w:shd w:val="clear" w:color="auto" w:fill="FFFFFF"/>
        <w:spacing w:line="360" w:lineRule="auto"/>
        <w:ind w:right="51"/>
        <w:jc w:val="both"/>
        <w:rPr>
          <w:rFonts w:ascii="Palatino Linotype" w:eastAsia="Palatino Linotype" w:hAnsi="Palatino Linotype" w:cs="Palatino Linotype"/>
          <w:lang w:val="es-MX" w:eastAsia="es-ES"/>
        </w:rPr>
      </w:pPr>
    </w:p>
    <w:p w:rsidR="00EE03A2" w:rsidRPr="00EE03A2" w:rsidRDefault="00EE03A2" w:rsidP="00EE03A2">
      <w:pPr>
        <w:shd w:val="clear" w:color="auto" w:fill="FFFFFF"/>
        <w:spacing w:line="360" w:lineRule="auto"/>
        <w:ind w:right="51"/>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E03A2" w:rsidRPr="00EE03A2" w:rsidRDefault="00EE03A2" w:rsidP="00EE03A2">
      <w:pPr>
        <w:shd w:val="clear" w:color="auto" w:fill="FFFFFF"/>
        <w:spacing w:line="360" w:lineRule="auto"/>
        <w:ind w:right="51"/>
        <w:jc w:val="both"/>
        <w:rPr>
          <w:rFonts w:ascii="Palatino Linotype" w:eastAsia="Palatino Linotype" w:hAnsi="Palatino Linotype" w:cs="Palatino Linotype"/>
          <w:lang w:val="es-MX" w:eastAsia="es-ES"/>
        </w:rPr>
      </w:pPr>
    </w:p>
    <w:p w:rsidR="00EE03A2" w:rsidRPr="00EE03A2" w:rsidRDefault="00EE03A2" w:rsidP="00EE03A2">
      <w:pPr>
        <w:shd w:val="clear" w:color="auto" w:fill="FFFFFF"/>
        <w:spacing w:line="360" w:lineRule="auto"/>
        <w:ind w:right="51"/>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EE03A2" w:rsidRPr="00EE03A2" w:rsidRDefault="00EE03A2" w:rsidP="00EE03A2">
      <w:pPr>
        <w:shd w:val="clear" w:color="auto" w:fill="FFFFFF"/>
        <w:spacing w:line="360" w:lineRule="auto"/>
        <w:ind w:right="51"/>
        <w:jc w:val="both"/>
        <w:rPr>
          <w:rFonts w:ascii="Palatino Linotype" w:eastAsia="Palatino Linotype" w:hAnsi="Palatino Linotype" w:cs="Palatino Linotype"/>
          <w:lang w:val="es-MX" w:eastAsia="es-ES"/>
        </w:rPr>
      </w:pPr>
    </w:p>
    <w:p w:rsidR="00EE03A2" w:rsidRPr="00EE03A2" w:rsidRDefault="00EE03A2" w:rsidP="00EE03A2">
      <w:pPr>
        <w:spacing w:line="276" w:lineRule="auto"/>
        <w:ind w:left="993" w:right="1041"/>
        <w:jc w:val="both"/>
        <w:rPr>
          <w:rFonts w:ascii="Palatino Linotype" w:eastAsia="Palatino Linotype" w:hAnsi="Palatino Linotype" w:cs="Palatino Linotype"/>
          <w:b/>
          <w:i/>
          <w:sz w:val="22"/>
          <w:szCs w:val="22"/>
          <w:lang w:val="es-MX" w:eastAsia="es-ES"/>
        </w:rPr>
      </w:pPr>
      <w:r w:rsidRPr="00EE03A2">
        <w:rPr>
          <w:rFonts w:ascii="Palatino Linotype" w:eastAsia="Palatino Linotype" w:hAnsi="Palatino Linotype" w:cs="Palatino Linotype"/>
          <w:b/>
          <w:i/>
          <w:sz w:val="22"/>
          <w:szCs w:val="22"/>
          <w:lang w:val="es-MX" w:eastAsia="es-ES"/>
        </w:rPr>
        <w:t xml:space="preserve"> “Artículo 3. Para los efectos de la presente Ley se entenderá por:</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IX. Datos personales:</w:t>
      </w:r>
      <w:r w:rsidRPr="00EE03A2">
        <w:rPr>
          <w:rFonts w:ascii="Palatino Linotype" w:eastAsia="Palatino Linotype" w:hAnsi="Palatino Linotype" w:cs="Palatino Linotype"/>
          <w:i/>
          <w:sz w:val="22"/>
          <w:szCs w:val="22"/>
          <w:lang w:val="es-MX" w:eastAsia="es-ES"/>
        </w:rPr>
        <w:t xml:space="preserve"> </w:t>
      </w:r>
      <w:r w:rsidRPr="00EE03A2">
        <w:rPr>
          <w:rFonts w:ascii="Palatino Linotype" w:eastAsia="Palatino Linotype" w:hAnsi="Palatino Linotype" w:cs="Palatino Linotype"/>
          <w:b/>
          <w:i/>
          <w:sz w:val="22"/>
          <w:szCs w:val="22"/>
          <w:lang w:val="es-MX" w:eastAsia="es-ES"/>
        </w:rPr>
        <w:t>La información concerniente a una persona, identificada o identificable</w:t>
      </w:r>
      <w:r w:rsidRPr="00EE03A2">
        <w:rPr>
          <w:rFonts w:ascii="Palatino Linotype" w:eastAsia="Palatino Linotype" w:hAnsi="Palatino Linotype" w:cs="Palatino Linotype"/>
          <w:i/>
          <w:sz w:val="22"/>
          <w:szCs w:val="22"/>
          <w:lang w:val="es-MX" w:eastAsia="es-ES"/>
        </w:rPr>
        <w:t xml:space="preserve"> según lo dispuesto por la Ley de Protección de Datos Personales del Estado de México;</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XX. Información clasificada:</w:t>
      </w:r>
      <w:r w:rsidRPr="00EE03A2">
        <w:rPr>
          <w:rFonts w:ascii="Palatino Linotype" w:eastAsia="Palatino Linotype" w:hAnsi="Palatino Linotype" w:cs="Palatino Linotype"/>
          <w:i/>
          <w:sz w:val="22"/>
          <w:szCs w:val="22"/>
          <w:lang w:val="es-MX" w:eastAsia="es-ES"/>
        </w:rPr>
        <w:t xml:space="preserve"> Aquella considerada por la presente Ley como reservada o confidencial;</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lastRenderedPageBreak/>
        <w:t>XXXII. Protección de Datos Personales:</w:t>
      </w:r>
      <w:r w:rsidRPr="00EE03A2">
        <w:rPr>
          <w:rFonts w:ascii="Palatino Linotype" w:eastAsia="Palatino Linotype" w:hAnsi="Palatino Linotype" w:cs="Palatino Linotype"/>
          <w:i/>
          <w:sz w:val="22"/>
          <w:szCs w:val="22"/>
          <w:lang w:val="es-MX" w:eastAsia="es-ES"/>
        </w:rPr>
        <w:t xml:space="preserve"> Derecho humano que tutela la privacidad de datos personales en poder de los sujetos obligados y sujetos particulares;</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XLV. Versión pública</w:t>
      </w:r>
      <w:r w:rsidRPr="00EE03A2">
        <w:rPr>
          <w:rFonts w:ascii="Palatino Linotype" w:eastAsia="Palatino Linotype" w:hAnsi="Palatino Linotype" w:cs="Palatino Linotype"/>
          <w:i/>
          <w:sz w:val="22"/>
          <w:szCs w:val="22"/>
          <w:lang w:val="es-MX" w:eastAsia="es-ES"/>
        </w:rPr>
        <w:t>: Documento en el que se elimine, suprime o borra la información clasificada como reservada o confidencial para permitir su acceso.”</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“Artículo 6.</w:t>
      </w:r>
      <w:r w:rsidRPr="00EE03A2">
        <w:rPr>
          <w:rFonts w:ascii="Palatino Linotype" w:eastAsia="Palatino Linotype" w:hAnsi="Palatino Linotype" w:cs="Palatino Linotype"/>
          <w:i/>
          <w:sz w:val="22"/>
          <w:szCs w:val="22"/>
          <w:lang w:val="es-MX" w:eastAsia="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E03A2" w:rsidRPr="00EE03A2" w:rsidRDefault="00EE03A2" w:rsidP="00EE03A2">
      <w:pPr>
        <w:spacing w:line="360" w:lineRule="auto"/>
        <w:ind w:left="993" w:right="1041"/>
        <w:jc w:val="both"/>
        <w:rPr>
          <w:rFonts w:ascii="Palatino Linotype" w:eastAsia="Palatino Linotype" w:hAnsi="Palatino Linotype" w:cs="Palatino Linotype"/>
          <w:i/>
          <w:sz w:val="22"/>
          <w:szCs w:val="22"/>
          <w:lang w:val="es-MX" w:eastAsia="es-ES"/>
        </w:rPr>
      </w:pP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 </w:t>
      </w:r>
      <w:r w:rsidRPr="00EE03A2">
        <w:rPr>
          <w:rFonts w:ascii="Palatino Linotype" w:eastAsia="Palatino Linotype" w:hAnsi="Palatino Linotype" w:cs="Palatino Linotype"/>
          <w:b/>
          <w:i/>
          <w:sz w:val="22"/>
          <w:szCs w:val="22"/>
          <w:lang w:val="es-MX" w:eastAsia="es-ES"/>
        </w:rPr>
        <w:t>Artículo 49.</w:t>
      </w:r>
      <w:r w:rsidRPr="00EE03A2">
        <w:rPr>
          <w:rFonts w:ascii="Palatino Linotype" w:eastAsia="Palatino Linotype" w:hAnsi="Palatino Linotype" w:cs="Palatino Linotype"/>
          <w:i/>
          <w:sz w:val="22"/>
          <w:szCs w:val="22"/>
          <w:lang w:val="es-MX" w:eastAsia="es-ES"/>
        </w:rPr>
        <w:t> Los Comités de Transparencia tendrán las siguientes atribuciones:</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VIII</w:t>
      </w:r>
      <w:r w:rsidRPr="00EE03A2">
        <w:rPr>
          <w:rFonts w:ascii="Palatino Linotype" w:eastAsia="Palatino Linotype" w:hAnsi="Palatino Linotype" w:cs="Palatino Linotype"/>
          <w:i/>
          <w:sz w:val="22"/>
          <w:szCs w:val="22"/>
          <w:lang w:val="es-MX" w:eastAsia="es-ES"/>
        </w:rPr>
        <w:t>. Aprobar, modificar o revocar la clasificación de la información;</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 xml:space="preserve">Artículo 91. </w:t>
      </w:r>
      <w:r w:rsidRPr="00EE03A2">
        <w:rPr>
          <w:rFonts w:ascii="Palatino Linotype" w:eastAsia="Palatino Linotype" w:hAnsi="Palatino Linotype" w:cs="Palatino Linotype"/>
          <w:i/>
          <w:sz w:val="22"/>
          <w:szCs w:val="22"/>
          <w:lang w:val="es-MX" w:eastAsia="es-ES"/>
        </w:rPr>
        <w:t>El acceso a la información pública será restringido excepcionalmente, cuando ésta sea clasificada como reservada o confidencial.</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p>
    <w:p w:rsidR="00EE03A2" w:rsidRPr="00EE03A2" w:rsidRDefault="00EE03A2" w:rsidP="00EE03A2">
      <w:pPr>
        <w:spacing w:line="276" w:lineRule="auto"/>
        <w:ind w:left="993" w:right="1041"/>
        <w:jc w:val="both"/>
        <w:rPr>
          <w:rFonts w:ascii="Palatino Linotype" w:eastAsia="Palatino Linotype" w:hAnsi="Palatino Linotype" w:cs="Palatino Linotype"/>
          <w:b/>
          <w:i/>
          <w:sz w:val="22"/>
          <w:szCs w:val="22"/>
          <w:lang w:val="es-MX" w:eastAsia="es-ES"/>
        </w:rPr>
      </w:pPr>
      <w:r w:rsidRPr="00EE03A2">
        <w:rPr>
          <w:rFonts w:ascii="Palatino Linotype" w:eastAsia="Palatino Linotype" w:hAnsi="Palatino Linotype" w:cs="Palatino Linotype"/>
          <w:b/>
          <w:i/>
          <w:sz w:val="22"/>
          <w:szCs w:val="22"/>
          <w:lang w:val="es-MX" w:eastAsia="es-ES"/>
        </w:rPr>
        <w:t>“Artículo 137.</w:t>
      </w:r>
      <w:r w:rsidRPr="00EE03A2">
        <w:rPr>
          <w:rFonts w:ascii="Palatino Linotype" w:eastAsia="Palatino Linotype" w:hAnsi="Palatino Linotype" w:cs="Palatino Linotype"/>
          <w:i/>
          <w:sz w:val="22"/>
          <w:szCs w:val="22"/>
          <w:lang w:val="es-MX" w:eastAsia="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E03A2" w:rsidRPr="00EE03A2" w:rsidRDefault="00EE03A2" w:rsidP="00EE03A2">
      <w:pPr>
        <w:spacing w:line="276" w:lineRule="auto"/>
        <w:ind w:left="993" w:right="1041"/>
        <w:jc w:val="both"/>
        <w:rPr>
          <w:rFonts w:ascii="Palatino Linotype" w:eastAsia="Palatino Linotype" w:hAnsi="Palatino Linotype" w:cs="Palatino Linotype"/>
          <w:b/>
          <w:i/>
          <w:sz w:val="22"/>
          <w:szCs w:val="22"/>
          <w:lang w:val="es-MX" w:eastAsia="es-ES"/>
        </w:rPr>
      </w:pP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“Artículo 143</w:t>
      </w:r>
      <w:r w:rsidRPr="00EE03A2">
        <w:rPr>
          <w:rFonts w:ascii="Palatino Linotype" w:eastAsia="Palatino Linotype" w:hAnsi="Palatino Linotype" w:cs="Palatino Linotype"/>
          <w:i/>
          <w:sz w:val="22"/>
          <w:szCs w:val="22"/>
          <w:lang w:val="es-MX" w:eastAsia="es-ES"/>
        </w:rPr>
        <w:t>. Para los efectos de esta Ley se considera información confidencial, la clasificada como tal, de manera permanente, por su naturaleza, cuando:</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lastRenderedPageBreak/>
        <w:t>I.</w:t>
      </w:r>
      <w:r w:rsidRPr="00EE03A2">
        <w:rPr>
          <w:rFonts w:ascii="Palatino Linotype" w:eastAsia="Palatino Linotype" w:hAnsi="Palatino Linotype" w:cs="Palatino Linotype"/>
          <w:i/>
          <w:sz w:val="22"/>
          <w:szCs w:val="22"/>
          <w:lang w:val="es-MX" w:eastAsia="es-ES"/>
        </w:rPr>
        <w:t xml:space="preserve"> Se refiera a la información privada y los datos personales concernientes a una persona física o jurídica colectiva identificada o identificable;</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II. Los secretos bancario, fiduciario, industrial, comercial, fiscal, bursátil y postal, cuya titularidad corresponda a particulares, sujetos de derecho internacional o a sujetos obligados cuando no involucren el ejercicio de recursos públicos; y</w:t>
      </w: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III. La que presenten los particulares a los sujetos obligados, de conformidad con lo dispuesto por las leyes o los tratados internacionales.” (Sic)</w:t>
      </w:r>
    </w:p>
    <w:p w:rsidR="00EE03A2" w:rsidRPr="00EE03A2" w:rsidRDefault="00EE03A2" w:rsidP="00EE03A2">
      <w:pPr>
        <w:spacing w:line="360" w:lineRule="auto"/>
        <w:ind w:left="993" w:right="1041"/>
        <w:jc w:val="both"/>
        <w:rPr>
          <w:rFonts w:ascii="Palatino Linotype" w:eastAsia="Palatino Linotype" w:hAnsi="Palatino Linotype" w:cs="Palatino Linotype"/>
          <w:i/>
          <w:sz w:val="22"/>
          <w:szCs w:val="22"/>
          <w:lang w:val="es-MX" w:eastAsia="es-ES"/>
        </w:rPr>
      </w:pPr>
    </w:p>
    <w:p w:rsidR="00EE03A2" w:rsidRPr="00EE03A2" w:rsidRDefault="00EE03A2" w:rsidP="00EE03A2">
      <w:pPr>
        <w:spacing w:line="360" w:lineRule="auto"/>
        <w:ind w:right="51"/>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EE03A2" w:rsidRPr="00EE03A2" w:rsidRDefault="00EE03A2" w:rsidP="00EE03A2">
      <w:pPr>
        <w:spacing w:line="360" w:lineRule="auto"/>
        <w:ind w:right="51"/>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50"/>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Datos que deberá clasificar como confidenciales por tratarse precisamente de información privada, puesto que los datos personales son irrenunciables, </w:t>
      </w:r>
      <w:r w:rsidRPr="00EE03A2">
        <w:rPr>
          <w:rFonts w:ascii="Palatino Linotype" w:eastAsia="Palatino Linotype" w:hAnsi="Palatino Linotype" w:cs="Palatino Linotype"/>
          <w:lang w:val="es-MX" w:eastAsia="es-ES"/>
        </w:rPr>
        <w:lastRenderedPageBreak/>
        <w:t>intransferibles e indelegables y los Sujetos Obligados no deberán hacer entrega de los mismos a personas ajenas a su titular.</w:t>
      </w:r>
    </w:p>
    <w:p w:rsidR="00EE03A2" w:rsidRPr="00EE03A2" w:rsidRDefault="00EE03A2" w:rsidP="00EE03A2">
      <w:pPr>
        <w:spacing w:line="360" w:lineRule="auto"/>
        <w:ind w:right="50"/>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51"/>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EE03A2" w:rsidRPr="00EE03A2" w:rsidRDefault="00EE03A2" w:rsidP="00EE03A2">
      <w:pPr>
        <w:spacing w:line="360" w:lineRule="auto"/>
        <w:ind w:right="51"/>
        <w:jc w:val="both"/>
        <w:rPr>
          <w:rFonts w:ascii="Palatino Linotype" w:eastAsia="Palatino Linotype" w:hAnsi="Palatino Linotype" w:cs="Palatino Linotype"/>
          <w:lang w:val="es-MX" w:eastAsia="es-ES"/>
        </w:rPr>
      </w:pPr>
    </w:p>
    <w:p w:rsidR="00EE03A2" w:rsidRPr="00EE03A2" w:rsidRDefault="00EE03A2" w:rsidP="00EE03A2">
      <w:pPr>
        <w:spacing w:line="276" w:lineRule="auto"/>
        <w:ind w:left="992" w:right="1043"/>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“Artículo 49.</w:t>
      </w:r>
      <w:r w:rsidRPr="00EE03A2">
        <w:rPr>
          <w:rFonts w:ascii="Palatino Linotype" w:eastAsia="Palatino Linotype" w:hAnsi="Palatino Linotype" w:cs="Palatino Linotype"/>
          <w:i/>
          <w:sz w:val="22"/>
          <w:szCs w:val="22"/>
          <w:lang w:val="es-MX" w:eastAsia="es-ES"/>
        </w:rPr>
        <w:t xml:space="preserve"> </w:t>
      </w:r>
      <w:r w:rsidRPr="00EE03A2">
        <w:rPr>
          <w:rFonts w:ascii="Palatino Linotype" w:eastAsia="Palatino Linotype" w:hAnsi="Palatino Linotype" w:cs="Palatino Linotype"/>
          <w:b/>
          <w:i/>
          <w:sz w:val="22"/>
          <w:szCs w:val="22"/>
          <w:lang w:val="es-MX" w:eastAsia="es-ES"/>
        </w:rPr>
        <w:t>Los Comités de Transparencia</w:t>
      </w:r>
      <w:r w:rsidRPr="00EE03A2">
        <w:rPr>
          <w:rFonts w:ascii="Palatino Linotype" w:eastAsia="Palatino Linotype" w:hAnsi="Palatino Linotype" w:cs="Palatino Linotype"/>
          <w:i/>
          <w:sz w:val="22"/>
          <w:szCs w:val="22"/>
          <w:lang w:val="es-MX" w:eastAsia="es-ES"/>
        </w:rPr>
        <w:t xml:space="preserve"> tendrán las siguientes atribuciones:</w:t>
      </w:r>
    </w:p>
    <w:p w:rsidR="00EE03A2" w:rsidRPr="00EE03A2" w:rsidRDefault="00EE03A2" w:rsidP="00EE03A2">
      <w:pPr>
        <w:spacing w:line="276" w:lineRule="auto"/>
        <w:ind w:left="992" w:right="1043"/>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VIII. Aprobar, modificar o revocar la clasificación de la información</w:t>
      </w:r>
      <w:r w:rsidRPr="00EE03A2">
        <w:rPr>
          <w:rFonts w:ascii="Palatino Linotype" w:eastAsia="Palatino Linotype" w:hAnsi="Palatino Linotype" w:cs="Palatino Linotype"/>
          <w:i/>
          <w:sz w:val="22"/>
          <w:szCs w:val="22"/>
          <w:lang w:val="es-MX" w:eastAsia="es-ES"/>
        </w:rPr>
        <w:t>…”</w:t>
      </w:r>
    </w:p>
    <w:p w:rsidR="00EE03A2" w:rsidRPr="00EE03A2" w:rsidRDefault="00EE03A2" w:rsidP="00EE03A2">
      <w:pPr>
        <w:spacing w:line="276" w:lineRule="auto"/>
        <w:ind w:left="992" w:right="1043"/>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w:t>
      </w:r>
      <w:r w:rsidRPr="00EE03A2">
        <w:rPr>
          <w:rFonts w:ascii="Palatino Linotype" w:eastAsia="Palatino Linotype" w:hAnsi="Palatino Linotype" w:cs="Palatino Linotype"/>
          <w:b/>
          <w:i/>
          <w:sz w:val="22"/>
          <w:szCs w:val="22"/>
          <w:lang w:val="es-MX" w:eastAsia="es-ES"/>
        </w:rPr>
        <w:t>Artículo 53.</w:t>
      </w:r>
      <w:r w:rsidRPr="00EE03A2">
        <w:rPr>
          <w:rFonts w:ascii="Palatino Linotype" w:eastAsia="Palatino Linotype" w:hAnsi="Palatino Linotype" w:cs="Palatino Linotype"/>
          <w:i/>
          <w:sz w:val="22"/>
          <w:szCs w:val="22"/>
          <w:lang w:val="es-MX" w:eastAsia="es-ES"/>
        </w:rPr>
        <w:t xml:space="preserve"> Las </w:t>
      </w:r>
      <w:r w:rsidRPr="00EE03A2">
        <w:rPr>
          <w:rFonts w:ascii="Palatino Linotype" w:eastAsia="Palatino Linotype" w:hAnsi="Palatino Linotype" w:cs="Palatino Linotype"/>
          <w:b/>
          <w:i/>
          <w:sz w:val="22"/>
          <w:szCs w:val="22"/>
          <w:lang w:val="es-MX" w:eastAsia="es-ES"/>
        </w:rPr>
        <w:t>Unidades de Transparencia</w:t>
      </w:r>
      <w:r w:rsidRPr="00EE03A2">
        <w:rPr>
          <w:rFonts w:ascii="Palatino Linotype" w:eastAsia="Palatino Linotype" w:hAnsi="Palatino Linotype" w:cs="Palatino Linotype"/>
          <w:i/>
          <w:sz w:val="22"/>
          <w:szCs w:val="22"/>
          <w:lang w:val="es-MX" w:eastAsia="es-ES"/>
        </w:rPr>
        <w:t xml:space="preserve"> tendrán las siguientes </w:t>
      </w:r>
      <w:r w:rsidRPr="00EE03A2">
        <w:rPr>
          <w:rFonts w:ascii="Palatino Linotype" w:eastAsia="Palatino Linotype" w:hAnsi="Palatino Linotype" w:cs="Palatino Linotype"/>
          <w:b/>
          <w:i/>
          <w:sz w:val="22"/>
          <w:szCs w:val="22"/>
          <w:lang w:val="es-MX" w:eastAsia="es-ES"/>
        </w:rPr>
        <w:t>funciones</w:t>
      </w:r>
      <w:r w:rsidRPr="00EE03A2">
        <w:rPr>
          <w:rFonts w:ascii="Palatino Linotype" w:eastAsia="Palatino Linotype" w:hAnsi="Palatino Linotype" w:cs="Palatino Linotype"/>
          <w:i/>
          <w:sz w:val="22"/>
          <w:szCs w:val="22"/>
          <w:lang w:val="es-MX" w:eastAsia="es-ES"/>
        </w:rPr>
        <w:t>:</w:t>
      </w:r>
    </w:p>
    <w:p w:rsidR="00EE03A2" w:rsidRPr="00EE03A2" w:rsidRDefault="00EE03A2" w:rsidP="00EE03A2">
      <w:pPr>
        <w:spacing w:line="276" w:lineRule="auto"/>
        <w:ind w:left="992" w:right="1043"/>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X. Presentar ante el Comité, el proyecto de clasificación de información</w:t>
      </w:r>
      <w:r w:rsidRPr="00EE03A2">
        <w:rPr>
          <w:rFonts w:ascii="Palatino Linotype" w:eastAsia="Palatino Linotype" w:hAnsi="Palatino Linotype" w:cs="Palatino Linotype"/>
          <w:i/>
          <w:sz w:val="22"/>
          <w:szCs w:val="22"/>
          <w:lang w:val="es-MX" w:eastAsia="es-ES"/>
        </w:rPr>
        <w:t xml:space="preserve">…” </w:t>
      </w:r>
    </w:p>
    <w:p w:rsidR="00EE03A2" w:rsidRPr="00EE03A2" w:rsidRDefault="00EE03A2" w:rsidP="00EE03A2">
      <w:pPr>
        <w:spacing w:line="276" w:lineRule="auto"/>
        <w:ind w:left="992" w:right="1043"/>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“Artículo 59.</w:t>
      </w:r>
      <w:r w:rsidRPr="00EE03A2">
        <w:rPr>
          <w:rFonts w:ascii="Palatino Linotype" w:eastAsia="Palatino Linotype" w:hAnsi="Palatino Linotype" w:cs="Palatino Linotype"/>
          <w:i/>
          <w:sz w:val="22"/>
          <w:szCs w:val="22"/>
          <w:lang w:val="es-MX" w:eastAsia="es-ES"/>
        </w:rPr>
        <w:t xml:space="preserve"> Los </w:t>
      </w:r>
      <w:r w:rsidRPr="00EE03A2">
        <w:rPr>
          <w:rFonts w:ascii="Palatino Linotype" w:eastAsia="Palatino Linotype" w:hAnsi="Palatino Linotype" w:cs="Palatino Linotype"/>
          <w:b/>
          <w:i/>
          <w:sz w:val="22"/>
          <w:szCs w:val="22"/>
          <w:lang w:val="es-MX" w:eastAsia="es-ES"/>
        </w:rPr>
        <w:t>servidores públicos habilitados</w:t>
      </w:r>
      <w:r w:rsidRPr="00EE03A2">
        <w:rPr>
          <w:rFonts w:ascii="Palatino Linotype" w:eastAsia="Palatino Linotype" w:hAnsi="Palatino Linotype" w:cs="Palatino Linotype"/>
          <w:i/>
          <w:sz w:val="22"/>
          <w:szCs w:val="22"/>
          <w:lang w:val="es-MX" w:eastAsia="es-ES"/>
        </w:rPr>
        <w:t xml:space="preserve"> tendrán las </w:t>
      </w:r>
      <w:r w:rsidRPr="00EE03A2">
        <w:rPr>
          <w:rFonts w:ascii="Palatino Linotype" w:eastAsia="Palatino Linotype" w:hAnsi="Palatino Linotype" w:cs="Palatino Linotype"/>
          <w:b/>
          <w:i/>
          <w:sz w:val="22"/>
          <w:szCs w:val="22"/>
          <w:lang w:val="es-MX" w:eastAsia="es-ES"/>
        </w:rPr>
        <w:t>funciones</w:t>
      </w:r>
      <w:r w:rsidRPr="00EE03A2">
        <w:rPr>
          <w:rFonts w:ascii="Palatino Linotype" w:eastAsia="Palatino Linotype" w:hAnsi="Palatino Linotype" w:cs="Palatino Linotype"/>
          <w:i/>
          <w:sz w:val="22"/>
          <w:szCs w:val="22"/>
          <w:lang w:val="es-MX" w:eastAsia="es-ES"/>
        </w:rPr>
        <w:t xml:space="preserve"> siguientes:</w:t>
      </w:r>
    </w:p>
    <w:p w:rsidR="00EE03A2" w:rsidRPr="00EE03A2" w:rsidRDefault="00EE03A2" w:rsidP="00EE03A2">
      <w:pPr>
        <w:spacing w:line="276" w:lineRule="auto"/>
        <w:ind w:left="992" w:right="1043"/>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V. Integrar y presentar al responsable de la Unidad de Transparencia la propuesta de clasificación de información</w:t>
      </w:r>
      <w:r w:rsidRPr="00EE03A2">
        <w:rPr>
          <w:rFonts w:ascii="Palatino Linotype" w:eastAsia="Palatino Linotype" w:hAnsi="Palatino Linotype" w:cs="Palatino Linotype"/>
          <w:i/>
          <w:sz w:val="22"/>
          <w:szCs w:val="22"/>
          <w:lang w:val="es-MX" w:eastAsia="es-ES"/>
        </w:rPr>
        <w:t>, la cual tendrá los fundamentos y argumentos en que se basa dicha propuesta…”</w:t>
      </w:r>
    </w:p>
    <w:p w:rsidR="00EE03A2" w:rsidRPr="00EE03A2" w:rsidRDefault="00EE03A2" w:rsidP="00EE03A2">
      <w:pPr>
        <w:spacing w:line="360" w:lineRule="auto"/>
        <w:ind w:left="992" w:right="1043"/>
        <w:jc w:val="both"/>
        <w:rPr>
          <w:rFonts w:ascii="Palatino Linotype" w:eastAsia="Palatino Linotype" w:hAnsi="Palatino Linotype" w:cs="Palatino Linotype"/>
          <w:i/>
          <w:sz w:val="22"/>
          <w:szCs w:val="22"/>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EE03A2">
        <w:rPr>
          <w:rFonts w:ascii="Palatino Linotype" w:eastAsia="Palatino Linotype" w:hAnsi="Palatino Linotype" w:cs="Palatino Linotype"/>
          <w:lang w:val="es-MX" w:eastAsia="es-ES"/>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Para lo cual, a su vez en el caso de información de carácter confidencial, se debe atender a lo que señala el artículo 149 de la Ley de Transparencia Local vigente, que se lee como sigue:</w:t>
      </w:r>
    </w:p>
    <w:p w:rsidR="00EE03A2" w:rsidRPr="00EE03A2" w:rsidRDefault="00EE03A2" w:rsidP="00EE03A2">
      <w:pPr>
        <w:spacing w:line="360" w:lineRule="auto"/>
        <w:jc w:val="both"/>
        <w:rPr>
          <w:rFonts w:ascii="Palatino Linotype" w:eastAsia="Palatino Linotype" w:hAnsi="Palatino Linotype" w:cs="Palatino Linotype"/>
          <w:sz w:val="22"/>
          <w:szCs w:val="22"/>
          <w:lang w:val="es-MX" w:eastAsia="es-ES"/>
        </w:rPr>
      </w:pPr>
    </w:p>
    <w:p w:rsidR="00EE03A2" w:rsidRPr="00EE03A2" w:rsidRDefault="00EE03A2" w:rsidP="00EE03A2">
      <w:pPr>
        <w:spacing w:line="276" w:lineRule="auto"/>
        <w:ind w:left="993"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w:t>
      </w:r>
      <w:r w:rsidRPr="00EE03A2">
        <w:rPr>
          <w:rFonts w:ascii="Palatino Linotype" w:eastAsia="Palatino Linotype" w:hAnsi="Palatino Linotype" w:cs="Palatino Linotype"/>
          <w:b/>
          <w:i/>
          <w:sz w:val="22"/>
          <w:szCs w:val="22"/>
          <w:lang w:val="es-MX" w:eastAsia="es-ES"/>
        </w:rPr>
        <w:t>Artículo 149.</w:t>
      </w:r>
      <w:r w:rsidRPr="00EE03A2">
        <w:rPr>
          <w:rFonts w:ascii="Palatino Linotype" w:eastAsia="Palatino Linotype" w:hAnsi="Palatino Linotype" w:cs="Palatino Linotype"/>
          <w:i/>
          <w:sz w:val="22"/>
          <w:szCs w:val="22"/>
          <w:lang w:val="es-MX" w:eastAsia="es-ES"/>
        </w:rPr>
        <w:t xml:space="preserve"> El </w:t>
      </w:r>
      <w:r w:rsidRPr="00EE03A2">
        <w:rPr>
          <w:rFonts w:ascii="Palatino Linotype" w:eastAsia="Palatino Linotype" w:hAnsi="Palatino Linotype" w:cs="Palatino Linotype"/>
          <w:b/>
          <w:i/>
          <w:sz w:val="22"/>
          <w:szCs w:val="22"/>
          <w:lang w:val="es-MX" w:eastAsia="es-ES"/>
        </w:rPr>
        <w:t>acuerdo que clasifique la información como confidencial</w:t>
      </w:r>
      <w:r w:rsidRPr="00EE03A2">
        <w:rPr>
          <w:rFonts w:ascii="Palatino Linotype" w:eastAsia="Palatino Linotype" w:hAnsi="Palatino Linotype" w:cs="Palatino Linotype"/>
          <w:i/>
          <w:sz w:val="22"/>
          <w:szCs w:val="22"/>
          <w:lang w:val="es-MX" w:eastAsia="es-ES"/>
        </w:rPr>
        <w:t xml:space="preserve"> deberá contener un razonamiento lógico en el que demuestre que la información se encuentra en alguna o algunas de las hipótesis previstas en la presente Ley.”(Sic)</w:t>
      </w:r>
    </w:p>
    <w:p w:rsidR="00EE03A2" w:rsidRPr="00EE03A2" w:rsidRDefault="00EE03A2" w:rsidP="00EE03A2">
      <w:pPr>
        <w:spacing w:line="360" w:lineRule="auto"/>
        <w:ind w:left="993" w:right="1041"/>
        <w:jc w:val="both"/>
        <w:rPr>
          <w:rFonts w:ascii="Palatino Linotype" w:eastAsia="Palatino Linotype" w:hAnsi="Palatino Linotype" w:cs="Palatino Linotype"/>
          <w:i/>
          <w:sz w:val="22"/>
          <w:szCs w:val="22"/>
          <w:lang w:val="es-MX" w:eastAsia="es-ES"/>
        </w:rPr>
      </w:pPr>
    </w:p>
    <w:p w:rsidR="00EE03A2" w:rsidRPr="00EE03A2" w:rsidRDefault="00EE03A2" w:rsidP="00EE03A2">
      <w:pPr>
        <w:spacing w:line="360" w:lineRule="auto"/>
        <w:ind w:right="49"/>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EE03A2" w:rsidRPr="00EE03A2" w:rsidRDefault="00EE03A2" w:rsidP="00EE03A2">
      <w:pPr>
        <w:spacing w:line="360" w:lineRule="auto"/>
        <w:ind w:right="49"/>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49"/>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lastRenderedPageBreak/>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E03A2">
        <w:rPr>
          <w:rFonts w:ascii="Palatino Linotype" w:eastAsia="Palatino Linotype" w:hAnsi="Palatino Linotype" w:cs="Palatino Linotype"/>
          <w:b/>
          <w:lang w:val="es-MX" w:eastAsia="es-ES"/>
        </w:rPr>
        <w:t>Registro Federal de Contribuyentes</w:t>
      </w:r>
      <w:r w:rsidRPr="00EE03A2">
        <w:rPr>
          <w:rFonts w:ascii="Palatino Linotype" w:eastAsia="Palatino Linotype" w:hAnsi="Palatino Linotype" w:cs="Palatino Linotype"/>
          <w:lang w:val="es-MX" w:eastAsia="es-ES"/>
        </w:rPr>
        <w:t xml:space="preserve"> (RFC), la </w:t>
      </w:r>
      <w:r w:rsidRPr="00EE03A2">
        <w:rPr>
          <w:rFonts w:ascii="Palatino Linotype" w:eastAsia="Palatino Linotype" w:hAnsi="Palatino Linotype" w:cs="Palatino Linotype"/>
          <w:b/>
          <w:lang w:val="es-MX" w:eastAsia="es-ES"/>
        </w:rPr>
        <w:t>Clave Única de Registro de Población</w:t>
      </w:r>
      <w:r w:rsidRPr="00EE03A2">
        <w:rPr>
          <w:rFonts w:ascii="Palatino Linotype" w:eastAsia="Palatino Linotype" w:hAnsi="Palatino Linotype" w:cs="Palatino Linotype"/>
          <w:lang w:val="es-MX" w:eastAsia="es-ES"/>
        </w:rPr>
        <w:t xml:space="preserve"> (CURP), la </w:t>
      </w:r>
      <w:r w:rsidRPr="00EE03A2">
        <w:rPr>
          <w:rFonts w:ascii="Palatino Linotype" w:eastAsia="Palatino Linotype" w:hAnsi="Palatino Linotype" w:cs="Palatino Linotype"/>
          <w:b/>
          <w:lang w:val="es-MX" w:eastAsia="es-ES"/>
        </w:rPr>
        <w:t>Clave de cualquier tipo de seguridad social</w:t>
      </w:r>
      <w:r w:rsidRPr="00EE03A2">
        <w:rPr>
          <w:rFonts w:ascii="Palatino Linotype" w:eastAsia="Palatino Linotype" w:hAnsi="Palatino Linotype" w:cs="Palatino Linotype"/>
          <w:lang w:val="es-MX" w:eastAsia="es-ES"/>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EE03A2" w:rsidRPr="00EE03A2" w:rsidRDefault="00EE03A2" w:rsidP="00EE03A2">
      <w:pPr>
        <w:spacing w:line="360" w:lineRule="auto"/>
        <w:ind w:right="49"/>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Por cuanto hace al </w:t>
      </w:r>
      <w:r w:rsidRPr="00EE03A2">
        <w:rPr>
          <w:rFonts w:ascii="Palatino Linotype" w:eastAsia="Palatino Linotype" w:hAnsi="Palatino Linotype" w:cs="Palatino Linotype"/>
          <w:b/>
          <w:lang w:val="es-MX" w:eastAsia="es-ES"/>
        </w:rPr>
        <w:t>Registro Federal de Contribuyentes (RFC),</w:t>
      </w:r>
      <w:r w:rsidRPr="00EE03A2">
        <w:rPr>
          <w:rFonts w:ascii="Palatino Linotype" w:eastAsia="Palatino Linotype" w:hAnsi="Palatino Linotype" w:cs="Palatino Linotype"/>
          <w:lang w:val="es-MX" w:eastAsia="es-ES"/>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Ahora bien, las personas físicas tramitan su inscripción en el registro con el propósito de realizar —mediante esa clave de identificación— operaciones o </w:t>
      </w:r>
      <w:r w:rsidRPr="00EE03A2">
        <w:rPr>
          <w:rFonts w:ascii="Palatino Linotype" w:eastAsia="Palatino Linotype" w:hAnsi="Palatino Linotype" w:cs="Palatino Linotype"/>
          <w:lang w:val="es-MX" w:eastAsia="es-ES"/>
        </w:rPr>
        <w:lastRenderedPageBreak/>
        <w:t>actividades de naturaleza fiscal, la cual, les permite hacerse identificables respecto de una situación fiscal determinada.</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49"/>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Lo anterior es compartido por el entonces Instituto Federal de Acceso a la Información Pública y Protección de Datos Personales (IFAI) a través del Criterio </w:t>
      </w:r>
      <w:r w:rsidRPr="00EE03A2">
        <w:rPr>
          <w:rFonts w:ascii="Palatino Linotype" w:eastAsia="Palatino Linotype" w:hAnsi="Palatino Linotype" w:cs="Palatino Linotype"/>
          <w:highlight w:val="white"/>
          <w:lang w:val="es-MX" w:eastAsia="es-ES"/>
        </w:rPr>
        <w:t xml:space="preserve">19/17, </w:t>
      </w:r>
      <w:r w:rsidRPr="00EE03A2">
        <w:rPr>
          <w:rFonts w:ascii="Palatino Linotype" w:eastAsia="Palatino Linotype" w:hAnsi="Palatino Linotype" w:cs="Palatino Linotype"/>
          <w:lang w:val="es-MX" w:eastAsia="es-ES"/>
        </w:rPr>
        <w:t>el cual es del tenor literal siguiente:</w:t>
      </w:r>
    </w:p>
    <w:p w:rsidR="00EE03A2" w:rsidRPr="00EE03A2" w:rsidRDefault="00EE03A2" w:rsidP="00EE03A2">
      <w:pPr>
        <w:spacing w:line="360" w:lineRule="auto"/>
        <w:ind w:left="851" w:right="900"/>
        <w:jc w:val="both"/>
        <w:rPr>
          <w:rFonts w:ascii="Palatino Linotype" w:eastAsia="Palatino Linotype" w:hAnsi="Palatino Linotype" w:cs="Palatino Linotype"/>
          <w:b/>
          <w:i/>
          <w:sz w:val="22"/>
          <w:szCs w:val="22"/>
          <w:lang w:val="es-MX" w:eastAsia="es-ES"/>
        </w:rPr>
      </w:pPr>
    </w:p>
    <w:p w:rsidR="00EE03A2" w:rsidRPr="00EE03A2" w:rsidRDefault="00EE03A2" w:rsidP="00EE03A2">
      <w:pPr>
        <w:spacing w:line="276" w:lineRule="auto"/>
        <w:ind w:left="567" w:right="709"/>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“Registro Federal de Contribuyentes (RFC) de personas físicas</w:t>
      </w:r>
      <w:r w:rsidRPr="00EE03A2">
        <w:rPr>
          <w:rFonts w:ascii="Palatino Linotype" w:eastAsia="Palatino Linotype" w:hAnsi="Palatino Linotype" w:cs="Palatino Linotype"/>
          <w:i/>
          <w:sz w:val="22"/>
          <w:szCs w:val="22"/>
          <w:lang w:val="es-MX" w:eastAsia="es-ES"/>
        </w:rPr>
        <w:t>. El RFC es una clave de carácter fiscal, única e irrepetible, que permite identificar al titular, su edad y fecha de nacimiento, por lo que es un dato personal de carácter confidencial.”</w:t>
      </w:r>
    </w:p>
    <w:p w:rsidR="00EE03A2" w:rsidRPr="00EE03A2" w:rsidRDefault="00EE03A2" w:rsidP="00EE03A2">
      <w:pPr>
        <w:spacing w:line="360" w:lineRule="auto"/>
        <w:jc w:val="both"/>
        <w:rPr>
          <w:rFonts w:ascii="Palatino Linotype" w:eastAsia="Palatino Linotype" w:hAnsi="Palatino Linotype" w:cs="Palatino Linotype"/>
          <w:sz w:val="22"/>
          <w:szCs w:val="22"/>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De igual manera la </w:t>
      </w:r>
      <w:r w:rsidRPr="00EE03A2">
        <w:rPr>
          <w:rFonts w:ascii="Palatino Linotype" w:eastAsia="Palatino Linotype" w:hAnsi="Palatino Linotype" w:cs="Palatino Linotype"/>
          <w:b/>
          <w:lang w:val="es-MX" w:eastAsia="es-ES"/>
        </w:rPr>
        <w:t>Clave Única de Registro de Población (CURP)</w:t>
      </w:r>
      <w:r w:rsidRPr="00EE03A2">
        <w:rPr>
          <w:rFonts w:ascii="Palatino Linotype" w:eastAsia="Palatino Linotype" w:hAnsi="Palatino Linotype" w:cs="Palatino Linotype"/>
          <w:lang w:val="es-MX" w:eastAsia="es-ES"/>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w:t>
      </w:r>
      <w:r w:rsidRPr="00EE03A2">
        <w:rPr>
          <w:rFonts w:ascii="Palatino Linotype" w:eastAsia="Palatino Linotype" w:hAnsi="Palatino Linotype" w:cs="Palatino Linotype"/>
          <w:lang w:val="es-MX" w:eastAsia="es-ES"/>
        </w:rPr>
        <w:lastRenderedPageBreak/>
        <w:t>nombre, sus apellidos y su lugar de nacimiento; información que permite distinguirlo del resto de los habitantes, por tal motivo, se considera que es de carácter confidencial.</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Argumento que es compartido por el Instituto </w:t>
      </w:r>
      <w:r w:rsidRPr="00EE03A2">
        <w:rPr>
          <w:rFonts w:ascii="Palatino Linotype" w:eastAsia="Palatino Linotype" w:hAnsi="Palatino Linotype" w:cs="Palatino Linotype"/>
          <w:highlight w:val="white"/>
          <w:lang w:val="es-MX" w:eastAsia="es-ES"/>
        </w:rPr>
        <w:t>Nacional de Transparencia, Acceso a la Información y Protección de Datos Personales, INAI</w:t>
      </w:r>
      <w:r w:rsidRPr="00EE03A2">
        <w:rPr>
          <w:rFonts w:ascii="Palatino Linotype" w:eastAsia="Palatino Linotype" w:hAnsi="Palatino Linotype" w:cs="Palatino Linotype"/>
          <w:b/>
          <w:lang w:val="es-MX" w:eastAsia="es-ES"/>
        </w:rPr>
        <w:t xml:space="preserve">, conforme al </w:t>
      </w:r>
      <w:r w:rsidRPr="00EE03A2">
        <w:rPr>
          <w:rFonts w:ascii="Palatino Linotype" w:eastAsia="Palatino Linotype" w:hAnsi="Palatino Linotype" w:cs="Palatino Linotype"/>
          <w:lang w:val="es-MX" w:eastAsia="es-ES"/>
        </w:rPr>
        <w:t xml:space="preserve">criterio 18/17, el cual refiere: </w:t>
      </w:r>
    </w:p>
    <w:p w:rsidR="00EE03A2" w:rsidRPr="00EE03A2" w:rsidRDefault="00EE03A2" w:rsidP="00EE03A2">
      <w:pPr>
        <w:spacing w:line="360" w:lineRule="auto"/>
        <w:ind w:left="851" w:right="851"/>
        <w:jc w:val="both"/>
        <w:rPr>
          <w:rFonts w:ascii="Palatino Linotype" w:eastAsia="Palatino Linotype" w:hAnsi="Palatino Linotype" w:cs="Palatino Linotype"/>
          <w:b/>
          <w:i/>
          <w:sz w:val="22"/>
          <w:szCs w:val="22"/>
          <w:lang w:val="es-MX" w:eastAsia="es-ES"/>
        </w:rPr>
      </w:pPr>
    </w:p>
    <w:p w:rsidR="00EE03A2" w:rsidRPr="00EE03A2" w:rsidRDefault="00EE03A2" w:rsidP="00EE03A2">
      <w:pPr>
        <w:spacing w:line="276" w:lineRule="auto"/>
        <w:ind w:left="851" w:right="85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 xml:space="preserve">“Clave Única de Registro de Población (CURP). </w:t>
      </w:r>
      <w:r w:rsidRPr="00EE03A2">
        <w:rPr>
          <w:rFonts w:ascii="Palatino Linotype" w:eastAsia="Palatino Linotype" w:hAnsi="Palatino Linotype" w:cs="Palatino Linotype"/>
          <w:i/>
          <w:sz w:val="22"/>
          <w:szCs w:val="22"/>
          <w:lang w:val="es-MX" w:eastAsia="es-E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E03A2" w:rsidRPr="00EE03A2" w:rsidRDefault="00EE03A2" w:rsidP="00EE03A2">
      <w:pPr>
        <w:spacing w:line="360" w:lineRule="auto"/>
        <w:jc w:val="both"/>
        <w:rPr>
          <w:rFonts w:ascii="Palatino Linotype" w:eastAsia="Palatino Linotype" w:hAnsi="Palatino Linotype" w:cs="Palatino Linotype"/>
          <w:sz w:val="22"/>
          <w:szCs w:val="22"/>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Por cuanto hace a la </w:t>
      </w:r>
      <w:r w:rsidRPr="00EE03A2">
        <w:rPr>
          <w:rFonts w:ascii="Palatino Linotype" w:eastAsia="Palatino Linotype" w:hAnsi="Palatino Linotype" w:cs="Palatino Linotype"/>
          <w:b/>
          <w:lang w:val="es-MX" w:eastAsia="es-ES"/>
        </w:rPr>
        <w:t xml:space="preserve">Clave de cualquier tipo de seguridad social (ISSEMyM, u otros), </w:t>
      </w:r>
      <w:r w:rsidRPr="00EE03A2">
        <w:rPr>
          <w:rFonts w:ascii="Palatino Linotype" w:eastAsia="Palatino Linotype" w:hAnsi="Palatino Linotype" w:cs="Palatino Linotype"/>
          <w:lang w:val="es-MX" w:eastAsia="es-ES"/>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u w:val="single"/>
          <w:lang w:val="es-MX" w:eastAsia="es-ES"/>
        </w:rPr>
      </w:pPr>
      <w:r w:rsidRPr="00EE03A2">
        <w:rPr>
          <w:rFonts w:ascii="Palatino Linotype" w:eastAsia="Palatino Linotype" w:hAnsi="Palatino Linotype" w:cs="Palatino Linotype"/>
          <w:lang w:val="es-MX" w:eastAsia="es-ES"/>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EE03A2">
        <w:rPr>
          <w:rFonts w:ascii="Palatino Linotype" w:eastAsia="Palatino Linotype" w:hAnsi="Palatino Linotype" w:cs="Palatino Linotype"/>
          <w:u w:val="single"/>
          <w:lang w:val="es-MX" w:eastAsia="es-ES"/>
        </w:rPr>
        <w:t>se le asigna una clave para hacer identificable al trabajador con el objetivo de poder proporcionar los servicios que brinda el ISSEMYM.</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EE03A2" w:rsidRPr="00EE03A2" w:rsidRDefault="00EE03A2" w:rsidP="00EE03A2">
      <w:pPr>
        <w:spacing w:line="360" w:lineRule="auto"/>
        <w:jc w:val="both"/>
        <w:rPr>
          <w:rFonts w:ascii="Palatino Linotype" w:eastAsia="Palatino Linotype" w:hAnsi="Palatino Linotype" w:cs="Palatino Linotype"/>
          <w:sz w:val="22"/>
          <w:szCs w:val="22"/>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Respecto de los </w:t>
      </w:r>
      <w:r w:rsidRPr="00EE03A2">
        <w:rPr>
          <w:rFonts w:ascii="Palatino Linotype" w:eastAsia="Palatino Linotype" w:hAnsi="Palatino Linotype" w:cs="Palatino Linotype"/>
          <w:b/>
          <w:lang w:val="es-MX" w:eastAsia="es-ES"/>
        </w:rPr>
        <w:t>préstamos o descuentos</w:t>
      </w:r>
      <w:r w:rsidRPr="00EE03A2">
        <w:rPr>
          <w:rFonts w:ascii="Palatino Linotype" w:eastAsia="Palatino Linotype" w:hAnsi="Palatino Linotype" w:cs="Palatino Linotype"/>
          <w:lang w:val="es-MX" w:eastAsia="es-ES"/>
        </w:rPr>
        <w:t xml:space="preserve"> </w:t>
      </w:r>
      <w:r w:rsidRPr="00EE03A2">
        <w:rPr>
          <w:rFonts w:ascii="Palatino Linotype" w:eastAsia="Palatino Linotype" w:hAnsi="Palatino Linotype" w:cs="Palatino Linotype"/>
          <w:b/>
          <w:lang w:val="es-MX" w:eastAsia="es-ES"/>
        </w:rPr>
        <w:t>de carácter personal</w:t>
      </w:r>
      <w:r w:rsidRPr="00EE03A2">
        <w:rPr>
          <w:rFonts w:ascii="Palatino Linotype" w:eastAsia="Palatino Linotype" w:hAnsi="Palatino Linotype" w:cs="Palatino Linotype"/>
          <w:lang w:val="es-MX" w:eastAsia="es-ES"/>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EE03A2" w:rsidRPr="00EE03A2" w:rsidRDefault="00EE03A2" w:rsidP="00EE03A2">
      <w:pPr>
        <w:spacing w:line="360" w:lineRule="auto"/>
        <w:jc w:val="both"/>
        <w:rPr>
          <w:rFonts w:ascii="Calibri" w:eastAsia="Calibri" w:hAnsi="Calibri" w:cs="Calibri"/>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Por su parte, el artículo 84 de la Ley del Trabajo de los Servidores Públicos del Estado y Municipios, señala:</w:t>
      </w:r>
    </w:p>
    <w:p w:rsidR="00EE03A2" w:rsidRPr="00EE03A2" w:rsidRDefault="00EE03A2" w:rsidP="00EE03A2">
      <w:pPr>
        <w:spacing w:line="360" w:lineRule="auto"/>
        <w:jc w:val="both"/>
        <w:rPr>
          <w:rFonts w:ascii="Calibri" w:eastAsia="Calibri" w:hAnsi="Calibri" w:cs="Calibri"/>
          <w:lang w:val="es-MX" w:eastAsia="es-ES"/>
        </w:rPr>
      </w:pP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i/>
          <w:sz w:val="22"/>
          <w:szCs w:val="22"/>
          <w:lang w:val="es-MX" w:eastAsia="es-ES"/>
        </w:rPr>
        <w:t>“</w:t>
      </w:r>
      <w:r w:rsidRPr="00EE03A2">
        <w:rPr>
          <w:rFonts w:ascii="Palatino Linotype" w:eastAsia="Palatino Linotype" w:hAnsi="Palatino Linotype" w:cs="Palatino Linotype"/>
          <w:b/>
          <w:i/>
          <w:sz w:val="22"/>
          <w:szCs w:val="22"/>
          <w:lang w:val="es-MX" w:eastAsia="es-ES"/>
        </w:rPr>
        <w:t>ARTICULO 84. Sólo podrán hacerse retenciones, descuentos o deducciones al sueldo de los servidores públicos por concepto de:</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i/>
          <w:sz w:val="22"/>
          <w:szCs w:val="22"/>
          <w:lang w:val="es-MX" w:eastAsia="es-ES"/>
        </w:rPr>
        <w:t>I. Gravámenes fiscales relacionados con el sueldo;</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b/>
          <w:i/>
          <w:sz w:val="22"/>
          <w:szCs w:val="22"/>
          <w:lang w:val="es-MX" w:eastAsia="es-ES"/>
        </w:rPr>
        <w:t>II. Deudas contraídas con las instituciones públicas o dependencias</w:t>
      </w:r>
      <w:r w:rsidRPr="00EE03A2">
        <w:rPr>
          <w:rFonts w:ascii="Palatino Linotype" w:eastAsia="Palatino Linotype" w:hAnsi="Palatino Linotype" w:cs="Palatino Linotype"/>
          <w:i/>
          <w:sz w:val="22"/>
          <w:szCs w:val="22"/>
          <w:lang w:val="es-MX" w:eastAsia="es-ES"/>
        </w:rPr>
        <w:t xml:space="preserve"> por concepto de anticipos de sueldo, pagos hechos con exceso, errores o pérdidas debidamente comprobados;</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b/>
          <w:i/>
          <w:sz w:val="22"/>
          <w:szCs w:val="22"/>
          <w:lang w:val="es-MX" w:eastAsia="es-ES"/>
        </w:rPr>
        <w:t>III. Cuotas sindicales</w:t>
      </w:r>
      <w:r w:rsidRPr="00EE03A2">
        <w:rPr>
          <w:rFonts w:ascii="Palatino Linotype" w:eastAsia="Palatino Linotype" w:hAnsi="Palatino Linotype" w:cs="Palatino Linotype"/>
          <w:i/>
          <w:sz w:val="22"/>
          <w:szCs w:val="22"/>
          <w:lang w:val="es-MX" w:eastAsia="es-ES"/>
        </w:rPr>
        <w:t>;</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i/>
          <w:sz w:val="22"/>
          <w:szCs w:val="22"/>
          <w:lang w:val="es-MX" w:eastAsia="es-ES"/>
        </w:rPr>
        <w:t>IV. Cuotas de aportación a fondos para la constitución de cooperativas y de cajas de ahorro, siempre que el servidor público hubiese manifestado previamente, de manera expresa, su conformidad;</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i/>
          <w:sz w:val="22"/>
          <w:szCs w:val="22"/>
          <w:lang w:val="es-MX" w:eastAsia="es-ES"/>
        </w:rPr>
        <w:t>V. Descuentos ordenados por el Instituto de Seguridad Social del Estado de México y Municipios, con motivo de cuotas y obligaciones contraídas con éste por los servidores públicos;</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b/>
          <w:i/>
          <w:sz w:val="22"/>
          <w:szCs w:val="22"/>
          <w:lang w:val="es-MX" w:eastAsia="es-ES"/>
        </w:rPr>
        <w:t>VI. Obligaciones a cargo del servidor público con las que haya consentido</w:t>
      </w:r>
      <w:r w:rsidRPr="00EE03A2">
        <w:rPr>
          <w:rFonts w:ascii="Palatino Linotype" w:eastAsia="Palatino Linotype" w:hAnsi="Palatino Linotype" w:cs="Palatino Linotype"/>
          <w:i/>
          <w:sz w:val="22"/>
          <w:szCs w:val="22"/>
          <w:lang w:val="es-MX" w:eastAsia="es-ES"/>
        </w:rPr>
        <w:t>, derivadas de la adquisición o del uso de habitaciones consideradas como de interés social;</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i/>
          <w:sz w:val="22"/>
          <w:szCs w:val="22"/>
          <w:lang w:val="es-MX" w:eastAsia="es-ES"/>
        </w:rPr>
        <w:t>VII. Faltas de puntualidad o de asistencia injustificadas;</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b/>
          <w:i/>
          <w:sz w:val="22"/>
          <w:szCs w:val="22"/>
          <w:lang w:val="es-MX" w:eastAsia="es-ES"/>
        </w:rPr>
        <w:t>VIII. Pensiones alimenticias ordenadas por la autoridad judicial;</w:t>
      </w:r>
      <w:r w:rsidRPr="00EE03A2">
        <w:rPr>
          <w:rFonts w:ascii="Palatino Linotype" w:eastAsia="Palatino Linotype" w:hAnsi="Palatino Linotype" w:cs="Palatino Linotype"/>
          <w:i/>
          <w:sz w:val="22"/>
          <w:szCs w:val="22"/>
          <w:lang w:val="es-MX" w:eastAsia="es-ES"/>
        </w:rPr>
        <w:t xml:space="preserve"> o</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b/>
          <w:i/>
          <w:sz w:val="22"/>
          <w:szCs w:val="22"/>
          <w:lang w:val="es-MX" w:eastAsia="es-ES"/>
        </w:rPr>
        <w:lastRenderedPageBreak/>
        <w:t>IX. Cualquier otro convenido con instituciones de servicios y aceptado por el servidor público.</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r w:rsidRPr="00EE03A2">
        <w:rPr>
          <w:rFonts w:ascii="Palatino Linotype" w:eastAsia="Palatino Linotype" w:hAnsi="Palatino Linotype" w:cs="Palatino Linotype"/>
          <w:i/>
          <w:sz w:val="22"/>
          <w:szCs w:val="22"/>
          <w:lang w:val="es-MX"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EE03A2" w:rsidRPr="00EE03A2" w:rsidRDefault="00EE03A2" w:rsidP="00EE03A2">
      <w:pPr>
        <w:spacing w:line="276" w:lineRule="auto"/>
        <w:ind w:left="851" w:right="902"/>
        <w:jc w:val="both"/>
        <w:rPr>
          <w:rFonts w:ascii="Palatino Linotype" w:eastAsia="Palatino Linotype" w:hAnsi="Palatino Linotype" w:cs="Palatino Linotype"/>
          <w:sz w:val="22"/>
          <w:szCs w:val="22"/>
          <w:lang w:val="es-MX" w:eastAsia="es-ES"/>
        </w:rPr>
      </w:pPr>
      <w:r w:rsidRPr="00EE03A2">
        <w:rPr>
          <w:rFonts w:ascii="Palatino Linotype" w:eastAsia="Palatino Linotype" w:hAnsi="Palatino Linotype" w:cs="Palatino Linotype"/>
          <w:sz w:val="22"/>
          <w:szCs w:val="22"/>
          <w:lang w:val="es-MX" w:eastAsia="es-ES"/>
        </w:rPr>
        <w:t>(Énfasis añadido)</w:t>
      </w:r>
    </w:p>
    <w:p w:rsidR="00EE03A2" w:rsidRPr="00EE03A2" w:rsidRDefault="00EE03A2" w:rsidP="00EE03A2">
      <w:pPr>
        <w:spacing w:line="276" w:lineRule="auto"/>
        <w:ind w:left="851" w:right="902"/>
        <w:jc w:val="both"/>
        <w:rPr>
          <w:rFonts w:ascii="Calibri" w:eastAsia="Calibri" w:hAnsi="Calibri" w:cs="Calibri"/>
          <w:sz w:val="22"/>
          <w:szCs w:val="22"/>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Derivado de lo anterior, la ley establece claramente cuáles son esos descuentos o gravámenes que directamente se relacionan con las obligaciones adquiridas como servidores públicos y aquéllos que </w:t>
      </w:r>
      <w:r w:rsidRPr="00EE03A2">
        <w:rPr>
          <w:rFonts w:ascii="Palatino Linotype" w:eastAsia="Palatino Linotype" w:hAnsi="Palatino Linotype" w:cs="Palatino Linotype"/>
          <w:b/>
          <w:lang w:val="es-MX" w:eastAsia="es-ES"/>
        </w:rPr>
        <w:t>únicamente inciden en su vida privada</w:t>
      </w:r>
      <w:r w:rsidRPr="00EE03A2">
        <w:rPr>
          <w:rFonts w:ascii="Palatino Linotype" w:eastAsia="Palatino Linotype" w:hAnsi="Palatino Linotype" w:cs="Palatino Linotype"/>
          <w:lang w:val="es-MX" w:eastAsia="es-ES"/>
        </w:rPr>
        <w:t>. De este modo, descuentos por pensiones alimenticias o créditos adquiridos con instituciones privadas o públicas pero que fueron contraídas en forma individual, son información que debe clasificarse como confidencial.</w:t>
      </w:r>
    </w:p>
    <w:p w:rsidR="00EE03A2" w:rsidRPr="00EE03A2" w:rsidRDefault="00EE03A2" w:rsidP="00EE03A2">
      <w:pPr>
        <w:spacing w:line="360" w:lineRule="auto"/>
        <w:jc w:val="both"/>
        <w:rPr>
          <w:rFonts w:ascii="Calibri" w:eastAsia="Calibri" w:hAnsi="Calibri" w:cs="Calibri"/>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Sirven de sustento a lo anterior, las tesis jurisprudenciales </w:t>
      </w:r>
      <w:r w:rsidRPr="00EE03A2">
        <w:rPr>
          <w:rFonts w:ascii="Palatino Linotype" w:eastAsia="Palatino Linotype" w:hAnsi="Palatino Linotype" w:cs="Palatino Linotype"/>
          <w:i/>
          <w:lang w:val="es-MX" w:eastAsia="es-ES"/>
        </w:rPr>
        <w:t xml:space="preserve">P. LX/2000 </w:t>
      </w:r>
      <w:r w:rsidRPr="00EE03A2">
        <w:rPr>
          <w:rFonts w:ascii="Palatino Linotype" w:eastAsia="Palatino Linotype" w:hAnsi="Palatino Linotype" w:cs="Palatino Linotype"/>
          <w:lang w:val="es-MX" w:eastAsia="es-ES"/>
        </w:rPr>
        <w:t xml:space="preserve">y </w:t>
      </w:r>
      <w:r w:rsidRPr="00EE03A2">
        <w:rPr>
          <w:rFonts w:ascii="Palatino Linotype" w:eastAsia="Palatino Linotype" w:hAnsi="Palatino Linotype" w:cs="Palatino Linotype"/>
          <w:i/>
          <w:lang w:val="es-MX" w:eastAsia="es-ES"/>
        </w:rPr>
        <w:t>2a. XLIII/2008</w:t>
      </w:r>
      <w:r w:rsidRPr="00EE03A2">
        <w:rPr>
          <w:rFonts w:ascii="Tahoma" w:eastAsia="Tahoma" w:hAnsi="Tahoma" w:cs="Tahoma"/>
          <w:b/>
          <w:sz w:val="20"/>
          <w:szCs w:val="20"/>
          <w:lang w:val="es-MX" w:eastAsia="es-ES"/>
        </w:rPr>
        <w:t xml:space="preserve"> </w:t>
      </w:r>
      <w:r w:rsidRPr="00EE03A2">
        <w:rPr>
          <w:rFonts w:ascii="Palatino Linotype" w:eastAsia="Palatino Linotype" w:hAnsi="Palatino Linotype" w:cs="Palatino Linotype"/>
          <w:lang w:val="es-MX" w:eastAsia="es-ES"/>
        </w:rPr>
        <w:t>emitidas por el Peno y la Segunda Sala de la Suprema Corte de Justicia de la Nación, respectivamente, que son del tenor literal siguiente:</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276" w:lineRule="auto"/>
        <w:ind w:left="851" w:right="85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 xml:space="preserve">“DERECHO A LA INFORMACIÓN. SU EJERCICIO SE ENCUENTRA LIMITADO TANTO POR LOS INTERESES NACIONALES Y DE LA SOCIEDAD, COMO POR LOS DERECHOS DE TERCEROS. </w:t>
      </w:r>
      <w:r w:rsidRPr="00EE03A2">
        <w:rPr>
          <w:rFonts w:ascii="Palatino Linotype" w:eastAsia="Palatino Linotype" w:hAnsi="Palatino Linotype" w:cs="Palatino Linotype"/>
          <w:i/>
          <w:sz w:val="22"/>
          <w:szCs w:val="22"/>
          <w:lang w:val="es-MX" w:eastAsia="es-E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EE03A2">
        <w:rPr>
          <w:rFonts w:ascii="Palatino Linotype" w:eastAsia="Palatino Linotype" w:hAnsi="Palatino Linotype" w:cs="Palatino Linotype"/>
          <w:b/>
          <w:i/>
          <w:sz w:val="22"/>
          <w:szCs w:val="22"/>
          <w:lang w:val="es-MX" w:eastAsia="es-ES"/>
        </w:rPr>
        <w:t>restringen el acceso a la información en esta materia, en razón de que su conocimiento público puede generar daños a los intereses nacionales y, por el otro, sancionan la inobservancia de esa reserva</w:t>
      </w:r>
      <w:r w:rsidRPr="00EE03A2">
        <w:rPr>
          <w:rFonts w:ascii="Palatino Linotype" w:eastAsia="Palatino Linotype" w:hAnsi="Palatino Linotype" w:cs="Palatino Linotype"/>
          <w:i/>
          <w:sz w:val="22"/>
          <w:szCs w:val="22"/>
          <w:lang w:val="es-MX" w:eastAsia="es-ES"/>
        </w:rPr>
        <w:t xml:space="preserve">; por lo que hace al interés social, se cuenta con normas que tienden a proteger la averiguación de los delitos, la salud y la moral públicas, </w:t>
      </w:r>
      <w:r w:rsidRPr="00EE03A2">
        <w:rPr>
          <w:rFonts w:ascii="Palatino Linotype" w:eastAsia="Palatino Linotype" w:hAnsi="Palatino Linotype" w:cs="Palatino Linotype"/>
          <w:b/>
          <w:i/>
          <w:sz w:val="22"/>
          <w:szCs w:val="22"/>
          <w:lang w:val="es-MX" w:eastAsia="es-ES"/>
        </w:rPr>
        <w:t>mientras que por lo que respecta a la protección de la persona existen normas que protegen el derecho a la vida o a la privacidad de los gobernados</w:t>
      </w:r>
      <w:r w:rsidRPr="00EE03A2">
        <w:rPr>
          <w:rFonts w:ascii="Palatino Linotype" w:eastAsia="Palatino Linotype" w:hAnsi="Palatino Linotype" w:cs="Palatino Linotype"/>
          <w:i/>
          <w:sz w:val="22"/>
          <w:szCs w:val="22"/>
          <w:lang w:val="es-MX" w:eastAsia="es-ES"/>
        </w:rPr>
        <w:t>.”</w:t>
      </w:r>
    </w:p>
    <w:p w:rsidR="00EE03A2" w:rsidRPr="00EE03A2" w:rsidRDefault="00EE03A2" w:rsidP="00EE03A2">
      <w:pPr>
        <w:spacing w:line="276" w:lineRule="auto"/>
        <w:ind w:left="851" w:right="851"/>
        <w:jc w:val="both"/>
        <w:rPr>
          <w:rFonts w:ascii="Palatino Linotype" w:eastAsia="Palatino Linotype" w:hAnsi="Palatino Linotype" w:cs="Palatino Linotype"/>
          <w:i/>
          <w:sz w:val="22"/>
          <w:szCs w:val="22"/>
          <w:lang w:val="es-MX" w:eastAsia="es-ES"/>
        </w:rPr>
      </w:pPr>
    </w:p>
    <w:p w:rsidR="00EE03A2" w:rsidRPr="00EE03A2" w:rsidRDefault="00EE03A2" w:rsidP="00EE03A2">
      <w:pPr>
        <w:spacing w:line="276" w:lineRule="auto"/>
        <w:ind w:left="851" w:right="85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b/>
          <w:i/>
          <w:sz w:val="22"/>
          <w:szCs w:val="22"/>
          <w:lang w:val="es-MX" w:eastAsia="es-ES"/>
        </w:rPr>
        <w:t xml:space="preserve">“TRANSPARENCIA Y ACCESO A LA INFORMACIÓN PÚBLICA GUBERNAMENTAL. EL ARTÍCULO 14, FRACCIÓN I, DE LA LEY FEDERAL RELATIVA, NO VIOLA LA GARANTÍA DE ACCESO A LA INFORMACIÓN. </w:t>
      </w:r>
      <w:r w:rsidRPr="00EE03A2">
        <w:rPr>
          <w:rFonts w:ascii="Palatino Linotype" w:eastAsia="Palatino Linotype" w:hAnsi="Palatino Linotype" w:cs="Palatino Linotype"/>
          <w:i/>
          <w:sz w:val="22"/>
          <w:szCs w:val="22"/>
          <w:lang w:val="es-MX" w:eastAsia="es-E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w:t>
      </w:r>
      <w:r w:rsidRPr="00EE03A2">
        <w:rPr>
          <w:rFonts w:ascii="Palatino Linotype" w:eastAsia="Palatino Linotype" w:hAnsi="Palatino Linotype" w:cs="Palatino Linotype"/>
          <w:i/>
          <w:sz w:val="22"/>
          <w:szCs w:val="22"/>
          <w:lang w:val="es-MX" w:eastAsia="es-ES"/>
        </w:rPr>
        <w:lastRenderedPageBreak/>
        <w:t xml:space="preserve">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E03A2">
        <w:rPr>
          <w:rFonts w:ascii="Palatino Linotype" w:eastAsia="Palatino Linotype" w:hAnsi="Palatino Linotype" w:cs="Palatino Linotype"/>
          <w:b/>
          <w:i/>
          <w:sz w:val="22"/>
          <w:szCs w:val="22"/>
          <w:lang w:val="es-MX" w:eastAsia="es-E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EE03A2">
        <w:rPr>
          <w:rFonts w:ascii="Palatino Linotype" w:eastAsia="Palatino Linotype" w:hAnsi="Palatino Linotype" w:cs="Palatino Linotype"/>
          <w:i/>
          <w:sz w:val="22"/>
          <w:szCs w:val="22"/>
          <w:lang w:val="es-MX" w:eastAsia="es-E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EE03A2" w:rsidRPr="00EE03A2" w:rsidRDefault="00EE03A2" w:rsidP="00EE03A2">
      <w:pPr>
        <w:spacing w:line="360" w:lineRule="auto"/>
        <w:ind w:left="851" w:right="851"/>
        <w:jc w:val="both"/>
        <w:rPr>
          <w:rFonts w:ascii="Palatino Linotype" w:eastAsia="Palatino Linotype" w:hAnsi="Palatino Linotype" w:cs="Palatino Linotype"/>
          <w:i/>
          <w:sz w:val="22"/>
          <w:szCs w:val="22"/>
          <w:lang w:val="es-MX" w:eastAsia="es-ES"/>
        </w:rPr>
      </w:pPr>
    </w:p>
    <w:p w:rsidR="00EE03A2" w:rsidRPr="00EE03A2" w:rsidRDefault="00EE03A2" w:rsidP="00EE03A2">
      <w:pPr>
        <w:spacing w:line="360" w:lineRule="auto"/>
        <w:ind w:right="-93"/>
        <w:jc w:val="both"/>
        <w:rPr>
          <w:rFonts w:ascii="Palatino Linotype" w:eastAsia="Palatino Linotype" w:hAnsi="Palatino Linotype" w:cs="Palatino Linotype"/>
          <w:b/>
          <w:lang w:val="es-MX" w:eastAsia="es-ES"/>
        </w:rPr>
      </w:pPr>
      <w:r w:rsidRPr="00EE03A2">
        <w:rPr>
          <w:rFonts w:ascii="Palatino Linotype" w:eastAsia="Palatino Linotype" w:hAnsi="Palatino Linotype" w:cs="Palatino Linotype"/>
          <w:lang w:val="es-MX" w:eastAsia="es-ES"/>
        </w:rPr>
        <w:t>También,</w:t>
      </w:r>
      <w:r w:rsidRPr="00EE03A2">
        <w:rPr>
          <w:rFonts w:ascii="Palatino Linotype" w:eastAsia="Palatino Linotype" w:hAnsi="Palatino Linotype" w:cs="Palatino Linotype"/>
          <w:b/>
          <w:lang w:val="es-MX" w:eastAsia="es-ES"/>
        </w:rPr>
        <w:t xml:space="preserve"> el número de cuenta bancario</w:t>
      </w:r>
      <w:r w:rsidRPr="00EE03A2">
        <w:rPr>
          <w:rFonts w:ascii="Palatino Linotype" w:eastAsia="Palatino Linotype" w:hAnsi="Palatino Linotype" w:cs="Palatino Linotype"/>
          <w:lang w:val="es-MX" w:eastAsia="es-ES"/>
        </w:rPr>
        <w:t>, en el Criterio 10/17 emitido por el Pleno del Instituto Nacional de Transparencia, Acceso a la Información y Protección de Datos Personales  se establece lo siguiente:</w:t>
      </w:r>
    </w:p>
    <w:p w:rsidR="00EE03A2" w:rsidRPr="00EE03A2" w:rsidRDefault="00EE03A2" w:rsidP="00EE03A2">
      <w:pPr>
        <w:shd w:val="clear" w:color="auto" w:fill="FFFFFF"/>
        <w:spacing w:line="360" w:lineRule="auto"/>
        <w:ind w:left="567" w:right="567"/>
        <w:jc w:val="both"/>
        <w:rPr>
          <w:rFonts w:ascii="Palatino Linotype" w:eastAsia="Palatino Linotype" w:hAnsi="Palatino Linotype" w:cs="Palatino Linotype"/>
          <w:sz w:val="22"/>
          <w:szCs w:val="22"/>
          <w:lang w:val="es-MX" w:eastAsia="es-ES"/>
        </w:rPr>
      </w:pPr>
    </w:p>
    <w:p w:rsidR="00EE03A2" w:rsidRPr="00EE03A2" w:rsidRDefault="00EE03A2" w:rsidP="00EE03A2">
      <w:pPr>
        <w:shd w:val="clear" w:color="auto" w:fill="FFFFFF"/>
        <w:spacing w:line="276" w:lineRule="auto"/>
        <w:ind w:left="567" w:right="567"/>
        <w:jc w:val="both"/>
        <w:rPr>
          <w:rFonts w:ascii="Palatino Linotype" w:eastAsia="Palatino Linotype" w:hAnsi="Palatino Linotype" w:cs="Palatino Linotype"/>
          <w:sz w:val="22"/>
          <w:szCs w:val="22"/>
          <w:lang w:val="es-MX" w:eastAsia="es-ES"/>
        </w:rPr>
      </w:pPr>
      <w:r w:rsidRPr="00EE03A2">
        <w:rPr>
          <w:rFonts w:ascii="Palatino Linotype" w:eastAsia="Palatino Linotype" w:hAnsi="Palatino Linotype" w:cs="Palatino Linotype"/>
          <w:sz w:val="22"/>
          <w:szCs w:val="22"/>
          <w:lang w:val="es-MX" w:eastAsia="es-ES"/>
        </w:rPr>
        <w:t>“</w:t>
      </w:r>
      <w:r w:rsidRPr="00EE03A2">
        <w:rPr>
          <w:rFonts w:ascii="Palatino Linotype" w:eastAsia="Palatino Linotype" w:hAnsi="Palatino Linotype" w:cs="Palatino Linotype"/>
          <w:b/>
          <w:i/>
          <w:sz w:val="22"/>
          <w:szCs w:val="22"/>
          <w:lang w:val="es-MX" w:eastAsia="es-ES"/>
        </w:rPr>
        <w:t>Cuentas bancarias y/o CLABE interbancaria de personas físicas y morales privadas.</w:t>
      </w:r>
      <w:r w:rsidRPr="00EE03A2">
        <w:rPr>
          <w:rFonts w:ascii="Palatino Linotype" w:eastAsia="Palatino Linotype" w:hAnsi="Palatino Linotype" w:cs="Palatino Linotype"/>
          <w:i/>
          <w:sz w:val="22"/>
          <w:szCs w:val="22"/>
          <w:lang w:val="es-MX" w:eastAsia="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EE03A2">
        <w:rPr>
          <w:rFonts w:ascii="Palatino Linotype" w:eastAsia="Palatino Linotype" w:hAnsi="Palatino Linotype" w:cs="Palatino Linotype"/>
          <w:sz w:val="22"/>
          <w:szCs w:val="22"/>
          <w:lang w:val="es-MX" w:eastAsia="es-ES"/>
        </w:rPr>
        <w:t>.”</w:t>
      </w:r>
    </w:p>
    <w:p w:rsidR="00EE03A2" w:rsidRPr="00EE03A2" w:rsidRDefault="00EE03A2" w:rsidP="00EE03A2">
      <w:pPr>
        <w:spacing w:after="160" w:line="360" w:lineRule="auto"/>
        <w:jc w:val="both"/>
        <w:rPr>
          <w:rFonts w:ascii="Palatino Linotype" w:eastAsia="Palatino Linotype" w:hAnsi="Palatino Linotype" w:cs="Palatino Linotype"/>
          <w:sz w:val="22"/>
          <w:szCs w:val="22"/>
          <w:lang w:val="es-MX" w:eastAsia="es-ES"/>
        </w:rPr>
      </w:pPr>
    </w:p>
    <w:p w:rsidR="00EE03A2" w:rsidRPr="00EE03A2" w:rsidRDefault="00EE03A2" w:rsidP="00EE03A2">
      <w:pPr>
        <w:spacing w:line="360" w:lineRule="auto"/>
        <w:ind w:right="-91"/>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lastRenderedPageBreak/>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EE03A2" w:rsidRPr="00EE03A2" w:rsidRDefault="00EE03A2" w:rsidP="00EE03A2">
      <w:pPr>
        <w:spacing w:line="360" w:lineRule="auto"/>
        <w:ind w:right="-91"/>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91"/>
        <w:jc w:val="both"/>
        <w:rPr>
          <w:rFonts w:ascii="Palatino Linotype" w:eastAsia="Palatino Linotype" w:hAnsi="Palatino Linotype" w:cs="Palatino Linotype"/>
          <w:b/>
          <w:lang w:val="es-MX" w:eastAsia="es-ES"/>
        </w:rPr>
      </w:pPr>
      <w:r w:rsidRPr="00EE03A2">
        <w:rPr>
          <w:rFonts w:ascii="Palatino Linotype" w:eastAsia="Palatino Linotype" w:hAnsi="Palatino Linotype" w:cs="Palatino Linotype"/>
          <w:lang w:val="es-MX" w:eastAsia="es-ES"/>
        </w:rPr>
        <w:t xml:space="preserve">El </w:t>
      </w:r>
      <w:r w:rsidRPr="00EE03A2">
        <w:rPr>
          <w:rFonts w:ascii="Palatino Linotype" w:eastAsia="Palatino Linotype" w:hAnsi="Palatino Linotype" w:cs="Palatino Linotype"/>
          <w:b/>
          <w:lang w:val="es-MX" w:eastAsia="es-ES"/>
        </w:rPr>
        <w:t>Código de barras bidimensional (QR)</w:t>
      </w:r>
      <w:r w:rsidRPr="00EE03A2">
        <w:rPr>
          <w:rFonts w:ascii="Palatino Linotype" w:eastAsia="Palatino Linotype" w:hAnsi="Palatino Linotype" w:cs="Palatino Linotype"/>
          <w:lang w:val="es-MX" w:eastAsia="es-ES"/>
        </w:rPr>
        <w:t xml:space="preserve">, resulta necesario señalar que los comprobantes fiscales digitales por Internet, deben de incluir un código bidimensional conforme al formato </w:t>
      </w:r>
      <w:r w:rsidRPr="00EE03A2">
        <w:rPr>
          <w:rFonts w:ascii="Palatino Linotype" w:eastAsia="Palatino Linotype" w:hAnsi="Palatino Linotype" w:cs="Palatino Linotype"/>
          <w:i/>
          <w:lang w:val="es-MX" w:eastAsia="es-ES"/>
        </w:rPr>
        <w:t>QR Code (Quick Response Code)</w:t>
      </w:r>
      <w:r w:rsidRPr="00EE03A2">
        <w:rPr>
          <w:rFonts w:ascii="Palatino Linotype" w:eastAsia="Palatino Linotype" w:hAnsi="Palatino Linotype" w:cs="Palatino Linotype"/>
          <w:lang w:val="es-MX" w:eastAsia="es-E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3">
        <w:r w:rsidRPr="00EE03A2">
          <w:rPr>
            <w:rFonts w:ascii="Palatino Linotype" w:eastAsia="Palatino Linotype" w:hAnsi="Palatino Linotype" w:cs="Palatino Linotype"/>
            <w:color w:val="0000FF"/>
            <w:u w:val="single"/>
            <w:lang w:val="es-MX" w:eastAsia="es-ES"/>
          </w:rPr>
          <w:t>http://dof.gob.mx/nota_detalle.php?codigo=5492254&amp;fecha=28/07/2017</w:t>
        </w:r>
      </w:hyperlink>
      <w:r w:rsidRPr="00EE03A2">
        <w:rPr>
          <w:rFonts w:ascii="Palatino Linotype" w:eastAsia="Palatino Linotype" w:hAnsi="Palatino Linotype" w:cs="Palatino Linotype"/>
          <w:lang w:val="es-MX" w:eastAsia="es-ES"/>
        </w:rPr>
        <w:t xml:space="preserve">. Incluso con la captura de dicho código, a través de la aplicación móvil del Servicio de Administración Tributaria, permite el acceso al Registro Federal de Contribuyentes, como del </w:t>
      </w:r>
      <w:r w:rsidRPr="00EE03A2">
        <w:rPr>
          <w:rFonts w:ascii="Palatino Linotype" w:eastAsia="Palatino Linotype" w:hAnsi="Palatino Linotype" w:cs="Palatino Linotype"/>
          <w:b/>
          <w:lang w:val="es-MX" w:eastAsia="es-ES"/>
        </w:rPr>
        <w:t>Sujeto Obligado</w:t>
      </w:r>
      <w:r w:rsidRPr="00EE03A2">
        <w:rPr>
          <w:rFonts w:ascii="Palatino Linotype" w:eastAsia="Palatino Linotype" w:hAnsi="Palatino Linotype" w:cs="Palatino Linotype"/>
          <w:lang w:val="es-MX" w:eastAsia="es-ES"/>
        </w:rPr>
        <w:t>, como de la persona física o moral correspondiente.</w:t>
      </w:r>
    </w:p>
    <w:p w:rsidR="00EE03A2" w:rsidRPr="00EE03A2" w:rsidRDefault="00EE03A2" w:rsidP="00EE03A2">
      <w:pPr>
        <w:spacing w:line="360" w:lineRule="auto"/>
        <w:ind w:right="-91"/>
        <w:jc w:val="both"/>
        <w:rPr>
          <w:rFonts w:ascii="Palatino Linotype" w:eastAsia="Palatino Linotype" w:hAnsi="Palatino Linotype" w:cs="Palatino Linotype"/>
          <w:lang w:val="es-MX" w:eastAsia="es-ES"/>
        </w:rPr>
      </w:pPr>
    </w:p>
    <w:p w:rsidR="00EE03A2" w:rsidRPr="00EE03A2" w:rsidRDefault="00EE03A2" w:rsidP="00EE03A2">
      <w:pPr>
        <w:spacing w:after="80" w:line="360" w:lineRule="auto"/>
        <w:ind w:right="-91"/>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De tales circunstancias, se considera que se actualiza la causal de clasificación prevista en el artículo 143, fracción I de la Ley de la materia, toda vez que el Registro </w:t>
      </w:r>
      <w:r w:rsidRPr="00EE03A2">
        <w:rPr>
          <w:rFonts w:ascii="Palatino Linotype" w:eastAsia="Palatino Linotype" w:hAnsi="Palatino Linotype" w:cs="Palatino Linotype"/>
          <w:lang w:val="es-MX" w:eastAsia="es-ES"/>
        </w:rPr>
        <w:lastRenderedPageBreak/>
        <w:t>Federal de Contribuyentes corresponde a los servidores públicos, pues como se señaló en párrafos anteriores el mismo hace identificable o identificada al mismo.</w:t>
      </w:r>
    </w:p>
    <w:p w:rsidR="00EE03A2" w:rsidRPr="00EE03A2" w:rsidRDefault="00EE03A2" w:rsidP="00EE03A2">
      <w:pPr>
        <w:spacing w:after="80" w:line="360" w:lineRule="auto"/>
        <w:ind w:right="-91"/>
        <w:jc w:val="both"/>
        <w:rPr>
          <w:rFonts w:ascii="Palatino Linotype" w:eastAsia="Palatino Linotype" w:hAnsi="Palatino Linotype" w:cs="Palatino Linotype"/>
          <w:lang w:val="es-MX" w:eastAsia="es-ES"/>
        </w:rPr>
      </w:pPr>
    </w:p>
    <w:p w:rsidR="00EE03A2" w:rsidRPr="00EE03A2" w:rsidRDefault="00EE03A2" w:rsidP="00EE03A2">
      <w:pPr>
        <w:shd w:val="clear" w:color="auto" w:fill="FFFFFF"/>
        <w:spacing w:before="80" w:after="240" w:line="360" w:lineRule="auto"/>
        <w:jc w:val="both"/>
        <w:rPr>
          <w:rFonts w:ascii="Calibri" w:eastAsia="Calibri" w:hAnsi="Calibri" w:cs="Calibri"/>
          <w:color w:val="222222"/>
          <w:lang w:val="es-MX" w:eastAsia="es-ES"/>
        </w:rPr>
      </w:pPr>
      <w:r w:rsidRPr="00EE03A2">
        <w:rPr>
          <w:rFonts w:ascii="Palatino Linotype" w:eastAsia="Palatino Linotype" w:hAnsi="Palatino Linotype" w:cs="Palatino Linotype"/>
          <w:color w:val="222222"/>
          <w:lang w:val="es-MX" w:eastAsia="es-ES"/>
        </w:rPr>
        <w:t>Por otra parte y respecto a</w:t>
      </w:r>
      <w:r w:rsidRPr="00EE03A2">
        <w:rPr>
          <w:rFonts w:ascii="Palatino Linotype" w:eastAsia="Palatino Linotype" w:hAnsi="Palatino Linotype" w:cs="Palatino Linotype"/>
          <w:b/>
          <w:color w:val="222222"/>
          <w:lang w:val="es-MX" w:eastAsia="es-ES"/>
        </w:rPr>
        <w:t xml:space="preserve"> la clave de seguridad social y en su caso clave o número del servidor público –trabajador-,</w:t>
      </w:r>
      <w:r w:rsidRPr="00EE03A2">
        <w:rPr>
          <w:rFonts w:ascii="Palatino Linotype" w:eastAsia="Palatino Linotype" w:hAnsi="Palatino Linotype" w:cs="Palatino Linotype"/>
          <w:color w:val="222222"/>
          <w:lang w:val="es-MX" w:eastAsia="es-ES"/>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EE03A2" w:rsidRPr="00EE03A2" w:rsidRDefault="00EE03A2" w:rsidP="00EE03A2">
      <w:pPr>
        <w:shd w:val="clear" w:color="auto" w:fill="FFFFFF"/>
        <w:spacing w:before="240" w:line="276" w:lineRule="auto"/>
        <w:ind w:left="567" w:right="900"/>
        <w:jc w:val="both"/>
        <w:rPr>
          <w:rFonts w:ascii="Calibri" w:eastAsia="Calibri" w:hAnsi="Calibri" w:cs="Calibri"/>
          <w:color w:val="222222"/>
          <w:lang w:val="es-MX" w:eastAsia="es-ES"/>
        </w:rPr>
      </w:pPr>
      <w:r w:rsidRPr="00EE03A2">
        <w:rPr>
          <w:rFonts w:ascii="Palatino Linotype" w:eastAsia="Palatino Linotype" w:hAnsi="Palatino Linotype" w:cs="Palatino Linotype"/>
          <w:b/>
          <w:i/>
          <w:color w:val="222222"/>
          <w:sz w:val="22"/>
          <w:szCs w:val="22"/>
          <w:lang w:val="es-MX" w:eastAsia="es-ES"/>
        </w:rPr>
        <w:t>“El número de ficha de identificación única de los trabajadores es información de carácter confidencial.</w:t>
      </w:r>
      <w:r w:rsidRPr="00EE03A2">
        <w:rPr>
          <w:rFonts w:ascii="Palatino Linotype" w:eastAsia="Palatino Linotype" w:hAnsi="Palatino Linotype" w:cs="Palatino Linotype"/>
          <w:i/>
          <w:color w:val="222222"/>
          <w:sz w:val="22"/>
          <w:szCs w:val="22"/>
          <w:lang w:val="es-MX" w:eastAsia="es-ES"/>
        </w:rPr>
        <w:t> </w:t>
      </w:r>
      <w:r w:rsidRPr="00EE03A2">
        <w:rPr>
          <w:rFonts w:ascii="Palatino Linotype" w:eastAsia="Palatino Linotype" w:hAnsi="Palatino Linotype" w:cs="Palatino Linotype"/>
          <w:i/>
          <w:color w:val="222222"/>
          <w:sz w:val="22"/>
          <w:szCs w:val="22"/>
          <w:u w:val="single"/>
          <w:lang w:val="es-MX" w:eastAsia="es-ES"/>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EE03A2">
        <w:rPr>
          <w:rFonts w:ascii="Palatino Linotype" w:eastAsia="Palatino Linotype" w:hAnsi="Palatino Linotype" w:cs="Palatino Linotype"/>
          <w:i/>
          <w:color w:val="222222"/>
          <w:sz w:val="22"/>
          <w:szCs w:val="22"/>
          <w:lang w:val="es-MX" w:eastAsia="es-ES"/>
        </w:rPr>
        <w:t>, </w:t>
      </w:r>
      <w:r w:rsidRPr="00EE03A2">
        <w:rPr>
          <w:rFonts w:ascii="Palatino Linotype" w:eastAsia="Palatino Linotype" w:hAnsi="Palatino Linotype" w:cs="Palatino Linotype"/>
          <w:i/>
          <w:color w:val="222222"/>
          <w:sz w:val="22"/>
          <w:szCs w:val="22"/>
          <w:u w:val="single"/>
          <w:lang w:val="es-MX" w:eastAsia="es-ES"/>
        </w:rPr>
        <w:t>dicha información es susceptible de clasificarse con el carácter de confidencial</w:t>
      </w:r>
      <w:r w:rsidRPr="00EE03A2">
        <w:rPr>
          <w:rFonts w:ascii="Palatino Linotype" w:eastAsia="Palatino Linotype" w:hAnsi="Palatino Linotype" w:cs="Palatino Linotype"/>
          <w:i/>
          <w:color w:val="222222"/>
          <w:sz w:val="22"/>
          <w:szCs w:val="22"/>
          <w:lang w:val="es-MX" w:eastAsia="es-ES"/>
        </w:rPr>
        <w:t xml:space="preserve">, en términos de lo establecido en el artículo 18, fracción II de la Ley Federal de Transparencia y Acceso a la Información Pública Gubernamental, en virtud de que a través de la misma es </w:t>
      </w:r>
      <w:r w:rsidRPr="00EE03A2">
        <w:rPr>
          <w:rFonts w:ascii="Palatino Linotype" w:eastAsia="Palatino Linotype" w:hAnsi="Palatino Linotype" w:cs="Palatino Linotype"/>
          <w:i/>
          <w:color w:val="222222"/>
          <w:lang w:val="es-MX" w:eastAsia="es-ES"/>
        </w:rPr>
        <w:t>posible conocer información personal de su titular.” (Sic)</w:t>
      </w:r>
    </w:p>
    <w:p w:rsidR="00EE03A2" w:rsidRPr="00EE03A2" w:rsidRDefault="00EE03A2" w:rsidP="00EE03A2">
      <w:pPr>
        <w:spacing w:line="360" w:lineRule="auto"/>
        <w:ind w:right="-93"/>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93"/>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Al respecto, es de señalar que </w:t>
      </w:r>
      <w:r w:rsidRPr="00EE03A2">
        <w:rPr>
          <w:rFonts w:ascii="Palatino Linotype" w:eastAsia="Palatino Linotype" w:hAnsi="Palatino Linotype" w:cs="Palatino Linotype"/>
          <w:b/>
          <w:lang w:val="es-MX" w:eastAsia="es-ES"/>
        </w:rPr>
        <w:t xml:space="preserve">la firma </w:t>
      </w:r>
      <w:r w:rsidRPr="00EE03A2">
        <w:rPr>
          <w:rFonts w:ascii="Palatino Linotype" w:eastAsia="Palatino Linotype" w:hAnsi="Palatino Linotype" w:cs="Palatino Linotype"/>
          <w:lang w:val="es-MX" w:eastAsia="es-ES"/>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EE03A2" w:rsidRPr="00EE03A2" w:rsidRDefault="00EE03A2" w:rsidP="00EE03A2">
      <w:pPr>
        <w:spacing w:line="360" w:lineRule="auto"/>
        <w:ind w:right="-93"/>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93"/>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lastRenderedPageBreak/>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EE03A2" w:rsidRPr="00EE03A2" w:rsidRDefault="00EE03A2" w:rsidP="00EE03A2">
      <w:pPr>
        <w:spacing w:line="360" w:lineRule="auto"/>
        <w:ind w:right="-93"/>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93"/>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EE03A2" w:rsidRPr="00EE03A2" w:rsidRDefault="00EE03A2" w:rsidP="00EE03A2">
      <w:pPr>
        <w:spacing w:line="360" w:lineRule="auto"/>
        <w:ind w:right="-93"/>
        <w:jc w:val="both"/>
        <w:rPr>
          <w:rFonts w:ascii="Palatino Linotype" w:eastAsia="Palatino Linotype" w:hAnsi="Palatino Linotype" w:cs="Palatino Linotype"/>
          <w:lang w:val="es-MX" w:eastAsia="es-ES"/>
        </w:rPr>
      </w:pPr>
    </w:p>
    <w:p w:rsidR="00EE03A2" w:rsidRPr="00EE03A2" w:rsidRDefault="00EE03A2" w:rsidP="00EE03A2">
      <w:pPr>
        <w:spacing w:line="360" w:lineRule="auto"/>
        <w:ind w:right="49"/>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Sirve de sustento a lo anterior el Criterio de Interpretación 02/19 emitido por el Instituto Nacional de Transparencia, Acceso a la Información y Protección de Datos Personales, cuyo rubro y texto establecen lo siguiente:</w:t>
      </w:r>
    </w:p>
    <w:p w:rsidR="00EE03A2" w:rsidRPr="00EE03A2" w:rsidRDefault="00EE03A2" w:rsidP="00EE03A2">
      <w:pPr>
        <w:spacing w:after="160" w:line="276" w:lineRule="auto"/>
        <w:ind w:right="-93"/>
        <w:jc w:val="both"/>
        <w:rPr>
          <w:rFonts w:ascii="Palatino Linotype" w:eastAsia="Palatino Linotype" w:hAnsi="Palatino Linotype" w:cs="Palatino Linotype"/>
          <w:sz w:val="22"/>
          <w:szCs w:val="22"/>
          <w:lang w:val="es-MX" w:eastAsia="es-ES"/>
        </w:rPr>
      </w:pPr>
    </w:p>
    <w:p w:rsidR="00EE03A2" w:rsidRPr="00EE03A2" w:rsidRDefault="00EE03A2" w:rsidP="00EE03A2">
      <w:pPr>
        <w:spacing w:line="276" w:lineRule="auto"/>
        <w:ind w:left="1134" w:right="1041"/>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w:t>
      </w:r>
      <w:r w:rsidRPr="00EE03A2">
        <w:rPr>
          <w:rFonts w:ascii="Palatino Linotype" w:eastAsia="Palatino Linotype" w:hAnsi="Palatino Linotype" w:cs="Palatino Linotype"/>
          <w:b/>
          <w:i/>
          <w:sz w:val="22"/>
          <w:szCs w:val="22"/>
          <w:lang w:val="es-MX" w:eastAsia="es-ES"/>
        </w:rPr>
        <w:t>FIRMA Y RÚBRICA DE SERVIDORES PÚBLICOS.</w:t>
      </w:r>
      <w:r w:rsidRPr="00EE03A2">
        <w:rPr>
          <w:rFonts w:ascii="Palatino Linotype" w:eastAsia="Palatino Linotype" w:hAnsi="Palatino Linotype" w:cs="Palatino Linotype"/>
          <w:i/>
          <w:sz w:val="22"/>
          <w:szCs w:val="22"/>
          <w:lang w:val="es-MX" w:eastAsia="es-E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highlight w:val="white"/>
          <w:lang w:val="es-MX" w:eastAsia="es-ES"/>
        </w:rPr>
      </w:pPr>
      <w:r w:rsidRPr="00EE03A2">
        <w:rPr>
          <w:rFonts w:ascii="Palatino Linotype" w:eastAsia="Palatino Linotype" w:hAnsi="Palatino Linotype" w:cs="Palatino Linotype"/>
          <w:lang w:val="es-MX" w:eastAsia="es-ES"/>
        </w:rPr>
        <w:t xml:space="preserve">Al respecto, se destaca que la versión pública que elabore el </w:t>
      </w:r>
      <w:r w:rsidRPr="00EE03A2">
        <w:rPr>
          <w:rFonts w:ascii="Palatino Linotype" w:eastAsia="Palatino Linotype" w:hAnsi="Palatino Linotype" w:cs="Palatino Linotype"/>
          <w:b/>
          <w:lang w:val="es-MX" w:eastAsia="es-ES"/>
        </w:rPr>
        <w:t>SUJETO OBLIGADO</w:t>
      </w:r>
      <w:r w:rsidRPr="00EE03A2">
        <w:rPr>
          <w:rFonts w:ascii="Palatino Linotype" w:eastAsia="Palatino Linotype" w:hAnsi="Palatino Linotype" w:cs="Palatino Linotype"/>
          <w:lang w:val="es-MX" w:eastAsia="es-ES"/>
        </w:rPr>
        <w:t xml:space="preserve"> debe cumplir con las formalidades exigidas en la Ley, por lo que para tal efecto emitirá el Acuerdo del Comité de Transparencia en términos de la Ley de Transparencia y Acceso a la Información Pública del Estado de México y Municipios, </w:t>
      </w:r>
      <w:r w:rsidRPr="00EE03A2">
        <w:rPr>
          <w:rFonts w:ascii="Palatino Linotype" w:eastAsia="Palatino Linotype" w:hAnsi="Palatino Linotype" w:cs="Palatino Linotype"/>
          <w:lang w:val="es-MX" w:eastAsia="es-ES"/>
        </w:rPr>
        <w:lastRenderedPageBreak/>
        <w:t>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EE03A2">
        <w:rPr>
          <w:rFonts w:ascii="Palatino Linotype" w:eastAsia="Palatino Linotype" w:hAnsi="Palatino Linotype" w:cs="Palatino Linotype"/>
          <w:highlight w:val="white"/>
          <w:lang w:val="es-MX" w:eastAsia="es-ES"/>
        </w:rPr>
        <w:t>.</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Efectivamente, cuando se clasifica información como confidencial o reservada es importante someterlo al Comité de Transparencia, quien debe confirmar, modificar o revocar la clasificación.</w:t>
      </w:r>
    </w:p>
    <w:p w:rsidR="00EE03A2" w:rsidRPr="00EE03A2" w:rsidRDefault="00EE03A2" w:rsidP="00EE03A2">
      <w:pPr>
        <w:shd w:val="clear" w:color="auto" w:fill="FFFFFF"/>
        <w:spacing w:line="360" w:lineRule="auto"/>
        <w:ind w:right="51"/>
        <w:jc w:val="both"/>
        <w:rPr>
          <w:rFonts w:ascii="Palatino Linotype" w:eastAsia="Palatino Linotype" w:hAnsi="Palatino Linotype" w:cs="Palatino Linotype"/>
          <w:lang w:val="es-MX" w:eastAsia="es-ES"/>
        </w:rPr>
      </w:pPr>
    </w:p>
    <w:p w:rsidR="00EE03A2" w:rsidRPr="00EE03A2" w:rsidRDefault="00EE03A2" w:rsidP="00EE03A2">
      <w:pPr>
        <w:shd w:val="clear" w:color="auto" w:fill="FFFFFF"/>
        <w:spacing w:line="360" w:lineRule="auto"/>
        <w:ind w:right="51"/>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Por lo tanto, la entrega de documentos en su versión pública debe acompañarse necesariamente del Acuerdo del Comité de Transparencia que la sustente, en el que se expongan los fundamentos y razonamientos que llevaron al </w:t>
      </w:r>
      <w:r w:rsidRPr="00EE03A2">
        <w:rPr>
          <w:rFonts w:ascii="Palatino Linotype" w:eastAsia="Palatino Linotype" w:hAnsi="Palatino Linotype" w:cs="Palatino Linotype"/>
          <w:b/>
          <w:lang w:val="es-MX" w:eastAsia="es-ES"/>
        </w:rPr>
        <w:t>Sujeto Obligado</w:t>
      </w:r>
      <w:r w:rsidRPr="00EE03A2">
        <w:rPr>
          <w:rFonts w:ascii="Palatino Linotype" w:eastAsia="Palatino Linotype" w:hAnsi="Palatino Linotype" w:cs="Palatino Linotype"/>
          <w:lang w:val="es-MX" w:eastAsia="es-ES"/>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EE03A2">
        <w:rPr>
          <w:rFonts w:ascii="Palatino Linotype" w:eastAsia="Palatino Linotype" w:hAnsi="Palatino Linotype" w:cs="Palatino Linotype"/>
          <w:b/>
          <w:lang w:val="es-MX" w:eastAsia="es-ES"/>
        </w:rPr>
        <w:t>Recurrente.</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De este modo, como ha sido señalado en la presente resolución, en armonía entre los principios constitucionales de máxima publicidad y de protección de datos </w:t>
      </w:r>
      <w:r w:rsidRPr="00EE03A2">
        <w:rPr>
          <w:rFonts w:ascii="Palatino Linotype" w:eastAsia="Palatino Linotype" w:hAnsi="Palatino Linotype" w:cs="Palatino Linotype"/>
          <w:lang w:val="es-MX" w:eastAsia="es-ES"/>
        </w:rPr>
        <w:lastRenderedPageBreak/>
        <w:t xml:space="preserve">personales, la Ley de Transparencia y Acceso a la Información Pública del Estado de México y Municipios permite la elaboración de versiones públicas en las que se suprima aquella información relacionada con la vida privada de los servidores públicos. </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Entorno a lo que aquí nos interesa, los Lineamientos Quincuagésimo sexto, Quincuagésimo séptimo y Quincuagésimo octavo, establecen lo siguiente:</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after="120" w:line="259" w:lineRule="auto"/>
        <w:ind w:left="851" w:right="902"/>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“Quincuagésimo sexto</w:t>
      </w:r>
      <w:r w:rsidRPr="00EE03A2">
        <w:rPr>
          <w:rFonts w:ascii="Palatino Linotype" w:eastAsia="Palatino Linotype" w:hAnsi="Palatino Linotype" w:cs="Palatino Linotype"/>
          <w:b/>
          <w:i/>
          <w:sz w:val="22"/>
          <w:szCs w:val="22"/>
          <w:lang w:val="es-MX" w:eastAsia="es-E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EE03A2" w:rsidRPr="00EE03A2" w:rsidRDefault="00EE03A2" w:rsidP="00EE03A2">
      <w:pPr>
        <w:spacing w:before="120" w:after="120" w:line="259" w:lineRule="auto"/>
        <w:ind w:left="851" w:right="902"/>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 xml:space="preserve">Quincuagésimo séptimo. Se considera, en principio, como información pública y no podrá omitirse de las versiones públicas la siguiente: </w:t>
      </w:r>
    </w:p>
    <w:p w:rsidR="00EE03A2" w:rsidRPr="00EE03A2" w:rsidRDefault="00EE03A2" w:rsidP="00EE03A2">
      <w:pPr>
        <w:spacing w:before="120" w:after="120" w:line="259" w:lineRule="auto"/>
        <w:ind w:left="851" w:right="902"/>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 xml:space="preserve">I. La relativa a las Obligaciones de Transparencia que contempla el Título V de la Ley General y las demás disposiciones legales aplicables; </w:t>
      </w:r>
    </w:p>
    <w:p w:rsidR="00EE03A2" w:rsidRPr="00EE03A2" w:rsidRDefault="00EE03A2" w:rsidP="00EE03A2">
      <w:pPr>
        <w:spacing w:before="120" w:after="120" w:line="259" w:lineRule="auto"/>
        <w:ind w:left="851" w:right="902"/>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lastRenderedPageBreak/>
        <w:t xml:space="preserve">II. El nombre de los servidores públicos en los documentos, y sus firmas autógrafas, cuando sean utilizados en el ejercicio de las facultades conferidas para el desempeño del servicio público, y </w:t>
      </w:r>
    </w:p>
    <w:p w:rsidR="00EE03A2" w:rsidRPr="00EE03A2" w:rsidRDefault="00EE03A2" w:rsidP="00EE03A2">
      <w:pPr>
        <w:spacing w:before="120" w:after="120" w:line="259" w:lineRule="auto"/>
        <w:ind w:left="851" w:right="902"/>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EE03A2" w:rsidRPr="00EE03A2" w:rsidRDefault="00EE03A2" w:rsidP="00EE03A2">
      <w:pPr>
        <w:spacing w:before="120" w:after="120" w:line="259" w:lineRule="auto"/>
        <w:ind w:left="851" w:right="902"/>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 xml:space="preserve">Lo anterior, siempre y cuando no se acredite alguna causal de clasificación, prevista en las leyes o en los tratados internaciones suscritos por el Estado mexicano. </w:t>
      </w:r>
    </w:p>
    <w:p w:rsidR="00EE03A2" w:rsidRPr="00EE03A2" w:rsidRDefault="00EE03A2" w:rsidP="00EE03A2">
      <w:pPr>
        <w:spacing w:before="120" w:line="360" w:lineRule="auto"/>
        <w:ind w:left="851" w:right="902"/>
        <w:jc w:val="both"/>
        <w:rPr>
          <w:rFonts w:ascii="Palatino Linotype" w:eastAsia="Palatino Linotype" w:hAnsi="Palatino Linotype" w:cs="Palatino Linotype"/>
          <w:i/>
          <w:sz w:val="22"/>
          <w:szCs w:val="22"/>
          <w:lang w:val="es-MX" w:eastAsia="es-ES"/>
        </w:rPr>
      </w:pPr>
      <w:r w:rsidRPr="00EE03A2">
        <w:rPr>
          <w:rFonts w:ascii="Palatino Linotype" w:eastAsia="Palatino Linotype" w:hAnsi="Palatino Linotype" w:cs="Palatino Linotype"/>
          <w:i/>
          <w:sz w:val="22"/>
          <w:szCs w:val="22"/>
          <w:lang w:val="es-MX" w:eastAsia="es-ES"/>
        </w:rPr>
        <w:t>Quincuagésimo octavo. Los sujetos obligados garantizarán que los sistemas o medios empleados para eliminar la información en las versiones públicas no permitan la recuperación o visualización de la misma.”</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 xml:space="preserve">Por lo tanto, </w:t>
      </w:r>
      <w:r w:rsidRPr="00EE03A2">
        <w:rPr>
          <w:rFonts w:ascii="Palatino Linotype" w:eastAsia="Palatino Linotype" w:hAnsi="Palatino Linotype" w:cs="Palatino Linotype"/>
          <w:b/>
          <w:lang w:val="es-MX" w:eastAsia="es-ES"/>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EE03A2">
        <w:rPr>
          <w:rFonts w:ascii="Palatino Linotype" w:eastAsia="Palatino Linotype" w:hAnsi="Palatino Linotype" w:cs="Palatino Linotype"/>
          <w:lang w:val="es-MX" w:eastAsia="es-ES"/>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E03A2" w:rsidRPr="00EE03A2" w:rsidRDefault="00EE03A2" w:rsidP="00EE03A2">
      <w:pPr>
        <w:spacing w:line="360" w:lineRule="auto"/>
        <w:jc w:val="both"/>
        <w:rPr>
          <w:rFonts w:ascii="Palatino Linotype" w:eastAsia="Palatino Linotype" w:hAnsi="Palatino Linotype" w:cs="Palatino Linotype"/>
          <w:lang w:val="es-MX" w:eastAsia="es-ES"/>
        </w:rPr>
      </w:pPr>
    </w:p>
    <w:p w:rsidR="00EE03A2" w:rsidRPr="00EE03A2" w:rsidRDefault="00EE03A2" w:rsidP="00EE03A2">
      <w:pPr>
        <w:spacing w:after="240" w:line="360" w:lineRule="auto"/>
        <w:jc w:val="both"/>
        <w:rPr>
          <w:rFonts w:ascii="Palatino Linotype" w:eastAsia="Palatino Linotype" w:hAnsi="Palatino Linotype" w:cs="Palatino Linotype"/>
          <w:lang w:val="es-MX" w:eastAsia="es-ES"/>
        </w:rPr>
      </w:pPr>
      <w:r w:rsidRPr="00EE03A2">
        <w:rPr>
          <w:rFonts w:ascii="Palatino Linotype" w:eastAsia="Palatino Linotype" w:hAnsi="Palatino Linotype" w:cs="Palatino Linotype"/>
          <w:lang w:val="es-MX" w:eastAsia="es-ES"/>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EE03A2" w:rsidRPr="00EE03A2" w:rsidTr="002528F2">
        <w:tc>
          <w:tcPr>
            <w:tcW w:w="4414" w:type="dxa"/>
            <w:gridSpan w:val="2"/>
          </w:tcPr>
          <w:p w:rsidR="00EE03A2" w:rsidRPr="00EE03A2" w:rsidRDefault="00EE03A2" w:rsidP="00EE03A2">
            <w:pPr>
              <w:spacing w:after="160" w:line="259" w:lineRule="auto"/>
              <w:jc w:val="center"/>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lastRenderedPageBreak/>
              <w:t>Parcial</w:t>
            </w:r>
          </w:p>
        </w:tc>
        <w:tc>
          <w:tcPr>
            <w:tcW w:w="4414" w:type="dxa"/>
            <w:gridSpan w:val="2"/>
          </w:tcPr>
          <w:p w:rsidR="00EE03A2" w:rsidRPr="00EE03A2" w:rsidRDefault="00EE03A2" w:rsidP="00EE03A2">
            <w:pPr>
              <w:spacing w:after="160" w:line="259" w:lineRule="auto"/>
              <w:jc w:val="center"/>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Total</w:t>
            </w:r>
          </w:p>
        </w:tc>
      </w:tr>
      <w:tr w:rsidR="00EE03A2" w:rsidRPr="00EE03A2" w:rsidTr="002528F2">
        <w:tc>
          <w:tcPr>
            <w:tcW w:w="846" w:type="dxa"/>
          </w:tcPr>
          <w:p w:rsidR="00EE03A2" w:rsidRPr="00EE03A2" w:rsidRDefault="00EE03A2" w:rsidP="00EE03A2">
            <w:pPr>
              <w:spacing w:after="160" w:line="259" w:lineRule="auto"/>
              <w:jc w:val="center"/>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Concepto</w:t>
            </w:r>
          </w:p>
        </w:tc>
        <w:tc>
          <w:tcPr>
            <w:tcW w:w="3568" w:type="dxa"/>
          </w:tcPr>
          <w:p w:rsidR="00EE03A2" w:rsidRPr="00EE03A2" w:rsidRDefault="00EE03A2" w:rsidP="00EE03A2">
            <w:pPr>
              <w:spacing w:after="160" w:line="259" w:lineRule="auto"/>
              <w:jc w:val="center"/>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Dónde</w:t>
            </w:r>
          </w:p>
        </w:tc>
        <w:tc>
          <w:tcPr>
            <w:tcW w:w="968" w:type="dxa"/>
          </w:tcPr>
          <w:p w:rsidR="00EE03A2" w:rsidRPr="00EE03A2" w:rsidRDefault="00EE03A2" w:rsidP="00EE03A2">
            <w:pPr>
              <w:spacing w:after="160" w:line="259" w:lineRule="auto"/>
              <w:jc w:val="center"/>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Concepto</w:t>
            </w:r>
          </w:p>
        </w:tc>
        <w:tc>
          <w:tcPr>
            <w:tcW w:w="3446" w:type="dxa"/>
          </w:tcPr>
          <w:p w:rsidR="00EE03A2" w:rsidRPr="00EE03A2" w:rsidRDefault="00EE03A2" w:rsidP="00EE03A2">
            <w:pPr>
              <w:spacing w:after="160" w:line="259" w:lineRule="auto"/>
              <w:jc w:val="center"/>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Dónde</w:t>
            </w:r>
          </w:p>
        </w:tc>
      </w:tr>
      <w:tr w:rsidR="00EE03A2" w:rsidRPr="00EE03A2" w:rsidTr="002528F2">
        <w:tc>
          <w:tcPr>
            <w:tcW w:w="8828" w:type="dxa"/>
            <w:gridSpan w:val="4"/>
          </w:tcPr>
          <w:p w:rsidR="00EE03A2" w:rsidRPr="00EE03A2" w:rsidRDefault="00EE03A2" w:rsidP="00EE03A2">
            <w:pPr>
              <w:spacing w:after="160" w:line="259" w:lineRule="auto"/>
              <w:jc w:val="center"/>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Sello oficial o logotipo del sujeto obligado</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Fecha de clasificación</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anotará la fecha en la que el Comité de Transparencia confirmó la clasificación del documento, en su caso.</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Fecha de clasificación</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anotará la fecha en la que el Comité de Transparencia confirmó la clasificación del documento, en su caso.</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Área</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señalará el nombre del área del cual es titular quien clasifica.</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Área</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señalará el nombre del área de la cual es el titular quien clasifica.</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Información reservada</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Reservado</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Leyenda de información RESERVADA.</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Fundamento legal</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señalará el nombre del ordenamiento, el o los artículos, fracción(es), párrafo(s) con base en los cuales se sustente la reserva.</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Periodo de reserva</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anotará el número de años o meses por los que se mantendrá el documento o las partes del mismo como reservado. Si el expediente no es reservado, sino confidencial, deberá tacharse este apartado.</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Ampliación del periodo de reserva</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En caso de haber solicitado la ampliación del periodo de reserva originalmente establecido, se deberá anotar el número de años o meses por los que se amplía la reserva.</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Fundamento legal</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señalará el nombre del o de los ordenamientos jurídicos, el o los artículos, fracción(es), párrafo(s) con base en los cuales se sustenta la reserva.</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Confidencial</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Ampliación del periodo de reserva</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En caso de haber solicitado la ampliación del periodo de reserva originalmente establecido, se deberá anotar el número de años o meses por los que se amplía la reserva.</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Fundamento legal</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señalará el nombre del ordenamiento, el o los artículos, fracción(es), párrafo(s) con base en los cuales se sustente la confidencialidad.</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Confidencial</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Leyenda de información CONFIDENCIAL.</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Rúbrica del titular del área</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Rúbrica autógrafa de quien clasifica.</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Fundamento legal</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señalará el nombre del o de los ordenamientos jurídicos, el o los artículos, fracción(es), párrafo(s) con base en los cuales se sustente la confidencialidad.</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Fecha de desclasificación</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anotará la fecha en que se desclasifica el documento.</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Rúbrica del titular del área</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Rúbrica autógrafa de quien clasifica.</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Rúbrica y cargo del servidor público</w:t>
            </w: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Rúbrica autógrafa de quien desclasifica.</w:t>
            </w: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Fecha de desclasificación</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Se anotará la fecha en que se desclasifica.</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Partes o secciones reservadas o confidenciales</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En caso que una vez desclasificado el expediente, subsistan partes o secciones del mismo reservadas o confidenciales, se señalará este hecho.</w:t>
            </w:r>
          </w:p>
        </w:tc>
      </w:tr>
      <w:tr w:rsidR="00EE03A2" w:rsidRPr="00EE03A2" w:rsidTr="002528F2">
        <w:tc>
          <w:tcPr>
            <w:tcW w:w="8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p>
        </w:tc>
        <w:tc>
          <w:tcPr>
            <w:tcW w:w="3568"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p>
        </w:tc>
        <w:tc>
          <w:tcPr>
            <w:tcW w:w="968" w:type="dxa"/>
          </w:tcPr>
          <w:p w:rsidR="00EE03A2" w:rsidRPr="00EE03A2" w:rsidRDefault="00EE03A2" w:rsidP="00EE03A2">
            <w:pPr>
              <w:spacing w:after="160" w:line="259" w:lineRule="auto"/>
              <w:jc w:val="both"/>
              <w:rPr>
                <w:rFonts w:ascii="Palatino Linotype" w:eastAsia="Palatino Linotype" w:hAnsi="Palatino Linotype" w:cs="Palatino Linotype"/>
                <w:b/>
                <w:sz w:val="12"/>
                <w:szCs w:val="12"/>
                <w:lang w:val="es-MX" w:eastAsia="es-ES"/>
              </w:rPr>
            </w:pPr>
            <w:r w:rsidRPr="00EE03A2">
              <w:rPr>
                <w:rFonts w:ascii="Palatino Linotype" w:eastAsia="Palatino Linotype" w:hAnsi="Palatino Linotype" w:cs="Palatino Linotype"/>
                <w:b/>
                <w:sz w:val="12"/>
                <w:szCs w:val="12"/>
                <w:lang w:val="es-MX" w:eastAsia="es-ES"/>
              </w:rPr>
              <w:t>Rúbrica y cargo del servidor público</w:t>
            </w:r>
          </w:p>
        </w:tc>
        <w:tc>
          <w:tcPr>
            <w:tcW w:w="3446" w:type="dxa"/>
          </w:tcPr>
          <w:p w:rsidR="00EE03A2" w:rsidRPr="00EE03A2" w:rsidRDefault="00EE03A2" w:rsidP="00EE03A2">
            <w:pPr>
              <w:spacing w:after="160" w:line="259" w:lineRule="auto"/>
              <w:jc w:val="both"/>
              <w:rPr>
                <w:rFonts w:ascii="Palatino Linotype" w:eastAsia="Palatino Linotype" w:hAnsi="Palatino Linotype" w:cs="Palatino Linotype"/>
                <w:sz w:val="12"/>
                <w:szCs w:val="12"/>
                <w:lang w:val="es-MX" w:eastAsia="es-ES"/>
              </w:rPr>
            </w:pPr>
            <w:r w:rsidRPr="00EE03A2">
              <w:rPr>
                <w:rFonts w:ascii="Palatino Linotype" w:eastAsia="Palatino Linotype" w:hAnsi="Palatino Linotype" w:cs="Palatino Linotype"/>
                <w:sz w:val="12"/>
                <w:szCs w:val="12"/>
                <w:lang w:val="es-MX" w:eastAsia="es-ES"/>
              </w:rPr>
              <w:t>Rúbrica autógrafa de quien desclasifica.</w:t>
            </w:r>
          </w:p>
        </w:tc>
      </w:tr>
    </w:tbl>
    <w:p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w:t>
      </w:r>
      <w:r>
        <w:rPr>
          <w:rFonts w:ascii="Palatino Linotype" w:eastAsia="Palatino Linotype" w:hAnsi="Palatino Linotype" w:cs="Palatino Linotype"/>
        </w:rPr>
        <w:lastRenderedPageBreak/>
        <w:t>de México; 2, fracción II; 29, 36 fracciones I y II; 176, 178, 181, 185 de la Ley de Transparencia y Acceso a la Información Pública del Estado de México y Municipios, este Pleno:</w:t>
      </w:r>
    </w:p>
    <w:p w:rsidR="00C514A1" w:rsidRDefault="008B7725">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Resultan parcialmente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los Recursos de Revisión</w:t>
      </w:r>
      <w:r>
        <w:rPr>
          <w:rFonts w:ascii="Palatino Linotype" w:eastAsia="Palatino Linotype" w:hAnsi="Palatino Linotype" w:cs="Palatino Linotype"/>
          <w:b/>
        </w:rPr>
        <w:t xml:space="preserve"> </w:t>
      </w:r>
      <w:r w:rsidR="00E15506" w:rsidRPr="00E15506">
        <w:rPr>
          <w:rFonts w:ascii="Palatino Linotype" w:eastAsia="Palatino Linotype" w:hAnsi="Palatino Linotype" w:cs="Palatino Linotype"/>
          <w:b/>
        </w:rPr>
        <w:t>05204/INFOEM/IP/RR/2022 05206/INFOEM/IP/RR/2022, 05207/INFOEM/IP/RR/2022 y 05208/INFOEM/IP/RR/2022 acumulados</w:t>
      </w:r>
      <w:r>
        <w:rPr>
          <w:rFonts w:ascii="Palatino Linotype" w:eastAsia="Palatino Linotype" w:hAnsi="Palatino Linotype" w:cs="Palatino Linotype"/>
          <w:b/>
        </w:rPr>
        <w:t xml:space="preserve">,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en términos del 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se REVOCAN </w:t>
      </w:r>
      <w:r>
        <w:rPr>
          <w:rFonts w:ascii="Palatino Linotype" w:eastAsia="Palatino Linotype" w:hAnsi="Palatino Linotype" w:cs="Palatino Linotype"/>
        </w:rPr>
        <w:t>las respuestas del</w:t>
      </w:r>
      <w:r>
        <w:rPr>
          <w:rFonts w:ascii="Palatino Linotype" w:eastAsia="Palatino Linotype" w:hAnsi="Palatino Linotype" w:cs="Palatino Linotype"/>
          <w:b/>
        </w:rPr>
        <w:t xml:space="preserve"> Sujeto Obligado.</w:t>
      </w:r>
    </w:p>
    <w:p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Se Ordena al Sujeto Obligado </w:t>
      </w:r>
      <w:r>
        <w:rPr>
          <w:rFonts w:ascii="Palatino Linotype" w:eastAsia="Palatino Linotype" w:hAnsi="Palatino Linotype" w:cs="Palatino Linotype"/>
        </w:rPr>
        <w:t>que en términos de los</w:t>
      </w:r>
      <w:r>
        <w:rPr>
          <w:rFonts w:ascii="Palatino Linotype" w:eastAsia="Palatino Linotype" w:hAnsi="Palatino Linotype" w:cs="Palatino Linotype"/>
          <w:b/>
        </w:rPr>
        <w:t xml:space="preserve"> Considerandos Cuarto y Quinto </w:t>
      </w:r>
      <w:r>
        <w:rPr>
          <w:rFonts w:ascii="Palatino Linotype" w:eastAsia="Palatino Linotype" w:hAnsi="Palatino Linotype" w:cs="Palatino Linotype"/>
        </w:rPr>
        <w:t>de esta resolución haga entrega, previa bús</w:t>
      </w:r>
      <w:r w:rsidR="00E15506">
        <w:rPr>
          <w:rFonts w:ascii="Palatino Linotype" w:eastAsia="Palatino Linotype" w:hAnsi="Palatino Linotype" w:cs="Palatino Linotype"/>
        </w:rPr>
        <w:t>queda exhaustiva y razonable, a</w:t>
      </w:r>
      <w:r w:rsidR="00E15506">
        <w:rPr>
          <w:rFonts w:ascii="Palatino Linotype" w:eastAsia="Palatino Linotype" w:hAnsi="Palatino Linotype" w:cs="Palatino Linotype"/>
          <w:b/>
        </w:rPr>
        <w:t>l</w:t>
      </w:r>
      <w:r>
        <w:rPr>
          <w:rFonts w:ascii="Palatino Linotype" w:eastAsia="Palatino Linotype" w:hAnsi="Palatino Linotype" w:cs="Palatino Linotype"/>
          <w:b/>
        </w:rPr>
        <w:t xml:space="preserve"> Recurrente a través del SAIMEX, en versión pública, de lo siguiente:</w:t>
      </w:r>
      <w:r w:rsidR="0060220E">
        <w:rPr>
          <w:rFonts w:ascii="Palatino Linotype" w:eastAsia="Palatino Linotype" w:hAnsi="Palatino Linotype" w:cs="Palatino Linotype"/>
          <w:b/>
        </w:rPr>
        <w:t xml:space="preserve"> </w:t>
      </w:r>
    </w:p>
    <w:p w:rsidR="00085742" w:rsidRPr="00612E6F" w:rsidRDefault="00C37192">
      <w:pPr>
        <w:spacing w:before="240" w:after="240" w:line="360" w:lineRule="auto"/>
        <w:jc w:val="both"/>
        <w:rPr>
          <w:rFonts w:ascii="Palatino Linotype" w:eastAsia="Palatino Linotype" w:hAnsi="Palatino Linotype" w:cs="Palatino Linotype"/>
          <w:b/>
        </w:rPr>
      </w:pPr>
      <w:r w:rsidRPr="00612E6F">
        <w:rPr>
          <w:rFonts w:ascii="Palatino Linotype" w:eastAsia="Palatino Linotype" w:hAnsi="Palatino Linotype" w:cs="Palatino Linotype"/>
          <w:b/>
        </w:rPr>
        <w:t xml:space="preserve">Del personal adscrito a </w:t>
      </w:r>
      <w:r w:rsidR="00085742" w:rsidRPr="00612E6F">
        <w:rPr>
          <w:rFonts w:ascii="Palatino Linotype" w:eastAsia="Palatino Linotype" w:hAnsi="Palatino Linotype" w:cs="Palatino Linotype"/>
          <w:b/>
        </w:rPr>
        <w:t>la Oficina de Presidencia y Secretaría Particular:</w:t>
      </w:r>
    </w:p>
    <w:p w:rsidR="00E15506" w:rsidRPr="00612E6F" w:rsidRDefault="00C37192" w:rsidP="00B13DF6">
      <w:pPr>
        <w:pStyle w:val="Prrafodelista"/>
        <w:numPr>
          <w:ilvl w:val="2"/>
          <w:numId w:val="10"/>
        </w:numPr>
        <w:spacing w:before="240" w:after="240" w:line="276" w:lineRule="auto"/>
        <w:ind w:left="567" w:right="900"/>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Documento donde conste la r</w:t>
      </w:r>
      <w:r w:rsidR="00B13DF6" w:rsidRPr="00612E6F">
        <w:rPr>
          <w:rFonts w:ascii="Palatino Linotype" w:eastAsia="Palatino Linotype" w:hAnsi="Palatino Linotype" w:cs="Palatino Linotype"/>
          <w:i/>
          <w:sz w:val="22"/>
          <w:szCs w:val="22"/>
        </w:rPr>
        <w:t xml:space="preserve">elación del personal, generado </w:t>
      </w:r>
      <w:r w:rsidR="00B12A5B" w:rsidRPr="00612E6F">
        <w:rPr>
          <w:rFonts w:ascii="Palatino Linotype" w:eastAsia="Palatino Linotype" w:hAnsi="Palatino Linotype" w:cs="Palatino Linotype"/>
          <w:i/>
          <w:sz w:val="22"/>
          <w:szCs w:val="22"/>
        </w:rPr>
        <w:t xml:space="preserve">en la </w:t>
      </w:r>
      <w:r w:rsidRPr="00612E6F">
        <w:rPr>
          <w:rFonts w:ascii="Palatino Linotype" w:eastAsia="Palatino Linotype" w:hAnsi="Palatino Linotype" w:cs="Palatino Linotype"/>
          <w:i/>
          <w:sz w:val="22"/>
          <w:szCs w:val="22"/>
        </w:rPr>
        <w:t xml:space="preserve">primera </w:t>
      </w:r>
      <w:r w:rsidR="00B12A5B" w:rsidRPr="00612E6F">
        <w:rPr>
          <w:rFonts w:ascii="Palatino Linotype" w:eastAsia="Palatino Linotype" w:hAnsi="Palatino Linotype" w:cs="Palatino Linotype"/>
          <w:i/>
          <w:sz w:val="22"/>
          <w:szCs w:val="22"/>
        </w:rPr>
        <w:t>qu</w:t>
      </w:r>
      <w:r w:rsidR="00E15506" w:rsidRPr="00612E6F">
        <w:rPr>
          <w:rFonts w:ascii="Palatino Linotype" w:eastAsia="Palatino Linotype" w:hAnsi="Palatino Linotype" w:cs="Palatino Linotype"/>
          <w:i/>
          <w:sz w:val="22"/>
          <w:szCs w:val="22"/>
        </w:rPr>
        <w:t xml:space="preserve">incena de marzo </w:t>
      </w:r>
      <w:r w:rsidRPr="00612E6F">
        <w:rPr>
          <w:rFonts w:ascii="Palatino Linotype" w:eastAsia="Palatino Linotype" w:hAnsi="Palatino Linotype" w:cs="Palatino Linotype"/>
          <w:i/>
          <w:sz w:val="22"/>
          <w:szCs w:val="22"/>
        </w:rPr>
        <w:t xml:space="preserve">de </w:t>
      </w:r>
      <w:r w:rsidR="00E15506" w:rsidRPr="00612E6F">
        <w:rPr>
          <w:rFonts w:ascii="Palatino Linotype" w:eastAsia="Palatino Linotype" w:hAnsi="Palatino Linotype" w:cs="Palatino Linotype"/>
          <w:i/>
          <w:sz w:val="22"/>
          <w:szCs w:val="22"/>
        </w:rPr>
        <w:t>2022.</w:t>
      </w:r>
    </w:p>
    <w:p w:rsidR="00B13DF6" w:rsidRPr="00612E6F" w:rsidRDefault="00E15506" w:rsidP="00B13DF6">
      <w:pPr>
        <w:pStyle w:val="Prrafodelista"/>
        <w:numPr>
          <w:ilvl w:val="2"/>
          <w:numId w:val="10"/>
        </w:numPr>
        <w:spacing w:before="240" w:after="240" w:line="276" w:lineRule="auto"/>
        <w:ind w:left="567" w:right="900" w:hanging="283"/>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L</w:t>
      </w:r>
      <w:r w:rsidR="00B12A5B" w:rsidRPr="00612E6F">
        <w:rPr>
          <w:rFonts w:ascii="Palatino Linotype" w:eastAsia="Palatino Linotype" w:hAnsi="Palatino Linotype" w:cs="Palatino Linotype"/>
          <w:i/>
          <w:sz w:val="22"/>
          <w:szCs w:val="22"/>
        </w:rPr>
        <w:t xml:space="preserve">istas de asistencia de </w:t>
      </w:r>
      <w:r w:rsidRPr="00612E6F">
        <w:rPr>
          <w:rFonts w:ascii="Palatino Linotype" w:eastAsia="Palatino Linotype" w:hAnsi="Palatino Linotype" w:cs="Palatino Linotype"/>
          <w:i/>
          <w:sz w:val="22"/>
          <w:szCs w:val="22"/>
        </w:rPr>
        <w:t xml:space="preserve">todo el personal, </w:t>
      </w:r>
      <w:r w:rsidR="00C37192" w:rsidRPr="00612E6F">
        <w:rPr>
          <w:rFonts w:ascii="Palatino Linotype" w:eastAsia="Palatino Linotype" w:hAnsi="Palatino Linotype" w:cs="Palatino Linotype"/>
          <w:i/>
          <w:sz w:val="22"/>
          <w:szCs w:val="22"/>
        </w:rPr>
        <w:t>generada en la primera quincena de marzo de 2022</w:t>
      </w:r>
      <w:r w:rsidRPr="00612E6F">
        <w:rPr>
          <w:rFonts w:ascii="Palatino Linotype" w:eastAsia="Palatino Linotype" w:hAnsi="Palatino Linotype" w:cs="Palatino Linotype"/>
          <w:i/>
          <w:sz w:val="22"/>
          <w:szCs w:val="22"/>
        </w:rPr>
        <w:t xml:space="preserve">. </w:t>
      </w:r>
    </w:p>
    <w:p w:rsidR="00B13DF6" w:rsidRPr="00612E6F" w:rsidRDefault="00E15506" w:rsidP="00B13DF6">
      <w:pPr>
        <w:pStyle w:val="Prrafodelista"/>
        <w:numPr>
          <w:ilvl w:val="2"/>
          <w:numId w:val="10"/>
        </w:numPr>
        <w:spacing w:before="240" w:after="240" w:line="276" w:lineRule="auto"/>
        <w:ind w:left="567" w:right="900" w:hanging="283"/>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R</w:t>
      </w:r>
      <w:r w:rsidR="00B12A5B" w:rsidRPr="00612E6F">
        <w:rPr>
          <w:rFonts w:ascii="Palatino Linotype" w:eastAsia="Palatino Linotype" w:hAnsi="Palatino Linotype" w:cs="Palatino Linotype"/>
          <w:i/>
          <w:sz w:val="22"/>
          <w:szCs w:val="22"/>
        </w:rPr>
        <w:t>ecibos de nómina de la</w:t>
      </w:r>
      <w:r w:rsidR="00C37192" w:rsidRPr="00612E6F">
        <w:rPr>
          <w:rFonts w:ascii="Palatino Linotype" w:eastAsia="Palatino Linotype" w:hAnsi="Palatino Linotype" w:cs="Palatino Linotype"/>
          <w:i/>
          <w:sz w:val="22"/>
          <w:szCs w:val="22"/>
        </w:rPr>
        <w:t xml:space="preserve"> primera </w:t>
      </w:r>
      <w:r w:rsidRPr="00612E6F">
        <w:rPr>
          <w:rFonts w:ascii="Palatino Linotype" w:eastAsia="Palatino Linotype" w:hAnsi="Palatino Linotype" w:cs="Palatino Linotype"/>
          <w:i/>
          <w:sz w:val="22"/>
          <w:szCs w:val="22"/>
        </w:rPr>
        <w:t>quincena de marzo de 2022</w:t>
      </w:r>
      <w:r w:rsidR="0037132B" w:rsidRPr="00612E6F">
        <w:rPr>
          <w:rFonts w:ascii="Palatino Linotype" w:eastAsia="Palatino Linotype" w:hAnsi="Palatino Linotype" w:cs="Palatino Linotype"/>
          <w:i/>
          <w:sz w:val="22"/>
          <w:szCs w:val="22"/>
        </w:rPr>
        <w:t>.</w:t>
      </w:r>
    </w:p>
    <w:p w:rsidR="00B13DF6" w:rsidRPr="00612E6F" w:rsidRDefault="00E15506" w:rsidP="00B13DF6">
      <w:pPr>
        <w:pStyle w:val="Prrafodelista"/>
        <w:numPr>
          <w:ilvl w:val="2"/>
          <w:numId w:val="10"/>
        </w:numPr>
        <w:spacing w:before="240" w:after="240" w:line="276" w:lineRule="auto"/>
        <w:ind w:left="567" w:right="900" w:hanging="283"/>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C</w:t>
      </w:r>
      <w:r w:rsidR="00B12A5B" w:rsidRPr="00612E6F">
        <w:rPr>
          <w:rFonts w:ascii="Palatino Linotype" w:eastAsia="Palatino Linotype" w:hAnsi="Palatino Linotype" w:cs="Palatino Linotype"/>
          <w:i/>
          <w:sz w:val="22"/>
          <w:szCs w:val="22"/>
        </w:rPr>
        <w:t xml:space="preserve">urriculum vitae </w:t>
      </w:r>
      <w:r w:rsidRPr="00612E6F">
        <w:rPr>
          <w:rFonts w:ascii="Palatino Linotype" w:eastAsia="Palatino Linotype" w:hAnsi="Palatino Linotype" w:cs="Palatino Linotype"/>
          <w:i/>
          <w:sz w:val="22"/>
          <w:szCs w:val="22"/>
        </w:rPr>
        <w:t>vigentes al 17 de marzo de 2022.</w:t>
      </w:r>
    </w:p>
    <w:p w:rsidR="00B13DF6" w:rsidRPr="00612E6F" w:rsidRDefault="00E15506" w:rsidP="00B13DF6">
      <w:pPr>
        <w:pStyle w:val="Prrafodelista"/>
        <w:numPr>
          <w:ilvl w:val="2"/>
          <w:numId w:val="10"/>
        </w:numPr>
        <w:spacing w:before="240" w:after="240" w:line="276" w:lineRule="auto"/>
        <w:ind w:left="567" w:right="900" w:hanging="283"/>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G</w:t>
      </w:r>
      <w:r w:rsidR="00B12A5B" w:rsidRPr="00612E6F">
        <w:rPr>
          <w:rFonts w:ascii="Palatino Linotype" w:eastAsia="Palatino Linotype" w:hAnsi="Palatino Linotype" w:cs="Palatino Linotype"/>
          <w:i/>
          <w:sz w:val="22"/>
          <w:szCs w:val="22"/>
        </w:rPr>
        <w:t>afete</w:t>
      </w:r>
      <w:r w:rsidR="00B13DF6" w:rsidRPr="00612E6F">
        <w:rPr>
          <w:rFonts w:ascii="Palatino Linotype" w:eastAsia="Palatino Linotype" w:hAnsi="Palatino Linotype" w:cs="Palatino Linotype"/>
          <w:i/>
          <w:sz w:val="22"/>
          <w:szCs w:val="22"/>
        </w:rPr>
        <w:t>s</w:t>
      </w:r>
      <w:r w:rsidRPr="00612E6F">
        <w:rPr>
          <w:rFonts w:ascii="Palatino Linotype" w:eastAsia="Palatino Linotype" w:hAnsi="Palatino Linotype" w:cs="Palatino Linotype"/>
          <w:i/>
          <w:sz w:val="22"/>
          <w:szCs w:val="22"/>
        </w:rPr>
        <w:t xml:space="preserve"> vigentes al 17 de marzo de 2022.</w:t>
      </w:r>
    </w:p>
    <w:p w:rsidR="00085742" w:rsidRPr="00612E6F" w:rsidRDefault="00E15506" w:rsidP="00B13DF6">
      <w:pPr>
        <w:pStyle w:val="Prrafodelista"/>
        <w:numPr>
          <w:ilvl w:val="2"/>
          <w:numId w:val="10"/>
        </w:numPr>
        <w:spacing w:before="240" w:after="240" w:line="276" w:lineRule="auto"/>
        <w:ind w:left="567" w:right="900" w:hanging="283"/>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C</w:t>
      </w:r>
      <w:r w:rsidR="00B12A5B" w:rsidRPr="00612E6F">
        <w:rPr>
          <w:rFonts w:ascii="Palatino Linotype" w:eastAsia="Palatino Linotype" w:hAnsi="Palatino Linotype" w:cs="Palatino Linotype"/>
          <w:i/>
          <w:sz w:val="22"/>
          <w:szCs w:val="22"/>
        </w:rPr>
        <w:t>ontrato de los servid</w:t>
      </w:r>
      <w:r w:rsidRPr="00612E6F">
        <w:rPr>
          <w:rFonts w:ascii="Palatino Linotype" w:eastAsia="Palatino Linotype" w:hAnsi="Palatino Linotype" w:cs="Palatino Linotype"/>
          <w:i/>
          <w:sz w:val="22"/>
          <w:szCs w:val="22"/>
        </w:rPr>
        <w:t>ores públicos, vigente</w:t>
      </w:r>
      <w:r w:rsidR="00B8397E" w:rsidRPr="00612E6F">
        <w:rPr>
          <w:rFonts w:ascii="Palatino Linotype" w:eastAsia="Palatino Linotype" w:hAnsi="Palatino Linotype" w:cs="Palatino Linotype"/>
          <w:i/>
          <w:sz w:val="22"/>
          <w:szCs w:val="22"/>
        </w:rPr>
        <w:t>s</w:t>
      </w:r>
      <w:r w:rsidRPr="00612E6F">
        <w:rPr>
          <w:rFonts w:ascii="Palatino Linotype" w:eastAsia="Palatino Linotype" w:hAnsi="Palatino Linotype" w:cs="Palatino Linotype"/>
          <w:i/>
          <w:sz w:val="22"/>
          <w:szCs w:val="22"/>
        </w:rPr>
        <w:t xml:space="preserve"> al 17 de marzo de 2022</w:t>
      </w:r>
    </w:p>
    <w:p w:rsidR="00C514A1" w:rsidRPr="00612E6F" w:rsidRDefault="008B7725">
      <w:pPr>
        <w:spacing w:before="240" w:after="240" w:line="276" w:lineRule="auto"/>
        <w:ind w:left="567" w:right="900"/>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 xml:space="preserve">Deberá emitir el Acuerdo del Comité de Transparencia de conformidad con lo dispuesto en la Ley de Transparencia y Acceso a la Información Pública del Estado </w:t>
      </w:r>
      <w:r w:rsidRPr="00612E6F">
        <w:rPr>
          <w:rFonts w:ascii="Palatino Linotype" w:eastAsia="Palatino Linotype" w:hAnsi="Palatino Linotype" w:cs="Palatino Linotype"/>
          <w:i/>
          <w:sz w:val="22"/>
          <w:szCs w:val="22"/>
        </w:rPr>
        <w:lastRenderedPageBreak/>
        <w:t>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B13DF6" w:rsidRDefault="00B13DF6">
      <w:pPr>
        <w:spacing w:before="240" w:after="240" w:line="276" w:lineRule="auto"/>
        <w:ind w:left="567" w:right="900"/>
        <w:jc w:val="both"/>
        <w:rPr>
          <w:rFonts w:ascii="Palatino Linotype" w:eastAsia="Palatino Linotype" w:hAnsi="Palatino Linotype" w:cs="Palatino Linotype"/>
          <w:i/>
          <w:sz w:val="22"/>
          <w:szCs w:val="22"/>
        </w:rPr>
      </w:pPr>
      <w:r w:rsidRPr="00612E6F">
        <w:rPr>
          <w:rFonts w:ascii="Palatino Linotype" w:eastAsia="Palatino Linotype" w:hAnsi="Palatino Linotype" w:cs="Palatino Linotype"/>
          <w:i/>
          <w:sz w:val="22"/>
          <w:szCs w:val="22"/>
        </w:rPr>
        <w:t xml:space="preserve">De ser  el caso en el que el Sujeto Obligado no cuente con contratos celebrados con los servidores públicos, señalados en el inciso f, bastará con que </w:t>
      </w:r>
      <w:r w:rsidR="00B8397E" w:rsidRPr="00612E6F">
        <w:rPr>
          <w:rFonts w:ascii="Palatino Linotype" w:eastAsia="Palatino Linotype" w:hAnsi="Palatino Linotype" w:cs="Palatino Linotype"/>
          <w:i/>
          <w:sz w:val="22"/>
          <w:szCs w:val="22"/>
        </w:rPr>
        <w:t xml:space="preserve">así lo haga del conocimiento del particular </w:t>
      </w:r>
      <w:r w:rsidR="00B17F47" w:rsidRPr="00612E6F">
        <w:rPr>
          <w:rFonts w:ascii="Palatino Linotype" w:eastAsia="Palatino Linotype" w:hAnsi="Palatino Linotype" w:cs="Palatino Linotype"/>
          <w:i/>
          <w:sz w:val="22"/>
          <w:szCs w:val="22"/>
        </w:rPr>
        <w:t>para dar cumplimiento a dicho punto</w:t>
      </w:r>
      <w:r w:rsidRPr="00612E6F">
        <w:rPr>
          <w:rFonts w:ascii="Palatino Linotype" w:eastAsia="Palatino Linotype" w:hAnsi="Palatino Linotype" w:cs="Palatino Linotype"/>
          <w:i/>
          <w:sz w:val="22"/>
          <w:szCs w:val="22"/>
        </w:rPr>
        <w:t>.</w:t>
      </w:r>
    </w:p>
    <w:p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rsidR="00C514A1" w:rsidRDefault="00612E6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7456" behindDoc="0" locked="0" layoutInCell="1" allowOverlap="1">
                <wp:simplePos x="0" y="0"/>
                <wp:positionH relativeFrom="column">
                  <wp:posOffset>24764</wp:posOffset>
                </wp:positionH>
                <wp:positionV relativeFrom="paragraph">
                  <wp:posOffset>2667634</wp:posOffset>
                </wp:positionV>
                <wp:extent cx="5324475" cy="5076825"/>
                <wp:effectExtent l="0" t="0" r="28575" b="28575"/>
                <wp:wrapNone/>
                <wp:docPr id="16" name="Conector recto 16"/>
                <wp:cNvGraphicFramePr/>
                <a:graphic xmlns:a="http://schemas.openxmlformats.org/drawingml/2006/main">
                  <a:graphicData uri="http://schemas.microsoft.com/office/word/2010/wordprocessingShape">
                    <wps:wsp>
                      <wps:cNvCnPr/>
                      <wps:spPr>
                        <a:xfrm>
                          <a:off x="0" y="0"/>
                          <a:ext cx="5324475" cy="507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4132BB" id="Conector recto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210.05pt" to="421.2pt,6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" strokecolor="black [3040]"/>
            </w:pict>
          </mc:Fallback>
        </mc:AlternateContent>
      </w:r>
      <w:r w:rsidR="008B772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E15506">
        <w:rPr>
          <w:rFonts w:ascii="Palatino Linotype" w:eastAsia="Palatino Linotype" w:hAnsi="Palatino Linotype" w:cs="Palatino Linotype"/>
        </w:rPr>
        <w:t>ÍREZ PEÑA; EN LA VIGÉSIMA SÉPTIM</w:t>
      </w:r>
      <w:r w:rsidR="008B7725">
        <w:rPr>
          <w:rFonts w:ascii="Palatino Linotype" w:eastAsia="Palatino Linotype" w:hAnsi="Palatino Linotype" w:cs="Palatino Linotype"/>
        </w:rPr>
        <w:t>A SESI</w:t>
      </w:r>
      <w:r w:rsidR="00E15506">
        <w:rPr>
          <w:rFonts w:ascii="Palatino Linotype" w:eastAsia="Palatino Linotype" w:hAnsi="Palatino Linotype" w:cs="Palatino Linotype"/>
        </w:rPr>
        <w:t>ÓN ORDINARIA CELEBRADA EL TRES DE AGOST</w:t>
      </w:r>
      <w:r w:rsidR="008B7725">
        <w:rPr>
          <w:rFonts w:ascii="Palatino Linotype" w:eastAsia="Palatino Linotype" w:hAnsi="Palatino Linotype" w:cs="Palatino Linotype"/>
        </w:rPr>
        <w:t>O DE DOS MIL VEINTIDÓS, ANTE EL SECRETARIO TÉCNICO DEL PLENO, ALEXIS TAPIA RAMÍREZ.</w:t>
      </w:r>
    </w:p>
    <w:p w:rsidR="00B77877" w:rsidRDefault="00B77877">
      <w:pPr>
        <w:spacing w:before="240" w:after="240" w:line="360" w:lineRule="auto"/>
        <w:jc w:val="both"/>
        <w:rPr>
          <w:rFonts w:ascii="Palatino Linotype" w:eastAsia="Palatino Linotype" w:hAnsi="Palatino Linotype" w:cs="Palatino Linotype"/>
        </w:rPr>
      </w:pPr>
    </w:p>
    <w:p w:rsidR="00B77877" w:rsidRDefault="00B77877">
      <w:pPr>
        <w:spacing w:before="240" w:after="240" w:line="360" w:lineRule="auto"/>
        <w:jc w:val="both"/>
        <w:rPr>
          <w:rFonts w:ascii="Palatino Linotype" w:eastAsia="Palatino Linotype" w:hAnsi="Palatino Linotype" w:cs="Palatino Linotype"/>
          <w:sz w:val="20"/>
          <w:szCs w:val="20"/>
        </w:rPr>
        <w:sectPr w:rsidR="00B77877">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pPr>
    </w:p>
    <w:p w:rsidR="00C514A1" w:rsidRDefault="00C514A1">
      <w:pPr>
        <w:spacing w:before="240" w:after="240"/>
        <w:jc w:val="both"/>
        <w:rPr>
          <w:rFonts w:ascii="Palatino Linotype" w:eastAsia="Palatino Linotype" w:hAnsi="Palatino Linotype" w:cs="Palatino Linotype"/>
          <w:sz w:val="20"/>
          <w:szCs w:val="20"/>
        </w:rPr>
      </w:pPr>
    </w:p>
    <w:p w:rsidR="00C514A1" w:rsidRDefault="00C514A1">
      <w:pPr>
        <w:spacing w:before="240" w:after="240"/>
        <w:jc w:val="both"/>
        <w:rPr>
          <w:rFonts w:ascii="Palatino Linotype" w:eastAsia="Palatino Linotype" w:hAnsi="Palatino Linotype" w:cs="Palatino Linotype"/>
          <w:sz w:val="20"/>
          <w:szCs w:val="20"/>
        </w:rPr>
      </w:pPr>
    </w:p>
    <w:sectPr w:rsidR="00C514A1">
      <w:headerReference w:type="first" r:id="rId2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695" w:rsidRDefault="00E61695">
      <w:r>
        <w:separator/>
      </w:r>
    </w:p>
  </w:endnote>
  <w:endnote w:type="continuationSeparator" w:id="0">
    <w:p w:rsidR="00E61695" w:rsidRDefault="00E61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8F2" w:rsidRDefault="002528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4767">
      <w:rPr>
        <w:rFonts w:ascii="Palatino Linotype" w:eastAsia="Palatino Linotype" w:hAnsi="Palatino Linotype" w:cs="Palatino Linotype"/>
        <w:b/>
        <w:noProof/>
        <w:color w:val="000000"/>
        <w:sz w:val="20"/>
        <w:szCs w:val="20"/>
      </w:rPr>
      <w:t>91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4767">
      <w:rPr>
        <w:rFonts w:ascii="Palatino Linotype" w:eastAsia="Palatino Linotype" w:hAnsi="Palatino Linotype" w:cs="Palatino Linotype"/>
        <w:b/>
        <w:noProof/>
        <w:color w:val="000000"/>
        <w:sz w:val="20"/>
        <w:szCs w:val="20"/>
      </w:rPr>
      <w:t>103</w:t>
    </w:r>
    <w:r>
      <w:rPr>
        <w:rFonts w:ascii="Palatino Linotype" w:eastAsia="Palatino Linotype" w:hAnsi="Palatino Linotype" w:cs="Palatino Linotype"/>
        <w:b/>
        <w:color w:val="000000"/>
        <w:sz w:val="20"/>
        <w:szCs w:val="20"/>
      </w:rPr>
      <w:fldChar w:fldCharType="end"/>
    </w:r>
  </w:p>
  <w:p w:rsidR="002528F2" w:rsidRDefault="002528F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8F2" w:rsidRDefault="002528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4767">
      <w:rPr>
        <w:rFonts w:ascii="Palatino Linotype" w:eastAsia="Palatino Linotype" w:hAnsi="Palatino Linotype" w:cs="Palatino Linotype"/>
        <w:b/>
        <w:noProof/>
        <w:color w:val="000000"/>
        <w:sz w:val="20"/>
        <w:szCs w:val="20"/>
      </w:rPr>
      <w:t>103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4767">
      <w:rPr>
        <w:rFonts w:ascii="Palatino Linotype" w:eastAsia="Palatino Linotype" w:hAnsi="Palatino Linotype" w:cs="Palatino Linotype"/>
        <w:b/>
        <w:noProof/>
        <w:color w:val="000000"/>
        <w:sz w:val="20"/>
        <w:szCs w:val="20"/>
      </w:rPr>
      <w:t>103</w:t>
    </w:r>
    <w:r>
      <w:rPr>
        <w:rFonts w:ascii="Palatino Linotype" w:eastAsia="Palatino Linotype" w:hAnsi="Palatino Linotype" w:cs="Palatino Linotype"/>
        <w:b/>
        <w:color w:val="000000"/>
        <w:sz w:val="20"/>
        <w:szCs w:val="20"/>
      </w:rPr>
      <w:fldChar w:fldCharType="end"/>
    </w:r>
  </w:p>
  <w:p w:rsidR="002528F2" w:rsidRDefault="002528F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695" w:rsidRDefault="00E61695">
      <w:r>
        <w:separator/>
      </w:r>
    </w:p>
  </w:footnote>
  <w:footnote w:type="continuationSeparator" w:id="0">
    <w:p w:rsidR="00E61695" w:rsidRDefault="00E61695">
      <w:r>
        <w:continuationSeparator/>
      </w:r>
    </w:p>
  </w:footnote>
  <w:footnote w:id="1">
    <w:p w:rsidR="002528F2" w:rsidRDefault="002528F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2528F2" w:rsidRDefault="002528F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672995" w:rsidRDefault="00672995" w:rsidP="00672995">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144.- Los servidores públicos del Estado y de los municipios por nombramiento o designación, al entrar a desempeñar sus cargos, rendirán protesta formal de cumplir con la Constitución General de la República, la particular del Estado y todas las leyes que de ambas emanen.</w:t>
      </w:r>
    </w:p>
  </w:footnote>
  <w:footnote w:id="4">
    <w:p w:rsidR="002528F2" w:rsidRDefault="002528F2" w:rsidP="00C37192">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Jurisprudencia publicada en el Semanario Judicial de la Federación número 2a./J.120/2015, de la Décima Época, Tomo I, Libro 22, Septiembre 2015, cuyo texto es el siguiente: “La regulación establecida en el artículo </w:t>
      </w:r>
      <w:r>
        <w:rPr>
          <w:rFonts w:ascii="Cambria" w:eastAsia="Cambria" w:hAnsi="Cambria" w:cs="Cambria"/>
          <w:color w:val="000000"/>
          <w:sz w:val="20"/>
          <w:szCs w:val="20"/>
        </w:rPr>
        <w:t>79, fracción VI, de la Ley de Amparo</w:t>
      </w:r>
      <w:r>
        <w:rPr>
          <w:rFonts w:ascii="Cambria" w:eastAsia="Cambria" w:hAnsi="Cambria" w:cs="Cambria"/>
          <w:color w:val="000000"/>
          <w:sz w:val="20"/>
          <w:szCs w:val="20"/>
          <w:highlight w:val="white"/>
        </w:rPr>
        <w:t>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Pr>
          <w:rFonts w:ascii="Cambria" w:eastAsia="Cambria" w:hAnsi="Cambria" w:cs="Cambria"/>
          <w:color w:val="000000"/>
          <w:sz w:val="20"/>
          <w:szCs w:val="20"/>
        </w:rPr>
        <w:t>107, fracción II, antepenúltimo párrafo, de la Constitución Política de los Estados Unidos Mexicanos</w:t>
      </w:r>
      <w:r>
        <w:rPr>
          <w:rFonts w:ascii="Cambria" w:eastAsia="Cambria" w:hAnsi="Cambria" w:cs="Cambria"/>
          <w:color w:val="000000"/>
          <w:sz w:val="20"/>
          <w:szCs w:val="20"/>
          <w:highlight w:val="white"/>
        </w:rPr>
        <w:t>.”</w:t>
      </w:r>
    </w:p>
  </w:footnote>
  <w:footnote w:id="5">
    <w:p w:rsidR="002528F2" w:rsidRDefault="002528F2" w:rsidP="00C3719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Pr>
          <w:rFonts w:ascii="Palatino Linotype" w:eastAsia="Palatino Linotype" w:hAnsi="Palatino Linotype" w:cs="Palatino Linotype"/>
          <w:color w:val="000000"/>
          <w:sz w:val="16"/>
          <w:szCs w:val="16"/>
          <w:highlight w:val="white"/>
        </w:rPr>
        <w:t xml:space="preserve"> </w:t>
      </w:r>
      <w:r>
        <w:rPr>
          <w:rFonts w:ascii="Cambria" w:eastAsia="Cambria" w:hAnsi="Cambria" w:cs="Cambria"/>
          <w:color w:val="000000"/>
          <w:sz w:val="20"/>
          <w:szCs w:val="20"/>
          <w:highlight w:val="white"/>
        </w:rPr>
        <w:t>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p>
  </w:footnote>
  <w:footnote w:id="6">
    <w:p w:rsidR="002528F2" w:rsidRPr="00995366" w:rsidRDefault="002528F2" w:rsidP="00085742">
      <w:pPr>
        <w:pStyle w:val="Textonotapie"/>
        <w:jc w:val="both"/>
        <w:rPr>
          <w:rFonts w:ascii="Palatino Linotype" w:hAnsi="Palatino Linotype"/>
          <w:sz w:val="16"/>
          <w:szCs w:val="16"/>
        </w:rPr>
      </w:pPr>
      <w:r w:rsidRPr="00995366">
        <w:rPr>
          <w:rStyle w:val="Refdenotaalpie"/>
          <w:rFonts w:ascii="Palatino Linotype" w:hAnsi="Palatino Linotype"/>
          <w:sz w:val="16"/>
          <w:szCs w:val="16"/>
        </w:rPr>
        <w:footnoteRef/>
      </w:r>
      <w:r w:rsidRPr="00995366">
        <w:rPr>
          <w:rFonts w:ascii="Palatino Linotype" w:hAnsi="Palatino Linotype"/>
          <w:sz w:val="16"/>
          <w:szCs w:val="16"/>
        </w:rPr>
        <w:t xml:space="preserve"> </w:t>
      </w:r>
      <w:r w:rsidRPr="00995366">
        <w:rPr>
          <w:rFonts w:ascii="Palatino Linotype" w:hAnsi="Palatino Linotype" w:cs="Arial"/>
          <w:sz w:val="16"/>
          <w:szCs w:val="16"/>
        </w:rPr>
        <w:t xml:space="preserve">Ley del Trabajo de los Servidores Públicos del Estado de México, </w:t>
      </w:r>
      <w:r w:rsidRPr="00995366">
        <w:rPr>
          <w:rFonts w:ascii="Palatino Linotype" w:hAnsi="Palatino Linotype"/>
          <w:sz w:val="16"/>
          <w:szCs w:val="16"/>
        </w:rPr>
        <w:t>Artículo 1.</w:t>
      </w:r>
    </w:p>
  </w:footnote>
  <w:footnote w:id="7">
    <w:p w:rsidR="002528F2" w:rsidRPr="00B92083" w:rsidRDefault="002528F2" w:rsidP="00085742">
      <w:pPr>
        <w:tabs>
          <w:tab w:val="left" w:pos="709"/>
        </w:tabs>
        <w:ind w:right="49"/>
        <w:jc w:val="both"/>
        <w:rPr>
          <w:rFonts w:ascii="Palatino Linotype" w:hAnsi="Palatino Linotype" w:cs="Arial"/>
          <w:i/>
          <w:sz w:val="16"/>
          <w:szCs w:val="16"/>
        </w:rPr>
      </w:pPr>
      <w:r>
        <w:rPr>
          <w:rStyle w:val="Refdenotaalpie"/>
        </w:rPr>
        <w:footnoteRef/>
      </w:r>
      <w:r>
        <w:t xml:space="preserve"> </w:t>
      </w:r>
      <w:r>
        <w:rPr>
          <w:rFonts w:ascii="Palatino Linotype" w:hAnsi="Palatino Linotype"/>
          <w:sz w:val="16"/>
          <w:szCs w:val="16"/>
        </w:rPr>
        <w:t>Ley de Trabajo de los Servidores Públicos del Estado de México y Municipios: A</w:t>
      </w:r>
      <w:r w:rsidRPr="00B92083">
        <w:rPr>
          <w:rFonts w:ascii="Palatino Linotype" w:hAnsi="Palatino Linotype" w:cs="Arial"/>
          <w:i/>
          <w:sz w:val="16"/>
          <w:szCs w:val="16"/>
        </w:rPr>
        <w:t>RTÍCULO 93. Son causas de rescisión de la relación laboral, sin responsabilidad para las instituciones públicas:</w:t>
      </w:r>
    </w:p>
    <w:p w:rsidR="002528F2" w:rsidRPr="00B92083" w:rsidRDefault="002528F2" w:rsidP="00085742">
      <w:pPr>
        <w:tabs>
          <w:tab w:val="left" w:pos="709"/>
        </w:tabs>
        <w:ind w:right="49"/>
        <w:jc w:val="both"/>
        <w:rPr>
          <w:rFonts w:ascii="Palatino Linotype" w:hAnsi="Palatino Linotype" w:cs="Arial"/>
          <w:i/>
          <w:sz w:val="16"/>
          <w:szCs w:val="16"/>
        </w:rPr>
      </w:pPr>
      <w:r w:rsidRPr="00B92083">
        <w:rPr>
          <w:rFonts w:ascii="Palatino Linotype" w:hAnsi="Palatino Linotype" w:cs="Arial"/>
          <w:i/>
          <w:sz w:val="16"/>
          <w:szCs w:val="16"/>
        </w:rPr>
        <w:t>IV. Incurrir en cuatro o más faltas de asistencia a sus labores sin causa justificada, dentro de un lapso de treinta días;</w:t>
      </w:r>
    </w:p>
    <w:p w:rsidR="002528F2" w:rsidRDefault="002528F2" w:rsidP="00085742">
      <w:pPr>
        <w:tabs>
          <w:tab w:val="left" w:pos="709"/>
        </w:tabs>
        <w:ind w:right="49"/>
        <w:jc w:val="both"/>
        <w:rPr>
          <w:rFonts w:ascii="Palatino Linotype" w:hAnsi="Palatino Linotype" w:cs="Arial"/>
          <w:i/>
          <w:sz w:val="16"/>
          <w:szCs w:val="16"/>
        </w:rPr>
      </w:pPr>
      <w:r w:rsidRPr="00B92083">
        <w:rPr>
          <w:rFonts w:ascii="Palatino Linotype" w:hAnsi="Palatino Linotype" w:cs="Arial"/>
          <w:i/>
          <w:sz w:val="16"/>
          <w:szCs w:val="16"/>
        </w:rPr>
        <w:t>V. Abandonar las labores sin autorización previa o razón plenamente justificada, en contravención a lo establecido en las condici</w:t>
      </w:r>
      <w:r>
        <w:rPr>
          <w:rFonts w:ascii="Palatino Linotype" w:hAnsi="Palatino Linotype" w:cs="Arial"/>
          <w:i/>
          <w:sz w:val="16"/>
          <w:szCs w:val="16"/>
        </w:rPr>
        <w:t>ones generales de trabajo…</w:t>
      </w:r>
    </w:p>
    <w:p w:rsidR="002528F2" w:rsidRPr="00B92083" w:rsidRDefault="002528F2" w:rsidP="00085742">
      <w:pPr>
        <w:tabs>
          <w:tab w:val="left" w:pos="709"/>
        </w:tabs>
        <w:ind w:right="49"/>
        <w:jc w:val="both"/>
        <w:rPr>
          <w:rFonts w:ascii="Palatino Linotype" w:hAnsi="Palatino Linotype" w:cs="Arial"/>
          <w:i/>
          <w:sz w:val="16"/>
          <w:szCs w:val="16"/>
        </w:rPr>
      </w:pPr>
      <w:r w:rsidRPr="00173569">
        <w:rPr>
          <w:rFonts w:ascii="Palatino Linotype" w:hAnsi="Palatino Linotype" w:cs="Arial"/>
          <w:i/>
          <w:sz w:val="16"/>
          <w:szCs w:val="16"/>
        </w:rPr>
        <w:t>XVII. Sustraer tarjetas o listas de puntualidad y asistencia del lugar destinado para ello, ya sea la del propio servidor público o la de otro, utilizar o registrar asistencia con gafete</w:t>
      </w:r>
      <w:r>
        <w:rPr>
          <w:rFonts w:ascii="Palatino Linotype" w:hAnsi="Palatino Linotype" w:cs="Arial"/>
          <w:i/>
          <w:sz w:val="16"/>
          <w:szCs w:val="16"/>
        </w:rPr>
        <w:t xml:space="preserve"> </w:t>
      </w:r>
      <w:r w:rsidRPr="00173569">
        <w:rPr>
          <w:rFonts w:ascii="Palatino Linotype" w:hAnsi="Palatino Linotype" w:cs="Arial"/>
          <w:i/>
          <w:sz w:val="16"/>
          <w:szCs w:val="16"/>
        </w:rPr>
        <w:t>credencial o tarjeta distinto al suyo o alterar en cualquier forma los registros de control de puntualidad y asistencia; siempre y cuando no sea res</w:t>
      </w:r>
      <w:r>
        <w:rPr>
          <w:rFonts w:ascii="Palatino Linotype" w:hAnsi="Palatino Linotype" w:cs="Arial"/>
          <w:i/>
          <w:sz w:val="16"/>
          <w:szCs w:val="16"/>
        </w:rPr>
        <w:t>ultado de un error involuntario…(Sic)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8F2" w:rsidRDefault="002528F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-396398</wp:posOffset>
          </wp:positionV>
          <wp:extent cx="7809865" cy="10165715"/>
          <wp:effectExtent l="0" t="0" r="0" b="0"/>
          <wp:wrapNone/>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873" w:type="dxa"/>
      <w:tblInd w:w="3261" w:type="dxa"/>
      <w:tblLayout w:type="fixed"/>
      <w:tblLook w:val="0400" w:firstRow="0" w:lastRow="0" w:firstColumn="0" w:lastColumn="0" w:noHBand="0" w:noVBand="1"/>
    </w:tblPr>
    <w:tblGrid>
      <w:gridCol w:w="2409"/>
      <w:gridCol w:w="3464"/>
    </w:tblGrid>
    <w:tr w:rsidR="002528F2">
      <w:tc>
        <w:tcPr>
          <w:tcW w:w="2409" w:type="dxa"/>
          <w:shd w:val="clear" w:color="auto" w:fill="auto"/>
        </w:tcPr>
        <w:p w:rsidR="002528F2" w:rsidRDefault="002528F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2528F2" w:rsidRDefault="002528F2">
          <w:pPr>
            <w:ind w:right="175"/>
            <w:jc w:val="both"/>
            <w:rPr>
              <w:rFonts w:ascii="Palatino Linotype" w:eastAsia="Palatino Linotype" w:hAnsi="Palatino Linotype" w:cs="Palatino Linotype"/>
              <w:b/>
            </w:rPr>
          </w:pPr>
          <w:r>
            <w:rPr>
              <w:rFonts w:ascii="Palatino Linotype" w:eastAsia="Palatino Linotype" w:hAnsi="Palatino Linotype" w:cs="Palatino Linotype"/>
              <w:b/>
            </w:rPr>
            <w:t>05204/INFOEM/IP/RR/2022 y acumulados</w:t>
          </w:r>
        </w:p>
      </w:tc>
    </w:tr>
    <w:tr w:rsidR="002528F2">
      <w:trPr>
        <w:trHeight w:val="228"/>
      </w:trPr>
      <w:tc>
        <w:tcPr>
          <w:tcW w:w="2409" w:type="dxa"/>
          <w:shd w:val="clear" w:color="auto" w:fill="auto"/>
          <w:vAlign w:val="center"/>
        </w:tcPr>
        <w:p w:rsidR="002528F2" w:rsidRDefault="002528F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2528F2" w:rsidRDefault="002528F2" w:rsidP="00046E23">
          <w:pPr>
            <w:ind w:left="-45" w:right="-53"/>
            <w:jc w:val="both"/>
            <w:rPr>
              <w:rFonts w:ascii="Palatino Linotype" w:eastAsia="Palatino Linotype" w:hAnsi="Palatino Linotype" w:cs="Palatino Linotype"/>
              <w:b/>
            </w:rPr>
          </w:pPr>
          <w:r w:rsidRPr="00046E23">
            <w:rPr>
              <w:rFonts w:ascii="Palatino Linotype" w:eastAsia="Palatino Linotype" w:hAnsi="Palatino Linotype" w:cs="Palatino Linotype"/>
              <w:b/>
            </w:rPr>
            <w:t>Ayuntamiento de Tenancingo</w:t>
          </w:r>
        </w:p>
      </w:tc>
    </w:tr>
    <w:tr w:rsidR="002528F2">
      <w:tc>
        <w:tcPr>
          <w:tcW w:w="2409" w:type="dxa"/>
          <w:shd w:val="clear" w:color="auto" w:fill="auto"/>
          <w:vAlign w:val="center"/>
        </w:tcPr>
        <w:p w:rsidR="002528F2" w:rsidRDefault="002528F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2528F2" w:rsidRDefault="002528F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2528F2" w:rsidRDefault="002528F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8F2" w:rsidRDefault="002528F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9"/>
      <w:tblW w:w="5953" w:type="dxa"/>
      <w:tblInd w:w="3261" w:type="dxa"/>
      <w:tblLayout w:type="fixed"/>
      <w:tblLook w:val="0400" w:firstRow="0" w:lastRow="0" w:firstColumn="0" w:lastColumn="0" w:noHBand="0" w:noVBand="1"/>
    </w:tblPr>
    <w:tblGrid>
      <w:gridCol w:w="2551"/>
      <w:gridCol w:w="3402"/>
    </w:tblGrid>
    <w:tr w:rsidR="002528F2">
      <w:tc>
        <w:tcPr>
          <w:tcW w:w="2551" w:type="dxa"/>
          <w:shd w:val="clear" w:color="auto" w:fill="auto"/>
          <w:vAlign w:val="center"/>
        </w:tcPr>
        <w:p w:rsidR="002528F2" w:rsidRDefault="002528F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2528F2" w:rsidRDefault="002528F2">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05204/INFOEM/IP/RR/2022 y acumulados</w:t>
          </w:r>
        </w:p>
      </w:tc>
    </w:tr>
    <w:tr w:rsidR="002528F2">
      <w:trPr>
        <w:trHeight w:val="130"/>
      </w:trPr>
      <w:tc>
        <w:tcPr>
          <w:tcW w:w="2551" w:type="dxa"/>
          <w:shd w:val="clear" w:color="auto" w:fill="auto"/>
          <w:vAlign w:val="center"/>
        </w:tcPr>
        <w:p w:rsidR="002528F2" w:rsidRDefault="002528F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2528F2" w:rsidRDefault="00A04767">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XXXXXX</w:t>
          </w:r>
        </w:p>
      </w:tc>
    </w:tr>
    <w:tr w:rsidR="002528F2">
      <w:trPr>
        <w:trHeight w:val="228"/>
      </w:trPr>
      <w:tc>
        <w:tcPr>
          <w:tcW w:w="2551" w:type="dxa"/>
          <w:shd w:val="clear" w:color="auto" w:fill="auto"/>
          <w:vAlign w:val="center"/>
        </w:tcPr>
        <w:p w:rsidR="002528F2" w:rsidRDefault="002528F2">
          <w:pPr>
            <w:rPr>
              <w:rFonts w:ascii="Palatino Linotype" w:eastAsia="Palatino Linotype" w:hAnsi="Palatino Linotype" w:cs="Palatino Linotype"/>
              <w:b/>
            </w:rPr>
          </w:pPr>
          <w:r>
            <w:rPr>
              <w:noProof/>
              <w:lang w:val="es-MX"/>
            </w:rPr>
            <w:drawing>
              <wp:anchor distT="0" distB="0" distL="0" distR="0" simplePos="0" relativeHeight="251659264" behindDoc="1" locked="0" layoutInCell="1" hidden="0" allowOverlap="1" wp14:anchorId="404056C6" wp14:editId="7F4DC749">
                <wp:simplePos x="0" y="0"/>
                <wp:positionH relativeFrom="column">
                  <wp:posOffset>-3428365</wp:posOffset>
                </wp:positionH>
                <wp:positionV relativeFrom="paragraph">
                  <wp:posOffset>-1170940</wp:posOffset>
                </wp:positionV>
                <wp:extent cx="7809865" cy="10165715"/>
                <wp:effectExtent l="0" t="0" r="0" b="0"/>
                <wp:wrapNone/>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rPr>
            <w:t>Sujeto Obligado:</w:t>
          </w:r>
        </w:p>
      </w:tc>
      <w:tc>
        <w:tcPr>
          <w:tcW w:w="3402" w:type="dxa"/>
          <w:shd w:val="clear" w:color="auto" w:fill="auto"/>
          <w:vAlign w:val="center"/>
        </w:tcPr>
        <w:p w:rsidR="002528F2" w:rsidRDefault="002528F2" w:rsidP="00046E23">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Tenancingo</w:t>
          </w:r>
        </w:p>
      </w:tc>
    </w:tr>
    <w:tr w:rsidR="002528F2">
      <w:tc>
        <w:tcPr>
          <w:tcW w:w="2551" w:type="dxa"/>
          <w:shd w:val="clear" w:color="auto" w:fill="auto"/>
          <w:vAlign w:val="center"/>
        </w:tcPr>
        <w:p w:rsidR="002528F2" w:rsidRDefault="002528F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2528F2" w:rsidRDefault="002528F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2528F2" w:rsidRDefault="002528F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8F2" w:rsidRDefault="002528F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273F"/>
    <w:multiLevelType w:val="multilevel"/>
    <w:tmpl w:val="C7BAA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0C4F0A"/>
    <w:multiLevelType w:val="multilevel"/>
    <w:tmpl w:val="F72E3DE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nsid w:val="06B33BC8"/>
    <w:multiLevelType w:val="multilevel"/>
    <w:tmpl w:val="0142946A"/>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b w:val="0"/>
      </w:rPr>
    </w:lvl>
    <w:lvl w:ilvl="2">
      <w:start w:val="1"/>
      <w:numFmt w:val="lowerLetter"/>
      <w:lvlText w:val="%3."/>
      <w:lvlJc w:val="left"/>
      <w:pPr>
        <w:ind w:left="2160" w:hanging="360"/>
      </w:pPr>
      <w:rPr>
        <w:rFonts w:ascii="Palatino Linotype" w:eastAsia="Palatino Linotype" w:hAnsi="Palatino Linotype" w:cs="Palatino Linotyp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AC7C3F"/>
    <w:multiLevelType w:val="multilevel"/>
    <w:tmpl w:val="A45494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D690A39"/>
    <w:multiLevelType w:val="multilevel"/>
    <w:tmpl w:val="D1D09C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5AF5B29"/>
    <w:multiLevelType w:val="multilevel"/>
    <w:tmpl w:val="05B42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247789E"/>
    <w:multiLevelType w:val="multilevel"/>
    <w:tmpl w:val="09BCBCE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nsid w:val="35693E2B"/>
    <w:multiLevelType w:val="hybridMultilevel"/>
    <w:tmpl w:val="6C684A26"/>
    <w:lvl w:ilvl="0" w:tplc="E446DE04">
      <w:start w:val="3"/>
      <w:numFmt w:val="lowerLetter"/>
      <w:lvlText w:val="%1."/>
      <w:lvlJc w:val="left"/>
      <w:pPr>
        <w:tabs>
          <w:tab w:val="num" w:pos="720"/>
        </w:tabs>
        <w:ind w:left="720" w:hanging="360"/>
      </w:pPr>
    </w:lvl>
    <w:lvl w:ilvl="1" w:tplc="C6B83EAA" w:tentative="1">
      <w:start w:val="1"/>
      <w:numFmt w:val="decimal"/>
      <w:lvlText w:val="%2."/>
      <w:lvlJc w:val="left"/>
      <w:pPr>
        <w:tabs>
          <w:tab w:val="num" w:pos="1440"/>
        </w:tabs>
        <w:ind w:left="1440" w:hanging="360"/>
      </w:pPr>
    </w:lvl>
    <w:lvl w:ilvl="2" w:tplc="57FA7650" w:tentative="1">
      <w:start w:val="1"/>
      <w:numFmt w:val="decimal"/>
      <w:lvlText w:val="%3."/>
      <w:lvlJc w:val="left"/>
      <w:pPr>
        <w:tabs>
          <w:tab w:val="num" w:pos="2160"/>
        </w:tabs>
        <w:ind w:left="2160" w:hanging="360"/>
      </w:pPr>
    </w:lvl>
    <w:lvl w:ilvl="3" w:tplc="39442F06" w:tentative="1">
      <w:start w:val="1"/>
      <w:numFmt w:val="decimal"/>
      <w:lvlText w:val="%4."/>
      <w:lvlJc w:val="left"/>
      <w:pPr>
        <w:tabs>
          <w:tab w:val="num" w:pos="2880"/>
        </w:tabs>
        <w:ind w:left="2880" w:hanging="360"/>
      </w:pPr>
    </w:lvl>
    <w:lvl w:ilvl="4" w:tplc="6A78E068" w:tentative="1">
      <w:start w:val="1"/>
      <w:numFmt w:val="decimal"/>
      <w:lvlText w:val="%5."/>
      <w:lvlJc w:val="left"/>
      <w:pPr>
        <w:tabs>
          <w:tab w:val="num" w:pos="3600"/>
        </w:tabs>
        <w:ind w:left="3600" w:hanging="360"/>
      </w:pPr>
    </w:lvl>
    <w:lvl w:ilvl="5" w:tplc="92CAF2EE" w:tentative="1">
      <w:start w:val="1"/>
      <w:numFmt w:val="decimal"/>
      <w:lvlText w:val="%6."/>
      <w:lvlJc w:val="left"/>
      <w:pPr>
        <w:tabs>
          <w:tab w:val="num" w:pos="4320"/>
        </w:tabs>
        <w:ind w:left="4320" w:hanging="360"/>
      </w:pPr>
    </w:lvl>
    <w:lvl w:ilvl="6" w:tplc="14AC8B8E" w:tentative="1">
      <w:start w:val="1"/>
      <w:numFmt w:val="decimal"/>
      <w:lvlText w:val="%7."/>
      <w:lvlJc w:val="left"/>
      <w:pPr>
        <w:tabs>
          <w:tab w:val="num" w:pos="5040"/>
        </w:tabs>
        <w:ind w:left="5040" w:hanging="360"/>
      </w:pPr>
    </w:lvl>
    <w:lvl w:ilvl="7" w:tplc="5D609E54" w:tentative="1">
      <w:start w:val="1"/>
      <w:numFmt w:val="decimal"/>
      <w:lvlText w:val="%8."/>
      <w:lvlJc w:val="left"/>
      <w:pPr>
        <w:tabs>
          <w:tab w:val="num" w:pos="5760"/>
        </w:tabs>
        <w:ind w:left="5760" w:hanging="360"/>
      </w:pPr>
    </w:lvl>
    <w:lvl w:ilvl="8" w:tplc="7C6CDBDE" w:tentative="1">
      <w:start w:val="1"/>
      <w:numFmt w:val="decimal"/>
      <w:lvlText w:val="%9."/>
      <w:lvlJc w:val="left"/>
      <w:pPr>
        <w:tabs>
          <w:tab w:val="num" w:pos="6480"/>
        </w:tabs>
        <w:ind w:left="6480" w:hanging="360"/>
      </w:pPr>
    </w:lvl>
  </w:abstractNum>
  <w:abstractNum w:abstractNumId="8">
    <w:nsid w:val="36046613"/>
    <w:multiLevelType w:val="multilevel"/>
    <w:tmpl w:val="441A171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39A36842"/>
    <w:multiLevelType w:val="hybridMultilevel"/>
    <w:tmpl w:val="CCD4948E"/>
    <w:lvl w:ilvl="0" w:tplc="C4DCB3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9404AC"/>
    <w:multiLevelType w:val="multilevel"/>
    <w:tmpl w:val="C1100B0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E99461B"/>
    <w:multiLevelType w:val="hybridMultilevel"/>
    <w:tmpl w:val="8842C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0FD3722"/>
    <w:multiLevelType w:val="multilevel"/>
    <w:tmpl w:val="8504565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666D2A6D"/>
    <w:multiLevelType w:val="multilevel"/>
    <w:tmpl w:val="B21A3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5383C9C"/>
    <w:multiLevelType w:val="hybridMultilevel"/>
    <w:tmpl w:val="A0268326"/>
    <w:lvl w:ilvl="0" w:tplc="13C0275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7EC101B8"/>
    <w:multiLevelType w:val="multilevel"/>
    <w:tmpl w:val="34BECC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0"/>
  </w:num>
  <w:num w:numId="3">
    <w:abstractNumId w:val="5"/>
  </w:num>
  <w:num w:numId="4">
    <w:abstractNumId w:val="4"/>
  </w:num>
  <w:num w:numId="5">
    <w:abstractNumId w:val="15"/>
  </w:num>
  <w:num w:numId="6">
    <w:abstractNumId w:val="8"/>
  </w:num>
  <w:num w:numId="7">
    <w:abstractNumId w:val="0"/>
  </w:num>
  <w:num w:numId="8">
    <w:abstractNumId w:val="12"/>
  </w:num>
  <w:num w:numId="9">
    <w:abstractNumId w:val="1"/>
  </w:num>
  <w:num w:numId="10">
    <w:abstractNumId w:val="2"/>
    <w:lvlOverride w:ilvl="0">
      <w:lvl w:ilvl="0">
        <w:numFmt w:val="lowerLetter"/>
        <w:lvlText w:val="%1."/>
        <w:lvlJc w:val="left"/>
      </w:lvl>
    </w:lvlOverride>
  </w:num>
  <w:num w:numId="11">
    <w:abstractNumId w:val="7"/>
  </w:num>
  <w:num w:numId="12">
    <w:abstractNumId w:val="11"/>
  </w:num>
  <w:num w:numId="13">
    <w:abstractNumId w:val="6"/>
  </w:num>
  <w:num w:numId="14">
    <w:abstractNumId w:val="3"/>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4A1"/>
    <w:rsid w:val="00046E23"/>
    <w:rsid w:val="00077DBE"/>
    <w:rsid w:val="00085742"/>
    <w:rsid w:val="000D20C5"/>
    <w:rsid w:val="000F6281"/>
    <w:rsid w:val="00101B1B"/>
    <w:rsid w:val="002528F2"/>
    <w:rsid w:val="002B434F"/>
    <w:rsid w:val="002E3206"/>
    <w:rsid w:val="0037132B"/>
    <w:rsid w:val="004D042F"/>
    <w:rsid w:val="0050185E"/>
    <w:rsid w:val="00555B89"/>
    <w:rsid w:val="0060220E"/>
    <w:rsid w:val="00612E6F"/>
    <w:rsid w:val="00652855"/>
    <w:rsid w:val="00672995"/>
    <w:rsid w:val="007C2739"/>
    <w:rsid w:val="007D5748"/>
    <w:rsid w:val="00847483"/>
    <w:rsid w:val="008A097D"/>
    <w:rsid w:val="008B7725"/>
    <w:rsid w:val="00950ABA"/>
    <w:rsid w:val="009B7365"/>
    <w:rsid w:val="009F6905"/>
    <w:rsid w:val="00A04767"/>
    <w:rsid w:val="00B12A5B"/>
    <w:rsid w:val="00B13DF6"/>
    <w:rsid w:val="00B17F47"/>
    <w:rsid w:val="00B30F29"/>
    <w:rsid w:val="00B77877"/>
    <w:rsid w:val="00B80E5E"/>
    <w:rsid w:val="00B8397E"/>
    <w:rsid w:val="00C37192"/>
    <w:rsid w:val="00C40ABE"/>
    <w:rsid w:val="00C41C55"/>
    <w:rsid w:val="00C514A1"/>
    <w:rsid w:val="00C80777"/>
    <w:rsid w:val="00D17AEF"/>
    <w:rsid w:val="00D33C70"/>
    <w:rsid w:val="00DA1119"/>
    <w:rsid w:val="00E15506"/>
    <w:rsid w:val="00E33AB1"/>
    <w:rsid w:val="00E61695"/>
    <w:rsid w:val="00EA2F53"/>
    <w:rsid w:val="00EE03A2"/>
    <w:rsid w:val="00F078BE"/>
    <w:rsid w:val="00F91A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714DC5-56B7-44D1-86FF-57E44EB6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20222">
      <w:bodyDiv w:val="1"/>
      <w:marLeft w:val="0"/>
      <w:marRight w:val="0"/>
      <w:marTop w:val="0"/>
      <w:marBottom w:val="0"/>
      <w:divBdr>
        <w:top w:val="none" w:sz="0" w:space="0" w:color="auto"/>
        <w:left w:val="none" w:sz="0" w:space="0" w:color="auto"/>
        <w:bottom w:val="none" w:sz="0" w:space="0" w:color="auto"/>
        <w:right w:val="none" w:sz="0" w:space="0" w:color="auto"/>
      </w:divBdr>
    </w:div>
    <w:div w:id="1300379035">
      <w:bodyDiv w:val="1"/>
      <w:marLeft w:val="0"/>
      <w:marRight w:val="0"/>
      <w:marTop w:val="0"/>
      <w:marBottom w:val="0"/>
      <w:divBdr>
        <w:top w:val="none" w:sz="0" w:space="0" w:color="auto"/>
        <w:left w:val="none" w:sz="0" w:space="0" w:color="auto"/>
        <w:bottom w:val="none" w:sz="0" w:space="0" w:color="auto"/>
        <w:right w:val="none" w:sz="0" w:space="0" w:color="auto"/>
      </w:divBdr>
    </w:div>
    <w:div w:id="1304191618">
      <w:bodyDiv w:val="1"/>
      <w:marLeft w:val="0"/>
      <w:marRight w:val="0"/>
      <w:marTop w:val="0"/>
      <w:marBottom w:val="0"/>
      <w:divBdr>
        <w:top w:val="none" w:sz="0" w:space="0" w:color="auto"/>
        <w:left w:val="none" w:sz="0" w:space="0" w:color="auto"/>
        <w:bottom w:val="none" w:sz="0" w:space="0" w:color="auto"/>
        <w:right w:val="none" w:sz="0" w:space="0" w:color="auto"/>
      </w:divBdr>
    </w:div>
    <w:div w:id="2147240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of.gob.mx/nota_detalle.php?codigo=5492254&amp;fecha=28/07/2017"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2S1yv83/YyZPwyYNkORoKDD2WQ==">AMUW2mXx72t7mGEQ44GmAaW+CQAeECHKeG5QkTuYgNDp4Sf/kTd2e/UjLEgHGzmSTzIhpoku4J6cLXEljv+ZHjhdBL65Yv5CqwI/jZqAPMbUwVHiejFrJ11EgDQlIoZDnUIEh/R1gIj+BEtYcWaV8d+bYwMQW5FybT9h1GYkfeVMUsZgxSetFWGr/UuDnAEdYVPmePhSUJCY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23420</Words>
  <Characters>128814</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5</cp:revision>
  <cp:lastPrinted>2022-08-05T15:07:00Z</cp:lastPrinted>
  <dcterms:created xsi:type="dcterms:W3CDTF">2022-08-04T02:44:00Z</dcterms:created>
  <dcterms:modified xsi:type="dcterms:W3CDTF">2022-09-06T15:21:00Z</dcterms:modified>
</cp:coreProperties>
</file>