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869" w:rsidRDefault="0067250C">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veintidós. </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03874/INFOEM/IP/RR/2022</w:t>
      </w:r>
      <w:r>
        <w:rPr>
          <w:rFonts w:ascii="Palatino Linotype" w:eastAsia="Palatino Linotype" w:hAnsi="Palatino Linotype" w:cs="Palatino Linotype"/>
        </w:rPr>
        <w:t xml:space="preserve">, interpuesto </w:t>
      </w:r>
      <w:proofErr w:type="gramStart"/>
      <w:r>
        <w:rPr>
          <w:rFonts w:ascii="Palatino Linotype" w:eastAsia="Palatino Linotype" w:hAnsi="Palatino Linotype" w:cs="Palatino Linotype"/>
        </w:rPr>
        <w:t xml:space="preserve">por </w:t>
      </w:r>
      <w:r w:rsidR="00404D9F">
        <w:rPr>
          <w:rFonts w:ascii="Palatino Linotype" w:eastAsia="Palatino Linotype" w:hAnsi="Palatino Linotype" w:cs="Palatino Linotype"/>
        </w:rPr>
        <w:t xml:space="preserve"> el</w:t>
      </w:r>
      <w:proofErr w:type="gramEnd"/>
      <w:r w:rsidR="00404D9F">
        <w:rPr>
          <w:rFonts w:ascii="Palatino Linotype" w:eastAsia="Palatino Linotype" w:hAnsi="Palatino Linotype" w:cs="Palatino Linotype"/>
        </w:rPr>
        <w:t xml:space="preserve"> C. </w:t>
      </w:r>
      <w:r w:rsidR="00013201">
        <w:rPr>
          <w:rFonts w:ascii="Palatino Linotype" w:eastAsia="Palatino Linotype" w:hAnsi="Palatino Linotype" w:cs="Palatino Linotype"/>
          <w:b/>
          <w:sz w:val="22"/>
          <w:szCs w:val="22"/>
        </w:rPr>
        <w:t>XXXX XXXXX XXXX</w:t>
      </w:r>
      <w:r w:rsidR="00404D9F">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sidR="00404D9F">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Temamatla</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257869" w:rsidRDefault="0067250C">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dieciocho de febrero de dos mil veintidós,</w:t>
      </w:r>
      <w:r>
        <w:rPr>
          <w:rFonts w:ascii="Palatino Linotype" w:eastAsia="Palatino Linotype" w:hAnsi="Palatino Linotype" w:cs="Palatino Linotype"/>
        </w:rPr>
        <w:t xml:space="preserve"> </w:t>
      </w:r>
      <w:r w:rsidR="00404D9F">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número de folio </w:t>
      </w:r>
      <w:r>
        <w:rPr>
          <w:rFonts w:ascii="Palatino Linotype" w:eastAsia="Palatino Linotype" w:hAnsi="Palatino Linotype" w:cs="Palatino Linotype"/>
          <w:b/>
        </w:rPr>
        <w:t xml:space="preserve">00063/TEMAMATL/IP/2022, </w:t>
      </w:r>
      <w:r>
        <w:rPr>
          <w:rFonts w:ascii="Palatino Linotype" w:eastAsia="Palatino Linotype" w:hAnsi="Palatino Linotype" w:cs="Palatino Linotype"/>
        </w:rPr>
        <w:t xml:space="preserve">mediante la cual requirió la información siguiente: </w:t>
      </w:r>
    </w:p>
    <w:p w:rsidR="00257869" w:rsidRDefault="0067250C">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“copias y </w:t>
      </w:r>
      <w:proofErr w:type="spellStart"/>
      <w:r>
        <w:rPr>
          <w:rFonts w:ascii="Palatino Linotype" w:eastAsia="Palatino Linotype" w:hAnsi="Palatino Linotype" w:cs="Palatino Linotype"/>
          <w:i/>
          <w:sz w:val="22"/>
          <w:szCs w:val="22"/>
        </w:rPr>
        <w:t>relacion</w:t>
      </w:r>
      <w:proofErr w:type="spellEnd"/>
      <w:r>
        <w:rPr>
          <w:rFonts w:ascii="Palatino Linotype" w:eastAsia="Palatino Linotype" w:hAnsi="Palatino Linotype" w:cs="Palatino Linotype"/>
          <w:i/>
          <w:sz w:val="22"/>
          <w:szCs w:val="22"/>
        </w:rPr>
        <w:t xml:space="preserve"> de todas las cartillas militares que sean tramitado en el municipio de </w:t>
      </w:r>
      <w:proofErr w:type="spellStart"/>
      <w:r>
        <w:rPr>
          <w:rFonts w:ascii="Palatino Linotype" w:eastAsia="Palatino Linotype" w:hAnsi="Palatino Linotype" w:cs="Palatino Linotype"/>
          <w:i/>
          <w:sz w:val="22"/>
          <w:szCs w:val="22"/>
        </w:rPr>
        <w:t>Temamatla</w:t>
      </w:r>
      <w:proofErr w:type="spellEnd"/>
      <w:r>
        <w:rPr>
          <w:rFonts w:ascii="Palatino Linotype" w:eastAsia="Palatino Linotype" w:hAnsi="Palatino Linotype" w:cs="Palatino Linotype"/>
          <w:i/>
          <w:sz w:val="22"/>
          <w:szCs w:val="22"/>
        </w:rPr>
        <w:t xml:space="preserve"> del año 2015 al año 2022.”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257869" w:rsidRDefault="00257869">
      <w:pPr>
        <w:ind w:right="900"/>
        <w:jc w:val="both"/>
        <w:rPr>
          <w:rFonts w:ascii="Palatino Linotype" w:eastAsia="Palatino Linotype" w:hAnsi="Palatino Linotype" w:cs="Palatino Linotype"/>
        </w:rPr>
      </w:pPr>
    </w:p>
    <w:p w:rsidR="00257869" w:rsidRDefault="00404D9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w:t>
      </w:r>
      <w:r w:rsidR="0067250C">
        <w:rPr>
          <w:rFonts w:ascii="Palatino Linotype" w:eastAsia="Palatino Linotype" w:hAnsi="Palatino Linotype" w:cs="Palatino Linotype"/>
        </w:rPr>
        <w:t xml:space="preserve"> </w:t>
      </w:r>
      <w:r w:rsidR="0067250C">
        <w:rPr>
          <w:rFonts w:ascii="Palatino Linotype" w:eastAsia="Palatino Linotype" w:hAnsi="Palatino Linotype" w:cs="Palatino Linotype"/>
          <w:b/>
        </w:rPr>
        <w:t>Recurrente</w:t>
      </w:r>
      <w:r w:rsidR="0067250C">
        <w:rPr>
          <w:rFonts w:ascii="Palatino Linotype" w:eastAsia="Palatino Linotype" w:hAnsi="Palatino Linotype" w:cs="Palatino Linotype"/>
        </w:rPr>
        <w:t xml:space="preserve"> no adjuntó archivos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Con fecha </w:t>
      </w:r>
      <w:r w:rsidR="00404D9F">
        <w:rPr>
          <w:rFonts w:ascii="Palatino Linotype" w:eastAsia="Palatino Linotype" w:hAnsi="Palatino Linotype" w:cs="Palatino Linotype"/>
          <w:b/>
        </w:rPr>
        <w:t xml:space="preserve">doce de marzo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257869" w:rsidRDefault="0067250C" w:rsidP="00404D9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las solicitudes de información registradas con los siguientes números de folio: 00031/TEMAMATL/IP/2022, “Razón por la que no hay oficialía de partes en el municipio de </w:t>
      </w:r>
      <w:proofErr w:type="spellStart"/>
      <w:r>
        <w:rPr>
          <w:rFonts w:ascii="Palatino Linotype" w:eastAsia="Palatino Linotype" w:hAnsi="Palatino Linotype" w:cs="Palatino Linotype"/>
          <w:i/>
          <w:sz w:val="22"/>
          <w:szCs w:val="22"/>
        </w:rPr>
        <w:t>temamatla</w:t>
      </w:r>
      <w:proofErr w:type="spellEnd"/>
      <w:r>
        <w:rPr>
          <w:rFonts w:ascii="Palatino Linotype" w:eastAsia="Palatino Linotype" w:hAnsi="Palatino Linotype" w:cs="Palatino Linotype"/>
          <w:i/>
          <w:sz w:val="22"/>
          <w:szCs w:val="22"/>
        </w:rPr>
        <w:t xml:space="preserve"> en el año 2022 y si </w:t>
      </w:r>
      <w:proofErr w:type="spellStart"/>
      <w:r>
        <w:rPr>
          <w:rFonts w:ascii="Palatino Linotype" w:eastAsia="Palatino Linotype" w:hAnsi="Palatino Linotype" w:cs="Palatino Linotype"/>
          <w:i/>
          <w:sz w:val="22"/>
          <w:szCs w:val="22"/>
        </w:rPr>
        <w:t>uvieras</w:t>
      </w:r>
      <w:proofErr w:type="spellEnd"/>
      <w:r>
        <w:rPr>
          <w:rFonts w:ascii="Palatino Linotype" w:eastAsia="Palatino Linotype" w:hAnsi="Palatino Linotype" w:cs="Palatino Linotype"/>
          <w:i/>
          <w:sz w:val="22"/>
          <w:szCs w:val="22"/>
        </w:rPr>
        <w:t xml:space="preserve"> en qué dirección se encuentra”(Sic) 00035/TEMAMATL/IP/2022, “Copia de los cabildos realizados durante el 1 de enero al 18 de febrero de 2022”(Sic) </w:t>
      </w:r>
      <w:r>
        <w:rPr>
          <w:rFonts w:ascii="Palatino Linotype" w:eastAsia="Palatino Linotype" w:hAnsi="Palatino Linotype" w:cs="Palatino Linotype"/>
          <w:b/>
          <w:i/>
          <w:sz w:val="22"/>
          <w:szCs w:val="22"/>
        </w:rPr>
        <w:t xml:space="preserve">00063/TEMAMATL/IP/2022, “copias y </w:t>
      </w:r>
      <w:proofErr w:type="spellStart"/>
      <w:r>
        <w:rPr>
          <w:rFonts w:ascii="Palatino Linotype" w:eastAsia="Palatino Linotype" w:hAnsi="Palatino Linotype" w:cs="Palatino Linotype"/>
          <w:b/>
          <w:i/>
          <w:sz w:val="22"/>
          <w:szCs w:val="22"/>
        </w:rPr>
        <w:t>relacion</w:t>
      </w:r>
      <w:proofErr w:type="spellEnd"/>
      <w:r>
        <w:rPr>
          <w:rFonts w:ascii="Palatino Linotype" w:eastAsia="Palatino Linotype" w:hAnsi="Palatino Linotype" w:cs="Palatino Linotype"/>
          <w:b/>
          <w:i/>
          <w:sz w:val="22"/>
          <w:szCs w:val="22"/>
        </w:rPr>
        <w:t xml:space="preserve"> de todas las cartillas militares que sean tramitado en el municipio de </w:t>
      </w:r>
      <w:proofErr w:type="spellStart"/>
      <w:r>
        <w:rPr>
          <w:rFonts w:ascii="Palatino Linotype" w:eastAsia="Palatino Linotype" w:hAnsi="Palatino Linotype" w:cs="Palatino Linotype"/>
          <w:b/>
          <w:i/>
          <w:sz w:val="22"/>
          <w:szCs w:val="22"/>
        </w:rPr>
        <w:t>Temamatla</w:t>
      </w:r>
      <w:proofErr w:type="spellEnd"/>
      <w:r>
        <w:rPr>
          <w:rFonts w:ascii="Palatino Linotype" w:eastAsia="Palatino Linotype" w:hAnsi="Palatino Linotype" w:cs="Palatino Linotype"/>
          <w:b/>
          <w:i/>
          <w:sz w:val="22"/>
          <w:szCs w:val="22"/>
        </w:rPr>
        <w:t xml:space="preserve"> del año 2015 al año 2022”(Sic</w:t>
      </w:r>
      <w:r>
        <w:rPr>
          <w:rFonts w:ascii="Palatino Linotype" w:eastAsia="Palatino Linotype" w:hAnsi="Palatino Linotype" w:cs="Palatino Linotype"/>
          <w:i/>
          <w:sz w:val="22"/>
          <w:szCs w:val="22"/>
        </w:rPr>
        <w:t>) 00064/TEMAMATL/IP/2022, “</w:t>
      </w:r>
      <w:proofErr w:type="spellStart"/>
      <w:r>
        <w:rPr>
          <w:rFonts w:ascii="Palatino Linotype" w:eastAsia="Palatino Linotype" w:hAnsi="Palatino Linotype" w:cs="Palatino Linotype"/>
          <w:i/>
          <w:sz w:val="22"/>
          <w:szCs w:val="22"/>
        </w:rPr>
        <w:t>relacion</w:t>
      </w:r>
      <w:proofErr w:type="spellEnd"/>
      <w:r>
        <w:rPr>
          <w:rFonts w:ascii="Palatino Linotype" w:eastAsia="Palatino Linotype" w:hAnsi="Palatino Linotype" w:cs="Palatino Linotype"/>
          <w:i/>
          <w:sz w:val="22"/>
          <w:szCs w:val="22"/>
        </w:rPr>
        <w:t xml:space="preserve"> de todos los cobros que </w:t>
      </w:r>
      <w:proofErr w:type="spellStart"/>
      <w:r>
        <w:rPr>
          <w:rFonts w:ascii="Palatino Linotype" w:eastAsia="Palatino Linotype" w:hAnsi="Palatino Linotype" w:cs="Palatino Linotype"/>
          <w:i/>
          <w:sz w:val="22"/>
          <w:szCs w:val="22"/>
        </w:rPr>
        <w:t>a</w:t>
      </w:r>
      <w:proofErr w:type="spellEnd"/>
      <w:r>
        <w:rPr>
          <w:rFonts w:ascii="Palatino Linotype" w:eastAsia="Palatino Linotype" w:hAnsi="Palatino Linotype" w:cs="Palatino Linotype"/>
          <w:i/>
          <w:sz w:val="22"/>
          <w:szCs w:val="22"/>
        </w:rPr>
        <w:t xml:space="preserve"> realizado el área de secretaria de ayuntamiento del año 2013 al 2022”(Sic) 00077/TEMAMATL/IP/2022, “copia de oficios para la realización de eventos por parte de las área del ayuntamiento de </w:t>
      </w:r>
      <w:proofErr w:type="spellStart"/>
      <w:r>
        <w:rPr>
          <w:rFonts w:ascii="Palatino Linotype" w:eastAsia="Palatino Linotype" w:hAnsi="Palatino Linotype" w:cs="Palatino Linotype"/>
          <w:i/>
          <w:sz w:val="22"/>
          <w:szCs w:val="22"/>
        </w:rPr>
        <w:t>Temamatla</w:t>
      </w:r>
      <w:proofErr w:type="spellEnd"/>
      <w:r>
        <w:rPr>
          <w:rFonts w:ascii="Palatino Linotype" w:eastAsia="Palatino Linotype" w:hAnsi="Palatino Linotype" w:cs="Palatino Linotype"/>
          <w:i/>
          <w:sz w:val="22"/>
          <w:szCs w:val="22"/>
        </w:rPr>
        <w:t xml:space="preserve"> y su contestación del área de administración del 01 de enero al 18 de febrero del año 2022. proceso por el cual se </w:t>
      </w:r>
      <w:proofErr w:type="spellStart"/>
      <w:r>
        <w:rPr>
          <w:rFonts w:ascii="Palatino Linotype" w:eastAsia="Palatino Linotype" w:hAnsi="Palatino Linotype" w:cs="Palatino Linotype"/>
          <w:i/>
          <w:sz w:val="22"/>
          <w:szCs w:val="22"/>
        </w:rPr>
        <w:t>contrato</w:t>
      </w:r>
      <w:proofErr w:type="spellEnd"/>
      <w:r>
        <w:rPr>
          <w:rFonts w:ascii="Palatino Linotype" w:eastAsia="Palatino Linotype" w:hAnsi="Palatino Linotype" w:cs="Palatino Linotype"/>
          <w:i/>
          <w:sz w:val="22"/>
          <w:szCs w:val="22"/>
        </w:rPr>
        <w:t xml:space="preserve"> el material o servicios para su realización y su póliza contable que soporte dicho gasto con documentos del proveedor y proceso de contratación de servicios del 01 de enero al 18 de febrero del 2022”(Sic) 00079/TEMAMATL/IP/2022, “tarjetas de resguardo del todos los bienes mueble e inmuebles y si se siguieron los procedimientos conforme a la gaceta del estado del 11 julio de 2013 y fundamentar en caso que no se siguiera el procedimiento adecuado argumentar por que causa motivo o razón”(Sic) 00089/TEMAMATL/IP/2022, “copia de todos los oficios recibidos y enviados por el área de secretaria del ayuntamiento del 01 de enero al 18 de febrero del año 2022”(Sic) 00112/TEMAMATL/IP/2022, “Reuniones trabajo para realizar el presupuesto de egresos municipal 2022 y si no se realizaron cuál es el fundamento legal para no realizarlas”(Sic) le hago llegar la siguiente información: Lo anterior, </w:t>
      </w:r>
      <w:r>
        <w:rPr>
          <w:rFonts w:ascii="Palatino Linotype" w:eastAsia="Palatino Linotype" w:hAnsi="Palatino Linotype" w:cs="Palatino Linotype"/>
          <w:b/>
          <w:i/>
          <w:sz w:val="22"/>
          <w:szCs w:val="22"/>
        </w:rPr>
        <w:t>con base a la respuesta emitida por el Servidor Público Habilitado de la Secretaria del Ayuntamiento.</w:t>
      </w:r>
      <w:r>
        <w:rPr>
          <w:rFonts w:ascii="Palatino Linotype" w:eastAsia="Palatino Linotype" w:hAnsi="Palatino Linotype" w:cs="Palatino Linotype"/>
          <w:i/>
          <w:sz w:val="22"/>
          <w:szCs w:val="22"/>
        </w:rPr>
        <w:t xml:space="preserve"> Adicionalmente, se hace de su conocimiento el término de quince días para interponer el Recurso de Revisión que se señala en los artículos 176, 177 y 178 de la Ley de la materia, en caso de considerar que la respuesta es desfavorable a su solicitud.</w:t>
      </w:r>
    </w:p>
    <w:p w:rsidR="00257869" w:rsidRDefault="0067250C" w:rsidP="00404D9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257869" w:rsidRDefault="0067250C">
      <w:pPr>
        <w:ind w:left="851" w:right="900"/>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lastRenderedPageBreak/>
        <w:t>Sria</w:t>
      </w:r>
      <w:proofErr w:type="spellEnd"/>
      <w:r>
        <w:rPr>
          <w:rFonts w:ascii="Palatino Linotype" w:eastAsia="Palatino Linotype" w:hAnsi="Palatino Linotype" w:cs="Palatino Linotype"/>
          <w:i/>
          <w:sz w:val="22"/>
          <w:szCs w:val="22"/>
        </w:rPr>
        <w:t>. Ejecutiva Rosalba Granados Román...”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404D9F" w:rsidRDefault="0067250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w:t>
      </w:r>
      <w:r>
        <w:rPr>
          <w:rFonts w:ascii="Palatino Linotype" w:eastAsia="Palatino Linotype" w:hAnsi="Palatino Linotype" w:cs="Palatino Linotype"/>
          <w:b/>
          <w:i/>
        </w:rPr>
        <w:t>SOL 00031 00035 00063 00064 00077 00079 00089 00112 SRIA AYUNTAMIENTO.pdf”</w:t>
      </w:r>
      <w:r>
        <w:rPr>
          <w:rFonts w:ascii="Palatino Linotype" w:eastAsia="Palatino Linotype" w:hAnsi="Palatino Linotype" w:cs="Palatino Linotype"/>
          <w:b/>
        </w:rPr>
        <w:t>,</w:t>
      </w:r>
      <w:r>
        <w:rPr>
          <w:rFonts w:ascii="Palatino Linotype" w:eastAsia="Palatino Linotype" w:hAnsi="Palatino Linotype" w:cs="Palatino Linotype"/>
        </w:rPr>
        <w:t xml:space="preserve"> que contiene el oficio sin número, de fecha diez de marzo de dos mil veintidós, signado por el Secretario del Ayuntamiento, mediante el cual informa que:</w:t>
      </w:r>
    </w:p>
    <w:p w:rsidR="00257869" w:rsidRDefault="0067250C">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721615" cy="2627951"/>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4664" t="21423" r="6143" b="54737"/>
                    <a:stretch>
                      <a:fillRect/>
                    </a:stretch>
                  </pic:blipFill>
                  <pic:spPr>
                    <a:xfrm>
                      <a:off x="0" y="0"/>
                      <a:ext cx="5721615" cy="2627951"/>
                    </a:xfrm>
                    <a:prstGeom prst="rect">
                      <a:avLst/>
                    </a:prstGeom>
                    <a:ln/>
                  </pic:spPr>
                </pic:pic>
              </a:graphicData>
            </a:graphic>
          </wp:inline>
        </w:drawing>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404D9F">
        <w:rPr>
          <w:rFonts w:ascii="Palatino Linotype" w:eastAsia="Palatino Linotype" w:hAnsi="Palatino Linotype" w:cs="Palatino Linotype"/>
          <w:b/>
        </w:rPr>
        <w:t>catorce</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w:t>
      </w:r>
      <w:r w:rsidR="00404D9F">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257869" w:rsidRDefault="0067250C">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257869" w:rsidRDefault="00257869">
      <w:pPr>
        <w:spacing w:line="360" w:lineRule="auto"/>
        <w:ind w:left="851" w:right="900"/>
        <w:jc w:val="both"/>
        <w:rPr>
          <w:rFonts w:ascii="Palatino Linotype" w:eastAsia="Palatino Linotype" w:hAnsi="Palatino Linotype" w:cs="Palatino Linotype"/>
          <w:i/>
          <w:sz w:val="2"/>
          <w:szCs w:val="2"/>
        </w:rPr>
      </w:pPr>
    </w:p>
    <w:p w:rsidR="00257869" w:rsidRDefault="0067250C">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“copias y </w:t>
      </w:r>
      <w:proofErr w:type="spellStart"/>
      <w:r>
        <w:rPr>
          <w:rFonts w:ascii="Palatino Linotype" w:eastAsia="Palatino Linotype" w:hAnsi="Palatino Linotype" w:cs="Palatino Linotype"/>
          <w:i/>
          <w:sz w:val="22"/>
          <w:szCs w:val="22"/>
        </w:rPr>
        <w:t>relacion</w:t>
      </w:r>
      <w:proofErr w:type="spellEnd"/>
      <w:r>
        <w:rPr>
          <w:rFonts w:ascii="Palatino Linotype" w:eastAsia="Palatino Linotype" w:hAnsi="Palatino Linotype" w:cs="Palatino Linotype"/>
          <w:i/>
          <w:sz w:val="22"/>
          <w:szCs w:val="22"/>
        </w:rPr>
        <w:t xml:space="preserve"> de todas las cartillas militares que sean tramitado en el municipio de </w:t>
      </w:r>
      <w:proofErr w:type="spellStart"/>
      <w:r>
        <w:rPr>
          <w:rFonts w:ascii="Palatino Linotype" w:eastAsia="Palatino Linotype" w:hAnsi="Palatino Linotype" w:cs="Palatino Linotype"/>
          <w:i/>
          <w:sz w:val="22"/>
          <w:szCs w:val="22"/>
        </w:rPr>
        <w:t>Temamatla</w:t>
      </w:r>
      <w:proofErr w:type="spellEnd"/>
      <w:r>
        <w:rPr>
          <w:rFonts w:ascii="Palatino Linotype" w:eastAsia="Palatino Linotype" w:hAnsi="Palatino Linotype" w:cs="Palatino Linotype"/>
          <w:i/>
          <w:sz w:val="22"/>
          <w:szCs w:val="22"/>
        </w:rPr>
        <w:t xml:space="preserve"> del año 2015 al año 2022.”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257869" w:rsidRDefault="00257869">
      <w:pPr>
        <w:spacing w:line="360" w:lineRule="auto"/>
        <w:jc w:val="both"/>
        <w:rPr>
          <w:rFonts w:ascii="Palatino Linotype" w:eastAsia="Palatino Linotype" w:hAnsi="Palatino Linotype" w:cs="Palatino Linotype"/>
          <w:sz w:val="2"/>
          <w:szCs w:val="2"/>
        </w:rPr>
      </w:pPr>
    </w:p>
    <w:p w:rsidR="00257869" w:rsidRDefault="00257869">
      <w:pPr>
        <w:spacing w:line="360" w:lineRule="auto"/>
        <w:jc w:val="both"/>
        <w:rPr>
          <w:rFonts w:ascii="Palatino Linotype" w:eastAsia="Palatino Linotype" w:hAnsi="Palatino Linotype" w:cs="Palatino Linotype"/>
          <w:b/>
          <w:sz w:val="14"/>
          <w:szCs w:val="14"/>
        </w:rPr>
      </w:pPr>
    </w:p>
    <w:p w:rsidR="00257869" w:rsidRDefault="0067250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257869" w:rsidRDefault="00257869">
      <w:pPr>
        <w:spacing w:line="360" w:lineRule="auto"/>
        <w:jc w:val="both"/>
        <w:rPr>
          <w:rFonts w:ascii="Palatino Linotype" w:eastAsia="Palatino Linotype" w:hAnsi="Palatino Linotype" w:cs="Palatino Linotype"/>
          <w:sz w:val="2"/>
          <w:szCs w:val="2"/>
        </w:rPr>
      </w:pPr>
    </w:p>
    <w:p w:rsidR="00257869" w:rsidRDefault="0067250C">
      <w:pPr>
        <w:ind w:left="851"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“LA NEGATIVA A LA INFORMACION SOLICITADA.”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257869" w:rsidRDefault="0067250C">
      <w:pPr>
        <w:spacing w:before="240" w:after="240" w:line="360" w:lineRule="auto"/>
        <w:ind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lastRenderedPageBreak/>
        <w:t xml:space="preserve">Anexos: </w:t>
      </w:r>
      <w:r w:rsidR="00CF0DE6">
        <w:rPr>
          <w:rFonts w:ascii="Palatino Linotype" w:eastAsia="Palatino Linotype" w:hAnsi="Palatino Linotype" w:cs="Palatino Linotype"/>
        </w:rPr>
        <w:t xml:space="preserve">El </w:t>
      </w:r>
      <w:r w:rsidR="00CF0DE6" w:rsidRPr="00CF0DE6">
        <w:rPr>
          <w:rFonts w:ascii="Palatino Linotype" w:eastAsia="Palatino Linotype" w:hAnsi="Palatino Linotype" w:cs="Palatino Linotype"/>
          <w:b/>
        </w:rPr>
        <w:t>R</w:t>
      </w:r>
      <w:r w:rsidRPr="00CF0DE6">
        <w:rPr>
          <w:rFonts w:ascii="Palatino Linotype" w:eastAsia="Palatino Linotype" w:hAnsi="Palatino Linotype" w:cs="Palatino Linotype"/>
          <w:b/>
        </w:rPr>
        <w:t xml:space="preserve">ecurrente </w:t>
      </w:r>
      <w:r>
        <w:rPr>
          <w:rFonts w:ascii="Palatino Linotype" w:eastAsia="Palatino Linotype" w:hAnsi="Palatino Linotype" w:cs="Palatino Linotype"/>
        </w:rPr>
        <w:t xml:space="preserve">no adjuntó archivos. </w:t>
      </w:r>
    </w:p>
    <w:p w:rsidR="00257869" w:rsidRPr="00404D9F"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w:t>
      </w:r>
      <w:r w:rsidRPr="00404D9F">
        <w:rPr>
          <w:rFonts w:ascii="Palatino Linotype" w:eastAsia="Palatino Linotype" w:hAnsi="Palatino Linotype" w:cs="Palatino Linotype"/>
        </w:rPr>
        <w:t xml:space="preserve">su </w:t>
      </w:r>
      <w:proofErr w:type="spellStart"/>
      <w:r w:rsidRPr="00404D9F">
        <w:rPr>
          <w:rFonts w:ascii="Palatino Linotype" w:eastAsia="Palatino Linotype" w:hAnsi="Palatino Linotype" w:cs="Palatino Linotype"/>
        </w:rPr>
        <w:t>desechamiento</w:t>
      </w:r>
      <w:proofErr w:type="spellEnd"/>
      <w:r w:rsidRPr="00404D9F">
        <w:rPr>
          <w:rFonts w:ascii="Palatino Linotype" w:eastAsia="Palatino Linotype" w:hAnsi="Palatino Linotype" w:cs="Palatino Linotype"/>
        </w:rPr>
        <w:t>.</w:t>
      </w:r>
    </w:p>
    <w:p w:rsidR="00257869" w:rsidRDefault="0067250C">
      <w:pPr>
        <w:spacing w:before="240" w:after="240" w:line="360" w:lineRule="auto"/>
        <w:jc w:val="both"/>
        <w:rPr>
          <w:rFonts w:ascii="Palatino Linotype" w:eastAsia="Palatino Linotype" w:hAnsi="Palatino Linotype" w:cs="Palatino Linotype"/>
        </w:rPr>
      </w:pPr>
      <w:r w:rsidRPr="00404D9F">
        <w:rPr>
          <w:rFonts w:ascii="Palatino Linotype" w:eastAsia="Palatino Linotype" w:hAnsi="Palatino Linotype" w:cs="Palatino Linotype"/>
          <w:b/>
          <w:i/>
        </w:rPr>
        <w:t xml:space="preserve">5. </w:t>
      </w:r>
      <w:r w:rsidRPr="00404D9F">
        <w:rPr>
          <w:rFonts w:ascii="Palatino Linotype" w:eastAsia="Palatino Linotype" w:hAnsi="Palatino Linotype" w:cs="Palatino Linotype"/>
          <w:b/>
        </w:rPr>
        <w:t>Admisión del Recurso de revisión.</w:t>
      </w:r>
      <w:r w:rsidRPr="00404D9F">
        <w:rPr>
          <w:rFonts w:ascii="Palatino Linotype" w:eastAsia="Palatino Linotype" w:hAnsi="Palatino Linotype" w:cs="Palatino Linotype"/>
          <w:sz w:val="28"/>
          <w:szCs w:val="28"/>
        </w:rPr>
        <w:t xml:space="preserve"> </w:t>
      </w:r>
      <w:r w:rsidRPr="00404D9F">
        <w:rPr>
          <w:rFonts w:ascii="Palatino Linotype" w:eastAsia="Palatino Linotype" w:hAnsi="Palatino Linotype" w:cs="Palatino Linotype"/>
        </w:rPr>
        <w:t>Con fecha</w:t>
      </w:r>
      <w:r w:rsidRPr="00404D9F">
        <w:rPr>
          <w:rFonts w:ascii="Palatino Linotype" w:eastAsia="Palatino Linotype" w:hAnsi="Palatino Linotype" w:cs="Palatino Linotype"/>
          <w:b/>
        </w:rPr>
        <w:t xml:space="preserve"> </w:t>
      </w:r>
      <w:r w:rsidR="00404D9F" w:rsidRPr="00404D9F">
        <w:rPr>
          <w:rFonts w:ascii="Palatino Linotype" w:eastAsia="Palatino Linotype" w:hAnsi="Palatino Linotype" w:cs="Palatino Linotype"/>
          <w:b/>
        </w:rPr>
        <w:t>diecisiete</w:t>
      </w:r>
      <w:r w:rsidR="00404D9F">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257869" w:rsidRDefault="006725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fecha </w:t>
      </w:r>
      <w:r w:rsidRPr="00CD7190">
        <w:rPr>
          <w:rFonts w:ascii="Palatino Linotype" w:eastAsia="Palatino Linotype" w:hAnsi="Palatino Linotype" w:cs="Palatino Linotype"/>
          <w:b/>
        </w:rPr>
        <w:t>veintitrés de marzo del presente año</w:t>
      </w:r>
      <w:r>
        <w:rPr>
          <w:rFonts w:ascii="Palatino Linotype" w:eastAsia="Palatino Linotype" w:hAnsi="Palatino Linotype" w:cs="Palatino Linotype"/>
        </w:rPr>
        <w:t xml:space="preserve">,  rindió informe justificado, mediante el  cual adjunta nuevamente el documento remitido en respuesta: </w:t>
      </w:r>
      <w:r>
        <w:rPr>
          <w:rFonts w:ascii="Palatino Linotype" w:eastAsia="Palatino Linotype" w:hAnsi="Palatino Linotype" w:cs="Palatino Linotype"/>
          <w:b/>
          <w:i/>
        </w:rPr>
        <w:t>“SOL 00031 00035 00063 00064 00077 00079 00089 00112 SRIA AYUNTAMIENTO.pdf”.</w:t>
      </w:r>
    </w:p>
    <w:p w:rsidR="00257869" w:rsidRDefault="006725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CD7190">
        <w:rPr>
          <w:rFonts w:ascii="Palatino Linotype" w:eastAsia="Palatino Linotype" w:hAnsi="Palatino Linotype" w:cs="Palatino Linotype"/>
        </w:rPr>
        <w:t xml:space="preserve">l cual fue puesto a la vista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veinticuatro de mayo de dos mil veintidós, siendo importante señalar que </w:t>
      </w:r>
      <w:r w:rsidR="00CD7190">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rsidR="00257869" w:rsidRDefault="0067250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dieciséis de mayo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rsidR="00257869" w:rsidRDefault="006725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highlight w:val="white"/>
        </w:rPr>
        <w:t>treinta y uno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257869" w:rsidRDefault="0067250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57869" w:rsidRDefault="0067250C">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CF0DE6">
        <w:rPr>
          <w:rFonts w:ascii="Palatino Linotype" w:eastAsia="Palatino Linotype" w:hAnsi="Palatino Linotype" w:cs="Palatino Linotype"/>
        </w:rPr>
        <w:t xml:space="preserve">el </w:t>
      </w:r>
      <w:r w:rsidR="00CF0DE6" w:rsidRPr="00CF0DE6">
        <w:rPr>
          <w:rFonts w:ascii="Palatino Linotype" w:eastAsia="Palatino Linotype" w:hAnsi="Palatino Linotype" w:cs="Palatino Linotype"/>
          <w:b/>
        </w:rPr>
        <w:t>R</w:t>
      </w:r>
      <w:r w:rsidRPr="00CF0DE6">
        <w:rPr>
          <w:rFonts w:ascii="Palatino Linotype" w:eastAsia="Palatino Linotype" w:hAnsi="Palatino Linotype" w:cs="Palatino Linotype"/>
          <w:b/>
        </w:rPr>
        <w:t>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257869" w:rsidRDefault="0067250C">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doce de marzo de dos mil veintidós, </w:t>
      </w:r>
      <w:r>
        <w:rPr>
          <w:rFonts w:ascii="Palatino Linotype" w:eastAsia="Palatino Linotype" w:hAnsi="Palatino Linotype" w:cs="Palatino Linotype"/>
        </w:rPr>
        <w:t xml:space="preserve">mientras que el recurso de revisión interpuesto por </w:t>
      </w:r>
      <w:r w:rsidR="00CF0DE6">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trece de marzo de dos mil veintidós</w:t>
      </w:r>
      <w:r>
        <w:rPr>
          <w:rFonts w:ascii="Palatino Linotype" w:eastAsia="Palatino Linotype" w:hAnsi="Palatino Linotype" w:cs="Palatino Linotype"/>
        </w:rPr>
        <w:t>, esto es, al siguiente día hábil posterior en que tuvo conocimiento de la respuesta impugnada.</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 I del ordenamiento legal citado, que a la letra dice: </w:t>
      </w:r>
    </w:p>
    <w:p w:rsidR="00257869" w:rsidRDefault="0067250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257869" w:rsidRDefault="0067250C">
      <w:pPr>
        <w:numPr>
          <w:ilvl w:val="0"/>
          <w:numId w:val="2"/>
        </w:numPr>
        <w:pBdr>
          <w:top w:val="nil"/>
          <w:left w:val="nil"/>
          <w:bottom w:val="nil"/>
          <w:right w:val="nil"/>
          <w:between w:val="nil"/>
        </w:pBdr>
        <w:spacing w:before="120"/>
        <w:ind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rsidR="00257869" w:rsidRDefault="00257869">
      <w:pPr>
        <w:pBdr>
          <w:top w:val="nil"/>
          <w:left w:val="nil"/>
          <w:bottom w:val="nil"/>
          <w:right w:val="nil"/>
          <w:between w:val="nil"/>
        </w:pBdr>
        <w:spacing w:after="120"/>
        <w:ind w:left="1854" w:right="902"/>
        <w:jc w:val="both"/>
        <w:rPr>
          <w:rFonts w:ascii="Palatino Linotype" w:eastAsia="Palatino Linotype" w:hAnsi="Palatino Linotype" w:cs="Palatino Linotype"/>
          <w:i/>
          <w:color w:val="000000"/>
          <w:sz w:val="22"/>
          <w:szCs w:val="22"/>
        </w:rPr>
      </w:pPr>
    </w:p>
    <w:p w:rsidR="00257869" w:rsidRDefault="0067250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proofErr w:type="gramStart"/>
      <w:r w:rsidR="00CF0DE6">
        <w:rPr>
          <w:rFonts w:ascii="Palatino Linotype" w:eastAsia="Palatino Linotype" w:hAnsi="Palatino Linotype" w:cs="Palatino Linotype"/>
        </w:rPr>
        <w:t xml:space="preserve">del </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proofErr w:type="gramEnd"/>
      <w:r>
        <w:rPr>
          <w:rFonts w:ascii="Palatino Linotype" w:eastAsia="Palatino Linotype" w:hAnsi="Palatino Linotype" w:cs="Palatino Linotype"/>
        </w:rPr>
        <w:t>, o en su defecto, en caso de ser procedente, ordenar la entrega de información oportuna.</w:t>
      </w:r>
    </w:p>
    <w:p w:rsidR="00257869" w:rsidRDefault="0067250C">
      <w:pPr>
        <w:tabs>
          <w:tab w:val="left" w:pos="1134"/>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Del análisis de la so</w:t>
      </w:r>
      <w:r w:rsidR="00E069FF">
        <w:rPr>
          <w:rFonts w:ascii="Palatino Linotype" w:eastAsia="Palatino Linotype" w:hAnsi="Palatino Linotype" w:cs="Palatino Linotype"/>
        </w:rPr>
        <w:t>licitud de información motivo</w:t>
      </w:r>
      <w:r>
        <w:rPr>
          <w:rFonts w:ascii="Palatino Linotype" w:eastAsia="Palatino Linotype" w:hAnsi="Palatino Linotype" w:cs="Palatino Linotype"/>
        </w:rPr>
        <w:t xml:space="preserve"> </w:t>
      </w:r>
      <w:r w:rsidR="00CD7190" w:rsidRPr="00E069FF">
        <w:rPr>
          <w:rFonts w:ascii="Palatino Linotype" w:eastAsia="Palatino Linotype" w:hAnsi="Palatino Linotype" w:cs="Palatino Linotype"/>
        </w:rPr>
        <w:t>el recurso</w:t>
      </w:r>
      <w:r w:rsidRPr="00E069FF">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revisión que ahora se resuelve se advierte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proporcione información, consistente en lo siguiente:</w:t>
      </w:r>
    </w:p>
    <w:p w:rsidR="00257869" w:rsidRDefault="0067250C">
      <w:pPr>
        <w:numPr>
          <w:ilvl w:val="0"/>
          <w:numId w:val="3"/>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Copias y relación de todas las cartillas militares que sean tramitado en el municipio de </w:t>
      </w:r>
      <w:proofErr w:type="spellStart"/>
      <w:r>
        <w:rPr>
          <w:rFonts w:ascii="Palatino Linotype" w:eastAsia="Palatino Linotype" w:hAnsi="Palatino Linotype" w:cs="Palatino Linotype"/>
          <w:color w:val="000000"/>
        </w:rPr>
        <w:t>Temamatla</w:t>
      </w:r>
      <w:proofErr w:type="spellEnd"/>
      <w:r>
        <w:rPr>
          <w:rFonts w:ascii="Palatino Linotype" w:eastAsia="Palatino Linotype" w:hAnsi="Palatino Linotype" w:cs="Palatino Linotype"/>
          <w:color w:val="000000"/>
        </w:rPr>
        <w:t xml:space="preserve"> del año 2015 al año 2022.” (sic)</w:t>
      </w:r>
    </w:p>
    <w:p w:rsidR="00257869" w:rsidRDefault="0067250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Unidad de Transparencia, hizo del conocimiento del particular el pronunciamiento vertido por el Secretario del </w:t>
      </w:r>
      <w:r>
        <w:rPr>
          <w:rFonts w:ascii="Palatino Linotype" w:eastAsia="Palatino Linotype" w:hAnsi="Palatino Linotype" w:cs="Palatino Linotype"/>
        </w:rPr>
        <w:lastRenderedPageBreak/>
        <w:t xml:space="preserve">Ayuntamiento, quien manifestó que la Secretaría del Ayuntamiento está impedida por ley, ya que solo coadyuva con la SEDENA en las actividades de la expedición y trámite de las cartillas militares, no siendo función de esta a mi cargo, así como tampoco facultad histórica de archivo, priorizando que la protección de datos personales que las mismas contienen, probablemente rebasan las facultades de informe. </w:t>
      </w:r>
    </w:p>
    <w:p w:rsidR="00257869" w:rsidRDefault="0067250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al no estar conforme con los términos de la respuesta emitida, el particular presentó el recurso de revisión que nos ocupa, mediante el cual señaló como motivos de inconformidad, en lo conducente, “LA NEGATIVA A LA INFORMACION SOLICITADA.” (</w:t>
      </w:r>
      <w:proofErr w:type="gramStart"/>
      <w:r>
        <w:rPr>
          <w:rFonts w:ascii="Palatino Linotype" w:eastAsia="Palatino Linotype" w:hAnsi="Palatino Linotype" w:cs="Palatino Linotype"/>
        </w:rPr>
        <w:t>sic</w:t>
      </w:r>
      <w:proofErr w:type="gramEnd"/>
      <w:r>
        <w:rPr>
          <w:rFonts w:ascii="Palatino Linotype" w:eastAsia="Palatino Linotype" w:hAnsi="Palatino Linotype" w:cs="Palatino Linotype"/>
        </w:rPr>
        <w:t>).</w:t>
      </w:r>
    </w:p>
    <w:p w:rsidR="00257869" w:rsidRDefault="0067250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Una vez 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advirtiendo que el </w:t>
      </w:r>
      <w:r>
        <w:rPr>
          <w:rFonts w:ascii="Palatino Linotype" w:eastAsia="Palatino Linotype" w:hAnsi="Palatino Linotype" w:cs="Palatino Linotype"/>
          <w:b/>
        </w:rPr>
        <w:t>Sujeto Obligado</w:t>
      </w:r>
      <w:r>
        <w:rPr>
          <w:rFonts w:ascii="Palatino Linotype" w:eastAsia="Palatino Linotype" w:hAnsi="Palatino Linotype" w:cs="Palatino Linotype"/>
        </w:rPr>
        <w:t>, envió respuesta idéntica a la respuesta primigenia.</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base en la materia de la solicitud, es oportuno referir que, en términos de </w:t>
      </w:r>
      <w:proofErr w:type="spellStart"/>
      <w:r>
        <w:rPr>
          <w:rFonts w:ascii="Palatino Linotype" w:eastAsia="Palatino Linotype" w:hAnsi="Palatino Linotype" w:cs="Palatino Linotype"/>
        </w:rPr>
        <w:t>de</w:t>
      </w:r>
      <w:proofErr w:type="spellEnd"/>
      <w:r>
        <w:rPr>
          <w:rFonts w:ascii="Palatino Linotype" w:eastAsia="Palatino Linotype" w:hAnsi="Palatino Linotype" w:cs="Palatino Linotype"/>
        </w:rPr>
        <w:t xml:space="preserve"> la fracción I del artículo 31 de la Constitución Política de los Estados Unidos Mexicanos, son obligaciones de los mexicanos, ser responsables de que sus hijas, hijos o pupilos menores de dieciocho años concurran a las escuelas, para recibir la educación obligatoria y, en su caso, reciban la militar, en los términos que establezca </w:t>
      </w:r>
      <w:r>
        <w:rPr>
          <w:rFonts w:ascii="Palatino Linotype" w:eastAsia="Palatino Linotype" w:hAnsi="Palatino Linotype" w:cs="Palatino Linotype"/>
        </w:rPr>
        <w:lastRenderedPageBreak/>
        <w:t>la ley, así como participar en su proceso educativo, al revisar su progreso y desempeño, velando siempre por su bienestar y desarrollo.</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11 de la Ley del Servicio Militar prevé, como obligación de los mexicanos de edad militar, la de inscribirse en las </w:t>
      </w:r>
      <w:r>
        <w:rPr>
          <w:rFonts w:ascii="Palatino Linotype" w:eastAsia="Palatino Linotype" w:hAnsi="Palatino Linotype" w:cs="Palatino Linotype"/>
          <w:i/>
        </w:rPr>
        <w:t xml:space="preserve">Juntas Municipales, </w:t>
      </w:r>
      <w:r>
        <w:rPr>
          <w:rFonts w:ascii="Palatino Linotype" w:eastAsia="Palatino Linotype" w:hAnsi="Palatino Linotype" w:cs="Palatino Linotype"/>
        </w:rPr>
        <w:t xml:space="preserve">o en nuestros consulados en el extranjero, en las fechas que designe la Defensa Nacional. </w:t>
      </w:r>
    </w:p>
    <w:p w:rsidR="00257869" w:rsidRDefault="0067250C">
      <w:pPr>
        <w:tabs>
          <w:tab w:val="left" w:pos="426"/>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los artículos 34, 38, 42 y 44 del ordenamiento legal en estudio, señalan lo siguiente:</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ARTICULO 34.- Las operaciones preliminares de la conscripción, estarán a cargo de:</w:t>
      </w:r>
    </w:p>
    <w:p w:rsidR="00257869" w:rsidRDefault="0067250C">
      <w:pPr>
        <w:pBdr>
          <w:top w:val="nil"/>
          <w:left w:val="nil"/>
          <w:bottom w:val="nil"/>
          <w:right w:val="nil"/>
          <w:between w:val="nil"/>
        </w:pBdr>
        <w:tabs>
          <w:tab w:val="left" w:pos="426"/>
        </w:tabs>
        <w:spacing w:before="120" w:after="12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i/>
          <w:color w:val="000000"/>
          <w:sz w:val="22"/>
          <w:szCs w:val="22"/>
        </w:rPr>
        <w:t xml:space="preserve"> La Oficina Central de Reclutamiento, dependiente de la Secretaría de la Defensa Nacional. </w:t>
      </w:r>
    </w:p>
    <w:p w:rsidR="00257869" w:rsidRDefault="0067250C">
      <w:pPr>
        <w:pBdr>
          <w:top w:val="nil"/>
          <w:left w:val="nil"/>
          <w:bottom w:val="nil"/>
          <w:right w:val="nil"/>
          <w:between w:val="nil"/>
        </w:pBdr>
        <w:tabs>
          <w:tab w:val="left" w:pos="426"/>
        </w:tabs>
        <w:spacing w:before="120" w:after="12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b).-</w:t>
      </w:r>
      <w:r>
        <w:rPr>
          <w:rFonts w:ascii="Palatino Linotype" w:eastAsia="Palatino Linotype" w:hAnsi="Palatino Linotype" w:cs="Palatino Linotype"/>
          <w:i/>
          <w:color w:val="000000"/>
          <w:sz w:val="22"/>
          <w:szCs w:val="22"/>
        </w:rPr>
        <w:t xml:space="preserve"> Las Oficinas de Reclutamiento de Zona Militar. </w:t>
      </w:r>
    </w:p>
    <w:p w:rsidR="00257869" w:rsidRDefault="0067250C">
      <w:pPr>
        <w:pBdr>
          <w:top w:val="nil"/>
          <w:left w:val="nil"/>
          <w:bottom w:val="nil"/>
          <w:right w:val="nil"/>
          <w:between w:val="nil"/>
        </w:pBdr>
        <w:tabs>
          <w:tab w:val="left" w:pos="426"/>
        </w:tabs>
        <w:spacing w:before="120" w:after="12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w:t>
      </w:r>
      <w:r>
        <w:rPr>
          <w:rFonts w:ascii="Palatino Linotype" w:eastAsia="Palatino Linotype" w:hAnsi="Palatino Linotype" w:cs="Palatino Linotype"/>
          <w:i/>
          <w:color w:val="000000"/>
          <w:sz w:val="22"/>
          <w:szCs w:val="22"/>
        </w:rPr>
        <w:t xml:space="preserve"> Las Oficinas de Reclutamiento de Sector Militar. </w:t>
      </w:r>
    </w:p>
    <w:p w:rsidR="00257869" w:rsidRDefault="0067250C">
      <w:pPr>
        <w:pBdr>
          <w:top w:val="nil"/>
          <w:left w:val="nil"/>
          <w:bottom w:val="nil"/>
          <w:right w:val="nil"/>
          <w:between w:val="nil"/>
        </w:pBdr>
        <w:tabs>
          <w:tab w:val="left" w:pos="426"/>
        </w:tabs>
        <w:spacing w:before="120" w:after="120"/>
        <w:ind w:left="1134"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 Las Juntas Municipales de Reclutamiento. </w:t>
      </w:r>
    </w:p>
    <w:p w:rsidR="00257869" w:rsidRDefault="0067250C">
      <w:pPr>
        <w:pBdr>
          <w:top w:val="nil"/>
          <w:left w:val="nil"/>
          <w:bottom w:val="nil"/>
          <w:right w:val="nil"/>
          <w:between w:val="nil"/>
        </w:pBdr>
        <w:tabs>
          <w:tab w:val="left" w:pos="426"/>
        </w:tabs>
        <w:spacing w:before="120" w:after="120"/>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w:t>
      </w:r>
      <w:r>
        <w:rPr>
          <w:rFonts w:ascii="Palatino Linotype" w:eastAsia="Palatino Linotype" w:hAnsi="Palatino Linotype" w:cs="Palatino Linotype"/>
          <w:i/>
          <w:color w:val="000000"/>
          <w:sz w:val="22"/>
          <w:szCs w:val="22"/>
        </w:rPr>
        <w:t xml:space="preserve"> Los Consulados mexicanos en el extranjero.”</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22"/>
          <w:szCs w:val="22"/>
        </w:rPr>
        <w:t>ARTICULO 37.- La Oficina de reclutamiento de sector dependerá del Jefe del Sector</w:t>
      </w:r>
      <w:r>
        <w:rPr>
          <w:rFonts w:ascii="Palatino Linotype" w:eastAsia="Palatino Linotype" w:hAnsi="Palatino Linotype" w:cs="Palatino Linotype"/>
          <w:i/>
          <w:color w:val="000000"/>
          <w:sz w:val="22"/>
          <w:szCs w:val="22"/>
        </w:rPr>
        <w:t xml:space="preserve"> correspondiente y </w:t>
      </w:r>
      <w:r>
        <w:rPr>
          <w:rFonts w:ascii="Palatino Linotype" w:eastAsia="Palatino Linotype" w:hAnsi="Palatino Linotype" w:cs="Palatino Linotype"/>
          <w:b/>
          <w:i/>
          <w:color w:val="000000"/>
          <w:sz w:val="22"/>
          <w:szCs w:val="22"/>
        </w:rPr>
        <w:t>estará constituida por el personal militar que designe la Oficina Central de Reclutamiento</w:t>
      </w:r>
      <w:r>
        <w:rPr>
          <w:rFonts w:ascii="Palatino Linotype" w:eastAsia="Palatino Linotype" w:hAnsi="Palatino Linotype" w:cs="Palatino Linotype"/>
          <w:i/>
          <w:color w:val="000000"/>
          <w:sz w:val="22"/>
          <w:szCs w:val="22"/>
        </w:rPr>
        <w:t>, y tantos representantes civiles como municipales comprende el sector.”</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ARTICULO 38.- Las Juntas Municipales de Reclutamiento, quedarán constituidas por el Presidente Municipal, un regidor y tres vecinos caracterizados nombrados por el Jefe del Sector</w:t>
      </w:r>
      <w:r>
        <w:rPr>
          <w:rFonts w:ascii="Palatino Linotype" w:eastAsia="Palatino Linotype" w:hAnsi="Palatino Linotype" w:cs="Palatino Linotype"/>
          <w:i/>
          <w:color w:val="000000"/>
          <w:sz w:val="22"/>
          <w:szCs w:val="22"/>
        </w:rPr>
        <w:t>”</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ARTICULO 42.- Las Juntas Municipales de Reclutamiento, tendrán a su cargo principalmente el </w:t>
      </w:r>
      <w:r>
        <w:rPr>
          <w:rFonts w:ascii="Palatino Linotype" w:eastAsia="Palatino Linotype" w:hAnsi="Palatino Linotype" w:cs="Palatino Linotype"/>
          <w:b/>
          <w:i/>
          <w:color w:val="000000"/>
          <w:sz w:val="22"/>
          <w:szCs w:val="22"/>
          <w:u w:val="single"/>
        </w:rPr>
        <w:t>empadronamiento</w:t>
      </w:r>
      <w:r>
        <w:rPr>
          <w:rFonts w:ascii="Palatino Linotype" w:eastAsia="Palatino Linotype" w:hAnsi="Palatino Linotype" w:cs="Palatino Linotype"/>
          <w:b/>
          <w:i/>
          <w:color w:val="000000"/>
          <w:sz w:val="22"/>
          <w:szCs w:val="22"/>
        </w:rPr>
        <w:t xml:space="preserve"> de todos los individuos de edad militar</w:t>
      </w:r>
      <w:r>
        <w:rPr>
          <w:rFonts w:ascii="Palatino Linotype" w:eastAsia="Palatino Linotype" w:hAnsi="Palatino Linotype" w:cs="Palatino Linotype"/>
          <w:i/>
          <w:color w:val="000000"/>
          <w:sz w:val="22"/>
          <w:szCs w:val="22"/>
        </w:rPr>
        <w:t xml:space="preserve"> y el reconocimiento médico, recibir todas las reclamaciones y solicitudes, turnándolas con un informe a la Oficina de Reclutamiento de Sector; una vez recibidas las listas aprobadas de la Oficina de Zona, mandarlas publicar y proceder a hacer el sorteo dando a conocer a los interesados su designación, </w:t>
      </w:r>
      <w:r>
        <w:rPr>
          <w:rFonts w:ascii="Palatino Linotype" w:eastAsia="Palatino Linotype" w:hAnsi="Palatino Linotype" w:cs="Palatino Linotype"/>
          <w:i/>
          <w:color w:val="000000"/>
          <w:sz w:val="22"/>
          <w:szCs w:val="22"/>
        </w:rPr>
        <w:lastRenderedPageBreak/>
        <w:t>obligaciones y delitos y faltas en que incurren por actos contrarios u omisiones a esta Ley y su Reglamento. Una vez verificado lo anterior, reunirá y presentará a las autoridades militares encargadas de recibir a los conscriptos en el lugar, día y hora que se designe y finalmente, hará cumplir con las disposiciones de esta Ley su Reglamento (sic) a los individuos que no vayan a prestar servicios en el activo.”</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257869" w:rsidRDefault="0067250C">
      <w:pPr>
        <w:pBdr>
          <w:top w:val="nil"/>
          <w:left w:val="nil"/>
          <w:bottom w:val="nil"/>
          <w:right w:val="nil"/>
          <w:between w:val="nil"/>
        </w:pBdr>
        <w:tabs>
          <w:tab w:val="left" w:pos="426"/>
        </w:tabs>
        <w:spacing w:before="120" w:after="120"/>
        <w:ind w:left="851" w:right="851"/>
        <w:jc w:val="both"/>
        <w:rPr>
          <w:rFonts w:ascii="Palatino Linotype" w:eastAsia="Palatino Linotype" w:hAnsi="Palatino Linotype" w:cs="Palatino Linotype"/>
          <w:i/>
          <w:color w:val="000000"/>
          <w:sz w:val="22"/>
          <w:szCs w:val="22"/>
        </w:rPr>
      </w:pPr>
      <w:proofErr w:type="gramStart"/>
      <w:r>
        <w:rPr>
          <w:rFonts w:ascii="Palatino Linotype" w:eastAsia="Palatino Linotype" w:hAnsi="Palatino Linotype" w:cs="Palatino Linotype"/>
          <w:b/>
          <w:i/>
          <w:color w:val="000000"/>
          <w:sz w:val="22"/>
          <w:szCs w:val="22"/>
        </w:rPr>
        <w:t>ARTICULO</w:t>
      </w:r>
      <w:proofErr w:type="gramEnd"/>
      <w:r>
        <w:rPr>
          <w:rFonts w:ascii="Palatino Linotype" w:eastAsia="Palatino Linotype" w:hAnsi="Palatino Linotype" w:cs="Palatino Linotype"/>
          <w:b/>
          <w:i/>
          <w:color w:val="000000"/>
          <w:sz w:val="22"/>
          <w:szCs w:val="22"/>
        </w:rPr>
        <w:t xml:space="preserve"> 44.-</w:t>
      </w:r>
      <w:r>
        <w:rPr>
          <w:rFonts w:ascii="Palatino Linotype" w:eastAsia="Palatino Linotype" w:hAnsi="Palatino Linotype" w:cs="Palatino Linotype"/>
          <w:i/>
          <w:color w:val="000000"/>
          <w:sz w:val="22"/>
          <w:szCs w:val="22"/>
        </w:rPr>
        <w:t xml:space="preserve"> Independientemente de la obligación que tienen todos los mexicanos de edad militar de inscribirse, </w:t>
      </w:r>
      <w:r>
        <w:rPr>
          <w:rFonts w:ascii="Palatino Linotype" w:eastAsia="Palatino Linotype" w:hAnsi="Palatino Linotype" w:cs="Palatino Linotype"/>
          <w:b/>
          <w:i/>
          <w:color w:val="000000"/>
          <w:sz w:val="22"/>
          <w:szCs w:val="22"/>
        </w:rPr>
        <w:t>los empadronadores nombrados por las Juntas Municipales de Reclutamiento levantarán el censo respectivo en las manzanas o sectores de su jurisdicción cada año. Los datos que se obtengan de ese censo, serán concentrados a las Juntas Municipales de Reclutamiento.</w:t>
      </w:r>
      <w:r>
        <w:rPr>
          <w:rFonts w:ascii="Palatino Linotype" w:eastAsia="Palatino Linotype" w:hAnsi="Palatino Linotype" w:cs="Palatino Linotype"/>
          <w:i/>
          <w:color w:val="000000"/>
          <w:sz w:val="22"/>
          <w:szCs w:val="22"/>
        </w:rPr>
        <w:t>”</w:t>
      </w:r>
    </w:p>
    <w:p w:rsidR="00257869" w:rsidRDefault="0067250C">
      <w:pP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Juntas Municipales de Reclutamiento se integran por el Presidente Municipal, un Regidor y tres ciudadanos nombrados por el Jefe de Sector, y estarán a cargo del empadronamiento de todos los individuos de edad militar y nombrar empadronadores que levanten, anualmente, el censo respectivo en las manzanas o sectores de su jurisdicción, a efecto de que los datos recabados sean concentrados en la Junta.</w:t>
      </w:r>
    </w:p>
    <w:p w:rsidR="00257869" w:rsidRDefault="0067250C">
      <w:pP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artículos 17 y 18 del Reglamento de la Ley del Servicio Militar, establecen lo siguiente:</w:t>
      </w:r>
    </w:p>
    <w:p w:rsidR="00257869" w:rsidRDefault="0067250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xml:space="preserve">- La inscripción de cada mexicano se hará una sola vez, </w:t>
      </w:r>
      <w:r>
        <w:rPr>
          <w:rFonts w:ascii="Palatino Linotype" w:eastAsia="Palatino Linotype" w:hAnsi="Palatino Linotype" w:cs="Palatino Linotype"/>
          <w:b/>
          <w:i/>
          <w:sz w:val="22"/>
          <w:szCs w:val="22"/>
        </w:rPr>
        <w:t>entregándole gratuitamente una cartilla de identificación</w:t>
      </w:r>
      <w:r>
        <w:rPr>
          <w:rFonts w:ascii="Palatino Linotype" w:eastAsia="Palatino Linotype" w:hAnsi="Palatino Linotype" w:cs="Palatino Linotype"/>
          <w:i/>
          <w:sz w:val="22"/>
          <w:szCs w:val="22"/>
        </w:rPr>
        <w:t xml:space="preserve"> según modelo número uno.</w:t>
      </w:r>
    </w:p>
    <w:p w:rsidR="00257869" w:rsidRDefault="0067250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Una vez hecha la inscripción ante las </w:t>
      </w:r>
      <w:r>
        <w:rPr>
          <w:rFonts w:ascii="Palatino Linotype" w:eastAsia="Palatino Linotype" w:hAnsi="Palatino Linotype" w:cs="Palatino Linotype"/>
          <w:b/>
          <w:i/>
          <w:sz w:val="22"/>
          <w:szCs w:val="22"/>
        </w:rPr>
        <w:t>juntas municipales de reclutamiento</w:t>
      </w:r>
      <w:r>
        <w:rPr>
          <w:rFonts w:ascii="Palatino Linotype" w:eastAsia="Palatino Linotype" w:hAnsi="Palatino Linotype" w:cs="Palatino Linotype"/>
          <w:i/>
          <w:sz w:val="22"/>
          <w:szCs w:val="22"/>
        </w:rPr>
        <w:t xml:space="preserve"> o consulados y como consecuencia inmediata, se formarán en dichas oficinas los siguientes documentos:</w:t>
      </w:r>
    </w:p>
    <w:p w:rsidR="00257869" w:rsidRDefault="0067250C">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Cartilla de identificación que </w:t>
      </w:r>
      <w:r>
        <w:rPr>
          <w:rFonts w:ascii="Palatino Linotype" w:eastAsia="Palatino Linotype" w:hAnsi="Palatino Linotype" w:cs="Palatino Linotype"/>
          <w:b/>
          <w:i/>
          <w:sz w:val="22"/>
          <w:szCs w:val="22"/>
          <w:u w:val="single"/>
        </w:rPr>
        <w:t>se entregará al interesado</w:t>
      </w: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0"/>
          <w:szCs w:val="20"/>
        </w:rPr>
        <w:t> </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legales transcritos, se desprende que el documento que permite acreditar la inscripción de cada mexicano, en el servicio militar en cumplimiento a </w:t>
      </w:r>
      <w:r>
        <w:rPr>
          <w:rFonts w:ascii="Palatino Linotype" w:eastAsia="Palatino Linotype" w:hAnsi="Palatino Linotype" w:cs="Palatino Linotype"/>
        </w:rPr>
        <w:lastRenderedPageBreak/>
        <w:t>la Ley del Servicio Militar, es la cartilla de identificación que es generada por las Juntas Municipales de Reclutamiento, misma que debe ser entregada a los interesados y que contiene la siguiente información:</w:t>
      </w:r>
    </w:p>
    <w:p w:rsidR="00257869" w:rsidRDefault="0067250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151.-</w:t>
      </w:r>
      <w:r>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Un retrato de frente;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Sus generales (nombre y apellidos paterno y materno, edad, ocupación, estado civil y domicilio);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Matrícula;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Clase a que pertenece;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Corporación a que se le destine;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Unidad a la que deba incorporarse en caso de movilización;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Firma de la autoridad que la expida;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Firma del interesado, si sabe hacerlo;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Sello de la Junta Municipal de Reclutamiento o Consulado; </w:t>
      </w:r>
    </w:p>
    <w:p w:rsidR="00257869" w:rsidRDefault="0067250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Huella digital.”</w:t>
      </w:r>
    </w:p>
    <w:p w:rsidR="00257869" w:rsidRDefault="004200A1" w:rsidP="00C12A71">
      <w:pPr>
        <w:spacing w:before="240" w:after="240" w:line="360" w:lineRule="auto"/>
        <w:ind w:right="49"/>
        <w:jc w:val="both"/>
        <w:rPr>
          <w:rFonts w:ascii="Palatino Linotype" w:eastAsia="Palatino Linotype" w:hAnsi="Palatino Linotype" w:cs="Palatino Linotype"/>
        </w:rPr>
      </w:pPr>
      <w:r w:rsidRPr="00013201">
        <w:rPr>
          <w:rFonts w:ascii="Palatino Linotype" w:eastAsia="Palatino Linotype" w:hAnsi="Palatino Linotype" w:cs="Palatino Linotype"/>
        </w:rPr>
        <w:t>Bajo este orden de ideas, estos documentos cuenta con datos personales que en nada abonan a la transparencia y rendición de cuentas, ya que atañen únicamente a la esfera privada del particular,</w:t>
      </w:r>
      <w:r w:rsidR="00C12A71" w:rsidRPr="00013201">
        <w:t xml:space="preserve"> </w:t>
      </w:r>
      <w:r w:rsidR="00C12A71" w:rsidRPr="00013201">
        <w:rPr>
          <w:rFonts w:ascii="Palatino Linotype" w:eastAsia="Palatino Linotype" w:hAnsi="Palatino Linotype" w:cs="Palatino Linotype"/>
        </w:rPr>
        <w:t>ya que lo distingue plenamente del resto de los habitantes, aunado a que es un documento de carácter personalísimo cuyo propósito es que sea utilizado únicamente por su titular. Por lo tanto, constituye información confidencial</w:t>
      </w:r>
      <w:r w:rsidRPr="00013201">
        <w:rPr>
          <w:rFonts w:ascii="Palatino Linotype" w:eastAsia="Palatino Linotype" w:hAnsi="Palatino Linotype" w:cs="Palatino Linotype"/>
        </w:rPr>
        <w:t xml:space="preserve"> y actualiza la causal de clasificación establecida en el artículo 143, fracción I, de la Ley de Transparencia y Acceso a la Información Pública del Estado de México y Municipios</w:t>
      </w:r>
      <w:r>
        <w:rPr>
          <w:rFonts w:ascii="Palatino Linotype" w:eastAsia="Palatino Linotype" w:hAnsi="Palatino Linotype" w:cs="Palatino Linotype"/>
        </w:rPr>
        <w:t>, ya que dichos e</w:t>
      </w:r>
      <w:r w:rsidR="002B76F4">
        <w:rPr>
          <w:rFonts w:ascii="Palatino Linotype" w:eastAsia="Palatino Linotype" w:hAnsi="Palatino Linotype" w:cs="Palatino Linotype"/>
        </w:rPr>
        <w:t>lementos</w:t>
      </w:r>
      <w:r w:rsidR="0067250C">
        <w:rPr>
          <w:rFonts w:ascii="Palatino Linotype" w:eastAsia="Palatino Linotype" w:hAnsi="Palatino Linotype" w:cs="Palatino Linotype"/>
        </w:rPr>
        <w:t xml:space="preserve"> que permiten identificar e individualizar a los ciudadanos mexicanos que se encuentren en edad </w:t>
      </w:r>
      <w:r w:rsidR="0067250C">
        <w:rPr>
          <w:rFonts w:ascii="Palatino Linotype" w:eastAsia="Palatino Linotype" w:hAnsi="Palatino Linotype" w:cs="Palatino Linotype"/>
        </w:rPr>
        <w:lastRenderedPageBreak/>
        <w:t>de cumplir con su obligación militar contemplada en el artículo 5 de la Constitución Política de los Estados Unidos Mexicanos, mismos que no pueden considerarse de carácter público, ya que se vinculan con la esfera más íntima de privacidad de los interesados, actualizándose el supuesto de clasificación como información totalmente confidencial en términos de los artículos 3, fracción  IX  y 143 fracción I de la Ley de Transparencia del Estado de México y Municipios, y 4, fracción XI de la Ley de Protección de Datos Personales del Estado de México, que son del tenor literal siguiente:</w:t>
      </w:r>
    </w:p>
    <w:p w:rsidR="00257869" w:rsidRDefault="0067250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257869" w:rsidRDefault="0067250C">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57869" w:rsidRDefault="0067250C">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257869" w:rsidRDefault="0067250C">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257869" w:rsidRDefault="0067250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57869" w:rsidRDefault="0067250C">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257869" w:rsidRDefault="0067250C">
      <w:pPr>
        <w:ind w:left="992"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Para los efectos de esta Ley se entenderá por:</w:t>
      </w:r>
    </w:p>
    <w:p w:rsidR="00257869" w:rsidRDefault="0067250C">
      <w:pPr>
        <w:ind w:left="992"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257869" w:rsidRDefault="0067250C">
      <w:pPr>
        <w:ind w:left="992"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Datos personales</w:t>
      </w:r>
      <w:r>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6E57DA" w:rsidRDefault="0067250C" w:rsidP="006E57DA">
      <w:pPr>
        <w:spacing w:before="240" w:after="240" w:line="360" w:lineRule="auto"/>
        <w:ind w:right="49"/>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rPr>
        <w:t xml:space="preserve">Ahora bien, en el caso concreto, es de recordar que el particular requirió se le entregara </w:t>
      </w:r>
      <w:r>
        <w:rPr>
          <w:rFonts w:ascii="Palatino Linotype" w:eastAsia="Palatino Linotype" w:hAnsi="Palatino Linotype" w:cs="Palatino Linotype"/>
          <w:i/>
        </w:rPr>
        <w:t>copia</w:t>
      </w:r>
      <w:r>
        <w:rPr>
          <w:rFonts w:ascii="Palatino Linotype" w:eastAsia="Palatino Linotype" w:hAnsi="Palatino Linotype" w:cs="Palatino Linotype"/>
        </w:rPr>
        <w:t xml:space="preserve"> de todas las cartillas militares, ante lo cual, el Secretario del Ayuntamiento, como el servidor público habilitado del área competente que pudiera contar con dicha información, de conformidad con </w:t>
      </w:r>
      <w:r w:rsidRPr="006E57DA">
        <w:rPr>
          <w:rFonts w:ascii="Palatino Linotype" w:eastAsia="Palatino Linotype" w:hAnsi="Palatino Linotype" w:cs="Palatino Linotype"/>
        </w:rPr>
        <w:t>el Manual de Organización de Secretaría del Ayuntamiento</w:t>
      </w:r>
      <w:r w:rsidR="006E57DA" w:rsidRPr="006E57DA">
        <w:rPr>
          <w:rFonts w:ascii="Palatino Linotype" w:eastAsia="Palatino Linotype" w:hAnsi="Palatino Linotype" w:cs="Palatino Linotype"/>
        </w:rPr>
        <w:t xml:space="preserve"> de </w:t>
      </w:r>
      <w:proofErr w:type="spellStart"/>
      <w:r w:rsidR="006E57DA" w:rsidRPr="006E57DA">
        <w:rPr>
          <w:rFonts w:ascii="Palatino Linotype" w:eastAsia="Palatino Linotype" w:hAnsi="Palatino Linotype" w:cs="Palatino Linotype"/>
        </w:rPr>
        <w:t>Temamatla</w:t>
      </w:r>
      <w:proofErr w:type="spellEnd"/>
      <w:r w:rsidR="006E57DA" w:rsidRPr="006E57DA">
        <w:rPr>
          <w:rFonts w:ascii="Palatino Linotype" w:eastAsia="Palatino Linotype" w:hAnsi="Palatino Linotype" w:cs="Palatino Linotype"/>
        </w:rPr>
        <w:t>, que señala:</w:t>
      </w:r>
    </w:p>
    <w:p w:rsidR="00257869" w:rsidRDefault="006E57DA" w:rsidP="006E57DA">
      <w:pPr>
        <w:spacing w:before="240" w:after="240" w:line="360" w:lineRule="auto"/>
        <w:ind w:right="49"/>
        <w:jc w:val="both"/>
        <w:rPr>
          <w:rFonts w:ascii="Palatino Linotype" w:eastAsia="Palatino Linotype" w:hAnsi="Palatino Linotype" w:cs="Palatino Linotype"/>
          <w:highlight w:val="red"/>
        </w:rPr>
      </w:pPr>
      <w:r>
        <w:rPr>
          <w:noProof/>
          <w:lang w:val="es-MX"/>
        </w:rPr>
        <w:lastRenderedPageBreak/>
        <mc:AlternateContent>
          <mc:Choice Requires="wps">
            <w:drawing>
              <wp:anchor distT="0" distB="0" distL="114300" distR="114300" simplePos="0" relativeHeight="251663360" behindDoc="0" locked="0" layoutInCell="1" allowOverlap="1">
                <wp:simplePos x="0" y="0"/>
                <wp:positionH relativeFrom="column">
                  <wp:posOffset>175459</wp:posOffset>
                </wp:positionH>
                <wp:positionV relativeFrom="paragraph">
                  <wp:posOffset>1888945</wp:posOffset>
                </wp:positionV>
                <wp:extent cx="5336275" cy="1528549"/>
                <wp:effectExtent l="57150" t="38100" r="74295" b="90805"/>
                <wp:wrapNone/>
                <wp:docPr id="3" name="Rectángulo 3"/>
                <wp:cNvGraphicFramePr/>
                <a:graphic xmlns:a="http://schemas.openxmlformats.org/drawingml/2006/main">
                  <a:graphicData uri="http://schemas.microsoft.com/office/word/2010/wordprocessingShape">
                    <wps:wsp>
                      <wps:cNvSpPr/>
                      <wps:spPr>
                        <a:xfrm>
                          <a:off x="0" y="0"/>
                          <a:ext cx="5336275" cy="15285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E219A" id="Rectángulo 3" o:spid="_x0000_s1026" style="position:absolute;margin-left:13.8pt;margin-top:148.75pt;width:420.2pt;height:1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" filled="f" strokecolor="red" strokeweight="2.25pt">
                <v:shadow on="t" color="black" opacity="22937f" origin=",.5" offset="0,.63889mm"/>
              </v:rect>
            </w:pict>
          </mc:Fallback>
        </mc:AlternateContent>
      </w:r>
      <w:r w:rsidRPr="006E57DA">
        <w:rPr>
          <w:noProof/>
          <w:lang w:val="es-MX"/>
        </w:rPr>
        <w:t xml:space="preserve"> </w:t>
      </w:r>
      <w:r>
        <w:rPr>
          <w:noProof/>
          <w:lang w:val="es-MX"/>
        </w:rPr>
        <w:drawing>
          <wp:inline distT="0" distB="0" distL="0" distR="0" wp14:anchorId="1E57827E" wp14:editId="5BB77FD5">
            <wp:extent cx="5691117" cy="6107559"/>
            <wp:effectExtent l="0" t="0" r="508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24" t="34592" r="50628" b="14373"/>
                    <a:stretch/>
                  </pic:blipFill>
                  <pic:spPr bwMode="auto">
                    <a:xfrm>
                      <a:off x="0" y="0"/>
                      <a:ext cx="5713475" cy="6131553"/>
                    </a:xfrm>
                    <a:prstGeom prst="rect">
                      <a:avLst/>
                    </a:prstGeom>
                    <a:ln>
                      <a:noFill/>
                    </a:ln>
                    <a:extLst>
                      <a:ext uri="{53640926-AAD7-44D8-BBD7-CCE9431645EC}">
                        <a14:shadowObscured xmlns:a14="http://schemas.microsoft.com/office/drawing/2010/main"/>
                      </a:ext>
                    </a:extLst>
                  </pic:spPr>
                </pic:pic>
              </a:graphicData>
            </a:graphic>
          </wp:inline>
        </w:drawing>
      </w:r>
      <w:r w:rsidR="0067250C">
        <w:rPr>
          <w:rFonts w:ascii="Palatino Linotype" w:eastAsia="Palatino Linotype" w:hAnsi="Palatino Linotype" w:cs="Palatino Linotype"/>
          <w:highlight w:val="red"/>
        </w:rPr>
        <w:t xml:space="preserve"> </w:t>
      </w:r>
    </w:p>
    <w:p w:rsidR="006E57DA" w:rsidRDefault="006E57DA" w:rsidP="006E57DA">
      <w:pPr>
        <w:spacing w:before="240" w:after="240" w:line="360" w:lineRule="auto"/>
        <w:ind w:right="49"/>
        <w:jc w:val="both"/>
        <w:rPr>
          <w:rFonts w:ascii="Palatino Linotype" w:eastAsia="Palatino Linotype" w:hAnsi="Palatino Linotype" w:cs="Palatino Linotype"/>
          <w:highlight w:val="red"/>
        </w:rPr>
      </w:pPr>
    </w:p>
    <w:p w:rsidR="006E57DA" w:rsidRDefault="006E57DA" w:rsidP="006E57DA">
      <w:pPr>
        <w:spacing w:before="240" w:after="240" w:line="360" w:lineRule="auto"/>
        <w:ind w:right="49"/>
        <w:jc w:val="both"/>
        <w:rPr>
          <w:rFonts w:ascii="Palatino Linotype" w:eastAsia="Palatino Linotype" w:hAnsi="Palatino Linotype" w:cs="Palatino Linotype"/>
          <w:highlight w:val="red"/>
        </w:rPr>
      </w:pPr>
      <w:r>
        <w:rPr>
          <w:noProof/>
          <w:lang w:val="es-MX"/>
        </w:rPr>
        <w:lastRenderedPageBreak/>
        <mc:AlternateContent>
          <mc:Choice Requires="wps">
            <w:drawing>
              <wp:anchor distT="0" distB="0" distL="114300" distR="114300" simplePos="0" relativeHeight="251665408" behindDoc="0" locked="0" layoutInCell="1" allowOverlap="1" wp14:anchorId="664FA725" wp14:editId="18CC1C1F">
                <wp:simplePos x="0" y="0"/>
                <wp:positionH relativeFrom="column">
                  <wp:posOffset>270994</wp:posOffset>
                </wp:positionH>
                <wp:positionV relativeFrom="paragraph">
                  <wp:posOffset>2243787</wp:posOffset>
                </wp:positionV>
                <wp:extent cx="5063320" cy="655092"/>
                <wp:effectExtent l="57150" t="38100" r="80645" b="88265"/>
                <wp:wrapNone/>
                <wp:docPr id="4" name="Rectángulo 4"/>
                <wp:cNvGraphicFramePr/>
                <a:graphic xmlns:a="http://schemas.openxmlformats.org/drawingml/2006/main">
                  <a:graphicData uri="http://schemas.microsoft.com/office/word/2010/wordprocessingShape">
                    <wps:wsp>
                      <wps:cNvSpPr/>
                      <wps:spPr>
                        <a:xfrm>
                          <a:off x="0" y="0"/>
                          <a:ext cx="5063320" cy="65509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02AB" id="Rectángulo 4" o:spid="_x0000_s1026" style="position:absolute;margin-left:21.35pt;margin-top:176.7pt;width:398.7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" filled="f" strokecolor="red" strokeweight="2.25pt">
                <v:shadow on="t" color="black" opacity="22937f" origin=",.5" offset="0,.63889mm"/>
              </v:rect>
            </w:pict>
          </mc:Fallback>
        </mc:AlternateContent>
      </w:r>
      <w:r>
        <w:rPr>
          <w:noProof/>
          <w:lang w:val="es-MX"/>
        </w:rPr>
        <w:drawing>
          <wp:inline distT="0" distB="0" distL="0" distR="0" wp14:anchorId="7CDE5CA5" wp14:editId="2B2BE18B">
            <wp:extent cx="5445457" cy="539644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32" t="35025" r="50877" b="17420"/>
                    <a:stretch/>
                  </pic:blipFill>
                  <pic:spPr bwMode="auto">
                    <a:xfrm>
                      <a:off x="0" y="0"/>
                      <a:ext cx="5468039" cy="5418824"/>
                    </a:xfrm>
                    <a:prstGeom prst="rect">
                      <a:avLst/>
                    </a:prstGeom>
                    <a:ln>
                      <a:noFill/>
                    </a:ln>
                    <a:extLst>
                      <a:ext uri="{53640926-AAD7-44D8-BBD7-CCE9431645EC}">
                        <a14:shadowObscured xmlns:a14="http://schemas.microsoft.com/office/drawing/2010/main"/>
                      </a:ext>
                    </a:extLst>
                  </pic:spPr>
                </pic:pic>
              </a:graphicData>
            </a:graphic>
          </wp:inline>
        </w:drawing>
      </w:r>
    </w:p>
    <w:p w:rsidR="006E57DA" w:rsidRDefault="0067250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w:t>
      </w:r>
      <w:r w:rsidR="006E57DA">
        <w:rPr>
          <w:rFonts w:ascii="Palatino Linotype" w:eastAsia="Palatino Linotype" w:hAnsi="Palatino Linotype" w:cs="Palatino Linotype"/>
        </w:rPr>
        <w:t>in embargo, s</w:t>
      </w:r>
      <w:r>
        <w:rPr>
          <w:rFonts w:ascii="Palatino Linotype" w:eastAsia="Palatino Linotype" w:hAnsi="Palatino Linotype" w:cs="Palatino Linotype"/>
        </w:rPr>
        <w:t xml:space="preserve">eñaló que </w:t>
      </w:r>
      <w:r w:rsidR="006E57DA" w:rsidRPr="006E57DA">
        <w:rPr>
          <w:rFonts w:ascii="Palatino Linotype" w:eastAsia="Palatino Linotype" w:hAnsi="Palatino Linotype" w:cs="Palatino Linotype"/>
        </w:rPr>
        <w:t>solo coadyuva con la SEDENA en las actividades de la expedición y trámite de las cartillas militares, no siendo función a su cargo, así como tampoco facultad histórica d</w:t>
      </w:r>
      <w:r w:rsidR="006E57DA">
        <w:rPr>
          <w:rFonts w:ascii="Palatino Linotype" w:eastAsia="Palatino Linotype" w:hAnsi="Palatino Linotype" w:cs="Palatino Linotype"/>
        </w:rPr>
        <w:t>e archivo, pero además señala, que prioriza</w:t>
      </w:r>
      <w:r w:rsidR="006E57DA" w:rsidRPr="006E57DA">
        <w:rPr>
          <w:rFonts w:ascii="Palatino Linotype" w:eastAsia="Palatino Linotype" w:hAnsi="Palatino Linotype" w:cs="Palatino Linotype"/>
        </w:rPr>
        <w:t xml:space="preserve"> </w:t>
      </w:r>
      <w:r w:rsidR="006E57DA">
        <w:rPr>
          <w:rFonts w:ascii="Palatino Linotype" w:eastAsia="Palatino Linotype" w:hAnsi="Palatino Linotype" w:cs="Palatino Linotype"/>
        </w:rPr>
        <w:t>en</w:t>
      </w:r>
      <w:r w:rsidR="006E57DA" w:rsidRPr="006E57DA">
        <w:rPr>
          <w:rFonts w:ascii="Palatino Linotype" w:eastAsia="Palatino Linotype" w:hAnsi="Palatino Linotype" w:cs="Palatino Linotype"/>
        </w:rPr>
        <w:t xml:space="preserve"> la protección de datos personales que las mismas contienen,</w:t>
      </w:r>
    </w:p>
    <w:p w:rsidR="006E57DA" w:rsidRDefault="006E57DA">
      <w:pPr>
        <w:spacing w:before="240" w:after="240" w:line="360" w:lineRule="auto"/>
        <w:ind w:right="49"/>
        <w:jc w:val="both"/>
        <w:rPr>
          <w:rFonts w:ascii="Palatino Linotype" w:eastAsia="Palatino Linotype" w:hAnsi="Palatino Linotype" w:cs="Palatino Linotype"/>
        </w:rPr>
      </w:pP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es de señalar que si bien es cierto que de conformidad con el criterio 31-10</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este Organismo Garante, no está facultado para dudar de la veracidad de lo manifestado por parte de los entes públicos, debe mencionarse que, para el caso de robo, deterioro o extravío de la Cartilla de Identidad del Servicio Militar Nacional, los interesados pueden solicitar una reposición, conforme al procedimiento previsto en la página oficial de la Secretaría de la Defensa Nacional, SEDENA</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para lo cual es necesario presentar los siguientes documentos:</w:t>
      </w:r>
    </w:p>
    <w:p w:rsidR="00257869" w:rsidRDefault="0067250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284000" cy="4541613"/>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41162"/>
                    <a:stretch>
                      <a:fillRect/>
                    </a:stretch>
                  </pic:blipFill>
                  <pic:spPr>
                    <a:xfrm>
                      <a:off x="0" y="0"/>
                      <a:ext cx="4284000" cy="4541613"/>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774700</wp:posOffset>
                </wp:positionH>
                <wp:positionV relativeFrom="paragraph">
                  <wp:posOffset>1155700</wp:posOffset>
                </wp:positionV>
                <wp:extent cx="4086225" cy="1362075"/>
                <wp:effectExtent l="0" t="0" r="0" b="0"/>
                <wp:wrapNone/>
                <wp:docPr id="20" name="Rectángulo 20"/>
                <wp:cNvGraphicFramePr/>
                <a:graphic xmlns:a="http://schemas.openxmlformats.org/drawingml/2006/main">
                  <a:graphicData uri="http://schemas.microsoft.com/office/word/2010/wordprocessingShape">
                    <wps:wsp>
                      <wps:cNvSpPr/>
                      <wps:spPr>
                        <a:xfrm>
                          <a:off x="3321938" y="3118013"/>
                          <a:ext cx="4048125" cy="1323975"/>
                        </a:xfrm>
                        <a:prstGeom prst="rect">
                          <a:avLst/>
                        </a:prstGeom>
                        <a:noFill/>
                        <a:ln w="38100" cap="flat" cmpd="sng">
                          <a:solidFill>
                            <a:srgbClr val="C00000"/>
                          </a:solidFill>
                          <a:prstDash val="solid"/>
                          <a:round/>
                          <a:headEnd type="none" w="sm" len="sm"/>
                          <a:tailEnd type="none" w="sm" len="sm"/>
                        </a:ln>
                      </wps:spPr>
                      <wps:txbx>
                        <w:txbxContent>
                          <w:p w:rsidR="00257869" w:rsidRDefault="0025786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774700</wp:posOffset>
                </wp:positionH>
                <wp:positionV relativeFrom="paragraph">
                  <wp:posOffset>1155700</wp:posOffset>
                </wp:positionV>
                <wp:extent cx="4086225" cy="1362075"/>
                <wp:effectExtent b="0" l="0" r="0" t="0"/>
                <wp:wrapNone/>
                <wp:docPr id="20"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4086225" cy="1362075"/>
                        </a:xfrm>
                        <a:prstGeom prst="rect"/>
                        <a:ln/>
                      </pic:spPr>
                    </pic:pic>
                  </a:graphicData>
                </a:graphic>
              </wp:anchor>
            </w:drawing>
          </mc:Fallback>
        </mc:AlternateContent>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2781300</wp:posOffset>
                </wp:positionH>
                <wp:positionV relativeFrom="paragraph">
                  <wp:posOffset>1803400</wp:posOffset>
                </wp:positionV>
                <wp:extent cx="0" cy="25400"/>
                <wp:effectExtent l="0" t="0" r="0" b="0"/>
                <wp:wrapNone/>
                <wp:docPr id="19" name="Conector recto de flecha 19"/>
                <wp:cNvGraphicFramePr/>
                <a:graphic xmlns:a="http://schemas.openxmlformats.org/drawingml/2006/main">
                  <a:graphicData uri="http://schemas.microsoft.com/office/word/2010/wordprocessingShape">
                    <wps:wsp>
                      <wps:cNvCnPr/>
                      <wps:spPr>
                        <a:xfrm>
                          <a:off x="4360163" y="3780000"/>
                          <a:ext cx="1971675"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2781300</wp:posOffset>
                </wp:positionH>
                <wp:positionV relativeFrom="paragraph">
                  <wp:posOffset>1803400</wp:posOffset>
                </wp:positionV>
                <wp:extent cx="0" cy="25400"/>
                <wp:effectExtent b="0" l="0" r="0" t="0"/>
                <wp:wrapNone/>
                <wp:docPr id="1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0" cy="254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965200</wp:posOffset>
                </wp:positionH>
                <wp:positionV relativeFrom="paragraph">
                  <wp:posOffset>1905000</wp:posOffset>
                </wp:positionV>
                <wp:extent cx="3770786" cy="162993"/>
                <wp:effectExtent l="0" t="0" r="0" b="0"/>
                <wp:wrapNone/>
                <wp:docPr id="21" name="Conector recto de flecha 21"/>
                <wp:cNvGraphicFramePr/>
                <a:graphic xmlns:a="http://schemas.openxmlformats.org/drawingml/2006/main">
                  <a:graphicData uri="http://schemas.microsoft.com/office/word/2010/wordprocessingShape">
                    <wps:wsp>
                      <wps:cNvCnPr/>
                      <wps:spPr>
                        <a:xfrm rot="-10740000" flipH="1">
                          <a:off x="3473868" y="3744091"/>
                          <a:ext cx="3744264" cy="71819"/>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965200</wp:posOffset>
                </wp:positionH>
                <wp:positionV relativeFrom="paragraph">
                  <wp:posOffset>1905000</wp:posOffset>
                </wp:positionV>
                <wp:extent cx="3770786" cy="162993"/>
                <wp:effectExtent b="0" l="0" r="0" t="0"/>
                <wp:wrapNone/>
                <wp:docPr id="2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770786" cy="162993"/>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965200</wp:posOffset>
                </wp:positionH>
                <wp:positionV relativeFrom="paragraph">
                  <wp:posOffset>2070100</wp:posOffset>
                </wp:positionV>
                <wp:extent cx="3803129" cy="154079"/>
                <wp:effectExtent l="0" t="0" r="0" b="0"/>
                <wp:wrapNone/>
                <wp:docPr id="18" name="Conector recto de flecha 18"/>
                <wp:cNvGraphicFramePr/>
                <a:graphic xmlns:a="http://schemas.openxmlformats.org/drawingml/2006/main">
                  <a:graphicData uri="http://schemas.microsoft.com/office/word/2010/wordprocessingShape">
                    <wps:wsp>
                      <wps:cNvCnPr/>
                      <wps:spPr>
                        <a:xfrm rot="-10740000" flipH="1">
                          <a:off x="3457612" y="3748832"/>
                          <a:ext cx="3776777" cy="62336"/>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965200</wp:posOffset>
                </wp:positionH>
                <wp:positionV relativeFrom="paragraph">
                  <wp:posOffset>2070100</wp:posOffset>
                </wp:positionV>
                <wp:extent cx="3803129" cy="154079"/>
                <wp:effectExtent b="0" l="0" r="0" t="0"/>
                <wp:wrapNone/>
                <wp:docPr id="18"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3803129" cy="154079"/>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965200</wp:posOffset>
                </wp:positionH>
                <wp:positionV relativeFrom="paragraph">
                  <wp:posOffset>2222500</wp:posOffset>
                </wp:positionV>
                <wp:extent cx="3803129" cy="154079"/>
                <wp:effectExtent l="0" t="0" r="0" b="0"/>
                <wp:wrapNone/>
                <wp:docPr id="22" name="Conector recto de flecha 22"/>
                <wp:cNvGraphicFramePr/>
                <a:graphic xmlns:a="http://schemas.openxmlformats.org/drawingml/2006/main">
                  <a:graphicData uri="http://schemas.microsoft.com/office/word/2010/wordprocessingShape">
                    <wps:wsp>
                      <wps:cNvCnPr/>
                      <wps:spPr>
                        <a:xfrm rot="-10740000" flipH="1">
                          <a:off x="3457612" y="3748832"/>
                          <a:ext cx="3776777" cy="62336"/>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965200</wp:posOffset>
                </wp:positionH>
                <wp:positionV relativeFrom="paragraph">
                  <wp:posOffset>2222500</wp:posOffset>
                </wp:positionV>
                <wp:extent cx="3803129" cy="154079"/>
                <wp:effectExtent b="0" l="0" r="0" t="0"/>
                <wp:wrapNone/>
                <wp:docPr id="22"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3803129" cy="154079"/>
                        </a:xfrm>
                        <a:prstGeom prst="rect"/>
                        <a:ln/>
                      </pic:spPr>
                    </pic:pic>
                  </a:graphicData>
                </a:graphic>
              </wp:anchor>
            </w:drawing>
          </mc:Fallback>
        </mc:AlternateContent>
      </w:r>
    </w:p>
    <w:p w:rsidR="00257869" w:rsidRDefault="0067250C">
      <w:pPr>
        <w:tabs>
          <w:tab w:val="left" w:pos="112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en el numeral 4, para solicitar la reposición de la Cartilla de Identidad del Servicio Militar Nacional se requiere una copia de dicho documento, o en su defecto, el número de matrícula, asimismo, </w:t>
      </w:r>
      <w:r>
        <w:rPr>
          <w:rFonts w:ascii="Palatino Linotype" w:eastAsia="Palatino Linotype" w:hAnsi="Palatino Linotype" w:cs="Palatino Linotype"/>
          <w:b/>
        </w:rPr>
        <w:t xml:space="preserve">en el caso de aquellas cartillas que hubieran sido expedidas en el año en curso, los interesados pueden solicitar ante la Junta Municipal de Reclutamiento una </w:t>
      </w:r>
      <w:r>
        <w:rPr>
          <w:rFonts w:ascii="Palatino Linotype" w:eastAsia="Palatino Linotype" w:hAnsi="Palatino Linotype" w:cs="Palatino Linotype"/>
          <w:b/>
          <w:u w:val="single"/>
        </w:rPr>
        <w:t>copia fotostática</w:t>
      </w:r>
      <w:r>
        <w:rPr>
          <w:rFonts w:ascii="Palatino Linotype" w:eastAsia="Palatino Linotype" w:hAnsi="Palatino Linotype" w:cs="Palatino Linotype"/>
          <w:b/>
        </w:rPr>
        <w:t xml:space="preserve"> certificada que puede ser del </w:t>
      </w:r>
      <w:r>
        <w:rPr>
          <w:rFonts w:ascii="Palatino Linotype" w:eastAsia="Palatino Linotype" w:hAnsi="Palatino Linotype" w:cs="Palatino Linotype"/>
          <w:b/>
          <w:u w:val="single"/>
        </w:rPr>
        <w:t>duplicado</w:t>
      </w:r>
      <w:r>
        <w:rPr>
          <w:rFonts w:ascii="Palatino Linotype" w:eastAsia="Palatino Linotype" w:hAnsi="Palatino Linotype" w:cs="Palatino Linotype"/>
          <w:b/>
        </w:rPr>
        <w:t xml:space="preserve"> -hoja azul-, o del </w:t>
      </w:r>
      <w:r>
        <w:rPr>
          <w:rFonts w:ascii="Palatino Linotype" w:eastAsia="Palatino Linotype" w:hAnsi="Palatino Linotype" w:cs="Palatino Linotype"/>
          <w:b/>
          <w:u w:val="single"/>
        </w:rPr>
        <w:t>triplicado</w:t>
      </w:r>
      <w:r>
        <w:rPr>
          <w:rFonts w:ascii="Palatino Linotype" w:eastAsia="Palatino Linotype" w:hAnsi="Palatino Linotype" w:cs="Palatino Linotype"/>
          <w:b/>
        </w:rPr>
        <w:t xml:space="preserve"> –hoja amarilla-, </w:t>
      </w:r>
      <w:r>
        <w:rPr>
          <w:rFonts w:ascii="Palatino Linotype" w:eastAsia="Palatino Linotype" w:hAnsi="Palatino Linotype" w:cs="Palatino Linotype"/>
        </w:rPr>
        <w:t xml:space="preserve">por lo que se presume que las Juntas Municipales de Reclutamiento controlan dichos documentos, en los que </w:t>
      </w:r>
      <w:r>
        <w:rPr>
          <w:rFonts w:ascii="Palatino Linotype" w:eastAsia="Palatino Linotype" w:hAnsi="Palatino Linotype" w:cs="Palatino Linotype"/>
          <w:b/>
          <w:u w:val="single"/>
        </w:rPr>
        <w:t>obra la misma información que en la hoja principal</w:t>
      </w:r>
      <w:r>
        <w:rPr>
          <w:rFonts w:ascii="Palatino Linotype" w:eastAsia="Palatino Linotype" w:hAnsi="Palatino Linotype" w:cs="Palatino Linotype"/>
        </w:rPr>
        <w:t xml:space="preserve"> de la cartilla, con excepción de las leyendas “duplicado” o “triplicado”.</w:t>
      </w:r>
    </w:p>
    <w:p w:rsidR="00257869" w:rsidRDefault="0067250C">
      <w:pPr>
        <w:tabs>
          <w:tab w:val="left" w:pos="112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es evidente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 cuenta con atribuciones para generar, administrar o poseer un documento mediante el cual el derecho de acceso a la información pudiera tenerse por satisfecho, en virtud de que su solicitud se centró en requerir, copias y relación de todas las cartillas militares que sean tramitado en el municipio de </w:t>
      </w:r>
      <w:proofErr w:type="spellStart"/>
      <w:r>
        <w:rPr>
          <w:rFonts w:ascii="Palatino Linotype" w:eastAsia="Palatino Linotype" w:hAnsi="Palatino Linotype" w:cs="Palatino Linotype"/>
        </w:rPr>
        <w:t>Temamatla</w:t>
      </w:r>
      <w:proofErr w:type="spellEnd"/>
      <w:r>
        <w:rPr>
          <w:rFonts w:ascii="Palatino Linotype" w:eastAsia="Palatino Linotype" w:hAnsi="Palatino Linotype" w:cs="Palatino Linotype"/>
        </w:rPr>
        <w:t xml:space="preserve"> del año 2015 al año 2022, sin precisar si se refería a la hoja principal o al duplicado o triplicado de las mismas.</w:t>
      </w:r>
    </w:p>
    <w:p w:rsidR="00257869" w:rsidRDefault="0067250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es de señalar que de la respuesta proporcionada por el Servidor Público Habilitado no se desprende de manera concreta si durante el periodo señalado por el particular se han generado cartillas de identificación </w:t>
      </w:r>
      <w:r w:rsidR="006E57DA">
        <w:rPr>
          <w:rFonts w:ascii="Palatino Linotype" w:eastAsia="Palatino Linotype" w:hAnsi="Palatino Linotype" w:cs="Palatino Linotype"/>
        </w:rPr>
        <w:t>del servicio militar (2015-2022</w:t>
      </w:r>
      <w:r>
        <w:rPr>
          <w:rFonts w:ascii="Palatino Linotype" w:eastAsia="Palatino Linotype" w:hAnsi="Palatino Linotype" w:cs="Palatino Linotype"/>
        </w:rPr>
        <w:t xml:space="preserve">), toda vez que se limitó a referir que solo coadyuva con la SEDENA en las actividades de la expedición y trámite de las cartillas militares, no siendo función a su cargo, así como tampoco facultad histórica de </w:t>
      </w:r>
      <w:r w:rsidR="006E57DA">
        <w:rPr>
          <w:rFonts w:ascii="Palatino Linotype" w:eastAsia="Palatino Linotype" w:hAnsi="Palatino Linotype" w:cs="Palatino Linotype"/>
        </w:rPr>
        <w:t xml:space="preserve">archivo, pero además señala que </w:t>
      </w:r>
      <w:r w:rsidR="006E57DA" w:rsidRPr="006E57DA">
        <w:rPr>
          <w:rFonts w:ascii="Palatino Linotype" w:eastAsia="Palatino Linotype" w:hAnsi="Palatino Linotype" w:cs="Palatino Linotype"/>
        </w:rPr>
        <w:t>prioriza</w:t>
      </w:r>
      <w:r w:rsidR="00404D9F" w:rsidRPr="006E57DA">
        <w:rPr>
          <w:rFonts w:ascii="Palatino Linotype" w:eastAsia="Palatino Linotype" w:hAnsi="Palatino Linotype" w:cs="Palatino Linotype"/>
        </w:rPr>
        <w:t xml:space="preserve"> </w:t>
      </w:r>
      <w:r w:rsidR="006E57DA" w:rsidRPr="006E57DA">
        <w:rPr>
          <w:rFonts w:ascii="Palatino Linotype" w:eastAsia="Palatino Linotype" w:hAnsi="Palatino Linotype" w:cs="Palatino Linotype"/>
        </w:rPr>
        <w:t xml:space="preserve">en </w:t>
      </w:r>
      <w:r w:rsidR="00404D9F" w:rsidRPr="006E57DA">
        <w:rPr>
          <w:rFonts w:ascii="Palatino Linotype" w:eastAsia="Palatino Linotype" w:hAnsi="Palatino Linotype" w:cs="Palatino Linotype"/>
        </w:rPr>
        <w:t xml:space="preserve"> la protección de datos personales que las mismas contienen,</w:t>
      </w:r>
      <w:r w:rsidR="006E57DA">
        <w:rPr>
          <w:rFonts w:ascii="Palatino Linotype" w:eastAsia="Palatino Linotype" w:hAnsi="Palatino Linotype" w:cs="Palatino Linotype"/>
        </w:rPr>
        <w:t xml:space="preserve"> por lo que ante la falta de certeza en la respuesta del </w:t>
      </w:r>
      <w:r w:rsidR="006E57DA" w:rsidRPr="006E57DA">
        <w:rPr>
          <w:rFonts w:ascii="Palatino Linotype" w:eastAsia="Palatino Linotype" w:hAnsi="Palatino Linotype" w:cs="Palatino Linotype"/>
          <w:b/>
        </w:rPr>
        <w:t>Sujeto Obligado</w:t>
      </w:r>
      <w:r w:rsidR="006E57DA">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por lo que a efecto de garantizar el derecho de acceso a la información accionado por </w:t>
      </w:r>
      <w:r w:rsidR="00CF0DE6">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 procedente ordenar </w:t>
      </w:r>
      <w:r w:rsidR="00A3153A">
        <w:rPr>
          <w:rFonts w:ascii="Palatino Linotype" w:eastAsia="Palatino Linotype" w:hAnsi="Palatino Linotype" w:cs="Palatino Linotype"/>
        </w:rPr>
        <w:t xml:space="preserve"> </w:t>
      </w:r>
      <w:r>
        <w:rPr>
          <w:rFonts w:ascii="Palatino Linotype" w:eastAsia="Palatino Linotype" w:hAnsi="Palatino Linotype" w:cs="Palatino Linotype"/>
        </w:rPr>
        <w:t xml:space="preserve">la búsqueda exhaustiva y razonable de la información en los archivos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para el caso de que llegara a encontrar documentos que correspondan con lo solicitado, deberá emitir el Acuerdo debidamente fundado y motivado mediante el cual del Comité de Transparencia apruebe la clasificación de la información como confidencial en su totalidad, bajo la premisa de que el derecho de acceso a la información pública tiene como limitante el respeto a la intimidad y a la vida privada de las personas.</w:t>
      </w:r>
    </w:p>
    <w:p w:rsidR="00257869" w:rsidRDefault="0067250C">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si bien existe la presunción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 posee los documentos que pudieran satisfacer lo solicitado,  también lo es que su publicidad </w:t>
      </w:r>
      <w:r>
        <w:rPr>
          <w:rFonts w:ascii="Palatino Linotype" w:eastAsia="Palatino Linotype" w:hAnsi="Palatino Linotype" w:cs="Palatino Linotype"/>
          <w:color w:val="000000"/>
        </w:rPr>
        <w:lastRenderedPageBreak/>
        <w:t>conlleva un daño mayor que interés del particular de conocer dichas documentales, pues como se adelantó, al contener éstos datos personales relacionados con la esfera de privacidad más íntima de personas físicas identificadas o identificables, no son susceptibles de entregarse, aún en versión pública, pues el contenido del mismo estaría testado en su mayoría, dejándose observar únicamente lo correspondiente al formato principal o básico del documento, lo cual aludiría a un formato cuya información resulta irrelevante, por lo que, se insiste, debe considerarse como información confidencial en su totalidad.</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acuerdo deberá contener un razonamiento lógico con el que se demuestre que la información solicitada por el </w:t>
      </w:r>
      <w:r w:rsidR="00CF0DE6" w:rsidRPr="00CF0DE6">
        <w:rPr>
          <w:rFonts w:ascii="Palatino Linotype" w:eastAsia="Palatino Linotype" w:hAnsi="Palatino Linotype" w:cs="Palatino Linotype"/>
          <w:b/>
        </w:rPr>
        <w:t>R</w:t>
      </w:r>
      <w:r w:rsidRPr="00CF0DE6">
        <w:rPr>
          <w:rFonts w:ascii="Palatino Linotype" w:eastAsia="Palatino Linotype" w:hAnsi="Palatino Linotype" w:cs="Palatino Linotype"/>
          <w:b/>
        </w:rPr>
        <w:t>ecurrente</w:t>
      </w:r>
      <w:r>
        <w:rPr>
          <w:rFonts w:ascii="Palatino Linotype" w:eastAsia="Palatino Linotype" w:hAnsi="Palatino Linotype" w:cs="Palatino Linotype"/>
        </w:rPr>
        <w:t xml:space="preserve"> se encuentra en alguna de las hipótesis que contempla la misma ley; toda vez que de acuerdo a la referida Ley la carga de la prueba para justificar toda negativa de acceso a la información por </w:t>
      </w:r>
      <w:r>
        <w:rPr>
          <w:rFonts w:ascii="Palatino Linotype" w:eastAsia="Palatino Linotype" w:hAnsi="Palatino Linotype" w:cs="Palatino Linotype"/>
        </w:rPr>
        <w:lastRenderedPageBreak/>
        <w:t>actualizarse cualquiera de los supuestos previstos en la Ley, corresponde a los Sujetos Obligados fundando y motivando debidamente la clasificación</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257869" w:rsidRDefault="0067250C">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Pr>
          <w:rFonts w:ascii="Palatino Linotype" w:eastAsia="Palatino Linotype" w:hAnsi="Palatino Linotype" w:cs="Palatino Linotype"/>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no basta que el acto de autoridad apenas observe una motivación pro forma pero de una manera incongruente, insuficiente </w:t>
      </w:r>
      <w:r>
        <w:rPr>
          <w:rFonts w:ascii="Palatino Linotype" w:eastAsia="Palatino Linotype" w:hAnsi="Palatino Linotype" w:cs="Palatino Linotype"/>
          <w:i/>
          <w:sz w:val="22"/>
          <w:szCs w:val="22"/>
        </w:rPr>
        <w:lastRenderedPageBreak/>
        <w:t>o imprecisa, que impida la finalidad del conocimiento, comprobación y defensa pertinente, ni es válido exigirle una amplitud o abundancia superflua, pues </w:t>
      </w:r>
      <w:r>
        <w:rPr>
          <w:rFonts w:ascii="Palatino Linotype" w:eastAsia="Palatino Linotype" w:hAnsi="Palatino Linotype" w:cs="Palatino Linotype"/>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Pr>
          <w:rFonts w:ascii="Palatino Linotype" w:eastAsia="Palatino Linotype" w:hAnsi="Palatino Linotype" w:cs="Palatino Linotype"/>
          <w:i/>
          <w:sz w:val="22"/>
          <w:szCs w:val="22"/>
        </w:rPr>
        <w:t> del que se deduzca la relación de pertenencia lógica de los hechos al derecho invocado, que es la subsunción.”</w:t>
      </w:r>
    </w:p>
    <w:p w:rsidR="00257869" w:rsidRDefault="0067250C">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FUNDAMENTACION Y MOTIVACION. </w:t>
      </w:r>
      <w:r>
        <w:rPr>
          <w:rFonts w:ascii="Palatino Linotype" w:eastAsia="Palatino Linotype" w:hAnsi="Palatino Linotype" w:cs="Palatino Linotype"/>
          <w:i/>
          <w:sz w:val="22"/>
          <w:szCs w:val="22"/>
        </w:rPr>
        <w:t>La debida fundamentación y motivación legal, deben entenderse, por lo primero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u w:val="single"/>
        </w:rPr>
        <w:t>la cita del precepto legal aplicable al caso, y por lo segundo, las razones, motivos o circunstancias especiales que llevaron a la autoridad a concluir que el caso particular encuadra en el supuesto previsto por la norma</w:t>
      </w:r>
      <w:r>
        <w:rPr>
          <w:rFonts w:ascii="Palatino Linotype" w:eastAsia="Palatino Linotype" w:hAnsi="Palatino Linotype" w:cs="Palatino Linotype"/>
          <w:i/>
          <w:sz w:val="22"/>
          <w:szCs w:val="22"/>
        </w:rPr>
        <w:t> legal invocada como fundamento.”</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 ser el caso, de conformidad con lo establecido en los artículos 159</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y 160</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fracción I de la Ley General de Transparencia y Acceso a la Información Pública, se puntualiza que al particular le asiste el derecho de acudir e interponer recurso de inconformidad ante el Instituto Nacional de Transparencia, Acceso a la Información y Protección de Datos Personales, en contra de la resolución emitida por este Órgano Garante, toda vez que en el presente recurso de revisión se determina ordenar la clasificación de la información solicitada al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57869" w:rsidRDefault="0067250C">
      <w:pPr>
        <w:spacing w:before="240" w:after="240" w:line="360" w:lineRule="auto"/>
        <w:ind w:right="51"/>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Así, 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 xml:space="preserve">Constitución Política del Estado Libre y Soberano de México; 2, fracción II; 29, 36 fracciones I y II; 176, 178, 181, 185, </w:t>
      </w:r>
      <w:r>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rsidR="00257869" w:rsidRDefault="0067250C">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257869" w:rsidRDefault="0067250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w:t>
      </w:r>
      <w:proofErr w:type="gramStart"/>
      <w:r w:rsidR="00CF0DE6">
        <w:rPr>
          <w:rFonts w:ascii="Palatino Linotype" w:eastAsia="Palatino Linotype" w:hAnsi="Palatino Linotype" w:cs="Palatino Linotype"/>
        </w:rPr>
        <w:t xml:space="preserve">el </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03874/INFOEM/IP/RR/2022,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 haga entrega, vía SAIMEX, lo siguiente:</w:t>
      </w:r>
    </w:p>
    <w:p w:rsidR="00257869" w:rsidRDefault="0067250C">
      <w:pPr>
        <w:numPr>
          <w:ilvl w:val="0"/>
          <w:numId w:val="1"/>
        </w:numPr>
        <w:pBdr>
          <w:top w:val="nil"/>
          <w:left w:val="nil"/>
          <w:bottom w:val="nil"/>
          <w:right w:val="nil"/>
          <w:between w:val="nil"/>
        </w:pBdr>
        <w:tabs>
          <w:tab w:val="left" w:pos="709"/>
          <w:tab w:val="left" w:pos="993"/>
        </w:tabs>
        <w:spacing w:before="240" w:after="16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Acuerdo del Comité de Transparencia, en el que clasifique las copias y la relación de las Cartillas de Identidad del Servicio Militar Nacional tramitadas en el munici</w:t>
      </w:r>
      <w:r w:rsidR="00471BBC">
        <w:rPr>
          <w:rFonts w:ascii="Palatino Linotype" w:eastAsia="Palatino Linotype" w:hAnsi="Palatino Linotype" w:cs="Palatino Linotype"/>
          <w:color w:val="000000"/>
        </w:rPr>
        <w:t xml:space="preserve">pio de </w:t>
      </w:r>
      <w:proofErr w:type="spellStart"/>
      <w:r w:rsidR="00471BBC">
        <w:rPr>
          <w:rFonts w:ascii="Palatino Linotype" w:eastAsia="Palatino Linotype" w:hAnsi="Palatino Linotype" w:cs="Palatino Linotype"/>
          <w:color w:val="000000"/>
        </w:rPr>
        <w:t>Temamatla</w:t>
      </w:r>
      <w:proofErr w:type="spellEnd"/>
      <w:r w:rsidR="00471BBC">
        <w:rPr>
          <w:rFonts w:ascii="Palatino Linotype" w:eastAsia="Palatino Linotype" w:hAnsi="Palatino Linotype" w:cs="Palatino Linotype"/>
          <w:color w:val="000000"/>
        </w:rPr>
        <w:t xml:space="preserve"> en los años 2015, 2016, 2017, 2018, 2019, 2020, 2021 y del uno al</w:t>
      </w:r>
      <w:r>
        <w:rPr>
          <w:rFonts w:ascii="Palatino Linotype" w:eastAsia="Palatino Linotype" w:hAnsi="Palatino Linotype" w:cs="Palatino Linotype"/>
          <w:color w:val="000000"/>
        </w:rPr>
        <w:t xml:space="preserve"> </w:t>
      </w:r>
      <w:r w:rsidR="00471BBC" w:rsidRPr="00471BBC">
        <w:rPr>
          <w:rFonts w:ascii="Palatino Linotype" w:eastAsia="Palatino Linotype" w:hAnsi="Palatino Linotype" w:cs="Palatino Linotype"/>
          <w:color w:val="000000"/>
        </w:rPr>
        <w:t>dieciocho de febrero</w:t>
      </w:r>
      <w:r w:rsidR="00471BBC">
        <w:rPr>
          <w:rFonts w:ascii="Palatino Linotype" w:eastAsia="Palatino Linotype" w:hAnsi="Palatino Linotype" w:cs="Palatino Linotype"/>
          <w:color w:val="000000"/>
        </w:rPr>
        <w:t xml:space="preserve"> de</w:t>
      </w:r>
      <w:r w:rsidRPr="00471BBC">
        <w:rPr>
          <w:rFonts w:ascii="Palatino Linotype" w:eastAsia="Palatino Linotype" w:hAnsi="Palatino Linotype" w:cs="Palatino Linotype"/>
          <w:color w:val="000000"/>
        </w:rPr>
        <w:t xml:space="preserve"> 2022</w:t>
      </w:r>
      <w:r>
        <w:rPr>
          <w:rFonts w:ascii="Palatino Linotype" w:eastAsia="Palatino Linotype" w:hAnsi="Palatino Linotype" w:cs="Palatino Linotype"/>
          <w:color w:val="000000"/>
        </w:rPr>
        <w:t>, como confidenciales en su totalidad.</w:t>
      </w:r>
    </w:p>
    <w:p w:rsidR="00257869" w:rsidRPr="00471BBC" w:rsidRDefault="0067250C">
      <w:pPr>
        <w:tabs>
          <w:tab w:val="left" w:pos="567"/>
        </w:tabs>
        <w:spacing w:before="120" w:after="120"/>
        <w:ind w:left="426" w:right="49"/>
        <w:jc w:val="both"/>
        <w:rPr>
          <w:sz w:val="22"/>
          <w:szCs w:val="22"/>
        </w:rPr>
      </w:pPr>
      <w:r w:rsidRPr="00471BBC">
        <w:rPr>
          <w:rFonts w:ascii="Palatino Linotype" w:eastAsia="Palatino Linotype" w:hAnsi="Palatino Linotype" w:cs="Palatino Linotype"/>
          <w:i/>
          <w:sz w:val="20"/>
          <w:szCs w:val="20"/>
        </w:rPr>
        <w:t>De ser el caso en el que no haya generado Cartillas de Identidad del Servicio Militar Nacional durante el periodo</w:t>
      </w:r>
      <w:r w:rsidR="00F35BF7">
        <w:rPr>
          <w:rFonts w:ascii="Palatino Linotype" w:eastAsia="Palatino Linotype" w:hAnsi="Palatino Linotype" w:cs="Palatino Linotype"/>
          <w:i/>
          <w:sz w:val="20"/>
          <w:szCs w:val="20"/>
        </w:rPr>
        <w:t xml:space="preserve"> del</w:t>
      </w:r>
      <w:r w:rsidRPr="00471BBC">
        <w:rPr>
          <w:rFonts w:ascii="Palatino Linotype" w:eastAsia="Palatino Linotype" w:hAnsi="Palatino Linotype" w:cs="Palatino Linotype"/>
          <w:i/>
          <w:sz w:val="20"/>
          <w:szCs w:val="20"/>
        </w:rPr>
        <w:t xml:space="preserve"> </w:t>
      </w:r>
      <w:r w:rsidR="00471BBC" w:rsidRPr="00471BBC">
        <w:rPr>
          <w:rFonts w:ascii="Palatino Linotype" w:eastAsia="Palatino Linotype" w:hAnsi="Palatino Linotype" w:cs="Palatino Linotype"/>
          <w:i/>
          <w:sz w:val="20"/>
          <w:szCs w:val="20"/>
        </w:rPr>
        <w:t xml:space="preserve">uno al dieciocho de febrero </w:t>
      </w:r>
      <w:r w:rsidR="00471BBC">
        <w:rPr>
          <w:rFonts w:ascii="Palatino Linotype" w:eastAsia="Palatino Linotype" w:hAnsi="Palatino Linotype" w:cs="Palatino Linotype"/>
          <w:i/>
          <w:sz w:val="20"/>
          <w:szCs w:val="20"/>
        </w:rPr>
        <w:t xml:space="preserve">de </w:t>
      </w:r>
      <w:r w:rsidR="00471BBC" w:rsidRPr="00471BBC">
        <w:rPr>
          <w:rFonts w:ascii="Palatino Linotype" w:eastAsia="Palatino Linotype" w:hAnsi="Palatino Linotype" w:cs="Palatino Linotype"/>
          <w:i/>
          <w:sz w:val="20"/>
          <w:szCs w:val="20"/>
        </w:rPr>
        <w:t>2022</w:t>
      </w:r>
      <w:r w:rsidRPr="00471BBC">
        <w:rPr>
          <w:rFonts w:ascii="Palatino Linotype" w:eastAsia="Palatino Linotype" w:hAnsi="Palatino Linotype" w:cs="Palatino Linotype"/>
          <w:i/>
          <w:sz w:val="20"/>
          <w:szCs w:val="20"/>
        </w:rPr>
        <w:t xml:space="preserve">, bastará con que el </w:t>
      </w:r>
      <w:r w:rsidRPr="00471BBC">
        <w:rPr>
          <w:rFonts w:ascii="Palatino Linotype" w:eastAsia="Palatino Linotype" w:hAnsi="Palatino Linotype" w:cs="Palatino Linotype"/>
          <w:b/>
          <w:i/>
          <w:sz w:val="20"/>
          <w:szCs w:val="20"/>
        </w:rPr>
        <w:t>Sujeto Obligado</w:t>
      </w:r>
      <w:r w:rsidRPr="00471BBC">
        <w:rPr>
          <w:rFonts w:ascii="Palatino Linotype" w:eastAsia="Palatino Linotype" w:hAnsi="Palatino Linotype" w:cs="Palatino Linotype"/>
          <w:i/>
          <w:sz w:val="20"/>
          <w:szCs w:val="20"/>
        </w:rPr>
        <w:t xml:space="preserve"> lo haga del conocimiento de la parte </w:t>
      </w:r>
      <w:r w:rsidRPr="00471BBC">
        <w:rPr>
          <w:rFonts w:ascii="Palatino Linotype" w:eastAsia="Palatino Linotype" w:hAnsi="Palatino Linotype" w:cs="Palatino Linotype"/>
          <w:b/>
          <w:i/>
          <w:sz w:val="20"/>
          <w:szCs w:val="20"/>
        </w:rPr>
        <w:t>Recurrente</w:t>
      </w:r>
      <w:r w:rsidRPr="00471BBC">
        <w:rPr>
          <w:rFonts w:ascii="Palatino Linotype" w:eastAsia="Palatino Linotype" w:hAnsi="Palatino Linotype" w:cs="Palatino Linotype"/>
          <w:i/>
          <w:sz w:val="20"/>
          <w:szCs w:val="20"/>
        </w:rPr>
        <w:t>, de manera fundada y motivada para dar por satisfecho el derecho de acceso a la información pública. </w:t>
      </w:r>
    </w:p>
    <w:p w:rsidR="00257869" w:rsidRDefault="0067250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w:t>
      </w:r>
      <w:r>
        <w:rPr>
          <w:rFonts w:ascii="Palatino Linotype" w:eastAsia="Palatino Linotype" w:hAnsi="Palatino Linotype" w:cs="Palatino Linotype"/>
        </w:rPr>
        <w:lastRenderedPageBreak/>
        <w:t>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57869" w:rsidRDefault="0067250C">
      <w:pPr>
        <w:spacing w:before="240" w:after="240" w:line="360" w:lineRule="auto"/>
        <w:jc w:val="both"/>
        <w:rPr>
          <w:rFonts w:ascii="Palatino Linotype" w:eastAsia="Palatino Linotype" w:hAnsi="Palatino Linotype" w:cs="Palatino Linotype"/>
        </w:rPr>
      </w:pPr>
      <w:bookmarkStart w:id="4" w:name="_heading=h.4d34og8" w:colFirst="0" w:colLast="0"/>
      <w:bookmarkEnd w:id="4"/>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00CF0DE6">
        <w:rPr>
          <w:rFonts w:ascii="Palatino Linotype" w:eastAsia="Palatino Linotype" w:hAnsi="Palatino Linotype" w:cs="Palatino Linotype"/>
        </w:rPr>
        <w:t xml:space="preserve">al </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257869" w:rsidRDefault="0067250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VEINTIDÓS DE JUNIO DE DOS MIL VEINTIDÓS, ANTE EL SECRETARIO TÉCNICO DEL PLENO, ALEXIS TAPIA RAMÍREZ.</w:t>
      </w: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bookmarkStart w:id="5" w:name="_GoBack"/>
      <w:bookmarkEnd w:id="5"/>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p w:rsidR="00257869" w:rsidRDefault="00257869">
      <w:pPr>
        <w:spacing w:before="240" w:after="240" w:line="360" w:lineRule="auto"/>
        <w:jc w:val="both"/>
        <w:rPr>
          <w:rFonts w:ascii="Palatino Linotype" w:eastAsia="Palatino Linotype" w:hAnsi="Palatino Linotype" w:cs="Palatino Linotype"/>
        </w:rPr>
      </w:pPr>
    </w:p>
    <w:sectPr w:rsidR="0025786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3C7" w:rsidRDefault="005523C7">
      <w:r>
        <w:separator/>
      </w:r>
    </w:p>
  </w:endnote>
  <w:endnote w:type="continuationSeparator" w:id="0">
    <w:p w:rsidR="005523C7" w:rsidRDefault="0055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869" w:rsidRDefault="006725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13201">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13201">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257869" w:rsidRDefault="0025786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869" w:rsidRDefault="0067250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1320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13201">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257869" w:rsidRDefault="0025786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3C7" w:rsidRDefault="005523C7">
      <w:r>
        <w:separator/>
      </w:r>
    </w:p>
  </w:footnote>
  <w:footnote w:type="continuationSeparator" w:id="0">
    <w:p w:rsidR="005523C7" w:rsidRDefault="005523C7">
      <w:r>
        <w:continuationSeparator/>
      </w:r>
    </w:p>
  </w:footnote>
  <w:footnote w:id="1">
    <w:p w:rsidR="00257869" w:rsidRDefault="0067250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rsidR="00257869" w:rsidRDefault="0067250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257869" w:rsidRDefault="0067250C">
      <w:pPr>
        <w:tabs>
          <w:tab w:val="right" w:pos="0"/>
        </w:tabs>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i/>
          <w:sz w:val="16"/>
          <w:szCs w:val="16"/>
        </w:rPr>
        <w:t>“</w:t>
      </w:r>
      <w:r>
        <w:rPr>
          <w:rFonts w:ascii="Palatino Linotype" w:eastAsia="Palatino Linotype" w:hAnsi="Palatino Linotype" w:cs="Palatino Linotype"/>
          <w:b/>
          <w:i/>
          <w:sz w:val="16"/>
          <w:szCs w:val="16"/>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16"/>
          <w:szCs w:val="16"/>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footnote>
  <w:footnote w:id="3">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https://www.gob.mx/sedena/documentos/renueva-tu-cartilla-del-s-m-n</w:t>
      </w:r>
    </w:p>
  </w:footnote>
  <w:footnote w:id="4">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 Transparencia y Acceso a la Información</w:t>
      </w:r>
      <w:r>
        <w:rPr>
          <w:rFonts w:ascii="Palatino Linotype" w:eastAsia="Palatino Linotype" w:hAnsi="Palatino Linotype" w:cs="Palatino Linotype"/>
          <w:color w:val="C00000"/>
          <w:sz w:val="16"/>
          <w:szCs w:val="16"/>
        </w:rPr>
        <w:t xml:space="preserve"> </w:t>
      </w:r>
      <w:r>
        <w:rPr>
          <w:rFonts w:ascii="Palatino Linotype" w:eastAsia="Palatino Linotype" w:hAnsi="Palatino Linotype" w:cs="Palatino Linotype"/>
          <w:color w:val="000000"/>
          <w:sz w:val="16"/>
          <w:szCs w:val="16"/>
        </w:rPr>
        <w:t>Pública</w:t>
      </w:r>
      <w:r>
        <w:rPr>
          <w:rFonts w:ascii="Palatino Linotype" w:eastAsia="Palatino Linotype" w:hAnsi="Palatino Linotype" w:cs="Palatino Linotype"/>
          <w:color w:val="C00000"/>
          <w:sz w:val="16"/>
          <w:szCs w:val="16"/>
        </w:rPr>
        <w:t xml:space="preserve"> </w:t>
      </w:r>
      <w:r>
        <w:rPr>
          <w:rFonts w:ascii="Palatino Linotype" w:eastAsia="Palatino Linotype" w:hAnsi="Palatino Linotype" w:cs="Palatino Linotype"/>
          <w:color w:val="000000"/>
          <w:sz w:val="16"/>
          <w:szCs w:val="16"/>
        </w:rPr>
        <w:t>del Estado de México y Municipios.</w:t>
      </w:r>
    </w:p>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 w:id="5">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 xml:space="preserve">Artículo 159. </w:t>
      </w:r>
      <w:r>
        <w:rPr>
          <w:rFonts w:ascii="Palatino Linotype" w:eastAsia="Palatino Linotype" w:hAnsi="Palatino Linotype" w:cs="Palatino Linotype"/>
          <w:color w:val="000000"/>
          <w:sz w:val="16"/>
          <w:szCs w:val="16"/>
        </w:rPr>
        <w:t>Tratándose de las resoluciones a los recursos de revisión de los Organismos garantes de las Entidades Federativas, los particulares podrán optar por acudir ante el Instituto o ante el Poder Judicial de la Federación.</w:t>
      </w:r>
    </w:p>
  </w:footnote>
  <w:footnote w:id="6">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160.</w:t>
      </w:r>
      <w:r>
        <w:rPr>
          <w:rFonts w:ascii="Palatino Linotype" w:eastAsia="Palatino Linotype" w:hAnsi="Palatino Linotype" w:cs="Palatino Linotype"/>
          <w:color w:val="000000"/>
          <w:sz w:val="16"/>
          <w:szCs w:val="16"/>
        </w:rPr>
        <w:t xml:space="preserve"> El recurso de inconformidad procede contra las resoluciones emitidas por los Organismos garantes de las Entidades Federativas que:</w:t>
      </w:r>
    </w:p>
    <w:p w:rsidR="00257869" w:rsidRDefault="0067250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Confirmen o modifiquen la clasificación de la información, 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869" w:rsidRDefault="0067250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-450214</wp:posOffset>
          </wp:positionV>
          <wp:extent cx="7809865" cy="1016571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257869">
      <w:tc>
        <w:tcPr>
          <w:tcW w:w="2489" w:type="dxa"/>
          <w:shd w:val="clear" w:color="auto" w:fill="auto"/>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257869" w:rsidRDefault="0067250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03874/INFOEM/IP/RR/2022</w:t>
          </w:r>
        </w:p>
      </w:tc>
    </w:tr>
    <w:tr w:rsidR="00257869">
      <w:trPr>
        <w:trHeight w:val="228"/>
      </w:trPr>
      <w:tc>
        <w:tcPr>
          <w:tcW w:w="2489" w:type="dxa"/>
          <w:shd w:val="clear" w:color="auto" w:fill="auto"/>
          <w:vAlign w:val="center"/>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257869" w:rsidRDefault="0067250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Temamatla</w:t>
          </w:r>
          <w:proofErr w:type="spellEnd"/>
        </w:p>
      </w:tc>
    </w:tr>
    <w:tr w:rsidR="00257869">
      <w:tc>
        <w:tcPr>
          <w:tcW w:w="2489" w:type="dxa"/>
          <w:shd w:val="clear" w:color="auto" w:fill="auto"/>
          <w:vAlign w:val="center"/>
        </w:tcPr>
        <w:p w:rsidR="00257869" w:rsidRDefault="0067250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257869" w:rsidRDefault="0067250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57869" w:rsidRDefault="0067250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869" w:rsidRDefault="0025786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5670" w:type="dxa"/>
      <w:tblInd w:w="3261" w:type="dxa"/>
      <w:tblLayout w:type="fixed"/>
      <w:tblLook w:val="0400" w:firstRow="0" w:lastRow="0" w:firstColumn="0" w:lastColumn="0" w:noHBand="0" w:noVBand="1"/>
    </w:tblPr>
    <w:tblGrid>
      <w:gridCol w:w="2551"/>
      <w:gridCol w:w="3119"/>
    </w:tblGrid>
    <w:tr w:rsidR="00257869">
      <w:tc>
        <w:tcPr>
          <w:tcW w:w="2551" w:type="dxa"/>
          <w:shd w:val="clear" w:color="auto" w:fill="auto"/>
          <w:vAlign w:val="center"/>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257869" w:rsidRDefault="0067250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03874/INFOEM/IP/RR/2022</w:t>
          </w:r>
        </w:p>
      </w:tc>
    </w:tr>
    <w:tr w:rsidR="00257869">
      <w:trPr>
        <w:trHeight w:val="130"/>
      </w:trPr>
      <w:tc>
        <w:tcPr>
          <w:tcW w:w="2551" w:type="dxa"/>
          <w:shd w:val="clear" w:color="auto" w:fill="auto"/>
          <w:vAlign w:val="center"/>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257869" w:rsidRDefault="00013201" w:rsidP="00404D9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w:t>
          </w:r>
        </w:p>
      </w:tc>
    </w:tr>
    <w:tr w:rsidR="00257869">
      <w:trPr>
        <w:trHeight w:val="228"/>
      </w:trPr>
      <w:tc>
        <w:tcPr>
          <w:tcW w:w="2551" w:type="dxa"/>
          <w:shd w:val="clear" w:color="auto" w:fill="auto"/>
          <w:vAlign w:val="center"/>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257869" w:rsidRDefault="0067250C">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Temamatla</w:t>
          </w:r>
          <w:proofErr w:type="spellEnd"/>
        </w:p>
      </w:tc>
    </w:tr>
    <w:tr w:rsidR="00257869">
      <w:tc>
        <w:tcPr>
          <w:tcW w:w="2551" w:type="dxa"/>
          <w:shd w:val="clear" w:color="auto" w:fill="auto"/>
          <w:vAlign w:val="center"/>
        </w:tcPr>
        <w:p w:rsidR="00257869" w:rsidRDefault="0067250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257869" w:rsidRDefault="0067250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57869" w:rsidRDefault="0067250C">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-1095374</wp:posOffset>
          </wp:positionH>
          <wp:positionV relativeFrom="paragraph">
            <wp:posOffset>-1154734</wp:posOffset>
          </wp:positionV>
          <wp:extent cx="7809876" cy="10165823"/>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6F0"/>
    <w:multiLevelType w:val="multilevel"/>
    <w:tmpl w:val="4F08655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CA37D5"/>
    <w:multiLevelType w:val="multilevel"/>
    <w:tmpl w:val="63005F88"/>
    <w:lvl w:ilvl="0">
      <w:start w:val="1"/>
      <w:numFmt w:val="decimal"/>
      <w:lvlText w:val="%1."/>
      <w:lvlJc w:val="left"/>
      <w:pPr>
        <w:ind w:left="1571" w:hanging="360"/>
      </w:pPr>
      <w:rPr>
        <w:b/>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20A04FB3"/>
    <w:multiLevelType w:val="multilevel"/>
    <w:tmpl w:val="954ACCAE"/>
    <w:lvl w:ilvl="0">
      <w:start w:val="1"/>
      <w:numFmt w:val="upperRoman"/>
      <w:pStyle w:val="Listaconvietas3"/>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2CD406A6"/>
    <w:multiLevelType w:val="hybridMultilevel"/>
    <w:tmpl w:val="97DA2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5E250D"/>
    <w:multiLevelType w:val="multilevel"/>
    <w:tmpl w:val="577CA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869"/>
    <w:rsid w:val="00013201"/>
    <w:rsid w:val="00257869"/>
    <w:rsid w:val="0027500E"/>
    <w:rsid w:val="002B76F4"/>
    <w:rsid w:val="00404D9F"/>
    <w:rsid w:val="004200A1"/>
    <w:rsid w:val="00471BBC"/>
    <w:rsid w:val="005523C7"/>
    <w:rsid w:val="005D728F"/>
    <w:rsid w:val="0067250C"/>
    <w:rsid w:val="006E57DA"/>
    <w:rsid w:val="00891532"/>
    <w:rsid w:val="00A3153A"/>
    <w:rsid w:val="00B35EB7"/>
    <w:rsid w:val="00C12A71"/>
    <w:rsid w:val="00CA412E"/>
    <w:rsid w:val="00CD7190"/>
    <w:rsid w:val="00CF0DE6"/>
    <w:rsid w:val="00D35243"/>
    <w:rsid w:val="00D51862"/>
    <w:rsid w:val="00DA1D44"/>
    <w:rsid w:val="00E069FF"/>
    <w:rsid w:val="00F35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D507D2-E252-4394-97D5-88CE7663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uiPriority w:val="99"/>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IPafN7Ji7dDc3Sr8Ml1QIFHlBg==">AMUW2mU/LKgF/kXV52uyl+Z61cWpGeCsD/0Y0/WXeijjDtcrcm7lpSRinYm9qf89148dbTkttCA6qr7/Mh6gMcXur8q4SMBZkk0ZcP0SKvrt4J6KBs55aX1xUHlYT3tK4mKxiMUb3hcDQE2XWfHmXP69iz12l89WA52qwgsgoo1Gm3XBU9Ejk2r47C5nz/VC87u9+eA4QU2p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4890</Words>
  <Characters>26897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3</cp:revision>
  <dcterms:created xsi:type="dcterms:W3CDTF">2022-06-20T18:55:00Z</dcterms:created>
  <dcterms:modified xsi:type="dcterms:W3CDTF">2022-07-07T17:52:00Z</dcterms:modified>
</cp:coreProperties>
</file>