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0502A8" w:rsidP="00077796" w:rsidRDefault="000502A8" w14:paraId="016A3837" w14:textId="77777777">
      <w:pPr>
        <w:spacing w:after="0" w:line="360" w:lineRule="auto"/>
        <w:rPr>
          <w:rFonts w:eastAsia="Calibri" w:cs="Tahoma"/>
          <w:bCs/>
        </w:rPr>
      </w:pPr>
    </w:p>
    <w:p w:rsidRPr="00326CBC" w:rsidR="00C853D1" w:rsidP="00077796" w:rsidRDefault="00C853D1" w14:paraId="1DF6BBF6" w14:textId="0E558208">
      <w:pPr>
        <w:spacing w:after="0" w:line="360" w:lineRule="auto"/>
        <w:rPr>
          <w:rFonts w:eastAsia="Times New Roman" w:cs="Tahoma"/>
          <w:bCs/>
          <w:lang w:eastAsia="es-ES"/>
        </w:rPr>
      </w:pPr>
      <w:r w:rsidRPr="00326CBC">
        <w:rPr>
          <w:rFonts w:eastAsia="Calibri" w:cs="Tahoma"/>
          <w:bCs/>
        </w:rPr>
        <w:t xml:space="preserve">Resolución del Pleno del Instituto de Transparencia, Acceso a la Información Pública y </w:t>
      </w:r>
      <w:r w:rsidRPr="00326CBC">
        <w:rPr>
          <w:rFonts w:eastAsia="Times New Roman" w:cs="Tahoma"/>
          <w:bCs/>
          <w:lang w:eastAsia="es-ES"/>
        </w:rPr>
        <w:t xml:space="preserve">Protección de Datos Personales del Estado de México y Municipios, con domicilio en Metepec, Estado de México, de fecha </w:t>
      </w:r>
      <w:r w:rsidRPr="00326CBC" w:rsidR="0084765B">
        <w:rPr>
          <w:rFonts w:eastAsia="Times New Roman" w:cs="Tahoma"/>
          <w:bCs/>
          <w:lang w:eastAsia="es-ES"/>
        </w:rPr>
        <w:t>once de mayo de dos mil veintidós.</w:t>
      </w:r>
    </w:p>
    <w:p w:rsidRPr="00326CBC" w:rsidR="00C853D1" w:rsidP="00077796" w:rsidRDefault="00C853D1" w14:paraId="1D95A1A3" w14:textId="77777777">
      <w:pPr>
        <w:tabs>
          <w:tab w:val="left" w:pos="2839"/>
        </w:tabs>
        <w:spacing w:after="0" w:line="360" w:lineRule="auto"/>
        <w:rPr>
          <w:rFonts w:eastAsia="Times New Roman" w:cs="Tahoma"/>
          <w:bCs/>
          <w:lang w:eastAsia="es-ES"/>
        </w:rPr>
      </w:pPr>
    </w:p>
    <w:p w:rsidRPr="00326CBC" w:rsidR="00C853D1" w:rsidP="02ED519F" w:rsidRDefault="00C853D1" w14:paraId="1066B8D1" w14:textId="3EF70C93">
      <w:pPr>
        <w:spacing w:after="0" w:line="360" w:lineRule="auto"/>
        <w:jc w:val="both"/>
        <w:rPr>
          <w:rFonts w:eastAsia="Calibri" w:cs="Tahoma"/>
        </w:rPr>
      </w:pPr>
      <w:r w:rsidRPr="02ED519F" w:rsidR="02ED519F">
        <w:rPr>
          <w:rFonts w:eastAsia="Times New Roman" w:cs="Tahoma"/>
          <w:b w:val="1"/>
          <w:bCs w:val="1"/>
          <w:lang w:eastAsia="es-ES"/>
        </w:rPr>
        <w:t>VISTO</w:t>
      </w:r>
      <w:r w:rsidRPr="02ED519F" w:rsidR="02ED519F">
        <w:rPr>
          <w:rFonts w:eastAsia="Calibri" w:cs="Tahoma"/>
        </w:rPr>
        <w:t xml:space="preserve"> el expediente conformado con motivo del Recurso de Revisión 02766/INFOEM/IP/RR/2022, interpuesto por </w:t>
      </w:r>
      <w:r w:rsidRPr="02ED519F" w:rsidR="02ED519F">
        <w:rPr>
          <w:rFonts w:eastAsia="Calibri" w:cs="Tahoma"/>
          <w:b w:val="0"/>
          <w:bCs w:val="0"/>
          <w:highlight w:val="black"/>
          <w:u w:val="none"/>
        </w:rPr>
        <w:t>XXXXXXXXXXXXXXXXXXXXXXXXXXXX</w:t>
      </w:r>
      <w:r w:rsidRPr="02ED519F" w:rsidR="02ED519F">
        <w:rPr>
          <w:rFonts w:eastAsia="Calibri" w:cs="Tahoma"/>
        </w:rPr>
        <w:t>, en lo sucesivo Recurrente o Particular, en contra de la respuesta del Sujeto Obligado, Secretaría de Seguridad, a la solicitud de acceso a la información 00037/SSEM/IP/2022, se emite la presente Resolución, con base en los Antecedentes y Considerandos que se exponen a continuación:</w:t>
      </w:r>
    </w:p>
    <w:p w:rsidRPr="00326CBC" w:rsidR="00C853D1" w:rsidP="00077796" w:rsidRDefault="00C853D1" w14:paraId="4FCCF228" w14:textId="77777777">
      <w:pPr>
        <w:spacing w:after="0" w:line="360" w:lineRule="auto"/>
        <w:rPr>
          <w:rFonts w:eastAsia="Calibri" w:cs="Tahoma"/>
        </w:rPr>
      </w:pPr>
    </w:p>
    <w:p w:rsidRPr="00326CBC" w:rsidR="00C853D1" w:rsidP="00077796" w:rsidRDefault="00C853D1" w14:paraId="0472C645" w14:textId="77777777">
      <w:pPr>
        <w:tabs>
          <w:tab w:val="center" w:pos="4522"/>
          <w:tab w:val="left" w:pos="7245"/>
        </w:tabs>
        <w:spacing w:after="0" w:line="360" w:lineRule="auto"/>
        <w:jc w:val="center"/>
        <w:rPr>
          <w:rFonts w:eastAsia="Calibri" w:cs="Tahoma"/>
          <w:b/>
        </w:rPr>
      </w:pPr>
      <w:r w:rsidRPr="00326CBC">
        <w:rPr>
          <w:rFonts w:eastAsia="Calibri" w:cs="Tahoma"/>
          <w:b/>
        </w:rPr>
        <w:t>A N T E C E D E N T E S:</w:t>
      </w:r>
    </w:p>
    <w:p w:rsidRPr="00326CBC" w:rsidR="00C853D1" w:rsidP="00077796" w:rsidRDefault="00C853D1" w14:paraId="422D0175" w14:textId="77777777">
      <w:pPr>
        <w:spacing w:after="0" w:line="360" w:lineRule="auto"/>
      </w:pPr>
    </w:p>
    <w:p w:rsidRPr="00326CBC" w:rsidR="00C853D1" w:rsidP="00077796" w:rsidRDefault="00C853D1" w14:paraId="539DCEC7" w14:textId="77777777">
      <w:pPr>
        <w:tabs>
          <w:tab w:val="left" w:pos="567"/>
        </w:tabs>
        <w:spacing w:after="0" w:line="360" w:lineRule="auto"/>
        <w:rPr>
          <w:rFonts w:eastAsia="Times New Roman" w:cs="Tahoma"/>
          <w:b/>
          <w:lang w:eastAsia="es-ES"/>
        </w:rPr>
      </w:pPr>
      <w:r w:rsidRPr="00326CBC">
        <w:rPr>
          <w:rFonts w:eastAsia="Times New Roman" w:cs="Tahoma"/>
          <w:b/>
          <w:lang w:eastAsia="es-ES"/>
        </w:rPr>
        <w:t>I. Presentación de la solicitud de información:</w:t>
      </w:r>
    </w:p>
    <w:p w:rsidRPr="00326CBC" w:rsidR="00C853D1" w:rsidP="00077796" w:rsidRDefault="00C853D1" w14:paraId="681289FF" w14:textId="77777777">
      <w:pPr>
        <w:tabs>
          <w:tab w:val="left" w:pos="567"/>
        </w:tabs>
        <w:spacing w:after="0" w:line="360" w:lineRule="auto"/>
        <w:rPr>
          <w:rFonts w:eastAsia="Times New Roman" w:cs="Tahoma"/>
          <w:lang w:eastAsia="es-ES"/>
        </w:rPr>
      </w:pPr>
    </w:p>
    <w:p w:rsidRPr="00326CBC" w:rsidR="001D2A3B" w:rsidP="00077796" w:rsidRDefault="001D2A3B" w14:paraId="267A3045" w14:textId="2379C007">
      <w:pPr>
        <w:pStyle w:val="Prrafodelista"/>
        <w:tabs>
          <w:tab w:val="left" w:pos="567"/>
        </w:tabs>
        <w:spacing w:line="360" w:lineRule="auto"/>
        <w:ind w:left="0"/>
        <w:rPr>
          <w:rFonts w:cs="Tahoma"/>
          <w:b/>
          <w:szCs w:val="22"/>
        </w:rPr>
      </w:pPr>
      <w:r w:rsidRPr="00326CBC">
        <w:rPr>
          <w:rFonts w:cs="Tahoma"/>
          <w:szCs w:val="22"/>
        </w:rPr>
        <w:t xml:space="preserve">Con fecha treinta y uno de enero de dos mil veintidós, se tuvo por presentada una solicitud de acceso a la información pública del Particular, a través del Sistema de Acceso a la Información Mexiquense (SAIMEX), ante </w:t>
      </w:r>
      <w:r w:rsidRPr="00326CBC" w:rsidR="00960764">
        <w:rPr>
          <w:rFonts w:cs="Tahoma"/>
          <w:szCs w:val="22"/>
        </w:rPr>
        <w:t xml:space="preserve">la </w:t>
      </w:r>
      <w:r w:rsidRPr="00326CBC" w:rsidR="00960764">
        <w:rPr>
          <w:rFonts w:cs="Tahoma"/>
          <w:bCs/>
          <w:szCs w:val="22"/>
        </w:rPr>
        <w:t>Secretaría de Seguridad</w:t>
      </w:r>
      <w:r w:rsidRPr="00326CBC">
        <w:rPr>
          <w:rFonts w:cs="Tahoma"/>
          <w:bCs/>
          <w:szCs w:val="22"/>
        </w:rPr>
        <w:t xml:space="preserve">, </w:t>
      </w:r>
      <w:r w:rsidRPr="00326CBC">
        <w:rPr>
          <w:rFonts w:cs="Tahoma"/>
          <w:b/>
          <w:szCs w:val="22"/>
        </w:rPr>
        <w:t xml:space="preserve">ya que si bien, se registró, el </w:t>
      </w:r>
      <w:r w:rsidRPr="00326CBC" w:rsidR="00C919F0">
        <w:rPr>
          <w:rFonts w:cs="Tahoma"/>
          <w:b/>
          <w:szCs w:val="22"/>
        </w:rPr>
        <w:t>veintinueve</w:t>
      </w:r>
      <w:r w:rsidRPr="00326CBC">
        <w:rPr>
          <w:rFonts w:cs="Tahoma"/>
          <w:b/>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w:t>
      </w:r>
      <w:r w:rsidR="000502A8">
        <w:rPr>
          <w:rFonts w:cs="Tahoma"/>
          <w:b/>
          <w:szCs w:val="22"/>
        </w:rPr>
        <w:t>eintidós</w:t>
      </w:r>
      <w:r w:rsidRPr="00326CBC">
        <w:rPr>
          <w:rFonts w:cs="Tahoma"/>
          <w:b/>
          <w:szCs w:val="22"/>
        </w:rPr>
        <w:t xml:space="preserve"> y enero dos mil </w:t>
      </w:r>
      <w:r w:rsidR="000502A8">
        <w:rPr>
          <w:rFonts w:cs="Tahoma"/>
          <w:b/>
          <w:szCs w:val="22"/>
        </w:rPr>
        <w:t>veintitrés</w:t>
      </w:r>
      <w:r w:rsidRPr="00326CBC">
        <w:rPr>
          <w:rFonts w:cs="Tahoma"/>
          <w:b/>
          <w:szCs w:val="22"/>
        </w:rPr>
        <w:t xml:space="preserve">, por lo que, se tuvo por recibida el día hábil subsecuente, </w:t>
      </w:r>
      <w:r w:rsidRPr="00326CBC">
        <w:rPr>
          <w:rFonts w:cs="Tahoma"/>
          <w:szCs w:val="22"/>
        </w:rPr>
        <w:t>en los siguientes términos:</w:t>
      </w:r>
    </w:p>
    <w:p w:rsidR="00C853D1" w:rsidP="00077796" w:rsidRDefault="00C853D1" w14:paraId="32AF4217" w14:textId="62FB3825">
      <w:pPr>
        <w:spacing w:after="0" w:line="360" w:lineRule="auto"/>
        <w:rPr>
          <w:rFonts w:eastAsia="Calibri" w:cs="Tahoma"/>
        </w:rPr>
      </w:pPr>
    </w:p>
    <w:p w:rsidRPr="00326CBC" w:rsidR="000502A8" w:rsidP="00077796" w:rsidRDefault="000502A8" w14:paraId="5AA5DD0D" w14:textId="77777777">
      <w:pPr>
        <w:spacing w:after="0" w:line="360" w:lineRule="auto"/>
        <w:rPr>
          <w:rFonts w:eastAsia="Calibri" w:cs="Tahoma"/>
        </w:rPr>
      </w:pPr>
    </w:p>
    <w:p w:rsidRPr="00326CBC" w:rsidR="00C853D1" w:rsidP="00077796" w:rsidRDefault="00C853D1" w14:paraId="08873B8F" w14:textId="77777777">
      <w:pPr>
        <w:tabs>
          <w:tab w:val="left" w:pos="4667"/>
        </w:tabs>
        <w:spacing w:after="0" w:line="360" w:lineRule="auto"/>
        <w:ind w:left="567" w:right="567"/>
        <w:rPr>
          <w:rFonts w:eastAsia="Times New Roman" w:cs="Tahoma"/>
          <w:b/>
          <w:i/>
          <w:iCs/>
          <w:sz w:val="20"/>
          <w:szCs w:val="20"/>
          <w:lang w:eastAsia="es-ES"/>
        </w:rPr>
      </w:pPr>
      <w:r w:rsidRPr="00326CBC">
        <w:rPr>
          <w:rFonts w:eastAsia="Times New Roman" w:cs="Tahoma"/>
          <w:b/>
          <w:i/>
          <w:iCs/>
          <w:sz w:val="20"/>
          <w:szCs w:val="20"/>
          <w:lang w:eastAsia="es-ES"/>
        </w:rPr>
        <w:lastRenderedPageBreak/>
        <w:t>“DESCRIPCIÓN CLARA Y PRECISA DE LA INFORMACIÓN SOLICITADA.</w:t>
      </w:r>
    </w:p>
    <w:p w:rsidRPr="00326CBC" w:rsidR="00C853D1" w:rsidP="00077796" w:rsidRDefault="004A63BD" w14:paraId="47049033" w14:textId="4C5FE628">
      <w:pPr>
        <w:tabs>
          <w:tab w:val="left" w:pos="4667"/>
        </w:tabs>
        <w:spacing w:after="0" w:line="360" w:lineRule="auto"/>
        <w:ind w:left="567" w:right="567"/>
        <w:rPr>
          <w:rFonts w:eastAsia="Times New Roman" w:cs="Tahoma"/>
          <w:bCs/>
          <w:i/>
          <w:iCs/>
          <w:sz w:val="20"/>
          <w:szCs w:val="20"/>
          <w:lang w:eastAsia="es-ES"/>
        </w:rPr>
      </w:pPr>
      <w:r w:rsidRPr="00326CBC">
        <w:rPr>
          <w:rFonts w:eastAsia="Times New Roman" w:cs="Tahoma"/>
          <w:bCs/>
          <w:i/>
          <w:iCs/>
          <w:sz w:val="20"/>
          <w:szCs w:val="20"/>
          <w:lang w:eastAsia="es-ES"/>
        </w:rPr>
        <w:t>1. Copia de los contratos de compra venta, adquisición u operación de Alarma Silenciosa celebrados por este Sujeto desde el año 2015 hasta la fecha.</w:t>
      </w:r>
      <w:r w:rsidRPr="00326CBC" w:rsidR="00C853D1">
        <w:rPr>
          <w:rFonts w:eastAsia="Times New Roman" w:cs="Tahoma"/>
          <w:bCs/>
          <w:i/>
          <w:iCs/>
          <w:sz w:val="20"/>
          <w:szCs w:val="20"/>
          <w:lang w:eastAsia="es-ES"/>
        </w:rPr>
        <w:t xml:space="preserve">” (Sic) </w:t>
      </w:r>
    </w:p>
    <w:p w:rsidRPr="00326CBC" w:rsidR="00C853D1" w:rsidP="00077796" w:rsidRDefault="00C853D1" w14:paraId="151CD7A9" w14:textId="77777777">
      <w:pPr>
        <w:tabs>
          <w:tab w:val="left" w:pos="4667"/>
        </w:tabs>
        <w:spacing w:after="0" w:line="360" w:lineRule="auto"/>
        <w:ind w:left="567" w:right="567"/>
        <w:rPr>
          <w:rFonts w:eastAsia="Times New Roman" w:cs="Tahoma"/>
          <w:b/>
          <w:bCs/>
          <w:i/>
          <w:iCs/>
          <w:sz w:val="20"/>
          <w:lang w:eastAsia="es-ES"/>
        </w:rPr>
      </w:pPr>
    </w:p>
    <w:p w:rsidRPr="00326CBC" w:rsidR="00C853D1" w:rsidP="00077796" w:rsidRDefault="00C853D1" w14:paraId="0E8A2DCA" w14:textId="77777777">
      <w:pPr>
        <w:tabs>
          <w:tab w:val="left" w:pos="4667"/>
        </w:tabs>
        <w:spacing w:after="0" w:line="360" w:lineRule="auto"/>
        <w:ind w:left="567" w:right="567"/>
        <w:rPr>
          <w:rFonts w:eastAsia="Times New Roman" w:cs="Tahoma"/>
          <w:b/>
          <w:bCs/>
          <w:i/>
          <w:iCs/>
          <w:sz w:val="20"/>
          <w:lang w:eastAsia="es-ES"/>
        </w:rPr>
      </w:pPr>
      <w:r w:rsidRPr="00326CBC">
        <w:rPr>
          <w:rFonts w:eastAsia="Times New Roman" w:cs="Tahoma"/>
          <w:b/>
          <w:bCs/>
          <w:i/>
          <w:iCs/>
          <w:sz w:val="20"/>
          <w:lang w:eastAsia="es-ES"/>
        </w:rPr>
        <w:t>“MODALIDAD DE ENTREGA</w:t>
      </w:r>
    </w:p>
    <w:p w:rsidRPr="00326CBC" w:rsidR="00C853D1" w:rsidP="00077796" w:rsidRDefault="00C853D1" w14:paraId="59678C94" w14:textId="1E32CB35">
      <w:pPr>
        <w:spacing w:after="0" w:line="360" w:lineRule="auto"/>
        <w:ind w:left="567" w:right="567"/>
        <w:rPr>
          <w:rFonts w:eastAsia="Times New Roman" w:cs="Arial"/>
          <w:bCs/>
          <w:i/>
          <w:iCs/>
          <w:sz w:val="20"/>
          <w:lang w:eastAsia="es-ES"/>
        </w:rPr>
      </w:pPr>
      <w:r w:rsidRPr="00326CBC">
        <w:rPr>
          <w:rFonts w:eastAsia="Times New Roman" w:cs="Arial"/>
          <w:bCs/>
          <w:i/>
          <w:iCs/>
          <w:sz w:val="20"/>
          <w:lang w:eastAsia="es-ES"/>
        </w:rPr>
        <w:t>A través del SAIMEX”</w:t>
      </w:r>
    </w:p>
    <w:p w:rsidRPr="00326CBC" w:rsidR="00682222" w:rsidP="00077796" w:rsidRDefault="00682222" w14:paraId="1DAA8380" w14:textId="77777777">
      <w:pPr>
        <w:spacing w:after="0" w:line="360" w:lineRule="auto"/>
        <w:ind w:left="567" w:right="567"/>
        <w:rPr>
          <w:rFonts w:eastAsia="Times New Roman" w:cs="Arial"/>
          <w:bCs/>
          <w:i/>
          <w:iCs/>
          <w:sz w:val="20"/>
          <w:lang w:eastAsia="es-ES"/>
        </w:rPr>
      </w:pPr>
    </w:p>
    <w:p w:rsidRPr="00326CBC" w:rsidR="00C853D1" w:rsidP="00077796" w:rsidRDefault="00C853D1" w14:paraId="7488ED31" w14:textId="77777777">
      <w:pPr>
        <w:autoSpaceDE w:val="0"/>
        <w:autoSpaceDN w:val="0"/>
        <w:adjustRightInd w:val="0"/>
        <w:spacing w:after="0" w:line="360" w:lineRule="auto"/>
        <w:rPr>
          <w:b/>
          <w:bCs/>
        </w:rPr>
      </w:pPr>
      <w:r w:rsidRPr="00326CBC">
        <w:rPr>
          <w:rFonts w:cs="Tahoma"/>
          <w:b/>
        </w:rPr>
        <w:t>II.</w:t>
      </w:r>
      <w:r w:rsidRPr="00326CBC">
        <w:rPr>
          <w:b/>
          <w:bCs/>
        </w:rPr>
        <w:t xml:space="preserve"> Respuesta del Sujeto Obligado. </w:t>
      </w:r>
    </w:p>
    <w:p w:rsidRPr="00326CBC" w:rsidR="00C853D1" w:rsidP="00077796" w:rsidRDefault="00C853D1" w14:paraId="4400726D" w14:textId="77777777">
      <w:pPr>
        <w:spacing w:after="0" w:line="360" w:lineRule="auto"/>
      </w:pPr>
    </w:p>
    <w:p w:rsidRPr="00326CBC" w:rsidR="00EE78CE" w:rsidP="00077796" w:rsidRDefault="00C853D1" w14:paraId="508B9658" w14:textId="3C9A0FC2">
      <w:pPr>
        <w:spacing w:after="0" w:line="360" w:lineRule="auto"/>
      </w:pPr>
      <w:r w:rsidRPr="00326CBC">
        <w:t xml:space="preserve">Con fecha </w:t>
      </w:r>
      <w:r w:rsidRPr="00326CBC" w:rsidR="00863692">
        <w:t xml:space="preserve">veintidós de febrero de dos mil veintiuno, </w:t>
      </w:r>
      <w:r w:rsidRPr="00326CBC" w:rsidR="00252EF3">
        <w:t>el Sujeto Obligado notificó, a través del Sistema de Acceso a la Información Mexiquense (SAIMEX), la respuesta a la solicitud</w:t>
      </w:r>
      <w:r w:rsidRPr="00326CBC" w:rsidR="006441E1">
        <w:t xml:space="preserve"> de acceso a la información pública</w:t>
      </w:r>
      <w:r w:rsidRPr="00326CBC" w:rsidR="00252EF3">
        <w:t xml:space="preserve">, mediante </w:t>
      </w:r>
      <w:r w:rsidRPr="00326CBC" w:rsidR="00E30E7E">
        <w:t>el oficio sin número</w:t>
      </w:r>
      <w:r w:rsidRPr="00326CBC" w:rsidR="00682222">
        <w:t xml:space="preserve">, </w:t>
      </w:r>
      <w:r w:rsidR="000502A8">
        <w:t>de</w:t>
      </w:r>
      <w:r w:rsidRPr="00326CBC" w:rsidR="00EE78CE">
        <w:t xml:space="preserve">l dieciocho </w:t>
      </w:r>
      <w:r w:rsidR="000502A8">
        <w:t>de dicho mes y año</w:t>
      </w:r>
      <w:r w:rsidRPr="00326CBC" w:rsidR="00EE78CE">
        <w:t xml:space="preserve">, suscrito por la Titular de la Unidad de Transparencia y es dirigido al Solicitante, de cuyo contenido se desprende lo siguiente: </w:t>
      </w:r>
    </w:p>
    <w:p w:rsidRPr="00326CBC" w:rsidR="00EE78CE" w:rsidP="00077796" w:rsidRDefault="00EE78CE" w14:paraId="4932D5B9" w14:textId="77777777">
      <w:pPr>
        <w:spacing w:after="0" w:line="360" w:lineRule="auto"/>
      </w:pPr>
    </w:p>
    <w:p w:rsidRPr="00326CBC" w:rsidR="00EE78CE" w:rsidP="00077796" w:rsidRDefault="00EE78CE" w14:paraId="6C718361" w14:textId="356F6B84">
      <w:pPr>
        <w:spacing w:after="0" w:line="360" w:lineRule="auto"/>
        <w:ind w:left="567" w:right="567"/>
        <w:rPr>
          <w:i/>
          <w:iCs/>
          <w:sz w:val="20"/>
          <w:szCs w:val="20"/>
        </w:rPr>
      </w:pPr>
      <w:r w:rsidRPr="00326CBC">
        <w:rPr>
          <w:i/>
          <w:iCs/>
          <w:sz w:val="20"/>
          <w:szCs w:val="20"/>
        </w:rPr>
        <w:t>“…</w:t>
      </w:r>
    </w:p>
    <w:p w:rsidRPr="00326CBC" w:rsidR="00484F2D" w:rsidP="00077796" w:rsidRDefault="00484F2D" w14:paraId="4ADE5988" w14:textId="77777777">
      <w:pPr>
        <w:spacing w:after="0" w:line="360" w:lineRule="auto"/>
        <w:ind w:left="567" w:right="567"/>
        <w:rPr>
          <w:i/>
          <w:iCs/>
          <w:sz w:val="20"/>
          <w:szCs w:val="20"/>
        </w:rPr>
      </w:pPr>
      <w:r w:rsidRPr="00326CBC">
        <w:rPr>
          <w:i/>
          <w:iCs/>
          <w:sz w:val="20"/>
          <w:szCs w:val="20"/>
        </w:rPr>
        <w:t>En cumplimiento a lo que establecen los artículos 1, 4, 6, 16, 17 y 45 de la Ley General de Transparencia y Acceso a la Información Pública, así como 1, 2, 7, 8, 11, 50, 52, 53 fracciones 11, V, VI y XII, 58, 59 Fracción 1,162 y 163 de la Ley de Transparencia y Acceso a la Información Pública del Estado de México y Municipios, se informa:</w:t>
      </w:r>
    </w:p>
    <w:p w:rsidRPr="00326CBC" w:rsidR="00484F2D" w:rsidP="00077796" w:rsidRDefault="00484F2D" w14:paraId="4F1D9916" w14:textId="77777777">
      <w:pPr>
        <w:spacing w:after="0" w:line="360" w:lineRule="auto"/>
        <w:ind w:left="567" w:right="567"/>
        <w:rPr>
          <w:i/>
          <w:iCs/>
          <w:sz w:val="20"/>
          <w:szCs w:val="20"/>
        </w:rPr>
      </w:pPr>
    </w:p>
    <w:p w:rsidRPr="00326CBC" w:rsidR="00484F2D" w:rsidP="00077796" w:rsidRDefault="00484F2D" w14:paraId="3D86C34C" w14:textId="77777777">
      <w:pPr>
        <w:spacing w:after="0" w:line="360" w:lineRule="auto"/>
        <w:ind w:left="567" w:right="567"/>
        <w:rPr>
          <w:i/>
          <w:iCs/>
          <w:sz w:val="20"/>
          <w:szCs w:val="20"/>
        </w:rPr>
      </w:pPr>
      <w:r w:rsidRPr="00326CBC">
        <w:rPr>
          <w:i/>
          <w:iCs/>
          <w:sz w:val="20"/>
          <w:szCs w:val="20"/>
        </w:rPr>
        <w:t>Mediante oficios números 20600007000000S/UIPPE/0145/2022 y 20600007000000S/UIPPE/0146/2022 se requirió la información a los Servidores Públicos Habilitados de Oficialía Mayor y del Centro de Control, Comando, Comunicación, Computo y Calidad de este Sujeto Obligado, quienes a su vez mediante similares números 206030000001OOS/US/048/2022 y 20600202000000L/C5/03142/2022, respectivamente informaron:</w:t>
      </w:r>
    </w:p>
    <w:p w:rsidRPr="00326CBC" w:rsidR="00484F2D" w:rsidP="00077796" w:rsidRDefault="00484F2D" w14:paraId="75FF206F" w14:textId="77777777">
      <w:pPr>
        <w:spacing w:after="0" w:line="360" w:lineRule="auto"/>
        <w:ind w:left="567" w:right="567"/>
        <w:rPr>
          <w:i/>
          <w:iCs/>
          <w:sz w:val="20"/>
          <w:szCs w:val="20"/>
        </w:rPr>
      </w:pPr>
    </w:p>
    <w:p w:rsidRPr="00326CBC" w:rsidR="00484F2D" w:rsidP="00077796" w:rsidRDefault="00484F2D" w14:paraId="578C3CC2" w14:textId="77777777">
      <w:pPr>
        <w:spacing w:after="0" w:line="360" w:lineRule="auto"/>
        <w:ind w:left="567" w:right="567"/>
        <w:rPr>
          <w:i/>
          <w:iCs/>
          <w:sz w:val="20"/>
          <w:szCs w:val="20"/>
        </w:rPr>
      </w:pPr>
      <w:r w:rsidRPr="00326CBC">
        <w:rPr>
          <w:i/>
          <w:iCs/>
          <w:sz w:val="20"/>
          <w:szCs w:val="20"/>
        </w:rPr>
        <w:lastRenderedPageBreak/>
        <w:t>Cuando nos referimos a la operación de Alarma Silenciosa, se trata del Sistema de Alertamiento Código C5, el cual fue desarrollado por personal de esta Secretaria de Seguridad, que permite la conexión de las cámaras de CCTV de algunos establecimientos, convirtiéndolos en una alarma silenciosa que se puede activar rápidamente en caso de una emergencia de seguridad.</w:t>
      </w:r>
    </w:p>
    <w:p w:rsidRPr="00326CBC" w:rsidR="00EE78CE" w:rsidP="00077796" w:rsidRDefault="00EE78CE" w14:paraId="05176FD8" w14:textId="77777777">
      <w:pPr>
        <w:spacing w:after="0" w:line="360" w:lineRule="auto"/>
        <w:ind w:left="567" w:right="567"/>
        <w:rPr>
          <w:i/>
          <w:iCs/>
          <w:sz w:val="20"/>
          <w:szCs w:val="20"/>
        </w:rPr>
      </w:pPr>
    </w:p>
    <w:p w:rsidRPr="00326CBC" w:rsidR="00EE78CE" w:rsidP="00077796" w:rsidRDefault="00984889" w14:paraId="4613C4BF" w14:textId="2D3D0851">
      <w:pPr>
        <w:spacing w:after="0" w:line="360" w:lineRule="auto"/>
        <w:ind w:left="567" w:right="567"/>
        <w:rPr>
          <w:i/>
          <w:iCs/>
          <w:sz w:val="20"/>
          <w:szCs w:val="20"/>
        </w:rPr>
      </w:pPr>
      <w:r w:rsidRPr="00326CBC">
        <w:rPr>
          <w:i/>
          <w:iCs/>
          <w:sz w:val="20"/>
          <w:szCs w:val="20"/>
        </w:rPr>
        <w:t xml:space="preserve">Por lo anterior y después de una búsqueda minuciosa en los archivos correspondientes, no se encontró expediente alguno respecto de la adquisición que hace referencia, motivo por el cual no es posible proporcionarle la documentación solicitada. </w:t>
      </w:r>
    </w:p>
    <w:p w:rsidRPr="00326CBC" w:rsidR="00A9159B" w:rsidP="00077796" w:rsidRDefault="00A9159B" w14:paraId="5613931C" w14:textId="58C796FE">
      <w:pPr>
        <w:spacing w:after="0" w:line="360" w:lineRule="auto"/>
        <w:ind w:left="567" w:right="567"/>
        <w:rPr>
          <w:i/>
          <w:iCs/>
          <w:sz w:val="20"/>
          <w:szCs w:val="20"/>
        </w:rPr>
      </w:pPr>
      <w:r w:rsidRPr="00326CBC">
        <w:rPr>
          <w:i/>
          <w:iCs/>
          <w:sz w:val="20"/>
          <w:szCs w:val="20"/>
        </w:rPr>
        <w:t xml:space="preserve">…” (Sic) </w:t>
      </w:r>
    </w:p>
    <w:p w:rsidRPr="00326CBC" w:rsidR="00C853D1" w:rsidP="00077796" w:rsidRDefault="00C853D1" w14:paraId="5A132506" w14:textId="77777777">
      <w:pPr>
        <w:spacing w:after="0" w:line="360" w:lineRule="auto"/>
        <w:ind w:right="567"/>
        <w:rPr>
          <w:sz w:val="20"/>
          <w:szCs w:val="20"/>
        </w:rPr>
      </w:pPr>
    </w:p>
    <w:p w:rsidRPr="00326CBC" w:rsidR="00C853D1" w:rsidP="00077796" w:rsidRDefault="00C853D1" w14:paraId="2B803E22" w14:textId="77777777">
      <w:pPr>
        <w:spacing w:after="0" w:line="360" w:lineRule="auto"/>
        <w:rPr>
          <w:b/>
        </w:rPr>
      </w:pPr>
      <w:r w:rsidRPr="00326CBC">
        <w:rPr>
          <w:b/>
        </w:rPr>
        <w:t xml:space="preserve">III. Interposición del Recurso de Revisión. </w:t>
      </w:r>
    </w:p>
    <w:p w:rsidRPr="00326CBC" w:rsidR="00C853D1" w:rsidP="00077796" w:rsidRDefault="00C853D1" w14:paraId="71DC67DA" w14:textId="77777777">
      <w:pPr>
        <w:spacing w:after="0" w:line="360" w:lineRule="auto"/>
        <w:rPr>
          <w:bCs/>
          <w:lang w:val="es-ES"/>
        </w:rPr>
      </w:pPr>
    </w:p>
    <w:p w:rsidRPr="00326CBC" w:rsidR="0003534C" w:rsidP="00077796" w:rsidRDefault="0003534C" w14:paraId="0A811A9F" w14:textId="52D9E795">
      <w:pPr>
        <w:spacing w:after="0" w:line="360" w:lineRule="auto"/>
        <w:rPr>
          <w:b/>
          <w:bCs/>
        </w:rPr>
      </w:pPr>
      <w:r w:rsidRPr="00326CBC">
        <w:rPr>
          <w:bCs/>
        </w:rPr>
        <w:t xml:space="preserve">Con fecha tres de marzo de dos mil veintidós, </w:t>
      </w:r>
      <w:r w:rsidRPr="00326CBC">
        <w:rPr>
          <w:bCs/>
          <w:lang w:val="es-ES"/>
        </w:rPr>
        <w:t>se recibió en este Instituto, a través del Sistema de Acceso a la Información Mexiquense (SAIMEX), Recurso de Revisión interpuesto por la parte Recurrente, en contra de la respuesta por el Sujeto Obligado, a la solicitud de información</w:t>
      </w:r>
      <w:r w:rsidRPr="00326CBC">
        <w:rPr>
          <w:bCs/>
        </w:rPr>
        <w:t xml:space="preserve">, </w:t>
      </w:r>
      <w:r w:rsidRPr="00326CBC">
        <w:rPr>
          <w:b/>
          <w:bCs/>
        </w:rPr>
        <w:t xml:space="preserve">ya que si bien, se registró, el dos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w:t>
      </w:r>
      <w:r w:rsidR="000502A8">
        <w:rPr>
          <w:b/>
          <w:bCs/>
        </w:rPr>
        <w:t>veintidós</w:t>
      </w:r>
      <w:r w:rsidRPr="00326CBC">
        <w:rPr>
          <w:b/>
          <w:bCs/>
        </w:rPr>
        <w:t xml:space="preserve"> y enero dos mil </w:t>
      </w:r>
      <w:r w:rsidR="000502A8">
        <w:rPr>
          <w:b/>
          <w:bCs/>
        </w:rPr>
        <w:t>veintitrés</w:t>
      </w:r>
      <w:r w:rsidRPr="00326CBC">
        <w:rPr>
          <w:b/>
          <w:bCs/>
        </w:rPr>
        <w:t xml:space="preserve">, por lo que, se tuvo por recibida el día hábil subsecuente, </w:t>
      </w:r>
      <w:r w:rsidRPr="00326CBC">
        <w:rPr>
          <w:bCs/>
        </w:rPr>
        <w:t>en los siguientes términos:</w:t>
      </w:r>
    </w:p>
    <w:p w:rsidRPr="00326CBC" w:rsidR="00C853D1" w:rsidP="00077796" w:rsidRDefault="00C853D1" w14:paraId="3A43EC2F" w14:textId="77777777">
      <w:pPr>
        <w:spacing w:after="0" w:line="360" w:lineRule="auto"/>
        <w:rPr>
          <w:bCs/>
        </w:rPr>
      </w:pPr>
    </w:p>
    <w:p w:rsidRPr="00326CBC" w:rsidR="00C853D1" w:rsidP="00077796" w:rsidRDefault="00C853D1" w14:paraId="5AC8905A" w14:textId="77777777">
      <w:pPr>
        <w:spacing w:after="0" w:line="360" w:lineRule="auto"/>
        <w:ind w:left="567" w:right="567"/>
        <w:rPr>
          <w:bCs/>
          <w:i/>
          <w:sz w:val="20"/>
          <w:szCs w:val="20"/>
        </w:rPr>
      </w:pPr>
      <w:r w:rsidRPr="00326CBC">
        <w:rPr>
          <w:b/>
          <w:bCs/>
          <w:i/>
          <w:sz w:val="20"/>
          <w:szCs w:val="20"/>
        </w:rPr>
        <w:t>“ACTO IMPUGNADO</w:t>
      </w:r>
    </w:p>
    <w:p w:rsidRPr="00326CBC" w:rsidR="00C853D1" w:rsidP="00077796" w:rsidRDefault="007E6799" w14:paraId="5B56BF42" w14:textId="4DE57599">
      <w:pPr>
        <w:spacing w:after="0" w:line="360" w:lineRule="auto"/>
        <w:ind w:left="567" w:right="567"/>
        <w:rPr>
          <w:i/>
          <w:sz w:val="20"/>
          <w:szCs w:val="20"/>
        </w:rPr>
      </w:pPr>
      <w:r w:rsidRPr="00326CBC">
        <w:rPr>
          <w:i/>
          <w:sz w:val="20"/>
          <w:szCs w:val="20"/>
        </w:rPr>
        <w:t>Parcialidad</w:t>
      </w:r>
      <w:r w:rsidRPr="00326CBC" w:rsidR="00C853D1">
        <w:rPr>
          <w:i/>
          <w:sz w:val="20"/>
          <w:szCs w:val="20"/>
        </w:rPr>
        <w:t>.” (Sic.)</w:t>
      </w:r>
    </w:p>
    <w:p w:rsidRPr="00326CBC" w:rsidR="00C853D1" w:rsidP="00077796" w:rsidRDefault="00C853D1" w14:paraId="29F43CC4" w14:textId="77777777">
      <w:pPr>
        <w:spacing w:after="0" w:line="360" w:lineRule="auto"/>
        <w:ind w:left="567" w:right="567"/>
        <w:rPr>
          <w:i/>
          <w:sz w:val="20"/>
          <w:szCs w:val="20"/>
        </w:rPr>
      </w:pPr>
    </w:p>
    <w:p w:rsidRPr="00326CBC" w:rsidR="00C853D1" w:rsidP="00077796" w:rsidRDefault="00C853D1" w14:paraId="19CBF35D" w14:textId="77777777">
      <w:pPr>
        <w:spacing w:after="0" w:line="360" w:lineRule="auto"/>
        <w:ind w:left="567" w:right="567"/>
        <w:rPr>
          <w:b/>
          <w:i/>
          <w:sz w:val="20"/>
          <w:szCs w:val="20"/>
        </w:rPr>
      </w:pPr>
      <w:r w:rsidRPr="00326CBC">
        <w:rPr>
          <w:b/>
          <w:i/>
          <w:sz w:val="20"/>
          <w:szCs w:val="20"/>
        </w:rPr>
        <w:t>“RAZONES O MOTIVOS DE LA INCONFORMIDAD</w:t>
      </w:r>
    </w:p>
    <w:p w:rsidRPr="00326CBC" w:rsidR="00C853D1" w:rsidP="00077796" w:rsidRDefault="001A5456" w14:paraId="4043E730" w14:textId="3A08C1A8">
      <w:pPr>
        <w:spacing w:after="0" w:line="360" w:lineRule="auto"/>
        <w:ind w:left="567" w:right="567"/>
        <w:rPr>
          <w:i/>
          <w:sz w:val="20"/>
          <w:szCs w:val="20"/>
        </w:rPr>
      </w:pPr>
      <w:r w:rsidRPr="00326CBC">
        <w:rPr>
          <w:i/>
          <w:sz w:val="20"/>
          <w:szCs w:val="20"/>
        </w:rPr>
        <w:t>Dado que se trata de dispositivos, y hay históricos sobre la entrega de los mismos (</w:t>
      </w:r>
      <w:hyperlink w:history="1" r:id="rId8">
        <w:r w:rsidRPr="00326CBC">
          <w:rPr>
            <w:rStyle w:val="Hipervnculo"/>
            <w:i/>
            <w:color w:val="000000" w:themeColor="text1"/>
            <w:sz w:val="20"/>
            <w:szCs w:val="20"/>
          </w:rPr>
          <w:t>https://planamayor.com.mx/dotan-de-alarmas-silenciosas-a-prestadores-de-servicios-turisticos-de-</w:t>
        </w:r>
        <w:r w:rsidRPr="00326CBC">
          <w:rPr>
            <w:rStyle w:val="Hipervnculo"/>
            <w:i/>
            <w:color w:val="000000" w:themeColor="text1"/>
            <w:sz w:val="20"/>
            <w:szCs w:val="20"/>
          </w:rPr>
          <w:lastRenderedPageBreak/>
          <w:t>pueblos-con-encanto-del-edomex/</w:t>
        </w:r>
      </w:hyperlink>
      <w:r w:rsidRPr="00326CBC">
        <w:rPr>
          <w:i/>
          <w:sz w:val="20"/>
          <w:szCs w:val="20"/>
        </w:rPr>
        <w:t>), considero que debe existir la información, o en su caso, explicar a detalle porque no es posible entregarla.</w:t>
      </w:r>
      <w:r w:rsidRPr="00326CBC" w:rsidR="00C853D1">
        <w:rPr>
          <w:i/>
          <w:sz w:val="20"/>
          <w:szCs w:val="20"/>
        </w:rPr>
        <w:t>” (Sic.)</w:t>
      </w:r>
    </w:p>
    <w:p w:rsidRPr="00326CBC" w:rsidR="00682222" w:rsidP="00077796" w:rsidRDefault="00682222" w14:paraId="08852F84" w14:textId="77777777">
      <w:pPr>
        <w:spacing w:after="0" w:line="360" w:lineRule="auto"/>
      </w:pPr>
    </w:p>
    <w:p w:rsidRPr="00326CBC" w:rsidR="00C853D1" w:rsidP="00077796" w:rsidRDefault="00C853D1" w14:paraId="5CD0FCF6" w14:textId="77777777">
      <w:pPr>
        <w:spacing w:after="0" w:line="360" w:lineRule="auto"/>
        <w:rPr>
          <w:b/>
          <w:bCs/>
        </w:rPr>
      </w:pPr>
      <w:r w:rsidRPr="00326CBC">
        <w:rPr>
          <w:b/>
        </w:rPr>
        <w:t xml:space="preserve">IV. </w:t>
      </w:r>
      <w:r w:rsidRPr="00326CBC">
        <w:rPr>
          <w:b/>
          <w:bCs/>
        </w:rPr>
        <w:t xml:space="preserve">Trámite del </w:t>
      </w:r>
      <w:r w:rsidRPr="00326CBC">
        <w:rPr>
          <w:b/>
        </w:rPr>
        <w:t xml:space="preserve">Recurso de Revisión </w:t>
      </w:r>
      <w:r w:rsidRPr="00326CBC">
        <w:rPr>
          <w:b/>
          <w:bCs/>
        </w:rPr>
        <w:t>ante este Instituto.</w:t>
      </w:r>
    </w:p>
    <w:p w:rsidRPr="00326CBC" w:rsidR="00C853D1" w:rsidP="00077796" w:rsidRDefault="00C853D1" w14:paraId="58854E98" w14:textId="77777777">
      <w:pPr>
        <w:spacing w:after="0" w:line="360" w:lineRule="auto"/>
        <w:rPr>
          <w:b/>
          <w:bCs/>
        </w:rPr>
      </w:pPr>
    </w:p>
    <w:p w:rsidRPr="00326CBC" w:rsidR="00C853D1" w:rsidP="00077796" w:rsidRDefault="00C853D1" w14:paraId="0D250646" w14:textId="247E6723">
      <w:pPr>
        <w:spacing w:after="0" w:line="360" w:lineRule="auto"/>
        <w:rPr>
          <w:bCs/>
        </w:rPr>
      </w:pPr>
      <w:r w:rsidRPr="00326CBC">
        <w:rPr>
          <w:b/>
          <w:bCs/>
        </w:rPr>
        <w:t xml:space="preserve">a) Turno del Medio de Impugnación. </w:t>
      </w:r>
      <w:r w:rsidRPr="00326CBC">
        <w:rPr>
          <w:bCs/>
        </w:rPr>
        <w:t xml:space="preserve">El </w:t>
      </w:r>
      <w:r w:rsidRPr="00326CBC" w:rsidR="00B21A68">
        <w:rPr>
          <w:bCs/>
        </w:rPr>
        <w:t>dos de marzo de dos mil veintidós</w:t>
      </w:r>
      <w:r w:rsidRPr="00326CBC">
        <w:rPr>
          <w:bCs/>
        </w:rPr>
        <w:t xml:space="preserve">, el </w:t>
      </w:r>
      <w:r w:rsidRPr="00326CBC">
        <w:rPr>
          <w:lang w:val="es-ES"/>
        </w:rPr>
        <w:t>Sistema de Acceso a la Información Mexiquense (SAIMEX),</w:t>
      </w:r>
      <w:r w:rsidRPr="00326CBC">
        <w:rPr>
          <w:bCs/>
        </w:rPr>
        <w:t xml:space="preserve"> asignó el número de expediente </w:t>
      </w:r>
      <w:r w:rsidRPr="00326CBC" w:rsidR="00037124">
        <w:rPr>
          <w:b/>
          <w:bCs/>
        </w:rPr>
        <w:t>02766/INFOEM/IP/RR/2022</w:t>
      </w:r>
      <w:r w:rsidRPr="00326CBC">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26CBC" w:rsidR="00C853D1" w:rsidP="00077796" w:rsidRDefault="00C853D1" w14:paraId="606E51DE" w14:textId="77777777">
      <w:pPr>
        <w:spacing w:after="0" w:line="360" w:lineRule="auto"/>
        <w:rPr>
          <w:bCs/>
        </w:rPr>
      </w:pPr>
    </w:p>
    <w:p w:rsidRPr="00326CBC" w:rsidR="00C853D1" w:rsidP="00077796" w:rsidRDefault="00C853D1" w14:paraId="03479276" w14:textId="2FA45C92">
      <w:pPr>
        <w:spacing w:after="0" w:line="360" w:lineRule="auto"/>
      </w:pPr>
      <w:r w:rsidRPr="00326CBC">
        <w:rPr>
          <w:b/>
          <w:bCs/>
        </w:rPr>
        <w:t>b) Admisión del Recurso de Revisión</w:t>
      </w:r>
      <w:r w:rsidRPr="00326CBC">
        <w:rPr>
          <w:b/>
          <w:bCs/>
          <w:lang w:val="es-ES_tradnl"/>
        </w:rPr>
        <w:t xml:space="preserve">. </w:t>
      </w:r>
      <w:r w:rsidRPr="00326CBC">
        <w:rPr>
          <w:bCs/>
          <w:lang w:val="es-ES_tradnl"/>
        </w:rPr>
        <w:t xml:space="preserve">El </w:t>
      </w:r>
      <w:r w:rsidRPr="00326CBC" w:rsidR="00735084">
        <w:rPr>
          <w:bCs/>
        </w:rPr>
        <w:t>ocho de marzo de dos mil veintidós</w:t>
      </w:r>
      <w:r w:rsidRPr="00326CBC">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326CBC" w:rsidR="00C853D1" w:rsidP="00077796" w:rsidRDefault="00C853D1" w14:paraId="6BCA600D" w14:textId="77777777">
      <w:pPr>
        <w:spacing w:after="0" w:line="360" w:lineRule="auto"/>
      </w:pPr>
    </w:p>
    <w:p w:rsidRPr="00326CBC" w:rsidR="00B73EA6" w:rsidP="00077796" w:rsidRDefault="00C853D1" w14:paraId="366077B3" w14:textId="05766FE6">
      <w:pPr>
        <w:spacing w:after="0" w:line="360" w:lineRule="auto"/>
        <w:rPr>
          <w:bCs/>
        </w:rPr>
      </w:pPr>
      <w:r w:rsidRPr="00326CBC">
        <w:rPr>
          <w:b/>
        </w:rPr>
        <w:t xml:space="preserve">c) Informe Justificado. </w:t>
      </w:r>
      <w:r w:rsidRPr="00326CBC" w:rsidR="006507ED">
        <w:rPr>
          <w:bCs/>
        </w:rPr>
        <w:t xml:space="preserve">El </w:t>
      </w:r>
      <w:r w:rsidRPr="00326CBC" w:rsidR="00463EC9">
        <w:rPr>
          <w:bCs/>
        </w:rPr>
        <w:t>dieciséis de marzo de dos mil veintidós</w:t>
      </w:r>
      <w:r w:rsidRPr="00326CBC" w:rsidR="00E8346C">
        <w:rPr>
          <w:bCs/>
        </w:rPr>
        <w:t>, el Sujeto Obligado rindió su Informe Justificado,</w:t>
      </w:r>
      <w:r w:rsidRPr="00326CBC" w:rsidR="000039BC">
        <w:rPr>
          <w:bCs/>
        </w:rPr>
        <w:t xml:space="preserve"> por medio del oficio sin número</w:t>
      </w:r>
      <w:r w:rsidRPr="00326CBC" w:rsidR="00B73EA6">
        <w:rPr>
          <w:bCs/>
        </w:rPr>
        <w:t xml:space="preserve">, fechado el once del mismo mes </w:t>
      </w:r>
      <w:r w:rsidRPr="00326CBC" w:rsidR="00477DB6">
        <w:rPr>
          <w:bCs/>
        </w:rPr>
        <w:t xml:space="preserve">y año, </w:t>
      </w:r>
      <w:r w:rsidRPr="00326CBC" w:rsidR="00BC1695">
        <w:rPr>
          <w:bCs/>
        </w:rPr>
        <w:t xml:space="preserve">suscrito por la Titular de la Unidad de Transparencia y es dirigido al Comisionado Ponente, </w:t>
      </w:r>
      <w:r w:rsidRPr="00326CBC" w:rsidR="00E94815">
        <w:rPr>
          <w:bCs/>
        </w:rPr>
        <w:t xml:space="preserve">por medio del cual manifiesta y expone: </w:t>
      </w:r>
    </w:p>
    <w:p w:rsidRPr="00326CBC" w:rsidR="00E94815" w:rsidP="00077796" w:rsidRDefault="00E94815" w14:paraId="03A2EBB1" w14:textId="77777777">
      <w:pPr>
        <w:spacing w:after="0" w:line="360" w:lineRule="auto"/>
        <w:rPr>
          <w:bCs/>
        </w:rPr>
      </w:pPr>
    </w:p>
    <w:p w:rsidRPr="00326CBC" w:rsidR="00E94815" w:rsidP="00077796" w:rsidRDefault="008F1CAE" w14:paraId="3F58BDD9" w14:textId="6B1C6107">
      <w:pPr>
        <w:spacing w:after="0" w:line="360" w:lineRule="auto"/>
        <w:ind w:left="567" w:right="567"/>
        <w:rPr>
          <w:bCs/>
          <w:i/>
          <w:iCs/>
          <w:sz w:val="20"/>
          <w:szCs w:val="20"/>
        </w:rPr>
      </w:pPr>
      <w:r w:rsidRPr="00326CBC">
        <w:rPr>
          <w:bCs/>
          <w:i/>
          <w:iCs/>
          <w:sz w:val="20"/>
          <w:szCs w:val="20"/>
        </w:rPr>
        <w:t>“…</w:t>
      </w:r>
    </w:p>
    <w:p w:rsidRPr="00326CBC" w:rsidR="008F1CAE" w:rsidP="00077796" w:rsidRDefault="00A5123C" w14:paraId="6E64736A" w14:textId="67404C19">
      <w:pPr>
        <w:spacing w:after="0" w:line="360" w:lineRule="auto"/>
        <w:ind w:left="567" w:right="567"/>
        <w:rPr>
          <w:bCs/>
          <w:i/>
          <w:iCs/>
          <w:sz w:val="20"/>
          <w:szCs w:val="20"/>
        </w:rPr>
      </w:pPr>
      <w:r w:rsidRPr="00326CBC">
        <w:rPr>
          <w:bCs/>
          <w:i/>
          <w:iCs/>
          <w:sz w:val="20"/>
          <w:szCs w:val="20"/>
        </w:rPr>
        <w:t xml:space="preserve">III. </w:t>
      </w:r>
      <w:r w:rsidRPr="00326CBC" w:rsidR="00AB46A4">
        <w:rPr>
          <w:bCs/>
          <w:i/>
          <w:iCs/>
          <w:sz w:val="20"/>
          <w:szCs w:val="20"/>
        </w:rPr>
        <w:t>OBJECIÓN DEL ACTO IMPUGNADO Y RAZONES O MOTIVOS DE LA IN</w:t>
      </w:r>
      <w:r w:rsidRPr="00326CBC" w:rsidR="000C43E6">
        <w:rPr>
          <w:bCs/>
          <w:i/>
          <w:iCs/>
          <w:sz w:val="20"/>
          <w:szCs w:val="20"/>
        </w:rPr>
        <w:t xml:space="preserve">CONFORMIDAD. </w:t>
      </w:r>
    </w:p>
    <w:p w:rsidRPr="00326CBC" w:rsidR="000C43E6" w:rsidP="00077796" w:rsidRDefault="000C43E6" w14:paraId="25BDC3A1" w14:textId="77777777">
      <w:pPr>
        <w:spacing w:after="0" w:line="360" w:lineRule="auto"/>
        <w:ind w:left="567" w:right="567"/>
        <w:rPr>
          <w:bCs/>
          <w:i/>
          <w:iCs/>
          <w:sz w:val="20"/>
          <w:szCs w:val="20"/>
        </w:rPr>
      </w:pPr>
    </w:p>
    <w:p w:rsidRPr="00326CBC" w:rsidR="000C43E6" w:rsidP="00077796" w:rsidRDefault="000C43E6" w14:paraId="2BECDCF3" w14:textId="10AB1C75">
      <w:pPr>
        <w:spacing w:after="0" w:line="360" w:lineRule="auto"/>
        <w:ind w:left="567" w:right="567"/>
        <w:rPr>
          <w:bCs/>
          <w:i/>
          <w:iCs/>
          <w:sz w:val="20"/>
          <w:szCs w:val="20"/>
        </w:rPr>
      </w:pPr>
      <w:r w:rsidRPr="00326CBC">
        <w:rPr>
          <w:bCs/>
          <w:i/>
          <w:iCs/>
          <w:sz w:val="20"/>
          <w:szCs w:val="20"/>
        </w:rPr>
        <w:t>PRIMERO: Este Sujeto Obligado, conforma la respuesta proporcionada al ahora recurrente, en los siguientes términos</w:t>
      </w:r>
      <w:r w:rsidRPr="00326CBC" w:rsidR="0085092F">
        <w:rPr>
          <w:bCs/>
          <w:i/>
          <w:iCs/>
          <w:sz w:val="20"/>
          <w:szCs w:val="20"/>
        </w:rPr>
        <w:t>:</w:t>
      </w:r>
    </w:p>
    <w:p w:rsidRPr="00326CBC" w:rsidR="0085092F" w:rsidP="00077796" w:rsidRDefault="0085092F" w14:paraId="43C06E25" w14:textId="3CFFB3D6">
      <w:pPr>
        <w:spacing w:after="0" w:line="360" w:lineRule="auto"/>
        <w:ind w:left="567" w:right="567"/>
        <w:jc w:val="center"/>
        <w:rPr>
          <w:bCs/>
          <w:i/>
          <w:iCs/>
          <w:sz w:val="20"/>
          <w:szCs w:val="20"/>
        </w:rPr>
      </w:pPr>
      <w:r w:rsidRPr="00326CBC">
        <w:rPr>
          <w:bCs/>
          <w:i/>
          <w:iCs/>
          <w:sz w:val="20"/>
          <w:szCs w:val="20"/>
        </w:rPr>
        <w:t>…</w:t>
      </w:r>
    </w:p>
    <w:p w:rsidRPr="00326CBC" w:rsidR="0085092F" w:rsidP="00077796" w:rsidRDefault="00003E99" w14:paraId="5C0DA926" w14:textId="2CACBD3B">
      <w:pPr>
        <w:spacing w:after="0" w:line="360" w:lineRule="auto"/>
        <w:ind w:left="567" w:right="567"/>
        <w:rPr>
          <w:bCs/>
          <w:i/>
          <w:iCs/>
          <w:sz w:val="20"/>
          <w:szCs w:val="20"/>
        </w:rPr>
      </w:pPr>
      <w:r w:rsidRPr="00326CBC">
        <w:rPr>
          <w:bCs/>
          <w:i/>
          <w:iCs/>
          <w:sz w:val="20"/>
          <w:szCs w:val="20"/>
        </w:rPr>
        <w:t>SEGUNDO: Ahora, respecto de su Acto Impugnado “…Parcialidad…” (Sic) este Sujeto Obligado no genera comentario alguno por ser una manifestación mer</w:t>
      </w:r>
      <w:r w:rsidRPr="00326CBC" w:rsidR="00FF484C">
        <w:rPr>
          <w:bCs/>
          <w:i/>
          <w:iCs/>
          <w:sz w:val="20"/>
          <w:szCs w:val="20"/>
        </w:rPr>
        <w:t xml:space="preserve">amente subjetiva. </w:t>
      </w:r>
    </w:p>
    <w:p w:rsidRPr="00326CBC" w:rsidR="00A71463" w:rsidP="00077796" w:rsidRDefault="00A71463" w14:paraId="42EB78A9" w14:textId="77777777">
      <w:pPr>
        <w:spacing w:after="0" w:line="360" w:lineRule="auto"/>
        <w:ind w:left="567" w:right="567"/>
        <w:rPr>
          <w:bCs/>
          <w:i/>
          <w:iCs/>
          <w:sz w:val="20"/>
          <w:szCs w:val="20"/>
        </w:rPr>
      </w:pPr>
    </w:p>
    <w:p w:rsidRPr="00326CBC" w:rsidR="00A71463" w:rsidP="00077796" w:rsidRDefault="00A71463" w14:paraId="0CCDC3F7" w14:textId="7E70DC64">
      <w:pPr>
        <w:spacing w:after="0" w:line="360" w:lineRule="auto"/>
        <w:ind w:left="567" w:right="567"/>
        <w:rPr>
          <w:bCs/>
          <w:i/>
          <w:iCs/>
          <w:sz w:val="20"/>
          <w:szCs w:val="20"/>
        </w:rPr>
      </w:pPr>
      <w:r w:rsidRPr="00326CBC">
        <w:rPr>
          <w:bCs/>
          <w:i/>
          <w:iCs/>
          <w:sz w:val="20"/>
          <w:szCs w:val="20"/>
        </w:rPr>
        <w:t>Por cuando hace a los Razones o Motivos de Inconformidad “…Dado que se trata de dispositivos</w:t>
      </w:r>
      <w:r w:rsidRPr="00326CBC" w:rsidR="00387396">
        <w:rPr>
          <w:bCs/>
          <w:i/>
          <w:iCs/>
          <w:sz w:val="20"/>
          <w:szCs w:val="20"/>
        </w:rPr>
        <w:t xml:space="preserve">, y hay históricos sobre la entrega de los mismos </w:t>
      </w:r>
      <w:r w:rsidRPr="00326CBC" w:rsidR="00946801">
        <w:rPr>
          <w:bCs/>
          <w:i/>
          <w:iCs/>
          <w:sz w:val="20"/>
          <w:szCs w:val="20"/>
        </w:rPr>
        <w:t>(</w:t>
      </w:r>
      <w:hyperlink w:history="1" r:id="rId9">
        <w:r w:rsidRPr="00326CBC" w:rsidR="00946801">
          <w:rPr>
            <w:rStyle w:val="Hipervnculo"/>
            <w:i/>
            <w:iCs/>
            <w:color w:val="000000" w:themeColor="text1"/>
            <w:sz w:val="20"/>
            <w:szCs w:val="20"/>
          </w:rPr>
          <w:t>https://planamayor.com.mx/dotan-de-alarmas-silenciosas-a-prestadores-de-servicios-turisticos-de-pueblos-con-encanto-del-edomex/</w:t>
        </w:r>
      </w:hyperlink>
      <w:r w:rsidRPr="00326CBC" w:rsidR="00946801">
        <w:rPr>
          <w:i/>
          <w:iCs/>
          <w:sz w:val="20"/>
          <w:szCs w:val="20"/>
        </w:rPr>
        <w:t xml:space="preserve">) </w:t>
      </w:r>
      <w:r w:rsidRPr="00326CBC" w:rsidR="00872C1E">
        <w:rPr>
          <w:i/>
          <w:iCs/>
          <w:sz w:val="20"/>
          <w:szCs w:val="20"/>
        </w:rPr>
        <w:t>considerando que debe existir la información, o en su caso explicar a detalle porque no es posible en</w:t>
      </w:r>
      <w:r w:rsidRPr="00326CBC" w:rsidR="009A1829">
        <w:rPr>
          <w:i/>
          <w:iCs/>
          <w:sz w:val="20"/>
          <w:szCs w:val="20"/>
        </w:rPr>
        <w:t>tregarla…” (Sic)</w:t>
      </w:r>
      <w:r w:rsidRPr="00326CBC" w:rsidR="009E2242">
        <w:rPr>
          <w:i/>
          <w:iCs/>
          <w:sz w:val="20"/>
          <w:szCs w:val="20"/>
        </w:rPr>
        <w:t>. Al respecto, se generan las manifestaciones</w:t>
      </w:r>
      <w:r w:rsidRPr="00326CBC" w:rsidR="00C9360F">
        <w:rPr>
          <w:i/>
          <w:iCs/>
          <w:sz w:val="20"/>
          <w:szCs w:val="20"/>
        </w:rPr>
        <w:t xml:space="preserve"> siguientes: </w:t>
      </w:r>
    </w:p>
    <w:p w:rsidRPr="00326CBC" w:rsidR="00B73EA6" w:rsidP="00077796" w:rsidRDefault="00B73EA6" w14:paraId="0AF22CC7" w14:textId="77777777">
      <w:pPr>
        <w:spacing w:after="0" w:line="360" w:lineRule="auto"/>
        <w:ind w:left="567" w:right="567"/>
        <w:rPr>
          <w:bCs/>
          <w:i/>
          <w:iCs/>
          <w:sz w:val="20"/>
          <w:szCs w:val="20"/>
        </w:rPr>
      </w:pPr>
    </w:p>
    <w:p w:rsidRPr="00326CBC" w:rsidR="00011B2D" w:rsidP="00077796" w:rsidRDefault="00011B2D" w14:paraId="09D64C19" w14:textId="4D9EE20D">
      <w:pPr>
        <w:spacing w:after="0" w:line="360" w:lineRule="auto"/>
        <w:ind w:left="567" w:right="567"/>
        <w:rPr>
          <w:bCs/>
          <w:i/>
          <w:iCs/>
          <w:sz w:val="20"/>
          <w:szCs w:val="20"/>
        </w:rPr>
      </w:pPr>
      <w:r w:rsidRPr="00326CBC">
        <w:rPr>
          <w:bCs/>
          <w:i/>
          <w:iCs/>
          <w:sz w:val="20"/>
          <w:szCs w:val="20"/>
        </w:rPr>
        <w:t xml:space="preserve">1. Con el objetivo de brindar alternativas de comunicación que permitieran reducir los tiempos de respuesta en los reportes de emergencia del sector comercial y empresarial, </w:t>
      </w:r>
      <w:r w:rsidRPr="00326CBC">
        <w:rPr>
          <w:b/>
          <w:i/>
          <w:iCs/>
          <w:sz w:val="20"/>
          <w:szCs w:val="20"/>
        </w:rPr>
        <w:t>en el año 2016 fue desarrollado por personal del Centro de Control, Comando, Comunicación, Cómputo y Calidad de este Sujeto Obligado, el Sistema de Alertamiento Código C</w:t>
      </w:r>
      <w:r w:rsidRPr="00326CBC" w:rsidR="00EF461D">
        <w:rPr>
          <w:b/>
          <w:i/>
          <w:iCs/>
          <w:sz w:val="20"/>
          <w:szCs w:val="20"/>
        </w:rPr>
        <w:t xml:space="preserve">5. </w:t>
      </w:r>
    </w:p>
    <w:p w:rsidRPr="00326CBC" w:rsidR="00B73EA6" w:rsidP="00077796" w:rsidRDefault="00B73EA6" w14:paraId="0073EED0" w14:textId="7D321B4B">
      <w:pPr>
        <w:spacing w:after="0" w:line="360" w:lineRule="auto"/>
        <w:ind w:left="567" w:right="567"/>
        <w:rPr>
          <w:bCs/>
          <w:i/>
          <w:iCs/>
          <w:sz w:val="20"/>
          <w:szCs w:val="20"/>
        </w:rPr>
      </w:pPr>
    </w:p>
    <w:p w:rsidRPr="00326CBC" w:rsidR="00B73EA6" w:rsidP="00077796" w:rsidRDefault="00F7079B" w14:paraId="7DD1D4F6" w14:textId="7739EB63">
      <w:pPr>
        <w:spacing w:after="0" w:line="360" w:lineRule="auto"/>
        <w:ind w:left="567" w:right="567"/>
        <w:rPr>
          <w:bCs/>
          <w:i/>
          <w:iCs/>
          <w:sz w:val="20"/>
          <w:szCs w:val="20"/>
        </w:rPr>
      </w:pPr>
      <w:r w:rsidRPr="00326CBC">
        <w:rPr>
          <w:bCs/>
          <w:i/>
          <w:iCs/>
          <w:sz w:val="20"/>
          <w:szCs w:val="20"/>
        </w:rPr>
        <w:t xml:space="preserve">2. </w:t>
      </w:r>
      <w:r w:rsidRPr="00326CBC">
        <w:rPr>
          <w:b/>
          <w:i/>
          <w:iCs/>
          <w:sz w:val="20"/>
          <w:szCs w:val="20"/>
        </w:rPr>
        <w:t>El Sistema de referencia es una aplicación para Android que convierte el teléfono inteligente del usuario en una alarma silenciosa</w:t>
      </w:r>
      <w:r w:rsidRPr="00326CBC">
        <w:rPr>
          <w:bCs/>
          <w:i/>
          <w:iCs/>
          <w:sz w:val="20"/>
          <w:szCs w:val="20"/>
        </w:rPr>
        <w:t xml:space="preserve"> que se puede activar rápidamente en caso de emergencia de seguridad</w:t>
      </w:r>
      <w:r w:rsidRPr="00326CBC" w:rsidR="00DF0F3A">
        <w:rPr>
          <w:bCs/>
          <w:i/>
          <w:iCs/>
          <w:sz w:val="20"/>
          <w:szCs w:val="20"/>
        </w:rPr>
        <w:t xml:space="preserve">. </w:t>
      </w:r>
    </w:p>
    <w:p w:rsidRPr="00326CBC" w:rsidR="00C408E0" w:rsidP="00077796" w:rsidRDefault="00C408E0" w14:paraId="75293F8C" w14:textId="77777777">
      <w:pPr>
        <w:spacing w:after="0" w:line="360" w:lineRule="auto"/>
        <w:ind w:left="567" w:right="567"/>
        <w:rPr>
          <w:bCs/>
          <w:i/>
          <w:iCs/>
          <w:sz w:val="20"/>
          <w:szCs w:val="20"/>
        </w:rPr>
      </w:pPr>
    </w:p>
    <w:p w:rsidRPr="00326CBC" w:rsidR="00C408E0" w:rsidP="00077796" w:rsidRDefault="00C408E0" w14:paraId="6FA3AAC4" w14:textId="14B48F15">
      <w:pPr>
        <w:spacing w:after="0" w:line="360" w:lineRule="auto"/>
        <w:ind w:left="567" w:right="567"/>
        <w:jc w:val="center"/>
        <w:rPr>
          <w:bCs/>
          <w:i/>
          <w:iCs/>
          <w:sz w:val="20"/>
          <w:szCs w:val="20"/>
        </w:rPr>
      </w:pPr>
      <w:r w:rsidRPr="00326CBC">
        <w:rPr>
          <w:bCs/>
          <w:i/>
          <w:iCs/>
          <w:noProof/>
          <w:sz w:val="20"/>
          <w:szCs w:val="20"/>
          <w:lang w:eastAsia="es-MX"/>
        </w:rPr>
        <w:drawing>
          <wp:inline distT="0" distB="0" distL="0" distR="0" wp14:anchorId="6DE1CE33" wp14:editId="4682F927">
            <wp:extent cx="2338566" cy="2076450"/>
            <wp:effectExtent l="0" t="0" r="5080" b="0"/>
            <wp:docPr id="5" name="Imagen 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10;&#10;Descripción generada automáticamente con confianza baj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688" cy="2078335"/>
                    </a:xfrm>
                    <a:prstGeom prst="rect">
                      <a:avLst/>
                    </a:prstGeom>
                  </pic:spPr>
                </pic:pic>
              </a:graphicData>
            </a:graphic>
          </wp:inline>
        </w:drawing>
      </w:r>
    </w:p>
    <w:p w:rsidRPr="00326CBC" w:rsidR="00F7079B" w:rsidP="00077796" w:rsidRDefault="00F7079B" w14:paraId="0105FE3D" w14:textId="77777777">
      <w:pPr>
        <w:spacing w:after="0" w:line="360" w:lineRule="auto"/>
        <w:ind w:left="567" w:right="567"/>
        <w:rPr>
          <w:bCs/>
          <w:i/>
          <w:iCs/>
          <w:sz w:val="20"/>
          <w:szCs w:val="20"/>
        </w:rPr>
      </w:pPr>
    </w:p>
    <w:p w:rsidRPr="00326CBC" w:rsidR="00F7079B" w:rsidP="00077796" w:rsidRDefault="00EB6D8B" w14:paraId="1BF4D089" w14:textId="5B361B99">
      <w:pPr>
        <w:spacing w:after="0" w:line="360" w:lineRule="auto"/>
        <w:ind w:left="567" w:right="567"/>
        <w:rPr>
          <w:bCs/>
          <w:i/>
          <w:iCs/>
          <w:sz w:val="20"/>
          <w:szCs w:val="20"/>
        </w:rPr>
      </w:pPr>
      <w:r w:rsidRPr="00326CBC">
        <w:rPr>
          <w:bCs/>
          <w:i/>
          <w:iCs/>
          <w:sz w:val="20"/>
          <w:szCs w:val="20"/>
        </w:rPr>
        <w:t xml:space="preserve">3. </w:t>
      </w:r>
      <w:r w:rsidRPr="00326CBC">
        <w:rPr>
          <w:b/>
          <w:i/>
          <w:iCs/>
          <w:sz w:val="20"/>
          <w:szCs w:val="20"/>
        </w:rPr>
        <w:t>Al ser un producto desarrollado y operado por el personal de la Secretaría de Seguridad</w:t>
      </w:r>
      <w:r w:rsidRPr="00326CBC">
        <w:rPr>
          <w:bCs/>
          <w:i/>
          <w:iCs/>
          <w:sz w:val="20"/>
          <w:szCs w:val="20"/>
        </w:rPr>
        <w:t>, no requiere de productos, servicios adicionales o de terceros, que conlleven celebrar algún contrato de compraventa, adquisición u operación del Sistema de Alertamiento Código C</w:t>
      </w:r>
      <w:r w:rsidRPr="00326CBC" w:rsidR="00A96662">
        <w:rPr>
          <w:bCs/>
          <w:i/>
          <w:iCs/>
          <w:sz w:val="20"/>
          <w:szCs w:val="20"/>
        </w:rPr>
        <w:t>5.</w:t>
      </w:r>
    </w:p>
    <w:p w:rsidRPr="00326CBC" w:rsidR="00F7079B" w:rsidP="00077796" w:rsidRDefault="00F7079B" w14:paraId="49C5729D" w14:textId="77777777">
      <w:pPr>
        <w:spacing w:after="0" w:line="360" w:lineRule="auto"/>
        <w:ind w:left="567" w:right="567"/>
        <w:rPr>
          <w:bCs/>
          <w:i/>
          <w:iCs/>
          <w:sz w:val="20"/>
          <w:szCs w:val="20"/>
        </w:rPr>
      </w:pPr>
    </w:p>
    <w:p w:rsidRPr="00326CBC" w:rsidR="00F7079B" w:rsidP="00077796" w:rsidRDefault="00053CB0" w14:paraId="1CCD2570" w14:textId="16656D33">
      <w:pPr>
        <w:spacing w:after="0" w:line="360" w:lineRule="auto"/>
        <w:ind w:left="567" w:right="567"/>
        <w:rPr>
          <w:bCs/>
          <w:i/>
          <w:iCs/>
          <w:sz w:val="20"/>
          <w:szCs w:val="20"/>
        </w:rPr>
      </w:pPr>
      <w:r w:rsidRPr="00326CBC">
        <w:rPr>
          <w:bCs/>
          <w:i/>
          <w:iCs/>
          <w:sz w:val="20"/>
          <w:szCs w:val="20"/>
        </w:rPr>
        <w:t xml:space="preserve">4. De lo antes expuesto, se deduce que no existe contrato, adquisición u operación </w:t>
      </w:r>
      <w:r w:rsidRPr="00326CBC" w:rsidR="003D6F6D">
        <w:rPr>
          <w:bCs/>
          <w:i/>
          <w:iCs/>
          <w:sz w:val="20"/>
          <w:szCs w:val="20"/>
        </w:rPr>
        <w:t xml:space="preserve">que esta Dependencia haya celebrado con terceros, toda vez que no es necesario llevar a cabo estos instrumentos </w:t>
      </w:r>
      <w:r w:rsidRPr="00326CBC" w:rsidR="004750E1">
        <w:rPr>
          <w:bCs/>
          <w:i/>
          <w:iCs/>
          <w:sz w:val="20"/>
          <w:szCs w:val="20"/>
        </w:rPr>
        <w:t xml:space="preserve">jurídicos y/o administrativos para su instalación y operación, por lo que las manifestaciones vertidas por el </w:t>
      </w:r>
      <w:r w:rsidRPr="00326CBC" w:rsidR="00C6527E">
        <w:rPr>
          <w:bCs/>
          <w:i/>
          <w:iCs/>
          <w:sz w:val="20"/>
          <w:szCs w:val="20"/>
        </w:rPr>
        <w:t>r</w:t>
      </w:r>
      <w:r w:rsidRPr="00326CBC" w:rsidR="004750E1">
        <w:rPr>
          <w:bCs/>
          <w:i/>
          <w:iCs/>
          <w:sz w:val="20"/>
          <w:szCs w:val="20"/>
        </w:rPr>
        <w:t xml:space="preserve">ecurrente </w:t>
      </w:r>
      <w:r w:rsidRPr="00326CBC" w:rsidR="00C6527E">
        <w:rPr>
          <w:bCs/>
          <w:i/>
          <w:iCs/>
          <w:sz w:val="20"/>
          <w:szCs w:val="20"/>
        </w:rPr>
        <w:t xml:space="preserve">carecen de certeza jurídica </w:t>
      </w:r>
      <w:r w:rsidRPr="00326CBC" w:rsidR="009F023D">
        <w:rPr>
          <w:bCs/>
          <w:i/>
          <w:iCs/>
          <w:sz w:val="20"/>
          <w:szCs w:val="20"/>
        </w:rPr>
        <w:t xml:space="preserve">y valor probatorio. </w:t>
      </w:r>
    </w:p>
    <w:p w:rsidRPr="00326CBC" w:rsidR="009F023D" w:rsidP="00077796" w:rsidRDefault="00077796" w14:paraId="149CE875" w14:textId="0C15BAC0">
      <w:pPr>
        <w:spacing w:after="0" w:line="360" w:lineRule="auto"/>
        <w:ind w:left="567" w:right="567"/>
        <w:rPr>
          <w:bCs/>
          <w:i/>
          <w:iCs/>
          <w:sz w:val="20"/>
          <w:szCs w:val="20"/>
        </w:rPr>
      </w:pPr>
      <w:r>
        <w:rPr>
          <w:bCs/>
          <w:i/>
          <w:iCs/>
          <w:sz w:val="20"/>
          <w:szCs w:val="20"/>
        </w:rPr>
        <w:t>…</w:t>
      </w:r>
    </w:p>
    <w:p w:rsidRPr="00326CBC" w:rsidR="002F0090" w:rsidP="00077796" w:rsidRDefault="002F0090" w14:paraId="6153BFEC" w14:textId="77777777">
      <w:pPr>
        <w:spacing w:after="0" w:line="360" w:lineRule="auto"/>
        <w:ind w:left="567" w:right="567"/>
        <w:rPr>
          <w:bCs/>
          <w:i/>
          <w:iCs/>
          <w:sz w:val="20"/>
          <w:szCs w:val="20"/>
        </w:rPr>
      </w:pPr>
      <w:r w:rsidRPr="00326CBC">
        <w:rPr>
          <w:bCs/>
          <w:i/>
          <w:iCs/>
          <w:sz w:val="20"/>
          <w:szCs w:val="20"/>
        </w:rPr>
        <w:t>Por lo anteriormente fundado y motivado, respetuosamente se solicita a la Ponencia bajo su digno cargo confirmar la respuesta otorgada a la Solicitud No. 00037/SSEM/IP/2022, por considerar que las Razones o Motivos de Inconformidad expresados por el C. Solicitante, han sido debidamente solventados a través del presente Informe de Justificación, por lo que:</w:t>
      </w:r>
    </w:p>
    <w:p w:rsidRPr="00326CBC" w:rsidR="002F0090" w:rsidP="00077796" w:rsidRDefault="002F0090" w14:paraId="64F6A62F" w14:textId="77777777">
      <w:pPr>
        <w:spacing w:after="0" w:line="360" w:lineRule="auto"/>
        <w:ind w:left="567" w:right="567"/>
        <w:rPr>
          <w:bCs/>
          <w:i/>
          <w:iCs/>
          <w:sz w:val="20"/>
          <w:szCs w:val="20"/>
        </w:rPr>
      </w:pPr>
    </w:p>
    <w:p w:rsidRPr="00326CBC" w:rsidR="002F0090" w:rsidP="00077796" w:rsidRDefault="002F0090" w14:paraId="65525707" w14:textId="77777777">
      <w:pPr>
        <w:spacing w:after="0" w:line="360" w:lineRule="auto"/>
        <w:ind w:left="567" w:right="567"/>
        <w:rPr>
          <w:i/>
          <w:iCs/>
          <w:sz w:val="20"/>
          <w:szCs w:val="20"/>
        </w:rPr>
      </w:pPr>
      <w:r w:rsidRPr="00326CBC">
        <w:rPr>
          <w:i/>
          <w:iCs/>
          <w:sz w:val="20"/>
          <w:szCs w:val="20"/>
        </w:rPr>
        <w:t>A USTED C. COMISIONADO DEL INSTITUTO DE TRANSPARENCIA, ACCESO A LA INFORMACIÓN PÚBLICA Y PROTECCIÓN DE DATOS PERSONALES DEL ESTADO</w:t>
      </w:r>
    </w:p>
    <w:p w:rsidRPr="00326CBC" w:rsidR="002F0090" w:rsidP="00077796" w:rsidRDefault="002F0090" w14:paraId="22E18E59" w14:textId="77777777">
      <w:pPr>
        <w:spacing w:after="0" w:line="360" w:lineRule="auto"/>
        <w:ind w:left="567" w:right="567"/>
        <w:rPr>
          <w:bCs/>
          <w:i/>
          <w:iCs/>
          <w:sz w:val="20"/>
          <w:szCs w:val="20"/>
        </w:rPr>
      </w:pPr>
      <w:r w:rsidRPr="00326CBC">
        <w:rPr>
          <w:i/>
          <w:iCs/>
          <w:sz w:val="20"/>
          <w:szCs w:val="20"/>
        </w:rPr>
        <w:t>DE MÉXICO Y MUNICIPIOS</w:t>
      </w:r>
      <w:r w:rsidRPr="00326CBC">
        <w:rPr>
          <w:b/>
          <w:bCs/>
          <w:i/>
          <w:iCs/>
          <w:sz w:val="20"/>
          <w:szCs w:val="20"/>
        </w:rPr>
        <w:t xml:space="preserve">, </w:t>
      </w:r>
      <w:r w:rsidRPr="00326CBC">
        <w:rPr>
          <w:bCs/>
          <w:i/>
          <w:iCs/>
          <w:sz w:val="20"/>
          <w:szCs w:val="20"/>
        </w:rPr>
        <w:t>atentamente pido se sirva:</w:t>
      </w:r>
    </w:p>
    <w:p w:rsidRPr="00326CBC" w:rsidR="002F0090" w:rsidP="00077796" w:rsidRDefault="002F0090" w14:paraId="421EA7E6" w14:textId="77777777">
      <w:pPr>
        <w:spacing w:after="0" w:line="360" w:lineRule="auto"/>
        <w:ind w:left="567" w:right="567"/>
        <w:rPr>
          <w:bCs/>
          <w:i/>
          <w:iCs/>
          <w:sz w:val="20"/>
          <w:szCs w:val="20"/>
        </w:rPr>
      </w:pPr>
    </w:p>
    <w:p w:rsidRPr="00326CBC" w:rsidR="002F0090" w:rsidP="00077796" w:rsidRDefault="002F0090" w14:paraId="2D1C0BE8" w14:textId="77777777">
      <w:pPr>
        <w:spacing w:after="0" w:line="360" w:lineRule="auto"/>
        <w:ind w:left="567" w:right="567"/>
        <w:rPr>
          <w:i/>
          <w:iCs/>
          <w:sz w:val="20"/>
          <w:szCs w:val="20"/>
        </w:rPr>
      </w:pPr>
      <w:r w:rsidRPr="00326CBC">
        <w:rPr>
          <w:i/>
          <w:iCs/>
          <w:sz w:val="20"/>
          <w:szCs w:val="20"/>
        </w:rPr>
        <w:t>PRIMERO: Tener por recibido el presente Informe de Justificación en mi carácter de Titular de la Unidad de Transparencia de la Secretaría de Seguridad; y</w:t>
      </w:r>
    </w:p>
    <w:p w:rsidRPr="00326CBC" w:rsidR="002F0090" w:rsidP="00077796" w:rsidRDefault="002F0090" w14:paraId="28018598" w14:textId="77777777">
      <w:pPr>
        <w:spacing w:after="0" w:line="360" w:lineRule="auto"/>
        <w:ind w:left="567" w:right="567"/>
        <w:rPr>
          <w:i/>
          <w:iCs/>
          <w:sz w:val="20"/>
          <w:szCs w:val="20"/>
        </w:rPr>
      </w:pPr>
    </w:p>
    <w:p w:rsidRPr="00326CBC" w:rsidR="00EB6D8B" w:rsidP="00077796" w:rsidRDefault="002F0090" w14:paraId="16745328" w14:textId="4BFF8FE4">
      <w:pPr>
        <w:spacing w:after="0" w:line="360" w:lineRule="auto"/>
        <w:ind w:left="567" w:right="567"/>
        <w:rPr>
          <w:bCs/>
          <w:i/>
          <w:iCs/>
          <w:sz w:val="20"/>
          <w:szCs w:val="20"/>
        </w:rPr>
      </w:pPr>
      <w:r w:rsidRPr="00326CBC">
        <w:rPr>
          <w:i/>
          <w:iCs/>
          <w:sz w:val="20"/>
          <w:szCs w:val="20"/>
        </w:rPr>
        <w:t>SEGUNDO: Resolver a favor de este Sujeto Obligado el Recurso de Revisión que nos ocupa, en virtud de que</w:t>
      </w:r>
      <w:r w:rsidRPr="00326CBC">
        <w:rPr>
          <w:bCs/>
          <w:i/>
          <w:iCs/>
          <w:sz w:val="20"/>
          <w:szCs w:val="20"/>
        </w:rPr>
        <w:t xml:space="preserve"> la respuesta otorgada oportunamente al Recurrente, se realizó en</w:t>
      </w:r>
      <w:r w:rsidRPr="00326CBC">
        <w:rPr>
          <w:bCs/>
          <w:i/>
          <w:iCs/>
          <w:noProof/>
          <w:sz w:val="20"/>
          <w:szCs w:val="20"/>
          <w:lang w:eastAsia="es-MX"/>
        </w:rPr>
        <mc:AlternateContent>
          <mc:Choice Requires="wps">
            <w:drawing>
              <wp:anchor distT="0" distB="0" distL="114300" distR="114300" simplePos="0" relativeHeight="251658752" behindDoc="1" locked="0" layoutInCell="1" allowOverlap="1" wp14:anchorId="412FC98B" wp14:editId="71B073AF">
                <wp:simplePos x="0" y="0"/>
                <wp:positionH relativeFrom="page">
                  <wp:posOffset>5527675</wp:posOffset>
                </wp:positionH>
                <wp:positionV relativeFrom="paragraph">
                  <wp:posOffset>752475</wp:posOffset>
                </wp:positionV>
                <wp:extent cx="48895" cy="0"/>
                <wp:effectExtent l="0" t="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0"/>
                        </a:xfrm>
                        <a:prstGeom prst="line">
                          <a:avLst/>
                        </a:prstGeom>
                        <a:noFill/>
                        <a:ln w="12716">
                          <a:solidFill>
                            <a:srgbClr val="56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0BA38F8">
              <v:line id="Conector recto 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565656" strokeweight=".35322mm" from="435.25pt,59.25pt" to="439.1pt,59.25pt" w14:anchorId="4F249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">
                <w10:wrap anchorx="page"/>
              </v:line>
            </w:pict>
          </mc:Fallback>
        </mc:AlternateContent>
      </w:r>
      <w:r w:rsidRPr="00326CBC" w:rsidR="00FE3757">
        <w:rPr>
          <w:bCs/>
          <w:i/>
          <w:iCs/>
          <w:sz w:val="20"/>
          <w:szCs w:val="20"/>
        </w:rPr>
        <w:t xml:space="preserve"> </w:t>
      </w:r>
      <w:r w:rsidRPr="00326CBC">
        <w:rPr>
          <w:bCs/>
          <w:i/>
          <w:iCs/>
          <w:sz w:val="20"/>
          <w:szCs w:val="20"/>
        </w:rPr>
        <w:t>el marco de la normatividad aplicable en la materia, de acuerdo a las facultades que la legislación vigente le otorga a la</w:t>
      </w:r>
      <w:r w:rsidRPr="00326CBC" w:rsidR="00ED6473">
        <w:rPr>
          <w:bCs/>
          <w:i/>
          <w:iCs/>
          <w:sz w:val="20"/>
          <w:szCs w:val="20"/>
        </w:rPr>
        <w:t xml:space="preserve"> Secretaría de Seguridad</w:t>
      </w:r>
    </w:p>
    <w:p w:rsidRPr="00326CBC" w:rsidR="00912889" w:rsidP="00077796" w:rsidRDefault="00912889" w14:paraId="3F43E4DE" w14:textId="6897B923">
      <w:pPr>
        <w:spacing w:after="0" w:line="360" w:lineRule="auto"/>
        <w:ind w:left="567" w:right="567"/>
        <w:rPr>
          <w:bCs/>
          <w:i/>
          <w:iCs/>
          <w:sz w:val="20"/>
          <w:szCs w:val="20"/>
        </w:rPr>
      </w:pPr>
      <w:r w:rsidRPr="00326CBC">
        <w:rPr>
          <w:bCs/>
          <w:i/>
          <w:iCs/>
          <w:sz w:val="20"/>
          <w:szCs w:val="20"/>
        </w:rPr>
        <w:t xml:space="preserve">…” (Sic) </w:t>
      </w:r>
    </w:p>
    <w:p w:rsidRPr="00326CBC" w:rsidR="00EB6D8B" w:rsidP="00077796" w:rsidRDefault="00EB6D8B" w14:paraId="2722106D" w14:textId="77777777">
      <w:pPr>
        <w:spacing w:after="0" w:line="360" w:lineRule="auto"/>
        <w:rPr>
          <w:bCs/>
        </w:rPr>
      </w:pPr>
    </w:p>
    <w:p w:rsidRPr="00326CBC" w:rsidR="002D64EB" w:rsidP="00077796" w:rsidRDefault="002D64EB" w14:paraId="70739886" w14:textId="11CA0F05">
      <w:pPr>
        <w:spacing w:after="0" w:line="360" w:lineRule="auto"/>
      </w:pPr>
      <w:r w:rsidRPr="00326CBC">
        <w:rPr>
          <w:rFonts w:eastAsia="Palatino Linotype" w:cs="Palatino Linotype"/>
          <w:b/>
          <w:bCs/>
          <w:lang w:val="es-ES"/>
        </w:rPr>
        <w:t xml:space="preserve">d) Ampliación de plazo para resolver. </w:t>
      </w:r>
      <w:r w:rsidRPr="00326CBC">
        <w:rPr>
          <w:rFonts w:eastAsia="Palatino Linotype" w:cs="Palatino Linotype"/>
          <w:lang w:val="es-ES"/>
        </w:rPr>
        <w:t xml:space="preserve">El </w:t>
      </w:r>
      <w:r w:rsidRPr="00326CBC" w:rsidR="00AC4FE5">
        <w:rPr>
          <w:rFonts w:eastAsia="Palatino Linotype" w:cs="Palatino Linotype"/>
        </w:rPr>
        <w:t xml:space="preserve">veintisiete de abril de dos mil </w:t>
      </w:r>
      <w:r w:rsidRPr="00326CBC" w:rsidR="00296CC6">
        <w:rPr>
          <w:rFonts w:eastAsia="Palatino Linotype" w:cs="Palatino Linotype"/>
        </w:rPr>
        <w:t>veintidós</w:t>
      </w:r>
      <w:r w:rsidRPr="00326CBC">
        <w:rPr>
          <w:rFonts w:eastAsia="Palatino Linotype" w:cs="Palatino Linotype"/>
          <w:lang w:val="es-ES"/>
        </w:rPr>
        <w:t xml:space="preserve">, el Comisionado Ponente, con fundamento en lo dispuesto por el artículo 181, párrafo tercero, de </w:t>
      </w:r>
      <w:r w:rsidRPr="00326CBC">
        <w:rPr>
          <w:rFonts w:eastAsia="Palatino Linotype" w:cs="Palatino Linotype"/>
          <w:lang w:val="es-ES"/>
        </w:rPr>
        <w:lastRenderedPageBreak/>
        <w:t>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326CBC" w:rsidR="002D64EB" w:rsidP="00077796" w:rsidRDefault="002D64EB" w14:paraId="3151CD97" w14:textId="77777777">
      <w:pPr>
        <w:spacing w:after="0" w:line="360" w:lineRule="auto"/>
        <w:rPr>
          <w:bCs/>
        </w:rPr>
      </w:pPr>
    </w:p>
    <w:p w:rsidRPr="00326CBC" w:rsidR="007359A1" w:rsidP="00077796" w:rsidRDefault="00977890" w14:paraId="3CCF6E88" w14:textId="084E0665">
      <w:pPr>
        <w:spacing w:after="0" w:line="360" w:lineRule="auto"/>
        <w:rPr>
          <w:rFonts w:cs="Tahoma"/>
        </w:rPr>
      </w:pPr>
      <w:r w:rsidRPr="00326CBC">
        <w:rPr>
          <w:rFonts w:cs="Tahoma"/>
          <w:b/>
          <w:bCs/>
        </w:rPr>
        <w:t>e</w:t>
      </w:r>
      <w:r w:rsidRPr="00326CBC" w:rsidR="007359A1">
        <w:rPr>
          <w:rFonts w:cs="Tahoma"/>
          <w:b/>
          <w:bCs/>
        </w:rPr>
        <w:t xml:space="preserve">) Vista del Informe Justificado: </w:t>
      </w:r>
      <w:r w:rsidRPr="00326CBC" w:rsidR="007359A1">
        <w:rPr>
          <w:rFonts w:cs="Tahoma"/>
        </w:rPr>
        <w:t xml:space="preserve">El </w:t>
      </w:r>
      <w:r w:rsidRPr="00326CBC" w:rsidR="001D1519">
        <w:rPr>
          <w:rFonts w:cs="Tahoma"/>
        </w:rPr>
        <w:t>dos de mayo</w:t>
      </w:r>
      <w:r w:rsidRPr="00326CBC" w:rsidR="007359A1">
        <w:rPr>
          <w:rFonts w:cs="Tahoma"/>
        </w:rPr>
        <w:t xml:space="preserve"> de dos mil veintidós, se dictó acuerdo, por medio del cual </w:t>
      </w:r>
      <w:r w:rsidRPr="00326CBC" w:rsidR="007359A1">
        <w:rPr>
          <w:rFonts w:cs="Tahoma"/>
          <w:b/>
        </w:rPr>
        <w:t>se puso a la vista del Recurrente el Informe Justificado</w:t>
      </w:r>
      <w:r w:rsidRPr="00326CBC" w:rsidR="007359A1">
        <w:rPr>
          <w:rFonts w:cs="Tahoma"/>
        </w:rPr>
        <w:t>, entregados por el Sujeto Obligado, a fin de que en un término no mayor a tres días hábiles manifestará lo que a derecho corresponda, acto que fue notificado</w:t>
      </w:r>
      <w:r w:rsidRPr="00326CBC" w:rsidR="007359A1">
        <w:rPr>
          <w:rFonts w:eastAsia="Palatino Linotype" w:cs="Palatino Linotype"/>
          <w:lang w:val="es-ES"/>
        </w:rPr>
        <w:t xml:space="preserve"> mediante el Sistema de Acceso a la Información Mexiquense (SAIMEX).</w:t>
      </w:r>
    </w:p>
    <w:p w:rsidRPr="00326CBC" w:rsidR="00C21871" w:rsidP="00077796" w:rsidRDefault="00C21871" w14:paraId="7BB2ECE6" w14:textId="77777777">
      <w:pPr>
        <w:spacing w:after="0" w:line="360" w:lineRule="auto"/>
        <w:rPr>
          <w:rFonts w:eastAsia="Palatino Linotype" w:cs="Palatino Linotype"/>
          <w:b/>
          <w:bCs/>
        </w:rPr>
      </w:pPr>
    </w:p>
    <w:p w:rsidRPr="00326CBC" w:rsidR="004548CD" w:rsidP="00077796" w:rsidRDefault="00977890" w14:paraId="39328222" w14:textId="303FF050">
      <w:pPr>
        <w:spacing w:after="0" w:line="360" w:lineRule="auto"/>
        <w:rPr>
          <w:rFonts w:eastAsia="Palatino Linotype" w:cs="Palatino Linotype"/>
          <w:b/>
          <w:bCs/>
        </w:rPr>
      </w:pPr>
      <w:r w:rsidRPr="00326CBC">
        <w:rPr>
          <w:rFonts w:eastAsia="Times New Roman" w:cs="Tahoma"/>
          <w:b/>
          <w:szCs w:val="24"/>
          <w:lang w:eastAsia="es-ES"/>
        </w:rPr>
        <w:t>f</w:t>
      </w:r>
      <w:r w:rsidRPr="00326CBC" w:rsidR="004548CD">
        <w:rPr>
          <w:rFonts w:eastAsia="Times New Roman" w:cs="Tahoma"/>
          <w:b/>
          <w:szCs w:val="24"/>
          <w:lang w:eastAsia="es-ES"/>
        </w:rPr>
        <w:t>) Cierre de instrucción.</w:t>
      </w:r>
      <w:r w:rsidRPr="00326CBC" w:rsidR="004548CD">
        <w:rPr>
          <w:rFonts w:eastAsia="Times New Roman" w:cs="Tahoma"/>
          <w:szCs w:val="24"/>
          <w:lang w:eastAsia="es-ES"/>
        </w:rPr>
        <w:t xml:space="preserve"> El</w:t>
      </w:r>
      <w:r w:rsidRPr="00326CBC" w:rsidR="00843AB9">
        <w:rPr>
          <w:rFonts w:eastAsia="Times New Roman" w:cs="Tahoma"/>
          <w:szCs w:val="24"/>
          <w:lang w:eastAsia="es-ES"/>
        </w:rPr>
        <w:t xml:space="preserve"> </w:t>
      </w:r>
      <w:r w:rsidRPr="00326CBC" w:rsidR="00D048E0">
        <w:rPr>
          <w:rFonts w:eastAsia="Times New Roman" w:cs="Tahoma"/>
          <w:szCs w:val="24"/>
          <w:lang w:eastAsia="es-ES"/>
        </w:rPr>
        <w:t>nueve de mayo de dos mil veintidós</w:t>
      </w:r>
      <w:r w:rsidRPr="00326CBC" w:rsidR="004548CD">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326CBC" w:rsidR="004548CD">
        <w:rPr>
          <w:rFonts w:eastAsia="Palatino Linotype" w:cs="Palatino Linotype"/>
          <w:lang w:val="es-ES"/>
        </w:rPr>
        <w:t>acto que fue notificado a las partes, mediante el Sistema de Acceso a la Información Mexiquense (SAIMEX), el mismo día.</w:t>
      </w:r>
    </w:p>
    <w:p w:rsidRPr="00326CBC" w:rsidR="004548CD" w:rsidP="00077796" w:rsidRDefault="004548CD" w14:paraId="61B73302" w14:textId="77777777">
      <w:pPr>
        <w:spacing w:after="0" w:line="360" w:lineRule="auto"/>
        <w:rPr>
          <w:rFonts w:eastAsia="Times New Roman" w:cs="Tahoma"/>
          <w:szCs w:val="24"/>
          <w:lang w:eastAsia="es-ES"/>
        </w:rPr>
      </w:pPr>
    </w:p>
    <w:p w:rsidRPr="00326CBC" w:rsidR="00C853D1" w:rsidP="00077796" w:rsidRDefault="00C853D1" w14:paraId="5795BBB6" w14:textId="77777777">
      <w:pPr>
        <w:spacing w:after="0" w:line="360" w:lineRule="auto"/>
        <w:rPr>
          <w:rFonts w:eastAsia="Times New Roman" w:cs="Tahoma"/>
          <w:szCs w:val="24"/>
          <w:lang w:eastAsia="es-ES"/>
        </w:rPr>
      </w:pPr>
      <w:r w:rsidRPr="00326CBC">
        <w:rPr>
          <w:rFonts w:eastAsia="Times New Roman"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326CBC" w:rsidR="00C853D1" w:rsidP="00077796" w:rsidRDefault="00C853D1" w14:paraId="264F2B95" w14:textId="77777777">
      <w:pPr>
        <w:spacing w:after="0" w:line="360" w:lineRule="auto"/>
        <w:rPr>
          <w:rFonts w:eastAsia="Times New Roman" w:cs="Tahoma"/>
          <w:bCs/>
          <w:iCs/>
          <w:lang w:val="es-ES" w:eastAsia="es-ES"/>
        </w:rPr>
      </w:pPr>
    </w:p>
    <w:p w:rsidRPr="00326CBC" w:rsidR="00C853D1" w:rsidP="00077796" w:rsidRDefault="00C853D1" w14:paraId="4647AD46" w14:textId="77777777">
      <w:pPr>
        <w:spacing w:after="0" w:line="360" w:lineRule="auto"/>
        <w:jc w:val="center"/>
        <w:rPr>
          <w:rFonts w:eastAsia="Times New Roman" w:cs="Tahoma"/>
          <w:b/>
          <w:lang w:val="es-ES" w:eastAsia="es-ES"/>
        </w:rPr>
      </w:pPr>
      <w:r w:rsidRPr="00326CBC">
        <w:rPr>
          <w:rFonts w:eastAsia="Times New Roman" w:cs="Tahoma"/>
          <w:b/>
          <w:lang w:val="es-ES" w:eastAsia="es-ES"/>
        </w:rPr>
        <w:t>C O N S I D E R A N D O S:</w:t>
      </w:r>
    </w:p>
    <w:p w:rsidRPr="00326CBC" w:rsidR="00C853D1" w:rsidP="00077796" w:rsidRDefault="00C853D1" w14:paraId="46CF2E78" w14:textId="77777777">
      <w:pPr>
        <w:spacing w:after="0" w:line="360" w:lineRule="auto"/>
        <w:rPr>
          <w:b/>
        </w:rPr>
      </w:pPr>
    </w:p>
    <w:p w:rsidRPr="00326CBC" w:rsidR="00C853D1" w:rsidP="00077796" w:rsidRDefault="00C853D1" w14:paraId="15369BD8" w14:textId="77777777">
      <w:pPr>
        <w:autoSpaceDE w:val="0"/>
        <w:autoSpaceDN w:val="0"/>
        <w:adjustRightInd w:val="0"/>
        <w:spacing w:after="0" w:line="360" w:lineRule="auto"/>
        <w:rPr>
          <w:rFonts w:eastAsia="Times New Roman" w:cs="Tahoma"/>
          <w:b/>
          <w:szCs w:val="24"/>
          <w:lang w:val="es-ES" w:eastAsia="es-ES"/>
        </w:rPr>
      </w:pPr>
      <w:r w:rsidRPr="00326CBC">
        <w:rPr>
          <w:rFonts w:eastAsia="Calibri" w:cs="Tahoma"/>
          <w:b/>
          <w:szCs w:val="24"/>
          <w:lang w:val="es-ES" w:eastAsia="es-MX"/>
        </w:rPr>
        <w:t>PRIMERO</w:t>
      </w:r>
      <w:r w:rsidRPr="00326CBC">
        <w:rPr>
          <w:rFonts w:eastAsia="Calibri" w:cs="Tahoma"/>
          <w:szCs w:val="24"/>
          <w:lang w:val="es-ES" w:eastAsia="es-MX"/>
        </w:rPr>
        <w:t xml:space="preserve">. </w:t>
      </w:r>
      <w:r w:rsidRPr="00326CBC">
        <w:rPr>
          <w:rFonts w:eastAsia="Times New Roman" w:cs="Tahoma"/>
          <w:b/>
          <w:szCs w:val="24"/>
          <w:lang w:val="es-ES" w:eastAsia="es-ES"/>
        </w:rPr>
        <w:t>Competencia.</w:t>
      </w:r>
    </w:p>
    <w:p w:rsidRPr="00326CBC" w:rsidR="00C853D1" w:rsidP="00077796" w:rsidRDefault="00C853D1" w14:paraId="6B0576AC" w14:textId="77777777">
      <w:pPr>
        <w:autoSpaceDE w:val="0"/>
        <w:autoSpaceDN w:val="0"/>
        <w:adjustRightInd w:val="0"/>
        <w:spacing w:after="0" w:line="360" w:lineRule="auto"/>
        <w:rPr>
          <w:rFonts w:eastAsia="Times New Roman" w:cs="Tahoma"/>
          <w:b/>
          <w:szCs w:val="24"/>
          <w:lang w:val="es-ES" w:eastAsia="es-ES"/>
        </w:rPr>
      </w:pPr>
    </w:p>
    <w:p w:rsidRPr="00077796" w:rsidR="00077796" w:rsidP="00077796" w:rsidRDefault="00077796" w14:paraId="0B100593" w14:textId="77777777">
      <w:pPr>
        <w:spacing w:after="0" w:line="360" w:lineRule="auto"/>
        <w:rPr>
          <w:rFonts w:eastAsia="Times New Roman" w:cs="Tahoma"/>
          <w:bCs/>
          <w:color w:val="auto"/>
          <w:lang w:eastAsia="es-ES"/>
        </w:rPr>
      </w:pPr>
      <w:bookmarkStart w:name="_Hlk63334754" w:id="0"/>
      <w:r w:rsidRPr="00077796">
        <w:rPr>
          <w:rFonts w:eastAsia="Times New Roman" w:cs="Tahoma"/>
          <w:bCs/>
          <w:color w:val="auto"/>
          <w:lang w:eastAsia="es-ES"/>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77796">
        <w:rPr>
          <w:rFonts w:eastAsia="Times New Roman" w:cs="Times New Roman"/>
          <w:bCs/>
          <w:color w:val="auto"/>
          <w:lang w:eastAsia="es-ES"/>
        </w:rPr>
        <w:t xml:space="preserve"> 7°, </w:t>
      </w:r>
      <w:r w:rsidRPr="00077796">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26CBC" w:rsidR="00C853D1" w:rsidP="00077796" w:rsidRDefault="00C853D1" w14:paraId="4FF2492C" w14:textId="77777777">
      <w:pPr>
        <w:spacing w:after="0" w:line="360" w:lineRule="auto"/>
        <w:rPr>
          <w:rFonts w:eastAsia="Times New Roman" w:cs="Tahoma"/>
          <w:bCs/>
          <w:lang w:eastAsia="es-ES"/>
        </w:rPr>
      </w:pPr>
    </w:p>
    <w:p w:rsidRPr="00326CBC" w:rsidR="00AC3811" w:rsidP="00077796" w:rsidRDefault="00AC3811" w14:paraId="36F91E40" w14:textId="77777777">
      <w:pPr>
        <w:autoSpaceDE w:val="0"/>
        <w:autoSpaceDN w:val="0"/>
        <w:adjustRightInd w:val="0"/>
        <w:spacing w:after="0" w:line="360" w:lineRule="auto"/>
        <w:rPr>
          <w:rFonts w:eastAsia="Times New Roman" w:cs="Tahoma"/>
          <w:szCs w:val="24"/>
          <w:lang w:val="es-ES" w:eastAsia="es-ES"/>
        </w:rPr>
      </w:pPr>
      <w:r w:rsidRPr="00326CBC">
        <w:rPr>
          <w:rFonts w:eastAsia="Calibri" w:cs="Tahoma"/>
          <w:b/>
          <w:szCs w:val="24"/>
          <w:lang w:val="es-ES" w:eastAsia="es-MX"/>
        </w:rPr>
        <w:t>SEGUNDO</w:t>
      </w:r>
      <w:r w:rsidRPr="00326CBC">
        <w:rPr>
          <w:rFonts w:eastAsia="Calibri" w:cs="Tahoma"/>
          <w:szCs w:val="24"/>
          <w:lang w:val="es-ES" w:eastAsia="es-MX"/>
        </w:rPr>
        <w:t xml:space="preserve">. </w:t>
      </w:r>
      <w:r w:rsidRPr="00326CBC">
        <w:rPr>
          <w:rFonts w:eastAsia="Times New Roman" w:cs="Tahoma"/>
          <w:b/>
          <w:szCs w:val="24"/>
          <w:lang w:val="es-ES" w:eastAsia="es-ES"/>
        </w:rPr>
        <w:t>Causales de improcedencia y sobreseimiento.</w:t>
      </w:r>
      <w:r w:rsidRPr="00326CBC">
        <w:rPr>
          <w:rFonts w:eastAsia="Times New Roman" w:cs="Tahoma"/>
          <w:szCs w:val="24"/>
          <w:lang w:val="es-ES" w:eastAsia="es-ES"/>
        </w:rPr>
        <w:t xml:space="preserve"> </w:t>
      </w:r>
    </w:p>
    <w:p w:rsidRPr="00326CBC" w:rsidR="00AC3811" w:rsidP="00077796" w:rsidRDefault="00AC3811" w14:paraId="0E0A4EED" w14:textId="77777777">
      <w:pPr>
        <w:autoSpaceDE w:val="0"/>
        <w:autoSpaceDN w:val="0"/>
        <w:adjustRightInd w:val="0"/>
        <w:spacing w:after="0" w:line="360" w:lineRule="auto"/>
        <w:rPr>
          <w:rFonts w:eastAsia="Times New Roman" w:cs="Tahoma"/>
          <w:szCs w:val="24"/>
          <w:lang w:val="es-ES" w:eastAsia="es-ES"/>
        </w:rPr>
      </w:pPr>
    </w:p>
    <w:p w:rsidRPr="00326CBC" w:rsidR="00AC3811" w:rsidP="00077796" w:rsidRDefault="00AC3811" w14:paraId="3C828D20" w14:textId="77777777">
      <w:pPr>
        <w:autoSpaceDE w:val="0"/>
        <w:autoSpaceDN w:val="0"/>
        <w:adjustRightInd w:val="0"/>
        <w:spacing w:after="0" w:line="360" w:lineRule="auto"/>
        <w:rPr>
          <w:rFonts w:eastAsia="Times New Roman" w:cs="Tahoma"/>
          <w:szCs w:val="24"/>
          <w:lang w:val="es-ES" w:eastAsia="es-ES"/>
        </w:rPr>
      </w:pPr>
      <w:r w:rsidRPr="00326CBC">
        <w:rPr>
          <w:rFonts w:eastAsia="Times New Roman" w:cs="Tahoma"/>
          <w:szCs w:val="24"/>
          <w:lang w:val="es-ES" w:eastAsia="es-ES"/>
        </w:rPr>
        <w:t xml:space="preserve">De las constancias que forma parte del Recurso de Revisión que se analiza, se advierte que previo al estudio del fondo de la </w:t>
      </w:r>
      <w:r w:rsidRPr="00326CBC">
        <w:rPr>
          <w:rFonts w:eastAsia="Times New Roman" w:cs="Tahoma"/>
          <w:i/>
          <w:szCs w:val="24"/>
          <w:lang w:val="es-ES" w:eastAsia="es-ES"/>
        </w:rPr>
        <w:t>litis</w:t>
      </w:r>
      <w:r w:rsidRPr="00326CBC">
        <w:rPr>
          <w:rFonts w:eastAsia="Times New Roman" w:cs="Tahoma"/>
          <w:szCs w:val="24"/>
          <w:lang w:val="es-ES" w:eastAsia="es-ES"/>
        </w:rPr>
        <w:t>, es necesario estudiar las causales de improcedencia y sobreseimiento que se adviertan, para determinar lo que en Derecho proceda.</w:t>
      </w:r>
    </w:p>
    <w:p w:rsidRPr="00326CBC" w:rsidR="00AC3811" w:rsidP="00077796" w:rsidRDefault="00AC3811" w14:paraId="776CD2D9" w14:textId="77777777">
      <w:pPr>
        <w:autoSpaceDE w:val="0"/>
        <w:autoSpaceDN w:val="0"/>
        <w:adjustRightInd w:val="0"/>
        <w:spacing w:after="0" w:line="360" w:lineRule="auto"/>
        <w:rPr>
          <w:rFonts w:eastAsia="Times New Roman" w:cs="Tahoma"/>
          <w:szCs w:val="24"/>
          <w:lang w:val="es-ES" w:eastAsia="es-ES"/>
        </w:rPr>
      </w:pPr>
    </w:p>
    <w:p w:rsidRPr="00326CBC" w:rsidR="00AC3811" w:rsidP="00077796" w:rsidRDefault="00AC3811" w14:paraId="24E1C0F3" w14:textId="77777777">
      <w:pPr>
        <w:autoSpaceDE w:val="0"/>
        <w:autoSpaceDN w:val="0"/>
        <w:adjustRightInd w:val="0"/>
        <w:spacing w:after="0" w:line="360" w:lineRule="auto"/>
        <w:rPr>
          <w:rFonts w:eastAsia="Calibri" w:cs="Tahoma"/>
          <w:szCs w:val="24"/>
          <w:lang w:val="es-ES" w:eastAsia="es-MX"/>
        </w:rPr>
      </w:pPr>
      <w:r w:rsidRPr="00326CBC">
        <w:rPr>
          <w:rFonts w:eastAsia="Calibri" w:cs="Tahoma"/>
          <w:b/>
          <w:szCs w:val="24"/>
          <w:lang w:val="es-ES" w:eastAsia="es-MX"/>
        </w:rPr>
        <w:t>Causales de improcedencia.</w:t>
      </w:r>
      <w:r w:rsidRPr="00326CBC">
        <w:rPr>
          <w:rFonts w:eastAsia="Calibri" w:cs="Tahoma"/>
          <w:szCs w:val="24"/>
          <w:lang w:val="es-ES" w:eastAsia="es-MX"/>
        </w:rPr>
        <w:t xml:space="preserve"> </w:t>
      </w:r>
    </w:p>
    <w:p w:rsidRPr="00326CBC" w:rsidR="00AC3811" w:rsidP="00077796" w:rsidRDefault="00AC3811" w14:paraId="03B3F655" w14:textId="77777777">
      <w:pPr>
        <w:autoSpaceDE w:val="0"/>
        <w:autoSpaceDN w:val="0"/>
        <w:adjustRightInd w:val="0"/>
        <w:spacing w:after="0" w:line="360" w:lineRule="auto"/>
        <w:rPr>
          <w:rFonts w:eastAsia="Calibri" w:cs="Tahoma"/>
          <w:szCs w:val="24"/>
          <w:lang w:val="es-ES" w:eastAsia="es-MX"/>
        </w:rPr>
      </w:pPr>
    </w:p>
    <w:p w:rsidRPr="00326CBC" w:rsidR="00AC3811" w:rsidP="00077796" w:rsidRDefault="00AC3811" w14:paraId="29FDDC5E" w14:textId="77777777">
      <w:pPr>
        <w:autoSpaceDE w:val="0"/>
        <w:autoSpaceDN w:val="0"/>
        <w:adjustRightInd w:val="0"/>
        <w:spacing w:after="0" w:line="360" w:lineRule="auto"/>
        <w:rPr>
          <w:rFonts w:eastAsia="Calibri" w:cs="Tahoma"/>
          <w:lang w:val="es-ES" w:eastAsia="es-MX"/>
        </w:rPr>
      </w:pPr>
      <w:r w:rsidRPr="00326CBC">
        <w:rPr>
          <w:rFonts w:eastAsia="Calibri" w:cs="Tahoma"/>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326CBC">
        <w:rPr>
          <w:rFonts w:eastAsia="Calibri" w:cs="Tahoma"/>
          <w:b/>
          <w:bCs/>
          <w:lang w:eastAsia="es-MX"/>
        </w:rPr>
        <w:t xml:space="preserve"> </w:t>
      </w:r>
      <w:r w:rsidRPr="00326CBC">
        <w:rPr>
          <w:rFonts w:eastAsia="Calibri" w:cs="Tahoma"/>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326CBC">
        <w:rPr>
          <w:rFonts w:eastAsia="Calibri" w:cs="Tahoma"/>
          <w:lang w:eastAsia="es-MX"/>
        </w:rPr>
        <w:lastRenderedPageBreak/>
        <w:t xml:space="preserve">la Información Pública del Estado de México y Municipios, dará lugar a que el presente Recurso de Revisión sea sobreseído. </w:t>
      </w:r>
    </w:p>
    <w:p w:rsidRPr="00326CBC" w:rsidR="00AC3811" w:rsidP="00077796" w:rsidRDefault="00AC3811" w14:paraId="0AFBD28D" w14:textId="77777777">
      <w:pPr>
        <w:autoSpaceDE w:val="0"/>
        <w:autoSpaceDN w:val="0"/>
        <w:adjustRightInd w:val="0"/>
        <w:spacing w:after="0" w:line="360" w:lineRule="auto"/>
        <w:rPr>
          <w:rFonts w:eastAsia="Calibri" w:cs="Tahoma"/>
          <w:lang w:eastAsia="es-MX"/>
        </w:rPr>
      </w:pPr>
    </w:p>
    <w:p w:rsidRPr="00326CBC" w:rsidR="00AC3811" w:rsidP="00077796" w:rsidRDefault="00AC3811" w14:paraId="79C91AE0" w14:textId="77777777">
      <w:pPr>
        <w:autoSpaceDE w:val="0"/>
        <w:autoSpaceDN w:val="0"/>
        <w:adjustRightInd w:val="0"/>
        <w:spacing w:after="0" w:line="360" w:lineRule="auto"/>
        <w:rPr>
          <w:rFonts w:eastAsia="Calibri" w:cs="Tahoma"/>
          <w:lang w:eastAsia="es-MX"/>
        </w:rPr>
      </w:pPr>
      <w:r w:rsidRPr="00326CBC">
        <w:rPr>
          <w:rFonts w:eastAsia="Calibri" w:cs="Tahoma"/>
          <w:lang w:eastAsia="es-MX"/>
        </w:rPr>
        <w:t xml:space="preserve">En el presente caso, </w:t>
      </w:r>
      <w:r w:rsidRPr="00326CBC">
        <w:rPr>
          <w:rFonts w:eastAsia="Calibri" w:cs="Tahoma"/>
          <w:b/>
          <w:lang w:eastAsia="es-MX"/>
        </w:rPr>
        <w:t>no se actualiza ninguna de las causales de improcedencia</w:t>
      </w:r>
      <w:r w:rsidRPr="00326CBC">
        <w:rPr>
          <w:rFonts w:eastAsia="Calibri" w:cs="Tahoma"/>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326CBC" w:rsidR="00AC3811" w:rsidP="00077796" w:rsidRDefault="00AC3811" w14:paraId="3318F14C" w14:textId="77777777">
      <w:pPr>
        <w:spacing w:after="0" w:line="360" w:lineRule="auto"/>
        <w:rPr>
          <w:rFonts w:eastAsia="Times New Roman" w:cs="Tahoma"/>
          <w:b/>
          <w:bCs/>
          <w:lang w:eastAsia="es-ES"/>
        </w:rPr>
      </w:pPr>
    </w:p>
    <w:p w:rsidRPr="00326CBC" w:rsidR="00AC3811" w:rsidP="00077796" w:rsidRDefault="00AC3811" w14:paraId="5EEDB611" w14:textId="22F09ED8">
      <w:pPr>
        <w:spacing w:after="0" w:line="360" w:lineRule="auto"/>
        <w:rPr>
          <w:rFonts w:eastAsia="Times New Roman" w:cs="Tahoma"/>
          <w:lang w:val="es-ES" w:eastAsia="es-ES"/>
        </w:rPr>
      </w:pPr>
      <w:r w:rsidRPr="00326CBC">
        <w:rPr>
          <w:rFonts w:eastAsia="Times New Roman" w:cs="Tahoma"/>
          <w:lang w:eastAsia="es-ES"/>
        </w:rPr>
        <w:t xml:space="preserve">Asimismo, se actualiza la causal de procedencia del Recurso de Revisión señalada en el artículo 179, fracciones </w:t>
      </w:r>
      <w:r w:rsidR="00A67619">
        <w:rPr>
          <w:rFonts w:eastAsia="Times New Roman" w:cs="Tahoma"/>
          <w:lang w:eastAsia="es-ES"/>
        </w:rPr>
        <w:t>II</w:t>
      </w:r>
      <w:r w:rsidRPr="00326CBC">
        <w:rPr>
          <w:rFonts w:eastAsia="Times New Roman" w:cs="Tahoma"/>
          <w:lang w:eastAsia="es-ES"/>
        </w:rPr>
        <w:t xml:space="preserve">I, de la Ley en cita, </w:t>
      </w:r>
      <w:r w:rsidRPr="00326CBC">
        <w:rPr>
          <w:rFonts w:eastAsia="Calibri" w:cs="Tahoma"/>
          <w:lang w:eastAsia="es-MX"/>
        </w:rPr>
        <w:t xml:space="preserve">pues la Recurrente se inconformó </w:t>
      </w:r>
      <w:r w:rsidR="00A67619">
        <w:rPr>
          <w:rFonts w:eastAsia="Times New Roman" w:cs="Tahoma"/>
          <w:lang w:val="es-ES" w:eastAsia="es-ES"/>
        </w:rPr>
        <w:t>de la inexistencia de la información.</w:t>
      </w:r>
    </w:p>
    <w:p w:rsidRPr="00326CBC" w:rsidR="00AC3811" w:rsidP="00077796" w:rsidRDefault="00AC3811" w14:paraId="606E92A0" w14:textId="77777777">
      <w:pPr>
        <w:spacing w:after="0" w:line="360" w:lineRule="auto"/>
        <w:rPr>
          <w:rFonts w:eastAsia="Times New Roman" w:cs="Tahoma"/>
          <w:b/>
          <w:bCs/>
          <w:lang w:eastAsia="es-ES"/>
        </w:rPr>
      </w:pPr>
    </w:p>
    <w:p w:rsidRPr="00326CBC" w:rsidR="00AC3811" w:rsidP="00077796" w:rsidRDefault="00AC3811" w14:paraId="0CFBE5E9" w14:textId="77777777">
      <w:pPr>
        <w:spacing w:after="0" w:line="360" w:lineRule="auto"/>
        <w:rPr>
          <w:rFonts w:eastAsia="Times New Roman" w:cs="Tahoma"/>
          <w:b/>
          <w:bCs/>
          <w:lang w:eastAsia="es-ES"/>
        </w:rPr>
      </w:pPr>
      <w:r w:rsidRPr="00326CBC">
        <w:rPr>
          <w:rFonts w:eastAsia="Times New Roman" w:cs="Tahoma"/>
          <w:b/>
          <w:bCs/>
          <w:lang w:eastAsia="es-ES"/>
        </w:rPr>
        <w:t>TERCERO. Causales de sobreseimiento.</w:t>
      </w:r>
    </w:p>
    <w:p w:rsidRPr="00326CBC" w:rsidR="00AC3811" w:rsidP="00077796" w:rsidRDefault="00AC3811" w14:paraId="2501EC58" w14:textId="77777777">
      <w:pPr>
        <w:spacing w:after="0" w:line="360" w:lineRule="auto"/>
        <w:rPr>
          <w:rFonts w:eastAsia="Times New Roman" w:cs="Tahoma"/>
          <w:bCs/>
          <w:lang w:eastAsia="es-ES"/>
        </w:rPr>
      </w:pPr>
    </w:p>
    <w:p w:rsidRPr="00326CBC" w:rsidR="00CD61F0" w:rsidP="00077796" w:rsidRDefault="00CD61F0" w14:paraId="5990C005" w14:textId="77777777">
      <w:pPr>
        <w:spacing w:after="0" w:line="360" w:lineRule="auto"/>
        <w:rPr>
          <w:rFonts w:eastAsia="Times New Roman" w:cs="Tahoma"/>
          <w:lang w:eastAsia="es-ES"/>
        </w:rPr>
      </w:pPr>
      <w:r w:rsidRPr="00326CBC">
        <w:rPr>
          <w:rFonts w:eastAsia="Times New Roman" w:cs="Tahoma"/>
          <w:lang w:eastAsia="es-ES"/>
        </w:rPr>
        <w:t>Por ser de previo y especial pronunciamiento, este Instituto analiza si se actualiza alguna causal de sobreseimiento.</w:t>
      </w:r>
    </w:p>
    <w:p w:rsidRPr="00326CBC" w:rsidR="00CD61F0" w:rsidP="00077796" w:rsidRDefault="00CD61F0" w14:paraId="2123783A" w14:textId="77777777">
      <w:pPr>
        <w:spacing w:after="0" w:line="360" w:lineRule="auto"/>
        <w:rPr>
          <w:rFonts w:eastAsia="Times New Roman" w:cs="Tahoma"/>
          <w:lang w:eastAsia="es-ES"/>
        </w:rPr>
      </w:pPr>
    </w:p>
    <w:p w:rsidRPr="00326CBC" w:rsidR="00CD61F0" w:rsidP="00077796" w:rsidRDefault="00CD61F0" w14:paraId="68C81EF0" w14:textId="77777777">
      <w:pPr>
        <w:spacing w:after="0" w:line="360" w:lineRule="auto"/>
        <w:rPr>
          <w:rFonts w:eastAsia="Times New Roman" w:cs="Tahoma"/>
          <w:lang w:eastAsia="es-ES"/>
        </w:rPr>
      </w:pPr>
      <w:r w:rsidRPr="00326CBC">
        <w:rPr>
          <w:rFonts w:eastAsia="Times New Roman" w:cs="Tahoma"/>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326CBC">
        <w:rPr>
          <w:rFonts w:eastAsia="Times New Roman" w:cs="Tahoma"/>
          <w:b/>
          <w:bCs/>
          <w:lang w:eastAsia="es-ES"/>
        </w:rPr>
        <w:t>que no se actualizan los supuestos de sobreseimiento previstos en las fracciones I, II, IV y V</w:t>
      </w:r>
      <w:r w:rsidRPr="00326CBC">
        <w:rPr>
          <w:rFonts w:eastAsia="Times New Roman" w:cs="Tahoma"/>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rsidRPr="00326CBC" w:rsidR="00CD61F0" w:rsidP="00077796" w:rsidRDefault="00CD61F0" w14:paraId="6057BD2B" w14:textId="77777777">
      <w:pPr>
        <w:spacing w:after="0" w:line="360" w:lineRule="auto"/>
        <w:rPr>
          <w:rFonts w:eastAsia="Times New Roman" w:cs="Tahoma"/>
          <w:lang w:eastAsia="es-ES"/>
        </w:rPr>
      </w:pPr>
    </w:p>
    <w:p w:rsidRPr="00326CBC" w:rsidR="00CD61F0" w:rsidP="00077796" w:rsidRDefault="00CD61F0" w14:paraId="21010E9D" w14:textId="77777777">
      <w:pPr>
        <w:spacing w:after="0" w:line="360" w:lineRule="auto"/>
        <w:rPr>
          <w:rFonts w:eastAsia="Times New Roman" w:cs="Tahoma"/>
          <w:lang w:eastAsia="es-ES"/>
        </w:rPr>
      </w:pPr>
      <w:r w:rsidRPr="00326CBC">
        <w:rPr>
          <w:rFonts w:eastAsia="Times New Roman" w:cs="Tahoma"/>
          <w:lang w:eastAsia="es-ES"/>
        </w:rPr>
        <w:lastRenderedPageBreak/>
        <w:t xml:space="preserve">No obstante, por lo que hace a la hipótesis prevista en la </w:t>
      </w:r>
      <w:r w:rsidRPr="00326CBC">
        <w:rPr>
          <w:rFonts w:eastAsia="Times New Roman" w:cs="Tahoma"/>
          <w:b/>
          <w:bCs/>
          <w:lang w:eastAsia="es-ES"/>
        </w:rPr>
        <w:t>fracción III</w:t>
      </w:r>
      <w:r w:rsidRPr="00326CBC">
        <w:rPr>
          <w:rFonts w:eastAsia="Times New Roman" w:cs="Tahoma"/>
          <w:lang w:eastAsia="es-ES"/>
        </w:rPr>
        <w:t xml:space="preserve">, del artículo 192 de la Ley de la Materia, a saber, que el Sujeto Obligado durante la sustanciación del Recurso de Revisión modifique su respuesta </w:t>
      </w:r>
    </w:p>
    <w:p w:rsidRPr="00326CBC" w:rsidR="00CD61F0" w:rsidP="00077796" w:rsidRDefault="00CD61F0" w14:paraId="409A5768" w14:textId="77777777">
      <w:pPr>
        <w:autoSpaceDE w:val="0"/>
        <w:autoSpaceDN w:val="0"/>
        <w:adjustRightInd w:val="0"/>
        <w:spacing w:after="0" w:line="360" w:lineRule="auto"/>
        <w:rPr>
          <w:rFonts w:eastAsia="Calibri" w:cs="Tahoma"/>
          <w:szCs w:val="24"/>
          <w:lang w:val="es-ES" w:eastAsia="es-MX"/>
        </w:rPr>
      </w:pPr>
    </w:p>
    <w:p w:rsidRPr="00326CBC" w:rsidR="00D461A3" w:rsidP="00A67619" w:rsidRDefault="00A67619" w14:paraId="35E75F78" w14:textId="3A753B19">
      <w:pPr>
        <w:spacing w:after="0" w:line="360" w:lineRule="auto"/>
        <w:rPr>
          <w:rFonts w:eastAsia="Calibri" w:cs="Tahoma"/>
          <w:szCs w:val="24"/>
          <w:lang w:val="es-ES" w:eastAsia="es-MX"/>
        </w:rPr>
      </w:pPr>
      <w:r>
        <w:rPr>
          <w:rFonts w:cs="Tahoma"/>
          <w:szCs w:val="24"/>
          <w:lang w:val="es-ES"/>
        </w:rPr>
        <w:t xml:space="preserve">Al respecto, a efecto de verificar si se actualiza la causal de sobreseimiento, es necesario precisar que el Particular requirió </w:t>
      </w:r>
      <w:r w:rsidRPr="00326CBC" w:rsidR="000318AB">
        <w:rPr>
          <w:rFonts w:eastAsia="Calibri" w:cs="Tahoma"/>
          <w:szCs w:val="24"/>
          <w:lang w:val="es-ES" w:eastAsia="es-MX"/>
        </w:rPr>
        <w:t xml:space="preserve">los contratos de adquisición y operación de la </w:t>
      </w:r>
      <w:r>
        <w:rPr>
          <w:rFonts w:eastAsia="Calibri" w:cs="Tahoma"/>
          <w:szCs w:val="24"/>
          <w:lang w:val="es-ES" w:eastAsia="es-MX"/>
        </w:rPr>
        <w:t>a</w:t>
      </w:r>
      <w:r w:rsidRPr="00326CBC" w:rsidR="000318AB">
        <w:rPr>
          <w:rFonts w:eastAsia="Calibri" w:cs="Tahoma"/>
          <w:szCs w:val="24"/>
          <w:lang w:val="es-ES" w:eastAsia="es-MX"/>
        </w:rPr>
        <w:t xml:space="preserve">larma </w:t>
      </w:r>
      <w:r>
        <w:rPr>
          <w:rFonts w:eastAsia="Calibri" w:cs="Tahoma"/>
          <w:szCs w:val="24"/>
          <w:lang w:val="es-ES" w:eastAsia="es-MX"/>
        </w:rPr>
        <w:t>s</w:t>
      </w:r>
      <w:r w:rsidRPr="00326CBC" w:rsidR="000318AB">
        <w:rPr>
          <w:rFonts w:eastAsia="Calibri" w:cs="Tahoma"/>
          <w:szCs w:val="24"/>
          <w:lang w:val="es-ES" w:eastAsia="es-MX"/>
        </w:rPr>
        <w:t>ilenciosa</w:t>
      </w:r>
      <w:r w:rsidRPr="00326CBC" w:rsidR="003C15B5">
        <w:rPr>
          <w:rFonts w:eastAsia="Calibri" w:cs="Tahoma"/>
          <w:szCs w:val="24"/>
          <w:lang w:val="es-ES" w:eastAsia="es-MX"/>
        </w:rPr>
        <w:t xml:space="preserve">, celebrados por la </w:t>
      </w:r>
      <w:r w:rsidRPr="00326CBC" w:rsidR="003C15B5">
        <w:rPr>
          <w:rFonts w:eastAsia="Calibri" w:cs="Tahoma"/>
        </w:rPr>
        <w:t>Secretaría de Seguridad, del primero de enero de dos mil quince al treint</w:t>
      </w:r>
      <w:r w:rsidRPr="00326CBC" w:rsidR="004B11A3">
        <w:rPr>
          <w:rFonts w:eastAsia="Calibri" w:cs="Tahoma"/>
        </w:rPr>
        <w:t>a y uno de enero de dos mil veintidós</w:t>
      </w:r>
      <w:r w:rsidRPr="00326CBC" w:rsidR="00C52825">
        <w:rPr>
          <w:rFonts w:eastAsia="Calibri" w:cs="Tahoma"/>
        </w:rPr>
        <w:t xml:space="preserve">. </w:t>
      </w:r>
      <w:r w:rsidRPr="00326CBC" w:rsidR="004B11A3">
        <w:rPr>
          <w:rFonts w:eastAsia="Calibri" w:cs="Tahoma"/>
        </w:rPr>
        <w:t xml:space="preserve"> </w:t>
      </w:r>
    </w:p>
    <w:p w:rsidRPr="00326CBC" w:rsidR="00D461A3" w:rsidP="00077796" w:rsidRDefault="00D461A3" w14:paraId="0D3CF1B1" w14:textId="77777777">
      <w:pPr>
        <w:autoSpaceDE w:val="0"/>
        <w:autoSpaceDN w:val="0"/>
        <w:adjustRightInd w:val="0"/>
        <w:spacing w:after="0" w:line="360" w:lineRule="auto"/>
        <w:rPr>
          <w:rFonts w:eastAsia="Calibri" w:cs="Tahoma"/>
          <w:szCs w:val="24"/>
          <w:lang w:val="es-ES" w:eastAsia="es-MX"/>
        </w:rPr>
      </w:pPr>
    </w:p>
    <w:p w:rsidRPr="00326CBC" w:rsidR="00D461A3" w:rsidP="00077796" w:rsidRDefault="00734FCC" w14:paraId="5B690B86" w14:textId="1712DF3E">
      <w:pPr>
        <w:autoSpaceDE w:val="0"/>
        <w:autoSpaceDN w:val="0"/>
        <w:adjustRightInd w:val="0"/>
        <w:spacing w:after="0" w:line="360" w:lineRule="auto"/>
        <w:rPr>
          <w:rFonts w:eastAsia="Calibri" w:cs="Tahoma"/>
          <w:szCs w:val="24"/>
          <w:lang w:val="es-ES" w:eastAsia="es-MX"/>
        </w:rPr>
      </w:pPr>
      <w:r w:rsidRPr="00326CBC">
        <w:rPr>
          <w:rFonts w:eastAsia="Calibri" w:cs="Tahoma"/>
          <w:szCs w:val="24"/>
          <w:lang w:val="es-ES" w:eastAsia="es-MX"/>
        </w:rPr>
        <w:t xml:space="preserve">En respuesta, el Sujeto Obligado, por medio de </w:t>
      </w:r>
      <w:r w:rsidRPr="00326CBC" w:rsidR="00C0032C">
        <w:rPr>
          <w:rFonts w:eastAsia="Calibri" w:cs="Tahoma"/>
          <w:szCs w:val="24"/>
          <w:lang w:val="es-ES" w:eastAsia="es-MX"/>
        </w:rPr>
        <w:t xml:space="preserve">la Oficialía Mayor </w:t>
      </w:r>
      <w:r w:rsidRPr="00326CBC" w:rsidR="0088349C">
        <w:rPr>
          <w:rFonts w:eastAsia="Calibri" w:cs="Tahoma"/>
          <w:szCs w:val="24"/>
          <w:lang w:val="es-ES" w:eastAsia="es-MX"/>
        </w:rPr>
        <w:t xml:space="preserve">y del Centro de Control, Comando, Comunicación, Computo y </w:t>
      </w:r>
      <w:r w:rsidRPr="00326CBC" w:rsidR="00A571D4">
        <w:rPr>
          <w:rFonts w:eastAsia="Calibri" w:cs="Tahoma"/>
          <w:szCs w:val="24"/>
          <w:lang w:val="es-ES" w:eastAsia="es-MX"/>
        </w:rPr>
        <w:t>C</w:t>
      </w:r>
      <w:r w:rsidRPr="00326CBC" w:rsidR="0088349C">
        <w:rPr>
          <w:rFonts w:eastAsia="Calibri" w:cs="Tahoma"/>
          <w:szCs w:val="24"/>
          <w:lang w:val="es-ES" w:eastAsia="es-MX"/>
        </w:rPr>
        <w:t>alidad</w:t>
      </w:r>
      <w:r w:rsidR="00A67619">
        <w:rPr>
          <w:rFonts w:eastAsia="Calibri" w:cs="Tahoma"/>
          <w:szCs w:val="24"/>
          <w:lang w:val="es-ES" w:eastAsia="es-MX"/>
        </w:rPr>
        <w:t xml:space="preserve"> precisaron que la Alarma Silenciosa, se trataba del</w:t>
      </w:r>
      <w:r w:rsidRPr="00326CBC" w:rsidR="00C1726F">
        <w:rPr>
          <w:rFonts w:eastAsia="Calibri" w:cs="Tahoma"/>
          <w:szCs w:val="24"/>
          <w:lang w:val="es-ES" w:eastAsia="es-MX"/>
        </w:rPr>
        <w:t xml:space="preserve"> Sistema de Alertamiento Código C5</w:t>
      </w:r>
      <w:r w:rsidRPr="00326CBC" w:rsidR="00E777B1">
        <w:rPr>
          <w:rFonts w:eastAsia="Calibri" w:cs="Tahoma"/>
          <w:szCs w:val="24"/>
          <w:lang w:val="es-ES" w:eastAsia="es-MX"/>
        </w:rPr>
        <w:t>, mismo que fue desarrollado por personal de la Secretaría de Seguridad</w:t>
      </w:r>
      <w:r w:rsidRPr="00326CBC" w:rsidR="0051382A">
        <w:rPr>
          <w:rFonts w:eastAsia="Calibri" w:cs="Tahoma"/>
          <w:szCs w:val="24"/>
          <w:lang w:val="es-ES" w:eastAsia="es-MX"/>
        </w:rPr>
        <w:t xml:space="preserve">, razón por la cual </w:t>
      </w:r>
      <w:r w:rsidRPr="00326CBC" w:rsidR="0047371B">
        <w:rPr>
          <w:rFonts w:eastAsia="Calibri" w:cs="Tahoma"/>
          <w:szCs w:val="24"/>
          <w:lang w:val="es-ES" w:eastAsia="es-MX"/>
        </w:rPr>
        <w:t xml:space="preserve">no se tiene expediente alguno sobre la adquisición </w:t>
      </w:r>
      <w:r w:rsidR="00A67619">
        <w:rPr>
          <w:rFonts w:eastAsia="Calibri" w:cs="Tahoma"/>
          <w:szCs w:val="24"/>
          <w:lang w:val="es-ES" w:eastAsia="es-MX"/>
        </w:rPr>
        <w:t>de la mencionada Plataforma</w:t>
      </w:r>
      <w:r w:rsidRPr="00326CBC" w:rsidR="00112695">
        <w:rPr>
          <w:rFonts w:eastAsia="Calibri" w:cs="Tahoma"/>
          <w:szCs w:val="24"/>
          <w:lang w:val="es-ES" w:eastAsia="es-MX"/>
        </w:rPr>
        <w:t xml:space="preserve">. </w:t>
      </w:r>
      <w:r w:rsidRPr="00326CBC" w:rsidR="001A27FE">
        <w:rPr>
          <w:rFonts w:eastAsia="Calibri" w:cs="Tahoma"/>
          <w:szCs w:val="24"/>
          <w:lang w:val="es-ES" w:eastAsia="es-MX"/>
        </w:rPr>
        <w:t>Ante dicha circunstancia, el Solicitante se agravi</w:t>
      </w:r>
      <w:r w:rsidR="00A67619">
        <w:rPr>
          <w:rFonts w:eastAsia="Calibri" w:cs="Tahoma"/>
          <w:szCs w:val="24"/>
          <w:lang w:val="es-ES" w:eastAsia="es-MX"/>
        </w:rPr>
        <w:t>ó de la inexistencia manifestada al señalar que debía existir lo peticionado</w:t>
      </w:r>
      <w:r w:rsidRPr="00326CBC" w:rsidR="00F46399">
        <w:rPr>
          <w:rFonts w:eastAsia="Calibri" w:cs="Tahoma"/>
          <w:szCs w:val="24"/>
          <w:lang w:val="es-ES" w:eastAsia="es-MX"/>
        </w:rPr>
        <w:t xml:space="preserve">, </w:t>
      </w:r>
      <w:r w:rsidRPr="00326CBC" w:rsidR="007E5557">
        <w:rPr>
          <w:rFonts w:eastAsia="Calibri" w:cs="Tahoma"/>
          <w:szCs w:val="24"/>
          <w:lang w:val="es-ES" w:eastAsia="es-MX"/>
        </w:rPr>
        <w:t xml:space="preserve">circunstancia que actualiza la causal de procedencia prevista en la fracción </w:t>
      </w:r>
      <w:r w:rsidR="00A67619">
        <w:rPr>
          <w:rFonts w:eastAsia="Calibri" w:cs="Tahoma"/>
          <w:szCs w:val="24"/>
          <w:lang w:val="es-ES" w:eastAsia="es-MX"/>
        </w:rPr>
        <w:t>III</w:t>
      </w:r>
      <w:r w:rsidRPr="00326CBC" w:rsidR="007E5557">
        <w:rPr>
          <w:rFonts w:eastAsia="Calibri" w:cs="Tahoma"/>
          <w:szCs w:val="24"/>
          <w:lang w:val="es-ES" w:eastAsia="es-MX"/>
        </w:rPr>
        <w:t>, del artículo 179 de la Ley de Transparencia y Acceso a la Información Pública del Estado de México y Mu</w:t>
      </w:r>
      <w:r w:rsidRPr="00326CBC" w:rsidR="003C5F2B">
        <w:rPr>
          <w:rFonts w:eastAsia="Calibri" w:cs="Tahoma"/>
          <w:szCs w:val="24"/>
          <w:lang w:val="es-ES" w:eastAsia="es-MX"/>
        </w:rPr>
        <w:t xml:space="preserve">nicipios. </w:t>
      </w:r>
    </w:p>
    <w:p w:rsidRPr="00326CBC" w:rsidR="00682222" w:rsidP="00077796" w:rsidRDefault="00682222" w14:paraId="7C8B7D1E" w14:textId="77777777">
      <w:pPr>
        <w:autoSpaceDE w:val="0"/>
        <w:autoSpaceDN w:val="0"/>
        <w:adjustRightInd w:val="0"/>
        <w:spacing w:after="0" w:line="360" w:lineRule="auto"/>
        <w:rPr>
          <w:rFonts w:eastAsia="Calibri" w:cs="Tahoma"/>
          <w:bCs/>
          <w:lang w:val="es-ES_tradnl"/>
        </w:rPr>
      </w:pPr>
    </w:p>
    <w:p w:rsidR="00A74060" w:rsidP="00077796" w:rsidRDefault="00C853D1" w14:paraId="45D80C25" w14:textId="4FD5556F">
      <w:pPr>
        <w:autoSpaceDE w:val="0"/>
        <w:autoSpaceDN w:val="0"/>
        <w:adjustRightInd w:val="0"/>
        <w:spacing w:after="0" w:line="360" w:lineRule="auto"/>
        <w:rPr>
          <w:rFonts w:eastAsia="Calibri" w:cs="Tahoma"/>
          <w:szCs w:val="24"/>
          <w:lang w:val="es-ES" w:eastAsia="es-MX"/>
        </w:rPr>
      </w:pPr>
      <w:r w:rsidRPr="00326CBC">
        <w:rPr>
          <w:rFonts w:eastAsia="Calibri" w:cs="Tahoma"/>
          <w:bCs/>
          <w:lang w:val="es-ES_tradnl"/>
        </w:rPr>
        <w:t xml:space="preserve">Así las cosas, </w:t>
      </w:r>
      <w:r w:rsidRPr="00326CBC">
        <w:rPr>
          <w:rFonts w:eastAsia="Calibri" w:cs="Tahoma"/>
          <w:bCs/>
          <w:iCs/>
          <w:lang w:val="es-ES"/>
        </w:rPr>
        <w:t xml:space="preserve">una vez admitido y notificado el Recurso de Revisión a las partes, el Ente Recurrido, </w:t>
      </w:r>
      <w:r w:rsidRPr="00326CBC" w:rsidR="001675D9">
        <w:rPr>
          <w:rFonts w:eastAsia="Calibri" w:cs="Tahoma"/>
          <w:bCs/>
          <w:iCs/>
          <w:lang w:val="es-ES"/>
        </w:rPr>
        <w:t xml:space="preserve">por medio de su Informe Justificado, </w:t>
      </w:r>
      <w:r w:rsidR="00A67619">
        <w:rPr>
          <w:rFonts w:eastAsia="Calibri" w:cs="Tahoma"/>
          <w:bCs/>
          <w:iCs/>
          <w:lang w:val="es-ES"/>
        </w:rPr>
        <w:t>aclaró y robusteció</w:t>
      </w:r>
      <w:r w:rsidRPr="00326CBC" w:rsidR="00A36B29">
        <w:rPr>
          <w:rFonts w:eastAsia="Calibri" w:cs="Tahoma"/>
          <w:bCs/>
          <w:iCs/>
          <w:lang w:val="es-ES"/>
        </w:rPr>
        <w:t xml:space="preserve"> su respuesta inicial, al señalar que, </w:t>
      </w:r>
      <w:r w:rsidRPr="00326CBC" w:rsidR="006F1189">
        <w:rPr>
          <w:rFonts w:eastAsia="Calibri" w:cs="Tahoma"/>
          <w:szCs w:val="24"/>
          <w:lang w:val="es-ES" w:eastAsia="es-MX"/>
        </w:rPr>
        <w:t>Sistema de Alertamiento Código C5, fue desarrollado por personal de la Secretaría de Seguridad</w:t>
      </w:r>
      <w:r w:rsidR="00A67619">
        <w:rPr>
          <w:rFonts w:eastAsia="Calibri" w:cs="Tahoma"/>
          <w:szCs w:val="24"/>
          <w:lang w:val="es-ES" w:eastAsia="es-MX"/>
        </w:rPr>
        <w:t xml:space="preserve">, el cual corresponde a </w:t>
      </w:r>
      <w:r w:rsidRPr="00326CBC" w:rsidR="00E548E3">
        <w:rPr>
          <w:rFonts w:eastAsia="Calibri" w:cs="Tahoma"/>
          <w:szCs w:val="24"/>
          <w:lang w:val="es-ES" w:eastAsia="es-MX"/>
        </w:rPr>
        <w:t xml:space="preserve">una aplicación </w:t>
      </w:r>
      <w:r w:rsidRPr="00326CBC" w:rsidR="00483036">
        <w:rPr>
          <w:rFonts w:eastAsia="Calibri" w:cs="Tahoma"/>
          <w:szCs w:val="24"/>
          <w:lang w:val="es-ES" w:eastAsia="es-MX"/>
        </w:rPr>
        <w:t xml:space="preserve">compatible con sistema </w:t>
      </w:r>
      <w:r w:rsidRPr="00326CBC" w:rsidR="00867029">
        <w:rPr>
          <w:rFonts w:eastAsia="Calibri" w:cs="Tahoma"/>
          <w:szCs w:val="24"/>
          <w:lang w:val="es-ES" w:eastAsia="es-MX"/>
        </w:rPr>
        <w:t>Android</w:t>
      </w:r>
      <w:r w:rsidR="00A67619">
        <w:rPr>
          <w:rFonts w:eastAsia="Calibri" w:cs="Tahoma"/>
          <w:szCs w:val="24"/>
          <w:lang w:val="es-ES" w:eastAsia="es-MX"/>
        </w:rPr>
        <w:t>, que convierte el teléfono inteligente del usuario en una alarma silenciosa que se puede actividad de manera rápida, en caso de emergencia de seguridad.</w:t>
      </w:r>
    </w:p>
    <w:p w:rsidR="00A67619" w:rsidP="00077796" w:rsidRDefault="00A67619" w14:paraId="63DDF786" w14:textId="556DC52B">
      <w:pPr>
        <w:autoSpaceDE w:val="0"/>
        <w:autoSpaceDN w:val="0"/>
        <w:adjustRightInd w:val="0"/>
        <w:spacing w:after="0" w:line="360" w:lineRule="auto"/>
        <w:rPr>
          <w:rFonts w:eastAsia="Calibri" w:cs="Tahoma"/>
          <w:szCs w:val="24"/>
          <w:lang w:val="es-ES" w:eastAsia="es-MX"/>
        </w:rPr>
      </w:pPr>
    </w:p>
    <w:p w:rsidRPr="00326CBC" w:rsidR="00A67619" w:rsidP="00077796" w:rsidRDefault="00A67619" w14:paraId="6F31D544" w14:textId="77777777">
      <w:pPr>
        <w:autoSpaceDE w:val="0"/>
        <w:autoSpaceDN w:val="0"/>
        <w:adjustRightInd w:val="0"/>
        <w:spacing w:after="0" w:line="360" w:lineRule="auto"/>
        <w:rPr>
          <w:rFonts w:eastAsia="Calibri" w:cs="Tahoma"/>
          <w:bCs/>
          <w:iCs/>
          <w:lang w:val="es-ES"/>
        </w:rPr>
      </w:pPr>
    </w:p>
    <w:p w:rsidRPr="00326CBC" w:rsidR="00C853D1" w:rsidP="00077796" w:rsidRDefault="00C853D1" w14:paraId="282C5439" w14:textId="77777777">
      <w:pPr>
        <w:autoSpaceDE w:val="0"/>
        <w:autoSpaceDN w:val="0"/>
        <w:adjustRightInd w:val="0"/>
        <w:spacing w:after="0" w:line="360" w:lineRule="auto"/>
        <w:rPr>
          <w:rFonts w:eastAsia="Calibri" w:cs="Tahoma"/>
          <w:iCs/>
          <w:lang w:val="es-ES" w:eastAsia="es-ES_tradnl"/>
        </w:rPr>
      </w:pPr>
    </w:p>
    <w:p w:rsidRPr="00326CBC" w:rsidR="00C853D1" w:rsidP="00077796" w:rsidRDefault="00C853D1" w14:paraId="47A7D7E9" w14:textId="77777777">
      <w:pPr>
        <w:spacing w:after="0" w:line="360" w:lineRule="auto"/>
      </w:pPr>
      <w:r w:rsidRPr="00326CBC">
        <w:lastRenderedPageBreak/>
        <w:t xml:space="preserve">Lo anterior, se desprende de las documentales que obran en el expediente de referencia, materia de la presente Resolución, consistentes en: la solicitud de acceso a la información; la respuesta del Sujeto Obligado; </w:t>
      </w:r>
      <w:r w:rsidRPr="00326CBC">
        <w:rPr>
          <w:bCs/>
        </w:rPr>
        <w:t xml:space="preserve">el </w:t>
      </w:r>
      <w:r w:rsidRPr="00326CBC">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326CBC" w:rsidR="00C853D1" w:rsidP="00077796" w:rsidRDefault="00C853D1" w14:paraId="5796AF7E" w14:textId="77777777">
      <w:pPr>
        <w:spacing w:after="0" w:line="360" w:lineRule="auto"/>
      </w:pPr>
    </w:p>
    <w:p w:rsidR="00B63B15" w:rsidP="00077796" w:rsidRDefault="0022094B" w14:paraId="531BC838" w14:textId="3B36200D">
      <w:pPr>
        <w:spacing w:after="0" w:line="360" w:lineRule="auto"/>
        <w:rPr>
          <w:rFonts w:eastAsia="Times New Roman" w:cs="Tahoma"/>
          <w:bCs/>
          <w:lang w:eastAsia="es-ES"/>
        </w:rPr>
      </w:pPr>
      <w:r w:rsidRPr="00326CBC">
        <w:rPr>
          <w:rFonts w:eastAsia="Times New Roman" w:cs="Tahoma"/>
          <w:bCs/>
          <w:lang w:eastAsia="es-ES"/>
        </w:rPr>
        <w:t>Establecida dicha circunstancia, se procede analizar la información proporcionada por el Sujeto Obligado, por lo que, en principio</w:t>
      </w:r>
      <w:r w:rsidR="00B63B15">
        <w:rPr>
          <w:rFonts w:eastAsia="Times New Roman" w:cs="Tahoma"/>
          <w:bCs/>
          <w:lang w:eastAsia="es-ES"/>
        </w:rPr>
        <w:t xml:space="preserve"> resulta necesario contextualizar la solicitud de información, referente al programa de alarma silenciosa.</w:t>
      </w:r>
    </w:p>
    <w:p w:rsidR="00B63B15" w:rsidP="00077796" w:rsidRDefault="00B63B15" w14:paraId="26785C9B" w14:textId="72855D87">
      <w:pPr>
        <w:spacing w:after="0" w:line="360" w:lineRule="auto"/>
        <w:rPr>
          <w:rFonts w:eastAsia="Times New Roman" w:cs="Tahoma"/>
          <w:bCs/>
          <w:lang w:eastAsia="es-ES"/>
        </w:rPr>
      </w:pPr>
    </w:p>
    <w:p w:rsidR="00B63B15" w:rsidP="00077796" w:rsidRDefault="00B63B15" w14:paraId="0161FF3B" w14:textId="5A34284D">
      <w:pPr>
        <w:spacing w:after="0" w:line="360" w:lineRule="auto"/>
        <w:rPr>
          <w:rFonts w:eastAsia="Times New Roman" w:cs="Tahoma"/>
          <w:bCs/>
          <w:lang w:eastAsia="es-ES"/>
        </w:rPr>
      </w:pPr>
      <w:r>
        <w:rPr>
          <w:rFonts w:eastAsia="Times New Roman" w:cs="Tahoma"/>
          <w:bCs/>
          <w:lang w:eastAsia="es-ES"/>
        </w:rPr>
        <w:t>En ese contexto, este Instituto realizó una búsqueda de información pública y localizó en la Ventanilla Electrónica Única, la Cédula de Registro del Trámite o Servicio denominado “Sistematización del servicio denominado Sistema de Alertamiento Código C5”</w:t>
      </w:r>
      <w:r w:rsidR="001B2411">
        <w:rPr>
          <w:rFonts w:eastAsia="Times New Roman" w:cs="Tahoma"/>
          <w:bCs/>
          <w:lang w:eastAsia="es-ES"/>
        </w:rPr>
        <w:t xml:space="preserve"> (consultado a las doce horas, con treinta minutos, el cuatro de mayo de dos mil veintidós, en la liga </w:t>
      </w:r>
      <w:r w:rsidRPr="001B2411" w:rsidR="001B2411">
        <w:rPr>
          <w:rFonts w:eastAsia="Times New Roman" w:cs="Tahoma"/>
          <w:bCs/>
          <w:lang w:eastAsia="es-ES"/>
        </w:rPr>
        <w:t>http://sistemas2.edomex.gob.mx/TramitesyServicios/Tramite?tram=15567&amp;cont=0</w:t>
      </w:r>
      <w:r w:rsidR="001B2411">
        <w:rPr>
          <w:rFonts w:eastAsia="Times New Roman" w:cs="Tahoma"/>
          <w:bCs/>
          <w:lang w:eastAsia="es-ES"/>
        </w:rPr>
        <w:t>)</w:t>
      </w:r>
      <w:r>
        <w:rPr>
          <w:rFonts w:eastAsia="Times New Roman" w:cs="Tahoma"/>
          <w:bCs/>
          <w:lang w:eastAsia="es-ES"/>
        </w:rPr>
        <w:t>, que es un sistema gratuito</w:t>
      </w:r>
      <w:r w:rsidR="001B2411">
        <w:rPr>
          <w:rFonts w:eastAsia="Times New Roman" w:cs="Tahoma"/>
          <w:bCs/>
          <w:lang w:eastAsia="es-ES"/>
        </w:rPr>
        <w:t xml:space="preserve"> brindado por el </w:t>
      </w:r>
      <w:r w:rsidRPr="001B2411" w:rsidR="001B2411">
        <w:rPr>
          <w:rFonts w:eastAsia="Times New Roman" w:cs="Tahoma"/>
          <w:bCs/>
          <w:lang w:eastAsia="es-ES"/>
        </w:rPr>
        <w:t>Centro de Control, Comando, Comunicación, Cómputo y Calidad</w:t>
      </w:r>
      <w:r w:rsidR="001B2411">
        <w:rPr>
          <w:rFonts w:eastAsia="Times New Roman" w:cs="Tahoma"/>
          <w:bCs/>
          <w:lang w:eastAsia="es-ES"/>
        </w:rPr>
        <w:t>,</w:t>
      </w:r>
      <w:r>
        <w:rPr>
          <w:rFonts w:eastAsia="Times New Roman" w:cs="Tahoma"/>
          <w:bCs/>
          <w:lang w:eastAsia="es-ES"/>
        </w:rPr>
        <w:t xml:space="preserve"> para negocios, que genera un alertamiento a policías, mediante un dispositivo electrónico, con acceso a internet para atender reportes de robo, personas armadas y agresiones, el cual funciona </w:t>
      </w:r>
      <w:r w:rsidR="001B2411">
        <w:rPr>
          <w:rFonts w:eastAsia="Times New Roman" w:cs="Tahoma"/>
          <w:bCs/>
          <w:lang w:eastAsia="es-ES"/>
        </w:rPr>
        <w:t>mediante un sistema de alertamiento de pánico silencioso.</w:t>
      </w:r>
    </w:p>
    <w:p w:rsidR="001B2411" w:rsidP="00077796" w:rsidRDefault="001B2411" w14:paraId="70F3B75E" w14:textId="50CE9698">
      <w:pPr>
        <w:spacing w:after="0" w:line="360" w:lineRule="auto"/>
        <w:rPr>
          <w:rFonts w:eastAsia="Times New Roman" w:cs="Tahoma"/>
          <w:bCs/>
          <w:lang w:eastAsia="es-ES"/>
        </w:rPr>
      </w:pPr>
    </w:p>
    <w:p w:rsidRPr="00326CBC" w:rsidR="0022094B" w:rsidP="00077796" w:rsidRDefault="001B2411" w14:paraId="5061F50B" w14:textId="2DFE3712">
      <w:pPr>
        <w:spacing w:after="0" w:line="360" w:lineRule="auto"/>
        <w:rPr>
          <w:rFonts w:eastAsia="Times New Roman" w:cs="Tahoma"/>
          <w:bCs/>
          <w:lang w:eastAsia="es-ES"/>
        </w:rPr>
      </w:pPr>
      <w:r>
        <w:rPr>
          <w:rFonts w:eastAsia="Times New Roman" w:cs="Tahoma"/>
          <w:bCs/>
          <w:lang w:eastAsia="es-ES"/>
        </w:rPr>
        <w:t xml:space="preserve">Conforme a lo anterior, se logra vislumbrar que la pretensión del ahora recurrente es obtener los contratos celebrados y relacionados con el Sistema de Alertamiento Código C5. Establecida dicha circunstancia, se procede analizar la información entregada, por lo que, </w:t>
      </w:r>
      <w:r w:rsidRPr="00326CBC" w:rsidR="0022094B">
        <w:rPr>
          <w:rFonts w:eastAsia="Times New Roman" w:cs="Tahoma"/>
          <w:bCs/>
          <w:lang w:eastAsia="es-ES"/>
        </w:rPr>
        <w:t xml:space="preserve">cabe precisar que el Sujeto Obligado turno la solicitud de información, </w:t>
      </w:r>
      <w:r w:rsidRPr="00326CBC" w:rsidR="00683995">
        <w:rPr>
          <w:rFonts w:eastAsia="Times New Roman" w:cs="Tahoma"/>
          <w:bCs/>
          <w:lang w:eastAsia="es-ES"/>
        </w:rPr>
        <w:t xml:space="preserve">a la </w:t>
      </w:r>
      <w:r w:rsidRPr="00326CBC" w:rsidR="00683995">
        <w:rPr>
          <w:rFonts w:eastAsia="Calibri" w:cs="Tahoma"/>
          <w:szCs w:val="24"/>
          <w:lang w:val="es-ES" w:eastAsia="es-MX"/>
        </w:rPr>
        <w:t>Oficialía Mayor y al Centro de Control, Comando, Comunicación, Computo y Calidad</w:t>
      </w:r>
      <w:r w:rsidRPr="00326CBC" w:rsidR="007F36CD">
        <w:rPr>
          <w:rFonts w:eastAsia="Times New Roman" w:cs="Tahoma"/>
          <w:bCs/>
          <w:lang w:eastAsia="es-ES"/>
        </w:rPr>
        <w:t xml:space="preserve">, </w:t>
      </w:r>
      <w:r w:rsidRPr="00326CBC" w:rsidR="0022094B">
        <w:rPr>
          <w:rFonts w:eastAsia="Times New Roman" w:cs="Tahoma"/>
          <w:bCs/>
          <w:iCs/>
          <w:lang w:eastAsia="es-ES"/>
        </w:rPr>
        <w:t xml:space="preserve">por lo que, es necesario hacer referencia al procedimiento de búsqueda </w:t>
      </w:r>
      <w:r w:rsidRPr="00326CBC" w:rsidR="0022094B">
        <w:rPr>
          <w:rFonts w:eastAsia="Times New Roman" w:cs="Tahoma"/>
          <w:bCs/>
          <w:lang w:val="es-ES" w:eastAsia="es-ES"/>
        </w:rPr>
        <w:t xml:space="preserve">que deben de seguir los Sujetos Obligados para </w:t>
      </w:r>
      <w:r w:rsidRPr="00326CBC" w:rsidR="0022094B">
        <w:rPr>
          <w:rFonts w:eastAsia="Times New Roman" w:cs="Tahoma"/>
          <w:bCs/>
          <w:lang w:val="es-ES" w:eastAsia="es-ES"/>
        </w:rPr>
        <w:lastRenderedPageBreak/>
        <w:t>localizar la información, el cual se encuentra previsto en los artículos 160 y 162 de la Ley de Transparencia y Acceso a la Información Pública del Estado de México y Municipios, mismo que es el siguiente:</w:t>
      </w:r>
    </w:p>
    <w:p w:rsidRPr="00326CBC" w:rsidR="0022094B" w:rsidP="00077796" w:rsidRDefault="0022094B" w14:paraId="59029391" w14:textId="77777777">
      <w:pPr>
        <w:spacing w:after="0" w:line="360" w:lineRule="auto"/>
        <w:rPr>
          <w:rFonts w:eastAsia="Times New Roman" w:cs="Tahoma"/>
          <w:bCs/>
          <w:lang w:val="es-ES" w:eastAsia="es-ES"/>
        </w:rPr>
      </w:pPr>
    </w:p>
    <w:p w:rsidRPr="00326CBC" w:rsidR="0022094B" w:rsidP="00077796" w:rsidRDefault="0022094B" w14:paraId="52E40315" w14:textId="77777777">
      <w:pPr>
        <w:numPr>
          <w:ilvl w:val="0"/>
          <w:numId w:val="1"/>
        </w:numPr>
        <w:spacing w:after="0" w:line="360" w:lineRule="auto"/>
        <w:rPr>
          <w:rFonts w:eastAsia="Times New Roman" w:cs="Tahoma"/>
          <w:bCs/>
          <w:lang w:val="es-ES" w:eastAsia="es-ES"/>
        </w:rPr>
      </w:pPr>
      <w:r w:rsidRPr="00326CBC">
        <w:rPr>
          <w:rFonts w:eastAsia="Times New Roman" w:cs="Tahoma"/>
          <w:bCs/>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326CBC" w:rsidR="0022094B" w:rsidP="00077796" w:rsidRDefault="0022094B" w14:paraId="10571B91" w14:textId="77777777">
      <w:pPr>
        <w:spacing w:after="0" w:line="360" w:lineRule="auto"/>
        <w:rPr>
          <w:rFonts w:eastAsia="Times New Roman" w:cs="Tahoma"/>
          <w:bCs/>
          <w:lang w:val="es-ES" w:eastAsia="es-ES"/>
        </w:rPr>
      </w:pPr>
    </w:p>
    <w:p w:rsidRPr="00326CBC" w:rsidR="0022094B" w:rsidP="00077796" w:rsidRDefault="0022094B" w14:paraId="78C94278" w14:textId="77777777">
      <w:pPr>
        <w:numPr>
          <w:ilvl w:val="0"/>
          <w:numId w:val="1"/>
        </w:numPr>
        <w:spacing w:after="0" w:line="360" w:lineRule="auto"/>
        <w:rPr>
          <w:rFonts w:eastAsia="Times New Roman" w:cs="Tahoma"/>
          <w:bCs/>
          <w:lang w:val="es-ES" w:eastAsia="es-ES"/>
        </w:rPr>
      </w:pPr>
      <w:r w:rsidRPr="00326CBC">
        <w:rPr>
          <w:rFonts w:eastAsia="Times New Roman" w:cs="Tahoma"/>
          <w:bCs/>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326CBC" w:rsidR="0022094B" w:rsidP="00077796" w:rsidRDefault="0022094B" w14:paraId="5C07E9A8" w14:textId="77777777">
      <w:pPr>
        <w:spacing w:after="0" w:line="360" w:lineRule="auto"/>
        <w:rPr>
          <w:rFonts w:eastAsia="Times New Roman" w:cs="Tahoma"/>
          <w:b/>
          <w:bCs/>
          <w:lang w:eastAsia="es-ES"/>
        </w:rPr>
      </w:pPr>
    </w:p>
    <w:p w:rsidRPr="00326CBC" w:rsidR="00EA1D87" w:rsidP="00077796" w:rsidRDefault="0022094B" w14:paraId="39B6A89C" w14:textId="382C5249">
      <w:pPr>
        <w:spacing w:after="0" w:line="360" w:lineRule="auto"/>
        <w:rPr>
          <w:rFonts w:eastAsia="Calibri" w:cs="Tahoma"/>
          <w:szCs w:val="24"/>
          <w:lang w:val="es-ES" w:eastAsia="es-MX"/>
        </w:rPr>
      </w:pPr>
      <w:r w:rsidRPr="00326CBC">
        <w:rPr>
          <w:rFonts w:eastAsia="Times New Roman" w:cs="Tahoma"/>
          <w:bCs/>
          <w:lang w:eastAsia="es-ES"/>
        </w:rPr>
        <w:t>Atendiendo a lo dispuesto en los preceptos legales de referencia, es necesario</w:t>
      </w:r>
      <w:r w:rsidRPr="00326CBC" w:rsidR="00BC7D15">
        <w:rPr>
          <w:rFonts w:eastAsia="Times New Roman" w:cs="Tahoma"/>
          <w:bCs/>
          <w:lang w:eastAsia="es-ES"/>
        </w:rPr>
        <w:t xml:space="preserve"> traer al estudi</w:t>
      </w:r>
      <w:r w:rsidRPr="00326CBC" w:rsidR="000B42C5">
        <w:rPr>
          <w:rFonts w:eastAsia="Times New Roman" w:cs="Tahoma"/>
          <w:bCs/>
          <w:lang w:eastAsia="es-ES"/>
        </w:rPr>
        <w:t xml:space="preserve">o el artículo </w:t>
      </w:r>
      <w:r w:rsidRPr="00326CBC" w:rsidR="00AB6E76">
        <w:rPr>
          <w:rFonts w:eastAsia="Times New Roman" w:cs="Tahoma"/>
          <w:bCs/>
          <w:lang w:eastAsia="es-ES"/>
        </w:rPr>
        <w:t xml:space="preserve">8°, </w:t>
      </w:r>
      <w:r w:rsidRPr="00326CBC" w:rsidR="00192185">
        <w:rPr>
          <w:rFonts w:eastAsia="Times New Roman" w:cs="Tahoma"/>
          <w:bCs/>
          <w:lang w:eastAsia="es-ES"/>
        </w:rPr>
        <w:t xml:space="preserve">fracciones III y VII, del Reglamento </w:t>
      </w:r>
      <w:r w:rsidRPr="00326CBC" w:rsidR="00005F26">
        <w:rPr>
          <w:rFonts w:eastAsia="Times New Roman" w:cs="Tahoma"/>
          <w:bCs/>
          <w:lang w:eastAsia="es-ES"/>
        </w:rPr>
        <w:t xml:space="preserve">Interior de la </w:t>
      </w:r>
      <w:r w:rsidRPr="00326CBC" w:rsidR="00005F26">
        <w:rPr>
          <w:rFonts w:eastAsia="Calibri" w:cs="Tahoma"/>
        </w:rPr>
        <w:t xml:space="preserve">Secretaría de Seguridad, </w:t>
      </w:r>
      <w:r w:rsidRPr="00326CBC" w:rsidR="00A25160">
        <w:rPr>
          <w:rFonts w:eastAsia="Calibri" w:cs="Tahoma"/>
        </w:rPr>
        <w:t xml:space="preserve">numerales que establecen que el Sujeto Obligado para el estudio, planeación y despacho de los asuntos de su competencia se auxiliara de diversas unidades administrativas, de entre las cuales se encuentran la </w:t>
      </w:r>
      <w:r w:rsidRPr="00326CBC" w:rsidR="00A25160">
        <w:rPr>
          <w:rFonts w:eastAsia="Calibri" w:cs="Tahoma"/>
          <w:szCs w:val="24"/>
          <w:lang w:val="es-ES" w:eastAsia="es-MX"/>
        </w:rPr>
        <w:t>Oficialía Mayor y el Centro de Control, Comando, Comunicación, Computo y Calidad</w:t>
      </w:r>
      <w:r w:rsidRPr="00326CBC" w:rsidR="00591708">
        <w:rPr>
          <w:rFonts w:eastAsia="Calibri" w:cs="Tahoma"/>
          <w:szCs w:val="24"/>
          <w:lang w:val="es-ES" w:eastAsia="es-MX"/>
        </w:rPr>
        <w:t xml:space="preserve">, lo cuales, de acuerdo al Reglamento en cita, cuentan con las siguientes atribuciones: </w:t>
      </w:r>
    </w:p>
    <w:p w:rsidRPr="00326CBC" w:rsidR="00591708" w:rsidP="00077796" w:rsidRDefault="00591708" w14:paraId="782ECBD6" w14:textId="77777777">
      <w:pPr>
        <w:spacing w:after="0" w:line="360" w:lineRule="auto"/>
        <w:rPr>
          <w:rFonts w:eastAsia="Calibri" w:cs="Tahoma"/>
          <w:szCs w:val="24"/>
          <w:lang w:val="es-ES" w:eastAsia="es-MX"/>
        </w:rPr>
      </w:pPr>
    </w:p>
    <w:p w:rsidRPr="00326CBC" w:rsidR="00E6160C" w:rsidP="00077796" w:rsidRDefault="00636161" w14:paraId="43257BB4" w14:textId="143F4907">
      <w:pPr>
        <w:pStyle w:val="Prrafodelista"/>
        <w:numPr>
          <w:ilvl w:val="0"/>
          <w:numId w:val="24"/>
        </w:numPr>
        <w:spacing w:line="360" w:lineRule="auto"/>
      </w:pPr>
      <w:r w:rsidRPr="00326CBC">
        <w:rPr>
          <w:b/>
          <w:bCs/>
        </w:rPr>
        <w:t>Oficialía Mayor (artículo 18):</w:t>
      </w:r>
      <w:r w:rsidRPr="00326CBC" w:rsidR="008D2419">
        <w:t xml:space="preserve"> Que cuenta con atribuciones para </w:t>
      </w:r>
      <w:r w:rsidRPr="00326CBC" w:rsidR="0070099C">
        <w:t xml:space="preserve">coordinar, programar, tramitar y ejecutar las acciones y </w:t>
      </w:r>
      <w:r w:rsidRPr="00326CBC" w:rsidR="00E6160C">
        <w:t>procedimientos</w:t>
      </w:r>
      <w:r w:rsidRPr="00326CBC" w:rsidR="0070099C">
        <w:t xml:space="preserve"> </w:t>
      </w:r>
      <w:r w:rsidRPr="00326CBC" w:rsidR="00E6160C">
        <w:t>para realizar la adquisición de bienes muebles, la contratación del arrendamiento de bienes inmuebles y servicios de cualquier naturaleza</w:t>
      </w:r>
      <w:r w:rsidRPr="00326CBC" w:rsidR="0082554A">
        <w:t xml:space="preserve">, así como programar, planear, organizar y controlar el suministro, </w:t>
      </w:r>
      <w:r w:rsidRPr="00326CBC" w:rsidR="0082554A">
        <w:lastRenderedPageBreak/>
        <w:t xml:space="preserve">administración </w:t>
      </w:r>
      <w:r w:rsidRPr="00326CBC" w:rsidR="00D11D9E">
        <w:t>y aplicación de los recursos humanos, materiales, financieros y técnicos, así como los servicios generales necesarios para el funcionamiento de la Secretaría.</w:t>
      </w:r>
    </w:p>
    <w:p w:rsidRPr="00326CBC" w:rsidR="00B86F88" w:rsidP="00077796" w:rsidRDefault="00B86F88" w14:paraId="0DE290D9" w14:textId="77777777">
      <w:pPr>
        <w:pStyle w:val="Prrafodelista"/>
        <w:spacing w:line="360" w:lineRule="auto"/>
      </w:pPr>
    </w:p>
    <w:p w:rsidRPr="00326CBC" w:rsidR="003C1E11" w:rsidP="00077796" w:rsidRDefault="008D2419" w14:paraId="13922908" w14:textId="000B163D">
      <w:pPr>
        <w:pStyle w:val="Prrafodelista"/>
        <w:numPr>
          <w:ilvl w:val="0"/>
          <w:numId w:val="24"/>
        </w:numPr>
        <w:spacing w:line="360" w:lineRule="auto"/>
      </w:pPr>
      <w:r w:rsidRPr="00326CBC">
        <w:rPr>
          <w:b/>
          <w:bCs/>
          <w:lang w:val="es-ES"/>
        </w:rPr>
        <w:t>Centro de Control, Comando, Comunicación, Computo y Calidad (artículo 39)</w:t>
      </w:r>
      <w:r w:rsidRPr="00326CBC" w:rsidR="00E23A52">
        <w:rPr>
          <w:b/>
          <w:bCs/>
          <w:lang w:val="es-ES"/>
        </w:rPr>
        <w:t>:</w:t>
      </w:r>
      <w:r w:rsidRPr="00326CBC" w:rsidR="00E23A52">
        <w:rPr>
          <w:lang w:val="es-ES"/>
        </w:rPr>
        <w:t xml:space="preserve"> </w:t>
      </w:r>
      <w:r w:rsidRPr="00326CBC" w:rsidR="00656A9E">
        <w:rPr>
          <w:lang w:val="es-ES"/>
        </w:rPr>
        <w:t xml:space="preserve">Que tiene competencia para </w:t>
      </w:r>
      <w:r w:rsidRPr="00326CBC" w:rsidR="003C1E11">
        <w:rPr>
          <w:lang w:val="es-ES"/>
        </w:rPr>
        <w:t xml:space="preserve">emitir </w:t>
      </w:r>
      <w:r w:rsidRPr="00326CBC" w:rsidR="00F37091">
        <w:t>los dictámenes de factibilidad técnica para la adquisición de bienes, servicios y proyectos</w:t>
      </w:r>
      <w:r w:rsidRPr="00326CBC" w:rsidR="00DB353D">
        <w:t xml:space="preserve"> </w:t>
      </w:r>
      <w:r w:rsidRPr="00326CBC" w:rsidR="00F37091">
        <w:t>con contenido tecnológico en materia de seguridad, que requieran las Unidades Administrativas de la</w:t>
      </w:r>
      <w:r w:rsidRPr="00326CBC" w:rsidR="00DB353D">
        <w:t xml:space="preserve"> </w:t>
      </w:r>
      <w:r w:rsidRPr="00326CBC" w:rsidR="00F37091">
        <w:t>Secretaría y sus órganos desconcentrados, así como para las Instituciones Policiales, con la finalidad</w:t>
      </w:r>
      <w:r w:rsidRPr="00326CBC" w:rsidR="00DB353D">
        <w:t xml:space="preserve"> </w:t>
      </w:r>
      <w:r w:rsidRPr="00326CBC" w:rsidR="00F37091">
        <w:t>de asegurar que las herramientas tecnológicas a su servicio cuenten con altos estándares de calidad</w:t>
      </w:r>
      <w:r w:rsidRPr="00326CBC" w:rsidR="00DB353D">
        <w:t xml:space="preserve"> </w:t>
      </w:r>
      <w:r w:rsidRPr="00326CBC" w:rsidR="00F37091">
        <w:t>y cumplan con las condiciones y características requeridas para el desempeño de sus atribuciones</w:t>
      </w:r>
      <w:r w:rsidRPr="00326CBC" w:rsidR="00604FB6">
        <w:t>, además de p</w:t>
      </w:r>
      <w:r w:rsidRPr="00326CBC" w:rsidR="003C1E11">
        <w:t>roporcionar, en el ámbito de su competencia, la información obtenida de los equipos y sistemas tecnológicos con los que se operan</w:t>
      </w:r>
      <w:r w:rsidRPr="00326CBC" w:rsidR="00A83B87">
        <w:t xml:space="preserve">. </w:t>
      </w:r>
      <w:r w:rsidR="001B2411">
        <w:t xml:space="preserve"> Aunado</w:t>
      </w:r>
      <w:r w:rsidR="007A1CDD">
        <w:t xml:space="preserve"> a que dicha unidad es la encargada de brindar y administrar el programa </w:t>
      </w:r>
      <w:r w:rsidR="007A1CDD">
        <w:rPr>
          <w:rFonts w:cs="Tahoma"/>
          <w:bCs/>
        </w:rPr>
        <w:t>Sistema de Alertamiento Código C5.</w:t>
      </w:r>
    </w:p>
    <w:p w:rsidRPr="00326CBC" w:rsidR="00F37091" w:rsidP="00077796" w:rsidRDefault="00F37091" w14:paraId="32E9D0FA" w14:textId="77777777">
      <w:pPr>
        <w:spacing w:after="0" w:line="360" w:lineRule="auto"/>
      </w:pPr>
    </w:p>
    <w:p w:rsidRPr="00326CBC" w:rsidR="00F37091" w:rsidP="00077796" w:rsidRDefault="007A1CDD" w14:paraId="3ABF7898" w14:textId="78A2DC10">
      <w:pPr>
        <w:spacing w:after="0" w:line="360" w:lineRule="auto"/>
      </w:pPr>
      <w:r>
        <w:t xml:space="preserve">Así se logra advertir que la Secretaría de Seguridad turno la solicitud de información a las unidades administrativas competentes, pues por una parte, la Oficialía Mayor se encarga de realizar todos los procedimientos de adquisición, arrendamiento y contratación de servicios; mientras que el </w:t>
      </w:r>
      <w:r w:rsidRPr="007A1CDD">
        <w:t></w:t>
      </w:r>
      <w:r w:rsidRPr="007A1CDD">
        <w:tab/>
      </w:r>
      <w:r w:rsidRPr="007A1CDD">
        <w:t>Centro de Control, Comando, Comunicación, Computo y Calidad</w:t>
      </w:r>
      <w:r>
        <w:t>, administra y controla el Sistema de Alertamiento Código C5, por lo que,</w:t>
      </w:r>
      <w:r w:rsidRPr="00326CBC" w:rsidR="00E67BD5">
        <w:t xml:space="preserve"> </w:t>
      </w:r>
      <w:r w:rsidRPr="00326CBC" w:rsidR="009D3B53">
        <w:t xml:space="preserve">cumplió con lo previsto en el artículo 162 de la Ley de Transparencia y Acceso a la Información Pública del Estado de México y Municipios. </w:t>
      </w:r>
    </w:p>
    <w:p w:rsidRPr="00326CBC" w:rsidR="00F37091" w:rsidP="00077796" w:rsidRDefault="00F37091" w14:paraId="46075848" w14:textId="77777777">
      <w:pPr>
        <w:spacing w:after="0" w:line="360" w:lineRule="auto"/>
      </w:pPr>
    </w:p>
    <w:p w:rsidR="00E82A44" w:rsidP="00077796" w:rsidRDefault="007A1CDD" w14:paraId="641C303B" w14:textId="0200A889">
      <w:pPr>
        <w:spacing w:after="0" w:line="360" w:lineRule="auto"/>
        <w:rPr>
          <w:rFonts w:eastAsia="Times New Roman" w:cs="Tahoma"/>
          <w:bCs/>
          <w:iCs/>
          <w:lang w:val="es-ES" w:eastAsia="es-ES"/>
        </w:rPr>
      </w:pPr>
      <w:r>
        <w:rPr>
          <w:rFonts w:eastAsia="Times New Roman" w:cs="Tahoma"/>
          <w:bCs/>
          <w:iCs/>
          <w:lang w:val="es-ES" w:eastAsia="es-ES"/>
        </w:rPr>
        <w:t xml:space="preserve">Ahora bien, dichas área precisaron que el Sistema de Alertamiento Código C5, había sido desarrollado por el personal de la Secretaría de Seguridad, el cual permitía </w:t>
      </w:r>
      <w:r w:rsidR="00A35C54">
        <w:rPr>
          <w:rFonts w:eastAsia="Times New Roman" w:cs="Tahoma"/>
          <w:bCs/>
          <w:iCs/>
          <w:lang w:val="es-ES" w:eastAsia="es-ES"/>
        </w:rPr>
        <w:t xml:space="preserve">la conexión de los establecimientos, convirtiéndolos en una alarma silenciosa que se podía activar rápidamente </w:t>
      </w:r>
      <w:r w:rsidR="00A35C54">
        <w:rPr>
          <w:rFonts w:eastAsia="Times New Roman" w:cs="Tahoma"/>
          <w:bCs/>
          <w:iCs/>
          <w:lang w:val="es-ES" w:eastAsia="es-ES"/>
        </w:rPr>
        <w:lastRenderedPageBreak/>
        <w:t>en caso de una emergencia de seguridad; por dicha circunstancia y después de realizar una búsqueda en sus archivos, no localizaron expediente de adquisición de alarmas silenciosas.</w:t>
      </w:r>
    </w:p>
    <w:p w:rsidR="007A1CDD" w:rsidP="00077796" w:rsidRDefault="007A1CDD" w14:paraId="51399371" w14:textId="28DA4698">
      <w:pPr>
        <w:spacing w:after="0" w:line="360" w:lineRule="auto"/>
        <w:rPr>
          <w:rFonts w:eastAsia="Times New Roman" w:cs="Tahoma"/>
          <w:bCs/>
          <w:iCs/>
          <w:lang w:val="es-ES" w:eastAsia="es-ES"/>
        </w:rPr>
      </w:pPr>
    </w:p>
    <w:p w:rsidRPr="000643C0" w:rsidR="00A35C54" w:rsidP="00A35C54" w:rsidRDefault="00A35C54" w14:paraId="02B5C3C0" w14:textId="77777777">
      <w:pPr>
        <w:spacing w:after="0" w:line="360" w:lineRule="auto"/>
        <w:rPr>
          <w:iCs/>
          <w:lang w:val="es-ES"/>
        </w:rPr>
      </w:pPr>
      <w:r w:rsidRPr="000643C0">
        <w:rPr>
          <w:iCs/>
          <w:lang w:val="es-ES"/>
        </w:rPr>
        <w:t xml:space="preserve">Conforme a lo </w:t>
      </w:r>
      <w:r w:rsidRPr="00326CBC">
        <w:rPr>
          <w:iCs/>
          <w:lang w:val="es-ES"/>
        </w:rPr>
        <w:t>expuesto</w:t>
      </w:r>
      <w:r w:rsidRPr="000643C0">
        <w:rPr>
          <w:iCs/>
          <w:lang w:val="es-ES"/>
        </w:rPr>
        <w:t xml:space="preserve">, se logra colegir que </w:t>
      </w:r>
      <w:r w:rsidRPr="00326CBC">
        <w:rPr>
          <w:iCs/>
          <w:lang w:val="es-ES"/>
        </w:rPr>
        <w:t xml:space="preserve">la </w:t>
      </w:r>
      <w:r w:rsidRPr="00326CBC">
        <w:rPr>
          <w:rFonts w:eastAsia="Calibri" w:cs="Tahoma"/>
        </w:rPr>
        <w:t>Secretaría de Seguridad</w:t>
      </w:r>
      <w:r w:rsidRPr="00326CBC">
        <w:rPr>
          <w:iCs/>
        </w:rPr>
        <w:t xml:space="preserve"> </w:t>
      </w:r>
      <w:r w:rsidRPr="000643C0">
        <w:rPr>
          <w:iCs/>
          <w:lang w:val="es-ES"/>
        </w:rPr>
        <w:t>aludió a que la información era inexistente; sobre el tema, en</w:t>
      </w:r>
      <w:r w:rsidRPr="000643C0">
        <w:rPr>
          <w:lang w:val="es-ES_tradnl"/>
        </w:rPr>
        <w:t xml:space="preserve"> el </w:t>
      </w:r>
      <w:r w:rsidRPr="000643C0">
        <w:t>Criterio 14/17, emitido por el Instituto Nacional de Transparencia, Acceso a la Información Pública y Protección de Datos Personales en el Estado de México y Municipios, se señala lo siguiente:</w:t>
      </w:r>
    </w:p>
    <w:p w:rsidRPr="000643C0" w:rsidR="00A35C54" w:rsidP="00A35C54" w:rsidRDefault="00A35C54" w14:paraId="122356BF" w14:textId="77777777">
      <w:pPr>
        <w:spacing w:after="0" w:line="360" w:lineRule="auto"/>
      </w:pPr>
    </w:p>
    <w:p w:rsidRPr="000643C0" w:rsidR="00A35C54" w:rsidP="00A35C54" w:rsidRDefault="00A35C54" w14:paraId="70C3A77E" w14:textId="77777777">
      <w:pPr>
        <w:spacing w:after="0" w:line="360" w:lineRule="auto"/>
        <w:ind w:left="567" w:right="567"/>
        <w:rPr>
          <w:bCs/>
          <w:i/>
          <w:sz w:val="20"/>
          <w:szCs w:val="20"/>
          <w:lang w:val="es-ES"/>
        </w:rPr>
      </w:pPr>
      <w:r w:rsidRPr="000643C0">
        <w:rPr>
          <w:bCs/>
          <w:i/>
          <w:sz w:val="20"/>
          <w:szCs w:val="20"/>
          <w:lang w:val="es-ES"/>
        </w:rPr>
        <w:t>“</w:t>
      </w:r>
      <w:r w:rsidRPr="000643C0">
        <w:rPr>
          <w:b/>
          <w:bCs/>
          <w:i/>
          <w:sz w:val="20"/>
          <w:szCs w:val="20"/>
          <w:lang w:val="es-ES"/>
        </w:rPr>
        <w:t xml:space="preserve">Inexistencia. </w:t>
      </w:r>
      <w:r w:rsidRPr="000643C0">
        <w:rPr>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0643C0" w:rsidR="00A35C54" w:rsidP="00A35C54" w:rsidRDefault="00A35C54" w14:paraId="1CFD6FE8" w14:textId="77777777">
      <w:pPr>
        <w:spacing w:after="0" w:line="360" w:lineRule="auto"/>
        <w:rPr>
          <w:bCs/>
        </w:rPr>
      </w:pPr>
    </w:p>
    <w:p w:rsidRPr="000643C0" w:rsidR="00A35C54" w:rsidP="00A35C54" w:rsidRDefault="00A35C54" w14:paraId="41BAD6BF" w14:textId="77777777">
      <w:pPr>
        <w:spacing w:after="0" w:line="360" w:lineRule="auto"/>
      </w:pPr>
      <w:r w:rsidRPr="000643C0">
        <w:t xml:space="preserve">Del citado criterio, se desprende que la inexistencia de la información, es una cuestión de hecho que se le atribuye a la misma, cuando ésta no se encuentra en los archivos del sujeto obligado. </w:t>
      </w:r>
    </w:p>
    <w:p w:rsidRPr="000643C0" w:rsidR="00A35C54" w:rsidP="00A35C54" w:rsidRDefault="00A35C54" w14:paraId="37CD3175" w14:textId="77777777">
      <w:pPr>
        <w:spacing w:after="0" w:line="360" w:lineRule="auto"/>
      </w:pPr>
    </w:p>
    <w:p w:rsidRPr="000643C0" w:rsidR="00A35C54" w:rsidP="00A35C54" w:rsidRDefault="00A35C54" w14:paraId="55EF27B3" w14:textId="77777777">
      <w:pPr>
        <w:spacing w:after="0" w:line="360" w:lineRule="auto"/>
        <w:rPr>
          <w:lang w:val="es-ES"/>
        </w:rPr>
      </w:pPr>
      <w:r w:rsidRPr="000643C0">
        <w:rPr>
          <w:lang w:val="es-ES"/>
        </w:rPr>
        <w:t xml:space="preserve">En ese orden de ideas, según Trujillo, Humberto (2019), en el “Diccionario de Transparencia y Acceso a la Información Pública” (p. 171), </w:t>
      </w:r>
      <w:r w:rsidRPr="000643C0">
        <w:rPr>
          <w:b/>
          <w:bCs/>
          <w:lang w:val="es-ES"/>
        </w:rPr>
        <w:t>la inexistencia de la información</w:t>
      </w:r>
      <w:r w:rsidRPr="000643C0">
        <w:rPr>
          <w:lang w:val="es-ES"/>
        </w:rPr>
        <w:t>, es cuando la información requerida no se encuentra en los archivos públicos, reservados o clasificados, de los sujetos obligados.</w:t>
      </w:r>
    </w:p>
    <w:p w:rsidRPr="000643C0" w:rsidR="00A35C54" w:rsidP="00A35C54" w:rsidRDefault="00A35C54" w14:paraId="52D2E1D5" w14:textId="77777777">
      <w:pPr>
        <w:spacing w:after="0" w:line="360" w:lineRule="auto"/>
        <w:rPr>
          <w:lang w:val="es-ES"/>
        </w:rPr>
      </w:pPr>
    </w:p>
    <w:p w:rsidR="007A1CDD" w:rsidP="00077796" w:rsidRDefault="00A35C54" w14:paraId="58D30850" w14:textId="7B546530">
      <w:pPr>
        <w:spacing w:after="0" w:line="360" w:lineRule="auto"/>
        <w:rPr>
          <w:rFonts w:eastAsia="Times New Roman" w:cs="Tahoma"/>
          <w:bCs/>
          <w:iCs/>
          <w:lang w:val="es-ES" w:eastAsia="es-ES"/>
        </w:rPr>
      </w:pPr>
      <w:r>
        <w:rPr>
          <w:rFonts w:eastAsia="Times New Roman" w:cs="Tahoma"/>
          <w:color w:val="auto"/>
          <w:lang w:val="es-ES" w:eastAsia="es-ES"/>
        </w:rPr>
        <w:t>Así</w:t>
      </w:r>
      <w:r>
        <w:rPr>
          <w:rFonts w:eastAsia="Times New Roman" w:cs="Tahoma"/>
          <w:color w:val="auto"/>
          <w:lang w:eastAsia="es-ES"/>
        </w:rPr>
        <w:t xml:space="preserve">, es posible concluir que la </w:t>
      </w:r>
      <w:r>
        <w:rPr>
          <w:rFonts w:eastAsia="Times New Roman" w:cs="Tahoma"/>
          <w:b/>
          <w:color w:val="auto"/>
          <w:lang w:eastAsia="es-ES"/>
        </w:rPr>
        <w:t>inexistencia</w:t>
      </w:r>
      <w:r>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rsidR="007A1CDD" w:rsidP="00077796" w:rsidRDefault="007A1CDD" w14:paraId="2819387E" w14:textId="24AF0AF2">
      <w:pPr>
        <w:spacing w:after="0" w:line="360" w:lineRule="auto"/>
        <w:rPr>
          <w:rFonts w:eastAsia="Times New Roman" w:cs="Tahoma"/>
          <w:bCs/>
          <w:iCs/>
          <w:lang w:val="es-ES" w:eastAsia="es-ES"/>
        </w:rPr>
      </w:pPr>
    </w:p>
    <w:p w:rsidR="009947CE" w:rsidP="00077796" w:rsidRDefault="009947CE" w14:paraId="6A43A0F5" w14:textId="3F82B5F0">
      <w:pPr>
        <w:spacing w:after="0" w:line="360" w:lineRule="auto"/>
        <w:rPr>
          <w:rFonts w:eastAsia="Times New Roman" w:cs="Tahoma"/>
          <w:bCs/>
          <w:iCs/>
          <w:lang w:val="es-ES" w:eastAsia="es-ES"/>
        </w:rPr>
      </w:pPr>
    </w:p>
    <w:p w:rsidR="009947CE" w:rsidP="00077796" w:rsidRDefault="009947CE" w14:paraId="148A9759" w14:textId="23DCFF09">
      <w:pPr>
        <w:spacing w:after="0" w:line="360" w:lineRule="auto"/>
        <w:rPr>
          <w:rFonts w:eastAsia="Times New Roman" w:cs="Tahoma"/>
          <w:bCs/>
          <w:iCs/>
          <w:lang w:val="es-ES" w:eastAsia="es-ES"/>
        </w:rPr>
      </w:pPr>
    </w:p>
    <w:p w:rsidR="009947CE" w:rsidP="00077796" w:rsidRDefault="009947CE" w14:paraId="7030BD9B" w14:textId="77777777">
      <w:pPr>
        <w:spacing w:after="0" w:line="360" w:lineRule="auto"/>
        <w:rPr>
          <w:rFonts w:eastAsia="Times New Roman" w:cs="Tahoma"/>
          <w:bCs/>
          <w:iCs/>
          <w:lang w:val="es-ES" w:eastAsia="es-ES"/>
        </w:rPr>
      </w:pPr>
    </w:p>
    <w:p w:rsidR="007A1CDD" w:rsidP="00077796" w:rsidRDefault="00A35C54" w14:paraId="0C86EBBD" w14:textId="4F2FAF69">
      <w:pPr>
        <w:spacing w:after="0" w:line="360" w:lineRule="auto"/>
        <w:rPr>
          <w:lang w:val="es-ES"/>
        </w:rPr>
      </w:pPr>
      <w:r>
        <w:rPr>
          <w:lang w:val="es-ES"/>
        </w:rPr>
        <w:t>En ese contexto, es de señalar que si bien el Sujeto Obligado señaló que realizó una búsqueda exhaustiva y razonable en sus archivos y no localizó los contratos peticionados, lo cierto es que no fue muy claro en las razones por las cuales no se adquirieron alarmas silenciosas.</w:t>
      </w:r>
    </w:p>
    <w:p w:rsidR="00A35C54" w:rsidP="00077796" w:rsidRDefault="00A35C54" w14:paraId="73692B01" w14:textId="24A3B9BB">
      <w:pPr>
        <w:spacing w:after="0" w:line="360" w:lineRule="auto"/>
        <w:rPr>
          <w:lang w:val="es-ES"/>
        </w:rPr>
      </w:pPr>
    </w:p>
    <w:p w:rsidR="00A35C54" w:rsidP="00077796" w:rsidRDefault="00A35C54" w14:paraId="3818F1DB" w14:textId="43662234">
      <w:pPr>
        <w:spacing w:after="0" w:line="360" w:lineRule="auto"/>
        <w:rPr>
          <w:lang w:val="es-ES"/>
        </w:rPr>
      </w:pPr>
      <w:r>
        <w:rPr>
          <w:lang w:val="es-ES"/>
        </w:rPr>
        <w:t>No obstante, durante la substanciación del Medio de Impugnación, aclaró las circunstancias por las cuales no contaba con la información, al señalar lo siguiente:</w:t>
      </w:r>
    </w:p>
    <w:p w:rsidR="00A35C54" w:rsidP="00077796" w:rsidRDefault="00A35C54" w14:paraId="403B08FF" w14:textId="33D4EBE4">
      <w:pPr>
        <w:spacing w:after="0" w:line="360" w:lineRule="auto"/>
        <w:rPr>
          <w:lang w:val="es-ES"/>
        </w:rPr>
      </w:pPr>
    </w:p>
    <w:p w:rsidR="00A35C54" w:rsidP="00A35C54" w:rsidRDefault="004E1326" w14:paraId="0A6A47B9" w14:textId="1E104494">
      <w:pPr>
        <w:pStyle w:val="Prrafodelista"/>
        <w:numPr>
          <w:ilvl w:val="0"/>
          <w:numId w:val="26"/>
        </w:numPr>
        <w:spacing w:line="360" w:lineRule="auto"/>
        <w:rPr>
          <w:lang w:val="es-ES"/>
        </w:rPr>
      </w:pPr>
      <w:r>
        <w:rPr>
          <w:lang w:val="es-ES"/>
        </w:rPr>
        <w:t>Que, con el fin de reducir los tiempos de respuesta en los reportes de emergencia del sector comercial y empresarial, el personal del Centro de Control, Comando, Comunicación, Computo y Calidad desarrollo el Sistema de Alertamiento Código C5;</w:t>
      </w:r>
    </w:p>
    <w:p w:rsidR="004E1326" w:rsidP="004E1326" w:rsidRDefault="004E1326" w14:paraId="7123A799" w14:textId="77777777">
      <w:pPr>
        <w:pStyle w:val="Prrafodelista"/>
        <w:spacing w:line="360" w:lineRule="auto"/>
        <w:rPr>
          <w:lang w:val="es-ES"/>
        </w:rPr>
      </w:pPr>
    </w:p>
    <w:p w:rsidR="004E1326" w:rsidP="00A35C54" w:rsidRDefault="004E1326" w14:paraId="7471E52B" w14:textId="77777777">
      <w:pPr>
        <w:pStyle w:val="Prrafodelista"/>
        <w:numPr>
          <w:ilvl w:val="0"/>
          <w:numId w:val="26"/>
        </w:numPr>
        <w:spacing w:line="360" w:lineRule="auto"/>
        <w:rPr>
          <w:lang w:val="es-ES"/>
        </w:rPr>
      </w:pPr>
      <w:r>
        <w:rPr>
          <w:lang w:val="es-ES"/>
        </w:rPr>
        <w:t>Que el sistema mencionado, consistía en una aplicación para la plataforma “Android” que convertía un teléfono celular, tableta o computadora con dicho sistema operativo, en una alarma silenciosa que se podía activar rápidamente en caso de emergencia de seguridad;</w:t>
      </w:r>
    </w:p>
    <w:p w:rsidRPr="004E1326" w:rsidR="004E1326" w:rsidP="004E1326" w:rsidRDefault="004E1326" w14:paraId="50719410" w14:textId="77777777">
      <w:pPr>
        <w:pStyle w:val="Prrafodelista"/>
        <w:rPr>
          <w:lang w:val="es-ES"/>
        </w:rPr>
      </w:pPr>
    </w:p>
    <w:p w:rsidR="004E1326" w:rsidP="00A35C54" w:rsidRDefault="004E1326" w14:paraId="0F5D27FD" w14:textId="77777777">
      <w:pPr>
        <w:pStyle w:val="Prrafodelista"/>
        <w:numPr>
          <w:ilvl w:val="0"/>
          <w:numId w:val="26"/>
        </w:numPr>
        <w:spacing w:line="360" w:lineRule="auto"/>
        <w:rPr>
          <w:lang w:val="es-ES"/>
        </w:rPr>
      </w:pPr>
      <w:r>
        <w:rPr>
          <w:lang w:val="es-ES"/>
        </w:rPr>
        <w:t>Que el Sistema no requería de productos o servicios adicionales o de terceros, que conllevaran a celebrar algún contrato de compraventa, adquisición u operación del Sistema, y</w:t>
      </w:r>
    </w:p>
    <w:p w:rsidRPr="004E1326" w:rsidR="004E1326" w:rsidP="004E1326" w:rsidRDefault="004E1326" w14:paraId="03D3C492" w14:textId="77777777">
      <w:pPr>
        <w:pStyle w:val="Prrafodelista"/>
        <w:rPr>
          <w:lang w:val="es-ES"/>
        </w:rPr>
      </w:pPr>
    </w:p>
    <w:p w:rsidRPr="00A35C54" w:rsidR="004E1326" w:rsidP="00A35C54" w:rsidRDefault="004E1326" w14:paraId="0D51982E" w14:textId="4064434D">
      <w:pPr>
        <w:pStyle w:val="Prrafodelista"/>
        <w:numPr>
          <w:ilvl w:val="0"/>
          <w:numId w:val="26"/>
        </w:numPr>
        <w:spacing w:line="360" w:lineRule="auto"/>
        <w:rPr>
          <w:lang w:val="es-ES"/>
        </w:rPr>
      </w:pPr>
      <w:r>
        <w:rPr>
          <w:lang w:val="es-ES"/>
        </w:rPr>
        <w:t>Que conforme a lo anterior, no existía contrato de adquisición u operación</w:t>
      </w:r>
      <w:r w:rsidR="00892E5E">
        <w:rPr>
          <w:lang w:val="es-ES"/>
        </w:rPr>
        <w:t xml:space="preserve"> que la Secretaría de Seguridad haya celebrado con terceros.</w:t>
      </w:r>
      <w:r>
        <w:rPr>
          <w:lang w:val="es-ES"/>
        </w:rPr>
        <w:t xml:space="preserve"> </w:t>
      </w:r>
    </w:p>
    <w:p w:rsidR="00A35C54" w:rsidP="00077796" w:rsidRDefault="00A35C54" w14:paraId="0769494A" w14:textId="3D713F7C">
      <w:pPr>
        <w:spacing w:after="0" w:line="360" w:lineRule="auto"/>
        <w:rPr>
          <w:lang w:val="es-ES"/>
        </w:rPr>
      </w:pPr>
    </w:p>
    <w:p w:rsidRPr="00326CBC" w:rsidR="00892E5E" w:rsidP="00892E5E" w:rsidRDefault="00892E5E" w14:paraId="478EB925" w14:textId="77777777">
      <w:pPr>
        <w:spacing w:after="0" w:line="360" w:lineRule="auto"/>
        <w:rPr>
          <w:rFonts w:eastAsia="Calibri" w:cs="Tahoma"/>
        </w:rPr>
      </w:pPr>
      <w:r w:rsidRPr="00326CBC">
        <w:rPr>
          <w:rFonts w:eastAsia="Calibri" w:cs="Tahoma"/>
          <w:bCs/>
        </w:rPr>
        <w:t>Al respecto,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rsidRPr="00627E45" w:rsidR="00892E5E" w:rsidP="00892E5E" w:rsidRDefault="00892E5E" w14:paraId="496195B6" w14:textId="77777777">
      <w:pPr>
        <w:spacing w:after="0" w:line="360" w:lineRule="auto"/>
        <w:rPr>
          <w:rFonts w:eastAsia="Calibri" w:cs="Tahoma"/>
          <w:bCs/>
        </w:rPr>
      </w:pPr>
    </w:p>
    <w:p w:rsidRPr="00627E45" w:rsidR="00892E5E" w:rsidP="00892E5E" w:rsidRDefault="00892E5E" w14:paraId="3FB935B8" w14:textId="77777777">
      <w:pPr>
        <w:spacing w:after="0" w:line="360" w:lineRule="auto"/>
        <w:ind w:left="567" w:right="567"/>
        <w:rPr>
          <w:rFonts w:eastAsia="Calibri" w:cs="Tahoma"/>
          <w:bCs/>
          <w:i/>
          <w:sz w:val="20"/>
          <w:szCs w:val="20"/>
        </w:rPr>
      </w:pPr>
      <w:r w:rsidRPr="00627E45">
        <w:rPr>
          <w:rFonts w:eastAsia="Calibri" w:cs="Tahoma"/>
          <w:b/>
          <w:bCs/>
          <w:i/>
          <w:sz w:val="20"/>
          <w:szCs w:val="20"/>
        </w:rPr>
        <w:t xml:space="preserve">“El Instituto Federal de Acceso a la Información y Protección de Datos </w:t>
      </w:r>
      <w:r w:rsidRPr="00627E45">
        <w:rPr>
          <w:rFonts w:eastAsia="Calibri" w:cs="Tahoma"/>
          <w:b/>
          <w:bCs/>
          <w:i/>
          <w:sz w:val="20"/>
          <w:szCs w:val="20"/>
          <w:u w:val="single"/>
        </w:rPr>
        <w:t xml:space="preserve">no cuenta con facultades para pronunciarse respecto de la veracidad de los documentos proporcionados por los sujetos obligados. </w:t>
      </w:r>
      <w:r w:rsidRPr="00627E45">
        <w:rPr>
          <w:rFonts w:eastAsia="Calibri" w:cs="Tahoma"/>
          <w:bCs/>
          <w:i/>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92E5E" w:rsidP="00077796" w:rsidRDefault="00892E5E" w14:paraId="3C9D44A0" w14:textId="508ACC5E">
      <w:pPr>
        <w:spacing w:after="0" w:line="360" w:lineRule="auto"/>
        <w:rPr>
          <w:lang w:val="es-ES"/>
        </w:rPr>
      </w:pPr>
    </w:p>
    <w:p w:rsidR="00892E5E" w:rsidP="00077796" w:rsidRDefault="00892E5E" w14:paraId="77CF00E5" w14:textId="4DFCE477">
      <w:pPr>
        <w:spacing w:after="0" w:line="360" w:lineRule="auto"/>
        <w:rPr>
          <w:rFonts w:eastAsia="Times New Roman" w:cs="Tahoma"/>
          <w:bCs/>
          <w:lang w:eastAsia="es-ES"/>
        </w:rPr>
      </w:pPr>
      <w:r>
        <w:rPr>
          <w:lang w:val="es-ES"/>
        </w:rPr>
        <w:t xml:space="preserve">La inexistencia manifestada se robustece con </w:t>
      </w:r>
      <w:r>
        <w:rPr>
          <w:rFonts w:eastAsia="Times New Roman" w:cs="Tahoma"/>
          <w:bCs/>
          <w:lang w:eastAsia="es-ES"/>
        </w:rPr>
        <w:t>la Cédula de Registro del Trámite o Servicio denominado “Sistematización del servicio denominado Sistema de Alertamiento Código C5”, que establece que el trámite es gratuito, mediante el cual se otorgará una carpeta digital por correo electrónico, que incluirá el vínculo electrónico de la aplicación Sistema de Alertamiento Código C5, así como, las políticas de uso.</w:t>
      </w:r>
    </w:p>
    <w:p w:rsidR="00892E5E" w:rsidP="00077796" w:rsidRDefault="00892E5E" w14:paraId="79D583AA" w14:textId="0F291A2E">
      <w:pPr>
        <w:spacing w:after="0" w:line="360" w:lineRule="auto"/>
        <w:rPr>
          <w:rFonts w:eastAsia="Times New Roman" w:cs="Tahoma"/>
          <w:bCs/>
          <w:lang w:eastAsia="es-ES"/>
        </w:rPr>
      </w:pPr>
    </w:p>
    <w:p w:rsidR="00892E5E" w:rsidP="00077796" w:rsidRDefault="00892E5E" w14:paraId="36DE0F48" w14:textId="778C55BC">
      <w:pPr>
        <w:spacing w:after="0" w:line="360" w:lineRule="auto"/>
        <w:rPr>
          <w:rFonts w:eastAsia="Times New Roman" w:cs="Tahoma"/>
          <w:bCs/>
          <w:lang w:eastAsia="es-ES"/>
        </w:rPr>
      </w:pPr>
      <w:r>
        <w:rPr>
          <w:rFonts w:eastAsia="Times New Roman" w:cs="Tahoma"/>
          <w:bCs/>
          <w:lang w:eastAsia="es-ES"/>
        </w:rPr>
        <w:t xml:space="preserve">Asimismo, se nutre la inexistencia, con la nota proporcionada por el propio particular </w:t>
      </w:r>
      <w:r w:rsidR="00835858">
        <w:rPr>
          <w:rFonts w:eastAsia="Times New Roman" w:cs="Tahoma"/>
          <w:bCs/>
          <w:lang w:eastAsia="es-ES"/>
        </w:rPr>
        <w:t>(</w:t>
      </w:r>
      <w:hyperlink w:history="1" r:id="rId11">
        <w:r w:rsidRPr="00326CBC" w:rsidR="00835858">
          <w:rPr>
            <w:rStyle w:val="Hipervnculo"/>
            <w:rFonts w:eastAsia="Times New Roman" w:cs="Tahoma"/>
            <w:bCs/>
            <w:color w:val="000000" w:themeColor="text1"/>
            <w:lang w:eastAsia="es-ES"/>
          </w:rPr>
          <w:t>https://planamayor.com.mx/dotan-de-alarmas-silenciosas-a-prestadores-de-servicios-turisticos-de-pueblos-con-encanto-del-edomex/</w:t>
        </w:r>
      </w:hyperlink>
      <w:r w:rsidR="00835858">
        <w:rPr>
          <w:rFonts w:eastAsia="Times New Roman" w:cs="Tahoma"/>
          <w:bCs/>
          <w:lang w:eastAsia="es-ES"/>
        </w:rPr>
        <w:t xml:space="preserve">), que precisa que los prestadores de servicios turísticos de Pueblos con Encanto, de manera virtual recibieron por parte de la Secretaría de Seguridad, ciento setenta y cuatro alarmas silenciosas, para lo cual, el </w:t>
      </w:r>
      <w:r w:rsidR="00835858">
        <w:rPr>
          <w:lang w:val="es-ES"/>
        </w:rPr>
        <w:t xml:space="preserve">Centro de Control, Comando, Comunicación, Computo y Calidad capacitó a dichas personas, para instalar en los dispositivos móviles la aplicación del </w:t>
      </w:r>
      <w:r w:rsidR="00835858">
        <w:rPr>
          <w:rFonts w:eastAsia="Times New Roman" w:cs="Tahoma"/>
          <w:bCs/>
          <w:lang w:eastAsia="es-ES"/>
        </w:rPr>
        <w:t>Sistema de Alertamiento Código C5.</w:t>
      </w:r>
    </w:p>
    <w:p w:rsidR="00892E5E" w:rsidP="00077796" w:rsidRDefault="00892E5E" w14:paraId="2C341D21" w14:textId="374A5F56">
      <w:pPr>
        <w:spacing w:after="0" w:line="360" w:lineRule="auto"/>
        <w:rPr>
          <w:lang w:val="es-ES"/>
        </w:rPr>
      </w:pPr>
    </w:p>
    <w:p w:rsidR="009947CE" w:rsidP="00077796" w:rsidRDefault="009947CE" w14:paraId="3B3836CA" w14:textId="769AC756">
      <w:pPr>
        <w:spacing w:after="0" w:line="360" w:lineRule="auto"/>
        <w:rPr>
          <w:lang w:val="es-ES"/>
        </w:rPr>
      </w:pPr>
    </w:p>
    <w:p w:rsidR="009947CE" w:rsidP="00077796" w:rsidRDefault="009947CE" w14:paraId="2ADE13EC" w14:textId="77777777">
      <w:pPr>
        <w:spacing w:after="0" w:line="360" w:lineRule="auto"/>
        <w:rPr>
          <w:lang w:val="es-ES"/>
        </w:rPr>
      </w:pPr>
    </w:p>
    <w:p w:rsidRPr="001431DB" w:rsidR="00835858" w:rsidP="00835858" w:rsidRDefault="00835858" w14:paraId="3FE995A2" w14:textId="7F6D444C">
      <w:pPr>
        <w:spacing w:after="0" w:line="360" w:lineRule="auto"/>
      </w:pPr>
      <w:r w:rsidRPr="00326CBC">
        <w:t>Adicionalmente, este Instituto realiz</w:t>
      </w:r>
      <w:r>
        <w:t>ó</w:t>
      </w:r>
      <w:r w:rsidRPr="00326CBC">
        <w:t xml:space="preserve"> una en la página oficial de la </w:t>
      </w:r>
      <w:r w:rsidRPr="00326CBC">
        <w:rPr>
          <w:rFonts w:eastAsia="Calibri" w:cs="Tahoma"/>
        </w:rPr>
        <w:t xml:space="preserve">Secretaría de Seguridad y en su </w:t>
      </w:r>
      <w:r w:rsidRPr="001431DB">
        <w:rPr>
          <w:lang w:val="es-ES"/>
        </w:rPr>
        <w:t>Portal de Información Pública de Oficio Mexiquense (SAIMEX)</w:t>
      </w:r>
      <w:r w:rsidRPr="00326CBC">
        <w:rPr>
          <w:lang w:val="es-ES"/>
        </w:rPr>
        <w:t xml:space="preserve"> (consultados el </w:t>
      </w:r>
      <w:r>
        <w:rPr>
          <w:lang w:val="es-ES"/>
        </w:rPr>
        <w:t>cinco</w:t>
      </w:r>
      <w:r w:rsidRPr="00326CBC">
        <w:rPr>
          <w:lang w:val="es-ES"/>
        </w:rPr>
        <w:t xml:space="preserve"> de mayo de dos mil veintidós</w:t>
      </w:r>
      <w:r>
        <w:rPr>
          <w:lang w:val="es-ES"/>
        </w:rPr>
        <w:t>,</w:t>
      </w:r>
      <w:r w:rsidRPr="00326CBC">
        <w:rPr>
          <w:lang w:val="es-ES"/>
        </w:rPr>
        <w:t xml:space="preserve"> en las páginas: </w:t>
      </w:r>
      <w:hyperlink w:history="1" r:id="rId12">
        <w:r w:rsidRPr="00326CBC">
          <w:rPr>
            <w:rStyle w:val="Hipervnculo"/>
            <w:color w:val="000000" w:themeColor="text1"/>
            <w:lang w:val="es-ES"/>
          </w:rPr>
          <w:t>https://sseguridad.edomex.gob.mx/</w:t>
        </w:r>
      </w:hyperlink>
      <w:r w:rsidRPr="00326CBC">
        <w:rPr>
          <w:lang w:val="es-ES"/>
        </w:rPr>
        <w:t xml:space="preserve"> y </w:t>
      </w:r>
      <w:hyperlink w:history="1" r:id="rId13">
        <w:r w:rsidRPr="00326CBC">
          <w:rPr>
            <w:rStyle w:val="Hipervnculo"/>
            <w:color w:val="000000" w:themeColor="text1"/>
          </w:rPr>
          <w:t>https://www.ipomex.org.mx/ipo3/lgt/indice/SSEM/art_92_xxxii.web</w:t>
        </w:r>
      </w:hyperlink>
      <w:r w:rsidRPr="00326CBC">
        <w:t xml:space="preserve">) </w:t>
      </w:r>
      <w:r w:rsidRPr="001431DB">
        <w:rPr>
          <w:lang w:val="es-ES"/>
        </w:rPr>
        <w:t xml:space="preserve">y no se localizó indició o información </w:t>
      </w:r>
      <w:r w:rsidRPr="00326CBC">
        <w:rPr>
          <w:lang w:val="es-ES"/>
        </w:rPr>
        <w:t>sobre la adquisición</w:t>
      </w:r>
      <w:r>
        <w:rPr>
          <w:lang w:val="es-ES"/>
        </w:rPr>
        <w:t xml:space="preserve"> o contratación de servicio para la operación</w:t>
      </w:r>
      <w:r w:rsidRPr="00326CBC">
        <w:rPr>
          <w:lang w:val="es-ES"/>
        </w:rPr>
        <w:t xml:space="preserve"> del </w:t>
      </w:r>
      <w:r w:rsidRPr="00326CBC">
        <w:rPr>
          <w:bCs/>
        </w:rPr>
        <w:t xml:space="preserve">Sistema de Alertamiento Código C5, por parte de la Secretaría de Seguridad. </w:t>
      </w:r>
    </w:p>
    <w:p w:rsidR="00835858" w:rsidP="00077796" w:rsidRDefault="00835858" w14:paraId="6D46604F" w14:textId="77777777">
      <w:pPr>
        <w:spacing w:after="0" w:line="360" w:lineRule="auto"/>
        <w:rPr>
          <w:lang w:val="es-ES"/>
        </w:rPr>
      </w:pPr>
    </w:p>
    <w:p w:rsidRPr="006148CF" w:rsidR="00835858" w:rsidP="00835858" w:rsidRDefault="00835858" w14:paraId="246DB333" w14:textId="0CEC3F90">
      <w:pPr>
        <w:spacing w:after="0" w:line="360" w:lineRule="auto"/>
        <w:rPr>
          <w:lang w:val="es-ES"/>
        </w:rPr>
      </w:pPr>
      <w:r w:rsidRPr="006148CF">
        <w:rPr>
          <w:lang w:val="es-ES"/>
        </w:rPr>
        <w:t>Por tales consideraciones</w:t>
      </w:r>
      <w:r>
        <w:rPr>
          <w:lang w:val="es-ES"/>
        </w:rPr>
        <w:t>, se advierte que la información solicitada es inexistente</w:t>
      </w:r>
      <w:r w:rsidR="00BC78E6">
        <w:rPr>
          <w:lang w:val="es-ES"/>
        </w:rPr>
        <w:t>, así como, que</w:t>
      </w:r>
      <w:r w:rsidRPr="006148CF">
        <w:rPr>
          <w:lang w:val="es-ES"/>
        </w:rPr>
        <w:t xml:space="preserve"> la </w:t>
      </w:r>
      <w:r w:rsidRPr="00326CBC">
        <w:rPr>
          <w:rFonts w:eastAsia="Calibri" w:cs="Tahoma"/>
        </w:rPr>
        <w:t>Secretaría de Seguridad</w:t>
      </w:r>
      <w:r w:rsidRPr="006148CF">
        <w:rPr>
          <w:bCs/>
          <w:iCs/>
          <w:lang w:val="es-ES"/>
        </w:rPr>
        <w:t>,</w:t>
      </w:r>
      <w:r w:rsidRPr="006148CF">
        <w:rPr>
          <w:lang w:val="es-ES"/>
        </w:rPr>
        <w:t xml:space="preserve"> señaló las razones por las cuales no contaba con lo peticionado; </w:t>
      </w:r>
      <w:r w:rsidRPr="006148CF">
        <w:t xml:space="preserve">al respecto, se trae a colación, el </w:t>
      </w:r>
      <w:r w:rsidRPr="006148CF">
        <w:rPr>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326CBC" w:rsidR="006E5ABD" w:rsidP="00077796" w:rsidRDefault="006E5ABD" w14:paraId="2E589DE8" w14:textId="77777777">
      <w:pPr>
        <w:spacing w:after="0" w:line="360" w:lineRule="auto"/>
        <w:rPr>
          <w:rFonts w:eastAsia="Calibri" w:cs="Tahoma"/>
        </w:rPr>
      </w:pPr>
    </w:p>
    <w:p w:rsidRPr="006148CF" w:rsidR="006148CF" w:rsidP="00077796" w:rsidRDefault="006148CF" w14:paraId="1C893DAA" w14:textId="77777777">
      <w:pPr>
        <w:spacing w:after="0" w:line="360" w:lineRule="auto"/>
        <w:rPr>
          <w:bCs/>
        </w:rPr>
      </w:pPr>
      <w:r w:rsidRPr="006148CF">
        <w:rPr>
          <w:lang w:val="es-ES"/>
        </w:rPr>
        <w:t xml:space="preserve">De la misma manera, </w:t>
      </w:r>
      <w:r w:rsidRPr="006148CF">
        <w:rPr>
          <w:bC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BC78E6" w:rsidP="00077796" w:rsidRDefault="00BC78E6" w14:paraId="1CB9699C" w14:textId="10155579">
      <w:pPr>
        <w:spacing w:after="0" w:line="360" w:lineRule="auto"/>
      </w:pPr>
    </w:p>
    <w:p w:rsidRPr="00BC78E6" w:rsidR="00BC78E6" w:rsidP="00BC78E6" w:rsidRDefault="00BC78E6" w14:paraId="0FC344F7" w14:textId="37DE7432">
      <w:pPr>
        <w:spacing w:after="0" w:line="360" w:lineRule="auto"/>
        <w:rPr>
          <w:rFonts w:eastAsia="Times New Roman" w:cs="Tahoma"/>
          <w:lang w:eastAsia="es-ES"/>
        </w:rPr>
      </w:pPr>
      <w:r w:rsidRPr="00BC78E6">
        <w:rPr>
          <w:rFonts w:eastAsia="Times New Roman" w:cs="Tahoma"/>
          <w:lang w:eastAsia="es-ES"/>
        </w:rPr>
        <w:t xml:space="preserve">Al respecto, dicho criterio aplica al caso en concreto, ya que, no se localizó algún indicio de que </w:t>
      </w:r>
      <w:r>
        <w:rPr>
          <w:rFonts w:eastAsia="Times New Roman" w:cs="Tahoma"/>
          <w:lang w:eastAsia="es-ES"/>
        </w:rPr>
        <w:t>de que la Secretaría de Seguridad haya realizado algún procedimiento de</w:t>
      </w:r>
      <w:r w:rsidRPr="00BC78E6">
        <w:rPr>
          <w:rFonts w:eastAsia="Times New Roman" w:cs="Tahoma"/>
          <w:lang w:eastAsia="es-ES"/>
        </w:rPr>
        <w:t xml:space="preserve"> contratación de servicios o adquisición de bienes </w:t>
      </w:r>
      <w:r>
        <w:rPr>
          <w:rFonts w:eastAsia="Times New Roman" w:cs="Tahoma"/>
          <w:lang w:eastAsia="es-ES"/>
        </w:rPr>
        <w:t xml:space="preserve">relacionados con el </w:t>
      </w:r>
      <w:r>
        <w:rPr>
          <w:rFonts w:eastAsia="Times New Roman" w:cs="Tahoma"/>
          <w:bCs/>
          <w:lang w:eastAsia="es-ES"/>
        </w:rPr>
        <w:t>Sistema de Alertamiento Código C5</w:t>
      </w:r>
      <w:r w:rsidRPr="00BC78E6">
        <w:rPr>
          <w:rFonts w:eastAsia="Times New Roman" w:cs="Tahoma"/>
          <w:lang w:eastAsia="es-ES"/>
        </w:rPr>
        <w:t xml:space="preserve">; </w:t>
      </w:r>
      <w:r>
        <w:rPr>
          <w:rFonts w:eastAsia="Times New Roman" w:cs="Tahoma"/>
          <w:lang w:eastAsia="es-ES"/>
        </w:rPr>
        <w:t xml:space="preserve">situación que se robustece con el hecho de que la aplicación fue generada </w:t>
      </w:r>
      <w:r>
        <w:rPr>
          <w:lang w:val="es-ES"/>
        </w:rPr>
        <w:t xml:space="preserve">Centro de Control, </w:t>
      </w:r>
      <w:r>
        <w:rPr>
          <w:lang w:val="es-ES"/>
        </w:rPr>
        <w:lastRenderedPageBreak/>
        <w:t>Comando, Comunicación, Computo y Calidad y el trámite para la adquisición de dicha APP, es totalmente gratuita.</w:t>
      </w:r>
    </w:p>
    <w:p w:rsidRPr="00326CBC" w:rsidR="00BC78E6" w:rsidP="00077796" w:rsidRDefault="00BC78E6" w14:paraId="1D7CC798" w14:textId="77777777">
      <w:pPr>
        <w:spacing w:after="0" w:line="360" w:lineRule="auto"/>
      </w:pPr>
    </w:p>
    <w:p w:rsidRPr="00326CBC" w:rsidR="00941DD2" w:rsidP="00077796" w:rsidRDefault="00941DD2" w14:paraId="570282C6" w14:textId="4330B217">
      <w:pPr>
        <w:spacing w:after="0" w:line="360" w:lineRule="auto"/>
        <w:rPr>
          <w:b/>
        </w:rPr>
      </w:pPr>
      <w:r w:rsidRPr="00326CBC">
        <w:t>Por todo lo expuesto y toda vez que, durante la sustanciación</w:t>
      </w:r>
      <w:r w:rsidRPr="00326CBC">
        <w:rPr>
          <w:lang w:val="x-none"/>
        </w:rPr>
        <w:t xml:space="preserve"> del presente Medio de Impugnación, el Ente Recurrido</w:t>
      </w:r>
      <w:r w:rsidRPr="00326CBC">
        <w:rPr>
          <w:b/>
          <w:lang w:val="x-none"/>
        </w:rPr>
        <w:t>, modificó su actuar</w:t>
      </w:r>
      <w:r w:rsidRPr="00326CBC">
        <w:rPr>
          <w:b/>
        </w:rPr>
        <w:t xml:space="preserve"> y </w:t>
      </w:r>
      <w:r w:rsidR="00BC78E6">
        <w:rPr>
          <w:b/>
        </w:rPr>
        <w:t>aclaró</w:t>
      </w:r>
      <w:r w:rsidRPr="00326CBC">
        <w:rPr>
          <w:b/>
        </w:rPr>
        <w:t xml:space="preserve"> las razones por las cuales no contaba con la información peticionada</w:t>
      </w:r>
      <w:r w:rsidRPr="00326CBC">
        <w:rPr>
          <w:b/>
          <w:lang w:val="x-none"/>
        </w:rPr>
        <w:t>, se considera que la impugnación que se dirime ha quedado sin materia.</w:t>
      </w:r>
    </w:p>
    <w:p w:rsidRPr="00326CBC" w:rsidR="00EA1D87" w:rsidP="00077796" w:rsidRDefault="00EA1D87" w14:paraId="303B4D3B" w14:textId="77777777">
      <w:pPr>
        <w:spacing w:after="0" w:line="360" w:lineRule="auto"/>
      </w:pPr>
    </w:p>
    <w:p w:rsidRPr="00326CBC" w:rsidR="00140E5B" w:rsidP="00077796" w:rsidRDefault="00140E5B" w14:paraId="12D8F055" w14:textId="77777777">
      <w:pPr>
        <w:spacing w:after="0" w:line="360" w:lineRule="auto"/>
        <w:ind w:right="-28"/>
        <w:rPr>
          <w:rFonts w:eastAsia="Times New Roman" w:cs="Tahoma"/>
          <w:b/>
          <w:bCs/>
          <w:color w:val="auto"/>
          <w:szCs w:val="24"/>
          <w:lang w:val="es-ES" w:eastAsia="es-ES"/>
        </w:rPr>
      </w:pPr>
      <w:r w:rsidRPr="00326CBC">
        <w:rPr>
          <w:rFonts w:eastAsia="Times New Roman" w:cs="Tahoma"/>
          <w:b/>
          <w:bCs/>
          <w:color w:val="auto"/>
          <w:szCs w:val="24"/>
          <w:lang w:val="es-ES" w:eastAsia="es-ES"/>
        </w:rPr>
        <w:t xml:space="preserve">CUARTO. Decisión. </w:t>
      </w:r>
    </w:p>
    <w:p w:rsidRPr="00326CBC" w:rsidR="00140E5B" w:rsidP="00077796" w:rsidRDefault="00140E5B" w14:paraId="2788B87C" w14:textId="77777777">
      <w:pPr>
        <w:spacing w:after="0" w:line="360" w:lineRule="auto"/>
        <w:ind w:right="-28"/>
        <w:rPr>
          <w:rFonts w:eastAsia="Times New Roman" w:cs="Tahoma"/>
          <w:b/>
          <w:bCs/>
          <w:color w:val="auto"/>
          <w:szCs w:val="24"/>
          <w:lang w:val="es-ES" w:eastAsia="es-ES"/>
        </w:rPr>
      </w:pPr>
    </w:p>
    <w:p w:rsidRPr="00326CBC" w:rsidR="00140E5B" w:rsidP="00077796" w:rsidRDefault="00140E5B" w14:paraId="431A2B16" w14:textId="20FB4513">
      <w:pPr>
        <w:spacing w:after="0" w:line="360" w:lineRule="auto"/>
        <w:ind w:right="-28"/>
        <w:rPr>
          <w:rFonts w:eastAsia="Times New Roman" w:cs="Tahoma"/>
          <w:bCs/>
          <w:color w:val="auto"/>
          <w:szCs w:val="24"/>
          <w:lang w:val="es-ES" w:eastAsia="es-ES"/>
        </w:rPr>
      </w:pPr>
      <w:r w:rsidRPr="00326CBC">
        <w:rPr>
          <w:rFonts w:eastAsia="Times New Roman" w:cs="Tahoma"/>
          <w:bCs/>
          <w:color w:val="auto"/>
          <w:szCs w:val="24"/>
          <w:lang w:val="es-ES" w:eastAsia="es-ES"/>
        </w:rPr>
        <w:t xml:space="preserve">Con fundamento en lo dispuesto en el artículo 186, fracción I de la Ley de Transparencia y Acceso a la Información Pública del Estado de México y Municipios, se considera procedente </w:t>
      </w:r>
      <w:r w:rsidRPr="00326CBC">
        <w:rPr>
          <w:rFonts w:eastAsia="Times New Roman" w:cs="Tahoma"/>
          <w:b/>
          <w:bCs/>
          <w:color w:val="auto"/>
          <w:szCs w:val="24"/>
          <w:lang w:val="es-ES" w:eastAsia="es-ES"/>
        </w:rPr>
        <w:t xml:space="preserve">SOBRESEER </w:t>
      </w:r>
      <w:r w:rsidR="009947CE">
        <w:rPr>
          <w:rFonts w:eastAsia="Times New Roman" w:cs="Tahoma"/>
          <w:bCs/>
          <w:color w:val="auto"/>
          <w:szCs w:val="24"/>
          <w:lang w:val="es-ES" w:eastAsia="es-ES"/>
        </w:rPr>
        <w:t>el Recurso de Revisión</w:t>
      </w:r>
      <w:r w:rsidRPr="00326CBC">
        <w:rPr>
          <w:rFonts w:eastAsia="Times New Roman" w:cs="Tahoma"/>
          <w:bCs/>
          <w:color w:val="auto"/>
          <w:szCs w:val="24"/>
          <w:lang w:val="es-ES" w:eastAsia="es-ES"/>
        </w:rPr>
        <w:t>, en virtud de que se actualiza la hipótesis normativa prevista en la fracción III, del artículo 192, del citado ordenamiento legal.</w:t>
      </w:r>
    </w:p>
    <w:p w:rsidRPr="00326CBC" w:rsidR="00140E5B" w:rsidP="00077796" w:rsidRDefault="00140E5B" w14:paraId="5DF3D41D" w14:textId="77777777">
      <w:pPr>
        <w:spacing w:after="0" w:line="360" w:lineRule="auto"/>
        <w:ind w:right="-28"/>
        <w:rPr>
          <w:rFonts w:eastAsia="Times New Roman" w:cs="Tahoma"/>
          <w:bCs/>
          <w:color w:val="auto"/>
          <w:szCs w:val="24"/>
          <w:lang w:val="es-ES" w:eastAsia="es-ES"/>
        </w:rPr>
      </w:pPr>
    </w:p>
    <w:p w:rsidRPr="00326CBC" w:rsidR="00140E5B" w:rsidP="00077796" w:rsidRDefault="00140E5B" w14:paraId="6E1D56AA" w14:textId="77777777">
      <w:pPr>
        <w:spacing w:after="0" w:line="360" w:lineRule="auto"/>
        <w:ind w:right="-28"/>
        <w:rPr>
          <w:rFonts w:eastAsia="Times New Roman" w:cs="Tahoma"/>
          <w:b/>
          <w:bCs/>
          <w:iCs/>
          <w:color w:val="auto"/>
          <w:szCs w:val="24"/>
          <w:lang w:eastAsia="es-ES"/>
        </w:rPr>
      </w:pPr>
      <w:r w:rsidRPr="00326CBC">
        <w:rPr>
          <w:rFonts w:eastAsia="Times New Roman" w:cs="Tahoma"/>
          <w:b/>
          <w:bCs/>
          <w:iCs/>
          <w:color w:val="auto"/>
          <w:szCs w:val="24"/>
          <w:lang w:eastAsia="es-ES"/>
        </w:rPr>
        <w:t>Términos de la Resolución para conocimiento del Particular.</w:t>
      </w:r>
    </w:p>
    <w:p w:rsidRPr="00326CBC" w:rsidR="00140E5B" w:rsidP="00077796" w:rsidRDefault="00140E5B" w14:paraId="7692BACE" w14:textId="77777777">
      <w:pPr>
        <w:spacing w:after="0" w:line="360" w:lineRule="auto"/>
        <w:ind w:right="-28"/>
        <w:rPr>
          <w:rFonts w:eastAsia="Times New Roman" w:cs="Tahoma"/>
          <w:bCs/>
          <w:iCs/>
          <w:color w:val="auto"/>
          <w:szCs w:val="24"/>
          <w:lang w:eastAsia="es-ES"/>
        </w:rPr>
      </w:pPr>
    </w:p>
    <w:p w:rsidRPr="00326CBC" w:rsidR="00140E5B" w:rsidP="00077796" w:rsidRDefault="00140E5B" w14:paraId="76156532" w14:textId="2F7AC572">
      <w:pPr>
        <w:spacing w:after="0" w:line="360" w:lineRule="auto"/>
        <w:ind w:right="-28"/>
        <w:rPr>
          <w:rFonts w:eastAsia="Times New Roman" w:cs="Tahoma"/>
          <w:bCs/>
          <w:iCs/>
          <w:color w:val="auto"/>
          <w:szCs w:val="24"/>
          <w:lang w:val="es-ES" w:eastAsia="es-ES"/>
        </w:rPr>
      </w:pPr>
      <w:r w:rsidRPr="00326CBC">
        <w:rPr>
          <w:rFonts w:eastAsia="Times New Roman" w:cs="Tahoma"/>
          <w:bCs/>
          <w:iCs/>
          <w:color w:val="auto"/>
          <w:szCs w:val="24"/>
          <w:lang w:val="es-ES" w:eastAsia="es-ES"/>
        </w:rPr>
        <w:t xml:space="preserve">Se le hace del conocimiento del Particular, que, si bien en un principio se le daba la razón, pues el Sujeto Obligado </w:t>
      </w:r>
      <w:r w:rsidR="00BC78E6">
        <w:rPr>
          <w:rFonts w:eastAsia="Times New Roman" w:cs="Tahoma"/>
          <w:bCs/>
          <w:iCs/>
          <w:color w:val="auto"/>
          <w:szCs w:val="24"/>
          <w:lang w:val="es-ES" w:eastAsia="es-ES"/>
        </w:rPr>
        <w:t>en respuesta el Sujeto Obligado refirió a que la información era inexistente, sin señalar las razones por las cuales era dicha circunstancia, lo cierto es que mediante el Informe Justificado, brindo dichas circunstancias, con lo cual dio por atendido el requerimiento de información, al aclarar su actuar.</w:t>
      </w:r>
    </w:p>
    <w:p w:rsidRPr="00326CBC" w:rsidR="00140E5B" w:rsidP="00077796" w:rsidRDefault="00140E5B" w14:paraId="2DD832D1" w14:textId="77777777">
      <w:pPr>
        <w:spacing w:after="0" w:line="360" w:lineRule="auto"/>
        <w:ind w:right="-28"/>
        <w:rPr>
          <w:rFonts w:eastAsia="Times New Roman" w:cs="Tahoma"/>
          <w:bCs/>
          <w:iCs/>
          <w:color w:val="auto"/>
          <w:szCs w:val="24"/>
          <w:lang w:val="es-ES" w:eastAsia="es-ES"/>
        </w:rPr>
      </w:pPr>
    </w:p>
    <w:p w:rsidRPr="00326CBC" w:rsidR="00140E5B" w:rsidP="00077796" w:rsidRDefault="00BC78E6" w14:paraId="5A2234F2" w14:textId="3407A543">
      <w:pPr>
        <w:spacing w:after="0" w:line="360" w:lineRule="auto"/>
        <w:ind w:right="-28"/>
        <w:rPr>
          <w:rFonts w:eastAsia="Times New Roman" w:cs="Tahoma"/>
          <w:bCs/>
          <w:iCs/>
          <w:color w:val="auto"/>
          <w:szCs w:val="24"/>
          <w:lang w:val="es-ES" w:eastAsia="es-ES"/>
        </w:rPr>
      </w:pPr>
      <w:r w:rsidRPr="00326CBC">
        <w:rPr>
          <w:rFonts w:eastAsia="Times New Roman" w:cs="Tahoma"/>
          <w:bCs/>
          <w:iCs/>
          <w:color w:val="auto"/>
          <w:szCs w:val="24"/>
          <w:lang w:val="es-ES" w:eastAsia="es-ES"/>
        </w:rPr>
        <w:t>Finalmente,</w:t>
      </w:r>
      <w:r w:rsidRPr="00326CBC" w:rsidR="00140E5B">
        <w:rPr>
          <w:rFonts w:eastAsia="Times New Roman" w:cs="Tahoma"/>
          <w:bCs/>
          <w:iCs/>
          <w:color w:val="auto"/>
          <w:szCs w:val="24"/>
          <w:lang w:val="es-ES" w:eastAsia="es-ES"/>
        </w:rPr>
        <w:t xml:space="preserve"> se le hace de su conocimiento que </w:t>
      </w:r>
      <w:r w:rsidRPr="00326CBC" w:rsidR="00140E5B">
        <w:rPr>
          <w:rFonts w:eastAsia="Times New Roman" w:cs="Tahoma"/>
          <w:bCs/>
          <w:iCs/>
          <w:color w:val="auto"/>
          <w:szCs w:val="24"/>
          <w:lang w:val="es-ES_tradnl" w:eastAsia="es-ES"/>
        </w:rPr>
        <w:t>la labor de</w:t>
      </w:r>
      <w:r>
        <w:rPr>
          <w:rFonts w:eastAsia="Times New Roman" w:cs="Tahoma"/>
          <w:bCs/>
          <w:iCs/>
          <w:color w:val="auto"/>
          <w:szCs w:val="24"/>
          <w:lang w:val="es-ES_tradnl" w:eastAsia="es-ES"/>
        </w:rPr>
        <w:t>l Instituto de Transparencia</w:t>
      </w:r>
      <w:r w:rsidR="009947CE">
        <w:rPr>
          <w:rFonts w:eastAsia="Times New Roman" w:cs="Tahoma"/>
          <w:bCs/>
          <w:iCs/>
          <w:color w:val="auto"/>
          <w:szCs w:val="24"/>
          <w:lang w:val="es-ES_tradnl" w:eastAsia="es-ES"/>
        </w:rPr>
        <w:t>,</w:t>
      </w:r>
      <w:r>
        <w:rPr>
          <w:rFonts w:eastAsia="Times New Roman" w:cs="Tahoma"/>
          <w:bCs/>
          <w:iCs/>
          <w:color w:val="auto"/>
          <w:szCs w:val="24"/>
          <w:lang w:val="es-ES_tradnl" w:eastAsia="es-ES"/>
        </w:rPr>
        <w:t xml:space="preserve"> Acceso a la Información Pública</w:t>
      </w:r>
      <w:r w:rsidR="009947CE">
        <w:rPr>
          <w:rFonts w:eastAsia="Times New Roman" w:cs="Tahoma"/>
          <w:bCs/>
          <w:iCs/>
          <w:color w:val="auto"/>
          <w:szCs w:val="24"/>
          <w:lang w:val="es-ES_tradnl" w:eastAsia="es-ES"/>
        </w:rPr>
        <w:t xml:space="preserve"> y Protección de Datos Personales</w:t>
      </w:r>
      <w:r>
        <w:rPr>
          <w:rFonts w:eastAsia="Times New Roman" w:cs="Tahoma"/>
          <w:bCs/>
          <w:iCs/>
          <w:color w:val="auto"/>
          <w:szCs w:val="24"/>
          <w:lang w:val="es-ES_tradnl" w:eastAsia="es-ES"/>
        </w:rPr>
        <w:t xml:space="preserve"> del Estado de México</w:t>
      </w:r>
      <w:r w:rsidR="009947CE">
        <w:rPr>
          <w:rFonts w:eastAsia="Times New Roman" w:cs="Tahoma"/>
          <w:bCs/>
          <w:iCs/>
          <w:color w:val="auto"/>
          <w:szCs w:val="24"/>
          <w:lang w:val="es-ES_tradnl" w:eastAsia="es-ES"/>
        </w:rPr>
        <w:t xml:space="preserve"> y Municipios</w:t>
      </w:r>
      <w:r w:rsidRPr="00326CBC" w:rsidR="00140E5B">
        <w:rPr>
          <w:rFonts w:eastAsia="Times New Roman" w:cs="Tahoma"/>
          <w:bCs/>
          <w:iCs/>
          <w:color w:val="auto"/>
          <w:szCs w:val="24"/>
          <w:lang w:val="es-ES_tradnl" w:eastAsia="es-ES"/>
        </w:rPr>
        <w:t>, es apoyar a la población a acceder a la información pública y garantizar la protección de los datos personales.</w:t>
      </w:r>
    </w:p>
    <w:p w:rsidRPr="00326CBC" w:rsidR="00140E5B" w:rsidP="00077796" w:rsidRDefault="00140E5B" w14:paraId="6D560A84" w14:textId="77777777">
      <w:pPr>
        <w:spacing w:after="0" w:line="360" w:lineRule="auto"/>
      </w:pPr>
    </w:p>
    <w:p w:rsidRPr="00326CBC" w:rsidR="00140E5B" w:rsidP="00077796" w:rsidRDefault="00140E5B" w14:paraId="18DE6BA8" w14:textId="77777777">
      <w:pPr>
        <w:spacing w:after="0" w:line="360" w:lineRule="auto"/>
        <w:rPr>
          <w:rFonts w:eastAsia="Calibri" w:cs="Tahoma"/>
          <w:bCs/>
          <w:color w:val="auto"/>
        </w:rPr>
      </w:pPr>
      <w:r w:rsidRPr="00326CBC">
        <w:t>Por</w:t>
      </w:r>
      <w:r w:rsidRPr="00326CBC">
        <w:rPr>
          <w:rFonts w:eastAsia="Calibri" w:cs="Tahoma"/>
          <w:bCs/>
          <w:color w:val="auto"/>
        </w:rPr>
        <w:t xml:space="preserve"> lo expuesto y fundado, este Pleno:</w:t>
      </w:r>
    </w:p>
    <w:p w:rsidRPr="00326CBC" w:rsidR="009947CE" w:rsidP="00077796" w:rsidRDefault="009947CE" w14:paraId="721F569B" w14:textId="77777777">
      <w:pPr>
        <w:spacing w:after="0" w:line="360" w:lineRule="auto"/>
        <w:ind w:right="-28"/>
        <w:rPr>
          <w:rFonts w:eastAsia="Calibri" w:cs="Tahoma"/>
          <w:bCs/>
          <w:color w:val="auto"/>
        </w:rPr>
      </w:pPr>
    </w:p>
    <w:p w:rsidRPr="00326CBC" w:rsidR="00140E5B" w:rsidP="00077796" w:rsidRDefault="00140E5B" w14:paraId="2A3093F7" w14:textId="77777777">
      <w:pPr>
        <w:spacing w:after="0" w:line="360" w:lineRule="auto"/>
        <w:jc w:val="center"/>
        <w:rPr>
          <w:rFonts w:eastAsia="Calibri" w:cs="Tahoma"/>
          <w:b/>
          <w:bCs/>
          <w:iCs/>
          <w:color w:val="auto"/>
        </w:rPr>
      </w:pPr>
      <w:r w:rsidRPr="00326CBC">
        <w:rPr>
          <w:rFonts w:eastAsia="Calibri" w:cs="Tahoma"/>
          <w:b/>
          <w:bCs/>
          <w:iCs/>
          <w:color w:val="auto"/>
        </w:rPr>
        <w:t>R E S U E L V E:</w:t>
      </w:r>
    </w:p>
    <w:p w:rsidRPr="00326CBC" w:rsidR="00140E5B" w:rsidP="00077796" w:rsidRDefault="00140E5B" w14:paraId="24A93C54" w14:textId="77777777">
      <w:pPr>
        <w:spacing w:after="0" w:line="360" w:lineRule="auto"/>
        <w:rPr>
          <w:rFonts w:eastAsia="Calibri" w:cs="Tahoma"/>
          <w:b/>
          <w:bCs/>
          <w:iCs/>
          <w:color w:val="auto"/>
        </w:rPr>
      </w:pPr>
    </w:p>
    <w:p w:rsidRPr="00326CBC" w:rsidR="00140E5B" w:rsidP="00077796" w:rsidRDefault="00140E5B" w14:paraId="0B7C34F1" w14:textId="58AC5679">
      <w:pPr>
        <w:spacing w:after="0" w:line="360" w:lineRule="auto"/>
        <w:rPr>
          <w:rFonts w:eastAsia="Calibri" w:cs="Tahoma"/>
          <w:b/>
          <w:bCs/>
          <w:iCs/>
          <w:color w:val="auto"/>
        </w:rPr>
      </w:pPr>
      <w:r w:rsidRPr="00326CBC">
        <w:rPr>
          <w:rFonts w:eastAsia="Calibri" w:cs="Tahoma"/>
          <w:b/>
          <w:bCs/>
          <w:iCs/>
          <w:color w:val="auto"/>
        </w:rPr>
        <w:t xml:space="preserve">PRIMERO. </w:t>
      </w:r>
      <w:r w:rsidRPr="00326CBC">
        <w:rPr>
          <w:rFonts w:eastAsia="Calibri" w:cs="Tahoma"/>
          <w:iCs/>
          <w:color w:val="auto"/>
        </w:rPr>
        <w:t xml:space="preserve">Se </w:t>
      </w:r>
      <w:r w:rsidRPr="00326CBC">
        <w:rPr>
          <w:rFonts w:eastAsia="Calibri" w:cs="Tahoma"/>
          <w:b/>
          <w:bCs/>
          <w:iCs/>
          <w:color w:val="auto"/>
        </w:rPr>
        <w:t xml:space="preserve">SOBRESEE </w:t>
      </w:r>
      <w:r w:rsidRPr="00326CBC">
        <w:rPr>
          <w:rFonts w:eastAsia="Calibri" w:cs="Tahoma"/>
          <w:iCs/>
          <w:color w:val="auto"/>
        </w:rPr>
        <w:t>el Recurso de Revisión con número</w:t>
      </w:r>
      <w:r w:rsidRPr="00326CBC">
        <w:rPr>
          <w:rFonts w:eastAsia="Calibri" w:cs="Tahoma"/>
          <w:b/>
          <w:bCs/>
          <w:iCs/>
          <w:color w:val="auto"/>
        </w:rPr>
        <w:t xml:space="preserve"> </w:t>
      </w:r>
      <w:r w:rsidRPr="00326CBC" w:rsidR="00D5228A">
        <w:rPr>
          <w:rFonts w:eastAsia="Calibri" w:cs="Tahoma"/>
          <w:b/>
          <w:bCs/>
          <w:iCs/>
          <w:color w:val="auto"/>
        </w:rPr>
        <w:t>02766/INFOEM/IP/RR/2022</w:t>
      </w:r>
      <w:r w:rsidRPr="00326CBC">
        <w:rPr>
          <w:rFonts w:eastAsia="Calibri" w:cs="Tahoma"/>
          <w:b/>
          <w:bCs/>
          <w:iCs/>
          <w:color w:val="auto"/>
        </w:rPr>
        <w:t xml:space="preserve">, </w:t>
      </w:r>
      <w:r w:rsidRPr="00326CBC">
        <w:rPr>
          <w:rFonts w:eastAsia="Calibri" w:cs="Tahoma"/>
          <w:iCs/>
          <w:color w:val="auto"/>
        </w:rPr>
        <w:t>porque el Sujeto Obligado, al modificar</w:t>
      </w:r>
      <w:r w:rsidR="009947CE">
        <w:rPr>
          <w:rFonts w:eastAsia="Calibri" w:cs="Tahoma"/>
          <w:iCs/>
          <w:color w:val="auto"/>
        </w:rPr>
        <w:t xml:space="preserve"> </w:t>
      </w:r>
      <w:bookmarkStart w:name="_GoBack" w:id="1"/>
      <w:bookmarkEnd w:id="1"/>
      <w:r w:rsidRPr="00326CBC">
        <w:rPr>
          <w:rFonts w:eastAsia="Calibri" w:cs="Tahoma"/>
          <w:iCs/>
          <w:color w:val="auto"/>
        </w:rPr>
        <w:t xml:space="preserve">la respuesta a la solicitud de acceso a la información con </w:t>
      </w:r>
      <w:r w:rsidRPr="009947CE">
        <w:rPr>
          <w:rFonts w:eastAsia="Calibri" w:cs="Tahoma"/>
          <w:iCs/>
          <w:color w:val="auto"/>
        </w:rPr>
        <w:t xml:space="preserve">número </w:t>
      </w:r>
      <w:r w:rsidRPr="009947CE" w:rsidR="00FC425F">
        <w:rPr>
          <w:rFonts w:eastAsia="Calibri" w:cs="Tahoma"/>
          <w:iCs/>
          <w:color w:val="auto"/>
        </w:rPr>
        <w:t>00037/SSEM/IP/2022</w:t>
      </w:r>
      <w:r w:rsidRPr="00326CBC">
        <w:rPr>
          <w:rFonts w:eastAsia="Calibri" w:cs="Tahoma"/>
          <w:bCs/>
          <w:iCs/>
          <w:color w:val="auto"/>
        </w:rPr>
        <w:t>,</w:t>
      </w:r>
      <w:r w:rsidRPr="00326CBC">
        <w:rPr>
          <w:rFonts w:eastAsia="Calibri" w:cs="Tahoma"/>
          <w:b/>
          <w:bCs/>
          <w:iCs/>
          <w:color w:val="auto"/>
        </w:rPr>
        <w:t xml:space="preserve"> </w:t>
      </w:r>
      <w:r w:rsidRPr="00326CBC">
        <w:rPr>
          <w:rFonts w:eastAsia="Calibri" w:cs="Tahoma"/>
          <w:iCs/>
          <w:color w:val="auto"/>
        </w:rPr>
        <w:t>el Medio de Impugnación, quedó sin materia, en términos de los Considerandos</w:t>
      </w:r>
      <w:r w:rsidRPr="00326CBC">
        <w:rPr>
          <w:rFonts w:eastAsia="Calibri" w:cs="Tahoma"/>
          <w:b/>
          <w:bCs/>
          <w:iCs/>
          <w:color w:val="auto"/>
        </w:rPr>
        <w:t xml:space="preserve"> </w:t>
      </w:r>
      <w:r w:rsidRPr="005319E2">
        <w:rPr>
          <w:rFonts w:eastAsia="Calibri" w:cs="Tahoma"/>
          <w:bCs/>
          <w:iCs/>
          <w:color w:val="auto"/>
        </w:rPr>
        <w:t>TERCERO y CUARTO</w:t>
      </w:r>
      <w:r w:rsidRPr="00326CBC">
        <w:rPr>
          <w:rFonts w:eastAsia="Calibri" w:cs="Tahoma"/>
          <w:b/>
          <w:bCs/>
          <w:iCs/>
          <w:color w:val="auto"/>
        </w:rPr>
        <w:t xml:space="preserve"> </w:t>
      </w:r>
      <w:r w:rsidRPr="00326CBC">
        <w:rPr>
          <w:rFonts w:eastAsia="Calibri" w:cs="Tahoma"/>
          <w:iCs/>
          <w:color w:val="auto"/>
        </w:rPr>
        <w:t>de la presente Resolución.</w:t>
      </w:r>
    </w:p>
    <w:p w:rsidRPr="00326CBC" w:rsidR="00140E5B" w:rsidP="00077796" w:rsidRDefault="00140E5B" w14:paraId="3707AD89" w14:textId="77777777">
      <w:pPr>
        <w:spacing w:after="0" w:line="360" w:lineRule="auto"/>
        <w:rPr>
          <w:rFonts w:eastAsia="Calibri" w:cs="Tahoma"/>
          <w:b/>
          <w:bCs/>
          <w:i/>
          <w:iCs/>
          <w:color w:val="auto"/>
        </w:rPr>
      </w:pPr>
    </w:p>
    <w:p w:rsidRPr="00326CBC" w:rsidR="00140E5B" w:rsidP="00077796" w:rsidRDefault="00140E5B" w14:paraId="3C992C26" w14:textId="77777777">
      <w:pPr>
        <w:spacing w:after="0" w:line="360" w:lineRule="auto"/>
        <w:rPr>
          <w:rFonts w:eastAsia="Calibri" w:cs="Tahoma"/>
          <w:b/>
          <w:bCs/>
          <w:iCs/>
          <w:color w:val="auto"/>
        </w:rPr>
      </w:pPr>
      <w:r w:rsidRPr="00326CBC">
        <w:rPr>
          <w:rFonts w:eastAsia="Calibri" w:cs="Tahoma"/>
          <w:b/>
          <w:bCs/>
          <w:iCs/>
          <w:color w:val="auto"/>
        </w:rPr>
        <w:t xml:space="preserve">SEGUNDO. NOTIFÍQUESE </w:t>
      </w:r>
      <w:r w:rsidRPr="00326CBC">
        <w:rPr>
          <w:rFonts w:eastAsia="Calibri" w:cs="Tahoma"/>
          <w:iCs/>
          <w:color w:val="auto"/>
        </w:rPr>
        <w:t>la presente Resolución al Titular de la Unidad de Transparencia del Sujeto Obligado.</w:t>
      </w:r>
    </w:p>
    <w:p w:rsidRPr="00326CBC" w:rsidR="00140E5B" w:rsidP="00077796" w:rsidRDefault="00140E5B" w14:paraId="5B3F7D4D" w14:textId="77777777">
      <w:pPr>
        <w:spacing w:after="0" w:line="360" w:lineRule="auto"/>
        <w:rPr>
          <w:rFonts w:eastAsia="Calibri" w:cs="Tahoma"/>
          <w:b/>
          <w:bCs/>
          <w:i/>
          <w:iCs/>
          <w:color w:val="auto"/>
        </w:rPr>
      </w:pPr>
    </w:p>
    <w:p w:rsidRPr="00326CBC" w:rsidR="00140E5B" w:rsidP="00077796" w:rsidRDefault="00140E5B" w14:paraId="2DB6E876" w14:textId="77777777">
      <w:pPr>
        <w:spacing w:after="0" w:line="360" w:lineRule="auto"/>
        <w:rPr>
          <w:rFonts w:eastAsia="Calibri" w:cs="Tahoma"/>
          <w:b/>
          <w:bCs/>
          <w:iCs/>
          <w:color w:val="auto"/>
        </w:rPr>
      </w:pPr>
      <w:r w:rsidRPr="00326CBC">
        <w:rPr>
          <w:rFonts w:eastAsia="Calibri" w:cs="Tahoma"/>
          <w:b/>
          <w:bCs/>
          <w:iCs/>
          <w:color w:val="auto"/>
        </w:rPr>
        <w:t xml:space="preserve">TERCERO. NOTIFÍQUESE </w:t>
      </w:r>
      <w:r w:rsidRPr="00326CBC">
        <w:rPr>
          <w:rFonts w:eastAsia="Calibri" w:cs="Tahoma"/>
          <w:iCs/>
          <w:color w:val="auto"/>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26CBC" w:rsidR="00782132" w:rsidP="00077796" w:rsidRDefault="00782132" w14:paraId="42C8D564" w14:textId="77777777">
      <w:pPr>
        <w:spacing w:after="0" w:line="360" w:lineRule="auto"/>
        <w:rPr>
          <w:rFonts w:eastAsia="Calibri" w:cs="Tahoma"/>
          <w:bCs/>
          <w:lang w:val="es-ES"/>
        </w:rPr>
      </w:pPr>
    </w:p>
    <w:p w:rsidR="000F5391" w:rsidP="00077796" w:rsidRDefault="00C853D1" w14:paraId="2DF69374" w14:textId="497A2026">
      <w:pPr>
        <w:spacing w:after="0" w:line="360" w:lineRule="auto"/>
        <w:rPr>
          <w:rFonts w:eastAsia="Calibri" w:cs="Tahoma"/>
          <w:bCs/>
        </w:rPr>
      </w:pPr>
      <w:r w:rsidRPr="00326CBC">
        <w:rPr>
          <w:rFonts w:eastAsia="Calibri" w:cs="Tahoma"/>
          <w:bCs/>
        </w:rPr>
        <w:t xml:space="preserve">ASÍ LO RESUELVE, POR </w:t>
      </w:r>
      <w:r w:rsidRPr="00326CBC">
        <w:rPr>
          <w:rFonts w:eastAsia="Calibri" w:cs="Tahoma"/>
          <w:b/>
        </w:rPr>
        <w:t>UNANIMIDAD</w:t>
      </w:r>
      <w:r w:rsidRPr="00326CBC">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326CBC" w:rsidR="00DF5F10">
        <w:rPr>
          <w:rFonts w:eastAsia="Calibri" w:cs="Tahoma"/>
          <w:bCs/>
        </w:rPr>
        <w:t>RAMÍREZ PEÑA, EN LA DÉCIMA SÉPTIMA SESIÓN ORDINARIA, CELEBRADA EL ONCE DE MAYO DE DOS MIL VEINTIUNO, ANTE EL SECRETARIO TÉCNICO DEL PLENO, ALEXIS TAPIA RAMÍREZ.</w:t>
      </w:r>
    </w:p>
    <w:p w:rsidRPr="002A3FB3" w:rsidR="00C853D1" w:rsidP="00077796" w:rsidRDefault="00C853D1" w14:paraId="189BD5D9" w14:textId="5AA6579D">
      <w:pPr>
        <w:spacing w:after="0"/>
        <w:jc w:val="left"/>
        <w:rPr>
          <w:rFonts w:eastAsia="Calibri" w:cs="Tahoma"/>
          <w:b/>
          <w:bCs/>
        </w:rPr>
      </w:pPr>
      <w:r w:rsidRPr="002A3FB3">
        <w:rPr>
          <w:rFonts w:eastAsia="Calibri" w:cs="Tahoma"/>
          <w:b/>
          <w:bCs/>
        </w:rPr>
        <w:br w:type="page"/>
      </w:r>
    </w:p>
    <w:p w:rsidRPr="002A3FB3" w:rsidR="00A6477D" w:rsidP="00077796" w:rsidRDefault="00A6477D" w14:paraId="3A7BF8F4" w14:textId="77777777">
      <w:pPr>
        <w:spacing w:after="0"/>
      </w:pPr>
    </w:p>
    <w:sectPr w:rsidRPr="002A3FB3" w:rsidR="00A6477D" w:rsidSect="002C59A0">
      <w:headerReference w:type="even" r:id="rId14"/>
      <w:headerReference w:type="default" r:id="rId15"/>
      <w:footerReference w:type="even" r:id="rId16"/>
      <w:footerReference w:type="default" r:id="rId17"/>
      <w:headerReference w:type="first" r:id="rId18"/>
      <w:footerReference w:type="first" r:id="rId19"/>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57" w:rsidP="00C853D1" w:rsidRDefault="00937957" w14:paraId="76F624A6" w14:textId="77777777">
      <w:pPr>
        <w:spacing w:after="0" w:line="240" w:lineRule="auto"/>
      </w:pPr>
      <w:r>
        <w:separator/>
      </w:r>
    </w:p>
  </w:endnote>
  <w:endnote w:type="continuationSeparator" w:id="0">
    <w:p w:rsidR="00937957" w:rsidP="00C853D1" w:rsidRDefault="00937957" w14:paraId="1118E6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19E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19E2">
              <w:rPr>
                <w:b/>
                <w:bCs/>
                <w:noProof/>
              </w:rPr>
              <w:t>20</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319E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319E2">
      <w:rPr>
        <w:b/>
        <w:bCs/>
        <w:noProof/>
      </w:rPr>
      <w:t>20</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57" w:rsidP="00C853D1" w:rsidRDefault="00937957" w14:paraId="62A324AC" w14:textId="77777777">
      <w:pPr>
        <w:spacing w:after="0" w:line="240" w:lineRule="auto"/>
      </w:pPr>
      <w:r>
        <w:separator/>
      </w:r>
    </w:p>
  </w:footnote>
  <w:footnote w:type="continuationSeparator" w:id="0">
    <w:p w:rsidR="00937957" w:rsidP="00C853D1" w:rsidRDefault="00937957" w14:paraId="742D9E94"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937957"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2C59A0" w:rsidRDefault="002C59A0"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9947CE"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F76AA5" w14:paraId="503BB8DE" w14:textId="5B81ABF9">
          <w:pPr>
            <w:tabs>
              <w:tab w:val="right" w:pos="8838"/>
            </w:tabs>
            <w:ind w:left="-28" w:right="454"/>
            <w:rPr>
              <w:rFonts w:eastAsia="Calibri" w:cs="Tahoma"/>
            </w:rPr>
          </w:pPr>
          <w:r w:rsidRPr="00F76AA5">
            <w:rPr>
              <w:rFonts w:eastAsia="Calibri" w:cs="Tahoma"/>
              <w:lang w:val="es-MX"/>
            </w:rPr>
            <w:t>02766/INFOEM/IP/RR/2022</w:t>
          </w:r>
        </w:p>
      </w:tc>
    </w:tr>
    <w:tr w:rsidR="002C59A0" w:rsidTr="009947CE"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C16603" w14:paraId="5C93113C" w14:textId="760ED342">
          <w:pPr>
            <w:tabs>
              <w:tab w:val="right" w:pos="8838"/>
            </w:tabs>
            <w:ind w:right="454"/>
            <w:rPr>
              <w:rFonts w:eastAsia="Calibri" w:cs="Tahoma"/>
              <w:lang w:val="es-MX"/>
            </w:rPr>
          </w:pPr>
          <w:r w:rsidRPr="00C16603">
            <w:rPr>
              <w:rFonts w:eastAsia="Calibri" w:cs="Tahoma"/>
              <w:lang w:val="es-MX"/>
            </w:rPr>
            <w:t>Secretaría de Seguridad</w:t>
          </w:r>
        </w:p>
      </w:tc>
    </w:tr>
    <w:tr w:rsidR="002C59A0" w:rsidTr="009947CE"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937957"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9356"/>
    </w:tblGrid>
    <w:tr w:rsidRPr="005C106F" w:rsidR="000502A8" w:rsidTr="02ED519F" w14:paraId="5D26797B" w14:textId="77777777">
      <w:trPr>
        <w:trHeight w:val="1546"/>
      </w:trPr>
      <w:tc>
        <w:tcPr>
          <w:tcW w:w="9356" w:type="dxa"/>
          <w:shd w:val="clear" w:color="auto" w:fill="auto"/>
          <w:tcMar/>
        </w:tcPr>
        <w:tbl>
          <w:tblPr>
            <w:tblStyle w:val="Tablaconcuadrcula"/>
            <w:tblW w:w="5248" w:type="dxa"/>
            <w:tblInd w:w="37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2844"/>
          </w:tblGrid>
          <w:tr w:rsidR="000502A8" w:rsidTr="02ED519F" w14:paraId="5CB74832" w14:textId="77777777">
            <w:trPr>
              <w:trHeight w:val="141"/>
            </w:trPr>
            <w:tc>
              <w:tcPr>
                <w:tcW w:w="2404" w:type="dxa"/>
                <w:tcMar/>
                <w:vAlign w:val="bottom"/>
              </w:tcPr>
              <w:p w:rsidRPr="001B5FB6" w:rsidR="000502A8" w:rsidP="002C59A0" w:rsidRDefault="000502A8"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2844" w:type="dxa"/>
                <w:tcMar/>
              </w:tcPr>
              <w:p w:rsidRPr="00037124" w:rsidR="000502A8" w:rsidP="002C59A0" w:rsidRDefault="000502A8" w14:paraId="25021A4A" w14:textId="1DF0DF94">
                <w:pPr>
                  <w:tabs>
                    <w:tab w:val="right" w:pos="8838"/>
                  </w:tabs>
                  <w:ind w:left="-28" w:right="-107"/>
                  <w:rPr>
                    <w:rFonts w:eastAsia="Calibri" w:cs="Tahoma"/>
                  </w:rPr>
                </w:pPr>
                <w:r w:rsidRPr="00037124">
                  <w:rPr>
                    <w:rFonts w:eastAsia="Calibri" w:cs="Tahoma"/>
                    <w:lang w:val="es-MX"/>
                  </w:rPr>
                  <w:t>02766/INFOEM/IP/RR/2022</w:t>
                </w:r>
              </w:p>
            </w:tc>
          </w:tr>
          <w:tr w:rsidR="000502A8" w:rsidTr="02ED519F" w14:paraId="65D6C982" w14:textId="77777777">
            <w:trPr>
              <w:trHeight w:val="141"/>
            </w:trPr>
            <w:tc>
              <w:tcPr>
                <w:tcW w:w="2404" w:type="dxa"/>
                <w:tcMar/>
              </w:tcPr>
              <w:p w:rsidRPr="001B5FB6" w:rsidR="000502A8" w:rsidP="002C59A0" w:rsidRDefault="000502A8"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2844" w:type="dxa"/>
                <w:tcMar/>
              </w:tcPr>
              <w:p w:rsidRPr="003405AF" w:rsidR="000502A8" w:rsidP="02ED519F" w:rsidRDefault="000502A8" w14:paraId="4D5C37D5" w14:textId="3A8E65F2">
                <w:pPr>
                  <w:pStyle w:val="Normal"/>
                  <w:tabs>
                    <w:tab w:val="right" w:pos="8838"/>
                  </w:tabs>
                  <w:ind w:right="-107"/>
                  <w:rPr>
                    <w:rFonts w:ascii="Palatino Linotype" w:hAnsi="Palatino Linotype" w:eastAsia="Calibri" w:cs=""/>
                    <w:color w:val="000000" w:themeColor="text1" w:themeTint="FF" w:themeShade="FF"/>
                    <w:highlight w:val="black"/>
                    <w:lang w:val="es-MX"/>
                  </w:rPr>
                </w:pPr>
                <w:r w:rsidRPr="02ED519F" w:rsidR="02ED519F">
                  <w:rPr>
                    <w:rFonts w:eastAsia="Calibri" w:cs="Tahoma"/>
                    <w:highlight w:val="black"/>
                  </w:rPr>
                  <w:t>XXXXXXXXXXXXXXXXXXXXXXXXXXXX</w:t>
                </w:r>
              </w:p>
            </w:tc>
          </w:tr>
          <w:tr w:rsidR="000502A8" w:rsidTr="02ED519F" w14:paraId="40A995EA" w14:textId="77777777">
            <w:trPr>
              <w:trHeight w:val="276"/>
            </w:trPr>
            <w:tc>
              <w:tcPr>
                <w:tcW w:w="2404" w:type="dxa"/>
                <w:tcMar/>
              </w:tcPr>
              <w:p w:rsidRPr="001B5FB6" w:rsidR="000502A8" w:rsidP="002C59A0" w:rsidRDefault="000502A8"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2844" w:type="dxa"/>
                <w:tcMar/>
              </w:tcPr>
              <w:p w:rsidRPr="00C16603" w:rsidR="000502A8" w:rsidP="002C59A0" w:rsidRDefault="000502A8" w14:paraId="433E1B49" w14:textId="7E2D36DE">
                <w:pPr>
                  <w:tabs>
                    <w:tab w:val="right" w:pos="8838"/>
                  </w:tabs>
                  <w:ind w:right="-107"/>
                  <w:rPr>
                    <w:rFonts w:eastAsia="Calibri" w:cs="Tahoma"/>
                    <w:lang w:val="es-MX"/>
                  </w:rPr>
                </w:pPr>
                <w:r w:rsidRPr="00C16603">
                  <w:rPr>
                    <w:rFonts w:eastAsia="Calibri" w:cs="Tahoma"/>
                    <w:lang w:val="es-MX"/>
                  </w:rPr>
                  <w:t>Secretaría de Seguridad</w:t>
                </w:r>
              </w:p>
            </w:tc>
          </w:tr>
          <w:tr w:rsidR="000502A8" w:rsidTr="02ED519F" w14:paraId="386AB112" w14:textId="77777777">
            <w:trPr>
              <w:trHeight w:val="276"/>
            </w:trPr>
            <w:tc>
              <w:tcPr>
                <w:tcW w:w="2404" w:type="dxa"/>
                <w:tcMar/>
              </w:tcPr>
              <w:p w:rsidRPr="001B5FB6" w:rsidR="000502A8" w:rsidP="002C59A0" w:rsidRDefault="000502A8"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2844" w:type="dxa"/>
                <w:tcMar/>
              </w:tcPr>
              <w:p w:rsidRPr="00A8173F" w:rsidR="000502A8" w:rsidP="002C59A0" w:rsidRDefault="000502A8"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0502A8" w:rsidP="002C59A0" w:rsidRDefault="000502A8" w14:paraId="7017D3D5" w14:textId="77777777">
          <w:pPr>
            <w:tabs>
              <w:tab w:val="right" w:pos="8838"/>
            </w:tabs>
            <w:ind w:left="-28"/>
            <w:rPr>
              <w:rFonts w:ascii="Arial" w:hAnsi="Arial" w:eastAsia="Calibri" w:cs="Arial"/>
              <w:b/>
            </w:rPr>
          </w:pPr>
        </w:p>
      </w:tc>
    </w:tr>
  </w:tbl>
  <w:p w:rsidR="002C59A0" w:rsidRDefault="00937957"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104.6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6B5608"/>
    <w:multiLevelType w:val="hybridMultilevel"/>
    <w:tmpl w:val="884AF38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DF4502B"/>
    <w:multiLevelType w:val="hybridMultilevel"/>
    <w:tmpl w:val="791CAC14"/>
    <w:lvl w:ilvl="0" w:tplc="1C1A622A">
      <w:start w:val="1"/>
      <w:numFmt w:val="decimal"/>
      <w:lvlText w:val="%1."/>
      <w:lvlJc w:val="left"/>
      <w:pPr>
        <w:ind w:left="2456" w:hanging="350"/>
      </w:pPr>
      <w:rPr>
        <w:rFonts w:hint="default" w:ascii="Arial" w:hAnsi="Arial" w:eastAsia="Arial" w:cs="Arial"/>
        <w:b/>
        <w:bCs/>
        <w:i w:val="0"/>
        <w:iCs w:val="0"/>
        <w:color w:val="262626"/>
        <w:spacing w:val="-1"/>
        <w:w w:val="105"/>
        <w:sz w:val="23"/>
        <w:szCs w:val="23"/>
      </w:rPr>
    </w:lvl>
    <w:lvl w:ilvl="1" w:tplc="823CADC4">
      <w:numFmt w:val="bullet"/>
      <w:lvlText w:val="•"/>
      <w:lvlJc w:val="left"/>
      <w:pPr>
        <w:ind w:left="3430" w:hanging="350"/>
      </w:pPr>
      <w:rPr>
        <w:rFonts w:hint="default"/>
      </w:rPr>
    </w:lvl>
    <w:lvl w:ilvl="2" w:tplc="B2F261EC">
      <w:numFmt w:val="bullet"/>
      <w:lvlText w:val="•"/>
      <w:lvlJc w:val="left"/>
      <w:pPr>
        <w:ind w:left="4400" w:hanging="350"/>
      </w:pPr>
      <w:rPr>
        <w:rFonts w:hint="default"/>
      </w:rPr>
    </w:lvl>
    <w:lvl w:ilvl="3" w:tplc="1D941ADE">
      <w:numFmt w:val="bullet"/>
      <w:lvlText w:val="•"/>
      <w:lvlJc w:val="left"/>
      <w:pPr>
        <w:ind w:left="5370" w:hanging="350"/>
      </w:pPr>
      <w:rPr>
        <w:rFonts w:hint="default"/>
      </w:rPr>
    </w:lvl>
    <w:lvl w:ilvl="4" w:tplc="0002BDD4">
      <w:numFmt w:val="bullet"/>
      <w:lvlText w:val="•"/>
      <w:lvlJc w:val="left"/>
      <w:pPr>
        <w:ind w:left="6340" w:hanging="350"/>
      </w:pPr>
      <w:rPr>
        <w:rFonts w:hint="default"/>
      </w:rPr>
    </w:lvl>
    <w:lvl w:ilvl="5" w:tplc="1D7EAD98">
      <w:numFmt w:val="bullet"/>
      <w:lvlText w:val="•"/>
      <w:lvlJc w:val="left"/>
      <w:pPr>
        <w:ind w:left="7310" w:hanging="350"/>
      </w:pPr>
      <w:rPr>
        <w:rFonts w:hint="default"/>
      </w:rPr>
    </w:lvl>
    <w:lvl w:ilvl="6" w:tplc="1EA297F0">
      <w:numFmt w:val="bullet"/>
      <w:lvlText w:val="•"/>
      <w:lvlJc w:val="left"/>
      <w:pPr>
        <w:ind w:left="8280" w:hanging="350"/>
      </w:pPr>
      <w:rPr>
        <w:rFonts w:hint="default"/>
      </w:rPr>
    </w:lvl>
    <w:lvl w:ilvl="7" w:tplc="707CC38A">
      <w:numFmt w:val="bullet"/>
      <w:lvlText w:val="•"/>
      <w:lvlJc w:val="left"/>
      <w:pPr>
        <w:ind w:left="9250" w:hanging="350"/>
      </w:pPr>
      <w:rPr>
        <w:rFonts w:hint="default"/>
      </w:rPr>
    </w:lvl>
    <w:lvl w:ilvl="8" w:tplc="FF1C629A">
      <w:numFmt w:val="bullet"/>
      <w:lvlText w:val="•"/>
      <w:lvlJc w:val="left"/>
      <w:pPr>
        <w:ind w:left="10220" w:hanging="350"/>
      </w:pPr>
      <w:rPr>
        <w:rFont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3B214D5"/>
    <w:multiLevelType w:val="hybridMultilevel"/>
    <w:tmpl w:val="A95EEFD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BFD4F45"/>
    <w:multiLevelType w:val="hybridMultilevel"/>
    <w:tmpl w:val="B7F600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10"/>
  </w:num>
  <w:num w:numId="5">
    <w:abstractNumId w:val="18"/>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3"/>
  </w:num>
  <w:num w:numId="10">
    <w:abstractNumId w:val="5"/>
  </w:num>
  <w:num w:numId="11">
    <w:abstractNumId w:val="14"/>
  </w:num>
  <w:num w:numId="12">
    <w:abstractNumId w:val="12"/>
  </w:num>
  <w:num w:numId="13">
    <w:abstractNumId w:val="24"/>
  </w:num>
  <w:num w:numId="14">
    <w:abstractNumId w:val="17"/>
  </w:num>
  <w:num w:numId="15">
    <w:abstractNumId w:val="13"/>
  </w:num>
  <w:num w:numId="16">
    <w:abstractNumId w:val="20"/>
  </w:num>
  <w:num w:numId="17">
    <w:abstractNumId w:val="11"/>
  </w:num>
  <w:num w:numId="18">
    <w:abstractNumId w:val="21"/>
  </w:num>
  <w:num w:numId="19">
    <w:abstractNumId w:val="8"/>
  </w:num>
  <w:num w:numId="20">
    <w:abstractNumId w:val="0"/>
  </w:num>
  <w:num w:numId="21">
    <w:abstractNumId w:val="19"/>
  </w:num>
  <w:num w:numId="22">
    <w:abstractNumId w:val="9"/>
  </w:num>
  <w:num w:numId="23">
    <w:abstractNumId w:val="3"/>
  </w:num>
  <w:num w:numId="24">
    <w:abstractNumId w:val="2"/>
  </w:num>
  <w:num w:numId="25">
    <w:abstractNumId w:val="6"/>
  </w:num>
  <w:num w:numId="2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4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E53"/>
    <w:rsid w:val="000039BC"/>
    <w:rsid w:val="00003E99"/>
    <w:rsid w:val="000051F1"/>
    <w:rsid w:val="00005F26"/>
    <w:rsid w:val="00007008"/>
    <w:rsid w:val="00007EB8"/>
    <w:rsid w:val="00011B2D"/>
    <w:rsid w:val="00012EEF"/>
    <w:rsid w:val="00013DDA"/>
    <w:rsid w:val="0001499A"/>
    <w:rsid w:val="00015B47"/>
    <w:rsid w:val="00017D8C"/>
    <w:rsid w:val="0002225C"/>
    <w:rsid w:val="000223B0"/>
    <w:rsid w:val="00027FA3"/>
    <w:rsid w:val="00030561"/>
    <w:rsid w:val="000318AB"/>
    <w:rsid w:val="0003390D"/>
    <w:rsid w:val="0003534C"/>
    <w:rsid w:val="00037124"/>
    <w:rsid w:val="000477C6"/>
    <w:rsid w:val="000502A8"/>
    <w:rsid w:val="00052A57"/>
    <w:rsid w:val="00053CB0"/>
    <w:rsid w:val="00062AAC"/>
    <w:rsid w:val="00062C8B"/>
    <w:rsid w:val="000643C0"/>
    <w:rsid w:val="000705A9"/>
    <w:rsid w:val="00077796"/>
    <w:rsid w:val="00081145"/>
    <w:rsid w:val="000815CA"/>
    <w:rsid w:val="00087531"/>
    <w:rsid w:val="00092668"/>
    <w:rsid w:val="000939CD"/>
    <w:rsid w:val="00096694"/>
    <w:rsid w:val="000A2588"/>
    <w:rsid w:val="000A259F"/>
    <w:rsid w:val="000A61A2"/>
    <w:rsid w:val="000A785D"/>
    <w:rsid w:val="000B0EAF"/>
    <w:rsid w:val="000B42C5"/>
    <w:rsid w:val="000B7029"/>
    <w:rsid w:val="000C43E6"/>
    <w:rsid w:val="000C715C"/>
    <w:rsid w:val="000D1A72"/>
    <w:rsid w:val="000D2522"/>
    <w:rsid w:val="000D45D9"/>
    <w:rsid w:val="000D59F5"/>
    <w:rsid w:val="000D69EB"/>
    <w:rsid w:val="000D6E68"/>
    <w:rsid w:val="000D73F7"/>
    <w:rsid w:val="000E28E6"/>
    <w:rsid w:val="000E4E10"/>
    <w:rsid w:val="000E75B6"/>
    <w:rsid w:val="000F05A6"/>
    <w:rsid w:val="000F2A9A"/>
    <w:rsid w:val="000F3403"/>
    <w:rsid w:val="000F45A1"/>
    <w:rsid w:val="000F5391"/>
    <w:rsid w:val="001004CE"/>
    <w:rsid w:val="001008FD"/>
    <w:rsid w:val="00100EB3"/>
    <w:rsid w:val="0010232F"/>
    <w:rsid w:val="0010413E"/>
    <w:rsid w:val="00104A71"/>
    <w:rsid w:val="001059E3"/>
    <w:rsid w:val="00105EF9"/>
    <w:rsid w:val="001105F1"/>
    <w:rsid w:val="0011157B"/>
    <w:rsid w:val="00112695"/>
    <w:rsid w:val="00115309"/>
    <w:rsid w:val="001202DE"/>
    <w:rsid w:val="00134C39"/>
    <w:rsid w:val="00140E5B"/>
    <w:rsid w:val="00142455"/>
    <w:rsid w:val="001431DB"/>
    <w:rsid w:val="001438B9"/>
    <w:rsid w:val="00146731"/>
    <w:rsid w:val="0016010C"/>
    <w:rsid w:val="001601CC"/>
    <w:rsid w:val="00161E74"/>
    <w:rsid w:val="00164599"/>
    <w:rsid w:val="001675D9"/>
    <w:rsid w:val="001741AB"/>
    <w:rsid w:val="0017427D"/>
    <w:rsid w:val="001742C8"/>
    <w:rsid w:val="00174F57"/>
    <w:rsid w:val="00175572"/>
    <w:rsid w:val="00175A2F"/>
    <w:rsid w:val="00180003"/>
    <w:rsid w:val="00181403"/>
    <w:rsid w:val="001900B4"/>
    <w:rsid w:val="00190EBA"/>
    <w:rsid w:val="00192185"/>
    <w:rsid w:val="001935D3"/>
    <w:rsid w:val="00194B19"/>
    <w:rsid w:val="00194DD1"/>
    <w:rsid w:val="0019678D"/>
    <w:rsid w:val="001A27FE"/>
    <w:rsid w:val="001A5456"/>
    <w:rsid w:val="001A641F"/>
    <w:rsid w:val="001B0E21"/>
    <w:rsid w:val="001B2411"/>
    <w:rsid w:val="001B27A9"/>
    <w:rsid w:val="001B3B40"/>
    <w:rsid w:val="001B77BD"/>
    <w:rsid w:val="001C1007"/>
    <w:rsid w:val="001C3C7E"/>
    <w:rsid w:val="001C3D02"/>
    <w:rsid w:val="001C6764"/>
    <w:rsid w:val="001D02DD"/>
    <w:rsid w:val="001D1519"/>
    <w:rsid w:val="001D1C68"/>
    <w:rsid w:val="001D2A3B"/>
    <w:rsid w:val="001D2ADC"/>
    <w:rsid w:val="001D37BB"/>
    <w:rsid w:val="001E1509"/>
    <w:rsid w:val="001E28B6"/>
    <w:rsid w:val="001E2F5D"/>
    <w:rsid w:val="001E386E"/>
    <w:rsid w:val="001E6D1F"/>
    <w:rsid w:val="001F7C51"/>
    <w:rsid w:val="00204AF1"/>
    <w:rsid w:val="002111A8"/>
    <w:rsid w:val="00213776"/>
    <w:rsid w:val="002158B2"/>
    <w:rsid w:val="00220583"/>
    <w:rsid w:val="0022089B"/>
    <w:rsid w:val="0022094B"/>
    <w:rsid w:val="0022261D"/>
    <w:rsid w:val="00235BA0"/>
    <w:rsid w:val="002402DE"/>
    <w:rsid w:val="002419E9"/>
    <w:rsid w:val="0024313A"/>
    <w:rsid w:val="00246495"/>
    <w:rsid w:val="00251A4C"/>
    <w:rsid w:val="00252EF3"/>
    <w:rsid w:val="0025433F"/>
    <w:rsid w:val="00254B9E"/>
    <w:rsid w:val="002557A7"/>
    <w:rsid w:val="002559D8"/>
    <w:rsid w:val="00257F3B"/>
    <w:rsid w:val="00260AAA"/>
    <w:rsid w:val="00261807"/>
    <w:rsid w:val="00261BED"/>
    <w:rsid w:val="002634E5"/>
    <w:rsid w:val="00265B24"/>
    <w:rsid w:val="002718A0"/>
    <w:rsid w:val="00271D9C"/>
    <w:rsid w:val="00272554"/>
    <w:rsid w:val="00272886"/>
    <w:rsid w:val="00273E3B"/>
    <w:rsid w:val="0028305A"/>
    <w:rsid w:val="00287A09"/>
    <w:rsid w:val="00296CC6"/>
    <w:rsid w:val="00296E2A"/>
    <w:rsid w:val="002A3FB3"/>
    <w:rsid w:val="002B2094"/>
    <w:rsid w:val="002B3565"/>
    <w:rsid w:val="002B3FDA"/>
    <w:rsid w:val="002B54AE"/>
    <w:rsid w:val="002C514D"/>
    <w:rsid w:val="002C59A0"/>
    <w:rsid w:val="002C6390"/>
    <w:rsid w:val="002C7309"/>
    <w:rsid w:val="002C7447"/>
    <w:rsid w:val="002D2E5D"/>
    <w:rsid w:val="002D64EB"/>
    <w:rsid w:val="002E0552"/>
    <w:rsid w:val="002E05D6"/>
    <w:rsid w:val="002E1460"/>
    <w:rsid w:val="002E25E7"/>
    <w:rsid w:val="002E333F"/>
    <w:rsid w:val="002E33E8"/>
    <w:rsid w:val="002E5CED"/>
    <w:rsid w:val="002F0090"/>
    <w:rsid w:val="00300286"/>
    <w:rsid w:val="00311288"/>
    <w:rsid w:val="003114A1"/>
    <w:rsid w:val="00311811"/>
    <w:rsid w:val="003160D6"/>
    <w:rsid w:val="00316C63"/>
    <w:rsid w:val="00320671"/>
    <w:rsid w:val="00320B93"/>
    <w:rsid w:val="003265A2"/>
    <w:rsid w:val="00326CBC"/>
    <w:rsid w:val="00334B20"/>
    <w:rsid w:val="00336980"/>
    <w:rsid w:val="0034462A"/>
    <w:rsid w:val="0034462C"/>
    <w:rsid w:val="00345528"/>
    <w:rsid w:val="00350D55"/>
    <w:rsid w:val="003537E3"/>
    <w:rsid w:val="00355553"/>
    <w:rsid w:val="00355784"/>
    <w:rsid w:val="0036050C"/>
    <w:rsid w:val="00360690"/>
    <w:rsid w:val="00362DE2"/>
    <w:rsid w:val="00363046"/>
    <w:rsid w:val="003647F7"/>
    <w:rsid w:val="00365075"/>
    <w:rsid w:val="00367B42"/>
    <w:rsid w:val="00371DAE"/>
    <w:rsid w:val="00372BAB"/>
    <w:rsid w:val="00376559"/>
    <w:rsid w:val="00380368"/>
    <w:rsid w:val="00381767"/>
    <w:rsid w:val="00381FDE"/>
    <w:rsid w:val="00384A4A"/>
    <w:rsid w:val="00387396"/>
    <w:rsid w:val="0038779D"/>
    <w:rsid w:val="00390BF7"/>
    <w:rsid w:val="00393141"/>
    <w:rsid w:val="003936D2"/>
    <w:rsid w:val="003955C4"/>
    <w:rsid w:val="003975AD"/>
    <w:rsid w:val="00397660"/>
    <w:rsid w:val="003A1B84"/>
    <w:rsid w:val="003B0BA2"/>
    <w:rsid w:val="003B46DC"/>
    <w:rsid w:val="003C054A"/>
    <w:rsid w:val="003C15B5"/>
    <w:rsid w:val="003C1E11"/>
    <w:rsid w:val="003C2ED7"/>
    <w:rsid w:val="003C470A"/>
    <w:rsid w:val="003C5B59"/>
    <w:rsid w:val="003C5F2B"/>
    <w:rsid w:val="003D15D4"/>
    <w:rsid w:val="003D30B4"/>
    <w:rsid w:val="003D4A58"/>
    <w:rsid w:val="003D6F6D"/>
    <w:rsid w:val="003D7ED4"/>
    <w:rsid w:val="003E2FB0"/>
    <w:rsid w:val="003E6425"/>
    <w:rsid w:val="003E7060"/>
    <w:rsid w:val="003F0CE1"/>
    <w:rsid w:val="003F0E14"/>
    <w:rsid w:val="003F0F63"/>
    <w:rsid w:val="003F5A65"/>
    <w:rsid w:val="004059D0"/>
    <w:rsid w:val="004122A9"/>
    <w:rsid w:val="00412B33"/>
    <w:rsid w:val="00415A15"/>
    <w:rsid w:val="00417EED"/>
    <w:rsid w:val="0042422A"/>
    <w:rsid w:val="00425CB1"/>
    <w:rsid w:val="00430B0D"/>
    <w:rsid w:val="00433CAA"/>
    <w:rsid w:val="00450E6E"/>
    <w:rsid w:val="00452038"/>
    <w:rsid w:val="004542DC"/>
    <w:rsid w:val="004548CD"/>
    <w:rsid w:val="00460EAD"/>
    <w:rsid w:val="00462A63"/>
    <w:rsid w:val="004633F1"/>
    <w:rsid w:val="00463A70"/>
    <w:rsid w:val="00463EC9"/>
    <w:rsid w:val="00464242"/>
    <w:rsid w:val="00465EC8"/>
    <w:rsid w:val="00466F07"/>
    <w:rsid w:val="004673C4"/>
    <w:rsid w:val="00467751"/>
    <w:rsid w:val="00470A7A"/>
    <w:rsid w:val="00470AF6"/>
    <w:rsid w:val="00471A6E"/>
    <w:rsid w:val="00472975"/>
    <w:rsid w:val="0047371B"/>
    <w:rsid w:val="00474538"/>
    <w:rsid w:val="00474E4C"/>
    <w:rsid w:val="004750E1"/>
    <w:rsid w:val="00476E75"/>
    <w:rsid w:val="00476ED1"/>
    <w:rsid w:val="00477DB6"/>
    <w:rsid w:val="004829B9"/>
    <w:rsid w:val="00483036"/>
    <w:rsid w:val="00484F2D"/>
    <w:rsid w:val="0048648B"/>
    <w:rsid w:val="0049061B"/>
    <w:rsid w:val="00490DCC"/>
    <w:rsid w:val="00491564"/>
    <w:rsid w:val="00491C3E"/>
    <w:rsid w:val="00494387"/>
    <w:rsid w:val="004949AC"/>
    <w:rsid w:val="00496426"/>
    <w:rsid w:val="004A1E88"/>
    <w:rsid w:val="004A27DB"/>
    <w:rsid w:val="004A4279"/>
    <w:rsid w:val="004A528D"/>
    <w:rsid w:val="004A63BD"/>
    <w:rsid w:val="004B11A3"/>
    <w:rsid w:val="004B15BE"/>
    <w:rsid w:val="004B234E"/>
    <w:rsid w:val="004B720F"/>
    <w:rsid w:val="004B726A"/>
    <w:rsid w:val="004C1B53"/>
    <w:rsid w:val="004C34C6"/>
    <w:rsid w:val="004C3808"/>
    <w:rsid w:val="004C3C1A"/>
    <w:rsid w:val="004D1CDF"/>
    <w:rsid w:val="004D2468"/>
    <w:rsid w:val="004D4220"/>
    <w:rsid w:val="004D66A3"/>
    <w:rsid w:val="004E1326"/>
    <w:rsid w:val="004E1BF6"/>
    <w:rsid w:val="004E2875"/>
    <w:rsid w:val="004E4B5D"/>
    <w:rsid w:val="004E5602"/>
    <w:rsid w:val="004E617D"/>
    <w:rsid w:val="004E6D06"/>
    <w:rsid w:val="004F4445"/>
    <w:rsid w:val="004F6003"/>
    <w:rsid w:val="004F662C"/>
    <w:rsid w:val="004F736C"/>
    <w:rsid w:val="004F7666"/>
    <w:rsid w:val="00506F24"/>
    <w:rsid w:val="0051382A"/>
    <w:rsid w:val="00513F33"/>
    <w:rsid w:val="00515CA2"/>
    <w:rsid w:val="00517B06"/>
    <w:rsid w:val="00520182"/>
    <w:rsid w:val="00522F3F"/>
    <w:rsid w:val="005230CF"/>
    <w:rsid w:val="005277CB"/>
    <w:rsid w:val="00527A8C"/>
    <w:rsid w:val="005319E2"/>
    <w:rsid w:val="00533C3F"/>
    <w:rsid w:val="00534853"/>
    <w:rsid w:val="00534932"/>
    <w:rsid w:val="0054028E"/>
    <w:rsid w:val="00540994"/>
    <w:rsid w:val="0054286A"/>
    <w:rsid w:val="00550D10"/>
    <w:rsid w:val="00551230"/>
    <w:rsid w:val="0055134F"/>
    <w:rsid w:val="0055234C"/>
    <w:rsid w:val="0055620F"/>
    <w:rsid w:val="00557307"/>
    <w:rsid w:val="005706CC"/>
    <w:rsid w:val="00571691"/>
    <w:rsid w:val="00571737"/>
    <w:rsid w:val="00572AAD"/>
    <w:rsid w:val="005747FF"/>
    <w:rsid w:val="00581915"/>
    <w:rsid w:val="00583138"/>
    <w:rsid w:val="005861E7"/>
    <w:rsid w:val="00587FE6"/>
    <w:rsid w:val="00591708"/>
    <w:rsid w:val="00593E62"/>
    <w:rsid w:val="0059523B"/>
    <w:rsid w:val="00595875"/>
    <w:rsid w:val="00596883"/>
    <w:rsid w:val="005C40CA"/>
    <w:rsid w:val="005C6308"/>
    <w:rsid w:val="005C7219"/>
    <w:rsid w:val="005D2E05"/>
    <w:rsid w:val="005D3368"/>
    <w:rsid w:val="005E0A33"/>
    <w:rsid w:val="005E1588"/>
    <w:rsid w:val="005E5646"/>
    <w:rsid w:val="005E718C"/>
    <w:rsid w:val="005F0AA5"/>
    <w:rsid w:val="005F0F77"/>
    <w:rsid w:val="005F251F"/>
    <w:rsid w:val="005F2BAD"/>
    <w:rsid w:val="005F3DF3"/>
    <w:rsid w:val="005F4E56"/>
    <w:rsid w:val="006026B5"/>
    <w:rsid w:val="00604FB6"/>
    <w:rsid w:val="00604FB9"/>
    <w:rsid w:val="00607213"/>
    <w:rsid w:val="00607F00"/>
    <w:rsid w:val="00610F85"/>
    <w:rsid w:val="00612540"/>
    <w:rsid w:val="006134B9"/>
    <w:rsid w:val="0061403D"/>
    <w:rsid w:val="006148CF"/>
    <w:rsid w:val="00614CDB"/>
    <w:rsid w:val="00621E91"/>
    <w:rsid w:val="00625925"/>
    <w:rsid w:val="00627E45"/>
    <w:rsid w:val="00631373"/>
    <w:rsid w:val="00631FD1"/>
    <w:rsid w:val="006328F5"/>
    <w:rsid w:val="0063438C"/>
    <w:rsid w:val="00635177"/>
    <w:rsid w:val="0063599F"/>
    <w:rsid w:val="00636161"/>
    <w:rsid w:val="006441E1"/>
    <w:rsid w:val="00644838"/>
    <w:rsid w:val="00644CE6"/>
    <w:rsid w:val="006473A8"/>
    <w:rsid w:val="00647543"/>
    <w:rsid w:val="006507ED"/>
    <w:rsid w:val="006510F8"/>
    <w:rsid w:val="00656A9E"/>
    <w:rsid w:val="00660363"/>
    <w:rsid w:val="00660E60"/>
    <w:rsid w:val="0066171E"/>
    <w:rsid w:val="006631C9"/>
    <w:rsid w:val="006642B4"/>
    <w:rsid w:val="006663BC"/>
    <w:rsid w:val="006703A5"/>
    <w:rsid w:val="006733E5"/>
    <w:rsid w:val="00681AC1"/>
    <w:rsid w:val="00682222"/>
    <w:rsid w:val="00683995"/>
    <w:rsid w:val="00687641"/>
    <w:rsid w:val="006901C3"/>
    <w:rsid w:val="0069249E"/>
    <w:rsid w:val="00695E03"/>
    <w:rsid w:val="006A0781"/>
    <w:rsid w:val="006A0B45"/>
    <w:rsid w:val="006A4247"/>
    <w:rsid w:val="006A4E8D"/>
    <w:rsid w:val="006B06CA"/>
    <w:rsid w:val="006B207A"/>
    <w:rsid w:val="006B5B3E"/>
    <w:rsid w:val="006C03ED"/>
    <w:rsid w:val="006D1782"/>
    <w:rsid w:val="006D4AB9"/>
    <w:rsid w:val="006D6F5A"/>
    <w:rsid w:val="006E00AD"/>
    <w:rsid w:val="006E035D"/>
    <w:rsid w:val="006E0643"/>
    <w:rsid w:val="006E353E"/>
    <w:rsid w:val="006E5273"/>
    <w:rsid w:val="006E5ABD"/>
    <w:rsid w:val="006F0508"/>
    <w:rsid w:val="006F1189"/>
    <w:rsid w:val="006F3217"/>
    <w:rsid w:val="006F6104"/>
    <w:rsid w:val="0070099C"/>
    <w:rsid w:val="0070431A"/>
    <w:rsid w:val="00706604"/>
    <w:rsid w:val="00721566"/>
    <w:rsid w:val="00723CF2"/>
    <w:rsid w:val="00724A49"/>
    <w:rsid w:val="007268C8"/>
    <w:rsid w:val="00726A94"/>
    <w:rsid w:val="00726B69"/>
    <w:rsid w:val="00731A57"/>
    <w:rsid w:val="00732599"/>
    <w:rsid w:val="00734FCC"/>
    <w:rsid w:val="00735084"/>
    <w:rsid w:val="007359A1"/>
    <w:rsid w:val="007359A2"/>
    <w:rsid w:val="00740CD0"/>
    <w:rsid w:val="007429C2"/>
    <w:rsid w:val="007430FE"/>
    <w:rsid w:val="00743B72"/>
    <w:rsid w:val="00744439"/>
    <w:rsid w:val="00745AEC"/>
    <w:rsid w:val="007474FF"/>
    <w:rsid w:val="00750297"/>
    <w:rsid w:val="00750797"/>
    <w:rsid w:val="007550F6"/>
    <w:rsid w:val="00755690"/>
    <w:rsid w:val="0075605D"/>
    <w:rsid w:val="0076077F"/>
    <w:rsid w:val="00762999"/>
    <w:rsid w:val="007745CA"/>
    <w:rsid w:val="00777EB5"/>
    <w:rsid w:val="00782132"/>
    <w:rsid w:val="00785E01"/>
    <w:rsid w:val="0079077D"/>
    <w:rsid w:val="00792748"/>
    <w:rsid w:val="007A0941"/>
    <w:rsid w:val="007A0978"/>
    <w:rsid w:val="007A0D0B"/>
    <w:rsid w:val="007A1CDD"/>
    <w:rsid w:val="007A5334"/>
    <w:rsid w:val="007A66D1"/>
    <w:rsid w:val="007B18F1"/>
    <w:rsid w:val="007C4A9F"/>
    <w:rsid w:val="007C7F7D"/>
    <w:rsid w:val="007D1862"/>
    <w:rsid w:val="007D42C2"/>
    <w:rsid w:val="007D779A"/>
    <w:rsid w:val="007D7AB9"/>
    <w:rsid w:val="007E19D6"/>
    <w:rsid w:val="007E2548"/>
    <w:rsid w:val="007E38E8"/>
    <w:rsid w:val="007E5557"/>
    <w:rsid w:val="007E5D97"/>
    <w:rsid w:val="007E600B"/>
    <w:rsid w:val="007E6799"/>
    <w:rsid w:val="007F06F2"/>
    <w:rsid w:val="007F36CD"/>
    <w:rsid w:val="007F400F"/>
    <w:rsid w:val="007F7D92"/>
    <w:rsid w:val="008006C4"/>
    <w:rsid w:val="00800FED"/>
    <w:rsid w:val="00801733"/>
    <w:rsid w:val="00804053"/>
    <w:rsid w:val="00804248"/>
    <w:rsid w:val="00810184"/>
    <w:rsid w:val="008137F9"/>
    <w:rsid w:val="0081663D"/>
    <w:rsid w:val="00820C1B"/>
    <w:rsid w:val="00823130"/>
    <w:rsid w:val="0082554A"/>
    <w:rsid w:val="0082578E"/>
    <w:rsid w:val="008262C2"/>
    <w:rsid w:val="00827B0C"/>
    <w:rsid w:val="00831EAC"/>
    <w:rsid w:val="00834A0C"/>
    <w:rsid w:val="00835858"/>
    <w:rsid w:val="00836164"/>
    <w:rsid w:val="00836F1F"/>
    <w:rsid w:val="00842168"/>
    <w:rsid w:val="00843AB9"/>
    <w:rsid w:val="00845AB7"/>
    <w:rsid w:val="0084765B"/>
    <w:rsid w:val="008508E2"/>
    <w:rsid w:val="0085092F"/>
    <w:rsid w:val="00850A5F"/>
    <w:rsid w:val="00852049"/>
    <w:rsid w:val="008538DF"/>
    <w:rsid w:val="00853ACB"/>
    <w:rsid w:val="00853F28"/>
    <w:rsid w:val="0085649B"/>
    <w:rsid w:val="00857F62"/>
    <w:rsid w:val="00863692"/>
    <w:rsid w:val="008644E3"/>
    <w:rsid w:val="00867029"/>
    <w:rsid w:val="008702B3"/>
    <w:rsid w:val="00872C1E"/>
    <w:rsid w:val="00873136"/>
    <w:rsid w:val="00880F6A"/>
    <w:rsid w:val="0088349C"/>
    <w:rsid w:val="00884387"/>
    <w:rsid w:val="00884AD3"/>
    <w:rsid w:val="00892595"/>
    <w:rsid w:val="00892E5E"/>
    <w:rsid w:val="008934EE"/>
    <w:rsid w:val="008949CD"/>
    <w:rsid w:val="008977F6"/>
    <w:rsid w:val="00897AC3"/>
    <w:rsid w:val="00897D57"/>
    <w:rsid w:val="008A32CE"/>
    <w:rsid w:val="008A34BD"/>
    <w:rsid w:val="008A43BA"/>
    <w:rsid w:val="008A79D0"/>
    <w:rsid w:val="008B0792"/>
    <w:rsid w:val="008B2FFC"/>
    <w:rsid w:val="008B42C1"/>
    <w:rsid w:val="008B4F02"/>
    <w:rsid w:val="008B5B74"/>
    <w:rsid w:val="008C1062"/>
    <w:rsid w:val="008C4F3D"/>
    <w:rsid w:val="008C5A8C"/>
    <w:rsid w:val="008D1382"/>
    <w:rsid w:val="008D2419"/>
    <w:rsid w:val="008D4F4A"/>
    <w:rsid w:val="008D50B0"/>
    <w:rsid w:val="008E3B00"/>
    <w:rsid w:val="008E702E"/>
    <w:rsid w:val="008F1CAE"/>
    <w:rsid w:val="008F5FA0"/>
    <w:rsid w:val="008F619E"/>
    <w:rsid w:val="00902FAD"/>
    <w:rsid w:val="00904433"/>
    <w:rsid w:val="00911857"/>
    <w:rsid w:val="00912889"/>
    <w:rsid w:val="00912D87"/>
    <w:rsid w:val="009144C6"/>
    <w:rsid w:val="0091790E"/>
    <w:rsid w:val="009237C1"/>
    <w:rsid w:val="009264DB"/>
    <w:rsid w:val="00927AEA"/>
    <w:rsid w:val="0093192E"/>
    <w:rsid w:val="0093249D"/>
    <w:rsid w:val="009366D5"/>
    <w:rsid w:val="00937957"/>
    <w:rsid w:val="009402FE"/>
    <w:rsid w:val="009418D2"/>
    <w:rsid w:val="00941DD2"/>
    <w:rsid w:val="00942065"/>
    <w:rsid w:val="00942A32"/>
    <w:rsid w:val="009430B1"/>
    <w:rsid w:val="00943E54"/>
    <w:rsid w:val="00946114"/>
    <w:rsid w:val="00946801"/>
    <w:rsid w:val="009508A6"/>
    <w:rsid w:val="00951B5E"/>
    <w:rsid w:val="00951F34"/>
    <w:rsid w:val="00960764"/>
    <w:rsid w:val="0096288F"/>
    <w:rsid w:val="00963588"/>
    <w:rsid w:val="009638CC"/>
    <w:rsid w:val="00973FDE"/>
    <w:rsid w:val="0097775B"/>
    <w:rsid w:val="00977890"/>
    <w:rsid w:val="00977D0A"/>
    <w:rsid w:val="0098059D"/>
    <w:rsid w:val="00984889"/>
    <w:rsid w:val="00993F22"/>
    <w:rsid w:val="009947CE"/>
    <w:rsid w:val="009A1829"/>
    <w:rsid w:val="009A57DD"/>
    <w:rsid w:val="009B2A82"/>
    <w:rsid w:val="009B31FE"/>
    <w:rsid w:val="009B3CF0"/>
    <w:rsid w:val="009B772D"/>
    <w:rsid w:val="009B7789"/>
    <w:rsid w:val="009C2388"/>
    <w:rsid w:val="009D3B53"/>
    <w:rsid w:val="009D6CD2"/>
    <w:rsid w:val="009D7F75"/>
    <w:rsid w:val="009E003C"/>
    <w:rsid w:val="009E2242"/>
    <w:rsid w:val="009E3B82"/>
    <w:rsid w:val="009E5AC3"/>
    <w:rsid w:val="009E6313"/>
    <w:rsid w:val="009F023D"/>
    <w:rsid w:val="009F508D"/>
    <w:rsid w:val="00A0114C"/>
    <w:rsid w:val="00A05BA1"/>
    <w:rsid w:val="00A1044E"/>
    <w:rsid w:val="00A1149D"/>
    <w:rsid w:val="00A13838"/>
    <w:rsid w:val="00A13CD5"/>
    <w:rsid w:val="00A159E8"/>
    <w:rsid w:val="00A17DFE"/>
    <w:rsid w:val="00A22D36"/>
    <w:rsid w:val="00A25160"/>
    <w:rsid w:val="00A26733"/>
    <w:rsid w:val="00A27233"/>
    <w:rsid w:val="00A3342E"/>
    <w:rsid w:val="00A35C54"/>
    <w:rsid w:val="00A36B29"/>
    <w:rsid w:val="00A46802"/>
    <w:rsid w:val="00A477DA"/>
    <w:rsid w:val="00A47DC9"/>
    <w:rsid w:val="00A50618"/>
    <w:rsid w:val="00A51053"/>
    <w:rsid w:val="00A5123C"/>
    <w:rsid w:val="00A519CC"/>
    <w:rsid w:val="00A556D2"/>
    <w:rsid w:val="00A571D4"/>
    <w:rsid w:val="00A6477D"/>
    <w:rsid w:val="00A66069"/>
    <w:rsid w:val="00A67619"/>
    <w:rsid w:val="00A71463"/>
    <w:rsid w:val="00A722F4"/>
    <w:rsid w:val="00A7345F"/>
    <w:rsid w:val="00A74060"/>
    <w:rsid w:val="00A760F1"/>
    <w:rsid w:val="00A82B69"/>
    <w:rsid w:val="00A83B87"/>
    <w:rsid w:val="00A9159B"/>
    <w:rsid w:val="00A91D47"/>
    <w:rsid w:val="00A92676"/>
    <w:rsid w:val="00A944F4"/>
    <w:rsid w:val="00A96662"/>
    <w:rsid w:val="00AA484B"/>
    <w:rsid w:val="00AA64FB"/>
    <w:rsid w:val="00AB0C45"/>
    <w:rsid w:val="00AB46A4"/>
    <w:rsid w:val="00AB6E76"/>
    <w:rsid w:val="00AC3811"/>
    <w:rsid w:val="00AC4743"/>
    <w:rsid w:val="00AC4FE5"/>
    <w:rsid w:val="00AC51DC"/>
    <w:rsid w:val="00AC5758"/>
    <w:rsid w:val="00AC5D33"/>
    <w:rsid w:val="00AC6254"/>
    <w:rsid w:val="00AD4B93"/>
    <w:rsid w:val="00AD4CDA"/>
    <w:rsid w:val="00AD546F"/>
    <w:rsid w:val="00AD5B92"/>
    <w:rsid w:val="00AE1BEB"/>
    <w:rsid w:val="00AE29CA"/>
    <w:rsid w:val="00AE2F06"/>
    <w:rsid w:val="00AE3AE5"/>
    <w:rsid w:val="00AE6E01"/>
    <w:rsid w:val="00AF5CDA"/>
    <w:rsid w:val="00B042A0"/>
    <w:rsid w:val="00B1230C"/>
    <w:rsid w:val="00B125A8"/>
    <w:rsid w:val="00B15379"/>
    <w:rsid w:val="00B20B03"/>
    <w:rsid w:val="00B21A68"/>
    <w:rsid w:val="00B236D2"/>
    <w:rsid w:val="00B23E9E"/>
    <w:rsid w:val="00B25B74"/>
    <w:rsid w:val="00B265BF"/>
    <w:rsid w:val="00B302A4"/>
    <w:rsid w:val="00B30B2A"/>
    <w:rsid w:val="00B30D07"/>
    <w:rsid w:val="00B31157"/>
    <w:rsid w:val="00B332FC"/>
    <w:rsid w:val="00B33A5D"/>
    <w:rsid w:val="00B43451"/>
    <w:rsid w:val="00B50AA3"/>
    <w:rsid w:val="00B50F7D"/>
    <w:rsid w:val="00B561F9"/>
    <w:rsid w:val="00B57547"/>
    <w:rsid w:val="00B57EC4"/>
    <w:rsid w:val="00B606C3"/>
    <w:rsid w:val="00B63B15"/>
    <w:rsid w:val="00B65640"/>
    <w:rsid w:val="00B67170"/>
    <w:rsid w:val="00B70C84"/>
    <w:rsid w:val="00B72A58"/>
    <w:rsid w:val="00B73EA6"/>
    <w:rsid w:val="00B8071B"/>
    <w:rsid w:val="00B808EE"/>
    <w:rsid w:val="00B81498"/>
    <w:rsid w:val="00B85DBE"/>
    <w:rsid w:val="00B86F88"/>
    <w:rsid w:val="00B935E7"/>
    <w:rsid w:val="00BA095C"/>
    <w:rsid w:val="00BA48D6"/>
    <w:rsid w:val="00BA75B1"/>
    <w:rsid w:val="00BB1C7F"/>
    <w:rsid w:val="00BB672D"/>
    <w:rsid w:val="00BB78F7"/>
    <w:rsid w:val="00BC012A"/>
    <w:rsid w:val="00BC1695"/>
    <w:rsid w:val="00BC2DAE"/>
    <w:rsid w:val="00BC3F9C"/>
    <w:rsid w:val="00BC6F77"/>
    <w:rsid w:val="00BC78E6"/>
    <w:rsid w:val="00BC7D15"/>
    <w:rsid w:val="00BD6BDC"/>
    <w:rsid w:val="00BE0C4E"/>
    <w:rsid w:val="00BE2A2E"/>
    <w:rsid w:val="00BF0782"/>
    <w:rsid w:val="00BF27F5"/>
    <w:rsid w:val="00BF4F04"/>
    <w:rsid w:val="00BF548C"/>
    <w:rsid w:val="00BF7714"/>
    <w:rsid w:val="00BF7B17"/>
    <w:rsid w:val="00C0032C"/>
    <w:rsid w:val="00C00FE4"/>
    <w:rsid w:val="00C04DBE"/>
    <w:rsid w:val="00C061E6"/>
    <w:rsid w:val="00C153A3"/>
    <w:rsid w:val="00C160F9"/>
    <w:rsid w:val="00C16603"/>
    <w:rsid w:val="00C171B9"/>
    <w:rsid w:val="00C1726F"/>
    <w:rsid w:val="00C21871"/>
    <w:rsid w:val="00C21CEE"/>
    <w:rsid w:val="00C228A9"/>
    <w:rsid w:val="00C252B9"/>
    <w:rsid w:val="00C26F66"/>
    <w:rsid w:val="00C27577"/>
    <w:rsid w:val="00C334F1"/>
    <w:rsid w:val="00C35A21"/>
    <w:rsid w:val="00C408E0"/>
    <w:rsid w:val="00C452FF"/>
    <w:rsid w:val="00C474F2"/>
    <w:rsid w:val="00C52825"/>
    <w:rsid w:val="00C5408A"/>
    <w:rsid w:val="00C546C5"/>
    <w:rsid w:val="00C5779D"/>
    <w:rsid w:val="00C626E4"/>
    <w:rsid w:val="00C6527E"/>
    <w:rsid w:val="00C67D68"/>
    <w:rsid w:val="00C72970"/>
    <w:rsid w:val="00C72F8C"/>
    <w:rsid w:val="00C74988"/>
    <w:rsid w:val="00C839A0"/>
    <w:rsid w:val="00C84C2B"/>
    <w:rsid w:val="00C853D1"/>
    <w:rsid w:val="00C85A96"/>
    <w:rsid w:val="00C91828"/>
    <w:rsid w:val="00C919F0"/>
    <w:rsid w:val="00C9360F"/>
    <w:rsid w:val="00CA0C1D"/>
    <w:rsid w:val="00CA2F84"/>
    <w:rsid w:val="00CA3744"/>
    <w:rsid w:val="00CB2B7B"/>
    <w:rsid w:val="00CB3993"/>
    <w:rsid w:val="00CB40F3"/>
    <w:rsid w:val="00CB5A9E"/>
    <w:rsid w:val="00CB7C03"/>
    <w:rsid w:val="00CC12D9"/>
    <w:rsid w:val="00CC2EBD"/>
    <w:rsid w:val="00CC3D6A"/>
    <w:rsid w:val="00CC5561"/>
    <w:rsid w:val="00CC7111"/>
    <w:rsid w:val="00CC7AAA"/>
    <w:rsid w:val="00CC7EAC"/>
    <w:rsid w:val="00CD573E"/>
    <w:rsid w:val="00CD61F0"/>
    <w:rsid w:val="00CF1FCE"/>
    <w:rsid w:val="00CF38E2"/>
    <w:rsid w:val="00CF5199"/>
    <w:rsid w:val="00CF72A9"/>
    <w:rsid w:val="00CF7911"/>
    <w:rsid w:val="00D02413"/>
    <w:rsid w:val="00D04493"/>
    <w:rsid w:val="00D048E0"/>
    <w:rsid w:val="00D060B7"/>
    <w:rsid w:val="00D069DF"/>
    <w:rsid w:val="00D104DB"/>
    <w:rsid w:val="00D10BBE"/>
    <w:rsid w:val="00D114F9"/>
    <w:rsid w:val="00D11D9E"/>
    <w:rsid w:val="00D11E84"/>
    <w:rsid w:val="00D121F9"/>
    <w:rsid w:val="00D15032"/>
    <w:rsid w:val="00D16932"/>
    <w:rsid w:val="00D16C0D"/>
    <w:rsid w:val="00D237F3"/>
    <w:rsid w:val="00D2535A"/>
    <w:rsid w:val="00D34992"/>
    <w:rsid w:val="00D349C8"/>
    <w:rsid w:val="00D43062"/>
    <w:rsid w:val="00D461A3"/>
    <w:rsid w:val="00D5012F"/>
    <w:rsid w:val="00D5228A"/>
    <w:rsid w:val="00D53A0C"/>
    <w:rsid w:val="00D553B2"/>
    <w:rsid w:val="00D603BF"/>
    <w:rsid w:val="00D62C6E"/>
    <w:rsid w:val="00D6407D"/>
    <w:rsid w:val="00D67C60"/>
    <w:rsid w:val="00D733EF"/>
    <w:rsid w:val="00D752D2"/>
    <w:rsid w:val="00D76975"/>
    <w:rsid w:val="00D772C9"/>
    <w:rsid w:val="00D77542"/>
    <w:rsid w:val="00D82C80"/>
    <w:rsid w:val="00D907DE"/>
    <w:rsid w:val="00D90E06"/>
    <w:rsid w:val="00D93EFD"/>
    <w:rsid w:val="00D94C0C"/>
    <w:rsid w:val="00D96276"/>
    <w:rsid w:val="00DA3751"/>
    <w:rsid w:val="00DA78D2"/>
    <w:rsid w:val="00DA7965"/>
    <w:rsid w:val="00DB10DD"/>
    <w:rsid w:val="00DB268E"/>
    <w:rsid w:val="00DB2D96"/>
    <w:rsid w:val="00DB353D"/>
    <w:rsid w:val="00DB6D27"/>
    <w:rsid w:val="00DC6387"/>
    <w:rsid w:val="00DD116F"/>
    <w:rsid w:val="00DD2536"/>
    <w:rsid w:val="00DD5573"/>
    <w:rsid w:val="00DD6442"/>
    <w:rsid w:val="00DE3170"/>
    <w:rsid w:val="00DE6290"/>
    <w:rsid w:val="00DF0F3A"/>
    <w:rsid w:val="00DF2DD7"/>
    <w:rsid w:val="00DF5F10"/>
    <w:rsid w:val="00DF63B1"/>
    <w:rsid w:val="00E00CF7"/>
    <w:rsid w:val="00E010F7"/>
    <w:rsid w:val="00E0369E"/>
    <w:rsid w:val="00E04D30"/>
    <w:rsid w:val="00E06552"/>
    <w:rsid w:val="00E160CE"/>
    <w:rsid w:val="00E23A52"/>
    <w:rsid w:val="00E240BC"/>
    <w:rsid w:val="00E278F2"/>
    <w:rsid w:val="00E30CF2"/>
    <w:rsid w:val="00E30E7E"/>
    <w:rsid w:val="00E317EA"/>
    <w:rsid w:val="00E31CFB"/>
    <w:rsid w:val="00E32D11"/>
    <w:rsid w:val="00E33E03"/>
    <w:rsid w:val="00E378A7"/>
    <w:rsid w:val="00E41E5D"/>
    <w:rsid w:val="00E42F4D"/>
    <w:rsid w:val="00E4379F"/>
    <w:rsid w:val="00E45953"/>
    <w:rsid w:val="00E46DA8"/>
    <w:rsid w:val="00E5473E"/>
    <w:rsid w:val="00E548E3"/>
    <w:rsid w:val="00E55933"/>
    <w:rsid w:val="00E6160C"/>
    <w:rsid w:val="00E61E5E"/>
    <w:rsid w:val="00E67BD5"/>
    <w:rsid w:val="00E74F69"/>
    <w:rsid w:val="00E777B1"/>
    <w:rsid w:val="00E82A44"/>
    <w:rsid w:val="00E8346C"/>
    <w:rsid w:val="00E83494"/>
    <w:rsid w:val="00E8541D"/>
    <w:rsid w:val="00E9186A"/>
    <w:rsid w:val="00E92B4A"/>
    <w:rsid w:val="00E93EDF"/>
    <w:rsid w:val="00E94815"/>
    <w:rsid w:val="00E966F3"/>
    <w:rsid w:val="00E97929"/>
    <w:rsid w:val="00EA1004"/>
    <w:rsid w:val="00EA1D87"/>
    <w:rsid w:val="00EA2CF6"/>
    <w:rsid w:val="00EA30B1"/>
    <w:rsid w:val="00EB051B"/>
    <w:rsid w:val="00EB0AEA"/>
    <w:rsid w:val="00EB1E57"/>
    <w:rsid w:val="00EB43DB"/>
    <w:rsid w:val="00EB4A38"/>
    <w:rsid w:val="00EB6D47"/>
    <w:rsid w:val="00EB6D8B"/>
    <w:rsid w:val="00EC01B9"/>
    <w:rsid w:val="00EC023F"/>
    <w:rsid w:val="00EC5DB2"/>
    <w:rsid w:val="00EC709D"/>
    <w:rsid w:val="00ED23EB"/>
    <w:rsid w:val="00ED6473"/>
    <w:rsid w:val="00EE23E5"/>
    <w:rsid w:val="00EE53C5"/>
    <w:rsid w:val="00EE78CE"/>
    <w:rsid w:val="00EF0402"/>
    <w:rsid w:val="00EF0C30"/>
    <w:rsid w:val="00EF0D39"/>
    <w:rsid w:val="00EF461D"/>
    <w:rsid w:val="00EF639E"/>
    <w:rsid w:val="00F015D8"/>
    <w:rsid w:val="00F03666"/>
    <w:rsid w:val="00F05DDC"/>
    <w:rsid w:val="00F060A2"/>
    <w:rsid w:val="00F121AE"/>
    <w:rsid w:val="00F15C5C"/>
    <w:rsid w:val="00F164D4"/>
    <w:rsid w:val="00F16917"/>
    <w:rsid w:val="00F34B59"/>
    <w:rsid w:val="00F35A10"/>
    <w:rsid w:val="00F367C8"/>
    <w:rsid w:val="00F37091"/>
    <w:rsid w:val="00F4029B"/>
    <w:rsid w:val="00F40DA2"/>
    <w:rsid w:val="00F44120"/>
    <w:rsid w:val="00F46399"/>
    <w:rsid w:val="00F4764E"/>
    <w:rsid w:val="00F4783B"/>
    <w:rsid w:val="00F516F1"/>
    <w:rsid w:val="00F54246"/>
    <w:rsid w:val="00F561D0"/>
    <w:rsid w:val="00F634CA"/>
    <w:rsid w:val="00F7079B"/>
    <w:rsid w:val="00F7369F"/>
    <w:rsid w:val="00F762D3"/>
    <w:rsid w:val="00F76765"/>
    <w:rsid w:val="00F76AA5"/>
    <w:rsid w:val="00F81A9B"/>
    <w:rsid w:val="00F821C8"/>
    <w:rsid w:val="00F86745"/>
    <w:rsid w:val="00F911C5"/>
    <w:rsid w:val="00F926A0"/>
    <w:rsid w:val="00FA3952"/>
    <w:rsid w:val="00FA5759"/>
    <w:rsid w:val="00FA6ABC"/>
    <w:rsid w:val="00FC425F"/>
    <w:rsid w:val="00FC4CB0"/>
    <w:rsid w:val="00FC6454"/>
    <w:rsid w:val="00FC6B3E"/>
    <w:rsid w:val="00FD1A44"/>
    <w:rsid w:val="00FD4CAE"/>
    <w:rsid w:val="00FD684B"/>
    <w:rsid w:val="00FE3038"/>
    <w:rsid w:val="00FE3757"/>
    <w:rsid w:val="00FE53FE"/>
    <w:rsid w:val="00FE5E84"/>
    <w:rsid w:val="00FF484C"/>
    <w:rsid w:val="00FF69E9"/>
    <w:rsid w:val="00FF70A2"/>
    <w:rsid w:val="02ED51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591708"/>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708"/>
    <w:pPr>
      <w:spacing w:after="0" w:line="240" w:lineRule="auto"/>
      <w:ind w:left="720"/>
      <w:contextualSpacing/>
    </w:pPr>
    <w:rPr>
      <w:rFonts w:eastAsia="Times New Roman" w:cs="Times New Roman"/>
      <w:szCs w:val="24"/>
      <w:lang w:eastAsia="es-ES"/>
    </w:rPr>
  </w:style>
  <w:style w:type="character" w:styleId="UnresolvedMention" w:customStyle="1">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2220">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04369083">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58509">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5911">
      <w:bodyDiv w:val="1"/>
      <w:marLeft w:val="0"/>
      <w:marRight w:val="0"/>
      <w:marTop w:val="0"/>
      <w:marBottom w:val="0"/>
      <w:divBdr>
        <w:top w:val="none" w:sz="0" w:space="0" w:color="auto"/>
        <w:left w:val="none" w:sz="0" w:space="0" w:color="auto"/>
        <w:bottom w:val="none" w:sz="0" w:space="0" w:color="auto"/>
        <w:right w:val="none" w:sz="0" w:space="0" w:color="auto"/>
      </w:divBdr>
    </w:div>
    <w:div w:id="1558395853">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lanamayor.com.mx/dotan-de-alarmas-silenciosas-a-prestadores-de-servicios-turisticos-de-pueblos-con-encanto-del-edomex/" TargetMode="External" Id="rId8" /><Relationship Type="http://schemas.openxmlformats.org/officeDocument/2006/relationships/hyperlink" Target="https://www.ipomex.org.mx/ipo3/lgt/indice/SSEM/art_92_xxxii.web"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seguridad.edomex.gob.mx/"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planamayor.com.mx/dotan-de-alarmas-silenciosas-a-prestadores-de-servicios-turisticos-de-pueblos-con-encanto-del-edomex/"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planamayor.com.mx/dotan-de-alarmas-silenciosas-a-prestadores-de-servicios-turisticos-de-pueblos-con-encanto-del-edomex/" TargetMode="External" Id="rId9" /><Relationship Type="http://schemas.openxmlformats.org/officeDocument/2006/relationships/header" Target="header1.xml" Id="rId14" /><Relationship Type="http://schemas.openxmlformats.org/officeDocument/2006/relationships/glossaryDocument" Target="glossary/document.xml" Id="R432b5d4699ef4268"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1bf3511-0d0b-4320-bd08-7101383b3d50}"/>
      </w:docPartPr>
      <w:docPartBody>
        <w:p w14:paraId="54FFFEE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B4F8-347E-4055-AFBB-D7187B97B7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2022-05-06T07:10:00.0000000Z</dcterms:created>
  <dcterms:modified xsi:type="dcterms:W3CDTF">2022-05-20T19:17:42.8852804Z</dcterms:modified>
</coreProperties>
</file>