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ocho de junio del dos mil veintidós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4">
      <w:pPr>
        <w:spacing w:after="240" w:before="240" w:line="360" w:lineRule="auto"/>
        <w:ind w:right="49"/>
        <w:jc w:val="both"/>
        <w:rPr>
          <w:rFonts w:ascii="Palatino Linotype" w:cs="Palatino Linotype" w:eastAsia="Palatino Linotype" w:hAnsi="Palatino Linotype"/>
        </w:rPr>
      </w:pPr>
      <w:bookmarkStart w:colFirst="0" w:colLast="0" w:name="_heading=h.3znysh7" w:id="0"/>
      <w:bookmarkEnd w:id="0"/>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03209/INFOEM/IP/RR/2022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w:t>
      </w:r>
      <w:r w:rsidDel="00000000" w:rsidR="00000000" w:rsidRPr="00000000">
        <w:rPr>
          <w:rFonts w:ascii="Palatino Linotype" w:cs="Palatino Linotype" w:eastAsia="Palatino Linotype" w:hAnsi="Palatino Linotype"/>
          <w:b w:val="1"/>
          <w:rtl w:val="0"/>
        </w:rPr>
        <w:t xml:space="preserve"> 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Chimalhuacán,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5">
      <w:pPr>
        <w:spacing w:after="240" w:before="240" w:line="360" w:lineRule="auto"/>
        <w:ind w:right="49"/>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A N T E C E D E N T E S</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veinte de enero de dos mil veintidós, 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 Recurrente</w:t>
      </w:r>
      <w:r w:rsidDel="00000000" w:rsidR="00000000" w:rsidRPr="00000000">
        <w:rPr>
          <w:rFonts w:ascii="Palatino Linotype" w:cs="Palatino Linotype" w:eastAsia="Palatino Linotype" w:hAnsi="Palatino Linotype"/>
          <w:rtl w:val="0"/>
        </w:rPr>
        <w:t xml:space="preserve"> presentó a través de la Plataforma Nacional de Transparencia (PNT), la cual se encuentra vinculada al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00025/CHIMALHU/IP/2022,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7">
      <w:pPr>
        <w:spacing w:after="240" w:before="240"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“Solicito los </w:t>
      </w:r>
      <w:r w:rsidDel="00000000" w:rsidR="00000000" w:rsidRPr="00000000">
        <w:rPr>
          <w:rFonts w:ascii="Palatino Linotype" w:cs="Palatino Linotype" w:eastAsia="Palatino Linotype" w:hAnsi="Palatino Linotype"/>
          <w:b w:val="1"/>
          <w:i w:val="1"/>
          <w:sz w:val="22"/>
          <w:szCs w:val="22"/>
          <w:rtl w:val="0"/>
        </w:rPr>
        <w:t xml:space="preserve">ingresos que recibió el municipio en el mes de agosto de 2019</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0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 de la información:</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9">
      <w:pPr>
        <w:spacing w:after="240" w:before="240" w:line="360" w:lineRule="auto"/>
        <w:ind w:right="49"/>
        <w:jc w:val="both"/>
        <w:rPr/>
      </w:pPr>
      <w:r w:rsidDel="00000000" w:rsidR="00000000" w:rsidRPr="00000000">
        <w:rPr/>
        <w:pict>
          <v:shape id="_x0000_i1025" style="width:453pt;height:44.25pt" o:ole="" type="#_x0000_t75">
            <v:imagedata r:id="rId1" o:title=""/>
          </v:shape>
          <o:OLEObject DrawAspect="Content" r:id="rId2" ObjectID="_1718632552" ProgID="PBrush" ShapeID="_x0000_i1025" Type="Embed"/>
        </w:pict>
      </w:r>
      <w:r w:rsidDel="00000000" w:rsidR="00000000" w:rsidRPr="00000000">
        <w:rPr>
          <w:rtl w:val="0"/>
        </w:rPr>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2. Respuesta a la solicitud de información. </w:t>
      </w:r>
      <w:r w:rsidDel="00000000" w:rsidR="00000000" w:rsidRPr="00000000">
        <w:rPr>
          <w:rFonts w:ascii="Palatino Linotype" w:cs="Palatino Linotype" w:eastAsia="Palatino Linotype" w:hAnsi="Palatino Linotype"/>
          <w:rtl w:val="0"/>
        </w:rPr>
        <w:t xml:space="preserve">En fecha</w:t>
      </w:r>
      <w:r w:rsidDel="00000000" w:rsidR="00000000" w:rsidRPr="00000000">
        <w:rPr>
          <w:rFonts w:ascii="Palatino Linotype" w:cs="Palatino Linotype" w:eastAsia="Palatino Linotype" w:hAnsi="Palatino Linotype"/>
          <w:b w:val="1"/>
          <w:rtl w:val="0"/>
        </w:rPr>
        <w:t xml:space="preserve"> once de febrero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del SAIMEX notificó la respuesta a la solicitud de información sustancialmente en los siguientes términos: </w:t>
      </w:r>
      <w:r w:rsidDel="00000000" w:rsidR="00000000" w:rsidRPr="00000000">
        <w:rPr>
          <w:rtl w:val="0"/>
        </w:rPr>
      </w:r>
    </w:p>
    <w:p w:rsidR="00000000" w:rsidDel="00000000" w:rsidP="00000000" w:rsidRDefault="00000000" w:rsidRPr="00000000" w14:paraId="0000000B">
      <w:pPr>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C">
      <w:pPr>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brinda información respecto a su solicitud de información por la Dirección de Ingresos. Saludos.”</w:t>
      </w:r>
    </w:p>
    <w:p w:rsidR="00000000" w:rsidDel="00000000" w:rsidP="00000000" w:rsidRDefault="00000000" w:rsidRPr="00000000" w14:paraId="0000000D">
      <w:pPr>
        <w:spacing w:after="240" w:before="240" w:line="360" w:lineRule="auto"/>
        <w:ind w:left="567" w:right="900"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rtl w:val="0"/>
        </w:rPr>
        <w:t xml:space="preserve">El Sujeto Obligado adjuntó a su respuesta el a</w:t>
      </w:r>
      <w:r w:rsidDel="00000000" w:rsidR="00000000" w:rsidRPr="00000000">
        <w:rPr>
          <w:rFonts w:ascii="Palatino Linotype" w:cs="Palatino Linotype" w:eastAsia="Palatino Linotype" w:hAnsi="Palatino Linotype"/>
          <w:b w:val="1"/>
          <w:color w:val="000000"/>
          <w:rtl w:val="0"/>
        </w:rPr>
        <w:t xml:space="preserve">rchivo electrónico siguiente: </w:t>
      </w:r>
    </w:p>
    <w:p w:rsidR="00000000" w:rsidDel="00000000" w:rsidP="00000000" w:rsidRDefault="00000000" w:rsidRPr="00000000" w14:paraId="0000000E">
      <w:pPr>
        <w:spacing w:after="240" w:before="240" w:line="360" w:lineRule="auto"/>
        <w:ind w:left="567"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“Solicitud 25.pdf”: </w:t>
      </w:r>
      <w:r w:rsidDel="00000000" w:rsidR="00000000" w:rsidRPr="00000000">
        <w:rPr>
          <w:rFonts w:ascii="Palatino Linotype" w:cs="Palatino Linotype" w:eastAsia="Palatino Linotype" w:hAnsi="Palatino Linotype"/>
          <w:color w:val="000000"/>
          <w:rtl w:val="0"/>
        </w:rPr>
        <w:t xml:space="preserve">Documento de una foja, consistente en un oficio signado por la Directora de Ingresos, mediante el cual remite su respuesta a la solicitud de información, medularmente en los términos siguientes: </w:t>
      </w:r>
    </w:p>
    <w:p w:rsidR="00000000" w:rsidDel="00000000" w:rsidP="00000000" w:rsidRDefault="00000000" w:rsidRPr="00000000" w14:paraId="0000000F">
      <w:pPr>
        <w:spacing w:after="240" w:before="240" w:line="360" w:lineRule="auto"/>
        <w:ind w:right="142"/>
        <w:jc w:val="both"/>
        <w:rPr>
          <w:rFonts w:ascii="Palatino Linotype" w:cs="Palatino Linotype" w:eastAsia="Palatino Linotype" w:hAnsi="Palatino Linotype"/>
          <w:color w:val="000000"/>
        </w:rPr>
      </w:pPr>
      <w:r w:rsidDel="00000000" w:rsidR="00000000" w:rsidRPr="00000000">
        <w:rPr/>
        <w:pict>
          <v:shape id="_x0000_i1026" style="width:439.5pt;height:572.25pt" o:ole="" type="#_x0000_t75">
            <v:imagedata r:id="rId3" o:title=""/>
          </v:shape>
          <o:OLEObject DrawAspect="Content" r:id="rId4" ObjectID="_1718632553" ProgID="PBrush" ShapeID="_x0000_i1026" Type="Embed"/>
        </w:pict>
      </w: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la respuesta,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interpuso el recurso de revisión materia del presente estudio el día </w:t>
      </w:r>
      <w:r w:rsidDel="00000000" w:rsidR="00000000" w:rsidRPr="00000000">
        <w:rPr>
          <w:rFonts w:ascii="Palatino Linotype" w:cs="Palatino Linotype" w:eastAsia="Palatino Linotype" w:hAnsi="Palatino Linotype"/>
          <w:b w:val="1"/>
          <w:rtl w:val="0"/>
        </w:rPr>
        <w:t xml:space="preserve">tres de marzo de dos mil veintidós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el que expresó lo siguiente: </w:t>
      </w:r>
      <w:r w:rsidDel="00000000" w:rsidR="00000000" w:rsidRPr="00000000">
        <w:rPr>
          <w:rtl w:val="0"/>
        </w:rPr>
      </w:r>
    </w:p>
    <w:p w:rsidR="00000000" w:rsidDel="00000000" w:rsidP="00000000" w:rsidRDefault="00000000" w:rsidRPr="00000000" w14:paraId="00000010">
      <w:pPr>
        <w:spacing w:after="240" w:before="240" w:line="36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Acto impugnado: </w:t>
      </w:r>
      <w:r w:rsidDel="00000000" w:rsidR="00000000" w:rsidRPr="00000000">
        <w:rPr>
          <w:rtl w:val="0"/>
        </w:rPr>
      </w:r>
    </w:p>
    <w:p w:rsidR="00000000" w:rsidDel="00000000" w:rsidP="00000000" w:rsidRDefault="00000000" w:rsidRPr="00000000" w14:paraId="00000011">
      <w:pPr>
        <w:spacing w:after="240" w:before="240"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“falta información” (Sic)</w:t>
      </w:r>
    </w:p>
    <w:p w:rsidR="00000000" w:rsidDel="00000000" w:rsidP="00000000" w:rsidRDefault="00000000" w:rsidRPr="00000000" w14:paraId="00000012">
      <w:pPr>
        <w:spacing w:after="240" w:before="240" w:line="360" w:lineRule="auto"/>
        <w:ind w:left="567"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3">
      <w:pPr>
        <w:spacing w:after="240" w:before="240" w:line="360" w:lineRule="auto"/>
        <w:ind w:left="567"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fue omiso en expresar razones o motivos de inconformidad </w:t>
      </w:r>
    </w:p>
    <w:p w:rsidR="00000000" w:rsidDel="00000000" w:rsidP="00000000" w:rsidRDefault="00000000" w:rsidRPr="00000000" w14:paraId="00000014">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5">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del Recurso.</w:t>
      </w:r>
      <w:r w:rsidDel="00000000" w:rsidR="00000000" w:rsidRPr="00000000">
        <w:rPr>
          <w:rFonts w:ascii="Palatino Linotype" w:cs="Palatino Linotype" w:eastAsia="Palatino Linotype" w:hAnsi="Palatino Linotype"/>
          <w:rtl w:val="0"/>
        </w:rPr>
        <w:t xml:space="preserve"> El día</w:t>
      </w:r>
      <w:r w:rsidDel="00000000" w:rsidR="00000000" w:rsidRPr="00000000">
        <w:rPr>
          <w:rFonts w:ascii="Palatino Linotype" w:cs="Palatino Linotype" w:eastAsia="Palatino Linotype" w:hAnsi="Palatino Linotype"/>
          <w:b w:val="1"/>
          <w:rtl w:val="0"/>
        </w:rPr>
        <w:t xml:space="preserve"> ocho de marzo de dos mil veintidós </w:t>
      </w:r>
      <w:r w:rsidDel="00000000" w:rsidR="00000000" w:rsidRPr="00000000">
        <w:rPr>
          <w:rFonts w:ascii="Palatino Linotype" w:cs="Palatino Linotype" w:eastAsia="Palatino Linotype" w:hAnsi="Palatino Linotype"/>
          <w:rtl w:val="0"/>
        </w:rPr>
        <w:t xml:space="preserve">se admitió a trámite el presente recurso de revisión a efecto de integrar el expediente respectivo; fue puesto a disposición de las partes por siete días hábiles para que ofrecieran pruebas y manifestaran lo que a su derecho convenga.</w:t>
      </w:r>
    </w:p>
    <w:p w:rsidR="00000000" w:rsidDel="00000000" w:rsidP="00000000" w:rsidRDefault="00000000" w:rsidRPr="00000000" w14:paraId="00000016">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constancias del expediente electrónico del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 asimismo por cuanto hace al particular, se tiene que no emitió alegatos o pronunciamiento alguno, por lo que se tiene por precluido su derecho para tal efecto.</w:t>
      </w:r>
    </w:p>
    <w:p w:rsidR="00000000" w:rsidDel="00000000" w:rsidP="00000000" w:rsidRDefault="00000000" w:rsidRPr="00000000" w14:paraId="00000017">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581015" cy="2044700"/>
            <wp:effectExtent b="0" l="0" r="0" t="0"/>
            <wp:docPr id="9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58101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after="240" w:before="240" w:line="360" w:lineRule="auto"/>
        <w:ind w:right="49"/>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veintisiete de mayo de dos mil veintidós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Del="00000000" w:rsidR="00000000" w:rsidRPr="00000000">
        <w:rPr>
          <w:rFonts w:ascii="Palatino Linotype" w:cs="Palatino Linotype" w:eastAsia="Palatino Linotype" w:hAnsi="Palatino Linotype"/>
          <w:b w:val="1"/>
          <w:rtl w:val="0"/>
        </w:rPr>
        <w:t xml:space="preserve">uno</w:t>
      </w:r>
      <w:r w:rsidDel="00000000" w:rsidR="00000000" w:rsidRPr="00000000">
        <w:rPr>
          <w:rFonts w:ascii="Palatino Linotype" w:cs="Palatino Linotype" w:eastAsia="Palatino Linotype" w:hAnsi="Palatino Linotype"/>
          <w:b w:val="1"/>
          <w:color w:val="000000"/>
          <w:rtl w:val="0"/>
        </w:rPr>
        <w:t xml:space="preserve"> de junio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se procedió a decretar el cierre de instrucción respectivo.</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B">
      <w:pPr>
        <w:spacing w:after="240" w:before="24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CONSIDERANDO</w:t>
      </w:r>
    </w:p>
    <w:p w:rsidR="00000000" w:rsidDel="00000000" w:rsidP="00000000" w:rsidRDefault="00000000" w:rsidRPr="00000000" w14:paraId="0000001C">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Competencia.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highlight w:val="white"/>
          <w:rtl w:val="0"/>
        </w:rPr>
        <w:t xml:space="preserve">la parte 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en fecha </w:t>
      </w:r>
      <w:r w:rsidDel="00000000" w:rsidR="00000000" w:rsidRPr="00000000">
        <w:rPr>
          <w:rFonts w:ascii="Palatino Linotype" w:cs="Palatino Linotype" w:eastAsia="Palatino Linotype" w:hAnsi="Palatino Linotype"/>
          <w:b w:val="1"/>
          <w:rtl w:val="0"/>
        </w:rPr>
        <w:t xml:space="preserve">once de febrero del año dos mil veintidós</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rtl w:val="0"/>
        </w:rPr>
        <w:t xml:space="preserve">tres de marzo de dos mil veintidós</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décimo tercer día hábil</w:t>
      </w:r>
      <w:r w:rsidDel="00000000" w:rsidR="00000000" w:rsidRPr="00000000">
        <w:rPr>
          <w:rFonts w:ascii="Palatino Linotype" w:cs="Palatino Linotype" w:eastAsia="Palatino Linotype" w:hAnsi="Palatino Linotype"/>
          <w:rtl w:val="0"/>
        </w:rPr>
        <w:t xml:space="preserve"> en el que tuvo conocimiento de la respuesta. </w:t>
      </w:r>
    </w:p>
    <w:p w:rsidR="00000000" w:rsidDel="00000000" w:rsidP="00000000" w:rsidRDefault="00000000" w:rsidRPr="00000000" w14:paraId="0000001E">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por cuanto hace a la procedibilidad de</w:t>
      </w:r>
      <w:r w:rsidDel="00000000" w:rsidR="00000000" w:rsidRPr="00000000">
        <w:rPr>
          <w:rFonts w:ascii="Palatino Linotype" w:cs="Palatino Linotype" w:eastAsia="Palatino Linotype" w:hAnsi="Palatino Linotype"/>
          <w:rtl w:val="0"/>
        </w:rPr>
        <w:t xml:space="preserve">l </w:t>
      </w:r>
      <w:r w:rsidDel="00000000" w:rsidR="00000000" w:rsidRPr="00000000">
        <w:rPr>
          <w:rFonts w:ascii="Palatino Linotype" w:cs="Palatino Linotype" w:eastAsia="Palatino Linotype" w:hAnsi="Palatino Linotype"/>
          <w:color w:val="000000"/>
          <w:rtl w:val="0"/>
        </w:rPr>
        <w:t xml:space="preserve"> recurso de </w:t>
      </w:r>
      <w:r w:rsidDel="00000000" w:rsidR="00000000" w:rsidRPr="00000000">
        <w:rPr>
          <w:rFonts w:ascii="Palatino Linotype" w:cs="Palatino Linotype" w:eastAsia="Palatino Linotype" w:hAnsi="Palatino Linotype"/>
          <w:rtl w:val="0"/>
        </w:rPr>
        <w:t xml:space="preserve">revisión</w:t>
      </w:r>
      <w:r w:rsidDel="00000000" w:rsidR="00000000" w:rsidRPr="00000000">
        <w:rPr>
          <w:rFonts w:ascii="Palatino Linotype" w:cs="Palatino Linotype" w:eastAsia="Palatino Linotype" w:hAnsi="Palatino Linotype"/>
          <w:color w:val="000000"/>
          <w:rtl w:val="0"/>
        </w:rPr>
        <w:t xml:space="preserve">, es de suma importancia señalar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no señaló nombre completo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40" w:before="240"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22">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 </w:t>
      </w:r>
    </w:p>
    <w:p w:rsidR="00000000" w:rsidDel="00000000" w:rsidP="00000000" w:rsidRDefault="00000000" w:rsidRPr="00000000" w14:paraId="00000023">
      <w:pPr>
        <w:spacing w:after="240" w:before="240"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 La negativa a la información solicitada;</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24">
      <w:pPr>
        <w:spacing w:after="240" w:before="240" w:line="276" w:lineRule="auto"/>
        <w:ind w:right="615"/>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Recurrente, o en su defecto, en caso de ser procedente, ordenar la entrega de información oportuna.</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27">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28">
      <w:pPr>
        <w:tabs>
          <w:tab w:val="left" w:pos="709"/>
        </w:tabs>
        <w:spacing w:after="240" w:before="240" w:line="276"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29">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2A">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B">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2C">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D">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2E">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2F">
      <w:pPr>
        <w:spacing w:after="240" w:before="240"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30">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31">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32">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33">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34">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6">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7">
      <w:pPr>
        <w:spacing w:after="240" w:before="240" w:line="276"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8">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3A">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B">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w:t>
      </w:r>
      <w:r w:rsidDel="00000000" w:rsidR="00000000" w:rsidRPr="00000000">
        <w:rPr>
          <w:rFonts w:ascii="Palatino Linotype" w:cs="Palatino Linotype" w:eastAsia="Palatino Linotype" w:hAnsi="Palatino Linotype"/>
          <w:rtl w:val="0"/>
        </w:rPr>
        <w:t xml:space="preserve">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3D">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3E">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3F">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3">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4">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5">
      <w:pPr>
        <w:spacing w:after="240" w:before="240"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7">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48">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9">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240" w:before="240" w:line="276"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240" w:before="240" w:line="276"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4C">
      <w:pPr>
        <w:spacing w:after="240" w:before="240" w:line="276" w:lineRule="auto"/>
        <w:ind w:left="567" w:right="567"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profundizar en el estudio del presente asunto, es conveniente recordar que la parte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tabs>
          <w:tab w:val="left" w:pos="7513"/>
        </w:tabs>
        <w:spacing w:after="240" w:before="240" w:line="360" w:lineRule="auto"/>
        <w:ind w:left="720" w:right="851"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Los ingresos que recibió el municipio en el mes de agosto de 2019</w:t>
      </w:r>
    </w:p>
    <w:p w:rsidR="00000000" w:rsidDel="00000000" w:rsidP="00000000" w:rsidRDefault="00000000" w:rsidRPr="00000000" w14:paraId="00000050">
      <w:pPr>
        <w:tabs>
          <w:tab w:val="left" w:pos="7513"/>
        </w:tabs>
        <w:spacing w:after="240" w:before="24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Al respecto,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por conducto de la Directora de Ingresos que </w:t>
      </w:r>
      <w:r w:rsidDel="00000000" w:rsidR="00000000" w:rsidRPr="00000000">
        <w:rPr>
          <w:rFonts w:ascii="Palatino Linotype" w:cs="Palatino Linotype" w:eastAsia="Palatino Linotype" w:hAnsi="Palatino Linotype"/>
          <w:b w:val="1"/>
          <w:u w:val="single"/>
          <w:rtl w:val="0"/>
        </w:rPr>
        <w:t xml:space="preserve">esta administración pública municipal dio inicio el día 1 de enero del año dos mil veintidós, por lo que la información que solicita la puede requerir al Órgano Superior de Fiscalización del Estado de México, pues corresponde a la administración municipal anterior (2019-2021).</w:t>
      </w:r>
    </w:p>
    <w:p w:rsidR="00000000" w:rsidDel="00000000" w:rsidP="00000000" w:rsidRDefault="00000000" w:rsidRPr="00000000" w14:paraId="00000051">
      <w:pPr>
        <w:tabs>
          <w:tab w:val="left" w:pos="7513"/>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conocida esta respuesta, el particular se inconformó ante este Instituto por la falta de información; posterior a la admisión, se les concedió un plazo de siete días hábiles para efecto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rindiera su informe justificado y el Recurrente emitiera manifestaciones, alegatos o cualquier pronunciamiento que a su derecho conviniera, resultando ambos omisos, por lo que se tiene por precluida esta etapa procesal y se continúa con el trámite de este medio de impugnación.</w:t>
      </w:r>
    </w:p>
    <w:p w:rsidR="00000000" w:rsidDel="00000000" w:rsidP="00000000" w:rsidRDefault="00000000" w:rsidRPr="00000000" w14:paraId="00000052">
      <w:pPr>
        <w:tabs>
          <w:tab w:val="left" w:pos="7513"/>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primera instancia, resulta importante resaltar que la presente solicitud fue turnada a la Directora de Ingresos, la cual se encuentra adscrita a la Tesorería Municipal, sirven de ilustración las siguientes capturas de pantalla referentes a la pantalla de requerimientos del SAIMEX y la información de los servidores públicos con la que cuenta el Sujeto Obligado en el portal de Información Pública de Oficio Mexiquense (IPOMEX): </w:t>
      </w:r>
    </w:p>
    <w:p w:rsidR="00000000" w:rsidDel="00000000" w:rsidP="00000000" w:rsidRDefault="00000000" w:rsidRPr="00000000" w14:paraId="00000053">
      <w:pPr>
        <w:tabs>
          <w:tab w:val="left" w:pos="7513"/>
        </w:tabs>
        <w:spacing w:after="240" w:before="240" w:line="360" w:lineRule="auto"/>
        <w:ind w:right="49"/>
        <w:jc w:val="both"/>
        <w:rPr/>
      </w:pPr>
      <w:r w:rsidDel="00000000" w:rsidR="00000000" w:rsidRPr="00000000">
        <w:rPr/>
        <w:pict>
          <v:shape id="_x0000_i1027" style="width:467.25pt;height:49.5pt" o:ole="" type="#_x0000_t75">
            <v:imagedata r:id="rId5" o:title=""/>
          </v:shape>
          <o:OLEObject DrawAspect="Content" r:id="rId6" ObjectID="_1718632554" ProgID="PBrush" ShapeID="_x0000_i1027"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50800</wp:posOffset>
                </wp:positionV>
                <wp:extent cx="733425" cy="447675"/>
                <wp:effectExtent b="0" l="0" r="0" t="0"/>
                <wp:wrapNone/>
                <wp:docPr id="91" name=""/>
                <a:graphic>
                  <a:graphicData uri="http://schemas.microsoft.com/office/word/2010/wordprocessingShape">
                    <wps:wsp>
                      <wps:cNvSpPr/>
                      <wps:cNvPr id="3" name="Shape 3"/>
                      <wps:spPr>
                        <a:xfrm>
                          <a:off x="5007863" y="3584738"/>
                          <a:ext cx="676275" cy="390525"/>
                        </a:xfrm>
                        <a:prstGeom prst="rect">
                          <a:avLst/>
                        </a:prstGeom>
                        <a:noFill/>
                        <a:ln cap="flat" cmpd="sng" w="19050">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50800</wp:posOffset>
                </wp:positionV>
                <wp:extent cx="733425" cy="447675"/>
                <wp:effectExtent b="0" l="0" r="0" t="0"/>
                <wp:wrapNone/>
                <wp:docPr id="91"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733425" cy="447675"/>
                        </a:xfrm>
                        <a:prstGeom prst="rect"/>
                        <a:ln/>
                      </pic:spPr>
                    </pic:pic>
                  </a:graphicData>
                </a:graphic>
              </wp:anchor>
            </w:drawing>
          </mc:Fallback>
        </mc:AlternateContent>
      </w:r>
    </w:p>
    <w:p w:rsidR="00000000" w:rsidDel="00000000" w:rsidP="00000000" w:rsidRDefault="00000000" w:rsidRPr="00000000" w14:paraId="00000054">
      <w:pPr>
        <w:tabs>
          <w:tab w:val="left" w:pos="7513"/>
        </w:tabs>
        <w:spacing w:after="240" w:before="240" w:line="360" w:lineRule="auto"/>
        <w:ind w:right="49"/>
        <w:jc w:val="center"/>
        <w:rPr>
          <w:rFonts w:ascii="Palatino Linotype" w:cs="Palatino Linotype" w:eastAsia="Palatino Linotype" w:hAnsi="Palatino Linotype"/>
        </w:rPr>
      </w:pPr>
      <w:r w:rsidDel="00000000" w:rsidR="00000000" w:rsidRPr="00000000">
        <w:rPr/>
        <w:pict>
          <v:shape id="_x0000_i1028" style="width:478.5pt;height:156.75pt" o:ole="" type="#_x0000_t75">
            <v:imagedata r:id="rId7" o:title=""/>
          </v:shape>
          <o:OLEObject DrawAspect="Content" r:id="rId8" ObjectID="_1718632555" ProgID="PBrush" ShapeID="_x0000_i1028"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812800</wp:posOffset>
                </wp:positionV>
                <wp:extent cx="5857875" cy="209550"/>
                <wp:effectExtent b="0" l="0" r="0" t="0"/>
                <wp:wrapNone/>
                <wp:docPr id="90" name=""/>
                <a:graphic>
                  <a:graphicData uri="http://schemas.microsoft.com/office/word/2010/wordprocessingShape">
                    <wps:wsp>
                      <wps:cNvSpPr/>
                      <wps:cNvPr id="2" name="Shape 2"/>
                      <wps:spPr>
                        <a:xfrm>
                          <a:off x="2459925" y="3718088"/>
                          <a:ext cx="5772150" cy="123825"/>
                        </a:xfrm>
                        <a:prstGeom prst="rect">
                          <a:avLst/>
                        </a:prstGeom>
                        <a:noFill/>
                        <a:ln cap="flat" cmpd="sng" w="28575">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812800</wp:posOffset>
                </wp:positionV>
                <wp:extent cx="5857875" cy="209550"/>
                <wp:effectExtent b="0" l="0" r="0" t="0"/>
                <wp:wrapNone/>
                <wp:docPr id="90"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5857875" cy="209550"/>
                        </a:xfrm>
                        <a:prstGeom prst="rect"/>
                        <a:ln/>
                      </pic:spPr>
                    </pic:pic>
                  </a:graphicData>
                </a:graphic>
              </wp:anchor>
            </w:drawing>
          </mc:Fallback>
        </mc:AlternateConten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este línea de pensamiento resulta importante señalar que si bien es cierto, se manifestó el servidor público habilitado competente para dar respuesta, no menos cierto es que no se colmó a cabalidad el derecho de acceso a la información pública, toda vez que únicamente se limitó a referir que esta administración pública municipal dio inicio el día 1 de enero del año dos mil veintidós, por lo que la información que solicita la puede requerir al Órgano Superior de Fiscalización del Estado de México, pues corresponde a la administración municipal anterior (2019-2021), sin que pronuncie de manera clara y precisa si realizó la búsqueda exhaustiva y razonable de la información en los archivos físicos y electrónicos que obran en su poder, tanto en el archivo de trámite, como de concentración, por lo que se concluye que este pronunciamiento del Sujeto Obligado Expuesto lo anterior, conviene iniciar señalando que toda vez que se requirió información del ejercicio fiscal 2019, resulta pertinente traer a colación lo previsto por la Guía Metodológica para el Seguimiento y Evaluación del Plan de Desarrollo Municipal vigente para el ejercicio fiscal 2019, el cual fue publicado en el periódico oficial “Gaceta de Gobierno”, el seis de noviembre de dos mil dieciocho, este Informe menciona que el formato PbRM 09 b debe ser parte del Informe Mensual Presupuestal de los municipios y dicho Informe es la herramienta para dar seguimiento a la ejecución del presupuesto de egresos municipal de conformidad con el artículo 32 de la Ley de Fiscalización Superior del Estado de México: </w:t>
      </w:r>
    </w:p>
    <w:p w:rsidR="00000000" w:rsidDel="00000000" w:rsidP="00000000" w:rsidRDefault="00000000" w:rsidRPr="00000000" w14:paraId="00000056">
      <w:pPr>
        <w:tabs>
          <w:tab w:val="left" w:pos="7513"/>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guía referida con antelación se observa lo siguiente: </w:t>
      </w:r>
    </w:p>
    <w:p w:rsidR="00000000" w:rsidDel="00000000" w:rsidP="00000000" w:rsidRDefault="00000000" w:rsidRPr="00000000" w14:paraId="00000057">
      <w:pPr>
        <w:tabs>
          <w:tab w:val="left" w:pos="7513"/>
        </w:tabs>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informe debe contener los siguientes formatos: </w:t>
      </w:r>
    </w:p>
    <w:p w:rsidR="00000000" w:rsidDel="00000000" w:rsidP="00000000" w:rsidRDefault="00000000" w:rsidRPr="00000000" w14:paraId="00000058">
      <w:pPr>
        <w:tabs>
          <w:tab w:val="left" w:pos="7513"/>
        </w:tabs>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Avance Presupuestal de Ingresos (PbRM 09a), se identifican las posibles modificaciones al Presupuesto Definitivo de Ingresos por concepto, reflejando los momentos contables del ingreso, </w:t>
      </w:r>
      <w:r w:rsidDel="00000000" w:rsidR="00000000" w:rsidRPr="00000000">
        <w:rPr>
          <w:rFonts w:ascii="Palatino Linotype" w:cs="Palatino Linotype" w:eastAsia="Palatino Linotype" w:hAnsi="Palatino Linotype"/>
          <w:b w:val="1"/>
          <w:i w:val="1"/>
          <w:sz w:val="22"/>
          <w:szCs w:val="22"/>
          <w:u w:val="single"/>
          <w:rtl w:val="0"/>
        </w:rPr>
        <w:t xml:space="preserve">el Estado Comparativo Presupuestal de Ingresos (PbRM 09b): en este formato se deberán registrar los movimientos de los ingresos del ejercicio mensual, a través de la comparación del ingreso acumulado al mes reportado</w:t>
      </w:r>
      <w:r w:rsidDel="00000000" w:rsidR="00000000" w:rsidRPr="00000000">
        <w:rPr>
          <w:rFonts w:ascii="Palatino Linotype" w:cs="Palatino Linotype" w:eastAsia="Palatino Linotype" w:hAnsi="Palatino Linotype"/>
          <w:i w:val="1"/>
          <w:sz w:val="22"/>
          <w:szCs w:val="22"/>
          <w:rtl w:val="0"/>
        </w:rPr>
        <w:t xml:space="preserve">, el Avance Presupuestal de Egresos Detallado (PbRM 10a) y el Avance Presupuestal de Egresos (PbRM 10b): los cuales reflejan los movimientos del presupuesto por proyecto, partida específica y presupuesto modificado, igualmente, el Estado Comparativo Presupuestal de Egresos (PbRM 10c), en el que se registran los movimientos de los egresos ejercidos de manera mensual, a través de la comparación del egreso acumulado al mes reportado.” (Sic) (Énfasis añadido)</w:t>
      </w:r>
    </w:p>
    <w:p w:rsidR="00000000" w:rsidDel="00000000" w:rsidP="00000000" w:rsidRDefault="00000000" w:rsidRPr="00000000" w14:paraId="00000059">
      <w:pPr>
        <w:tabs>
          <w:tab w:val="left" w:pos="751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forma que el Estado Comparativo de Ingresos, de manera enunciativa más no limitativa, es el documento idóneo para registrar los movimientos de los ingresos del ejercicio mensual, a través de la comparación del ingreso acumulado al mes reportado. </w:t>
      </w:r>
    </w:p>
    <w:p w:rsidR="00000000" w:rsidDel="00000000" w:rsidP="00000000" w:rsidRDefault="00000000" w:rsidRPr="00000000" w14:paraId="0000005A">
      <w:pPr>
        <w:tabs>
          <w:tab w:val="left" w:pos="751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formato debe integrarse conforme a lo previsto por los Lineamientos Para la Entrega del Informe Mensual Municipal 2019:</w:t>
      </w:r>
    </w:p>
    <w:p w:rsidR="00000000" w:rsidDel="00000000" w:rsidP="00000000" w:rsidRDefault="00000000" w:rsidRPr="00000000" w14:paraId="0000005B">
      <w:pPr>
        <w:tabs>
          <w:tab w:val="left" w:pos="7513"/>
        </w:tabs>
        <w:spacing w:after="240" w:before="240" w:line="360" w:lineRule="auto"/>
        <w:jc w:val="both"/>
        <w:rPr/>
      </w:pPr>
      <w:r w:rsidDel="00000000" w:rsidR="00000000" w:rsidRPr="00000000">
        <w:rPr/>
        <w:pict>
          <v:shape id="_x0000_i1029" style="width:444pt;height:342.75pt" o:ole="" type="#_x0000_t75">
            <v:imagedata r:id="rId9" o:title=""/>
          </v:shape>
          <o:OLEObject DrawAspect="Content" r:id="rId10" ObjectID="_1718632556" ProgID="PBrush" ShapeID="_x0000_i1029" Type="Embed"/>
        </w:pict>
      </w:r>
      <w:r w:rsidDel="00000000" w:rsidR="00000000" w:rsidRPr="00000000">
        <w:rPr>
          <w:rtl w:val="0"/>
        </w:rPr>
      </w:r>
    </w:p>
    <w:p w:rsidR="00000000" w:rsidDel="00000000" w:rsidP="00000000" w:rsidRDefault="00000000" w:rsidRPr="00000000" w14:paraId="0000005C">
      <w:pPr>
        <w:tabs>
          <w:tab w:val="left" w:pos="751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cuadro insertado con antelación, se advierte que la finalidad del formato PbRM 09b es la de conocer la integración mensual por concepto de ingresos autorizados y recaudados, así como lo acumulado al mes autorizado y ejercido, así como su variación, de tal manera que permita analizar su contenido. Asimismo contiene el periodo que comprende el informe del estado comparativo. </w:t>
      </w:r>
    </w:p>
    <w:p w:rsidR="00000000" w:rsidDel="00000000" w:rsidP="00000000" w:rsidRDefault="00000000" w:rsidRPr="00000000" w14:paraId="0000005D">
      <w:pPr>
        <w:tabs>
          <w:tab w:val="left" w:pos="751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resulta vital expresar que si bien es cierto, se trata de información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remite al Órgano Superior de Fiscalización del Estado de México de manera mensual, no pasa desapercibido, para este Organismo Garante, que la misma fue generada por el Sujeto Obligado, por lo que debe obrar en sus archivos, por lo tanto, resulta pertinente agotar la búsqueda exhaustiva y razonable al interior de los archivos del </w:t>
      </w:r>
      <w:r w:rsidDel="00000000" w:rsidR="00000000" w:rsidRPr="00000000">
        <w:rPr>
          <w:rFonts w:ascii="Palatino Linotype" w:cs="Palatino Linotype" w:eastAsia="Palatino Linotype" w:hAnsi="Palatino Linotype"/>
          <w:b w:val="1"/>
          <w:rtl w:val="0"/>
        </w:rPr>
        <w:t xml:space="preserve">Ayuntamiento de Chimalhuacán</w:t>
      </w:r>
      <w:r w:rsidDel="00000000" w:rsidR="00000000" w:rsidRPr="00000000">
        <w:rPr>
          <w:rFonts w:ascii="Palatino Linotype" w:cs="Palatino Linotype" w:eastAsia="Palatino Linotype" w:hAnsi="Palatino Linotype"/>
          <w:rtl w:val="0"/>
        </w:rPr>
        <w:t xml:space="preserve">, por ello se insiste que no se colmó este punto de la solicitud y será el motivo por el cual deberá  realizar una nueva búsqueda en los archivos de la Dirección de Ingresos, en razón de que es la unidad competente, a efecto de que proporcione los documentos donde conste lo peticionado por el particular. </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000000" w:rsidDel="00000000" w:rsidP="00000000" w:rsidRDefault="00000000" w:rsidRPr="00000000" w14:paraId="0000005F">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“Cuarto.</w:t>
      </w:r>
    </w:p>
    <w:p w:rsidR="00000000" w:rsidDel="00000000" w:rsidP="00000000" w:rsidRDefault="00000000" w:rsidRPr="00000000" w14:paraId="00000060">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1">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Archivo: El conjunto orgánico de documentos en cualquier soporte, que son producidos o recibidos por los sujetos obligados o los particulares en el ejercicio de sus atribuciones o en el desarrollo de sus actividades;</w:t>
      </w:r>
    </w:p>
    <w:p w:rsidR="00000000" w:rsidDel="00000000" w:rsidP="00000000" w:rsidRDefault="00000000" w:rsidRPr="00000000" w14:paraId="00000062">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Archivo de concentración: La unidad de la administración de documentos cuya consulta es esporádica y que permanecen en ella hasta su transferencia secundaria o baja documental;</w:t>
      </w:r>
    </w:p>
    <w:p w:rsidR="00000000" w:rsidDel="00000000" w:rsidP="00000000" w:rsidRDefault="00000000" w:rsidRPr="00000000" w14:paraId="00000063">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Archivo histórico. La unidad responsable de la administración de los documentos de conservación permanente y que son fuente de acceso público;</w:t>
      </w:r>
    </w:p>
    <w:p w:rsidR="00000000" w:rsidDel="00000000" w:rsidP="00000000" w:rsidRDefault="00000000" w:rsidRPr="00000000" w14:paraId="00000064">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Archivo de trámite: La unidad responsable de la administración de documentos de uso cotidiano y necesario para el ejercicio de las atribuciones de una unidad administrativa, los cuales permanecen en ella hasta su transferencia primaria;</w:t>
      </w:r>
    </w:p>
    <w:p w:rsidR="00000000" w:rsidDel="00000000" w:rsidP="00000000" w:rsidRDefault="00000000" w:rsidRPr="00000000" w14:paraId="00000065">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Baja documental. La eliminación de aquella documentación que haya prescrito en sus valores administrativos, legales, fiscales, contables, y que no contenga valores históricos;</w:t>
      </w:r>
    </w:p>
    <w:p w:rsidR="00000000" w:rsidDel="00000000" w:rsidP="00000000" w:rsidRDefault="00000000" w:rsidRPr="00000000" w14:paraId="00000066">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7">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Ciclo vital del documento: La etapas de los documentos desde su producción o recepción hasta su baja o transferencia a un archivo histórico;</w:t>
      </w:r>
    </w:p>
    <w:p w:rsidR="00000000" w:rsidDel="00000000" w:rsidP="00000000" w:rsidRDefault="00000000" w:rsidRPr="00000000" w14:paraId="00000068">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9">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000000" w:rsidDel="00000000" w:rsidP="00000000" w:rsidRDefault="00000000" w:rsidRPr="00000000" w14:paraId="0000006A">
      <w:pPr>
        <w:spacing w:after="240" w:before="24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los artículos 30 y 31 de la Ley de Archivos y Administración de Documentos del Estado de México y Municipios, prevén que los sujetos obligados deberán contar con un archivo de trámite y uno de concentración, los cuales atenderán a lo siguiente: </w:t>
      </w:r>
    </w:p>
    <w:p w:rsidR="00000000" w:rsidDel="00000000" w:rsidP="00000000" w:rsidRDefault="00000000" w:rsidRPr="00000000" w14:paraId="0000006D">
      <w:pPr>
        <w:spacing w:after="240" w:before="240"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“Artículo 30. </w:t>
      </w:r>
      <w:r w:rsidDel="00000000" w:rsidR="00000000" w:rsidRPr="00000000">
        <w:rPr>
          <w:rFonts w:ascii="Palatino Linotype" w:cs="Palatino Linotype" w:eastAsia="Palatino Linotype" w:hAnsi="Palatino Linotype"/>
          <w:b w:val="1"/>
          <w:i w:val="1"/>
          <w:sz w:val="22"/>
          <w:szCs w:val="22"/>
          <w:rtl w:val="0"/>
        </w:rPr>
        <w:t xml:space="preserve">Cada área o unidad administrativa debe contar con un Archivo de Trámite que tendrá las siguientes funciones: </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Integrar y organizar los Expedientes que cada área o unidad, produzca, use y reciba; </w:t>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Asegurar la localización y consulta de los Expedientes mediante la elaboración de los Inventarios Documentales; </w:t>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Resguardar los Archivos y la información que haya sido clasificada de acuerdo con la legislación en materia de transparencia y acceso a la información pública, en tanto conserve tal carácter; </w:t>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Colaborar con el Área Coordinadora de Archivos en la elaboración de los Instrumentos de Control Archivístico previstos en esta Ley y sus disposiciones reglamentarias; </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Trabajar de acuerdo con los criterios específicos y recomendaciones dictados por el Consejo Estatal y el Área Coordinadora de Archivos; </w:t>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Realizar las Transferencias Primarias, y </w:t>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que establezcan las disposiciones jurídicas aplicables. Las personas responsables de los Archivos de Trámite deben contar con los conocimientos, habilidades, competencias y experiencia archivísticos acordes a su responsabilidad; de no ser así, las y los titulares de las unidades administrativas tienen la obligación de establecer las condiciones que permitan la capacitación de los responsables para el buen funcionamiento de sus Archivos.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40" w:before="240" w:line="276" w:lineRule="auto"/>
        <w:ind w:left="567"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31. Cada Sujeto Obligado debe contar con un Archivo de Concentración, que tendrá las siguientes funciones: </w:t>
      </w:r>
    </w:p>
    <w:p w:rsidR="00000000" w:rsidDel="00000000" w:rsidP="00000000" w:rsidRDefault="00000000" w:rsidRPr="00000000" w14:paraId="00000076">
      <w:pPr>
        <w:numPr>
          <w:ilvl w:val="0"/>
          <w:numId w:val="6"/>
        </w:numPr>
        <w:pBdr>
          <w:top w:space="0" w:sz="0" w:val="nil"/>
          <w:left w:space="0" w:sz="0" w:val="nil"/>
          <w:bottom w:space="0" w:sz="0" w:val="nil"/>
          <w:right w:space="0" w:sz="0" w:val="nil"/>
          <w:between w:space="0" w:sz="0" w:val="nil"/>
        </w:pBdr>
        <w:spacing w:after="240" w:before="24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Asegurar y describir los Fondos Documentales bajo su resguardo, así como la consulta de los Expedientes; </w:t>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Recibir las Transferencias Primarias y brindar servicios de préstamo y consulta a las unidades o áreas administrativas productoras de la documentación que resguarda; </w:t>
      </w:r>
    </w:p>
    <w:p w:rsidR="00000000" w:rsidDel="00000000" w:rsidP="00000000" w:rsidRDefault="00000000" w:rsidRPr="00000000" w14:paraId="00000078">
      <w:pPr>
        <w:numPr>
          <w:ilvl w:val="0"/>
          <w:numId w:val="6"/>
        </w:numPr>
        <w:pBdr>
          <w:top w:space="0" w:sz="0" w:val="nil"/>
          <w:left w:space="0" w:sz="0" w:val="nil"/>
          <w:bottom w:space="0" w:sz="0" w:val="nil"/>
          <w:right w:space="0" w:sz="0" w:val="nil"/>
          <w:between w:space="0" w:sz="0" w:val="nil"/>
        </w:pBdr>
        <w:spacing w:after="240" w:before="240" w:line="276" w:lineRule="auto"/>
        <w:ind w:left="567" w:right="851" w:hanging="425"/>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Conservar los Expedientes hasta cumplir su Vigencia Documental de acuerdo con lo establecido en el Catálogo de Disposición Documental; </w:t>
      </w:r>
    </w:p>
    <w:p w:rsidR="00000000" w:rsidDel="00000000" w:rsidP="00000000" w:rsidRDefault="00000000" w:rsidRPr="00000000" w14:paraId="00000079">
      <w:pPr>
        <w:numPr>
          <w:ilvl w:val="0"/>
          <w:numId w:val="6"/>
        </w:numPr>
        <w:pBdr>
          <w:top w:space="0" w:sz="0" w:val="nil"/>
          <w:left w:space="0" w:sz="0" w:val="nil"/>
          <w:bottom w:space="0" w:sz="0" w:val="nil"/>
          <w:right w:space="0" w:sz="0" w:val="nil"/>
          <w:between w:space="0" w:sz="0" w:val="nil"/>
        </w:pBdr>
        <w:spacing w:after="240" w:before="240" w:line="276" w:lineRule="auto"/>
        <w:ind w:left="567" w:right="851" w:hanging="141"/>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Colaborar con el Área Coordinadora de Archivos en la elaboración de los Instrumentos de Control Archivístico previstos en esta Ley y en sus disposiciones reglamentarias;” (Sic) (Énfasis añadido)</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citado, se desprende que corresponde al Sujeto Obligado la integración y organización de los expedientes, así como la realización de transferencias primarias y posteriormente la conservación de los expedientes hasta cumplir su vigencia documental, para ello deberán observar lo que dispone el Catálogo de Disposición Documental. </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de vital importancia señalar que para efecto de determinar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aun cuenta con estos soportes documentales dentro de su archivo de trámite o de concentración, este Organismo Garante procedió a consultar el catálogo de disposición documental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tiene publicado en su página oficial, obteniendo así lo siguiente: </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pict>
          <v:shape id="_x0000_i1030" style="width:459pt;height:286.5pt" o:ole="" type="#_x0000_t75">
            <v:imagedata r:id="rId11" o:title=""/>
          </v:shape>
          <o:OLEObject DrawAspect="Content" r:id="rId12" ObjectID="_1718632557" ProgID="PBrush" ShapeID="_x0000_i1030" Type="Embed"/>
        </w:pict>
      </w:r>
      <w:r w:rsidDel="00000000" w:rsidR="00000000" w:rsidRPr="00000000">
        <w:rPr>
          <w:rFonts w:ascii="Palatino Linotype" w:cs="Palatino Linotype" w:eastAsia="Palatino Linotype" w:hAnsi="Palatino Linotype"/>
          <w:rtl w:val="0"/>
        </w:rPr>
        <w:t xml:space="preserve">De lo ilustrado con antelación, se vislumbra que estos documentos concernientes a los expedientes, aún son susceptibles de encontrarse en el archivo de trámite, toda vez que si su generación fue en septiembre de 2019, aun no es susceptible de transferencia primaria, por lo que, el Pleno de este Instituto considera que hizo falta agotar la búsqueda exhaustiva y razonable, ya que, por la antigüedad de la información (2019), se considera que dichos documentos, pudieran obrar en los archivos de la Dirección de Ingresos, en razón de sus atribuciones. </w:t>
      </w:r>
    </w:p>
    <w:p w:rsidR="00000000" w:rsidDel="00000000" w:rsidP="00000000" w:rsidRDefault="00000000" w:rsidRPr="00000000" w14:paraId="0000007D">
      <w:pPr>
        <w:spacing w:after="16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rtl w:val="0"/>
        </w:rPr>
        <w:t xml:space="preserve">Es por lo anterior que resulta dable revocar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ordenarle haga entrega del o de los documentos en donde conste lo siguiente: </w:t>
      </w:r>
      <w:r w:rsidDel="00000000" w:rsidR="00000000" w:rsidRPr="00000000">
        <w:rPr>
          <w:rFonts w:ascii="Palatino Linotype" w:cs="Palatino Linotype" w:eastAsia="Palatino Linotype" w:hAnsi="Palatino Linotype"/>
          <w:b w:val="1"/>
          <w:sz w:val="22"/>
          <w:szCs w:val="22"/>
          <w:rtl w:val="0"/>
        </w:rPr>
        <w:t xml:space="preserve">Documento donde consten los ingresos recibidos por el municipio durante el mes de agosto de 2019.</w:t>
      </w:r>
    </w:p>
    <w:p w:rsidR="00000000" w:rsidDel="00000000" w:rsidP="00000000" w:rsidRDefault="00000000" w:rsidRPr="00000000" w14:paraId="0000007E">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000000" w:rsidDel="00000000" w:rsidP="00000000" w:rsidRDefault="00000000" w:rsidRPr="00000000" w14:paraId="0000007F">
      <w:pPr>
        <w:numPr>
          <w:ilvl w:val="0"/>
          <w:numId w:val="3"/>
        </w:numPr>
        <w:spacing w:after="240" w:before="240" w:line="360" w:lineRule="auto"/>
        <w:ind w:left="284" w:hanging="426"/>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b w:val="1"/>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 </w:t>
      </w:r>
      <w:r w:rsidDel="00000000" w:rsidR="00000000" w:rsidRPr="00000000">
        <w:rPr>
          <w:rFonts w:ascii="Palatino Linotype" w:cs="Palatino Linotype" w:eastAsia="Palatino Linotype" w:hAnsi="Palatino Linotype"/>
          <w:rtl w:val="0"/>
        </w:rPr>
        <w:t xml:space="preserve">los motivos de inconformidad hechos valer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el recurso de revisión</w:t>
      </w:r>
      <w:r w:rsidDel="00000000" w:rsidR="00000000" w:rsidRPr="00000000">
        <w:rPr>
          <w:rFonts w:ascii="Palatino Linotype" w:cs="Palatino Linotype" w:eastAsia="Palatino Linotype" w:hAnsi="Palatino Linotype"/>
          <w:b w:val="1"/>
          <w:rtl w:val="0"/>
        </w:rPr>
        <w:t xml:space="preserve"> 03209/INFOEM/IP/RR/2022, </w:t>
      </w:r>
      <w:r w:rsidDel="00000000" w:rsidR="00000000" w:rsidRPr="00000000">
        <w:rPr>
          <w:rFonts w:ascii="Palatino Linotype" w:cs="Palatino Linotype" w:eastAsia="Palatino Linotype" w:hAnsi="Palatino Linotype"/>
          <w:rtl w:val="0"/>
        </w:rPr>
        <w:t xml:space="preserve">por lo que, en términos del</w:t>
      </w:r>
      <w:r w:rsidDel="00000000" w:rsidR="00000000" w:rsidRPr="00000000">
        <w:rPr>
          <w:rFonts w:ascii="Palatino Linotype" w:cs="Palatino Linotype" w:eastAsia="Palatino Linotype" w:hAnsi="Palatino Linotype"/>
          <w:b w:val="1"/>
          <w:rtl w:val="0"/>
        </w:rPr>
        <w:t xml:space="preserve"> Considerando Cuarto </w:t>
      </w:r>
      <w:r w:rsidDel="00000000" w:rsidR="00000000" w:rsidRPr="00000000">
        <w:rPr>
          <w:rFonts w:ascii="Palatino Linotype" w:cs="Palatino Linotype" w:eastAsia="Palatino Linotype" w:hAnsi="Palatino Linotype"/>
          <w:rtl w:val="0"/>
        </w:rPr>
        <w:t xml:space="preserve">de la presente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w:t>
      </w:r>
      <w:r w:rsidDel="00000000" w:rsidR="00000000" w:rsidRPr="00000000">
        <w:rPr>
          <w:rFonts w:ascii="Palatino Linotype" w:cs="Palatino Linotype" w:eastAsia="Palatino Linotype" w:hAnsi="Palatino Linotype"/>
          <w:b w:val="1"/>
          <w:rtl w:val="0"/>
        </w:rPr>
        <w:t xml:space="preserve"> Sujeto Obligado.</w:t>
      </w:r>
    </w:p>
    <w:p w:rsidR="00000000" w:rsidDel="00000000" w:rsidP="00000000" w:rsidRDefault="00000000" w:rsidRPr="00000000" w14:paraId="0000008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Ordena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haga entrega</w:t>
      </w:r>
      <w:r w:rsidDel="00000000" w:rsidR="00000000" w:rsidRPr="00000000">
        <w:rPr>
          <w:rFonts w:ascii="Palatino Linotype" w:cs="Palatino Linotype" w:eastAsia="Palatino Linotype" w:hAnsi="Palatino Linotype"/>
          <w:b w:val="1"/>
          <w:rtl w:val="0"/>
        </w:rPr>
        <w:t xml:space="preserve"> vía SAIMEX, </w:t>
      </w:r>
      <w:r w:rsidDel="00000000" w:rsidR="00000000" w:rsidRPr="00000000">
        <w:rPr>
          <w:rFonts w:ascii="Palatino Linotype" w:cs="Palatino Linotype" w:eastAsia="Palatino Linotype" w:hAnsi="Palatino Linotype"/>
          <w:rtl w:val="0"/>
        </w:rPr>
        <w:t xml:space="preserve">en términos del </w:t>
      </w:r>
      <w:r w:rsidDel="00000000" w:rsidR="00000000" w:rsidRPr="00000000">
        <w:rPr>
          <w:rFonts w:ascii="Palatino Linotype" w:cs="Palatino Linotype" w:eastAsia="Palatino Linotype" w:hAnsi="Palatino Linotype"/>
          <w:b w:val="1"/>
          <w:rtl w:val="0"/>
        </w:rPr>
        <w:t xml:space="preserve">Considerando Cuarto </w:t>
      </w:r>
      <w:r w:rsidDel="00000000" w:rsidR="00000000" w:rsidRPr="00000000">
        <w:rPr>
          <w:rFonts w:ascii="Palatino Linotype" w:cs="Palatino Linotype" w:eastAsia="Palatino Linotype" w:hAnsi="Palatino Linotype"/>
          <w:rtl w:val="0"/>
        </w:rPr>
        <w:t xml:space="preserve">de esta resolución, del documento donde conste o de cuenta de: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spacing w:after="240" w:before="240" w:lineRule="auto"/>
        <w:ind w:left="720" w:right="851" w:hanging="36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sz w:val="22"/>
          <w:szCs w:val="22"/>
          <w:rtl w:val="0"/>
        </w:rPr>
        <w:t xml:space="preserve">L</w:t>
      </w:r>
      <w:r w:rsidDel="00000000" w:rsidR="00000000" w:rsidRPr="00000000">
        <w:rPr>
          <w:rFonts w:ascii="Palatino Linotype" w:cs="Palatino Linotype" w:eastAsia="Palatino Linotype" w:hAnsi="Palatino Linotype"/>
          <w:b w:val="1"/>
          <w:i w:val="1"/>
          <w:color w:val="000000"/>
          <w:sz w:val="22"/>
          <w:szCs w:val="22"/>
          <w:rtl w:val="0"/>
        </w:rPr>
        <w:t xml:space="preserve">os ingresos recibidos por el municipio durante el mes de agosto de 2019.</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before="240" w:lineRule="auto"/>
        <w:ind w:left="720" w:right="851"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rtl w:val="0"/>
        </w:rPr>
        <w:t xml:space="preserve">Notifíquese vía</w:t>
      </w:r>
      <w:r w:rsidDel="00000000" w:rsidR="00000000" w:rsidRPr="00000000">
        <w:rPr>
          <w:rFonts w:ascii="Palatino Linotype" w:cs="Palatino Linotype" w:eastAsia="Palatino Linotype" w:hAnsi="Palatino Linotype"/>
          <w:b w:val="1"/>
          <w:rtl w:val="0"/>
        </w:rPr>
        <w:t xml:space="preserve"> Sistema de Acceso a la Información Mexiquense (SAIMEX), </w:t>
      </w:r>
      <w:r w:rsidDel="00000000" w:rsidR="00000000" w:rsidRPr="00000000">
        <w:rPr>
          <w:rFonts w:ascii="Palatino Linotype" w:cs="Palatino Linotype" w:eastAsia="Palatino Linotype" w:hAnsi="Palatino Linotype"/>
          <w:rtl w:val="0"/>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  Notifíquese, al recurrente vía Sistema de Acceso a la Información Mexiquense (SAIMEX),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sectPr>
          <w:headerReference r:id="rId23" w:type="default"/>
          <w:headerReference r:id="rId24" w:type="first"/>
          <w:footerReference r:id="rId25" w:type="default"/>
          <w:footerReference r:id="rId26" w:type="first"/>
          <w:pgSz w:h="15840" w:w="12240" w:orient="portrait"/>
          <w:pgMar w:bottom="1417" w:top="1417" w:left="1701" w:right="1750" w:header="708" w:footer="708"/>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DEL DOS MIL VEINTIDÓS, ANTE EL SECRETARIO TÉCNICO DEL PLENO, ALEXIS TAPIA RAMÍREZ.</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tl w:val="0"/>
        </w:rPr>
      </w:r>
    </w:p>
    <w:sectPr>
      <w:headerReference r:id="rId27" w:type="first"/>
      <w:type w:val="nextPage"/>
      <w:pgSz w:h="15840" w:w="12240" w:orient="portrait"/>
      <w:pgMar w:bottom="1417" w:top="1417" w:left="1701" w:right="1701"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Palatino Linotyp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A6">
    <w:pPr>
      <w:tabs>
        <w:tab w:val="center" w:pos="4252"/>
        <w:tab w:val="right" w:pos="850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carece de congruencia y exhaustividad, sirve como refuerzo de lo anterior, traer a colación</w:t>
    </w:r>
    <w:r w:rsidDel="00000000" w:rsidR="00000000" w:rsidRPr="00000000">
      <w:rPr>
        <w:rFonts w:ascii="Palatino Linotype" w:cs="Palatino Linotype" w:eastAsia="Palatino Linotype" w:hAnsi="Palatino Linotype"/>
        <w:u w:val="single"/>
        <w:rtl w:val="0"/>
      </w:rPr>
      <w:t xml:space="preserve"> el Criterio 02/17, emitido por el Pleno del </w:t>
    </w:r>
    <w:r w:rsidDel="00000000" w:rsidR="00000000" w:rsidRPr="00000000">
      <w:rPr>
        <w:rFonts w:ascii="Palatino Linotype" w:cs="Palatino Linotype" w:eastAsia="Palatino Linotype" w:hAnsi="Palatino Linotype"/>
        <w:rtl w:val="0"/>
      </w:rPr>
      <w:t xml:space="preserve">Instituto Nacional de Transparencia y Acceso a la Información y Protección de Datos Personales, de título y texto siguientes:</w:t>
    </w:r>
  </w:p>
  <w:p w:rsidR="00000000" w:rsidDel="00000000" w:rsidP="00000000" w:rsidRDefault="00000000" w:rsidRPr="00000000" w14:paraId="000000A7">
    <w:pPr>
      <w:tabs>
        <w:tab w:val="center" w:pos="4252"/>
        <w:tab w:val="right" w:pos="8504"/>
      </w:tabs>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pos="4252"/>
        <w:tab w:val="right" w:pos="8504"/>
      </w:tabs>
      <w:ind w:firstLine="708"/>
      <w:rPr>
        <w:rFonts w:ascii="Palatino Linotype" w:cs="Palatino Linotype" w:eastAsia="Palatino Linotype" w:hAnsi="Palatino Linotyp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252"/>
        <w:tab w:val="right" w:pos="8504"/>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-343527</wp:posOffset>
          </wp:positionV>
          <wp:extent cx="7635600" cy="9943200"/>
          <wp:effectExtent b="0" l="0" r="0" t="0"/>
          <wp:wrapNone/>
          <wp:docPr id="9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7635600" cy="9943200"/>
                  </a:xfrm>
                  <a:prstGeom prst="rect"/>
                  <a:ln/>
                </pic:spPr>
              </pic:pic>
            </a:graphicData>
          </a:graphic>
        </wp:anchor>
      </w:drawing>
    </w:r>
  </w:p>
  <w:tbl>
    <w:tblPr>
      <w:tblStyle w:val="Table1"/>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08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8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03209/INFOEM/IP/RR/2022</w:t>
          </w:r>
        </w:p>
      </w:tc>
    </w:tr>
    <w:tr>
      <w:trPr>
        <w:cantSplit w:val="0"/>
        <w:tblHeader w:val="0"/>
      </w:trPr>
      <w:tc>
        <w:tcPr>
          <w:vAlign w:val="center"/>
        </w:tcPr>
        <w:p w:rsidR="00000000" w:rsidDel="00000000" w:rsidP="00000000" w:rsidRDefault="00000000" w:rsidRPr="00000000" w14:paraId="0000009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9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w:t>
          </w:r>
        </w:p>
      </w:tc>
    </w:tr>
    <w:tr>
      <w:trPr>
        <w:cantSplit w:val="0"/>
        <w:trHeight w:val="228" w:hRule="atLeast"/>
        <w:tblHeader w:val="0"/>
      </w:trPr>
      <w:tc>
        <w:tcPr>
          <w:vAlign w:val="center"/>
        </w:tcPr>
        <w:p w:rsidR="00000000" w:rsidDel="00000000" w:rsidP="00000000" w:rsidRDefault="00000000" w:rsidRPr="00000000" w14:paraId="0000009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93">
          <w:pPr>
            <w:ind w:right="-11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vAlign w:val="center"/>
        </w:tcPr>
        <w:p w:rsidR="00000000" w:rsidDel="00000000" w:rsidP="00000000" w:rsidRDefault="00000000" w:rsidRPr="00000000" w14:paraId="0000009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95">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-345433</wp:posOffset>
          </wp:positionV>
          <wp:extent cx="7635600" cy="9943200"/>
          <wp:effectExtent b="0" l="0" r="0" t="0"/>
          <wp:wrapNone/>
          <wp:docPr id="92"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7635600" cy="9943200"/>
                  </a:xfrm>
                  <a:prstGeom prst="rect"/>
                  <a:ln/>
                </pic:spPr>
              </pic:pic>
            </a:graphicData>
          </a:graphic>
        </wp:anchor>
      </w:drawing>
    </w:r>
  </w:p>
  <w:tbl>
    <w:tblPr>
      <w:tblStyle w:val="Table2"/>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09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9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03209/INFOEM/IP/RR/2022</w:t>
          </w:r>
        </w:p>
      </w:tc>
    </w:tr>
    <w:tr>
      <w:trPr>
        <w:cantSplit w:val="0"/>
        <w:trHeight w:val="228" w:hRule="atLeast"/>
        <w:tblHeader w:val="0"/>
      </w:trPr>
      <w:tc>
        <w:tcPr>
          <w:vAlign w:val="center"/>
        </w:tcPr>
        <w:p w:rsidR="00000000" w:rsidDel="00000000" w:rsidP="00000000" w:rsidRDefault="00000000" w:rsidRPr="00000000" w14:paraId="0000009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9B">
          <w:pPr>
            <w:ind w:right="-52"/>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vAlign w:val="center"/>
        </w:tcPr>
        <w:p w:rsidR="00000000" w:rsidDel="00000000" w:rsidP="00000000" w:rsidRDefault="00000000" w:rsidRPr="00000000" w14:paraId="0000009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9D">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pos="4252"/>
        <w:tab w:val="right" w:pos="8504"/>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80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857C9"/>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A776B4"/>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9D4854"/>
    <w:pPr>
      <w:ind w:left="708"/>
    </w:pPr>
  </w:style>
  <w:style w:type="table" w:styleId="Tablaconcuadrcula">
    <w:name w:val="Table Grid"/>
    <w:basedOn w:val="Tablanormal"/>
    <w:uiPriority w:val="59"/>
    <w:rsid w:val="00AB3F5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val="es-MX"/>
    </w:rPr>
  </w:style>
  <w:style w:type="character" w:styleId="eop" w:customStyle="1">
    <w:name w:val="eop"/>
    <w:basedOn w:val="Fuentedeprrafopredeter"/>
    <w:rsid w:val="00355B75"/>
  </w:style>
  <w:style w:type="character" w:styleId="Hipervnculo">
    <w:name w:val="Hyperlink"/>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INAI"/>
    <w:link w:val="SinespaciadoCar"/>
    <w:uiPriority w:val="1"/>
    <w:qFormat w:val="1"/>
    <w:rsid w:val="00932CFF"/>
    <w:rPr>
      <w:lang w:val="es-MX"/>
    </w:rPr>
  </w:style>
  <w:style w:type="character" w:styleId="Textoennegrita">
    <w:name w:val="Strong"/>
    <w:uiPriority w:val="22"/>
    <w:qFormat w:val="1"/>
    <w:rsid w:val="00932CFF"/>
    <w:rPr>
      <w:b w:val="1"/>
      <w:bCs w:val="1"/>
    </w:rPr>
  </w:style>
  <w:style w:type="character" w:styleId="SinespaciadoCar" w:customStyle="1">
    <w:name w:val="Sin espaciado Car"/>
    <w:aliases w:val="Francesa Car,INAI Car"/>
    <w:link w:val="Sinespaciado"/>
    <w:uiPriority w:val="1"/>
    <w:locked w:val="1"/>
    <w:rsid w:val="00932CFF"/>
    <w:rPr>
      <w:rFonts w:ascii="Times New Roman" w:cs="Times New Roman" w:eastAsia="Times New Roman" w:hAnsi="Times New Roman"/>
      <w:lang w:val="es-MX"/>
    </w:rPr>
  </w:style>
  <w:style w:type="paragraph" w:styleId="NormalWeb">
    <w:name w:val="Normal (Web)"/>
    <w:basedOn w:val="Normal"/>
    <w:uiPriority w:val="99"/>
    <w:unhideWhenUsed w:val="1"/>
    <w:rsid w:val="00444919"/>
    <w:pPr>
      <w:spacing w:after="100" w:afterAutospacing="1" w:before="100" w:beforeAutospacing="1"/>
    </w:pPr>
    <w:rPr>
      <w:lang w:val="es-MX"/>
    </w:rPr>
  </w:style>
  <w:style w:type="character" w:styleId="Ttulo3Car" w:customStyle="1">
    <w:name w:val="Título 3 Car"/>
    <w:basedOn w:val="Fuentedeprrafopredeter"/>
    <w:link w:val="Ttulo3"/>
    <w:uiPriority w:val="9"/>
    <w:rsid w:val="00A776B4"/>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A776B4"/>
    <w:pPr>
      <w:ind w:left="283" w:hanging="283"/>
      <w:contextualSpacing w:val="1"/>
    </w:pPr>
  </w:style>
  <w:style w:type="paragraph" w:styleId="Lista2">
    <w:name w:val="List 2"/>
    <w:basedOn w:val="Normal"/>
    <w:uiPriority w:val="99"/>
    <w:unhideWhenUsed w:val="1"/>
    <w:rsid w:val="00A776B4"/>
    <w:pPr>
      <w:ind w:left="566" w:hanging="283"/>
      <w:contextualSpacing w:val="1"/>
    </w:pPr>
  </w:style>
  <w:style w:type="paragraph" w:styleId="Lista3">
    <w:name w:val="List 3"/>
    <w:basedOn w:val="Normal"/>
    <w:uiPriority w:val="99"/>
    <w:unhideWhenUsed w:val="1"/>
    <w:rsid w:val="00A776B4"/>
    <w:pPr>
      <w:ind w:left="849" w:hanging="283"/>
      <w:contextualSpacing w:val="1"/>
    </w:pPr>
  </w:style>
  <w:style w:type="paragraph" w:styleId="Textoindependiente">
    <w:name w:val="Body Text"/>
    <w:basedOn w:val="Normal"/>
    <w:link w:val="TextoindependienteCar"/>
    <w:uiPriority w:val="99"/>
    <w:unhideWhenUsed w:val="1"/>
    <w:rsid w:val="00A776B4"/>
    <w:pPr>
      <w:spacing w:after="120"/>
    </w:pPr>
  </w:style>
  <w:style w:type="character" w:styleId="TextoindependienteCar" w:customStyle="1">
    <w:name w:val="Texto independiente Car"/>
    <w:basedOn w:val="Fuentedeprrafopredeter"/>
    <w:link w:val="Textoindependiente"/>
    <w:uiPriority w:val="99"/>
    <w:rsid w:val="00A776B4"/>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A776B4"/>
    <w:pPr>
      <w:spacing w:after="120"/>
      <w:ind w:left="283"/>
    </w:pPr>
  </w:style>
  <w:style w:type="character" w:styleId="SangradetextonormalCar" w:customStyle="1">
    <w:name w:val="Sangría de texto normal Car"/>
    <w:basedOn w:val="Fuentedeprrafopredeter"/>
    <w:link w:val="Sangradetextonormal"/>
    <w:uiPriority w:val="99"/>
    <w:rsid w:val="00A776B4"/>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A776B4"/>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A776B4"/>
    <w:rPr>
      <w:rFonts w:ascii="Times New Roman" w:cs="Times New Roman" w:eastAsia="Times New Roman" w:hAnsi="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styleId="TextosinformatoCar" w:customStyle="1">
    <w:name w:val="Texto sin formato Car"/>
    <w:basedOn w:val="Fuentedeprrafopredeter"/>
    <w:link w:val="Textosinformato"/>
    <w:rsid w:val="00B67939"/>
    <w:rPr>
      <w:rFonts w:ascii="Courier New" w:cs="Times New Roman" w:eastAsia="Times New Roman" w:hAnsi="Courier New"/>
      <w:sz w:val="20"/>
      <w:szCs w:val="20"/>
      <w:lang w:val="es-ES"/>
    </w:rPr>
  </w:style>
  <w:style w:type="paragraph" w:styleId="j" w:customStyle="1">
    <w:name w:val="j"/>
    <w:basedOn w:val="Normal"/>
    <w:rsid w:val="00226723"/>
    <w:pPr>
      <w:spacing w:after="100" w:afterAutospacing="1" w:before="100" w:before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2871584667633129156gmail-msofootnotereference" w:customStyle="1">
    <w:name w:val="m_2871584667633129156gmail-msofootnotereference"/>
    <w:basedOn w:val="Fuentedeprrafopredeter"/>
    <w:rsid w:val="00C12849"/>
  </w:style>
  <w:style w:type="character" w:styleId="h" w:customStyle="1">
    <w:name w:val="h"/>
    <w:basedOn w:val="Fuentedeprrafopredeter"/>
    <w:rsid w:val="007F685F"/>
  </w:style>
  <w:style w:type="table" w:styleId="Tabladelista1clara-nfasis12" w:customStyle="1">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Hipervnculovisitado">
    <w:name w:val="FollowedHyperlink"/>
    <w:basedOn w:val="Fuentedeprrafopredeter"/>
    <w:uiPriority w:val="99"/>
    <w:semiHidden w:val="1"/>
    <w:unhideWhenUsed w:val="1"/>
    <w:rsid w:val="002C16E8"/>
    <w:rPr>
      <w:color w:val="800080" w:themeColor="followed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08.0" w:type="dxa"/>
        <w:right w:w="108.0" w:type="dxa"/>
      </w:tblCellMar>
    </w:tblPr>
  </w:style>
  <w:style w:type="table" w:styleId="a0" w:customStyle="1">
    <w:basedOn w:val="TableNormal5"/>
    <w:tblPr>
      <w:tblStyleRowBandSize w:val="1"/>
      <w:tblStyleColBandSize w:val="1"/>
      <w:tblCellMar>
        <w:left w:w="115.0" w:type="dxa"/>
        <w:right w:w="115.0" w:type="dxa"/>
      </w:tblCellMar>
    </w:tbl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left w:w="115.0" w:type="dxa"/>
        <w:right w:w="115.0" w:type="dxa"/>
      </w:tblCellMar>
    </w:tblPr>
  </w:style>
  <w:style w:type="table" w:styleId="a3" w:customStyle="1">
    <w:basedOn w:val="TableNormal5"/>
    <w:tblPr>
      <w:tblStyleRowBandSize w:val="1"/>
      <w:tblStyleColBandSize w:val="1"/>
      <w:tblCellMar>
        <w:left w:w="115.0" w:type="dxa"/>
        <w:right w:w="115.0" w:type="dxa"/>
      </w:tblCellMar>
    </w:tblPr>
  </w:style>
  <w:style w:type="table" w:styleId="a4" w:customStyle="1">
    <w:basedOn w:val="TableNormal4"/>
    <w:tblPr>
      <w:tblStyleRowBandSize w:val="1"/>
      <w:tblStyleColBandSize w:val="1"/>
      <w:tblCellMar>
        <w:left w:w="115.0" w:type="dxa"/>
        <w:right w:w="115.0" w:type="dxa"/>
      </w:tblCellMar>
    </w:tblPr>
  </w:style>
  <w:style w:type="table" w:styleId="a5" w:customStyle="1">
    <w:basedOn w:val="TableNormal4"/>
    <w:tblPr>
      <w:tblStyleRowBandSize w:val="1"/>
      <w:tblStyleColBandSize w:val="1"/>
      <w:tblCellMar>
        <w:left w:w="115.0" w:type="dxa"/>
        <w:right w:w="115.0" w:type="dxa"/>
      </w:tblCellMar>
    </w:tblPr>
  </w:style>
  <w:style w:type="table" w:styleId="Tablaconcuadrcula1" w:customStyle="1">
    <w:name w:val="Tabla con cuadrícula1"/>
    <w:basedOn w:val="Tablanormal"/>
    <w:next w:val="Tablaconcuadrcula"/>
    <w:uiPriority w:val="59"/>
    <w:rsid w:val="00B001C4"/>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image" Target="media/image6.png"/><Relationship Id="rId26" Type="http://schemas.openxmlformats.org/officeDocument/2006/relationships/footer" Target="footer1.xml"/><Relationship Id="rId25" Type="http://schemas.openxmlformats.org/officeDocument/2006/relationships/footer" Target="footer2.xml"/><Relationship Id="rId27" Type="http://schemas.openxmlformats.org/officeDocument/2006/relationships/header" Target="header3.xml"/><Relationship Id="rId5" Type="http://schemas.openxmlformats.org/officeDocument/2006/relationships/image" Target="media/image4.png"/><Relationship Id="rId6" Type="http://schemas.openxmlformats.org/officeDocument/2006/relationships/oleObject" Target="embeddings/oleObject4.bin"/><Relationship Id="rId7" Type="http://schemas.openxmlformats.org/officeDocument/2006/relationships/image" Target="media/image3.png"/><Relationship Id="rId8" Type="http://schemas.openxmlformats.org/officeDocument/2006/relationships/oleObject" Target="embeddings/oleObject3.bin"/><Relationship Id="rId11" Type="http://schemas.openxmlformats.org/officeDocument/2006/relationships/image" Target="media/image5.png"/><Relationship Id="rId10" Type="http://schemas.openxmlformats.org/officeDocument/2006/relationships/oleObject" Target="embeddings/oleObject6.bin"/><Relationship Id="rId13" Type="http://schemas.openxmlformats.org/officeDocument/2006/relationships/theme" Target="theme/theme1.xml"/><Relationship Id="rId12" Type="http://schemas.openxmlformats.org/officeDocument/2006/relationships/oleObject" Target="embeddings/oleObject5.bin"/><Relationship Id="rId15" Type="http://schemas.openxmlformats.org/officeDocument/2006/relationships/fontTable" Target="fontTable.xml"/><Relationship Id="rId14" Type="http://schemas.openxmlformats.org/officeDocument/2006/relationships/settings" Target="settings.xml"/><Relationship Id="rId17" Type="http://schemas.openxmlformats.org/officeDocument/2006/relationships/numbering" Target="numbering.xml"/><Relationship Id="rId16" Type="http://schemas.openxmlformats.org/officeDocument/2006/relationships/footnotes" Target="footnotes.xml"/><Relationship Id="rId19" Type="http://schemas.openxmlformats.org/officeDocument/2006/relationships/customXml" Target="../customXML/item1.xml"/><Relationship Id="rId18" Type="http://schemas.openxmlformats.org/officeDocument/2006/relationships/styles" Target="styles.xml"/></Relationships>
</file>

<file path=word/_rels/fontTable.xml.rels><?xml version="1.0" encoding="UTF-8" standalone="yes"?><Relationships xmlns="http://schemas.openxmlformats.org/package/2006/relationships"><Relationship Id="rId13" Type="http://schemas.openxmlformats.org/officeDocument/2006/relationships/font" Target="fonts/PalatinoLinotype-regular.ttf"/><Relationship Id="rId15" Type="http://schemas.openxmlformats.org/officeDocument/2006/relationships/font" Target="fonts/PalatinoLinotype-italic.ttf"/><Relationship Id="rId14" Type="http://schemas.openxmlformats.org/officeDocument/2006/relationships/font" Target="fonts/PalatinoLinotype-bold.ttf"/><Relationship Id="rId16"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3" Type="http://schemas.openxmlformats.org/officeDocument/2006/relationships/image" Target="media/image7.jpg"/></Relationships>
</file>

<file path=word/_rels/header2.xml.rels><?xml version="1.0" encoding="UTF-8" standalone="yes"?><Relationships xmlns="http://schemas.openxmlformats.org/package/2006/relationships"><Relationship Id="rId13"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wROUxaHQPi5Z2Q1EGBiRioU6Rg==">AMUW2mWTD/KL79QS3HTYkqbr8CuEd/GSPUskCq3llN7Y4fAbs1KFSJiW2s5FhQzF7gna40xv2ZBZ7qo4r9d839urM4CVJ25phw2Z2QWfgdOsF5yQarXWa7fko9lRgigAMdyCmd7Rx7/38vfMHPz/s3reo7s/zFG3kvHieDst+vbjqIwGI+akW2U=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2022-06-09T00:08:00Z</dcterms:created>
  <dc:creator>iMac</dc:creator>
</cp:coreProperties>
</file>