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042D7C94"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7900A4">
        <w:rPr>
          <w:rFonts w:ascii="Palatino Linotype" w:eastAsia="Times New Roman" w:hAnsi="Palatino Linotype" w:cs="Arial"/>
          <w:color w:val="000000"/>
          <w:sz w:val="24"/>
          <w:szCs w:val="24"/>
          <w:lang w:eastAsia="es-MX"/>
        </w:rPr>
        <w:t xml:space="preserve">, </w:t>
      </w:r>
      <w:r w:rsidRPr="00523ACD">
        <w:rPr>
          <w:rFonts w:ascii="Palatino Linotype" w:eastAsia="Times New Roman" w:hAnsi="Palatino Linotype" w:cs="Arial"/>
          <w:color w:val="000000"/>
          <w:sz w:val="24"/>
          <w:szCs w:val="24"/>
          <w:lang w:eastAsia="es-MX"/>
        </w:rPr>
        <w:t xml:space="preserve">a </w:t>
      </w:r>
      <w:r w:rsidR="00627269">
        <w:rPr>
          <w:rFonts w:ascii="Palatino Linotype" w:eastAsia="Times New Roman" w:hAnsi="Palatino Linotype" w:cs="Arial"/>
          <w:color w:val="000000"/>
          <w:sz w:val="24"/>
          <w:szCs w:val="24"/>
          <w:lang w:eastAsia="es-MX"/>
        </w:rPr>
        <w:t>siete</w:t>
      </w:r>
      <w:r w:rsidR="00EA2A04">
        <w:rPr>
          <w:rFonts w:ascii="Palatino Linotype" w:eastAsia="Times New Roman" w:hAnsi="Palatino Linotype" w:cs="Arial"/>
          <w:color w:val="000000"/>
          <w:sz w:val="24"/>
          <w:szCs w:val="24"/>
          <w:lang w:eastAsia="es-MX"/>
        </w:rPr>
        <w:t xml:space="preserve"> de diciembre de dos mil veintidós. </w:t>
      </w:r>
      <w:r w:rsidR="00395F5A">
        <w:rPr>
          <w:rFonts w:ascii="Palatino Linotype" w:eastAsia="Times New Roman" w:hAnsi="Palatino Linotype" w:cs="Arial"/>
          <w:color w:val="000000"/>
          <w:sz w:val="24"/>
          <w:szCs w:val="24"/>
          <w:lang w:eastAsia="es-MX"/>
        </w:rPr>
        <w:t xml:space="preserve"> </w:t>
      </w:r>
      <w:r w:rsidR="002766D5">
        <w:rPr>
          <w:rFonts w:ascii="Palatino Linotype" w:eastAsia="Times New Roman" w:hAnsi="Palatino Linotype" w:cs="Arial"/>
          <w:color w:val="000000"/>
          <w:sz w:val="24"/>
          <w:szCs w:val="24"/>
          <w:lang w:eastAsia="es-MX"/>
        </w:rPr>
        <w:t xml:space="preserve"> </w:t>
      </w:r>
      <w:r w:rsidR="008C3857">
        <w:rPr>
          <w:rFonts w:ascii="Palatino Linotype" w:eastAsia="Times New Roman" w:hAnsi="Palatino Linotype" w:cs="Arial"/>
          <w:color w:val="000000"/>
          <w:sz w:val="24"/>
          <w:szCs w:val="24"/>
          <w:lang w:eastAsia="es-MX"/>
        </w:rPr>
        <w:t xml:space="preserve"> </w:t>
      </w:r>
      <w:r w:rsidR="00F2667C">
        <w:rPr>
          <w:rFonts w:ascii="Palatino Linotype" w:eastAsia="Times New Roman" w:hAnsi="Palatino Linotype" w:cs="Arial"/>
          <w:color w:val="000000"/>
          <w:sz w:val="24"/>
          <w:szCs w:val="24"/>
          <w:lang w:eastAsia="es-MX"/>
        </w:rPr>
        <w:t xml:space="preserve"> </w:t>
      </w:r>
      <w:r w:rsidR="00EF6598">
        <w:rPr>
          <w:rFonts w:ascii="Palatino Linotype" w:eastAsia="Times New Roman" w:hAnsi="Palatino Linotype" w:cs="Arial"/>
          <w:color w:val="000000"/>
          <w:sz w:val="24"/>
          <w:szCs w:val="24"/>
          <w:lang w:eastAsia="es-MX"/>
        </w:rPr>
        <w:t xml:space="preserve"> </w:t>
      </w:r>
      <w:r w:rsidR="00D139EB">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5CAB2116" w14:textId="6EA077F7" w:rsidR="00EA2A04" w:rsidRPr="00EA2A04"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EA2A04">
        <w:rPr>
          <w:rFonts w:ascii="Palatino Linotype" w:hAnsi="Palatino Linotype" w:cs="Arial"/>
          <w:b/>
          <w:sz w:val="24"/>
        </w:rPr>
        <w:t>13950</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EA2A04">
        <w:rPr>
          <w:rFonts w:ascii="Palatino Linotype" w:hAnsi="Palatino Linotype" w:cs="Arial"/>
          <w:sz w:val="24"/>
        </w:rPr>
        <w:t xml:space="preserve">la </w:t>
      </w:r>
      <w:r w:rsidR="00EA2A04">
        <w:rPr>
          <w:rFonts w:ascii="Palatino Linotype" w:hAnsi="Palatino Linotype" w:cs="Arial"/>
          <w:b/>
          <w:bCs/>
          <w:sz w:val="24"/>
        </w:rPr>
        <w:t xml:space="preserve">C. </w:t>
      </w:r>
      <w:r w:rsidR="0063773A">
        <w:rPr>
          <w:rFonts w:ascii="Palatino Linotype" w:hAnsi="Palatino Linotype" w:cs="Arial"/>
          <w:b/>
          <w:bCs/>
          <w:sz w:val="24"/>
        </w:rPr>
        <w:t>XXXXXXXXXXXXXX</w:t>
      </w:r>
      <w:r w:rsidR="00EA2A04">
        <w:rPr>
          <w:rFonts w:ascii="Palatino Linotype" w:hAnsi="Palatino Linotype" w:cs="Arial"/>
          <w:b/>
          <w:bCs/>
          <w:sz w:val="24"/>
        </w:rPr>
        <w:t xml:space="preserve">, </w:t>
      </w:r>
      <w:r w:rsidR="00EA2A04">
        <w:rPr>
          <w:rFonts w:ascii="Palatino Linotype" w:hAnsi="Palatino Linotype" w:cs="Arial"/>
          <w:sz w:val="24"/>
        </w:rPr>
        <w:t xml:space="preserve">en lo sucesivo </w:t>
      </w:r>
      <w:r w:rsidR="00EA2A04">
        <w:rPr>
          <w:rFonts w:ascii="Palatino Linotype" w:hAnsi="Palatino Linotype" w:cs="Arial"/>
          <w:b/>
          <w:bCs/>
          <w:sz w:val="24"/>
        </w:rPr>
        <w:t xml:space="preserve">La Recurrente, </w:t>
      </w:r>
      <w:r w:rsidR="00EA2A04">
        <w:rPr>
          <w:rFonts w:ascii="Palatino Linotype" w:hAnsi="Palatino Linotype" w:cs="Arial"/>
          <w:sz w:val="24"/>
        </w:rPr>
        <w:t xml:space="preserve">en contra de la respuesta del </w:t>
      </w:r>
      <w:r w:rsidR="00EA2A04">
        <w:rPr>
          <w:rFonts w:ascii="Palatino Linotype" w:hAnsi="Palatino Linotype" w:cs="Arial"/>
          <w:b/>
          <w:bCs/>
          <w:sz w:val="24"/>
        </w:rPr>
        <w:t xml:space="preserve">Ayuntamiento de Tepotzotlán, </w:t>
      </w:r>
      <w:r w:rsidR="00EA2A04">
        <w:rPr>
          <w:rFonts w:ascii="Palatino Linotype" w:hAnsi="Palatino Linotype" w:cs="Arial"/>
          <w:sz w:val="24"/>
        </w:rPr>
        <w:t xml:space="preserve">en lo sucesivo </w:t>
      </w:r>
      <w:r w:rsidR="00EA2A04">
        <w:rPr>
          <w:rFonts w:ascii="Palatino Linotype" w:hAnsi="Palatino Linotype" w:cs="Arial"/>
          <w:b/>
          <w:bCs/>
          <w:sz w:val="24"/>
        </w:rPr>
        <w:t xml:space="preserve">El Sujeto Obligado, </w:t>
      </w:r>
      <w:r w:rsidR="00EA2A04">
        <w:rPr>
          <w:rFonts w:ascii="Palatino Linotype" w:hAnsi="Palatino Linotype" w:cs="Arial"/>
          <w:sz w:val="24"/>
        </w:rPr>
        <w:t xml:space="preserve">se procede a dictar la presente resolución. </w:t>
      </w:r>
    </w:p>
    <w:p w14:paraId="0EB7F1C0" w14:textId="77777777" w:rsidR="00EA2A04" w:rsidRDefault="00EA2A04" w:rsidP="00E669E6">
      <w:pPr>
        <w:tabs>
          <w:tab w:val="left" w:pos="1701"/>
        </w:tabs>
        <w:spacing w:before="240" w:line="360" w:lineRule="auto"/>
        <w:jc w:val="both"/>
        <w:rPr>
          <w:rFonts w:ascii="Palatino Linotype" w:hAnsi="Palatino Linotype" w:cs="Arial"/>
          <w:sz w:val="24"/>
        </w:rPr>
      </w:pPr>
    </w:p>
    <w:p w14:paraId="22CF085C" w14:textId="77777777" w:rsidR="006D5803" w:rsidRPr="00B9640A" w:rsidRDefault="006D5803" w:rsidP="006D5803">
      <w:pPr>
        <w:pStyle w:val="infoemcitas"/>
        <w:jc w:val="center"/>
        <w:rPr>
          <w:b/>
          <w:bCs/>
          <w:i w:val="0"/>
          <w:iCs/>
          <w:sz w:val="28"/>
          <w:szCs w:val="28"/>
        </w:rPr>
      </w:pPr>
      <w:r w:rsidRPr="006522D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3E06DD88" w14:textId="1271439C" w:rsidR="00EA2A04" w:rsidRDefault="0098057B" w:rsidP="0098057B">
      <w:pPr>
        <w:spacing w:before="240" w:line="360" w:lineRule="auto"/>
        <w:jc w:val="both"/>
        <w:rPr>
          <w:rFonts w:ascii="Palatino Linotype" w:hAnsi="Palatino Linotype" w:cs="Arial"/>
          <w:sz w:val="24"/>
        </w:rPr>
      </w:pPr>
      <w:r>
        <w:rPr>
          <w:rFonts w:ascii="Palatino Linotype" w:hAnsi="Palatino Linotype" w:cs="Arial"/>
          <w:sz w:val="24"/>
        </w:rPr>
        <w:t>Con fecha</w:t>
      </w:r>
      <w:r w:rsidR="007D63A2">
        <w:rPr>
          <w:rFonts w:ascii="Palatino Linotype" w:hAnsi="Palatino Linotype" w:cs="Arial"/>
          <w:sz w:val="24"/>
        </w:rPr>
        <w:t xml:space="preserve"> </w:t>
      </w:r>
      <w:r w:rsidR="00EA2A04">
        <w:rPr>
          <w:rFonts w:ascii="Palatino Linotype" w:hAnsi="Palatino Linotype" w:cs="Arial"/>
          <w:sz w:val="24"/>
        </w:rPr>
        <w:t xml:space="preserve">uno de agosto de dos mil veintidós, </w:t>
      </w:r>
      <w:r w:rsidR="00EA2A04">
        <w:rPr>
          <w:rFonts w:ascii="Palatino Linotype" w:hAnsi="Palatino Linotype" w:cs="Arial"/>
          <w:b/>
          <w:bCs/>
          <w:sz w:val="24"/>
        </w:rPr>
        <w:t xml:space="preserve">La Recurrente, </w:t>
      </w:r>
      <w:r w:rsidR="00EA2A04">
        <w:rPr>
          <w:rFonts w:ascii="Palatino Linotype" w:hAnsi="Palatino Linotype" w:cs="Arial"/>
          <w:sz w:val="24"/>
        </w:rPr>
        <w:t xml:space="preserve">presentó a través del Sistema de Acceso a la Información Mexiquense </w:t>
      </w:r>
      <w:r w:rsidR="00EA2A04" w:rsidRPr="00D3218F">
        <w:rPr>
          <w:rFonts w:ascii="Palatino Linotype" w:hAnsi="Palatino Linotype" w:cs="Arial"/>
          <w:sz w:val="24"/>
        </w:rPr>
        <w:t>(</w:t>
      </w:r>
      <w:r w:rsidR="00EA2A04" w:rsidRPr="00D3218F">
        <w:rPr>
          <w:rFonts w:ascii="Palatino Linotype" w:hAnsi="Palatino Linotype" w:cs="Arial"/>
          <w:b/>
          <w:sz w:val="24"/>
        </w:rPr>
        <w:t>SAIMEX)</w:t>
      </w:r>
      <w:r w:rsidR="00EA2A04" w:rsidRPr="00D3218F">
        <w:rPr>
          <w:rFonts w:ascii="Palatino Linotype" w:hAnsi="Palatino Linotype" w:cs="Arial"/>
          <w:sz w:val="24"/>
        </w:rPr>
        <w:t xml:space="preserve"> ante </w:t>
      </w:r>
      <w:r w:rsidR="00EA2A04" w:rsidRPr="00D3218F">
        <w:rPr>
          <w:rFonts w:ascii="Palatino Linotype" w:hAnsi="Palatino Linotype" w:cs="Arial"/>
          <w:b/>
          <w:sz w:val="24"/>
        </w:rPr>
        <w:t>El Sujeto Obligado</w:t>
      </w:r>
      <w:r w:rsidR="00EA2A04" w:rsidRPr="00D3218F">
        <w:rPr>
          <w:rFonts w:ascii="Palatino Linotype" w:hAnsi="Palatino Linotype" w:cs="Arial"/>
          <w:sz w:val="24"/>
        </w:rPr>
        <w:t>,</w:t>
      </w:r>
      <w:r w:rsidR="00EA2A04">
        <w:rPr>
          <w:rFonts w:ascii="Palatino Linotype" w:hAnsi="Palatino Linotype" w:cs="Arial"/>
          <w:sz w:val="24"/>
        </w:rPr>
        <w:t xml:space="preserve"> la solicitud de acceso a la información pública, registrada bajo el número de expediente </w:t>
      </w:r>
      <w:r w:rsidR="00EA2A04">
        <w:rPr>
          <w:rFonts w:ascii="Palatino Linotype" w:hAnsi="Palatino Linotype" w:cs="Arial"/>
          <w:b/>
          <w:bCs/>
          <w:sz w:val="24"/>
        </w:rPr>
        <w:t xml:space="preserve">00503/TEPOTZOT/IP/2022, </w:t>
      </w:r>
      <w:r w:rsidR="00EA2A04">
        <w:rPr>
          <w:rFonts w:ascii="Palatino Linotype" w:hAnsi="Palatino Linotype" w:cs="Arial"/>
          <w:sz w:val="24"/>
        </w:rPr>
        <w:t>mediante la cual solicitó información en el tenor siguiente:</w:t>
      </w:r>
    </w:p>
    <w:p w14:paraId="0C95B540" w14:textId="12658B82" w:rsidR="00EA2A04" w:rsidRPr="00EA2A04" w:rsidRDefault="00EA2A04" w:rsidP="00EA2A04">
      <w:pPr>
        <w:pStyle w:val="Citas"/>
        <w:rPr>
          <w:rFonts w:ascii="Times New Roman" w:hAnsi="Times New Roman"/>
          <w:b/>
          <w:bCs/>
          <w:sz w:val="24"/>
          <w:szCs w:val="24"/>
        </w:rPr>
      </w:pPr>
      <w:r>
        <w:t>“</w:t>
      </w:r>
      <w:r w:rsidRPr="00EA2A04">
        <w:t xml:space="preserve">Solicito documentos públicos y anexos de la controversia de </w:t>
      </w:r>
      <w:proofErr w:type="spellStart"/>
      <w:r w:rsidRPr="00EA2A04">
        <w:t>limites</w:t>
      </w:r>
      <w:proofErr w:type="spellEnd"/>
      <w:r w:rsidRPr="00EA2A04">
        <w:t xml:space="preserve"> territoriales de Tepotzotlán contra Teoloyucan</w:t>
      </w:r>
      <w:r>
        <w:t xml:space="preserve">” </w:t>
      </w:r>
      <w:r>
        <w:rPr>
          <w:b/>
          <w:bCs/>
        </w:rPr>
        <w:t>(Sic)</w:t>
      </w:r>
    </w:p>
    <w:p w14:paraId="6C718A25" w14:textId="7496B845"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p>
    <w:p w14:paraId="55282E85" w14:textId="47DE883E" w:rsidR="002766D5" w:rsidRDefault="002766D5" w:rsidP="0098057B">
      <w:pPr>
        <w:spacing w:before="240" w:line="360" w:lineRule="auto"/>
        <w:jc w:val="both"/>
        <w:rPr>
          <w:rFonts w:ascii="Palatino Linotype" w:eastAsia="Times New Roman" w:hAnsi="Palatino Linotype" w:cs="Times New Roman"/>
          <w:sz w:val="24"/>
          <w:szCs w:val="24"/>
          <w:lang w:val="es-ES_tradnl" w:eastAsia="es-ES"/>
        </w:rPr>
      </w:pPr>
    </w:p>
    <w:p w14:paraId="3F1D91E8" w14:textId="77777777" w:rsidR="002766D5" w:rsidRPr="002766D5" w:rsidRDefault="002766D5" w:rsidP="0098057B">
      <w:pPr>
        <w:spacing w:before="240" w:line="360" w:lineRule="auto"/>
        <w:jc w:val="both"/>
        <w:rPr>
          <w:rFonts w:ascii="Palatino Linotype" w:eastAsia="Times New Roman" w:hAnsi="Palatino Linotype" w:cs="Times New Roman"/>
          <w:sz w:val="24"/>
          <w:szCs w:val="24"/>
          <w:lang w:eastAsia="es-ES"/>
        </w:rPr>
      </w:pPr>
    </w:p>
    <w:p w14:paraId="3D1C9994" w14:textId="696CD006" w:rsidR="00073E92" w:rsidRDefault="00EA2A04" w:rsidP="00073E92">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4900F9A8" w14:textId="3EE61CD1" w:rsidR="00EA2A04"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EA2A04">
        <w:rPr>
          <w:rFonts w:ascii="Palatino Linotype" w:hAnsi="Palatino Linotype" w:cs="Arial"/>
          <w:sz w:val="24"/>
          <w:szCs w:val="24"/>
        </w:rPr>
        <w:t xml:space="preserve">dieciséis de agosto de dos mil </w:t>
      </w:r>
      <w:proofErr w:type="spellStart"/>
      <w:r w:rsidR="00EA2A04">
        <w:rPr>
          <w:rFonts w:ascii="Palatino Linotype" w:hAnsi="Palatino Linotype" w:cs="Arial"/>
          <w:sz w:val="24"/>
          <w:szCs w:val="24"/>
        </w:rPr>
        <w:t>veintidos</w:t>
      </w:r>
      <w:proofErr w:type="spellEnd"/>
      <w:r w:rsidR="00EA2A04">
        <w:rPr>
          <w:rFonts w:ascii="Palatino Linotype" w:hAnsi="Palatino Linotype" w:cs="Arial"/>
          <w:sz w:val="24"/>
          <w:szCs w:val="24"/>
        </w:rPr>
        <w:t xml:space="preserve">, </w:t>
      </w:r>
      <w:r w:rsidR="00EA2A04">
        <w:rPr>
          <w:rFonts w:ascii="Palatino Linotype" w:hAnsi="Palatino Linotype" w:cs="Arial"/>
          <w:b/>
          <w:bCs/>
          <w:sz w:val="24"/>
          <w:szCs w:val="24"/>
        </w:rPr>
        <w:t xml:space="preserve">El Sujeto Obligado </w:t>
      </w:r>
      <w:r w:rsidR="00EA2A04">
        <w:rPr>
          <w:rFonts w:ascii="Palatino Linotype" w:hAnsi="Palatino Linotype" w:cs="Arial"/>
          <w:sz w:val="24"/>
          <w:szCs w:val="24"/>
        </w:rPr>
        <w:t>dio respuesta a la solicitud de información en los siguientes términos:</w:t>
      </w:r>
    </w:p>
    <w:p w14:paraId="1CEC4543" w14:textId="70AB9565" w:rsidR="00D1537D" w:rsidRPr="00D1537D" w:rsidRDefault="00D1537D" w:rsidP="00D1537D">
      <w:pPr>
        <w:pStyle w:val="Citas"/>
      </w:pPr>
      <w:r w:rsidRPr="00D1537D">
        <w:t>“En respuesta a la solicitud recibida, nos permitimos hacer de su conocimiento que con fundamento en el artículo 53, Fracciones: II, V y VI de la Ley de Transparencia y Acceso a la Información Pública del Estado de México y Municipios, le contestamos que:</w:t>
      </w:r>
    </w:p>
    <w:p w14:paraId="018F34EA" w14:textId="6D192676" w:rsidR="00D1537D" w:rsidRPr="00D1537D" w:rsidRDefault="00D1537D" w:rsidP="00D1537D">
      <w:pPr>
        <w:pStyle w:val="Citas"/>
        <w:rPr>
          <w:b/>
          <w:bCs/>
        </w:rPr>
      </w:pPr>
      <w:r w:rsidRPr="00D1537D">
        <w:t>SE ADJUNTA RESPUESTA DE SERVIDOR PÚBLICO HABILITADO”</w:t>
      </w:r>
      <w:r>
        <w:t xml:space="preserve"> </w:t>
      </w:r>
      <w:r>
        <w:rPr>
          <w:b/>
          <w:bCs/>
        </w:rPr>
        <w:t>(Sic)</w:t>
      </w:r>
    </w:p>
    <w:p w14:paraId="717CFEC5" w14:textId="6846BCCC" w:rsidR="00D1537D" w:rsidRPr="00D1537D" w:rsidRDefault="00D1537D"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w:t>
      </w:r>
      <w:r>
        <w:rPr>
          <w:rFonts w:ascii="Palatino Linotype" w:hAnsi="Palatino Linotype" w:cs="Arial"/>
          <w:b/>
          <w:bCs/>
          <w:sz w:val="24"/>
          <w:szCs w:val="24"/>
        </w:rPr>
        <w:t xml:space="preserve">“DJM-TEP-264-2022.pdf” </w:t>
      </w:r>
      <w:r>
        <w:rPr>
          <w:rFonts w:ascii="Palatino Linotype" w:hAnsi="Palatino Linotype" w:cs="Arial"/>
          <w:sz w:val="24"/>
          <w:szCs w:val="24"/>
        </w:rPr>
        <w:t xml:space="preserve">cuyo contenido será materia de estudio en el considerando respectivo. </w:t>
      </w:r>
    </w:p>
    <w:p w14:paraId="238FF1AA" w14:textId="77777777" w:rsidR="00395F5A" w:rsidRDefault="00395F5A" w:rsidP="00073E92">
      <w:pPr>
        <w:spacing w:before="240" w:line="360" w:lineRule="auto"/>
        <w:jc w:val="both"/>
        <w:rPr>
          <w:rFonts w:ascii="Palatino Linotype" w:hAnsi="Palatino Linotype" w:cs="Arial"/>
          <w:sz w:val="24"/>
          <w:szCs w:val="24"/>
        </w:rPr>
      </w:pPr>
    </w:p>
    <w:p w14:paraId="067753A9" w14:textId="42012514" w:rsidR="00073E92" w:rsidRDefault="00D1537D"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0F90675F" w14:textId="23BD2382" w:rsidR="00D1537D" w:rsidRPr="00D1537D"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1F4421">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EE05C1">
        <w:rPr>
          <w:rFonts w:ascii="Palatino Linotype" w:hAnsi="Palatino Linotype" w:cs="Arial"/>
          <w:sz w:val="24"/>
          <w:szCs w:val="24"/>
        </w:rPr>
        <w:t xml:space="preserve"> </w:t>
      </w:r>
      <w:r w:rsidR="00D1537D">
        <w:rPr>
          <w:rFonts w:ascii="Palatino Linotype" w:hAnsi="Palatino Linotype" w:cs="Arial"/>
          <w:sz w:val="24"/>
          <w:szCs w:val="24"/>
        </w:rPr>
        <w:t xml:space="preserve">veintinueve de agosto de dos mil </w:t>
      </w:r>
      <w:proofErr w:type="spellStart"/>
      <w:r w:rsidR="00D1537D">
        <w:rPr>
          <w:rFonts w:ascii="Palatino Linotype" w:hAnsi="Palatino Linotype" w:cs="Arial"/>
          <w:sz w:val="24"/>
          <w:szCs w:val="24"/>
        </w:rPr>
        <w:t>veintidos</w:t>
      </w:r>
      <w:proofErr w:type="spellEnd"/>
      <w:r w:rsidR="00D1537D">
        <w:rPr>
          <w:rFonts w:ascii="Palatino Linotype" w:hAnsi="Palatino Linotype" w:cs="Arial"/>
          <w:sz w:val="24"/>
          <w:szCs w:val="24"/>
        </w:rPr>
        <w:t xml:space="preserve">, el cual fue registrado con el expediente número </w:t>
      </w:r>
      <w:r w:rsidR="00D1537D">
        <w:rPr>
          <w:rFonts w:ascii="Palatino Linotype" w:hAnsi="Palatino Linotype" w:cs="Arial"/>
          <w:b/>
          <w:bCs/>
          <w:sz w:val="24"/>
          <w:szCs w:val="24"/>
        </w:rPr>
        <w:t xml:space="preserve">13950/INFOEM/IP/RR/2022, </w:t>
      </w:r>
      <w:r w:rsidR="00D1537D">
        <w:rPr>
          <w:rFonts w:ascii="Palatino Linotype" w:hAnsi="Palatino Linotype" w:cs="Arial"/>
          <w:sz w:val="24"/>
          <w:szCs w:val="24"/>
        </w:rPr>
        <w:t>en el cual arguye las siguientes manifestaciones:</w:t>
      </w:r>
      <w:bookmarkStart w:id="0" w:name="_GoBack"/>
      <w:bookmarkEnd w:id="0"/>
    </w:p>
    <w:p w14:paraId="0D67E781" w14:textId="48FE598D" w:rsidR="00F2667C" w:rsidRPr="00F2667C" w:rsidRDefault="00F2667C" w:rsidP="00073E92">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Acto impugnado: </w:t>
      </w:r>
    </w:p>
    <w:p w14:paraId="0B4E0576" w14:textId="53733869" w:rsidR="00073E92" w:rsidRDefault="00F2667C" w:rsidP="007D581B">
      <w:pPr>
        <w:pStyle w:val="Citas"/>
        <w:rPr>
          <w:b/>
        </w:rPr>
      </w:pPr>
      <w:r w:rsidRPr="00CC4B8A">
        <w:t xml:space="preserve"> </w:t>
      </w:r>
      <w:r w:rsidR="00073E92" w:rsidRPr="00CC4B8A">
        <w:t>“</w:t>
      </w:r>
      <w:r w:rsidR="00CC4B8A" w:rsidRPr="00CC4B8A">
        <w:t>negativa a la información ya que no cuenta con acuerdo del comité para la reserva de la información.</w:t>
      </w:r>
      <w:r w:rsidR="00073E92" w:rsidRPr="00CC4B8A">
        <w:t>”</w:t>
      </w:r>
      <w:r w:rsidR="00073E92" w:rsidRPr="007E24F0">
        <w:t xml:space="preserve"> </w:t>
      </w:r>
      <w:r w:rsidR="007D581B">
        <w:rPr>
          <w:b/>
        </w:rPr>
        <w:t>(Sic)</w:t>
      </w:r>
      <w:r w:rsidR="00073E92">
        <w:rPr>
          <w:b/>
        </w:rPr>
        <w:t xml:space="preserve"> </w:t>
      </w:r>
    </w:p>
    <w:p w14:paraId="02EF4683" w14:textId="5220B9DB" w:rsidR="00F2667C" w:rsidRPr="00F2667C" w:rsidRDefault="00F2667C" w:rsidP="00F2667C">
      <w:pPr>
        <w:spacing w:before="240" w:line="360" w:lineRule="auto"/>
        <w:jc w:val="both"/>
        <w:rPr>
          <w:rFonts w:ascii="Palatino Linotype" w:hAnsi="Palatino Linotype" w:cs="Arial"/>
          <w:b/>
          <w:sz w:val="24"/>
          <w:szCs w:val="24"/>
        </w:rPr>
      </w:pPr>
      <w:r>
        <w:rPr>
          <w:rFonts w:ascii="Palatino Linotype" w:hAnsi="Palatino Linotype" w:cs="Arial"/>
          <w:b/>
          <w:sz w:val="24"/>
          <w:szCs w:val="24"/>
        </w:rPr>
        <w:lastRenderedPageBreak/>
        <w:t xml:space="preserve">Razones o motivos de inconformidad: </w:t>
      </w:r>
    </w:p>
    <w:p w14:paraId="39BD595D" w14:textId="7E82D447" w:rsidR="003442C8" w:rsidRPr="00CC4B8A" w:rsidRDefault="00F2667C" w:rsidP="00CC4B8A">
      <w:pPr>
        <w:pStyle w:val="Citas"/>
      </w:pPr>
      <w:r w:rsidRPr="00CC4B8A">
        <w:t>“</w:t>
      </w:r>
      <w:r w:rsidR="00CC4B8A" w:rsidRPr="00CC4B8A">
        <w:t>negativa a la información ya que no cuenta con acuerdo del comité para la reserva de la información</w:t>
      </w:r>
      <w:r w:rsidRPr="00CC4B8A">
        <w:t xml:space="preserve">” </w:t>
      </w:r>
      <w:r w:rsidR="007D581B" w:rsidRPr="00CC4B8A">
        <w:rPr>
          <w:b/>
          <w:bCs/>
        </w:rPr>
        <w:t>(Sic)</w:t>
      </w:r>
    </w:p>
    <w:p w14:paraId="2604D2B2" w14:textId="77777777" w:rsidR="008C3857" w:rsidRDefault="008C3857" w:rsidP="00875611">
      <w:pPr>
        <w:pStyle w:val="Citas"/>
        <w:ind w:left="0" w:right="0"/>
        <w:rPr>
          <w:i w:val="0"/>
          <w:sz w:val="24"/>
          <w:szCs w:val="24"/>
        </w:rPr>
      </w:pPr>
    </w:p>
    <w:p w14:paraId="6B689A4F" w14:textId="60928155" w:rsidR="00073E92" w:rsidRDefault="00CC4B8A"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6782C784" w14:textId="291F5E3F" w:rsidR="004C7E3D" w:rsidRDefault="00073E92" w:rsidP="004C7E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F0532D">
        <w:rPr>
          <w:rFonts w:ascii="Palatino Linotype" w:hAnsi="Palatino Linotype" w:cs="Arial"/>
          <w:sz w:val="24"/>
          <w:szCs w:val="24"/>
        </w:rPr>
        <w:t>presidente</w:t>
      </w:r>
      <w:r w:rsidR="007518D4">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CC4B8A">
        <w:rPr>
          <w:rFonts w:ascii="Palatino Linotype" w:hAnsi="Palatino Linotype" w:cs="Arial"/>
          <w:sz w:val="24"/>
          <w:szCs w:val="24"/>
        </w:rPr>
        <w:t xml:space="preserve">treinta de agosto de dos mil veintidós, </w:t>
      </w:r>
      <w:r w:rsidR="004C7E3D">
        <w:rPr>
          <w:rFonts w:ascii="Palatino Linotype" w:hAnsi="Palatino Linotype" w:cs="Arial"/>
          <w:sz w:val="24"/>
          <w:szCs w:val="24"/>
        </w:rPr>
        <w:t>determinándose en él, un plazo de siete días para que las partes manifestaran lo que a su derecho corresponda en términos del numeral ya citado.</w:t>
      </w:r>
    </w:p>
    <w:p w14:paraId="27840F0C" w14:textId="30BEB601" w:rsidR="00652E67" w:rsidRDefault="00652E67" w:rsidP="00871F78">
      <w:pPr>
        <w:spacing w:before="240" w:line="360" w:lineRule="auto"/>
        <w:jc w:val="both"/>
        <w:rPr>
          <w:rFonts w:ascii="Palatino Linotype" w:hAnsi="Palatino Linotype" w:cs="Arial"/>
          <w:sz w:val="24"/>
          <w:szCs w:val="24"/>
        </w:rPr>
      </w:pPr>
    </w:p>
    <w:p w14:paraId="66F3567F" w14:textId="6836832C" w:rsidR="00073E92" w:rsidRDefault="00CC4B8A"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0113DADF" w14:textId="77777777" w:rsidR="00CC4B8A" w:rsidRDefault="00D543E6" w:rsidP="00D543E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fue omiso en rendir su informe justificado.</w:t>
      </w:r>
    </w:p>
    <w:p w14:paraId="19534E1B" w14:textId="73117DCB" w:rsidR="00D543E6" w:rsidRDefault="00D543E6" w:rsidP="00D543E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14:paraId="2BE81C41" w14:textId="1A1D59FA" w:rsidR="00D543E6" w:rsidRDefault="00D543E6" w:rsidP="00D543E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CC4B8A">
        <w:rPr>
          <w:rFonts w:ascii="Palatino Linotype" w:hAnsi="Palatino Linotype" w:cs="Arial"/>
          <w:b/>
          <w:bCs/>
          <w:sz w:val="24"/>
          <w:szCs w:val="24"/>
        </w:rPr>
        <w:t xml:space="preserve">doce de septiembre de dos mil veintidós,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79138FE" w14:textId="198FAA6D" w:rsidR="00CC4B8A" w:rsidRDefault="0019373B" w:rsidP="00CC4B8A">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A</w:t>
      </w:r>
      <w:r w:rsidRPr="0036654D">
        <w:rPr>
          <w:rFonts w:ascii="Palatino Linotype" w:hAnsi="Palatino Linotype" w:cs="Arial"/>
          <w:sz w:val="24"/>
          <w:szCs w:val="24"/>
        </w:rPr>
        <w:t>sí, en</w:t>
      </w:r>
      <w:r w:rsidR="00CC4B8A" w:rsidRPr="0036654D">
        <w:rPr>
          <w:rFonts w:ascii="Palatino Linotype" w:hAnsi="Palatino Linotype" w:cs="Arial"/>
          <w:sz w:val="24"/>
          <w:szCs w:val="24"/>
        </w:rPr>
        <w:t xml:space="preserve"> fecha</w:t>
      </w:r>
      <w:r w:rsidR="00CC4B8A">
        <w:rPr>
          <w:rFonts w:ascii="Palatino Linotype" w:hAnsi="Palatino Linotype" w:cs="Arial"/>
          <w:sz w:val="24"/>
          <w:szCs w:val="24"/>
        </w:rPr>
        <w:t xml:space="preserve"> </w:t>
      </w:r>
      <w:r w:rsidR="00CC4B8A">
        <w:rPr>
          <w:rFonts w:ascii="Palatino Linotype" w:hAnsi="Palatino Linotype" w:cs="Arial"/>
          <w:b/>
          <w:bCs/>
          <w:sz w:val="24"/>
          <w:szCs w:val="24"/>
        </w:rPr>
        <w:t xml:space="preserve">veinticinco de octubre de dos mil veintidós, </w:t>
      </w:r>
      <w:r w:rsidR="00CC4B8A" w:rsidRPr="005C7C26">
        <w:rPr>
          <w:rFonts w:ascii="Palatino Linotype" w:hAnsi="Palatino Linotype" w:cs="Arial"/>
          <w:sz w:val="24"/>
          <w:szCs w:val="24"/>
        </w:rPr>
        <w:t>e</w:t>
      </w:r>
      <w:r w:rsidR="00CC4B8A">
        <w:rPr>
          <w:rFonts w:ascii="Palatino Linotype" w:hAnsi="Palatino Linotype" w:cs="Arial"/>
          <w:sz w:val="24"/>
          <w:szCs w:val="24"/>
        </w:rPr>
        <w:t xml:space="preserve">n el expediente electrónico del recurso de revisión </w:t>
      </w:r>
      <w:r w:rsidR="00CC4B8A">
        <w:rPr>
          <w:rFonts w:ascii="Palatino Linotype" w:hAnsi="Palatino Linotype" w:cs="Arial"/>
          <w:sz w:val="24"/>
        </w:rPr>
        <w:t xml:space="preserve">se amplió plazo para dictar resolución, en términos del </w:t>
      </w:r>
      <w:r w:rsidR="00CC4B8A" w:rsidRPr="0053191B">
        <w:rPr>
          <w:rFonts w:ascii="Palatino Linotype" w:hAnsi="Palatino Linotype" w:cs="Arial"/>
          <w:sz w:val="24"/>
          <w:szCs w:val="24"/>
        </w:rPr>
        <w:t>artículo 181 de la Ley de Transparencia y Acceso a la Información del Estado de México y Municipios.</w:t>
      </w:r>
      <w:r w:rsidR="00CC4B8A">
        <w:rPr>
          <w:rFonts w:ascii="Palatino Linotype" w:hAnsi="Palatino Linotype" w:cs="Arial"/>
          <w:sz w:val="24"/>
          <w:szCs w:val="24"/>
        </w:rPr>
        <w:t xml:space="preserve"> </w:t>
      </w:r>
    </w:p>
    <w:p w14:paraId="49445691" w14:textId="77777777" w:rsidR="00CC4B8A" w:rsidRPr="001F3B43" w:rsidRDefault="00CC4B8A" w:rsidP="00CC4B8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DB9E0E6" w14:textId="162C77E8" w:rsidR="00CC4B8A" w:rsidRPr="001F3B43" w:rsidRDefault="00CC4B8A" w:rsidP="00CC4B8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w:t>
      </w:r>
      <w:r w:rsidR="0019373B" w:rsidRPr="001F3B43">
        <w:rPr>
          <w:rFonts w:ascii="Palatino Linotype" w:hAnsi="Palatino Linotype" w:cstheme="majorHAnsi"/>
          <w:sz w:val="24"/>
          <w:szCs w:val="24"/>
        </w:rPr>
        <w:t>que,</w:t>
      </w:r>
      <w:r w:rsidRPr="001F3B43">
        <w:rPr>
          <w:rFonts w:ascii="Palatino Linotype" w:hAnsi="Palatino Linotype" w:cstheme="majorHAnsi"/>
          <w:sz w:val="24"/>
          <w:szCs w:val="24"/>
        </w:rPr>
        <w:t xml:space="preserv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EF5CACB" w14:textId="77777777" w:rsidR="00CC4B8A" w:rsidRPr="001F3B43" w:rsidRDefault="00CC4B8A" w:rsidP="00CC4B8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671B585" w14:textId="77777777" w:rsidR="00CC4B8A" w:rsidRPr="001F3B43" w:rsidRDefault="00CC4B8A" w:rsidP="00CC4B8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w:t>
      </w:r>
      <w:r w:rsidRPr="001F3B43">
        <w:rPr>
          <w:rFonts w:ascii="Palatino Linotype" w:hAnsi="Palatino Linotype" w:cstheme="majorHAnsi"/>
          <w:sz w:val="24"/>
          <w:szCs w:val="24"/>
        </w:rPr>
        <w:lastRenderedPageBreak/>
        <w:t>órganos jurisdiccionales o cuasi jurisdiccionales, tanto por la complejidad de los hechos, como por el número de casos que conocen.</w:t>
      </w:r>
    </w:p>
    <w:p w14:paraId="034D9F1D" w14:textId="77777777" w:rsidR="00CC4B8A" w:rsidRPr="001F3B43" w:rsidRDefault="00CC4B8A" w:rsidP="00CC4B8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53DDCF4F" w14:textId="77777777" w:rsidR="00CC4B8A" w:rsidRPr="001F3B43" w:rsidRDefault="00CC4B8A" w:rsidP="00CC4B8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7F66F73E" w14:textId="77777777" w:rsidR="00CC4B8A" w:rsidRPr="001F3B43" w:rsidRDefault="00CC4B8A" w:rsidP="00CC4B8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2C280BCC" w14:textId="77777777" w:rsidR="00CC4B8A" w:rsidRPr="001F3B43" w:rsidRDefault="00CC4B8A" w:rsidP="00CC4B8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175957C5" w14:textId="77777777" w:rsidR="00CC4B8A" w:rsidRPr="001F3B43" w:rsidRDefault="00CC4B8A" w:rsidP="00CC4B8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5988DF0E" w14:textId="77777777" w:rsidR="00CC4B8A" w:rsidRPr="001F3B43" w:rsidRDefault="00CC4B8A" w:rsidP="00CC4B8A">
      <w:pPr>
        <w:spacing w:line="360" w:lineRule="auto"/>
        <w:jc w:val="both"/>
        <w:rPr>
          <w:rFonts w:ascii="Palatino Linotype" w:hAnsi="Palatino Linotype" w:cstheme="majorHAnsi"/>
          <w:sz w:val="24"/>
          <w:szCs w:val="24"/>
        </w:rPr>
      </w:pPr>
    </w:p>
    <w:p w14:paraId="72E208A7" w14:textId="77777777" w:rsidR="00CC4B8A" w:rsidRPr="001F3B43" w:rsidRDefault="00CC4B8A" w:rsidP="00CC4B8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72F670" w14:textId="77777777" w:rsidR="00CC4B8A" w:rsidRPr="001F3B43" w:rsidRDefault="00CC4B8A" w:rsidP="00CC4B8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w:t>
      </w:r>
      <w:proofErr w:type="gramStart"/>
      <w:r w:rsidRPr="001F3B43">
        <w:rPr>
          <w:rFonts w:ascii="Palatino Linotype" w:hAnsi="Palatino Linotype" w:cstheme="majorHAnsi"/>
          <w:sz w:val="24"/>
          <w:szCs w:val="24"/>
        </w:rPr>
        <w:t>./</w:t>
      </w:r>
      <w:proofErr w:type="gramEnd"/>
      <w:r w:rsidRPr="001F3B43">
        <w:rPr>
          <w:rFonts w:ascii="Palatino Linotype" w:hAnsi="Palatino Linotype" w:cstheme="majorHAnsi"/>
          <w:sz w:val="24"/>
          <w:szCs w:val="24"/>
        </w:rPr>
        <w:t xml:space="preserve">J. 32/92 emitida por el Pleno de la Suprema Corte de Justicia de la Nación de rubro “TÉRMINOS PROCESALES. PARA DETERMINAR SI UN FUNCIONARIO JUDICIAL ACTUÓ INDEBIDAMENTE POR NO RESPETARLOS SE DEBE ATENDER AL </w:t>
      </w:r>
      <w:r w:rsidRPr="001F3B43">
        <w:rPr>
          <w:rFonts w:ascii="Palatino Linotype" w:hAnsi="Palatino Linotype" w:cstheme="majorHAnsi"/>
          <w:sz w:val="24"/>
          <w:szCs w:val="24"/>
        </w:rPr>
        <w:lastRenderedPageBreak/>
        <w:t>PRESUPUESTO QUE CONSIDERÓ EL LEGISLADOR AL FIJARLOS Y LAS CARACTERÍSTICAS DEL CASO.”, visible en la Gaceta del Seminario Judicial de la Federación con el registro digital 205635.</w:t>
      </w:r>
    </w:p>
    <w:p w14:paraId="296505A0" w14:textId="77777777" w:rsidR="00CC4B8A" w:rsidRPr="001F3B43" w:rsidRDefault="00CC4B8A" w:rsidP="00CC4B8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39583EC" w14:textId="77777777" w:rsidR="00CC4B8A" w:rsidRPr="001F3B43" w:rsidRDefault="00CC4B8A" w:rsidP="00CC4B8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39F2C270" w14:textId="77777777" w:rsidR="00CC4B8A" w:rsidRPr="001F3B43" w:rsidRDefault="00CC4B8A" w:rsidP="00CC4B8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11A0407" w14:textId="77777777" w:rsidR="00CC4B8A" w:rsidRPr="001F3B43" w:rsidRDefault="00CC4B8A" w:rsidP="00CC4B8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4E194301" w14:textId="77777777" w:rsidR="00CC4B8A" w:rsidRPr="00B01D73" w:rsidRDefault="00CC4B8A" w:rsidP="00CC4B8A">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lastRenderedPageBreak/>
        <w:t>Por ello, este organismo garante comprometido con la tutela de los derechos humanos confiados, señala que este exceso del plazo legal para resolver el presente asunto, resulta de carácter excepcional.</w:t>
      </w:r>
    </w:p>
    <w:p w14:paraId="0396BA0D" w14:textId="480C84C9" w:rsidR="00921E3A" w:rsidRDefault="00921E3A" w:rsidP="007D581B">
      <w:pPr>
        <w:spacing w:after="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17984EDD"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7672824C" w14:textId="77777777" w:rsidR="00CC4B8A" w:rsidRDefault="00CC4B8A" w:rsidP="006D5803">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4FAE87B8" w14:textId="4916456F"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5DDB2267" w14:textId="77777777" w:rsidR="00CC4B8A" w:rsidRDefault="00CC4B8A" w:rsidP="00CC4B8A">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3AC3BBE9" w14:textId="77777777" w:rsidR="00CC4B8A" w:rsidRPr="00514E66" w:rsidRDefault="00CC4B8A" w:rsidP="00CC4B8A">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20CA21B" w14:textId="77777777" w:rsidR="00CC4B8A" w:rsidRDefault="00CC4B8A" w:rsidP="00CC4B8A">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514E66">
        <w:rPr>
          <w:rFonts w:ascii="Palatino Linotype" w:hAnsi="Palatino Linotype" w:cs="Arial"/>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04842077" w14:textId="77777777" w:rsidR="00EB6D22" w:rsidRDefault="00EB6D22"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lastRenderedPageBreak/>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31748390"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D8428D"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1B26ABA9"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13FA7A64" w14:textId="77777777" w:rsidR="003D5267" w:rsidRDefault="003D5267" w:rsidP="007E24F0">
      <w:pPr>
        <w:spacing w:after="0" w:line="360" w:lineRule="auto"/>
        <w:jc w:val="both"/>
        <w:rPr>
          <w:rFonts w:ascii="Palatino Linotype" w:eastAsia="Times New Roman" w:hAnsi="Palatino Linotype" w:cs="Times New Roman"/>
          <w:sz w:val="24"/>
          <w:szCs w:val="24"/>
          <w:lang w:eastAsia="es-ES"/>
        </w:rPr>
      </w:pPr>
    </w:p>
    <w:p w14:paraId="51546EE5" w14:textId="40DDD46C"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r w:rsidR="0019373B" w:rsidRPr="006010FE">
        <w:rPr>
          <w:rFonts w:ascii="Palatino Linotype" w:eastAsia="Times New Roman" w:hAnsi="Palatino Linotype" w:cs="Times New Roman"/>
          <w:sz w:val="24"/>
          <w:szCs w:val="24"/>
          <w:lang w:eastAsia="es-ES"/>
        </w:rPr>
        <w:t>administre</w:t>
      </w:r>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w:t>
      </w:r>
      <w:r w:rsidRPr="006010FE">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E80103B" w14:textId="09176910" w:rsidR="0072378A" w:rsidRDefault="0072378A" w:rsidP="006D5803">
      <w:pPr>
        <w:tabs>
          <w:tab w:val="left" w:pos="709"/>
        </w:tabs>
        <w:spacing w:before="240" w:line="360" w:lineRule="auto"/>
        <w:ind w:right="51"/>
        <w:jc w:val="both"/>
        <w:rPr>
          <w:rFonts w:ascii="Palatino Linotype" w:hAnsi="Palatino Linotype"/>
          <w:sz w:val="24"/>
          <w:szCs w:val="24"/>
        </w:rPr>
      </w:pPr>
    </w:p>
    <w:p w14:paraId="722E19CE" w14:textId="7407B1EB" w:rsidR="00BD32AF" w:rsidRPr="00BD32AF" w:rsidRDefault="00EB6D22" w:rsidP="00EB6D22">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procedente mencionar que mediante la solicitud de información</w:t>
      </w:r>
      <w:r>
        <w:rPr>
          <w:rFonts w:ascii="Palatino Linotype" w:hAnsi="Palatino Linotype"/>
          <w:sz w:val="24"/>
          <w:szCs w:val="24"/>
        </w:rPr>
        <w:t xml:space="preserve"> </w:t>
      </w:r>
      <w:r w:rsidR="00BD32AF">
        <w:rPr>
          <w:rFonts w:ascii="Palatino Linotype" w:hAnsi="Palatino Linotype"/>
          <w:b/>
          <w:bCs/>
          <w:sz w:val="24"/>
          <w:szCs w:val="24"/>
        </w:rPr>
        <w:t xml:space="preserve">00503/TEPOTZOT/IP/2022 </w:t>
      </w:r>
      <w:r w:rsidR="00BD32AF">
        <w:rPr>
          <w:rFonts w:ascii="Palatino Linotype" w:hAnsi="Palatino Linotype"/>
          <w:sz w:val="24"/>
          <w:szCs w:val="24"/>
        </w:rPr>
        <w:t xml:space="preserve">fue formulado </w:t>
      </w:r>
      <w:r w:rsidR="00BD32AF">
        <w:rPr>
          <w:rFonts w:ascii="Palatino Linotype" w:hAnsi="Palatino Linotype"/>
          <w:b/>
          <w:bCs/>
          <w:sz w:val="24"/>
          <w:szCs w:val="24"/>
        </w:rPr>
        <w:t xml:space="preserve">1 -un- </w:t>
      </w:r>
      <w:r w:rsidR="00BD32AF">
        <w:rPr>
          <w:rFonts w:ascii="Palatino Linotype" w:hAnsi="Palatino Linotype"/>
          <w:sz w:val="24"/>
          <w:szCs w:val="24"/>
        </w:rPr>
        <w:t xml:space="preserve">requerimiento respecto del cual no fue delimitado el elemento temporal, debiendo de ser fijado a la fecha en que se ejerció el derecho de acceso a la información pública, es decir, al uno de agosto de dos mil veintidós. </w:t>
      </w:r>
    </w:p>
    <w:p w14:paraId="703D776E" w14:textId="2A36B7EA" w:rsidR="00EB6D22" w:rsidRPr="0051062B" w:rsidRDefault="00BD32AF" w:rsidP="00EB6D22">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Dicha precisión</w:t>
      </w:r>
      <w:r w:rsidR="00EB6D22">
        <w:rPr>
          <w:rFonts w:ascii="Palatino Linotype" w:hAnsi="Palatino Linotype"/>
          <w:sz w:val="24"/>
          <w:szCs w:val="24"/>
        </w:rPr>
        <w:t xml:space="preserve">, </w:t>
      </w:r>
      <w:r w:rsidR="00EB6D22" w:rsidRPr="0051062B">
        <w:rPr>
          <w:rFonts w:ascii="Palatino Linotype" w:hAnsi="Palatino Linotype"/>
          <w:sz w:val="24"/>
          <w:szCs w:val="24"/>
        </w:rPr>
        <w:t xml:space="preserve">con fundamento en los artículos 13 y 181 cuarto párrafo de la Ley en materia, los cuales a la letra rezan: </w:t>
      </w:r>
    </w:p>
    <w:p w14:paraId="011BB1EC" w14:textId="77777777" w:rsidR="00EB6D22" w:rsidRPr="0051062B" w:rsidRDefault="00EB6D22" w:rsidP="00EB6D22">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1E85610F" w14:textId="77777777" w:rsidR="00EB6D22" w:rsidRPr="0051062B" w:rsidRDefault="00EB6D22" w:rsidP="00EB6D22">
      <w:pPr>
        <w:pStyle w:val="Citas"/>
        <w:rPr>
          <w:b/>
        </w:rPr>
      </w:pPr>
      <w:r w:rsidRPr="0051062B">
        <w:rPr>
          <w:b/>
        </w:rPr>
        <w:t xml:space="preserve">Artículo 181. … </w:t>
      </w:r>
    </w:p>
    <w:p w14:paraId="7DE94A5F" w14:textId="77777777" w:rsidR="00EB6D22" w:rsidRPr="0051062B" w:rsidRDefault="00EB6D22" w:rsidP="00EB6D22">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79D7269E" w14:textId="77777777" w:rsidR="00EB6D22" w:rsidRDefault="00EB6D22" w:rsidP="00EB6D22">
      <w:pPr>
        <w:spacing w:before="240" w:line="360" w:lineRule="auto"/>
        <w:jc w:val="both"/>
        <w:rPr>
          <w:rFonts w:ascii="Palatino Linotype" w:hAnsi="Palatino Linotype"/>
          <w:sz w:val="24"/>
          <w:szCs w:val="24"/>
        </w:rPr>
      </w:pPr>
    </w:p>
    <w:p w14:paraId="4DF1669F" w14:textId="1AE48DA9" w:rsidR="00EB6D22" w:rsidRDefault="00EB6D22" w:rsidP="00EB6D2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Bajo estas líneas argumentativas, al retomar y delimitar los requerimientos formulados por</w:t>
      </w:r>
      <w:r w:rsidR="00BD32AF">
        <w:rPr>
          <w:rFonts w:ascii="Palatino Linotype" w:hAnsi="Palatino Linotype"/>
          <w:sz w:val="24"/>
          <w:szCs w:val="24"/>
        </w:rPr>
        <w:t xml:space="preserve"> la</w:t>
      </w:r>
      <w:r>
        <w:rPr>
          <w:rFonts w:ascii="Palatino Linotype" w:hAnsi="Palatino Linotype"/>
          <w:sz w:val="24"/>
          <w:szCs w:val="24"/>
        </w:rPr>
        <w:t xml:space="preserve"> ahora </w:t>
      </w:r>
      <w:r>
        <w:rPr>
          <w:rFonts w:ascii="Palatino Linotype" w:hAnsi="Palatino Linotype"/>
          <w:b/>
          <w:sz w:val="24"/>
          <w:szCs w:val="24"/>
        </w:rPr>
        <w:t xml:space="preserve">Recurrente, </w:t>
      </w:r>
      <w:r>
        <w:rPr>
          <w:rFonts w:ascii="Palatino Linotype" w:hAnsi="Palatino Linotype"/>
          <w:sz w:val="24"/>
          <w:szCs w:val="24"/>
        </w:rPr>
        <w:t>de manera objetiva se precisa que versa en conocer, la siguiente información:</w:t>
      </w:r>
    </w:p>
    <w:p w14:paraId="40FAB8E7" w14:textId="1A703C12" w:rsidR="00EB6D22" w:rsidRDefault="00BD32AF">
      <w:pPr>
        <w:pStyle w:val="Prrafodelista"/>
        <w:numPr>
          <w:ilvl w:val="0"/>
          <w:numId w:val="2"/>
        </w:numPr>
        <w:spacing w:before="240" w:line="360" w:lineRule="auto"/>
        <w:jc w:val="both"/>
        <w:rPr>
          <w:rFonts w:ascii="Palatino Linotype" w:hAnsi="Palatino Linotype" w:cs="Arial"/>
        </w:rPr>
      </w:pPr>
      <w:r>
        <w:rPr>
          <w:rFonts w:ascii="Palatino Linotype" w:hAnsi="Palatino Linotype" w:cs="Arial"/>
        </w:rPr>
        <w:t xml:space="preserve">El o los documentos y anexos vinculados con la controversia de </w:t>
      </w:r>
      <w:proofErr w:type="spellStart"/>
      <w:proofErr w:type="gramStart"/>
      <w:r>
        <w:rPr>
          <w:rFonts w:ascii="Palatino Linotype" w:hAnsi="Palatino Linotype" w:cs="Arial"/>
        </w:rPr>
        <w:t>limites</w:t>
      </w:r>
      <w:proofErr w:type="spellEnd"/>
      <w:proofErr w:type="gramEnd"/>
      <w:r>
        <w:rPr>
          <w:rFonts w:ascii="Palatino Linotype" w:hAnsi="Palatino Linotype" w:cs="Arial"/>
        </w:rPr>
        <w:t xml:space="preserve"> territoriales entre los municipios de Tepotzotlán y Teoloyucan, al uno de agosto de dos mil </w:t>
      </w:r>
      <w:proofErr w:type="spellStart"/>
      <w:r>
        <w:rPr>
          <w:rFonts w:ascii="Palatino Linotype" w:hAnsi="Palatino Linotype" w:cs="Arial"/>
        </w:rPr>
        <w:t>veintidos</w:t>
      </w:r>
      <w:proofErr w:type="spellEnd"/>
      <w:r>
        <w:rPr>
          <w:rFonts w:ascii="Palatino Linotype" w:hAnsi="Palatino Linotype" w:cs="Arial"/>
        </w:rPr>
        <w:t xml:space="preserve">. </w:t>
      </w:r>
    </w:p>
    <w:p w14:paraId="6226337F" w14:textId="4732C5DE" w:rsidR="00EB6D22" w:rsidRDefault="00EB6D22" w:rsidP="006D5803">
      <w:pPr>
        <w:tabs>
          <w:tab w:val="left" w:pos="709"/>
        </w:tabs>
        <w:spacing w:before="240" w:line="360" w:lineRule="auto"/>
        <w:ind w:right="51"/>
        <w:jc w:val="both"/>
        <w:rPr>
          <w:rFonts w:ascii="Palatino Linotype" w:hAnsi="Palatino Linotype"/>
          <w:sz w:val="24"/>
          <w:szCs w:val="24"/>
          <w:lang w:val="es-ES"/>
        </w:rPr>
      </w:pPr>
    </w:p>
    <w:p w14:paraId="01DDB4F6" w14:textId="589D8470" w:rsidR="00D87BCA" w:rsidRDefault="00D87BCA" w:rsidP="006D5803">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sz w:val="24"/>
          <w:szCs w:val="24"/>
          <w:lang w:val="es-ES"/>
        </w:rPr>
        <w:t xml:space="preserve">Bajo este contexto, con relación al concepto diferendos limítrofes, resulta propicio traer a colación el numeral 112 de la Constitución Política </w:t>
      </w:r>
      <w:r w:rsidR="002A1527">
        <w:rPr>
          <w:rFonts w:ascii="Palatino Linotype" w:hAnsi="Palatino Linotype"/>
          <w:sz w:val="24"/>
          <w:szCs w:val="24"/>
          <w:lang w:val="es-ES"/>
        </w:rPr>
        <w:t>del Estado</w:t>
      </w:r>
      <w:r>
        <w:rPr>
          <w:rFonts w:ascii="Palatino Linotype" w:hAnsi="Palatino Linotype"/>
          <w:sz w:val="24"/>
          <w:szCs w:val="24"/>
          <w:lang w:val="es-ES"/>
        </w:rPr>
        <w:t xml:space="preserve"> Libre y Soberano de México, así como los numerales 4, 7 y 8 de la Ley Orgánica Municipal del Estado de México, porciones normativas que disponen a la literalidad lo siguiente: </w:t>
      </w:r>
    </w:p>
    <w:p w14:paraId="47345927" w14:textId="30F429FB" w:rsidR="00D87BCA" w:rsidRPr="00AB57AD" w:rsidRDefault="00AB57AD" w:rsidP="00AB57AD">
      <w:pPr>
        <w:pStyle w:val="Citas"/>
        <w:jc w:val="center"/>
        <w:rPr>
          <w:b/>
          <w:lang w:val="es-ES"/>
        </w:rPr>
      </w:pPr>
      <w:r w:rsidRPr="00AB57AD">
        <w:rPr>
          <w:b/>
          <w:lang w:val="es-ES"/>
        </w:rPr>
        <w:t>CONSTITUCIÓN POLÍTICA DEL ESTADO LIBRE Y SOBERANO DE MÉXICO</w:t>
      </w:r>
    </w:p>
    <w:p w14:paraId="5D05DAA9" w14:textId="5456017A" w:rsidR="002A1527" w:rsidRDefault="00AB57AD" w:rsidP="00AB57AD">
      <w:pPr>
        <w:pStyle w:val="Citas"/>
      </w:pPr>
      <w:r>
        <w:t>“</w:t>
      </w:r>
      <w:r w:rsidR="002A1527">
        <w:t xml:space="preserve">Artículo 112.- La base de la división territorial y de la organización política y administrativa del Estado, es el municipio libre. Las facultades que la Constitución de la República y el presente ordenamiento otorgan al gobierno municipal se ejercerá por el ayuntamiento de manera exclusiva y no habrá autoridad intermedia alguna entre éste y el gobierno del Estado. </w:t>
      </w:r>
    </w:p>
    <w:p w14:paraId="2E574F47" w14:textId="19637625" w:rsidR="00D87BCA" w:rsidRPr="00AB57AD" w:rsidRDefault="002A1527" w:rsidP="00AB57AD">
      <w:pPr>
        <w:pStyle w:val="Citas"/>
        <w:rPr>
          <w:b/>
          <w:bCs/>
        </w:rPr>
      </w:pPr>
      <w:r>
        <w:t>Los municipios del Estado, su denominación y la de sus cabeceras, serán los que señale la ley de la materia.</w:t>
      </w:r>
      <w:r w:rsidR="00AB57AD">
        <w:t xml:space="preserve">” </w:t>
      </w:r>
      <w:r w:rsidR="00AB57AD">
        <w:rPr>
          <w:b/>
          <w:bCs/>
        </w:rPr>
        <w:t>(Sic)</w:t>
      </w:r>
    </w:p>
    <w:p w14:paraId="34053799" w14:textId="05493622" w:rsidR="00D87BCA" w:rsidRDefault="00D87BCA" w:rsidP="00480074">
      <w:pPr>
        <w:pStyle w:val="Sinespaciado"/>
        <w:spacing w:line="360" w:lineRule="auto"/>
        <w:jc w:val="both"/>
        <w:rPr>
          <w:rFonts w:ascii="Palatino Linotype" w:hAnsi="Palatino Linotype"/>
          <w:bCs/>
        </w:rPr>
      </w:pPr>
    </w:p>
    <w:p w14:paraId="64AE706B" w14:textId="36A18A7A" w:rsidR="002A1527" w:rsidRPr="00AB57AD" w:rsidRDefault="00AB57AD" w:rsidP="00AB57AD">
      <w:pPr>
        <w:pStyle w:val="Citas"/>
        <w:jc w:val="center"/>
        <w:rPr>
          <w:b/>
          <w:bCs/>
          <w:lang w:val="es-ES"/>
        </w:rPr>
      </w:pPr>
      <w:r w:rsidRPr="00AB57AD">
        <w:rPr>
          <w:b/>
          <w:bCs/>
          <w:lang w:val="es-ES"/>
        </w:rPr>
        <w:lastRenderedPageBreak/>
        <w:t>LEY ORGÁNICA MUNICIPAL DEL ESTADO DE MÉXICO</w:t>
      </w:r>
    </w:p>
    <w:p w14:paraId="1A4AB908" w14:textId="658BF124" w:rsidR="002A1527" w:rsidRDefault="00AB57AD" w:rsidP="00AB57AD">
      <w:pPr>
        <w:pStyle w:val="Citas"/>
      </w:pPr>
      <w:r>
        <w:t>“</w:t>
      </w:r>
      <w:r w:rsidR="002A1527">
        <w:t>Artículo 4.- La creación y supresión de municipios, la modificación de su territorio, cambios en su denominación o ubicación de sus cabeceras municipales, así como la solución de conflictos sobre límites intermunicipales, corresponden a la Legislatura del Estado.</w:t>
      </w:r>
    </w:p>
    <w:p w14:paraId="4AB79192" w14:textId="77777777" w:rsidR="002A1527" w:rsidRDefault="002A1527" w:rsidP="00AB57AD">
      <w:pPr>
        <w:pStyle w:val="Citas"/>
      </w:pPr>
      <w:r>
        <w:t xml:space="preserve">Artículo 7.- La extensión territorial de los municipios del Estado, comprenderá la superficie y límites reconocidos para cada uno de ellos. </w:t>
      </w:r>
    </w:p>
    <w:p w14:paraId="25A665F9" w14:textId="3FB0682F" w:rsidR="002A1527" w:rsidRPr="00AB57AD" w:rsidRDefault="002A1527" w:rsidP="00AB57AD">
      <w:pPr>
        <w:pStyle w:val="Citas"/>
        <w:rPr>
          <w:b/>
          <w:bCs/>
        </w:rPr>
      </w:pPr>
      <w:r>
        <w:t>Artículo 8.- La división territorial de los municipios se integra por la cabecera municipal, y por las delegaciones, subdelegaciones, colonias, sectores y manzanas, con la denominación, extensión y límites que establezcan los ayuntamientos.</w:t>
      </w:r>
      <w:r w:rsidR="00AB57AD">
        <w:t xml:space="preserve">” </w:t>
      </w:r>
      <w:r w:rsidR="00AB57AD">
        <w:rPr>
          <w:b/>
          <w:bCs/>
        </w:rPr>
        <w:t>(Sic)</w:t>
      </w:r>
    </w:p>
    <w:p w14:paraId="7EC0E6F5" w14:textId="77777777" w:rsidR="002A1527" w:rsidRDefault="002A1527" w:rsidP="00480074">
      <w:pPr>
        <w:pStyle w:val="Sinespaciado"/>
        <w:spacing w:line="360" w:lineRule="auto"/>
        <w:jc w:val="both"/>
        <w:rPr>
          <w:rFonts w:ascii="Palatino Linotype" w:hAnsi="Palatino Linotype"/>
          <w:bCs/>
        </w:rPr>
      </w:pPr>
    </w:p>
    <w:p w14:paraId="48D594DF" w14:textId="3AFE8504" w:rsidR="002A1527" w:rsidRPr="00AB57AD" w:rsidRDefault="002A1527" w:rsidP="00480074">
      <w:pPr>
        <w:pStyle w:val="Sinespaciado"/>
        <w:spacing w:line="360" w:lineRule="auto"/>
        <w:jc w:val="both"/>
        <w:rPr>
          <w:rFonts w:ascii="Palatino Linotype" w:hAnsi="Palatino Linotype"/>
        </w:rPr>
      </w:pPr>
      <w:r w:rsidRPr="00AB57AD">
        <w:rPr>
          <w:rFonts w:ascii="Palatino Linotype" w:hAnsi="Palatino Linotype"/>
        </w:rPr>
        <w:t xml:space="preserve">Una vez asentado esto, se debe mencionar que la autoridad competente para conocer sobre los conflictos intermunicipales es el Poder Legislativo a través de la Comisión de Límites del Gobierno del Estado de México, órgano colegiado cuya esfera competencial se rige por la Ley Reglamentaria de las Fracciones XXV y XXVI del Artículo 61 de la </w:t>
      </w:r>
      <w:r w:rsidR="00AB57AD" w:rsidRPr="00AB57AD">
        <w:rPr>
          <w:rFonts w:ascii="Palatino Linotype" w:hAnsi="Palatino Linotype"/>
        </w:rPr>
        <w:t>Constitución</w:t>
      </w:r>
      <w:r w:rsidRPr="00AB57AD">
        <w:rPr>
          <w:rFonts w:ascii="Palatino Linotype" w:hAnsi="Palatino Linotype"/>
        </w:rPr>
        <w:t xml:space="preserve"> Política del Estado Libre y Soberano de México, resultando de nuestro interés los numerales 19 fracciones I, III, VII y XI, 40, porciones normativas que disponen a la literalidad lo siguiente:</w:t>
      </w:r>
    </w:p>
    <w:p w14:paraId="2BA73F0B" w14:textId="4C94DE46" w:rsidR="002A1527" w:rsidRDefault="00AB57AD" w:rsidP="00AB57AD">
      <w:pPr>
        <w:pStyle w:val="Citas"/>
      </w:pPr>
      <w:r>
        <w:t>“</w:t>
      </w:r>
      <w:r w:rsidR="002A1527">
        <w:t>Artículo 19.- Para el cumplimiento de su objetivo, la Comisión Estatal tendrá las atribuciones siguientes:</w:t>
      </w:r>
    </w:p>
    <w:p w14:paraId="1DB7A8A4" w14:textId="5A6BD856" w:rsidR="002A1527" w:rsidRDefault="002A1527" w:rsidP="00AB57AD">
      <w:pPr>
        <w:pStyle w:val="Citas"/>
      </w:pPr>
      <w:r>
        <w:t>I. Emitir opinión técnica sobre la extensión y límites del Estado y de sus Municipios a solicitud expresa de la Legislatura o de la persona titular del Ejecutivo;</w:t>
      </w:r>
    </w:p>
    <w:p w14:paraId="76575466" w14:textId="57AB38C0" w:rsidR="002A1527" w:rsidRDefault="002A1527" w:rsidP="00AB57AD">
      <w:pPr>
        <w:pStyle w:val="Citas"/>
        <w:rPr>
          <w:bCs/>
        </w:rPr>
      </w:pPr>
      <w:r>
        <w:rPr>
          <w:bCs/>
        </w:rPr>
        <w:lastRenderedPageBreak/>
        <w:t>(…)</w:t>
      </w:r>
    </w:p>
    <w:p w14:paraId="4579B7CD" w14:textId="77777777" w:rsidR="002A1527" w:rsidRDefault="002A1527" w:rsidP="00AB57AD">
      <w:pPr>
        <w:pStyle w:val="Citas"/>
      </w:pPr>
      <w:r>
        <w:t xml:space="preserve">III. Promover la celebración de convenios amistosos para resolver los problemas de límites entre sus municipios y el Estado con otras entidades federativas, a fin de que la Legislatura cuente con argumentos para dictaminar sobre los mismos; </w:t>
      </w:r>
    </w:p>
    <w:p w14:paraId="5EACFF3B" w14:textId="56917370" w:rsidR="002A1527" w:rsidRDefault="002A1527" w:rsidP="00AB57AD">
      <w:pPr>
        <w:pStyle w:val="Citas"/>
      </w:pPr>
      <w:r>
        <w:t>(…)</w:t>
      </w:r>
    </w:p>
    <w:p w14:paraId="250679CA" w14:textId="3FE0EBAE" w:rsidR="002A1527" w:rsidRDefault="002A1527" w:rsidP="00AB57AD">
      <w:pPr>
        <w:pStyle w:val="Citas"/>
      </w:pPr>
      <w:r>
        <w:t>VII. Preparar el expediente técnico que coadyuve para el arreglo de los límites del estado con otras entidades federativas o con sus municipios en los casos que se planteen diferencias en esta materia;</w:t>
      </w:r>
    </w:p>
    <w:p w14:paraId="32BE471B" w14:textId="26C1A226" w:rsidR="002A1527" w:rsidRDefault="002A1527" w:rsidP="00AB57AD">
      <w:pPr>
        <w:pStyle w:val="Citas"/>
      </w:pPr>
      <w:r>
        <w:t>(…)</w:t>
      </w:r>
    </w:p>
    <w:p w14:paraId="6D764F2A" w14:textId="029F8FF1" w:rsidR="002A1527" w:rsidRDefault="002A1527" w:rsidP="00AB57AD">
      <w:pPr>
        <w:pStyle w:val="Citas"/>
      </w:pPr>
      <w:r>
        <w:t>XI. Emitir dictámenes técnicos en materia de diferendos limítrofes entre los municipios del Estado;</w:t>
      </w:r>
    </w:p>
    <w:p w14:paraId="3E61C72D" w14:textId="461CEF1F" w:rsidR="002A1527" w:rsidRDefault="002A1527" w:rsidP="00AB57AD">
      <w:pPr>
        <w:pStyle w:val="Citas"/>
      </w:pPr>
      <w:r>
        <w:t>(…)</w:t>
      </w:r>
    </w:p>
    <w:p w14:paraId="5F0E626F" w14:textId="3304B152" w:rsidR="002A1527" w:rsidRPr="00AB57AD" w:rsidRDefault="002A1527" w:rsidP="00AB57AD">
      <w:pPr>
        <w:pStyle w:val="Citas"/>
        <w:rPr>
          <w:b/>
          <w:bCs/>
        </w:rPr>
      </w:pPr>
      <w:r>
        <w:t>Artículo 40. Las diferencias que se susciten sobre límites municipales serán resueltas por la Legislatura, con el apoyo de la Comisión Estatal de conformidad con las disposiciones de esta Ley.</w:t>
      </w:r>
      <w:r w:rsidR="00AB57AD">
        <w:t xml:space="preserve">” </w:t>
      </w:r>
      <w:r w:rsidR="00AB57AD">
        <w:rPr>
          <w:b/>
          <w:bCs/>
        </w:rPr>
        <w:t>(Sic)</w:t>
      </w:r>
    </w:p>
    <w:p w14:paraId="13719AD4" w14:textId="084D7F1A" w:rsidR="002A1527" w:rsidRDefault="002A1527" w:rsidP="00480074">
      <w:pPr>
        <w:pStyle w:val="Sinespaciado"/>
        <w:spacing w:line="360" w:lineRule="auto"/>
        <w:jc w:val="both"/>
      </w:pPr>
    </w:p>
    <w:p w14:paraId="2011B1E2" w14:textId="5F393C84" w:rsidR="002A1527" w:rsidRPr="00AB57AD" w:rsidRDefault="002A1527" w:rsidP="00480074">
      <w:pPr>
        <w:pStyle w:val="Sinespaciado"/>
        <w:spacing w:line="360" w:lineRule="auto"/>
        <w:jc w:val="both"/>
        <w:rPr>
          <w:rFonts w:ascii="Palatino Linotype" w:hAnsi="Palatino Linotype"/>
        </w:rPr>
      </w:pPr>
      <w:r w:rsidRPr="00AB57AD">
        <w:rPr>
          <w:rFonts w:ascii="Palatino Linotype" w:hAnsi="Palatino Linotype"/>
        </w:rPr>
        <w:t>El mismo instrumento, en el rango de artículos que van del 41 al 60, contempla el procedimiento que se debe llevar a cabo, el cual, para efectos prácticos consta de lo siguiente:</w:t>
      </w:r>
    </w:p>
    <w:p w14:paraId="31D3809A" w14:textId="6A9FAB54" w:rsidR="002A1527" w:rsidRDefault="000502C8" w:rsidP="002A1527">
      <w:pPr>
        <w:pStyle w:val="Sinespaciado"/>
        <w:numPr>
          <w:ilvl w:val="0"/>
          <w:numId w:val="10"/>
        </w:numPr>
        <w:spacing w:line="360" w:lineRule="auto"/>
        <w:jc w:val="both"/>
        <w:rPr>
          <w:rFonts w:ascii="Palatino Linotype" w:hAnsi="Palatino Linotype"/>
          <w:bCs/>
        </w:rPr>
      </w:pPr>
      <w:r>
        <w:rPr>
          <w:rFonts w:ascii="Palatino Linotype" w:hAnsi="Palatino Linotype"/>
          <w:bCs/>
        </w:rPr>
        <w:t>Presentación de solicitud para iniciar procedimiento para la solución de diferendos limítrofes intermunicipales</w:t>
      </w:r>
    </w:p>
    <w:p w14:paraId="6746562E" w14:textId="1AC430CC" w:rsidR="000502C8" w:rsidRDefault="000502C8" w:rsidP="002A1527">
      <w:pPr>
        <w:pStyle w:val="Sinespaciado"/>
        <w:numPr>
          <w:ilvl w:val="0"/>
          <w:numId w:val="10"/>
        </w:numPr>
        <w:spacing w:line="360" w:lineRule="auto"/>
        <w:jc w:val="both"/>
        <w:rPr>
          <w:rFonts w:ascii="Palatino Linotype" w:hAnsi="Palatino Linotype"/>
          <w:bCs/>
        </w:rPr>
      </w:pPr>
      <w:r>
        <w:rPr>
          <w:rFonts w:ascii="Palatino Linotype" w:hAnsi="Palatino Linotype"/>
          <w:bCs/>
        </w:rPr>
        <w:t>Turno de solicitud a la Comisión Legislativa</w:t>
      </w:r>
    </w:p>
    <w:p w14:paraId="7390D0B5" w14:textId="04341137" w:rsidR="000502C8" w:rsidRDefault="00AB57AD" w:rsidP="002A1527">
      <w:pPr>
        <w:pStyle w:val="Sinespaciado"/>
        <w:numPr>
          <w:ilvl w:val="0"/>
          <w:numId w:val="10"/>
        </w:numPr>
        <w:spacing w:line="360" w:lineRule="auto"/>
        <w:jc w:val="both"/>
        <w:rPr>
          <w:rFonts w:ascii="Palatino Linotype" w:hAnsi="Palatino Linotype"/>
          <w:bCs/>
        </w:rPr>
      </w:pPr>
      <w:r>
        <w:rPr>
          <w:rFonts w:ascii="Palatino Linotype" w:hAnsi="Palatino Linotype"/>
          <w:bCs/>
        </w:rPr>
        <w:lastRenderedPageBreak/>
        <w:t>Señalamiento</w:t>
      </w:r>
      <w:r w:rsidR="000502C8">
        <w:rPr>
          <w:rFonts w:ascii="Palatino Linotype" w:hAnsi="Palatino Linotype"/>
          <w:bCs/>
        </w:rPr>
        <w:t xml:space="preserve"> de fecha de audiencia para exposición de argumentos</w:t>
      </w:r>
    </w:p>
    <w:p w14:paraId="5E6BF269" w14:textId="3F2FF1A5" w:rsidR="000502C8" w:rsidRDefault="000502C8" w:rsidP="002A1527">
      <w:pPr>
        <w:pStyle w:val="Sinespaciado"/>
        <w:numPr>
          <w:ilvl w:val="0"/>
          <w:numId w:val="10"/>
        </w:numPr>
        <w:spacing w:line="360" w:lineRule="auto"/>
        <w:jc w:val="both"/>
        <w:rPr>
          <w:rFonts w:ascii="Palatino Linotype" w:hAnsi="Palatino Linotype"/>
          <w:bCs/>
        </w:rPr>
      </w:pPr>
      <w:r>
        <w:rPr>
          <w:rFonts w:ascii="Palatino Linotype" w:hAnsi="Palatino Linotype"/>
          <w:bCs/>
        </w:rPr>
        <w:t xml:space="preserve">Presentación y desahogo de pruebas (Excepto confesional, las que no tengan relación directa con el asunto, las que resulten inútiles para la decisión del caso y aquellas que sean contrarias a derecho). </w:t>
      </w:r>
    </w:p>
    <w:p w14:paraId="5B5FB3E6" w14:textId="1EFED2A3" w:rsidR="000502C8" w:rsidRDefault="000502C8" w:rsidP="002A1527">
      <w:pPr>
        <w:pStyle w:val="Sinespaciado"/>
        <w:numPr>
          <w:ilvl w:val="0"/>
          <w:numId w:val="10"/>
        </w:numPr>
        <w:spacing w:line="360" w:lineRule="auto"/>
        <w:jc w:val="both"/>
        <w:rPr>
          <w:rFonts w:ascii="Palatino Linotype" w:hAnsi="Palatino Linotype"/>
          <w:bCs/>
        </w:rPr>
      </w:pPr>
      <w:r>
        <w:rPr>
          <w:rFonts w:ascii="Palatino Linotype" w:hAnsi="Palatino Linotype"/>
          <w:bCs/>
        </w:rPr>
        <w:t xml:space="preserve">Admisión </w:t>
      </w:r>
      <w:r w:rsidR="00627269">
        <w:rPr>
          <w:rFonts w:ascii="Palatino Linotype" w:hAnsi="Palatino Linotype"/>
          <w:bCs/>
        </w:rPr>
        <w:t>de pruebas</w:t>
      </w:r>
      <w:r>
        <w:rPr>
          <w:rFonts w:ascii="Palatino Linotype" w:hAnsi="Palatino Linotype"/>
          <w:bCs/>
        </w:rPr>
        <w:t xml:space="preserve"> </w:t>
      </w:r>
    </w:p>
    <w:p w14:paraId="51169729" w14:textId="2D561B3D" w:rsidR="000502C8" w:rsidRDefault="000502C8" w:rsidP="002A1527">
      <w:pPr>
        <w:pStyle w:val="Sinespaciado"/>
        <w:numPr>
          <w:ilvl w:val="0"/>
          <w:numId w:val="10"/>
        </w:numPr>
        <w:spacing w:line="360" w:lineRule="auto"/>
        <w:jc w:val="both"/>
        <w:rPr>
          <w:rFonts w:ascii="Palatino Linotype" w:hAnsi="Palatino Linotype"/>
          <w:bCs/>
        </w:rPr>
      </w:pPr>
      <w:r>
        <w:rPr>
          <w:rFonts w:ascii="Palatino Linotype" w:hAnsi="Palatino Linotype"/>
          <w:bCs/>
        </w:rPr>
        <w:t>Valoración de pruebas y manifestaciones</w:t>
      </w:r>
    </w:p>
    <w:p w14:paraId="152C1D88" w14:textId="762B256F" w:rsidR="000502C8" w:rsidRDefault="000502C8" w:rsidP="002A1527">
      <w:pPr>
        <w:pStyle w:val="Sinespaciado"/>
        <w:numPr>
          <w:ilvl w:val="0"/>
          <w:numId w:val="10"/>
        </w:numPr>
        <w:spacing w:line="360" w:lineRule="auto"/>
        <w:jc w:val="both"/>
        <w:rPr>
          <w:rFonts w:ascii="Palatino Linotype" w:hAnsi="Palatino Linotype"/>
          <w:bCs/>
        </w:rPr>
      </w:pPr>
      <w:r>
        <w:rPr>
          <w:rFonts w:ascii="Palatino Linotype" w:hAnsi="Palatino Linotype"/>
          <w:bCs/>
        </w:rPr>
        <w:t>Elaboración de dictamen de la Comisión legislativa</w:t>
      </w:r>
    </w:p>
    <w:p w14:paraId="704805F6" w14:textId="162E01E6" w:rsidR="000502C8" w:rsidRDefault="000502C8" w:rsidP="002A1527">
      <w:pPr>
        <w:pStyle w:val="Sinespaciado"/>
        <w:numPr>
          <w:ilvl w:val="0"/>
          <w:numId w:val="10"/>
        </w:numPr>
        <w:spacing w:line="360" w:lineRule="auto"/>
        <w:jc w:val="both"/>
        <w:rPr>
          <w:rFonts w:ascii="Palatino Linotype" w:hAnsi="Palatino Linotype"/>
          <w:bCs/>
        </w:rPr>
      </w:pPr>
      <w:r>
        <w:rPr>
          <w:rFonts w:ascii="Palatino Linotype" w:hAnsi="Palatino Linotype"/>
          <w:bCs/>
        </w:rPr>
        <w:t>Decreto legislativo (Nombre de municipios</w:t>
      </w:r>
      <w:r w:rsidR="00AB57AD">
        <w:rPr>
          <w:rFonts w:ascii="Palatino Linotype" w:hAnsi="Palatino Linotype"/>
          <w:bCs/>
        </w:rPr>
        <w:t>;</w:t>
      </w:r>
      <w:r>
        <w:rPr>
          <w:rFonts w:ascii="Palatino Linotype" w:hAnsi="Palatino Linotype"/>
          <w:bCs/>
        </w:rPr>
        <w:t xml:space="preserve"> diferendo limítrofe analizado</w:t>
      </w:r>
      <w:r w:rsidR="00AB57AD">
        <w:rPr>
          <w:rFonts w:ascii="Palatino Linotype" w:hAnsi="Palatino Linotype"/>
          <w:bCs/>
        </w:rPr>
        <w:t>;</w:t>
      </w:r>
      <w:r>
        <w:rPr>
          <w:rFonts w:ascii="Palatino Linotype" w:hAnsi="Palatino Linotype"/>
          <w:bCs/>
        </w:rPr>
        <w:t xml:space="preserve"> valoración de pruebas</w:t>
      </w:r>
      <w:r w:rsidR="00AB57AD">
        <w:rPr>
          <w:rFonts w:ascii="Palatino Linotype" w:hAnsi="Palatino Linotype"/>
          <w:bCs/>
        </w:rPr>
        <w:t>;</w:t>
      </w:r>
      <w:r>
        <w:rPr>
          <w:rFonts w:ascii="Palatino Linotype" w:hAnsi="Palatino Linotype"/>
          <w:bCs/>
        </w:rPr>
        <w:t xml:space="preserve"> fundamentos y motivos</w:t>
      </w:r>
      <w:r w:rsidR="00AB57AD">
        <w:rPr>
          <w:rFonts w:ascii="Palatino Linotype" w:hAnsi="Palatino Linotype"/>
          <w:bCs/>
        </w:rPr>
        <w:t>;</w:t>
      </w:r>
      <w:r>
        <w:rPr>
          <w:rFonts w:ascii="Palatino Linotype" w:hAnsi="Palatino Linotype"/>
          <w:bCs/>
        </w:rPr>
        <w:t xml:space="preserve"> conclusiones y resolutivos</w:t>
      </w:r>
      <w:r w:rsidR="00AB57AD">
        <w:rPr>
          <w:rFonts w:ascii="Palatino Linotype" w:hAnsi="Palatino Linotype"/>
          <w:bCs/>
        </w:rPr>
        <w:t>;</w:t>
      </w:r>
      <w:r>
        <w:rPr>
          <w:rFonts w:ascii="Palatino Linotype" w:hAnsi="Palatino Linotype"/>
          <w:bCs/>
        </w:rPr>
        <w:t xml:space="preserve"> </w:t>
      </w:r>
      <w:r w:rsidR="00AB57AD">
        <w:rPr>
          <w:rFonts w:ascii="Palatino Linotype" w:hAnsi="Palatino Linotype"/>
          <w:bCs/>
        </w:rPr>
        <w:t>alcances y efectos del decreto; término; plano topográfico)</w:t>
      </w:r>
    </w:p>
    <w:p w14:paraId="238ABF0D" w14:textId="77777777" w:rsidR="002A1527" w:rsidRDefault="002A1527" w:rsidP="00480074">
      <w:pPr>
        <w:pStyle w:val="Sinespaciado"/>
        <w:spacing w:line="360" w:lineRule="auto"/>
        <w:jc w:val="both"/>
        <w:rPr>
          <w:rFonts w:ascii="Palatino Linotype" w:hAnsi="Palatino Linotype"/>
          <w:bCs/>
        </w:rPr>
      </w:pPr>
    </w:p>
    <w:p w14:paraId="50C78C9F" w14:textId="4153B057" w:rsidR="00BD32AF" w:rsidRDefault="00AB57AD" w:rsidP="00480074">
      <w:pPr>
        <w:pStyle w:val="Sinespaciado"/>
        <w:spacing w:line="360" w:lineRule="auto"/>
        <w:jc w:val="both"/>
        <w:rPr>
          <w:rFonts w:ascii="Palatino Linotype" w:hAnsi="Palatino Linotype"/>
          <w:b/>
        </w:rPr>
      </w:pPr>
      <w:r>
        <w:rPr>
          <w:rFonts w:ascii="Palatino Linotype" w:hAnsi="Palatino Linotype"/>
          <w:bCs/>
        </w:rPr>
        <w:t>E</w:t>
      </w:r>
      <w:r w:rsidR="00480074">
        <w:rPr>
          <w:rFonts w:ascii="Palatino Linotype" w:hAnsi="Palatino Linotype"/>
          <w:bCs/>
        </w:rPr>
        <w:t xml:space="preserve">n virtud de lo anterior, a efecto de identificar las unidades administrativas competentes para atender la solicitud de información </w:t>
      </w:r>
      <w:r w:rsidR="00AE69E3">
        <w:rPr>
          <w:rFonts w:ascii="Palatino Linotype" w:hAnsi="Palatino Linotype"/>
          <w:b/>
        </w:rPr>
        <w:t>00503/TEPOTZOT/IP/2022</w:t>
      </w:r>
      <w:r w:rsidR="00AE69E3">
        <w:rPr>
          <w:rFonts w:ascii="Palatino Linotype" w:hAnsi="Palatino Linotype"/>
          <w:bCs/>
        </w:rPr>
        <w:t xml:space="preserve"> resulta oportuno traer a colación las siguientes imágenes ilustrativas correspondientes al organigrama del </w:t>
      </w:r>
      <w:r w:rsidR="00AE69E3">
        <w:rPr>
          <w:rFonts w:ascii="Palatino Linotype" w:hAnsi="Palatino Linotype"/>
          <w:b/>
        </w:rPr>
        <w:t>Sujeto Obligado:</w:t>
      </w:r>
    </w:p>
    <w:p w14:paraId="42A0C343" w14:textId="2DAF6107" w:rsidR="00AB57AD" w:rsidRDefault="00AB57AD" w:rsidP="00480074">
      <w:pPr>
        <w:pStyle w:val="Sinespaciado"/>
        <w:spacing w:line="360" w:lineRule="auto"/>
        <w:jc w:val="both"/>
        <w:rPr>
          <w:rFonts w:ascii="Palatino Linotype" w:hAnsi="Palatino Linotype"/>
          <w:b/>
        </w:rPr>
      </w:pPr>
      <w:r>
        <w:rPr>
          <w:rFonts w:ascii="Palatino Linotype" w:hAnsi="Palatino Linotype"/>
          <w:b/>
          <w:noProof/>
          <w:lang w:eastAsia="es-MX"/>
        </w:rPr>
        <mc:AlternateContent>
          <mc:Choice Requires="wps">
            <w:drawing>
              <wp:anchor distT="0" distB="0" distL="114300" distR="114300" simplePos="0" relativeHeight="251678720" behindDoc="0" locked="0" layoutInCell="1" allowOverlap="1" wp14:anchorId="3C2A2688" wp14:editId="798D9A9A">
                <wp:simplePos x="0" y="0"/>
                <wp:positionH relativeFrom="column">
                  <wp:posOffset>-102235</wp:posOffset>
                </wp:positionH>
                <wp:positionV relativeFrom="paragraph">
                  <wp:posOffset>162560</wp:posOffset>
                </wp:positionV>
                <wp:extent cx="6089650" cy="2597150"/>
                <wp:effectExtent l="0" t="0" r="25400" b="31750"/>
                <wp:wrapNone/>
                <wp:docPr id="13" name="Straight Connector 13"/>
                <wp:cNvGraphicFramePr/>
                <a:graphic xmlns:a="http://schemas.openxmlformats.org/drawingml/2006/main">
                  <a:graphicData uri="http://schemas.microsoft.com/office/word/2010/wordprocessingShape">
                    <wps:wsp>
                      <wps:cNvCnPr/>
                      <wps:spPr>
                        <a:xfrm>
                          <a:off x="0" y="0"/>
                          <a:ext cx="6089650" cy="259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80CB35" id="Straight Connector 1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12.8pt" to="471.4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" strokecolor="#5b9bd5 [3204]" strokeweight=".5pt">
                <v:stroke joinstyle="miter"/>
              </v:line>
            </w:pict>
          </mc:Fallback>
        </mc:AlternateContent>
      </w:r>
    </w:p>
    <w:p w14:paraId="7A3E1510" w14:textId="3ABAF9C1" w:rsidR="00AB57AD" w:rsidRDefault="00AB57AD" w:rsidP="00480074">
      <w:pPr>
        <w:pStyle w:val="Sinespaciado"/>
        <w:spacing w:line="360" w:lineRule="auto"/>
        <w:jc w:val="both"/>
        <w:rPr>
          <w:rFonts w:ascii="Palatino Linotype" w:hAnsi="Palatino Linotype"/>
          <w:b/>
        </w:rPr>
      </w:pPr>
    </w:p>
    <w:p w14:paraId="320C2D2B" w14:textId="182D8C1C" w:rsidR="00AB57AD" w:rsidRDefault="00AB57AD" w:rsidP="00480074">
      <w:pPr>
        <w:pStyle w:val="Sinespaciado"/>
        <w:spacing w:line="360" w:lineRule="auto"/>
        <w:jc w:val="both"/>
        <w:rPr>
          <w:rFonts w:ascii="Palatino Linotype" w:hAnsi="Palatino Linotype"/>
          <w:b/>
        </w:rPr>
      </w:pPr>
    </w:p>
    <w:p w14:paraId="2664DE92" w14:textId="06BB5D10" w:rsidR="00AB57AD" w:rsidRDefault="00AB57AD" w:rsidP="00480074">
      <w:pPr>
        <w:pStyle w:val="Sinespaciado"/>
        <w:spacing w:line="360" w:lineRule="auto"/>
        <w:jc w:val="both"/>
        <w:rPr>
          <w:rFonts w:ascii="Palatino Linotype" w:hAnsi="Palatino Linotype"/>
          <w:b/>
        </w:rPr>
      </w:pPr>
    </w:p>
    <w:p w14:paraId="5CEDD001" w14:textId="2A51A21D" w:rsidR="00AB57AD" w:rsidRDefault="00AB57AD" w:rsidP="00480074">
      <w:pPr>
        <w:pStyle w:val="Sinespaciado"/>
        <w:spacing w:line="360" w:lineRule="auto"/>
        <w:jc w:val="both"/>
        <w:rPr>
          <w:rFonts w:ascii="Palatino Linotype" w:hAnsi="Palatino Linotype"/>
          <w:b/>
        </w:rPr>
      </w:pPr>
    </w:p>
    <w:p w14:paraId="18C4EDA8" w14:textId="55DE0592" w:rsidR="00AB57AD" w:rsidRDefault="00AB57AD" w:rsidP="00480074">
      <w:pPr>
        <w:pStyle w:val="Sinespaciado"/>
        <w:spacing w:line="360" w:lineRule="auto"/>
        <w:jc w:val="both"/>
        <w:rPr>
          <w:rFonts w:ascii="Palatino Linotype" w:hAnsi="Palatino Linotype"/>
          <w:b/>
        </w:rPr>
      </w:pPr>
    </w:p>
    <w:p w14:paraId="41888D14" w14:textId="5AA91903" w:rsidR="00AB57AD" w:rsidRDefault="001F4421" w:rsidP="00480074">
      <w:pPr>
        <w:pStyle w:val="Sinespaciado"/>
        <w:spacing w:line="360" w:lineRule="auto"/>
        <w:jc w:val="both"/>
        <w:rPr>
          <w:rFonts w:ascii="Palatino Linotype" w:hAnsi="Palatino Linotype"/>
          <w:b/>
        </w:rPr>
      </w:pPr>
      <w:r>
        <w:rPr>
          <w:rFonts w:ascii="Palatino Linotype" w:hAnsi="Palatino Linotype"/>
          <w:b/>
          <w:bCs/>
          <w:noProof/>
          <w:lang w:eastAsia="es-MX"/>
        </w:rPr>
        <w:lastRenderedPageBreak/>
        <w:drawing>
          <wp:anchor distT="0" distB="0" distL="114300" distR="114300" simplePos="0" relativeHeight="251677696" behindDoc="0" locked="0" layoutInCell="1" allowOverlap="1" wp14:anchorId="7FC37E4A" wp14:editId="4A1C5DEC">
            <wp:simplePos x="0" y="0"/>
            <wp:positionH relativeFrom="column">
              <wp:posOffset>-76200</wp:posOffset>
            </wp:positionH>
            <wp:positionV relativeFrom="paragraph">
              <wp:posOffset>3783965</wp:posOffset>
            </wp:positionV>
            <wp:extent cx="5936615" cy="3345815"/>
            <wp:effectExtent l="19050" t="19050" r="26035" b="26035"/>
            <wp:wrapThrough wrapText="bothSides">
              <wp:wrapPolygon edited="0">
                <wp:start x="-69" y="-123"/>
                <wp:lineTo x="-69" y="21645"/>
                <wp:lineTo x="21625" y="21645"/>
                <wp:lineTo x="21625" y="-123"/>
                <wp:lineTo x="-69" y="-123"/>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33458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B57AD">
        <w:rPr>
          <w:rFonts w:ascii="Palatino Linotype" w:hAnsi="Palatino Linotype"/>
          <w:b/>
          <w:noProof/>
          <w:lang w:eastAsia="es-MX"/>
        </w:rPr>
        <w:drawing>
          <wp:anchor distT="0" distB="0" distL="114300" distR="114300" simplePos="0" relativeHeight="251676672" behindDoc="0" locked="0" layoutInCell="1" allowOverlap="1" wp14:anchorId="3F951BC9" wp14:editId="7E176A27">
            <wp:simplePos x="0" y="0"/>
            <wp:positionH relativeFrom="column">
              <wp:posOffset>-76200</wp:posOffset>
            </wp:positionH>
            <wp:positionV relativeFrom="paragraph">
              <wp:posOffset>19050</wp:posOffset>
            </wp:positionV>
            <wp:extent cx="5936615" cy="3364865"/>
            <wp:effectExtent l="19050" t="19050" r="26035" b="26035"/>
            <wp:wrapThrough wrapText="bothSides">
              <wp:wrapPolygon edited="0">
                <wp:start x="-69" y="-122"/>
                <wp:lineTo x="-69" y="21645"/>
                <wp:lineTo x="21625" y="21645"/>
                <wp:lineTo x="21625" y="-122"/>
                <wp:lineTo x="-69" y="-122"/>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33648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C2D2FFE" w14:textId="3B9586D7" w:rsidR="00DE716E" w:rsidRDefault="00DE716E" w:rsidP="00DE716E">
      <w:pPr>
        <w:pStyle w:val="Sinespaciado"/>
        <w:spacing w:line="360" w:lineRule="auto"/>
        <w:jc w:val="both"/>
        <w:rPr>
          <w:rFonts w:ascii="Palatino Linotype" w:hAnsi="Palatino Linotype" w:cs="Arial"/>
        </w:rPr>
      </w:pPr>
      <w:r>
        <w:rPr>
          <w:rFonts w:ascii="Palatino Linotype" w:hAnsi="Palatino Linotype" w:cs="Arial"/>
        </w:rPr>
        <w:lastRenderedPageBreak/>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la Dirección Jurídica, la Dirección de Desarrollo Urbano y Metropolitano, así como la Jefatura de </w:t>
      </w:r>
      <w:proofErr w:type="spellStart"/>
      <w:r>
        <w:rPr>
          <w:rFonts w:ascii="Palatino Linotype" w:hAnsi="Palatino Linotype" w:cs="Arial"/>
        </w:rPr>
        <w:t>Limites</w:t>
      </w:r>
      <w:proofErr w:type="spellEnd"/>
      <w:r>
        <w:rPr>
          <w:rFonts w:ascii="Palatino Linotype" w:hAnsi="Palatino Linotype" w:cs="Arial"/>
        </w:rPr>
        <w:t xml:space="preserve"> Territoriales.  </w:t>
      </w:r>
    </w:p>
    <w:p w14:paraId="704F8266" w14:textId="3D9F9E6E" w:rsidR="00AE69E3" w:rsidRDefault="00AE69E3" w:rsidP="00480074">
      <w:pPr>
        <w:pStyle w:val="Sinespaciado"/>
        <w:spacing w:line="360" w:lineRule="auto"/>
        <w:jc w:val="both"/>
        <w:rPr>
          <w:rFonts w:ascii="Palatino Linotype" w:hAnsi="Palatino Linotype"/>
          <w:b/>
        </w:rPr>
      </w:pPr>
    </w:p>
    <w:p w14:paraId="563292D6" w14:textId="48955601" w:rsidR="00AE69E3" w:rsidRDefault="000B5B77" w:rsidP="00480074">
      <w:pPr>
        <w:pStyle w:val="Sinespaciado"/>
        <w:spacing w:line="360" w:lineRule="auto"/>
        <w:jc w:val="both"/>
        <w:rPr>
          <w:rFonts w:ascii="Palatino Linotype" w:hAnsi="Palatino Linotype"/>
          <w:b/>
          <w:bCs/>
        </w:rPr>
      </w:pPr>
      <w:r w:rsidRPr="000B5B77">
        <w:rPr>
          <w:rFonts w:ascii="Palatino Linotype" w:hAnsi="Palatino Linotype"/>
          <w:bCs/>
        </w:rPr>
        <w:t xml:space="preserve">En </w:t>
      </w:r>
      <w:r>
        <w:rPr>
          <w:rFonts w:ascii="Palatino Linotype" w:hAnsi="Palatino Linotype"/>
          <w:bCs/>
        </w:rPr>
        <w:t xml:space="preserve">este sentido, a efecto de ilustrar la esfera competencial de las unidades administrativas en cita, resulta oportuno traer a colación los </w:t>
      </w:r>
      <w:r w:rsidR="00AB57AD">
        <w:rPr>
          <w:rFonts w:ascii="Palatino Linotype" w:hAnsi="Palatino Linotype"/>
          <w:bCs/>
        </w:rPr>
        <w:t xml:space="preserve">numerales 14, 49, 50 fracciones I, XII y XIII, 52 del Bando Municipal de </w:t>
      </w:r>
      <w:r w:rsidR="001A7095">
        <w:rPr>
          <w:rFonts w:ascii="Palatino Linotype" w:hAnsi="Palatino Linotype"/>
          <w:bCs/>
        </w:rPr>
        <w:t>Tepotzotlán, porciones normativas que disponen a la literalidad lo siguiente:</w:t>
      </w:r>
    </w:p>
    <w:p w14:paraId="16DDC66A" w14:textId="1A225AB2" w:rsidR="00AE69E3" w:rsidRDefault="001A7095" w:rsidP="00AB57AD">
      <w:pPr>
        <w:pStyle w:val="Citas"/>
      </w:pPr>
      <w:r>
        <w:t>“</w:t>
      </w:r>
      <w:r w:rsidR="000B5B77">
        <w:t>ARTÍCULO 14.- El Municipio de Tepotzotlán, para su organización territorial interna se divide en Sectores y Manzanas, y para la administrativa se divide en Delegaciones, que fungirán tanto en la Cabecera del Municipio, como en sus respectivos Pueblos, Barrios, Ejidos, Colonias, Fraccionamientos y Conjuntos Habitacionales, respectivamente y de acuerdo con su jurisdicción.</w:t>
      </w:r>
    </w:p>
    <w:p w14:paraId="0D17FFB8" w14:textId="77777777" w:rsidR="000B5B77" w:rsidRDefault="000B5B77" w:rsidP="00AB57AD">
      <w:pPr>
        <w:pStyle w:val="Citas"/>
      </w:pPr>
      <w:r>
        <w:t xml:space="preserve">ARTÍCULO 49.- El Ayuntamiento contará con una Dirección Jurídica, la cual tendrá como funciones la representación jurídica de la Titular del Ejecutivo Municipal y del Ayuntamiento, en los juicios en que sean parte, en términos de lo dispuesto por los artículos 16 fracción I, 49 y 50 de la Ley Orgánica Municipal del Estado de México. Asimismo, brindara apoyo de asesoría legal gratuita a los habitantes de este Municipio, que sean canalizados por la Titular del Ejecutivo Municipal o que acudan directamente a la oficina de la Dirección. </w:t>
      </w:r>
    </w:p>
    <w:p w14:paraId="3127D842" w14:textId="77777777" w:rsidR="000B5B77" w:rsidRDefault="000B5B77" w:rsidP="00AB57AD">
      <w:pPr>
        <w:pStyle w:val="Citas"/>
      </w:pPr>
    </w:p>
    <w:p w14:paraId="0B1A929F" w14:textId="6CB9DB88" w:rsidR="000B5B77" w:rsidRDefault="000B5B77" w:rsidP="00AB57AD">
      <w:pPr>
        <w:pStyle w:val="Citas"/>
        <w:rPr>
          <w:b/>
          <w:bCs/>
        </w:rPr>
      </w:pPr>
      <w:r>
        <w:lastRenderedPageBreak/>
        <w:t>ARTÍCULO 50.- El titular de la Dirección Jurídica, auxiliara al Municipio en todos aquellos actos de orden legal, así como en la defensa de sus intereses, teniendo las siguientes atribuciones:</w:t>
      </w:r>
    </w:p>
    <w:p w14:paraId="1FD83FFE" w14:textId="0DE4F852" w:rsidR="00AE69E3" w:rsidRDefault="000B5B77" w:rsidP="00AB57AD">
      <w:pPr>
        <w:pStyle w:val="Citas"/>
      </w:pPr>
      <w:r>
        <w:t>I.- Asesorar y apoyar jurídicamente al Ayuntamiento y a las dependencias que lo soliciten;</w:t>
      </w:r>
    </w:p>
    <w:p w14:paraId="2417120B" w14:textId="11D054C8" w:rsidR="000B5B77" w:rsidRDefault="000B5B77" w:rsidP="00AB57AD">
      <w:pPr>
        <w:pStyle w:val="Citas"/>
      </w:pPr>
      <w:r>
        <w:t>(…)</w:t>
      </w:r>
    </w:p>
    <w:p w14:paraId="58F46ED2" w14:textId="77777777" w:rsidR="000B5B77" w:rsidRPr="001A7095" w:rsidRDefault="000B5B77" w:rsidP="00AB57AD">
      <w:pPr>
        <w:pStyle w:val="Citas"/>
        <w:rPr>
          <w:b/>
          <w:bCs/>
          <w:u w:val="single"/>
        </w:rPr>
      </w:pPr>
      <w:r w:rsidRPr="001A7095">
        <w:rPr>
          <w:b/>
          <w:bCs/>
          <w:u w:val="single"/>
        </w:rPr>
        <w:t xml:space="preserve">XII.- Asesorar a las dependencias de la administración pública municipal, en relación con los asuntos de carácter laboral, penal, civil y administrativo y en todos aquéllos en que tengan interés, así como orientar jurídicamente a las autoridades auxiliares municipales; </w:t>
      </w:r>
    </w:p>
    <w:p w14:paraId="005125A5" w14:textId="622C4F8B" w:rsidR="000B5B77" w:rsidRDefault="000B5B77" w:rsidP="00AB57AD">
      <w:pPr>
        <w:pStyle w:val="Citas"/>
        <w:rPr>
          <w:b/>
          <w:bCs/>
        </w:rPr>
      </w:pPr>
      <w:r>
        <w:t>XIII.- Todas las demás que le confieran otros ordenamientos.</w:t>
      </w:r>
    </w:p>
    <w:p w14:paraId="703DEBB7" w14:textId="69DEFC12" w:rsidR="000B5B77" w:rsidRPr="001A7095" w:rsidRDefault="000B5B77" w:rsidP="00AB57AD">
      <w:pPr>
        <w:pStyle w:val="Citas"/>
        <w:rPr>
          <w:b/>
          <w:bCs/>
        </w:rPr>
      </w:pPr>
      <w:r w:rsidRPr="001A7095">
        <w:rPr>
          <w:b/>
          <w:bCs/>
          <w:u w:val="single"/>
        </w:rPr>
        <w:t xml:space="preserve">ARTÍCULO 52.- El Ayuntamiento contará con una Dirección de Desarrollo Urbano y Metropolitano, que realizará acciones que propicien el desarrollo de las comunidades, con un enfoque sustentable, favoreciendo </w:t>
      </w:r>
      <w:r>
        <w:t xml:space="preserve">la infraestructura, el equipamiento, los servicios, las vialidades, la preservación del patrimonio cultural, la planeación e imagen urbana, </w:t>
      </w:r>
      <w:r w:rsidRPr="001A7095">
        <w:rPr>
          <w:b/>
          <w:bCs/>
          <w:u w:val="single"/>
        </w:rPr>
        <w:t>los límites territoriales</w:t>
      </w:r>
      <w:r>
        <w:t>, la tenencia de la tierra, la conservación y mejoramiento del ambiente de los asentamientos humanos y Centros Urbanos del Municipio, así como apoyar con acciones orientadas a la modernización y optimización del trasporte terrestre, entre otros, con la participación activa de la sociedad.</w:t>
      </w:r>
      <w:r w:rsidR="001A7095">
        <w:t xml:space="preserve">” </w:t>
      </w:r>
      <w:r w:rsidR="001A7095">
        <w:rPr>
          <w:b/>
          <w:bCs/>
        </w:rPr>
        <w:t>(Sic)</w:t>
      </w:r>
    </w:p>
    <w:p w14:paraId="6E044006" w14:textId="77777777" w:rsidR="000B5B77" w:rsidRDefault="000B5B77" w:rsidP="00480074">
      <w:pPr>
        <w:pStyle w:val="Sinespaciado"/>
        <w:spacing w:line="360" w:lineRule="auto"/>
        <w:jc w:val="both"/>
        <w:rPr>
          <w:rFonts w:ascii="Palatino Linotype" w:hAnsi="Palatino Linotype"/>
          <w:b/>
          <w:bCs/>
        </w:rPr>
      </w:pPr>
    </w:p>
    <w:p w14:paraId="6565974D" w14:textId="77777777" w:rsidR="00AE69E3" w:rsidRDefault="00AE69E3" w:rsidP="00480074">
      <w:pPr>
        <w:pStyle w:val="Sinespaciado"/>
        <w:spacing w:line="360" w:lineRule="auto"/>
        <w:jc w:val="both"/>
        <w:rPr>
          <w:rFonts w:ascii="Palatino Linotype" w:hAnsi="Palatino Linotype"/>
          <w:b/>
          <w:bCs/>
        </w:rPr>
      </w:pPr>
    </w:p>
    <w:p w14:paraId="5D0BC8C7" w14:textId="77777777" w:rsidR="00AE69E3" w:rsidRDefault="00AE69E3" w:rsidP="00480074">
      <w:pPr>
        <w:pStyle w:val="Sinespaciado"/>
        <w:spacing w:line="360" w:lineRule="auto"/>
        <w:jc w:val="both"/>
        <w:rPr>
          <w:rFonts w:ascii="Palatino Linotype" w:hAnsi="Palatino Linotype"/>
          <w:b/>
          <w:bCs/>
        </w:rPr>
      </w:pPr>
    </w:p>
    <w:p w14:paraId="0E3AF9FA" w14:textId="3AB22110" w:rsidR="001A7095" w:rsidRDefault="001A7095" w:rsidP="001A7095">
      <w:pPr>
        <w:pStyle w:val="Sinespaciado"/>
        <w:spacing w:line="360" w:lineRule="auto"/>
        <w:jc w:val="both"/>
        <w:rPr>
          <w:rFonts w:ascii="Palatino Linotype" w:hAnsi="Palatino Linotype" w:cs="Arial"/>
        </w:rPr>
      </w:pPr>
      <w:r w:rsidRPr="001A7095">
        <w:rPr>
          <w:rFonts w:ascii="Palatino Linotype" w:hAnsi="Palatino Linotype"/>
        </w:rPr>
        <w:lastRenderedPageBreak/>
        <w:t xml:space="preserve">De ahí </w:t>
      </w:r>
      <w:r>
        <w:rPr>
          <w:rFonts w:ascii="Palatino Linotype" w:hAnsi="Palatino Linotype"/>
        </w:rPr>
        <w:t xml:space="preserve">que deba arribarse a la premisa de que </w:t>
      </w:r>
      <w:r>
        <w:rPr>
          <w:rFonts w:ascii="Palatino Linotype" w:hAnsi="Palatino Linotype" w:cs="Arial"/>
        </w:rPr>
        <w:t xml:space="preserve">la Dirección Jurídica, la Dirección de Desarrollo Urbano y Metropolitano, así como la Jefatura de Límites Territoriales resultan las unidades administrativas </w:t>
      </w:r>
      <w:r w:rsidR="00D945CB">
        <w:rPr>
          <w:rFonts w:ascii="Palatino Linotype" w:hAnsi="Palatino Linotype" w:cs="Arial"/>
        </w:rPr>
        <w:t xml:space="preserve">competentes </w:t>
      </w:r>
      <w:r>
        <w:rPr>
          <w:rFonts w:ascii="Palatino Linotype" w:hAnsi="Palatino Linotype" w:cs="Arial"/>
        </w:rPr>
        <w:t xml:space="preserve">para generar, poseer y administrar los soportes documentales que resultan de interés a la particular. </w:t>
      </w:r>
    </w:p>
    <w:p w14:paraId="4F7B614D" w14:textId="0EAD6E5C" w:rsidR="00FE5CE5" w:rsidRDefault="00FE5CE5" w:rsidP="00FE5CE5">
      <w:pPr>
        <w:pStyle w:val="Prrafodelista"/>
        <w:autoSpaceDE w:val="0"/>
        <w:autoSpaceDN w:val="0"/>
        <w:adjustRightInd w:val="0"/>
        <w:spacing w:before="240" w:after="160" w:line="360" w:lineRule="auto"/>
        <w:ind w:left="0"/>
        <w:jc w:val="both"/>
        <w:rPr>
          <w:rFonts w:ascii="Palatino Linotype" w:hAnsi="Palatino Linotype" w:cs="Arial"/>
          <w:bCs/>
        </w:rPr>
      </w:pPr>
      <w:r w:rsidRPr="006918CC">
        <w:rPr>
          <w:rFonts w:ascii="Palatino Linotype" w:hAnsi="Palatino Linotype" w:cs="Arial"/>
          <w:bCs/>
        </w:rPr>
        <w:t xml:space="preserve">De manera complementaria, esta Ponencia </w:t>
      </w:r>
      <w:proofErr w:type="spellStart"/>
      <w:r w:rsidRPr="006918CC">
        <w:rPr>
          <w:rFonts w:ascii="Palatino Linotype" w:hAnsi="Palatino Linotype" w:cs="Arial"/>
          <w:bCs/>
        </w:rPr>
        <w:t>Resolutora</w:t>
      </w:r>
      <w:proofErr w:type="spellEnd"/>
      <w:r w:rsidRPr="006918CC">
        <w:rPr>
          <w:rFonts w:ascii="Palatino Linotype" w:hAnsi="Palatino Linotype" w:cs="Arial"/>
          <w:bCs/>
        </w:rPr>
        <w:t xml:space="preserve"> procedió a consultar información difundida en medios electrónicos, misma que puede ser consultada ingresando a la</w:t>
      </w:r>
      <w:r w:rsidR="001F4421">
        <w:rPr>
          <w:rFonts w:ascii="Palatino Linotype" w:hAnsi="Palatino Linotype" w:cs="Arial"/>
          <w:bCs/>
        </w:rPr>
        <w:t>s</w:t>
      </w:r>
      <w:r w:rsidRPr="006918CC">
        <w:rPr>
          <w:rFonts w:ascii="Palatino Linotype" w:hAnsi="Palatino Linotype" w:cs="Arial"/>
          <w:bCs/>
        </w:rPr>
        <w:t xml:space="preserve"> siguiente</w:t>
      </w:r>
      <w:r w:rsidR="001F4421">
        <w:rPr>
          <w:rFonts w:ascii="Palatino Linotype" w:hAnsi="Palatino Linotype" w:cs="Arial"/>
          <w:bCs/>
        </w:rPr>
        <w:t>s</w:t>
      </w:r>
      <w:r w:rsidRPr="006918CC">
        <w:rPr>
          <w:rFonts w:ascii="Palatino Linotype" w:hAnsi="Palatino Linotype" w:cs="Arial"/>
          <w:bCs/>
        </w:rPr>
        <w:t xml:space="preserve"> liga</w:t>
      </w:r>
      <w:r w:rsidR="001F4421">
        <w:rPr>
          <w:rFonts w:ascii="Palatino Linotype" w:hAnsi="Palatino Linotype" w:cs="Arial"/>
          <w:bCs/>
        </w:rPr>
        <w:t>s</w:t>
      </w:r>
      <w:r w:rsidRPr="006918CC">
        <w:rPr>
          <w:rFonts w:ascii="Palatino Linotype" w:hAnsi="Palatino Linotype" w:cs="Arial"/>
          <w:bCs/>
        </w:rPr>
        <w:t xml:space="preserve"> electrónica</w:t>
      </w:r>
      <w:r w:rsidR="001F4421">
        <w:rPr>
          <w:rFonts w:ascii="Palatino Linotype" w:hAnsi="Palatino Linotype" w:cs="Arial"/>
          <w:bCs/>
        </w:rPr>
        <w:t>s</w:t>
      </w:r>
      <w:r w:rsidRPr="006918CC">
        <w:rPr>
          <w:rFonts w:ascii="Palatino Linotype" w:hAnsi="Palatino Linotype" w:cs="Arial"/>
          <w:bCs/>
        </w:rPr>
        <w:t xml:space="preserve">: </w:t>
      </w:r>
    </w:p>
    <w:p w14:paraId="2AD1CBA7" w14:textId="1C61AB06" w:rsidR="00FE5CE5" w:rsidRDefault="0063773A" w:rsidP="00FE5CE5">
      <w:pPr>
        <w:pStyle w:val="Prrafodelista"/>
        <w:autoSpaceDE w:val="0"/>
        <w:autoSpaceDN w:val="0"/>
        <w:adjustRightInd w:val="0"/>
        <w:spacing w:before="240" w:after="160" w:line="360" w:lineRule="auto"/>
        <w:ind w:left="0"/>
        <w:jc w:val="both"/>
        <w:rPr>
          <w:rFonts w:ascii="Palatino Linotype" w:hAnsi="Palatino Linotype" w:cs="Arial"/>
          <w:bCs/>
        </w:rPr>
      </w:pPr>
      <w:hyperlink r:id="rId10" w:history="1">
        <w:r w:rsidR="00FE5CE5" w:rsidRPr="00316844">
          <w:rPr>
            <w:rStyle w:val="Hipervnculo"/>
            <w:rFonts w:ascii="Palatino Linotype" w:hAnsi="Palatino Linotype" w:cs="Arial"/>
            <w:bCs/>
          </w:rPr>
          <w:t>https://www.milenio.com/politica/comunidad/con-conflictos-territoriales-20-municipios-del-edomex</w:t>
        </w:r>
      </w:hyperlink>
    </w:p>
    <w:p w14:paraId="5E6E3206" w14:textId="2D953EFF" w:rsidR="00FE5CE5" w:rsidRPr="006918CC" w:rsidRDefault="0063773A" w:rsidP="00FE5CE5">
      <w:pPr>
        <w:pStyle w:val="Prrafodelista"/>
        <w:autoSpaceDE w:val="0"/>
        <w:autoSpaceDN w:val="0"/>
        <w:adjustRightInd w:val="0"/>
        <w:spacing w:before="240" w:after="160" w:line="360" w:lineRule="auto"/>
        <w:ind w:left="0"/>
        <w:jc w:val="both"/>
        <w:rPr>
          <w:rFonts w:ascii="Palatino Linotype" w:hAnsi="Palatino Linotype" w:cs="Arial"/>
          <w:bCs/>
        </w:rPr>
      </w:pPr>
      <w:hyperlink r:id="rId11" w:history="1">
        <w:r w:rsidR="00FE5CE5" w:rsidRPr="00316844">
          <w:rPr>
            <w:rStyle w:val="Hipervnculo"/>
            <w:rFonts w:ascii="Palatino Linotype" w:hAnsi="Palatino Linotype" w:cs="Arial"/>
            <w:bCs/>
          </w:rPr>
          <w:t>https://www.teoloyuquenses.mx/2022/05/18/escala-conflicto-por-limites-territoriales-entre-teoloyucan-y-tepotzotlan/</w:t>
        </w:r>
      </w:hyperlink>
      <w:r w:rsidR="00FE5CE5">
        <w:rPr>
          <w:rFonts w:ascii="Palatino Linotype" w:hAnsi="Palatino Linotype" w:cs="Arial"/>
          <w:bCs/>
        </w:rPr>
        <w:t xml:space="preserve"> </w:t>
      </w:r>
    </w:p>
    <w:p w14:paraId="1D31EFB0" w14:textId="77777777" w:rsidR="00FE5CE5" w:rsidRDefault="00FE5CE5" w:rsidP="00FE5CE5">
      <w:pPr>
        <w:pStyle w:val="Prrafodelista"/>
        <w:autoSpaceDE w:val="0"/>
        <w:autoSpaceDN w:val="0"/>
        <w:adjustRightInd w:val="0"/>
        <w:spacing w:before="240" w:after="160" w:line="360" w:lineRule="auto"/>
        <w:ind w:left="0"/>
        <w:jc w:val="both"/>
        <w:rPr>
          <w:rFonts w:ascii="Palatino Linotype" w:hAnsi="Palatino Linotype" w:cs="Arial"/>
          <w:bCs/>
        </w:rPr>
      </w:pPr>
    </w:p>
    <w:p w14:paraId="70CE4ADE" w14:textId="125B6A0C" w:rsidR="00FE5CE5" w:rsidRPr="00FE5CE5" w:rsidRDefault="00FE5CE5" w:rsidP="00FE5CE5">
      <w:pPr>
        <w:pStyle w:val="Prrafodelista"/>
        <w:autoSpaceDE w:val="0"/>
        <w:autoSpaceDN w:val="0"/>
        <w:adjustRightInd w:val="0"/>
        <w:spacing w:before="240" w:after="160" w:line="360" w:lineRule="auto"/>
        <w:ind w:left="0"/>
        <w:jc w:val="both"/>
        <w:rPr>
          <w:rFonts w:ascii="Palatino Linotype" w:hAnsi="Palatino Linotype" w:cs="Arial"/>
          <w:b/>
        </w:rPr>
      </w:pPr>
      <w:r w:rsidRPr="006918CC">
        <w:rPr>
          <w:rFonts w:ascii="Palatino Linotype" w:hAnsi="Palatino Linotype" w:cs="Arial"/>
          <w:bCs/>
        </w:rPr>
        <w:t>Dominio</w:t>
      </w:r>
      <w:r>
        <w:rPr>
          <w:rFonts w:ascii="Palatino Linotype" w:hAnsi="Palatino Linotype" w:cs="Arial"/>
          <w:bCs/>
        </w:rPr>
        <w:t>s</w:t>
      </w:r>
      <w:r w:rsidRPr="006918CC">
        <w:rPr>
          <w:rFonts w:ascii="Palatino Linotype" w:hAnsi="Palatino Linotype" w:cs="Arial"/>
          <w:bCs/>
        </w:rPr>
        <w:t xml:space="preserve"> electrónico</w:t>
      </w:r>
      <w:r>
        <w:rPr>
          <w:rFonts w:ascii="Palatino Linotype" w:hAnsi="Palatino Linotype" w:cs="Arial"/>
          <w:bCs/>
        </w:rPr>
        <w:t>s</w:t>
      </w:r>
      <w:r w:rsidRPr="006918CC">
        <w:rPr>
          <w:rFonts w:ascii="Palatino Linotype" w:hAnsi="Palatino Linotype" w:cs="Arial"/>
          <w:bCs/>
        </w:rPr>
        <w:t xml:space="preserve"> en </w:t>
      </w:r>
      <w:r w:rsidR="001F4421">
        <w:rPr>
          <w:rFonts w:ascii="Palatino Linotype" w:hAnsi="Palatino Linotype" w:cs="Arial"/>
          <w:bCs/>
        </w:rPr>
        <w:t>los</w:t>
      </w:r>
      <w:r w:rsidRPr="006918CC">
        <w:rPr>
          <w:rFonts w:ascii="Palatino Linotype" w:hAnsi="Palatino Linotype" w:cs="Arial"/>
          <w:bCs/>
        </w:rPr>
        <w:t xml:space="preserve"> cual</w:t>
      </w:r>
      <w:r w:rsidR="001F4421">
        <w:rPr>
          <w:rFonts w:ascii="Palatino Linotype" w:hAnsi="Palatino Linotype" w:cs="Arial"/>
          <w:bCs/>
        </w:rPr>
        <w:t>es</w:t>
      </w:r>
      <w:r w:rsidRPr="006918CC">
        <w:rPr>
          <w:rFonts w:ascii="Palatino Linotype" w:hAnsi="Palatino Linotype" w:cs="Arial"/>
          <w:bCs/>
        </w:rPr>
        <w:t xml:space="preserve"> en síntesis se da cuenta respecto </w:t>
      </w:r>
      <w:r>
        <w:rPr>
          <w:rFonts w:ascii="Palatino Linotype" w:hAnsi="Palatino Linotype" w:cs="Arial"/>
          <w:bCs/>
        </w:rPr>
        <w:t xml:space="preserve">de los conflictos territoriales entre diversos municipios del Estado de México, destacando aquellos referidos por la particular mediante la solicitud de información </w:t>
      </w:r>
      <w:r>
        <w:rPr>
          <w:rFonts w:ascii="Palatino Linotype" w:hAnsi="Palatino Linotype" w:cs="Arial"/>
          <w:b/>
        </w:rPr>
        <w:t xml:space="preserve">00503/TEPOTZOT/IP/2022. </w:t>
      </w:r>
    </w:p>
    <w:p w14:paraId="351B1CA9" w14:textId="0DE0C74B" w:rsidR="00FE5CE5" w:rsidRPr="006918CC" w:rsidRDefault="00FE5CE5" w:rsidP="00FE5CE5">
      <w:pPr>
        <w:spacing w:line="360" w:lineRule="auto"/>
        <w:contextualSpacing/>
        <w:jc w:val="both"/>
        <w:rPr>
          <w:rFonts w:ascii="Palatino Linotype" w:hAnsi="Palatino Linotype"/>
          <w:sz w:val="24"/>
        </w:rPr>
      </w:pPr>
      <w:r w:rsidRPr="006918CC">
        <w:rPr>
          <w:rFonts w:ascii="Palatino Linotype" w:hAnsi="Palatino Linotype"/>
          <w:sz w:val="24"/>
        </w:rPr>
        <w:t xml:space="preserve">Ahora bien, es importante mencionar que, la información precisada con </w:t>
      </w:r>
      <w:r w:rsidR="001F4421" w:rsidRPr="006918CC">
        <w:rPr>
          <w:rFonts w:ascii="Palatino Linotype" w:hAnsi="Palatino Linotype"/>
          <w:sz w:val="24"/>
        </w:rPr>
        <w:t>anterioridad</w:t>
      </w:r>
      <w:r w:rsidRPr="006918CC">
        <w:rPr>
          <w:rFonts w:ascii="Palatino Linotype" w:hAnsi="Palatino Linotype"/>
          <w:sz w:val="24"/>
        </w:rPr>
        <w:t xml:space="preserve"> es referente a nota</w:t>
      </w:r>
      <w:r>
        <w:rPr>
          <w:rFonts w:ascii="Palatino Linotype" w:hAnsi="Palatino Linotype"/>
          <w:sz w:val="24"/>
        </w:rPr>
        <w:t>s</w:t>
      </w:r>
      <w:r w:rsidRPr="006918CC">
        <w:rPr>
          <w:rFonts w:ascii="Palatino Linotype" w:hAnsi="Palatino Linotype"/>
          <w:sz w:val="24"/>
        </w:rPr>
        <w:t xml:space="preserve"> periodística</w:t>
      </w:r>
      <w:r>
        <w:rPr>
          <w:rFonts w:ascii="Palatino Linotype" w:hAnsi="Palatino Linotype"/>
          <w:sz w:val="24"/>
        </w:rPr>
        <w:t>s</w:t>
      </w:r>
      <w:r w:rsidRPr="006918CC">
        <w:rPr>
          <w:rFonts w:ascii="Palatino Linotype" w:hAnsi="Palatino Linotype"/>
          <w:sz w:val="24"/>
        </w:rPr>
        <w:t xml:space="preserve">, por lo que es de precisarse </w:t>
      </w:r>
      <w:r w:rsidR="00D945CB" w:rsidRPr="006918CC">
        <w:rPr>
          <w:rFonts w:ascii="Palatino Linotype" w:hAnsi="Palatino Linotype"/>
          <w:sz w:val="24"/>
        </w:rPr>
        <w:t>que,</w:t>
      </w:r>
      <w:r w:rsidRPr="006918CC">
        <w:rPr>
          <w:rFonts w:ascii="Palatino Linotype" w:hAnsi="Palatino Linotype"/>
          <w:sz w:val="24"/>
        </w:rPr>
        <w:t xml:space="preserve"> en el caso concreto, las notas periodísticas y los argumentos vertidos en párrafos que preceden, si bien es cierto, carecen de valor probatorio, también lo es que arrojan indicios sobre los hechos a los que se refieren.</w:t>
      </w:r>
    </w:p>
    <w:p w14:paraId="3D159EC7" w14:textId="77777777" w:rsidR="00FE5CE5" w:rsidRPr="006918CC" w:rsidRDefault="00FE5CE5" w:rsidP="00FE5CE5">
      <w:pPr>
        <w:spacing w:line="360" w:lineRule="auto"/>
        <w:contextualSpacing/>
        <w:jc w:val="both"/>
        <w:rPr>
          <w:rFonts w:ascii="Palatino Linotype" w:hAnsi="Palatino Linotype"/>
          <w:sz w:val="24"/>
        </w:rPr>
      </w:pPr>
      <w:r w:rsidRPr="006918CC">
        <w:rPr>
          <w:rFonts w:ascii="Palatino Linotype" w:hAnsi="Palatino Linotype"/>
          <w:sz w:val="24"/>
        </w:rPr>
        <w:lastRenderedPageBreak/>
        <w:t>Sirve de apoyo a lo anteriormente señalado, la Jurisprudencia emitida por la Sala Superior de la Suprema Corte de Justicia de la Nación, Tercera Época</w:t>
      </w:r>
      <w:r w:rsidRPr="006918CC">
        <w:rPr>
          <w:rStyle w:val="Refdenotaalpie"/>
          <w:rFonts w:ascii="Palatino Linotype" w:hAnsi="Palatino Linotype"/>
          <w:sz w:val="24"/>
        </w:rPr>
        <w:footnoteReference w:id="2"/>
      </w:r>
      <w:r w:rsidRPr="006918CC">
        <w:rPr>
          <w:rFonts w:ascii="Palatino Linotype" w:hAnsi="Palatino Linotype"/>
          <w:sz w:val="24"/>
        </w:rPr>
        <w:t>, que se muestra a continuación:</w:t>
      </w:r>
    </w:p>
    <w:p w14:paraId="01791C54" w14:textId="77777777" w:rsidR="00FE5CE5" w:rsidRPr="006918CC" w:rsidRDefault="00FE5CE5" w:rsidP="00FE5CE5">
      <w:pPr>
        <w:pStyle w:val="Citas"/>
        <w:rPr>
          <w:b/>
        </w:rPr>
      </w:pPr>
      <w:r w:rsidRPr="006918CC">
        <w:rPr>
          <w:b/>
        </w:rPr>
        <w:t xml:space="preserve">“NOTAS PERIODÍSTICAS. ELEMENTOS PARA DETERMINAR SU FUERZA INDICIARIA. </w:t>
      </w:r>
    </w:p>
    <w:p w14:paraId="1E406270" w14:textId="77777777" w:rsidR="00FE5CE5" w:rsidRPr="006918CC" w:rsidRDefault="00FE5CE5" w:rsidP="00FE5CE5">
      <w:pPr>
        <w:pStyle w:val="Citas"/>
        <w:rPr>
          <w:rFonts w:eastAsia="Times New Roman"/>
          <w:b/>
          <w:bCs/>
          <w:sz w:val="24"/>
          <w:szCs w:val="24"/>
          <w:lang w:eastAsia="es-MX"/>
        </w:rPr>
      </w:pPr>
      <w:r w:rsidRPr="006918CC">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6918CC">
        <w:t>convictivo</w:t>
      </w:r>
      <w:proofErr w:type="spellEnd"/>
      <w:r w:rsidRPr="006918CC">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r w:rsidRPr="006918CC">
        <w:rPr>
          <w:b/>
          <w:bCs/>
        </w:rPr>
        <w:t>(Sic)</w:t>
      </w:r>
    </w:p>
    <w:p w14:paraId="4106BBDC" w14:textId="68BD253D" w:rsidR="001A7095" w:rsidRDefault="00C065F7" w:rsidP="00C065F7">
      <w:pPr>
        <w:spacing w:before="240" w:line="360" w:lineRule="auto"/>
        <w:jc w:val="both"/>
        <w:rPr>
          <w:rFonts w:ascii="Palatino Linotype" w:hAnsi="Palatino Linotype"/>
          <w:sz w:val="24"/>
          <w:szCs w:val="24"/>
        </w:rPr>
      </w:pPr>
      <w:r w:rsidRPr="00BF5918">
        <w:rPr>
          <w:rFonts w:ascii="Palatino Linotype" w:hAnsi="Palatino Linotype"/>
          <w:sz w:val="24"/>
          <w:szCs w:val="24"/>
        </w:rPr>
        <w:lastRenderedPageBreak/>
        <w:t xml:space="preserve">Una vez sentado lo anterior, como se mencionó en el antecedente </w:t>
      </w:r>
      <w:r w:rsidR="001A7095">
        <w:rPr>
          <w:rFonts w:ascii="Palatino Linotype" w:hAnsi="Palatino Linotype"/>
          <w:sz w:val="24"/>
          <w:szCs w:val="24"/>
        </w:rPr>
        <w:t>segundo</w:t>
      </w:r>
      <w:r>
        <w:rPr>
          <w:rFonts w:ascii="Palatino Linotype" w:hAnsi="Palatino Linotype"/>
          <w:sz w:val="24"/>
          <w:szCs w:val="24"/>
        </w:rPr>
        <w:t xml:space="preserve">, </w:t>
      </w:r>
      <w:r>
        <w:rPr>
          <w:rFonts w:ascii="Palatino Linotype" w:hAnsi="Palatino Linotype"/>
          <w:b/>
          <w:sz w:val="24"/>
          <w:szCs w:val="24"/>
        </w:rPr>
        <w:t xml:space="preserve">El Sujeto Obligado </w:t>
      </w:r>
      <w:r>
        <w:rPr>
          <w:rFonts w:ascii="Palatino Linotype" w:hAnsi="Palatino Linotype"/>
          <w:sz w:val="24"/>
          <w:szCs w:val="24"/>
        </w:rPr>
        <w:t xml:space="preserve">en fecha </w:t>
      </w:r>
      <w:r w:rsidR="001A7095">
        <w:rPr>
          <w:rFonts w:ascii="Palatino Linotype" w:hAnsi="Palatino Linotype"/>
          <w:sz w:val="24"/>
          <w:szCs w:val="24"/>
        </w:rPr>
        <w:t xml:space="preserve">dieciséis de agosto de dos mil </w:t>
      </w:r>
      <w:proofErr w:type="spellStart"/>
      <w:r w:rsidR="001A7095">
        <w:rPr>
          <w:rFonts w:ascii="Palatino Linotype" w:hAnsi="Palatino Linotype"/>
          <w:sz w:val="24"/>
          <w:szCs w:val="24"/>
        </w:rPr>
        <w:t>veintidos</w:t>
      </w:r>
      <w:proofErr w:type="spellEnd"/>
      <w:r w:rsidR="001A7095">
        <w:rPr>
          <w:rFonts w:ascii="Palatino Linotype" w:hAnsi="Palatino Linotype"/>
          <w:sz w:val="24"/>
          <w:szCs w:val="24"/>
        </w:rPr>
        <w:t>, rindió su respuesta a la solicitud de información formulada por el particular, adjuntando para tal efecto lo siguiente:</w:t>
      </w:r>
    </w:p>
    <w:p w14:paraId="3B4A7D03" w14:textId="12D70485" w:rsidR="001A7095" w:rsidRPr="001A7095" w:rsidRDefault="001A7095" w:rsidP="001A7095">
      <w:pPr>
        <w:pStyle w:val="Prrafodelista"/>
        <w:numPr>
          <w:ilvl w:val="0"/>
          <w:numId w:val="11"/>
        </w:numPr>
        <w:spacing w:before="240" w:line="360" w:lineRule="auto"/>
        <w:jc w:val="both"/>
        <w:rPr>
          <w:rFonts w:ascii="Palatino Linotype" w:hAnsi="Palatino Linotype"/>
          <w:b/>
          <w:bCs/>
        </w:rPr>
      </w:pPr>
      <w:r>
        <w:rPr>
          <w:rFonts w:ascii="Palatino Linotype" w:hAnsi="Palatino Linotype"/>
          <w:b/>
          <w:bCs/>
        </w:rPr>
        <w:t xml:space="preserve">“DJM-TEP-264-2022.pdf”: </w:t>
      </w:r>
      <w:r>
        <w:rPr>
          <w:rFonts w:ascii="Palatino Linotype" w:hAnsi="Palatino Linotype"/>
        </w:rPr>
        <w:t xml:space="preserve">Oficio número </w:t>
      </w:r>
      <w:r>
        <w:rPr>
          <w:rFonts w:ascii="Palatino Linotype" w:hAnsi="Palatino Linotype"/>
          <w:b/>
          <w:bCs/>
        </w:rPr>
        <w:t xml:space="preserve">DJM/TEP/264/2022 </w:t>
      </w:r>
      <w:r>
        <w:rPr>
          <w:rFonts w:ascii="Palatino Linotype" w:hAnsi="Palatino Linotype"/>
        </w:rPr>
        <w:t xml:space="preserve">signado por el </w:t>
      </w:r>
      <w:r w:rsidR="00563A40">
        <w:rPr>
          <w:rFonts w:ascii="Palatino Linotype" w:hAnsi="Palatino Linotype"/>
        </w:rPr>
        <w:t>director</w:t>
      </w:r>
      <w:r>
        <w:rPr>
          <w:rFonts w:ascii="Palatino Linotype" w:hAnsi="Palatino Linotype"/>
        </w:rPr>
        <w:t xml:space="preserve"> Jurídico y dirigido al Encargado de Despacho de la Unidad de Transparencia y Acceso a la Información Pública, de fecha dos de agosto de dos mil </w:t>
      </w:r>
      <w:proofErr w:type="spellStart"/>
      <w:r>
        <w:rPr>
          <w:rFonts w:ascii="Palatino Linotype" w:hAnsi="Palatino Linotype"/>
        </w:rPr>
        <w:t>veintidos</w:t>
      </w:r>
      <w:proofErr w:type="spellEnd"/>
      <w:r>
        <w:rPr>
          <w:rFonts w:ascii="Palatino Linotype" w:hAnsi="Palatino Linotype"/>
        </w:rPr>
        <w:t>, en lo medular expone lo siguiente:</w:t>
      </w:r>
    </w:p>
    <w:p w14:paraId="37CA60FD" w14:textId="7F051203" w:rsidR="001A7095" w:rsidRPr="00563A40" w:rsidRDefault="001A7095" w:rsidP="001A7095">
      <w:pPr>
        <w:pStyle w:val="Prrafodelista"/>
        <w:numPr>
          <w:ilvl w:val="0"/>
          <w:numId w:val="12"/>
        </w:numPr>
        <w:spacing w:before="240" w:line="360" w:lineRule="auto"/>
        <w:jc w:val="both"/>
        <w:rPr>
          <w:rFonts w:ascii="Palatino Linotype" w:hAnsi="Palatino Linotype"/>
          <w:b/>
          <w:bCs/>
        </w:rPr>
      </w:pPr>
      <w:r>
        <w:rPr>
          <w:rFonts w:ascii="Palatino Linotype" w:hAnsi="Palatino Linotype"/>
        </w:rPr>
        <w:t xml:space="preserve">Que la </w:t>
      </w:r>
      <w:r w:rsidR="001F4421">
        <w:rPr>
          <w:rFonts w:ascii="Palatino Linotype" w:hAnsi="Palatino Linotype"/>
        </w:rPr>
        <w:t>Comisión</w:t>
      </w:r>
      <w:r>
        <w:rPr>
          <w:rFonts w:ascii="Palatino Linotype" w:hAnsi="Palatino Linotype"/>
        </w:rPr>
        <w:t xml:space="preserve"> Legislativa de </w:t>
      </w:r>
      <w:proofErr w:type="spellStart"/>
      <w:r>
        <w:rPr>
          <w:rFonts w:ascii="Palatino Linotype" w:hAnsi="Palatino Linotype"/>
        </w:rPr>
        <w:t>Limites</w:t>
      </w:r>
      <w:proofErr w:type="spellEnd"/>
      <w:r>
        <w:rPr>
          <w:rFonts w:ascii="Palatino Linotype" w:hAnsi="Palatino Linotype"/>
        </w:rPr>
        <w:t xml:space="preserve"> Territoriales de la LV Legislatura del Estado de México </w:t>
      </w:r>
      <w:r w:rsidR="00563A40">
        <w:rPr>
          <w:rFonts w:ascii="Palatino Linotype" w:hAnsi="Palatino Linotype"/>
        </w:rPr>
        <w:t xml:space="preserve">determinó la reposición de procedimiento en dos expedientes con motivo de no citar en audiencia inicial a los municipios de Tepotzotlán, </w:t>
      </w:r>
      <w:proofErr w:type="spellStart"/>
      <w:r w:rsidR="00563A40">
        <w:rPr>
          <w:rFonts w:ascii="Palatino Linotype" w:hAnsi="Palatino Linotype"/>
        </w:rPr>
        <w:t>Coyotepec</w:t>
      </w:r>
      <w:proofErr w:type="spellEnd"/>
      <w:r w:rsidR="00563A40">
        <w:rPr>
          <w:rFonts w:ascii="Palatino Linotype" w:hAnsi="Palatino Linotype"/>
        </w:rPr>
        <w:t xml:space="preserve">, Cuautitlán. </w:t>
      </w:r>
    </w:p>
    <w:p w14:paraId="3A8B8DA8" w14:textId="73FCA4A9" w:rsidR="001A7095" w:rsidRDefault="001F4421" w:rsidP="00926291">
      <w:pPr>
        <w:pStyle w:val="Prrafodelista"/>
        <w:numPr>
          <w:ilvl w:val="0"/>
          <w:numId w:val="12"/>
        </w:numPr>
        <w:spacing w:before="240" w:line="360" w:lineRule="auto"/>
        <w:jc w:val="both"/>
        <w:rPr>
          <w:rFonts w:ascii="Palatino Linotype" w:hAnsi="Palatino Linotype"/>
        </w:rPr>
      </w:pPr>
      <w:r w:rsidRPr="00563A40">
        <w:rPr>
          <w:rFonts w:ascii="Palatino Linotype" w:hAnsi="Palatino Linotype"/>
        </w:rPr>
        <w:t>Que,</w:t>
      </w:r>
      <w:r w:rsidR="00563A40" w:rsidRPr="00563A40">
        <w:rPr>
          <w:rFonts w:ascii="Palatino Linotype" w:hAnsi="Palatino Linotype"/>
        </w:rPr>
        <w:t xml:space="preserve"> con motivo de dichas violaciones, le fue concedido un término de </w:t>
      </w:r>
      <w:r w:rsidR="00563A40" w:rsidRPr="00563A40">
        <w:rPr>
          <w:rFonts w:ascii="Palatino Linotype" w:hAnsi="Palatino Linotype"/>
          <w:b/>
          <w:bCs/>
        </w:rPr>
        <w:t xml:space="preserve">10 -diez- </w:t>
      </w:r>
      <w:r w:rsidR="00563A40" w:rsidRPr="00563A40">
        <w:rPr>
          <w:rFonts w:ascii="Palatino Linotype" w:hAnsi="Palatino Linotype"/>
        </w:rPr>
        <w:t xml:space="preserve">días para modificar, ampliar o desistirse respecto de la presentación de solicitud para </w:t>
      </w:r>
      <w:r w:rsidR="00563A40">
        <w:rPr>
          <w:rFonts w:ascii="Palatino Linotype" w:hAnsi="Palatino Linotype"/>
        </w:rPr>
        <w:t xml:space="preserve">iniciar procedimiento para la solución de diferendos limítrofes intermunicipales, misma que fue desahogada por </w:t>
      </w:r>
      <w:r w:rsidR="00563A40">
        <w:rPr>
          <w:rFonts w:ascii="Palatino Linotype" w:hAnsi="Palatino Linotype"/>
          <w:b/>
          <w:bCs/>
        </w:rPr>
        <w:t xml:space="preserve">El Sujeto Obligado. </w:t>
      </w:r>
    </w:p>
    <w:p w14:paraId="4FC1A92F" w14:textId="3BD3A69B" w:rsidR="00563A40" w:rsidRPr="00563A40" w:rsidRDefault="00563A40" w:rsidP="00926291">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Que en términos del numeral 140, fracción VIII de la Ley de Transparencia local, la información encuadra dentro de las fronteras conceptuales de la información reservada. </w:t>
      </w:r>
    </w:p>
    <w:p w14:paraId="4BCAE5B4" w14:textId="77777777" w:rsidR="00FE0CC3" w:rsidRDefault="00FE0CC3" w:rsidP="00C065F7">
      <w:pPr>
        <w:pStyle w:val="Citas"/>
        <w:ind w:left="0" w:right="0"/>
        <w:rPr>
          <w:i w:val="0"/>
          <w:sz w:val="24"/>
          <w:szCs w:val="24"/>
        </w:rPr>
      </w:pPr>
    </w:p>
    <w:p w14:paraId="66C73EA3" w14:textId="40E37EC8" w:rsidR="00563A40" w:rsidRDefault="00FE0CC3" w:rsidP="00C065F7">
      <w:pPr>
        <w:pStyle w:val="Citas"/>
        <w:ind w:left="0" w:right="0"/>
        <w:rPr>
          <w:i w:val="0"/>
          <w:sz w:val="24"/>
          <w:szCs w:val="24"/>
        </w:rPr>
      </w:pPr>
      <w:r>
        <w:rPr>
          <w:i w:val="0"/>
          <w:sz w:val="24"/>
          <w:szCs w:val="24"/>
        </w:rPr>
        <w:lastRenderedPageBreak/>
        <w:t xml:space="preserve">Bajo este contexto, </w:t>
      </w:r>
      <w:r>
        <w:rPr>
          <w:b/>
          <w:bCs/>
          <w:i w:val="0"/>
          <w:sz w:val="24"/>
          <w:szCs w:val="24"/>
        </w:rPr>
        <w:t xml:space="preserve">El Sujeto Obligado </w:t>
      </w:r>
      <w:r>
        <w:rPr>
          <w:i w:val="0"/>
          <w:sz w:val="24"/>
          <w:szCs w:val="24"/>
        </w:rPr>
        <w:t xml:space="preserve">reconoce la existencia de la información, resultando aplicable el criterio </w:t>
      </w:r>
      <w:r>
        <w:rPr>
          <w:b/>
          <w:bCs/>
          <w:i w:val="0"/>
          <w:sz w:val="24"/>
          <w:szCs w:val="24"/>
        </w:rPr>
        <w:t>29/</w:t>
      </w:r>
      <w:r w:rsidR="001F4421">
        <w:rPr>
          <w:b/>
          <w:bCs/>
          <w:i w:val="0"/>
          <w:sz w:val="24"/>
          <w:szCs w:val="24"/>
        </w:rPr>
        <w:t>2010 emitido</w:t>
      </w:r>
      <w:r>
        <w:rPr>
          <w:i w:val="0"/>
          <w:sz w:val="24"/>
          <w:szCs w:val="24"/>
        </w:rPr>
        <w:t xml:space="preserve"> por el Órgano Garante Nacional, cuyo rubro y texto disponen a la literalidad lo siguiente:</w:t>
      </w:r>
    </w:p>
    <w:p w14:paraId="2B0D73CC" w14:textId="4AC64004" w:rsidR="00FE0CC3" w:rsidRDefault="00FE0CC3" w:rsidP="00FE0CC3">
      <w:pPr>
        <w:pStyle w:val="Citas"/>
      </w:pPr>
      <w:r>
        <w:rPr>
          <w:b/>
        </w:rPr>
        <w:t>“</w:t>
      </w:r>
      <w:r w:rsidRPr="00A272CA">
        <w:rPr>
          <w:b/>
        </w:rPr>
        <w:t>LA CLASIFICACIÓN Y LA INEXISTENCIA DE INFORMACIÓN SON CONCEPTOS QUE NO PUEDEN COEXISTIR.</w:t>
      </w:r>
      <w:r>
        <w:t xml:space="preserve"> </w:t>
      </w:r>
    </w:p>
    <w:p w14:paraId="45BCFFE7" w14:textId="21614129" w:rsidR="00FE0CC3" w:rsidRDefault="00FE0CC3" w:rsidP="00FE0CC3">
      <w:pPr>
        <w:pStyle w:val="Citas"/>
        <w:rPr>
          <w:color w:val="000000"/>
        </w:rPr>
      </w:pPr>
      <w:r w:rsidRPr="00A272CA">
        <w:t>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w:t>
      </w:r>
      <w:r>
        <w:t xml:space="preserve"> </w:t>
      </w:r>
      <w:r w:rsidRPr="00A272CA">
        <w:t>en</w:t>
      </w:r>
      <w:r>
        <w:t xml:space="preserve"> </w:t>
      </w:r>
      <w:r w:rsidRPr="00A272CA">
        <w:t>un</w:t>
      </w:r>
      <w:r>
        <w:t xml:space="preserve"> </w:t>
      </w:r>
      <w:r w:rsidRPr="00A272CA">
        <w:t>documento</w:t>
      </w:r>
      <w:r>
        <w:t xml:space="preserve"> </w:t>
      </w:r>
      <w:r w:rsidRPr="00A272CA">
        <w:t>específico,</w:t>
      </w:r>
      <w:r>
        <w:t xml:space="preserve"> </w:t>
      </w:r>
      <w:r w:rsidRPr="00A272CA">
        <w:t>siempre</w:t>
      </w:r>
      <w:r>
        <w:t xml:space="preserve"> </w:t>
      </w:r>
      <w:r w:rsidRPr="00A272CA">
        <w:t>que</w:t>
      </w:r>
      <w:r>
        <w:t xml:space="preserve"> </w:t>
      </w:r>
      <w:r w:rsidRPr="00A272CA">
        <w:t>se</w:t>
      </w:r>
      <w:r>
        <w:t xml:space="preserve"> </w:t>
      </w:r>
      <w:r w:rsidRPr="00A272CA">
        <w:t>encuentre</w:t>
      </w:r>
      <w:r>
        <w:t xml:space="preserve"> </w:t>
      </w:r>
      <w:r w:rsidRPr="00A272CA">
        <w:t>en</w:t>
      </w:r>
      <w:r>
        <w:t xml:space="preserve"> </w:t>
      </w:r>
      <w:r w:rsidRPr="00A272CA">
        <w:t>los supuestos</w:t>
      </w:r>
      <w:r>
        <w:t xml:space="preserve"> </w:t>
      </w:r>
      <w:r w:rsidRPr="00A272CA">
        <w:t>establecidos</w:t>
      </w:r>
      <w:r>
        <w:t xml:space="preserve"> </w:t>
      </w:r>
      <w:r w:rsidRPr="00A272CA">
        <w:t>en</w:t>
      </w:r>
      <w:r>
        <w:t xml:space="preserve"> </w:t>
      </w:r>
      <w:r w:rsidRPr="00A272CA">
        <w:t>los</w:t>
      </w:r>
      <w:r>
        <w:t xml:space="preserve"> </w:t>
      </w:r>
      <w:r w:rsidRPr="00A272CA">
        <w:t>artículos</w:t>
      </w:r>
      <w:r>
        <w:t xml:space="preserve"> </w:t>
      </w:r>
      <w:r w:rsidRPr="00A272CA">
        <w:t>13</w:t>
      </w:r>
      <w:r>
        <w:t xml:space="preserve"> </w:t>
      </w:r>
      <w:r w:rsidRPr="00A272CA">
        <w:t>y</w:t>
      </w:r>
      <w:r>
        <w:t xml:space="preserve"> </w:t>
      </w:r>
      <w:r w:rsidRPr="00A272CA">
        <w:t>14</w:t>
      </w:r>
      <w:r>
        <w:t xml:space="preserve"> </w:t>
      </w:r>
      <w:r w:rsidRPr="00A272CA">
        <w:t>de</w:t>
      </w:r>
      <w:r>
        <w:t xml:space="preserve"> </w:t>
      </w:r>
      <w:r w:rsidRPr="00A272CA">
        <w:t>la</w:t>
      </w:r>
      <w:r>
        <w:t xml:space="preserve"> </w:t>
      </w:r>
      <w:r w:rsidRPr="00A272CA">
        <w:t>Ley</w:t>
      </w:r>
      <w:r>
        <w:t xml:space="preserve"> </w:t>
      </w:r>
      <w:r w:rsidRPr="00A272CA">
        <w:t>Federal</w:t>
      </w:r>
      <w:r>
        <w:t xml:space="preserve"> </w:t>
      </w:r>
      <w:r w:rsidRPr="00A272CA">
        <w:t>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53C9F486" w14:textId="77777777" w:rsidR="00FE0CC3" w:rsidRPr="001E0273" w:rsidRDefault="00FE0CC3" w:rsidP="00FE0CC3">
      <w:pPr>
        <w:pStyle w:val="Citas"/>
        <w:rPr>
          <w:b/>
        </w:rPr>
      </w:pPr>
      <w:r>
        <w:rPr>
          <w:b/>
        </w:rPr>
        <w:t>Precedentes</w:t>
      </w:r>
      <w:r w:rsidRPr="001E0273">
        <w:rPr>
          <w:b/>
        </w:rPr>
        <w:t>:</w:t>
      </w:r>
    </w:p>
    <w:p w14:paraId="05B68B08" w14:textId="77777777" w:rsidR="00FE0CC3" w:rsidRPr="00C43B67" w:rsidRDefault="00FE0CC3" w:rsidP="00FE0CC3">
      <w:pPr>
        <w:pStyle w:val="Citas"/>
        <w:numPr>
          <w:ilvl w:val="0"/>
          <w:numId w:val="17"/>
        </w:numPr>
        <w:rPr>
          <w:bCs/>
        </w:rPr>
      </w:pPr>
      <w:r w:rsidRPr="00C43B67">
        <w:rPr>
          <w:bCs/>
        </w:rPr>
        <w:t xml:space="preserve">Acceso a la información pública. 4734/07. Sesión del 13 de febrero de 2008. Votación por unanimidad. Sin votos disidentes o particulares. Pemex Exploración y Producción. Comisionado Ponente Juan Pablo Guerrero </w:t>
      </w:r>
      <w:proofErr w:type="spellStart"/>
      <w:r w:rsidRPr="00C43B67">
        <w:rPr>
          <w:bCs/>
        </w:rPr>
        <w:t>Amparán</w:t>
      </w:r>
      <w:proofErr w:type="spellEnd"/>
      <w:r w:rsidRPr="00C43B67">
        <w:rPr>
          <w:bCs/>
        </w:rPr>
        <w:t>.</w:t>
      </w:r>
    </w:p>
    <w:p w14:paraId="470056EC" w14:textId="77777777" w:rsidR="00FE0CC3" w:rsidRPr="00C43B67" w:rsidRDefault="00FE0CC3" w:rsidP="00FE0CC3">
      <w:pPr>
        <w:pStyle w:val="Citas"/>
        <w:numPr>
          <w:ilvl w:val="0"/>
          <w:numId w:val="17"/>
        </w:numPr>
        <w:rPr>
          <w:bCs/>
        </w:rPr>
      </w:pPr>
      <w:r w:rsidRPr="00C43B67">
        <w:rPr>
          <w:bCs/>
        </w:rPr>
        <w:lastRenderedPageBreak/>
        <w:t>Acceso a la información pública. 2936/08. Sesión del 10 de diciembre de 2008. Votación por unanimidad. Sin votos disidentes o particulares. Comisión Federal de Telecomunicaciones. Comisionado Ponente Alonso Gómez-Robledo Verduzco.</w:t>
      </w:r>
    </w:p>
    <w:p w14:paraId="73136B3B" w14:textId="77777777" w:rsidR="00FE0CC3" w:rsidRPr="00C43B67" w:rsidRDefault="00FE0CC3" w:rsidP="00FE0CC3">
      <w:pPr>
        <w:pStyle w:val="Citas"/>
        <w:numPr>
          <w:ilvl w:val="0"/>
          <w:numId w:val="17"/>
        </w:numPr>
        <w:rPr>
          <w:bCs/>
        </w:rPr>
      </w:pPr>
      <w:r w:rsidRPr="00C43B67">
        <w:rPr>
          <w:bCs/>
        </w:rPr>
        <w:t xml:space="preserve">Acceso a la información pública. 4781/09. Sesión del </w:t>
      </w:r>
      <w:r>
        <w:rPr>
          <w:bCs/>
        </w:rPr>
        <w:t>02 de diciembre de 2009</w:t>
      </w:r>
      <w:r w:rsidRPr="00C43B67">
        <w:rPr>
          <w:bCs/>
        </w:rPr>
        <w:t xml:space="preserve">. Votación por unanimidad. Sin votos disidentes o particulares. Comisión Nacional de Libros de Texto Gratuitos. Comisionada Ponente Jacqueline </w:t>
      </w:r>
      <w:proofErr w:type="spellStart"/>
      <w:r w:rsidRPr="00C43B67">
        <w:rPr>
          <w:bCs/>
        </w:rPr>
        <w:t>Peschard</w:t>
      </w:r>
      <w:proofErr w:type="spellEnd"/>
      <w:r w:rsidRPr="00C43B67">
        <w:rPr>
          <w:bCs/>
        </w:rPr>
        <w:t xml:space="preserve"> Mariscal.</w:t>
      </w:r>
    </w:p>
    <w:p w14:paraId="04FFEDDC" w14:textId="77777777" w:rsidR="00FE0CC3" w:rsidRPr="00FE0CC3" w:rsidRDefault="00FE0CC3" w:rsidP="00FE0CC3">
      <w:pPr>
        <w:pStyle w:val="Citas"/>
        <w:numPr>
          <w:ilvl w:val="0"/>
          <w:numId w:val="17"/>
        </w:numPr>
        <w:rPr>
          <w:rFonts w:ascii="Times New Roman" w:hAnsi="Times New Roman" w:cs="Times New Roman"/>
        </w:rPr>
      </w:pPr>
      <w:r w:rsidRPr="00FE0CC3">
        <w:rPr>
          <w:bCs/>
        </w:rPr>
        <w:t xml:space="preserve">Acceso a la información pública. 5434/09. Sesión del 20 de enero de 2010. Votación por unanimidad. Sin votos disidentes o particulares. Administración Portuaria Integral de Veracruz, S.A. de C.V. Comisionada Ponente Jacqueline </w:t>
      </w:r>
      <w:proofErr w:type="spellStart"/>
      <w:r w:rsidRPr="00FE0CC3">
        <w:rPr>
          <w:bCs/>
        </w:rPr>
        <w:t>Peschard</w:t>
      </w:r>
      <w:proofErr w:type="spellEnd"/>
      <w:r w:rsidRPr="00FE0CC3">
        <w:rPr>
          <w:bCs/>
        </w:rPr>
        <w:t xml:space="preserve"> Mariscal.</w:t>
      </w:r>
    </w:p>
    <w:p w14:paraId="213EC2EC" w14:textId="0E30DC43" w:rsidR="00FE0CC3" w:rsidRPr="00FE0CC3" w:rsidRDefault="00FE0CC3" w:rsidP="00FE0CC3">
      <w:pPr>
        <w:pStyle w:val="Citas"/>
        <w:numPr>
          <w:ilvl w:val="0"/>
          <w:numId w:val="17"/>
        </w:numPr>
      </w:pPr>
      <w:r w:rsidRPr="00FE0CC3">
        <w:rPr>
          <w:bCs/>
        </w:rPr>
        <w:t xml:space="preserve">Acceso a la información pública. 0384/10. Sesión del 07 de abril de 2010. Votación por unanimidad. Sin votos disidentes o particulares. Instituto Mexicano del Seguro Social. Comisionada Ponente Jacqueline </w:t>
      </w:r>
      <w:proofErr w:type="spellStart"/>
      <w:r w:rsidRPr="00FE0CC3">
        <w:rPr>
          <w:bCs/>
        </w:rPr>
        <w:t>Peschard</w:t>
      </w:r>
      <w:proofErr w:type="spellEnd"/>
      <w:r w:rsidRPr="00FE0CC3">
        <w:rPr>
          <w:bCs/>
        </w:rPr>
        <w:t xml:space="preserve"> Mariscal</w:t>
      </w:r>
      <w:r>
        <w:rPr>
          <w:bCs/>
        </w:rPr>
        <w:t xml:space="preserve">” </w:t>
      </w:r>
      <w:r>
        <w:rPr>
          <w:b/>
        </w:rPr>
        <w:t>(Sic)</w:t>
      </w:r>
    </w:p>
    <w:p w14:paraId="43C6EB7A" w14:textId="77777777" w:rsidR="00FE0CC3" w:rsidRDefault="00FE0CC3" w:rsidP="00C065F7">
      <w:pPr>
        <w:pStyle w:val="Citas"/>
        <w:ind w:left="0" w:right="0"/>
        <w:rPr>
          <w:i w:val="0"/>
          <w:sz w:val="24"/>
          <w:szCs w:val="24"/>
        </w:rPr>
      </w:pPr>
    </w:p>
    <w:p w14:paraId="55556006" w14:textId="38957964" w:rsidR="00563A40" w:rsidRDefault="00C065F7" w:rsidP="00C065F7">
      <w:pPr>
        <w:pStyle w:val="Citas"/>
        <w:ind w:left="0" w:right="0"/>
        <w:rPr>
          <w:i w:val="0"/>
          <w:sz w:val="24"/>
          <w:szCs w:val="24"/>
        </w:rPr>
      </w:pPr>
      <w:r>
        <w:rPr>
          <w:i w:val="0"/>
          <w:sz w:val="24"/>
          <w:szCs w:val="24"/>
        </w:rPr>
        <w:t xml:space="preserve">Inconforme con la respuesta del </w:t>
      </w:r>
      <w:r>
        <w:rPr>
          <w:b/>
          <w:i w:val="0"/>
          <w:sz w:val="24"/>
          <w:szCs w:val="24"/>
        </w:rPr>
        <w:t xml:space="preserve">Sujeto Obligado, </w:t>
      </w:r>
      <w:r w:rsidR="001F4421">
        <w:rPr>
          <w:b/>
          <w:i w:val="0"/>
          <w:sz w:val="24"/>
          <w:szCs w:val="24"/>
        </w:rPr>
        <w:t>La</w:t>
      </w:r>
      <w:r>
        <w:rPr>
          <w:b/>
          <w:i w:val="0"/>
          <w:sz w:val="24"/>
          <w:szCs w:val="24"/>
        </w:rPr>
        <w:t xml:space="preserve"> Recurrente </w:t>
      </w:r>
      <w:r>
        <w:rPr>
          <w:i w:val="0"/>
          <w:sz w:val="24"/>
          <w:szCs w:val="24"/>
        </w:rPr>
        <w:t xml:space="preserve">interpuso recurso de revisión en fecha </w:t>
      </w:r>
      <w:r w:rsidR="00563A40">
        <w:rPr>
          <w:i w:val="0"/>
          <w:sz w:val="24"/>
          <w:szCs w:val="24"/>
        </w:rPr>
        <w:t xml:space="preserve">veintinueve de agosto, admitiéndose el día treinta de agosto, ambos de dos mil </w:t>
      </w:r>
      <w:proofErr w:type="spellStart"/>
      <w:r w:rsidR="00563A40">
        <w:rPr>
          <w:i w:val="0"/>
          <w:sz w:val="24"/>
          <w:szCs w:val="24"/>
        </w:rPr>
        <w:t>veintidos</w:t>
      </w:r>
      <w:proofErr w:type="spellEnd"/>
      <w:r w:rsidR="00563A40">
        <w:rPr>
          <w:i w:val="0"/>
          <w:sz w:val="24"/>
          <w:szCs w:val="24"/>
        </w:rPr>
        <w:t>. Señalando como razones o motivos de inconformidad:</w:t>
      </w:r>
    </w:p>
    <w:p w14:paraId="174F1B57" w14:textId="1026EFBB" w:rsidR="00563A40" w:rsidRPr="00563A40" w:rsidRDefault="00563A40" w:rsidP="00563A40">
      <w:pPr>
        <w:pStyle w:val="Citas"/>
        <w:rPr>
          <w:b/>
          <w:bCs/>
        </w:rPr>
      </w:pPr>
      <w:r>
        <w:t>“</w:t>
      </w:r>
      <w:r w:rsidRPr="00563A40">
        <w:t>negativa a la información ya que no cuenta con acuerdo del comité para la reserva de la información</w:t>
      </w:r>
      <w:r>
        <w:t xml:space="preserve">” </w:t>
      </w:r>
      <w:r>
        <w:rPr>
          <w:b/>
          <w:bCs/>
        </w:rPr>
        <w:t>(Sic)</w:t>
      </w:r>
    </w:p>
    <w:p w14:paraId="1372D025" w14:textId="2A59B57D" w:rsidR="00BD30CA" w:rsidRDefault="00BD30CA" w:rsidP="00BD30CA">
      <w:pPr>
        <w:pStyle w:val="infoemcitas"/>
        <w:tabs>
          <w:tab w:val="left" w:pos="7655"/>
        </w:tabs>
        <w:ind w:left="0" w:right="0"/>
        <w:rPr>
          <w:rFonts w:cs="Arial"/>
          <w:i w:val="0"/>
          <w:noProof/>
          <w:color w:val="000000"/>
          <w:sz w:val="24"/>
          <w:lang w:eastAsia="es-MX"/>
        </w:rPr>
      </w:pPr>
      <w:r w:rsidRPr="004B0DB0">
        <w:rPr>
          <w:i w:val="0"/>
          <w:sz w:val="24"/>
          <w:szCs w:val="24"/>
        </w:rPr>
        <w:lastRenderedPageBreak/>
        <w:t xml:space="preserve">Así las cosas, hasta aquí lo expuesto, resulta inconcuso que </w:t>
      </w:r>
      <w:r w:rsidRPr="004B0DB0">
        <w:rPr>
          <w:b/>
          <w:i w:val="0"/>
          <w:sz w:val="24"/>
          <w:szCs w:val="24"/>
        </w:rPr>
        <w:t xml:space="preserve">El Sujeto Obligado </w:t>
      </w:r>
      <w:r w:rsidRPr="004B0DB0">
        <w:rPr>
          <w:rFonts w:cs="Arial"/>
          <w:i w:val="0"/>
          <w:noProof/>
          <w:color w:val="000000"/>
          <w:sz w:val="24"/>
          <w:lang w:eastAsia="es-MX"/>
        </w:rPr>
        <w:t xml:space="preserve">no satisfizo el derecho de acceso a la información pública ejercido por </w:t>
      </w:r>
      <w:r w:rsidR="001F4421">
        <w:rPr>
          <w:rFonts w:cs="Arial"/>
          <w:b/>
          <w:i w:val="0"/>
          <w:noProof/>
          <w:color w:val="000000"/>
          <w:sz w:val="24"/>
          <w:lang w:eastAsia="es-MX"/>
        </w:rPr>
        <w:t>La</w:t>
      </w:r>
      <w:r w:rsidRPr="004B0DB0">
        <w:rPr>
          <w:rFonts w:cs="Arial"/>
          <w:b/>
          <w:i w:val="0"/>
          <w:noProof/>
          <w:color w:val="000000"/>
          <w:sz w:val="24"/>
          <w:lang w:eastAsia="es-MX"/>
        </w:rPr>
        <w:t xml:space="preserve"> Recurrente, </w:t>
      </w:r>
      <w:r w:rsidRPr="004B0DB0">
        <w:rPr>
          <w:rFonts w:cs="Arial"/>
          <w:i w:val="0"/>
          <w:noProof/>
          <w:color w:val="000000"/>
          <w:sz w:val="24"/>
          <w:lang w:eastAsia="es-MX"/>
        </w:rPr>
        <w:t>al tenerse por actualizada la hipotesi</w:t>
      </w:r>
      <w:r>
        <w:rPr>
          <w:rFonts w:cs="Arial"/>
          <w:i w:val="0"/>
          <w:noProof/>
          <w:color w:val="000000"/>
          <w:sz w:val="24"/>
          <w:lang w:eastAsia="es-MX"/>
        </w:rPr>
        <w:t>s</w:t>
      </w:r>
      <w:r w:rsidRPr="004B0DB0">
        <w:rPr>
          <w:rFonts w:cs="Arial"/>
          <w:i w:val="0"/>
          <w:noProof/>
          <w:color w:val="000000"/>
          <w:sz w:val="24"/>
          <w:lang w:eastAsia="es-MX"/>
        </w:rPr>
        <w:t xml:space="preserve"> normativa prevista en el artículo 179, fracci</w:t>
      </w:r>
      <w:r w:rsidR="00563A40">
        <w:rPr>
          <w:rFonts w:cs="Arial"/>
          <w:i w:val="0"/>
          <w:noProof/>
          <w:color w:val="000000"/>
          <w:sz w:val="24"/>
          <w:lang w:eastAsia="es-MX"/>
        </w:rPr>
        <w:t>ones</w:t>
      </w:r>
      <w:r w:rsidRPr="004B0DB0">
        <w:rPr>
          <w:rFonts w:cs="Arial"/>
          <w:i w:val="0"/>
          <w:noProof/>
          <w:color w:val="000000"/>
          <w:sz w:val="24"/>
          <w:lang w:eastAsia="es-MX"/>
        </w:rPr>
        <w:t xml:space="preserve"> I</w:t>
      </w:r>
      <w:r w:rsidR="00563A40">
        <w:rPr>
          <w:rFonts w:cs="Arial"/>
          <w:i w:val="0"/>
          <w:noProof/>
          <w:color w:val="000000"/>
          <w:sz w:val="24"/>
          <w:lang w:eastAsia="es-MX"/>
        </w:rPr>
        <w:t xml:space="preserve"> y II</w:t>
      </w:r>
      <w:r>
        <w:rPr>
          <w:rFonts w:cs="Arial"/>
          <w:noProof/>
          <w:color w:val="000000"/>
          <w:sz w:val="24"/>
          <w:lang w:eastAsia="es-MX"/>
        </w:rPr>
        <w:t xml:space="preserve"> </w:t>
      </w:r>
      <w:r>
        <w:rPr>
          <w:rFonts w:cs="Arial"/>
          <w:i w:val="0"/>
          <w:noProof/>
          <w:color w:val="000000"/>
          <w:sz w:val="24"/>
          <w:lang w:eastAsia="es-MX"/>
        </w:rPr>
        <w:t xml:space="preserve">de la Ley de Transparencia y Acceso a la Información Pública del Estado de Mexico y Municipios, cuyo contenido literal es el siguiente: </w:t>
      </w:r>
    </w:p>
    <w:p w14:paraId="36A7D822" w14:textId="77777777" w:rsidR="00BD30CA" w:rsidRDefault="00BD30CA" w:rsidP="00BD30CA">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601B6F22" w14:textId="3085ED40" w:rsidR="00BD30CA" w:rsidRDefault="00BD30CA" w:rsidP="00BD30CA">
      <w:pPr>
        <w:pStyle w:val="Citas"/>
      </w:pPr>
      <w:r>
        <w:t>I. La negativa a la información solicitada;</w:t>
      </w:r>
    </w:p>
    <w:p w14:paraId="1CEB842C" w14:textId="5C6AEBB4" w:rsidR="00563A40" w:rsidRDefault="00563A40" w:rsidP="00BD30CA">
      <w:pPr>
        <w:pStyle w:val="Citas"/>
      </w:pPr>
      <w:r>
        <w:t>II. La clasificación de la información;</w:t>
      </w:r>
    </w:p>
    <w:p w14:paraId="178362F1" w14:textId="77777777" w:rsidR="00BD30CA" w:rsidRPr="004B0DB0" w:rsidRDefault="00BD30CA" w:rsidP="00BD30CA">
      <w:pPr>
        <w:pStyle w:val="Citas"/>
        <w:rPr>
          <w:b/>
          <w:bCs/>
        </w:rPr>
      </w:pPr>
      <w:r>
        <w:t xml:space="preserve">(…)” </w:t>
      </w:r>
      <w:r>
        <w:rPr>
          <w:b/>
          <w:bCs/>
        </w:rPr>
        <w:t>(Sic)</w:t>
      </w:r>
    </w:p>
    <w:p w14:paraId="2FA40D50" w14:textId="77777777" w:rsidR="00FE0CC3" w:rsidRDefault="00FE0CC3" w:rsidP="00BD30CA">
      <w:pPr>
        <w:pStyle w:val="Citas"/>
        <w:tabs>
          <w:tab w:val="left" w:pos="7470"/>
        </w:tabs>
        <w:ind w:left="0" w:right="72"/>
        <w:rPr>
          <w:i w:val="0"/>
          <w:sz w:val="24"/>
          <w:szCs w:val="24"/>
        </w:rPr>
      </w:pPr>
    </w:p>
    <w:p w14:paraId="2F5B8174" w14:textId="037EB9A1" w:rsidR="00BD30CA" w:rsidRPr="00EA1BA1" w:rsidRDefault="00BD30CA" w:rsidP="00BD30CA">
      <w:pPr>
        <w:pStyle w:val="Citas"/>
        <w:tabs>
          <w:tab w:val="left" w:pos="7470"/>
        </w:tabs>
        <w:ind w:left="0" w:right="72"/>
        <w:rPr>
          <w:bCs/>
          <w:i w:val="0"/>
          <w:sz w:val="24"/>
          <w:szCs w:val="24"/>
        </w:rPr>
      </w:pPr>
      <w:r w:rsidRPr="00EA1BA1">
        <w:rPr>
          <w:i w:val="0"/>
          <w:sz w:val="24"/>
          <w:szCs w:val="24"/>
        </w:rPr>
        <w:t xml:space="preserve">Por otra parte, como fue referido en el antecedente </w:t>
      </w:r>
      <w:r w:rsidR="00563A40">
        <w:rPr>
          <w:i w:val="0"/>
          <w:sz w:val="24"/>
          <w:szCs w:val="24"/>
        </w:rPr>
        <w:t>quinto</w:t>
      </w:r>
      <w:r w:rsidRPr="00EA1BA1">
        <w:rPr>
          <w:i w:val="0"/>
          <w:sz w:val="24"/>
          <w:szCs w:val="24"/>
        </w:rPr>
        <w:t xml:space="preserve">, </w:t>
      </w:r>
      <w:r w:rsidRPr="00EA1BA1">
        <w:rPr>
          <w:b/>
          <w:i w:val="0"/>
          <w:sz w:val="24"/>
          <w:szCs w:val="24"/>
        </w:rPr>
        <w:t xml:space="preserve">El Sujeto Obligado </w:t>
      </w:r>
      <w:r w:rsidRPr="00EA1BA1">
        <w:rPr>
          <w:bCs/>
          <w:i w:val="0"/>
          <w:sz w:val="24"/>
          <w:szCs w:val="24"/>
        </w:rPr>
        <w:t>fue omiso en rendir su informe justificado, de ahí que deba arribarse a las siguientes consideraciones:</w:t>
      </w:r>
    </w:p>
    <w:p w14:paraId="49727658" w14:textId="77777777" w:rsidR="00563A40" w:rsidRPr="00AA00BC" w:rsidRDefault="00563A40" w:rsidP="00563A40">
      <w:pPr>
        <w:pStyle w:val="Citas"/>
        <w:ind w:left="0" w:right="0"/>
        <w:rPr>
          <w:i w:val="0"/>
          <w:sz w:val="24"/>
          <w:szCs w:val="24"/>
        </w:rPr>
      </w:pPr>
      <w:r w:rsidRPr="00FE0CC3">
        <w:rPr>
          <w:bCs/>
          <w:i w:val="0"/>
          <w:sz w:val="24"/>
          <w:szCs w:val="24"/>
        </w:rPr>
        <w:t xml:space="preserve">Que la clasificación es un acto </w:t>
      </w:r>
      <w:r w:rsidRPr="00FE0CC3">
        <w:rPr>
          <w:i w:val="0"/>
          <w:sz w:val="24"/>
          <w:szCs w:val="24"/>
        </w:rPr>
        <w:t>administrativo</w:t>
      </w:r>
      <w:r w:rsidRPr="00AA00BC">
        <w:rPr>
          <w:i w:val="0"/>
          <w:sz w:val="24"/>
          <w:szCs w:val="24"/>
        </w:rPr>
        <w:t xml:space="preserve"> mediante el cual se restringe el derecho de acceso a la información, mediante el cual los </w:t>
      </w:r>
      <w:r w:rsidRPr="00AA00BC">
        <w:rPr>
          <w:b/>
          <w:i w:val="0"/>
          <w:sz w:val="24"/>
          <w:szCs w:val="24"/>
        </w:rPr>
        <w:t xml:space="preserve">Sujetos Obligados </w:t>
      </w:r>
      <w:r w:rsidRPr="00AA00BC">
        <w:rPr>
          <w:i w:val="0"/>
          <w:sz w:val="24"/>
          <w:szCs w:val="24"/>
        </w:rPr>
        <w:t xml:space="preserve">determinan que la información requerida actualiza alguno de los supuestos de confidencialidad </w:t>
      </w:r>
      <w:r w:rsidRPr="00AA00BC">
        <w:rPr>
          <w:b/>
          <w:i w:val="0"/>
          <w:sz w:val="24"/>
          <w:szCs w:val="24"/>
        </w:rPr>
        <w:t xml:space="preserve">o </w:t>
      </w:r>
      <w:r w:rsidRPr="00AA00BC">
        <w:rPr>
          <w:b/>
          <w:i w:val="0"/>
          <w:sz w:val="24"/>
          <w:szCs w:val="24"/>
          <w:u w:val="single"/>
        </w:rPr>
        <w:t>reserva,</w:t>
      </w:r>
      <w:r w:rsidRPr="00AA00BC">
        <w:rPr>
          <w:b/>
          <w:i w:val="0"/>
          <w:sz w:val="24"/>
          <w:szCs w:val="24"/>
        </w:rPr>
        <w:t xml:space="preserve"> </w:t>
      </w:r>
      <w:r w:rsidRPr="00AA00BC">
        <w:rPr>
          <w:i w:val="0"/>
          <w:sz w:val="24"/>
          <w:szCs w:val="24"/>
        </w:rPr>
        <w:t xml:space="preserve">de acuerdo con las bases y los principios inmersos en la normatividad aplicable. </w:t>
      </w:r>
    </w:p>
    <w:p w14:paraId="4732FCB6" w14:textId="77777777" w:rsidR="00563A40" w:rsidRPr="00BE1B62" w:rsidRDefault="00563A40" w:rsidP="00563A40">
      <w:pPr>
        <w:spacing w:before="240" w:line="360" w:lineRule="auto"/>
        <w:jc w:val="both"/>
        <w:rPr>
          <w:rFonts w:ascii="Palatino Linotype" w:hAnsi="Palatino Linotype"/>
          <w:sz w:val="24"/>
          <w:szCs w:val="24"/>
        </w:rPr>
      </w:pPr>
      <w:r w:rsidRPr="00BE1B62">
        <w:rPr>
          <w:rFonts w:ascii="Palatino Linotype" w:hAnsi="Palatino Linotype"/>
          <w:sz w:val="24"/>
          <w:szCs w:val="24"/>
        </w:rPr>
        <w:lastRenderedPageBreak/>
        <w:t xml:space="preserve">Para realizar la reserva de la información no basta con exponer alguna </w:t>
      </w:r>
      <w:r>
        <w:rPr>
          <w:rFonts w:ascii="Palatino Linotype" w:hAnsi="Palatino Linotype"/>
          <w:sz w:val="24"/>
          <w:szCs w:val="24"/>
        </w:rPr>
        <w:t>d</w:t>
      </w:r>
      <w:r w:rsidRPr="00BE1B62">
        <w:rPr>
          <w:rFonts w:ascii="Palatino Linotype" w:hAnsi="Palatino Linotype"/>
          <w:sz w:val="24"/>
          <w:szCs w:val="24"/>
        </w:rPr>
        <w:t xml:space="preserve">e las causales previstas en la Ley de Transparencia local, en sentido contrario dicha valoración debe de realizarse a través de la </w:t>
      </w:r>
      <w:r w:rsidRPr="00BE1B62">
        <w:rPr>
          <w:rFonts w:ascii="Palatino Linotype" w:hAnsi="Palatino Linotype"/>
          <w:b/>
          <w:i/>
          <w:sz w:val="24"/>
          <w:szCs w:val="24"/>
        </w:rPr>
        <w:t xml:space="preserve">“prueba de daño” </w:t>
      </w:r>
      <w:r w:rsidRPr="00BE1B62">
        <w:rPr>
          <w:rFonts w:ascii="Palatino Linotype" w:hAnsi="Palatino Linotype"/>
          <w:sz w:val="24"/>
          <w:szCs w:val="24"/>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0A15BDCB" w14:textId="77777777" w:rsidR="00563A40" w:rsidRPr="00BE1B62" w:rsidRDefault="00563A40" w:rsidP="00563A40">
      <w:pPr>
        <w:spacing w:before="240" w:line="360" w:lineRule="auto"/>
        <w:jc w:val="both"/>
        <w:rPr>
          <w:rFonts w:ascii="Palatino Linotype" w:hAnsi="Palatino Linotype"/>
          <w:sz w:val="24"/>
          <w:szCs w:val="24"/>
        </w:rPr>
      </w:pPr>
      <w:r w:rsidRPr="00BE1B62">
        <w:rPr>
          <w:rFonts w:ascii="Palatino Linotype" w:hAnsi="Palatino Linotype"/>
          <w:sz w:val="24"/>
          <w:szCs w:val="24"/>
        </w:rPr>
        <w:t xml:space="preserve">Para aplicar la prueba de daño, se deberán de precisar las razones objetivas por las que la apertura genera una afectación, acreditando que: </w:t>
      </w:r>
    </w:p>
    <w:p w14:paraId="7F1EC8E5" w14:textId="77777777" w:rsidR="00563A40" w:rsidRPr="00217F38" w:rsidRDefault="00563A40" w:rsidP="00563A40">
      <w:pPr>
        <w:pStyle w:val="Prrafodelista"/>
        <w:widowControl w:val="0"/>
        <w:numPr>
          <w:ilvl w:val="0"/>
          <w:numId w:val="14"/>
        </w:numPr>
        <w:autoSpaceDE w:val="0"/>
        <w:autoSpaceDN w:val="0"/>
        <w:adjustRightInd w:val="0"/>
        <w:spacing w:before="240" w:after="240" w:line="360" w:lineRule="auto"/>
        <w:ind w:right="333"/>
        <w:jc w:val="both"/>
        <w:rPr>
          <w:rFonts w:ascii="Palatino Linotype" w:hAnsi="Palatino Linotype" w:cs="Times"/>
          <w:color w:val="000000" w:themeColor="text1"/>
          <w:lang w:val="es-ES_tradnl"/>
        </w:rPr>
      </w:pPr>
      <w:r w:rsidRPr="00217F38">
        <w:rPr>
          <w:rFonts w:ascii="Palatino Linotype" w:hAnsi="Palatino Linotype"/>
        </w:rPr>
        <w:t>La divulgaci</w:t>
      </w:r>
      <w:r>
        <w:rPr>
          <w:rFonts w:ascii="Palatino Linotype" w:hAnsi="Palatino Linotype"/>
        </w:rPr>
        <w:t xml:space="preserve">ón </w:t>
      </w:r>
      <w:r w:rsidRPr="00217F38">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5B0DE337" w14:textId="77777777" w:rsidR="00563A40" w:rsidRPr="00217F38" w:rsidRDefault="00563A40" w:rsidP="00563A40">
      <w:pPr>
        <w:pStyle w:val="Prrafodelista"/>
        <w:widowControl w:val="0"/>
        <w:numPr>
          <w:ilvl w:val="0"/>
          <w:numId w:val="14"/>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217F38">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3ED28FB8" w14:textId="77777777" w:rsidR="00563A40" w:rsidRPr="00217F38" w:rsidRDefault="00563A40" w:rsidP="00563A40">
      <w:pPr>
        <w:pStyle w:val="Prrafodelista"/>
        <w:widowControl w:val="0"/>
        <w:numPr>
          <w:ilvl w:val="0"/>
          <w:numId w:val="14"/>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217F38">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14:paraId="2EE05E69" w14:textId="77777777" w:rsidR="00563A40" w:rsidRDefault="00563A40" w:rsidP="00563A40">
      <w:pPr>
        <w:spacing w:before="240" w:line="360" w:lineRule="auto"/>
        <w:jc w:val="both"/>
        <w:rPr>
          <w:rFonts w:ascii="Palatino Linotype" w:hAnsi="Palatino Linotype"/>
          <w:sz w:val="24"/>
          <w:szCs w:val="24"/>
        </w:rPr>
      </w:pPr>
    </w:p>
    <w:p w14:paraId="7092B071" w14:textId="77777777" w:rsidR="00563A40" w:rsidRPr="000A07D4" w:rsidRDefault="00563A40" w:rsidP="00563A40">
      <w:pPr>
        <w:pStyle w:val="j"/>
        <w:shd w:val="clear" w:color="auto" w:fill="FFFFFF"/>
        <w:suppressAutoHyphens/>
        <w:spacing w:line="360" w:lineRule="auto"/>
        <w:jc w:val="both"/>
        <w:textAlignment w:val="baseline"/>
        <w:rPr>
          <w:rFonts w:ascii="Palatino Linotype" w:hAnsi="Palatino Linotype"/>
          <w:color w:val="000000" w:themeColor="text1"/>
        </w:rPr>
      </w:pPr>
      <w:r w:rsidRPr="000A07D4">
        <w:rPr>
          <w:rFonts w:ascii="Palatino Linotype" w:hAnsi="Palatino Linotype"/>
          <w:color w:val="000000" w:themeColor="text1"/>
        </w:rPr>
        <w:t xml:space="preserve">Sobre el primer </w:t>
      </w:r>
      <w:r w:rsidRPr="001E3F4C">
        <w:rPr>
          <w:rFonts w:ascii="Palatino Linotype" w:hAnsi="Palatino Linotype"/>
          <w:color w:val="000000" w:themeColor="text1"/>
        </w:rPr>
        <w:t>supuesto consideremos que según el diccionario del español jurídico, por riesgo podemos entender “la contingencia o proximidad de un daño”,</w:t>
      </w:r>
      <w:r w:rsidRPr="001E3F4C">
        <w:rPr>
          <w:rStyle w:val="Refdenotaalpie"/>
          <w:rFonts w:ascii="Palatino Linotype" w:hAnsi="Palatino Linotype"/>
          <w:color w:val="000000" w:themeColor="text1"/>
        </w:rPr>
        <w:footnoteReference w:id="3"/>
      </w:r>
      <w:r w:rsidRPr="001E3F4C">
        <w:rPr>
          <w:rFonts w:ascii="Palatino Linotype" w:hAnsi="Palatino Linotype"/>
          <w:color w:val="000000" w:themeColor="text1"/>
        </w:rPr>
        <w:t xml:space="preserve"> mientras que el daño es considerado como un “perjuicio o lesión”</w:t>
      </w:r>
      <w:r w:rsidRPr="001E3F4C">
        <w:rPr>
          <w:rStyle w:val="Refdenotaalpie"/>
          <w:rFonts w:ascii="Palatino Linotype" w:hAnsi="Palatino Linotype"/>
          <w:color w:val="000000" w:themeColor="text1"/>
        </w:rPr>
        <w:footnoteReference w:id="4"/>
      </w:r>
      <w:r w:rsidRPr="001E3F4C">
        <w:rPr>
          <w:rFonts w:ascii="Palatino Linotype" w:hAnsi="Palatino Linotype"/>
          <w:color w:val="000000" w:themeColor="text1"/>
        </w:rPr>
        <w:t xml:space="preserve">, mientras que según el </w:t>
      </w:r>
      <w:r w:rsidRPr="001E3F4C">
        <w:rPr>
          <w:rFonts w:ascii="Palatino Linotype" w:hAnsi="Palatino Linotype"/>
          <w:color w:val="000000" w:themeColor="text1"/>
        </w:rPr>
        <w:lastRenderedPageBreak/>
        <w:t>Diccionario de la Lengua Española, lo real es</w:t>
      </w:r>
      <w:r w:rsidRPr="001E3F4C">
        <w:rPr>
          <w:rFonts w:ascii="Palatino Linotype" w:eastAsia="Arial Unicode MS" w:hAnsi="Palatino Linotype" w:cs="Arial Unicode MS"/>
          <w:color w:val="000000" w:themeColor="text1"/>
          <w:spacing w:val="4"/>
          <w:shd w:val="clear" w:color="auto" w:fill="FFFFFF"/>
        </w:rPr>
        <w:t> lo “</w:t>
      </w:r>
      <w:r w:rsidRPr="001E3F4C">
        <w:rPr>
          <w:rFonts w:ascii="Palatino Linotype" w:hAnsi="Palatino Linotype"/>
          <w:color w:val="000000" w:themeColor="text1"/>
        </w:rPr>
        <w:t>(q</w:t>
      </w:r>
      <w:proofErr w:type="gramStart"/>
      <w:r w:rsidRPr="001E3F4C">
        <w:rPr>
          <w:rFonts w:ascii="Palatino Linotype" w:hAnsi="Palatino Linotype"/>
          <w:color w:val="000000" w:themeColor="text1"/>
        </w:rPr>
        <w:t>)</w:t>
      </w:r>
      <w:proofErr w:type="spellStart"/>
      <w:r w:rsidRPr="001E3F4C">
        <w:rPr>
          <w:rFonts w:ascii="Palatino Linotype" w:hAnsi="Palatino Linotype"/>
          <w:color w:val="000000" w:themeColor="text1"/>
        </w:rPr>
        <w:t>ue</w:t>
      </w:r>
      <w:proofErr w:type="spellEnd"/>
      <w:proofErr w:type="gramEnd"/>
      <w:r w:rsidRPr="001E3F4C">
        <w:rPr>
          <w:rFonts w:ascii="Palatino Linotype" w:eastAsia="Arial Unicode MS" w:hAnsi="Palatino Linotype" w:cs="Arial Unicode MS"/>
          <w:color w:val="000000" w:themeColor="text1"/>
          <w:spacing w:val="4"/>
          <w:shd w:val="clear" w:color="auto" w:fill="FFFFFF"/>
        </w:rPr>
        <w:t> </w:t>
      </w:r>
      <w:r w:rsidRPr="001E3F4C">
        <w:rPr>
          <w:rFonts w:ascii="Palatino Linotype" w:hAnsi="Palatino Linotype"/>
          <w:color w:val="000000" w:themeColor="text1"/>
        </w:rPr>
        <w:t>tiene</w:t>
      </w:r>
      <w:r w:rsidRPr="001E3F4C">
        <w:rPr>
          <w:rFonts w:ascii="Palatino Linotype" w:eastAsia="Arial Unicode MS" w:hAnsi="Palatino Linotype" w:cs="Arial Unicode MS"/>
          <w:color w:val="000000" w:themeColor="text1"/>
          <w:spacing w:val="4"/>
          <w:shd w:val="clear" w:color="auto" w:fill="FFFFFF"/>
        </w:rPr>
        <w:t> </w:t>
      </w:r>
      <w:r w:rsidRPr="001E3F4C">
        <w:rPr>
          <w:rFonts w:ascii="Palatino Linotype" w:hAnsi="Palatino Linotype"/>
          <w:color w:val="000000" w:themeColor="text1"/>
        </w:rPr>
        <w:t>existencia</w:t>
      </w:r>
      <w:r w:rsidRPr="001E3F4C">
        <w:rPr>
          <w:rFonts w:ascii="Palatino Linotype" w:eastAsia="Arial Unicode MS" w:hAnsi="Palatino Linotype" w:cs="Arial Unicode MS"/>
          <w:color w:val="000000" w:themeColor="text1"/>
          <w:spacing w:val="4"/>
          <w:shd w:val="clear" w:color="auto" w:fill="FFFFFF"/>
        </w:rPr>
        <w:t> </w:t>
      </w:r>
      <w:r w:rsidRPr="001E3F4C">
        <w:rPr>
          <w:rFonts w:ascii="Palatino Linotype" w:hAnsi="Palatino Linotype"/>
          <w:color w:val="000000" w:themeColor="text1"/>
        </w:rPr>
        <w:t>objetiva”,</w:t>
      </w:r>
      <w:r w:rsidRPr="001E3F4C">
        <w:rPr>
          <w:rStyle w:val="Refdenotaalpie"/>
          <w:rFonts w:ascii="Palatino Linotype" w:hAnsi="Palatino Linotype"/>
          <w:color w:val="000000" w:themeColor="text1"/>
        </w:rPr>
        <w:footnoteReference w:id="5"/>
      </w:r>
      <w:r w:rsidRPr="001E3F4C">
        <w:rPr>
          <w:rFonts w:ascii="Palatino Linotype" w:hAnsi="Palatino Linotype"/>
          <w:color w:val="000000" w:themeColor="text1"/>
        </w:rPr>
        <w:t xml:space="preserve"> </w:t>
      </w:r>
      <w:r w:rsidRPr="001E3F4C">
        <w:rPr>
          <w:rFonts w:ascii="Palatino Linotype" w:eastAsia="Arial Unicode MS" w:hAnsi="Palatino Linotype" w:cs="Arial Unicode MS"/>
          <w:color w:val="000000" w:themeColor="text1"/>
          <w:spacing w:val="4"/>
          <w:shd w:val="clear" w:color="auto" w:fill="FFFFFF"/>
        </w:rPr>
        <w:t>mientras que lo demostrables es, según</w:t>
      </w:r>
      <w:r w:rsidRPr="000A07D4">
        <w:rPr>
          <w:rFonts w:ascii="Palatino Linotype" w:eastAsia="Arial Unicode MS" w:hAnsi="Palatino Linotype" w:cs="Arial Unicode MS"/>
          <w:color w:val="000000" w:themeColor="text1"/>
          <w:spacing w:val="4"/>
          <w:shd w:val="clear" w:color="auto" w:fill="FFFFFF"/>
        </w:rPr>
        <w:t xml:space="preserve"> la misma fuente, aquello que se puede demostrar,</w:t>
      </w:r>
      <w:r w:rsidRPr="000A07D4">
        <w:rPr>
          <w:rStyle w:val="Refdenotaalpie"/>
          <w:rFonts w:ascii="Palatino Linotype" w:eastAsia="Arial Unicode MS" w:hAnsi="Palatino Linotype" w:cs="Arial Unicode MS"/>
          <w:color w:val="000000" w:themeColor="text1"/>
          <w:spacing w:val="4"/>
          <w:shd w:val="clear" w:color="auto" w:fill="FFFFFF"/>
        </w:rPr>
        <w:footnoteReference w:id="6"/>
      </w:r>
      <w:r>
        <w:rPr>
          <w:rFonts w:ascii="Palatino Linotype" w:eastAsia="Arial Unicode MS" w:hAnsi="Palatino Linotype" w:cs="Arial Unicode MS"/>
          <w:color w:val="000000" w:themeColor="text1"/>
          <w:spacing w:val="4"/>
          <w:shd w:val="clear" w:color="auto" w:fill="FFFFFF"/>
        </w:rPr>
        <w:t xml:space="preserve">es </w:t>
      </w:r>
      <w:r w:rsidRPr="000A07D4">
        <w:rPr>
          <w:rFonts w:ascii="Palatino Linotype" w:eastAsia="Arial Unicode MS" w:hAnsi="Palatino Linotype" w:cs="Arial Unicode MS"/>
          <w:color w:val="000000" w:themeColor="text1"/>
          <w:spacing w:val="4"/>
          <w:shd w:val="clear" w:color="auto" w:fill="FFFFFF"/>
        </w:rPr>
        <w:t>decir,</w:t>
      </w:r>
      <w:r>
        <w:rPr>
          <w:rFonts w:ascii="Palatino Linotype" w:eastAsia="Arial Unicode MS" w:hAnsi="Palatino Linotype" w:cs="Arial Unicode MS"/>
          <w:color w:val="000000" w:themeColor="text1"/>
          <w:spacing w:val="4"/>
          <w:shd w:val="clear" w:color="auto" w:fill="FFFFFF"/>
        </w:rPr>
        <w:t xml:space="preserve"> </w:t>
      </w:r>
      <w:r w:rsidRPr="000A07D4">
        <w:rPr>
          <w:rFonts w:ascii="Palatino Linotype" w:hAnsi="Palatino Linotype" w:cstheme="minorBidi"/>
          <w:color w:val="000000" w:themeColor="text1"/>
          <w:lang w:eastAsia="en-US"/>
        </w:rPr>
        <w:t>m)anifestar, declarar. Probar, sirviéndose de cualquier género de demostración, </w:t>
      </w:r>
      <w:hyperlink r:id="rId12" w:anchor="6nAyKjE" w:history="1">
        <w:r w:rsidRPr="000A07D4">
          <w:rPr>
            <w:rFonts w:ascii="Palatino Linotype" w:hAnsi="Palatino Linotype" w:cstheme="minorBidi"/>
            <w:color w:val="000000" w:themeColor="text1"/>
            <w:lang w:eastAsia="en-US"/>
          </w:rPr>
          <w:t>enseñar</w:t>
        </w:r>
      </w:hyperlink>
      <w:r w:rsidRPr="000A07D4">
        <w:rPr>
          <w:rFonts w:ascii="Palatino Linotype" w:hAnsi="Palatino Linotype" w:cstheme="minorBidi"/>
          <w:color w:val="000000" w:themeColor="text1"/>
          <w:lang w:eastAsia="en-US"/>
        </w:rPr>
        <w:t> mostrar </w:t>
      </w:r>
      <w:r w:rsidRPr="001E3F4C">
        <w:rPr>
          <w:rFonts w:ascii="Palatino Linotype" w:hAnsi="Palatino Linotype" w:cstheme="minorBidi"/>
          <w:color w:val="000000" w:themeColor="text1"/>
          <w:lang w:eastAsia="en-US"/>
        </w:rPr>
        <w:t>o exponer algo)”.</w:t>
      </w:r>
      <w:r w:rsidRPr="001E3F4C">
        <w:rPr>
          <w:rStyle w:val="Refdenotaalpie"/>
          <w:rFonts w:ascii="Palatino Linotype" w:hAnsi="Palatino Linotype" w:cstheme="minorBidi"/>
          <w:color w:val="000000" w:themeColor="text1"/>
          <w:lang w:eastAsia="en-US"/>
        </w:rPr>
        <w:footnoteReference w:id="7"/>
      </w:r>
      <w:r w:rsidRPr="001E3F4C">
        <w:rPr>
          <w:rFonts w:ascii="Palatino Linotype" w:hAnsi="Palatino Linotype" w:cstheme="minorBidi"/>
          <w:color w:val="000000" w:themeColor="text1"/>
          <w:lang w:eastAsia="en-US"/>
        </w:rPr>
        <w:t xml:space="preserve"> Mientras que lo identificable es lo que puede ser identificado,</w:t>
      </w:r>
      <w:r w:rsidRPr="001E3F4C">
        <w:rPr>
          <w:rStyle w:val="Refdenotaalpie"/>
          <w:rFonts w:ascii="Palatino Linotype" w:hAnsi="Palatino Linotype" w:cstheme="minorBidi"/>
          <w:color w:val="000000" w:themeColor="text1"/>
          <w:lang w:eastAsia="en-US"/>
        </w:rPr>
        <w:footnoteReference w:id="8"/>
      </w:r>
      <w:r w:rsidRPr="001E3F4C">
        <w:rPr>
          <w:rFonts w:ascii="Palatino Linotype" w:hAnsi="Palatino Linotype" w:cstheme="minorBidi"/>
          <w:color w:val="000000" w:themeColor="text1"/>
          <w:lang w:eastAsia="en-US"/>
        </w:rPr>
        <w:t xml:space="preserve"> esto es,</w:t>
      </w:r>
      <w:r w:rsidRPr="001E3F4C">
        <w:rPr>
          <w:rFonts w:ascii="Palatino Linotype" w:hAnsi="Palatino Linotype" w:cstheme="minorBidi"/>
          <w:color w:val="000000" w:themeColor="text1"/>
        </w:rPr>
        <w:t>  “(d</w:t>
      </w:r>
      <w:proofErr w:type="gramStart"/>
      <w:r w:rsidRPr="001E3F4C">
        <w:rPr>
          <w:rFonts w:ascii="Palatino Linotype" w:hAnsi="Palatino Linotype" w:cstheme="minorBidi"/>
          <w:color w:val="000000" w:themeColor="text1"/>
        </w:rPr>
        <w:t>)</w:t>
      </w:r>
      <w:proofErr w:type="spellStart"/>
      <w:r w:rsidRPr="001E3F4C">
        <w:rPr>
          <w:rFonts w:ascii="Palatino Linotype" w:hAnsi="Palatino Linotype" w:cstheme="minorBidi"/>
          <w:color w:val="000000" w:themeColor="text1"/>
        </w:rPr>
        <w:t>ar</w:t>
      </w:r>
      <w:proofErr w:type="spellEnd"/>
      <w:proofErr w:type="gramEnd"/>
      <w:r w:rsidRPr="001E3F4C">
        <w:rPr>
          <w:rFonts w:ascii="Palatino Linotype" w:hAnsi="Palatino Linotype" w:cstheme="minorBidi"/>
          <w:color w:val="000000" w:themeColor="text1"/>
        </w:rPr>
        <w:t> los datos necesarios para ser</w:t>
      </w:r>
      <w:r w:rsidRPr="000A07D4">
        <w:rPr>
          <w:rFonts w:ascii="Palatino Linotype" w:hAnsi="Palatino Linotype" w:cstheme="minorBidi"/>
          <w:color w:val="000000" w:themeColor="text1"/>
        </w:rPr>
        <w:t> reconocido”.</w:t>
      </w:r>
      <w:r w:rsidRPr="000A07D4">
        <w:rPr>
          <w:rStyle w:val="Refdenotaalpie"/>
          <w:rFonts w:ascii="Palatino Linotype" w:hAnsi="Palatino Linotype" w:cstheme="minorBidi"/>
          <w:color w:val="000000" w:themeColor="text1"/>
        </w:rPr>
        <w:footnoteReference w:id="9"/>
      </w:r>
    </w:p>
    <w:p w14:paraId="4687D823" w14:textId="77777777" w:rsidR="00563A40" w:rsidRPr="000A07D4" w:rsidRDefault="00563A40" w:rsidP="00563A40">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647B7E92" w14:textId="77777777" w:rsidR="00563A40" w:rsidRPr="000A07D4" w:rsidRDefault="00563A40" w:rsidP="00563A40">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70B3884B" w14:textId="77777777" w:rsidR="00563A40" w:rsidRPr="000A07D4" w:rsidRDefault="00563A40" w:rsidP="00563A40">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0A07D4">
        <w:rPr>
          <w:rStyle w:val="Refdenotaalpie"/>
          <w:rFonts w:ascii="Palatino Linotype" w:hAnsi="Palatino Linotype"/>
          <w:color w:val="000000" w:themeColor="text1"/>
        </w:rPr>
        <w:footnoteReference w:id="10"/>
      </w:r>
      <w:r w:rsidRPr="000A07D4">
        <w:rPr>
          <w:rFonts w:ascii="Palatino Linotype" w:hAnsi="Palatino Linotype"/>
          <w:color w:val="000000" w:themeColor="text1"/>
          <w:sz w:val="24"/>
          <w:szCs w:val="24"/>
        </w:rPr>
        <w:t xml:space="preserve">, siguiendo el principio de ponderación propuesto por el Tribunal </w:t>
      </w:r>
      <w:r w:rsidRPr="000A07D4">
        <w:rPr>
          <w:rFonts w:ascii="Palatino Linotype" w:hAnsi="Palatino Linotype"/>
          <w:color w:val="000000" w:themeColor="text1"/>
          <w:sz w:val="24"/>
          <w:szCs w:val="24"/>
        </w:rPr>
        <w:lastRenderedPageBreak/>
        <w:t>Constitucional Alemán,</w:t>
      </w:r>
      <w:r w:rsidRPr="000A07D4">
        <w:rPr>
          <w:rStyle w:val="Refdenotaalpie"/>
          <w:rFonts w:ascii="Palatino Linotype" w:hAnsi="Palatino Linotype"/>
          <w:color w:val="000000" w:themeColor="text1"/>
        </w:rPr>
        <w:footnoteReference w:id="11"/>
      </w:r>
      <w:r w:rsidRPr="000A07D4">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32809C9C" w14:textId="77777777" w:rsidR="00563A40" w:rsidRPr="00E01285" w:rsidRDefault="00563A40" w:rsidP="00563A40">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Es así como, al configurarse tales requisitos, se otorga certidumbre jurídica y se protege la esfera más íntima del derecho humano constitucional y convencionalmente reconocido.</w:t>
      </w:r>
      <w:r>
        <w:rPr>
          <w:rFonts w:ascii="Palatino Linotype" w:hAnsi="Palatino Linotype"/>
          <w:color w:val="000000" w:themeColor="text1"/>
          <w:sz w:val="24"/>
          <w:szCs w:val="24"/>
        </w:rPr>
        <w:t xml:space="preserve"> </w:t>
      </w:r>
    </w:p>
    <w:p w14:paraId="0B04CDCA" w14:textId="77777777" w:rsidR="00563A40" w:rsidRDefault="00563A40" w:rsidP="00563A40">
      <w:pPr>
        <w:spacing w:before="240" w:line="360" w:lineRule="auto"/>
        <w:jc w:val="both"/>
        <w:rPr>
          <w:rFonts w:ascii="Palatino Linotype" w:hAnsi="Palatino Linotype"/>
          <w:sz w:val="24"/>
          <w:szCs w:val="24"/>
        </w:rPr>
      </w:pPr>
      <w:r>
        <w:rPr>
          <w:rFonts w:ascii="Palatino Linotype" w:hAnsi="Palatino Linotype"/>
          <w:sz w:val="24"/>
          <w:szCs w:val="24"/>
        </w:rPr>
        <w:t xml:space="preserve">Los acuerdos de reserva deberán de cumplir con los siguientes parámetros de forma y fondo: </w:t>
      </w:r>
    </w:p>
    <w:p w14:paraId="52576BF0" w14:textId="77777777" w:rsidR="00563A40" w:rsidRDefault="00563A40" w:rsidP="00563A40">
      <w:pPr>
        <w:pStyle w:val="Prrafodelista"/>
        <w:numPr>
          <w:ilvl w:val="0"/>
          <w:numId w:val="13"/>
        </w:numPr>
        <w:spacing w:before="240" w:line="360" w:lineRule="auto"/>
        <w:jc w:val="both"/>
        <w:rPr>
          <w:rFonts w:ascii="Palatino Linotype" w:hAnsi="Palatino Linotype"/>
        </w:rPr>
      </w:pPr>
      <w:r>
        <w:rPr>
          <w:rFonts w:ascii="Palatino Linotype" w:hAnsi="Palatino Linotype"/>
        </w:rPr>
        <w:t>Número de folio de la solicitud</w:t>
      </w:r>
    </w:p>
    <w:p w14:paraId="7ED4C0CF" w14:textId="77777777" w:rsidR="00563A40" w:rsidRDefault="00563A40" w:rsidP="00563A40">
      <w:pPr>
        <w:pStyle w:val="Prrafodelista"/>
        <w:numPr>
          <w:ilvl w:val="0"/>
          <w:numId w:val="13"/>
        </w:numPr>
        <w:spacing w:before="240" w:line="360" w:lineRule="auto"/>
        <w:jc w:val="both"/>
        <w:rPr>
          <w:rFonts w:ascii="Palatino Linotype" w:hAnsi="Palatino Linotype"/>
        </w:rPr>
      </w:pPr>
      <w:r>
        <w:rPr>
          <w:rFonts w:ascii="Palatino Linotype" w:hAnsi="Palatino Linotype"/>
        </w:rPr>
        <w:t>Referencia de la información solicitada</w:t>
      </w:r>
    </w:p>
    <w:p w14:paraId="42F5B13F" w14:textId="77777777" w:rsidR="00563A40" w:rsidRDefault="00563A40" w:rsidP="00563A40">
      <w:pPr>
        <w:pStyle w:val="Prrafodelista"/>
        <w:numPr>
          <w:ilvl w:val="0"/>
          <w:numId w:val="13"/>
        </w:numPr>
        <w:spacing w:before="240" w:line="360" w:lineRule="auto"/>
        <w:jc w:val="both"/>
        <w:rPr>
          <w:rFonts w:ascii="Palatino Linotype" w:hAnsi="Palatino Linotype"/>
        </w:rPr>
      </w:pPr>
      <w:r>
        <w:rPr>
          <w:rFonts w:ascii="Palatino Linotype" w:hAnsi="Palatino Linotype"/>
        </w:rPr>
        <w:t xml:space="preserve">Causal aplicable del artículo 113 de la Ley General, vinculándola con el Lineamiento específico del presente ordenamiento y, cuando corresponda, el supuesto normativo que expresamente le otorga el carácter de información reservada. </w:t>
      </w:r>
    </w:p>
    <w:p w14:paraId="669D9507" w14:textId="77777777" w:rsidR="00563A40" w:rsidRDefault="00563A40" w:rsidP="00563A40">
      <w:pPr>
        <w:pStyle w:val="Prrafodelista"/>
        <w:numPr>
          <w:ilvl w:val="0"/>
          <w:numId w:val="13"/>
        </w:numPr>
        <w:spacing w:before="240" w:line="360" w:lineRule="auto"/>
        <w:jc w:val="both"/>
        <w:rPr>
          <w:rFonts w:ascii="Palatino Linotype" w:hAnsi="Palatino Linotype"/>
        </w:rPr>
      </w:pPr>
      <w:r>
        <w:rPr>
          <w:rFonts w:ascii="Palatino Linotype" w:hAnsi="Palatino Linotype"/>
        </w:rPr>
        <w:lastRenderedPageBreak/>
        <w:t xml:space="preserve">Fundamento y Motivación Legal. </w:t>
      </w:r>
    </w:p>
    <w:p w14:paraId="466B10E6" w14:textId="77777777" w:rsidR="00563A40" w:rsidRDefault="00563A40" w:rsidP="00563A40">
      <w:pPr>
        <w:pStyle w:val="Prrafodelista"/>
        <w:numPr>
          <w:ilvl w:val="0"/>
          <w:numId w:val="13"/>
        </w:numPr>
        <w:spacing w:before="240" w:line="360" w:lineRule="auto"/>
        <w:jc w:val="both"/>
        <w:rPr>
          <w:rFonts w:ascii="Palatino Linotype" w:hAnsi="Palatino Linotype"/>
        </w:rPr>
      </w:pPr>
      <w:r>
        <w:rPr>
          <w:rFonts w:ascii="Palatino Linotype" w:hAnsi="Palatino Linotype"/>
        </w:rPr>
        <w:t xml:space="preserve">Conexión entre los fundamentos y motivos que dieron origen a la Reserva de la información. </w:t>
      </w:r>
    </w:p>
    <w:p w14:paraId="14741BDA" w14:textId="77777777" w:rsidR="00563A40" w:rsidRPr="00C70B4A" w:rsidRDefault="00563A40" w:rsidP="00563A40">
      <w:pPr>
        <w:spacing w:before="240" w:line="360" w:lineRule="auto"/>
        <w:ind w:left="360"/>
        <w:jc w:val="both"/>
        <w:rPr>
          <w:rFonts w:ascii="Palatino Linotype" w:hAnsi="Palatino Linotype"/>
          <w:b/>
        </w:rPr>
      </w:pPr>
      <w:r>
        <w:rPr>
          <w:rFonts w:ascii="Palatino Linotype" w:hAnsi="Palatino Linotype"/>
          <w:b/>
        </w:rPr>
        <w:t>Prueba de Daño</w:t>
      </w:r>
    </w:p>
    <w:p w14:paraId="455D3AEF" w14:textId="77777777" w:rsidR="00563A40" w:rsidRDefault="00563A40" w:rsidP="00563A40">
      <w:pPr>
        <w:pStyle w:val="Prrafodelista"/>
        <w:numPr>
          <w:ilvl w:val="0"/>
          <w:numId w:val="13"/>
        </w:numPr>
        <w:spacing w:before="240" w:line="360" w:lineRule="auto"/>
        <w:jc w:val="both"/>
        <w:rPr>
          <w:rFonts w:ascii="Palatino Linotype" w:hAnsi="Palatino Linotype"/>
        </w:rPr>
      </w:pPr>
      <w:r>
        <w:rPr>
          <w:rFonts w:ascii="Palatino Linotype" w:hAnsi="Palatino Linotype"/>
        </w:rPr>
        <w:t>Riesgo real, demostrable e identificable (Modo, Tiempo y lugar)</w:t>
      </w:r>
    </w:p>
    <w:p w14:paraId="24AABA44" w14:textId="77777777" w:rsidR="00563A40" w:rsidRDefault="00563A40" w:rsidP="00563A40">
      <w:pPr>
        <w:pStyle w:val="Prrafodelista"/>
        <w:numPr>
          <w:ilvl w:val="0"/>
          <w:numId w:val="13"/>
        </w:numPr>
        <w:spacing w:before="240" w:line="360" w:lineRule="auto"/>
        <w:jc w:val="both"/>
        <w:rPr>
          <w:rFonts w:ascii="Palatino Linotype" w:hAnsi="Palatino Linotype"/>
        </w:rPr>
      </w:pPr>
      <w:r>
        <w:rPr>
          <w:rFonts w:ascii="Palatino Linotype" w:hAnsi="Palatino Linotype"/>
        </w:rPr>
        <w:t>Temporalidad de la Reserva de la Información</w:t>
      </w:r>
    </w:p>
    <w:p w14:paraId="44B89B91" w14:textId="77777777" w:rsidR="00563A40" w:rsidRPr="00C70B4A" w:rsidRDefault="00563A40" w:rsidP="00563A40">
      <w:pPr>
        <w:pStyle w:val="Prrafodelista"/>
        <w:numPr>
          <w:ilvl w:val="0"/>
          <w:numId w:val="13"/>
        </w:numPr>
        <w:spacing w:before="240" w:line="360" w:lineRule="auto"/>
        <w:jc w:val="both"/>
        <w:rPr>
          <w:rFonts w:ascii="Palatino Linotype" w:hAnsi="Palatino Linotype"/>
        </w:rPr>
      </w:pPr>
      <w:r>
        <w:rPr>
          <w:rFonts w:ascii="Palatino Linotype" w:hAnsi="Palatino Linotype"/>
        </w:rPr>
        <w:t xml:space="preserve">Autoridades competentes. </w:t>
      </w:r>
    </w:p>
    <w:p w14:paraId="7934F3D9" w14:textId="77777777" w:rsidR="00563A40" w:rsidRDefault="00563A40" w:rsidP="00563A40">
      <w:pPr>
        <w:spacing w:after="0" w:line="360" w:lineRule="auto"/>
        <w:jc w:val="both"/>
        <w:rPr>
          <w:rFonts w:ascii="Palatino Linotype" w:hAnsi="Palatino Linotype" w:cs="Arial"/>
          <w:noProof/>
          <w:color w:val="000000"/>
          <w:sz w:val="24"/>
          <w:lang w:val="es-ES" w:eastAsia="es-MX"/>
        </w:rPr>
      </w:pPr>
    </w:p>
    <w:p w14:paraId="47C5CFAE" w14:textId="77777777" w:rsidR="00563A40" w:rsidRPr="0081396C" w:rsidRDefault="00563A40" w:rsidP="00563A40">
      <w:pPr>
        <w:spacing w:before="240" w:line="360" w:lineRule="auto"/>
        <w:jc w:val="both"/>
        <w:rPr>
          <w:rFonts w:ascii="Palatino Linotype" w:hAnsi="Palatino Linotype" w:cs="Arial"/>
          <w:noProof/>
          <w:color w:val="000000"/>
          <w:sz w:val="24"/>
          <w:szCs w:val="24"/>
          <w:lang w:eastAsia="es-MX"/>
        </w:rPr>
      </w:pPr>
      <w:r>
        <w:rPr>
          <w:rFonts w:ascii="Palatino Linotype" w:hAnsi="Palatino Linotype" w:cs="Arial"/>
          <w:noProof/>
          <w:color w:val="000000"/>
          <w:sz w:val="24"/>
          <w:lang w:eastAsia="es-MX"/>
        </w:rPr>
        <w:t>Bajo este contexto</w:t>
      </w:r>
      <w:r w:rsidRPr="004C117E">
        <w:rPr>
          <w:rFonts w:ascii="Palatino Linotype" w:hAnsi="Palatino Linotype" w:cs="Arial"/>
          <w:noProof/>
          <w:color w:val="000000"/>
          <w:sz w:val="24"/>
          <w:lang w:eastAsia="es-MX"/>
        </w:rPr>
        <w:t>,</w:t>
      </w:r>
      <w:r>
        <w:rPr>
          <w:rFonts w:ascii="Palatino Linotype" w:hAnsi="Palatino Linotype" w:cs="Arial"/>
          <w:noProof/>
          <w:color w:val="000000"/>
          <w:sz w:val="24"/>
          <w:lang w:eastAsia="es-MX"/>
        </w:rPr>
        <w:t xml:space="preserve"> se arriba a la premisa de que la normatividad aplicable reconoce y enlista de manera restrictiva diversos supuestos encauzados a </w:t>
      </w:r>
      <w:r w:rsidRPr="0081396C">
        <w:rPr>
          <w:rFonts w:ascii="Palatino Linotype" w:hAnsi="Palatino Linotype" w:cs="Arial"/>
          <w:noProof/>
          <w:color w:val="000000"/>
          <w:sz w:val="24"/>
          <w:szCs w:val="24"/>
          <w:lang w:eastAsia="es-MX"/>
        </w:rPr>
        <w:t>clasificar la información como reservada,</w:t>
      </w:r>
      <w:r>
        <w:rPr>
          <w:rFonts w:ascii="Palatino Linotype" w:hAnsi="Palatino Linotype" w:cs="Arial"/>
          <w:noProof/>
          <w:color w:val="000000"/>
          <w:sz w:val="24"/>
          <w:szCs w:val="24"/>
          <w:lang w:eastAsia="es-MX"/>
        </w:rPr>
        <w:t xml:space="preserve"> </w:t>
      </w:r>
      <w:r w:rsidRPr="0081396C">
        <w:rPr>
          <w:rFonts w:ascii="Palatino Linotype" w:hAnsi="Palatino Linotype" w:cs="Arial"/>
          <w:noProof/>
          <w:color w:val="000000"/>
          <w:sz w:val="24"/>
          <w:szCs w:val="24"/>
          <w:lang w:eastAsia="es-MX"/>
        </w:rPr>
        <w:t xml:space="preserve">englobando la relativa a procedimientos administrativos o judiciales. </w:t>
      </w:r>
    </w:p>
    <w:p w14:paraId="53709810" w14:textId="6D6B9456" w:rsidR="00563A40" w:rsidRDefault="00563A40" w:rsidP="00563A40">
      <w:pPr>
        <w:spacing w:before="240" w:line="360" w:lineRule="auto"/>
        <w:jc w:val="both"/>
        <w:rPr>
          <w:rFonts w:ascii="Palatino Linotype" w:hAnsi="Palatino Linotype"/>
          <w:iCs/>
          <w:sz w:val="24"/>
          <w:szCs w:val="24"/>
        </w:rPr>
      </w:pPr>
      <w:r>
        <w:rPr>
          <w:rFonts w:ascii="Palatino Linotype" w:hAnsi="Palatino Linotype"/>
          <w:bCs/>
          <w:iCs/>
          <w:sz w:val="24"/>
          <w:szCs w:val="24"/>
        </w:rPr>
        <w:t xml:space="preserve"> </w:t>
      </w:r>
      <w:r>
        <w:rPr>
          <w:rFonts w:ascii="Palatino Linotype" w:hAnsi="Palatino Linotype"/>
          <w:iCs/>
          <w:sz w:val="24"/>
          <w:szCs w:val="24"/>
        </w:rPr>
        <w:t xml:space="preserve">No obstante, </w:t>
      </w:r>
      <w:r w:rsidR="009A38B7">
        <w:rPr>
          <w:rFonts w:ascii="Palatino Linotype" w:hAnsi="Palatino Linotype"/>
          <w:b/>
          <w:bCs/>
          <w:iCs/>
          <w:sz w:val="24"/>
          <w:szCs w:val="24"/>
        </w:rPr>
        <w:t xml:space="preserve">El Sujeto Obligado </w:t>
      </w:r>
      <w:r w:rsidR="009A38B7">
        <w:rPr>
          <w:rFonts w:ascii="Palatino Linotype" w:hAnsi="Palatino Linotype"/>
          <w:iCs/>
          <w:sz w:val="24"/>
          <w:szCs w:val="24"/>
        </w:rPr>
        <w:t xml:space="preserve">fue omiso en remitir acuerdo que clasifica la reserva de la información, es decir, no comprobó de forma fehaciente el supuesto daño a los intereses del municipio con motivo de la difusión de la información, restricción al derecho de acceso de la información que invariablemente debe de gozar de los atributos de fundamentación y motivación. </w:t>
      </w:r>
    </w:p>
    <w:p w14:paraId="48B34FEB" w14:textId="325DD74E" w:rsidR="00A260B4" w:rsidRDefault="00A260B4" w:rsidP="00563A40">
      <w:pPr>
        <w:spacing w:before="240" w:line="360" w:lineRule="auto"/>
        <w:jc w:val="both"/>
        <w:rPr>
          <w:rFonts w:ascii="Palatino Linotype" w:hAnsi="Palatino Linotype"/>
          <w:iCs/>
          <w:sz w:val="24"/>
          <w:szCs w:val="24"/>
        </w:rPr>
      </w:pPr>
      <w:r>
        <w:rPr>
          <w:rFonts w:ascii="Palatino Linotype" w:hAnsi="Palatino Linotype"/>
          <w:iCs/>
          <w:sz w:val="24"/>
          <w:szCs w:val="24"/>
        </w:rPr>
        <w:t xml:space="preserve">En razón de lo anterior, se arriba a la premisa de </w:t>
      </w:r>
      <w:r w:rsidR="001F4421">
        <w:rPr>
          <w:rFonts w:ascii="Palatino Linotype" w:hAnsi="Palatino Linotype"/>
          <w:iCs/>
          <w:sz w:val="24"/>
          <w:szCs w:val="24"/>
        </w:rPr>
        <w:t>que,</w:t>
      </w:r>
      <w:r>
        <w:rPr>
          <w:rFonts w:ascii="Palatino Linotype" w:hAnsi="Palatino Linotype"/>
          <w:iCs/>
          <w:sz w:val="24"/>
          <w:szCs w:val="24"/>
        </w:rPr>
        <w:t xml:space="preserve"> frente a la colisión de derechos fundamentales, se debe de recurrir al criterio de proporcionalidad, ponderando los elementos o principios siguientes:</w:t>
      </w:r>
    </w:p>
    <w:p w14:paraId="21BC2CF0" w14:textId="06D9EB01" w:rsidR="00A260B4" w:rsidRDefault="00FE0CC3" w:rsidP="00A260B4">
      <w:pPr>
        <w:pStyle w:val="Prrafodelista"/>
        <w:numPr>
          <w:ilvl w:val="0"/>
          <w:numId w:val="15"/>
        </w:numPr>
        <w:spacing w:before="240" w:line="360" w:lineRule="auto"/>
        <w:jc w:val="both"/>
        <w:rPr>
          <w:rFonts w:ascii="Palatino Linotype" w:hAnsi="Palatino Linotype"/>
          <w:iCs/>
        </w:rPr>
      </w:pPr>
      <w:r w:rsidRPr="001F4421">
        <w:rPr>
          <w:rFonts w:ascii="Palatino Linotype" w:hAnsi="Palatino Linotype"/>
          <w:b/>
          <w:bCs/>
          <w:iCs/>
        </w:rPr>
        <w:lastRenderedPageBreak/>
        <w:t>Idoneidad:</w:t>
      </w:r>
      <w:r>
        <w:rPr>
          <w:rFonts w:ascii="Palatino Linotype" w:hAnsi="Palatino Linotype"/>
          <w:iCs/>
        </w:rPr>
        <w:t xml:space="preserve"> Existe un inminente interés público y colectivo de conocer la documentación que contiene el conflicto por </w:t>
      </w:r>
      <w:r w:rsidR="007C738E">
        <w:rPr>
          <w:rFonts w:ascii="Palatino Linotype" w:hAnsi="Palatino Linotype"/>
          <w:iCs/>
        </w:rPr>
        <w:t>límites</w:t>
      </w:r>
      <w:r>
        <w:rPr>
          <w:rFonts w:ascii="Palatino Linotype" w:hAnsi="Palatino Linotype"/>
          <w:iCs/>
        </w:rPr>
        <w:t xml:space="preserve"> territoriales entre los municipios de Tepotzotlán y Teoloyucan, lo anterior al tomar en consideración que propicia a la transparencia, rendición de cuentas e incluso a la gestión pública.</w:t>
      </w:r>
    </w:p>
    <w:p w14:paraId="58A2CEA6" w14:textId="1835E31D" w:rsidR="00A260B4" w:rsidRDefault="00A260B4" w:rsidP="00A260B4">
      <w:pPr>
        <w:pStyle w:val="Prrafodelista"/>
        <w:numPr>
          <w:ilvl w:val="0"/>
          <w:numId w:val="15"/>
        </w:numPr>
        <w:spacing w:before="240" w:line="360" w:lineRule="auto"/>
        <w:jc w:val="both"/>
        <w:rPr>
          <w:rFonts w:ascii="Palatino Linotype" w:hAnsi="Palatino Linotype"/>
          <w:iCs/>
        </w:rPr>
      </w:pPr>
      <w:r w:rsidRPr="001F4421">
        <w:rPr>
          <w:rFonts w:ascii="Palatino Linotype" w:hAnsi="Palatino Linotype"/>
          <w:b/>
          <w:bCs/>
          <w:iCs/>
        </w:rPr>
        <w:t>Necesidad:</w:t>
      </w:r>
      <w:r w:rsidR="00FE0CC3">
        <w:rPr>
          <w:rFonts w:ascii="Palatino Linotype" w:hAnsi="Palatino Linotype"/>
          <w:iCs/>
        </w:rPr>
        <w:t xml:space="preserve"> No existe un medio menos oneroso para lograr el fin constitucionalmente valido, el derecho de acceso a la información es la única vía para que cualquier ciudadano pueda acceder a expedientes o anexos de conflictos territoriales. </w:t>
      </w:r>
    </w:p>
    <w:p w14:paraId="24C0DBFA" w14:textId="1A80921E" w:rsidR="00A260B4" w:rsidRPr="00A260B4" w:rsidRDefault="00A260B4" w:rsidP="00A260B4">
      <w:pPr>
        <w:pStyle w:val="Prrafodelista"/>
        <w:numPr>
          <w:ilvl w:val="0"/>
          <w:numId w:val="15"/>
        </w:numPr>
        <w:spacing w:before="240" w:line="360" w:lineRule="auto"/>
        <w:jc w:val="both"/>
        <w:rPr>
          <w:rFonts w:ascii="Palatino Linotype" w:hAnsi="Palatino Linotype"/>
          <w:iCs/>
        </w:rPr>
      </w:pPr>
      <w:r w:rsidRPr="001F4421">
        <w:rPr>
          <w:rFonts w:ascii="Palatino Linotype" w:hAnsi="Palatino Linotype"/>
          <w:b/>
          <w:bCs/>
          <w:iCs/>
        </w:rPr>
        <w:t>Proporcionalidad:</w:t>
      </w:r>
      <w:r>
        <w:rPr>
          <w:rFonts w:ascii="Palatino Linotype" w:hAnsi="Palatino Linotype"/>
          <w:iCs/>
        </w:rPr>
        <w:t xml:space="preserve"> </w:t>
      </w:r>
      <w:r w:rsidR="00FE0CC3">
        <w:rPr>
          <w:rFonts w:ascii="Palatino Linotype" w:hAnsi="Palatino Linotype"/>
          <w:iCs/>
        </w:rPr>
        <w:t xml:space="preserve">La difusión de la información conduce a mayores efectos positivos para la sociedad y una afectación menor en el bien jurídico de la secrecía, favoreciendo a los intereses de la ciudadanía. </w:t>
      </w:r>
    </w:p>
    <w:p w14:paraId="065DCF96" w14:textId="51725A58" w:rsidR="00A260B4" w:rsidRDefault="00A260B4" w:rsidP="00563A40">
      <w:pPr>
        <w:spacing w:before="240" w:line="360" w:lineRule="auto"/>
        <w:jc w:val="both"/>
        <w:rPr>
          <w:rFonts w:ascii="Palatino Linotype" w:hAnsi="Palatino Linotype"/>
          <w:iCs/>
          <w:sz w:val="24"/>
          <w:szCs w:val="24"/>
        </w:rPr>
      </w:pPr>
    </w:p>
    <w:p w14:paraId="3FE84CF3" w14:textId="77777777" w:rsidR="00FE0CC3" w:rsidRDefault="00FE0CC3" w:rsidP="00563A40">
      <w:pPr>
        <w:spacing w:before="240" w:line="360" w:lineRule="auto"/>
        <w:jc w:val="both"/>
        <w:rPr>
          <w:rFonts w:ascii="Palatino Linotype" w:hAnsi="Palatino Linotype"/>
          <w:iCs/>
          <w:sz w:val="24"/>
          <w:szCs w:val="24"/>
        </w:rPr>
      </w:pPr>
      <w:r>
        <w:rPr>
          <w:rFonts w:ascii="Palatino Linotype" w:hAnsi="Palatino Linotype"/>
          <w:iCs/>
          <w:sz w:val="24"/>
          <w:szCs w:val="24"/>
        </w:rPr>
        <w:t xml:space="preserve">En suma, se arriba a la conclusión de que la respuesta del </w:t>
      </w:r>
      <w:r>
        <w:rPr>
          <w:rFonts w:ascii="Palatino Linotype" w:hAnsi="Palatino Linotype"/>
          <w:b/>
          <w:bCs/>
          <w:iCs/>
          <w:sz w:val="24"/>
          <w:szCs w:val="24"/>
        </w:rPr>
        <w:t xml:space="preserve">Sujeto Obligado </w:t>
      </w:r>
      <w:r>
        <w:rPr>
          <w:rFonts w:ascii="Palatino Linotype" w:hAnsi="Palatino Linotype"/>
          <w:iCs/>
          <w:sz w:val="24"/>
          <w:szCs w:val="24"/>
        </w:rPr>
        <w:t xml:space="preserve">no es susceptible de colmar el derecho de acceso a la información, al no observar los </w:t>
      </w:r>
      <w:proofErr w:type="gramStart"/>
      <w:r>
        <w:rPr>
          <w:rFonts w:ascii="Palatino Linotype" w:hAnsi="Palatino Linotype"/>
          <w:iCs/>
          <w:sz w:val="24"/>
          <w:szCs w:val="24"/>
        </w:rPr>
        <w:t>limites</w:t>
      </w:r>
      <w:proofErr w:type="gramEnd"/>
      <w:r>
        <w:rPr>
          <w:rFonts w:ascii="Palatino Linotype" w:hAnsi="Palatino Linotype"/>
          <w:iCs/>
          <w:sz w:val="24"/>
          <w:szCs w:val="24"/>
        </w:rPr>
        <w:t xml:space="preserve"> aplicables al derecho de acceso a la información, luego entonces, resulta procedente ordenar la entrega de la siguiente información en versión pública:</w:t>
      </w:r>
    </w:p>
    <w:p w14:paraId="2B00CCD1" w14:textId="70783855" w:rsidR="00FE0CC3" w:rsidRPr="00FE0CC3" w:rsidRDefault="00FE0CC3" w:rsidP="00FE0CC3">
      <w:pPr>
        <w:pStyle w:val="Prrafodelista"/>
        <w:numPr>
          <w:ilvl w:val="0"/>
          <w:numId w:val="18"/>
        </w:numPr>
        <w:spacing w:before="240" w:line="360" w:lineRule="auto"/>
        <w:jc w:val="both"/>
        <w:rPr>
          <w:rFonts w:ascii="Palatino Linotype" w:hAnsi="Palatino Linotype"/>
          <w:iCs/>
        </w:rPr>
      </w:pPr>
      <w:r>
        <w:rPr>
          <w:rFonts w:ascii="Palatino Linotype" w:hAnsi="Palatino Linotype"/>
          <w:iCs/>
        </w:rPr>
        <w:t xml:space="preserve">El o los documentos y anexos vinculados con la controversia de </w:t>
      </w:r>
      <w:r w:rsidR="007C738E">
        <w:rPr>
          <w:rFonts w:ascii="Palatino Linotype" w:hAnsi="Palatino Linotype"/>
          <w:iCs/>
        </w:rPr>
        <w:t>límites</w:t>
      </w:r>
      <w:r>
        <w:rPr>
          <w:rFonts w:ascii="Palatino Linotype" w:hAnsi="Palatino Linotype"/>
          <w:iCs/>
        </w:rPr>
        <w:t xml:space="preserve"> territoriales entre los municipios de Tepotzotlán y Teoloyucan, al uno de agosto de dos mil veintidós. </w:t>
      </w:r>
    </w:p>
    <w:p w14:paraId="5FD77625" w14:textId="77777777" w:rsidR="00A260B4" w:rsidRDefault="00A260B4" w:rsidP="00563A40">
      <w:pPr>
        <w:spacing w:before="240" w:line="360" w:lineRule="auto"/>
        <w:jc w:val="both"/>
        <w:rPr>
          <w:rFonts w:ascii="Palatino Linotype" w:hAnsi="Palatino Linotype"/>
          <w:iCs/>
          <w:sz w:val="24"/>
          <w:szCs w:val="24"/>
        </w:rPr>
      </w:pPr>
    </w:p>
    <w:p w14:paraId="2C32F424" w14:textId="77777777" w:rsidR="00E2158E" w:rsidRDefault="00E2158E" w:rsidP="00E2158E">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lastRenderedPageBreak/>
        <w:t xml:space="preserve">De la </w:t>
      </w:r>
      <w:r w:rsidRPr="00C22506">
        <w:rPr>
          <w:rFonts w:ascii="Palatino Linotype" w:hAnsi="Palatino Linotype"/>
          <w:b/>
          <w:sz w:val="28"/>
          <w:szCs w:val="28"/>
        </w:rPr>
        <w:t xml:space="preserve">Versión Pública </w:t>
      </w:r>
    </w:p>
    <w:p w14:paraId="39CCC6BF" w14:textId="77777777" w:rsidR="00E2158E" w:rsidRDefault="00E2158E" w:rsidP="00E2158E">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FF153AA" w14:textId="77777777" w:rsidR="00E2158E" w:rsidRPr="00E60DEF" w:rsidRDefault="00E2158E" w:rsidP="00E2158E">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823AF7E" w14:textId="77777777" w:rsidR="00E2158E" w:rsidRPr="00E60DEF" w:rsidRDefault="00E2158E" w:rsidP="00E2158E">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C107606" w14:textId="77777777" w:rsidR="00E2158E" w:rsidRPr="001571EB" w:rsidRDefault="00E2158E" w:rsidP="00E2158E">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E8CAAAE" w14:textId="77777777" w:rsidR="00E2158E" w:rsidRPr="001571EB" w:rsidRDefault="00E2158E" w:rsidP="00E2158E">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557CC1A2" w14:textId="77777777" w:rsidR="00E2158E" w:rsidRPr="001571EB" w:rsidRDefault="00E2158E" w:rsidP="00E2158E">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E1D3753" w14:textId="77777777" w:rsidR="00E2158E" w:rsidRPr="001571EB" w:rsidRDefault="00E2158E" w:rsidP="00E2158E">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w:t>
      </w:r>
      <w:r w:rsidRPr="00E60DEF">
        <w:rPr>
          <w:rFonts w:ascii="Palatino Linotype" w:hAnsi="Palatino Linotype" w:cs="Arial"/>
          <w:b/>
          <w:i/>
          <w:u w:val="single"/>
        </w:rPr>
        <w:lastRenderedPageBreak/>
        <w:t>de reserva o confidencialidad, de conformidad con lo dispuesto en el presente título.</w:t>
      </w:r>
    </w:p>
    <w:p w14:paraId="31E02BF7" w14:textId="77777777" w:rsidR="00E2158E" w:rsidRPr="001571EB" w:rsidRDefault="00E2158E" w:rsidP="00E2158E">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0038125" w14:textId="77777777" w:rsidR="00E2158E" w:rsidRPr="001571EB" w:rsidRDefault="00E2158E" w:rsidP="00E2158E">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217E16D3" w14:textId="77777777" w:rsidR="00E2158E" w:rsidRPr="001571EB" w:rsidRDefault="00E2158E" w:rsidP="00E2158E">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D3E60D6" w14:textId="77777777" w:rsidR="00E2158E" w:rsidRPr="00E60DEF" w:rsidRDefault="00E2158E" w:rsidP="00E2158E">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D15E4A5" w14:textId="77777777" w:rsidR="00E2158E" w:rsidRPr="001571EB" w:rsidRDefault="00E2158E" w:rsidP="00E2158E">
      <w:pPr>
        <w:spacing w:before="240" w:line="360" w:lineRule="auto"/>
        <w:ind w:left="851" w:right="851"/>
        <w:jc w:val="both"/>
        <w:rPr>
          <w:rFonts w:ascii="Palatino Linotype" w:hAnsi="Palatino Linotype" w:cs="Arial"/>
          <w:b/>
          <w:i/>
        </w:rPr>
      </w:pPr>
      <w:r>
        <w:rPr>
          <w:rFonts w:ascii="Palatino Linotype" w:hAnsi="Palatino Linotype" w:cs="Arial"/>
          <w:b/>
          <w:i/>
        </w:rPr>
        <w:t>(…)</w:t>
      </w:r>
    </w:p>
    <w:p w14:paraId="2BF16995" w14:textId="77777777" w:rsidR="00E2158E" w:rsidRDefault="00E2158E" w:rsidP="00E2158E">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676C3239" w14:textId="77777777" w:rsidR="00E2158E" w:rsidRDefault="00E2158E" w:rsidP="00E2158E">
      <w:pPr>
        <w:spacing w:after="0" w:line="360" w:lineRule="auto"/>
        <w:ind w:right="51"/>
        <w:jc w:val="both"/>
        <w:rPr>
          <w:rFonts w:ascii="Palatino Linotype" w:eastAsia="Arial Unicode MS" w:hAnsi="Palatino Linotype" w:cs="Arial"/>
          <w:sz w:val="24"/>
          <w:szCs w:val="24"/>
        </w:rPr>
      </w:pPr>
    </w:p>
    <w:p w14:paraId="3CCF9E48" w14:textId="77777777" w:rsidR="00E2158E" w:rsidRPr="001571EB" w:rsidRDefault="00E2158E" w:rsidP="00E2158E">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3F80760" w14:textId="77777777" w:rsidR="00E2158E" w:rsidRPr="001571EB" w:rsidRDefault="00E2158E" w:rsidP="00E2158E">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D3FB1D5" w14:textId="77777777" w:rsidR="00E2158E" w:rsidRPr="001571EB" w:rsidRDefault="00E2158E" w:rsidP="00E2158E">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F962EEA" w14:textId="77777777" w:rsidR="00E2158E" w:rsidRDefault="00E2158E" w:rsidP="00E2158E">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F92AE7B" w14:textId="77777777" w:rsidR="00E2158E" w:rsidRDefault="00E2158E" w:rsidP="00E2158E">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93C9F0A"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55AE344C"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17193682"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D4CC61C"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558F271" w14:textId="77777777" w:rsidR="00E2158E" w:rsidRPr="00EE0180"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059C3D4" w14:textId="77777777" w:rsidR="00E2158E" w:rsidRPr="001571EB" w:rsidRDefault="00E2158E" w:rsidP="00E2158E">
      <w:pPr>
        <w:autoSpaceDE w:val="0"/>
        <w:autoSpaceDN w:val="0"/>
        <w:adjustRightInd w:val="0"/>
        <w:spacing w:before="120" w:after="120"/>
        <w:ind w:left="567" w:right="850"/>
        <w:jc w:val="both"/>
        <w:rPr>
          <w:rFonts w:ascii="Palatino Linotype" w:eastAsia="Times New Roman" w:hAnsi="Palatino Linotype" w:cs="Arial"/>
          <w:i/>
        </w:rPr>
      </w:pPr>
    </w:p>
    <w:p w14:paraId="0EBA4947" w14:textId="77777777" w:rsidR="00E2158E" w:rsidRPr="001571EB" w:rsidRDefault="00E2158E" w:rsidP="00E2158E">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B99D12F" w14:textId="77777777" w:rsidR="00E2158E" w:rsidRPr="001571EB" w:rsidRDefault="00E2158E" w:rsidP="00E2158E">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6FAB63E" w14:textId="77777777" w:rsidR="00E2158E" w:rsidRDefault="00E2158E" w:rsidP="00E2158E">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0B2E6775" w14:textId="77777777" w:rsidR="00E2158E" w:rsidRDefault="00E2158E" w:rsidP="00E2158E">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E439B98"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2B4D083"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lastRenderedPageBreak/>
        <w:t xml:space="preserve"> </w:t>
      </w:r>
      <w:r w:rsidRPr="001571EB">
        <w:rPr>
          <w:rFonts w:ascii="Palatino Linotype" w:eastAsia="Times New Roman" w:hAnsi="Palatino Linotype" w:cs="Arial"/>
          <w:b/>
          <w:i/>
          <w:lang w:eastAsia="es-MX"/>
        </w:rPr>
        <w:t>Resoluciones:</w:t>
      </w:r>
    </w:p>
    <w:p w14:paraId="7DB01790"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6784F7AE"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31EBE87" w14:textId="77777777" w:rsidR="00E2158E"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6AA9136E" w14:textId="77777777" w:rsidR="00621BDA" w:rsidRDefault="00621BDA" w:rsidP="00E2158E">
      <w:pPr>
        <w:spacing w:after="0" w:line="360" w:lineRule="auto"/>
        <w:ind w:right="51"/>
        <w:jc w:val="both"/>
        <w:rPr>
          <w:rFonts w:ascii="Palatino Linotype" w:hAnsi="Palatino Linotype" w:cs="Arial"/>
          <w:sz w:val="24"/>
          <w:szCs w:val="24"/>
        </w:rPr>
      </w:pPr>
    </w:p>
    <w:p w14:paraId="382F2F6E" w14:textId="6B10480D" w:rsidR="00E2158E" w:rsidRDefault="00E2158E" w:rsidP="00E2158E">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0CF35F2" w14:textId="77777777" w:rsidR="00E2158E" w:rsidRDefault="00E2158E" w:rsidP="00E2158E">
      <w:pPr>
        <w:spacing w:after="0" w:line="360" w:lineRule="auto"/>
        <w:jc w:val="both"/>
        <w:rPr>
          <w:rFonts w:ascii="Palatino Linotype" w:eastAsia="Times New Roman" w:hAnsi="Palatino Linotype" w:cs="Times New Roman"/>
          <w:sz w:val="24"/>
          <w:szCs w:val="24"/>
          <w:lang w:eastAsia="es-ES"/>
        </w:rPr>
      </w:pPr>
    </w:p>
    <w:p w14:paraId="1EACBAD6" w14:textId="04F8B1B4" w:rsidR="00621BDA" w:rsidRPr="00621BDA" w:rsidRDefault="00E2158E" w:rsidP="00E2158E">
      <w:pPr>
        <w:spacing w:after="0" w:line="360" w:lineRule="auto"/>
        <w:jc w:val="both"/>
        <w:rPr>
          <w:rFonts w:ascii="Palatino Linotype" w:hAnsi="Palatino Linotype" w:cs="Arial"/>
          <w:bCs/>
          <w:sz w:val="24"/>
          <w:szCs w:val="24"/>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1F4421">
        <w:rPr>
          <w:rFonts w:ascii="Palatino Linotype" w:eastAsia="Times New Roman" w:hAnsi="Palatino Linotype" w:cs="Times New Roman"/>
          <w:b/>
          <w:bCs/>
          <w:sz w:val="24"/>
          <w:szCs w:val="24"/>
          <w:lang w:eastAsia="es-ES"/>
        </w:rPr>
        <w:t>La</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III, </w:t>
      </w:r>
      <w:r w:rsidRPr="000F5B7E">
        <w:rPr>
          <w:rFonts w:ascii="Palatino Linotype" w:eastAsia="Times New Roman" w:hAnsi="Palatino Linotype" w:cs="Arial"/>
          <w:sz w:val="24"/>
          <w:szCs w:val="24"/>
          <w:lang w:eastAsia="es-ES"/>
        </w:rPr>
        <w:lastRenderedPageBreak/>
        <w:t>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621BDA">
        <w:rPr>
          <w:rFonts w:ascii="Palatino Linotype" w:hAnsi="Palatino Linotype" w:cs="Arial"/>
          <w:b/>
          <w:sz w:val="24"/>
          <w:szCs w:val="24"/>
        </w:rPr>
        <w:t xml:space="preserve">00503/TEPOTZOT/IP/2022 </w:t>
      </w:r>
      <w:r w:rsidR="00621BDA">
        <w:rPr>
          <w:rFonts w:ascii="Palatino Linotype" w:hAnsi="Palatino Linotype" w:cs="Arial"/>
          <w:bCs/>
          <w:sz w:val="24"/>
          <w:szCs w:val="24"/>
        </w:rPr>
        <w:t xml:space="preserve">que ha sido materia del presente fallo. </w:t>
      </w:r>
    </w:p>
    <w:p w14:paraId="3FB2C3CC" w14:textId="77777777" w:rsidR="00E2158E" w:rsidRDefault="00E2158E" w:rsidP="00E2158E">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480E3EAE" w14:textId="77777777" w:rsidR="00E2158E" w:rsidRDefault="00E2158E" w:rsidP="00E2158E">
      <w:pPr>
        <w:spacing w:line="360" w:lineRule="auto"/>
        <w:contextualSpacing/>
        <w:jc w:val="both"/>
        <w:rPr>
          <w:rFonts w:ascii="Palatino Linotype" w:eastAsia="MS Mincho" w:hAnsi="Palatino Linotype"/>
        </w:rPr>
      </w:pPr>
    </w:p>
    <w:p w14:paraId="658768C8" w14:textId="77777777" w:rsidR="00E2158E" w:rsidRPr="00413327" w:rsidRDefault="00E2158E" w:rsidP="00E2158E">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16CBBD1D" w14:textId="5F2012A1" w:rsidR="00E2158E" w:rsidRDefault="00E2158E" w:rsidP="00E2158E">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621BDA">
        <w:rPr>
          <w:rFonts w:ascii="Palatino Linotype" w:hAnsi="Palatino Linotype" w:cs="Arial"/>
          <w:b/>
          <w:sz w:val="24"/>
          <w:szCs w:val="24"/>
        </w:rPr>
        <w:t xml:space="preserve">00503/TEPOTZOT/IP/2022 </w:t>
      </w:r>
      <w:r>
        <w:rPr>
          <w:rFonts w:ascii="Palatino Linotype" w:hAnsi="Palatino Linotype" w:cs="Arial"/>
          <w:sz w:val="24"/>
          <w:szCs w:val="24"/>
        </w:rPr>
        <w:t xml:space="preserve">por resultar fundados los motivos de inconformidad que arguye </w:t>
      </w:r>
      <w:r w:rsidR="001F4421">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2122D010" w14:textId="77777777" w:rsidR="00E2158E" w:rsidRDefault="00E2158E" w:rsidP="00E2158E">
      <w:pPr>
        <w:spacing w:before="240" w:line="360" w:lineRule="auto"/>
        <w:jc w:val="both"/>
        <w:rPr>
          <w:rFonts w:ascii="Palatino Linotype" w:hAnsi="Palatino Linotype" w:cs="Arial"/>
          <w:sz w:val="24"/>
          <w:szCs w:val="24"/>
        </w:rPr>
      </w:pPr>
    </w:p>
    <w:p w14:paraId="4F94B713" w14:textId="05A8AF4E" w:rsidR="00E2158E" w:rsidRPr="006633BF" w:rsidRDefault="00E2158E" w:rsidP="00E2158E">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SEGUNDO</w:t>
      </w:r>
      <w:r w:rsidRPr="001829F0">
        <w:rPr>
          <w:rFonts w:ascii="Palatino Linotype" w:hAnsi="Palatino Linotype" w:cs="Arial"/>
          <w:b/>
          <w:sz w:val="28"/>
          <w:szCs w:val="28"/>
          <w:lang w:val="es-ES_tradnl"/>
        </w:rPr>
        <w:t>.</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00621BDA">
        <w:rPr>
          <w:rFonts w:ascii="Palatino Linotype" w:hAnsi="Palatino Linotype" w:cs="Arial"/>
          <w:sz w:val="24"/>
          <w:szCs w:val="24"/>
        </w:rPr>
        <w:t>hacer entrega</w:t>
      </w:r>
      <w:r w:rsidRPr="006633BF">
        <w:rPr>
          <w:rFonts w:ascii="Palatino Linotype" w:hAnsi="Palatino Linotype" w:cs="Arial"/>
          <w:sz w:val="24"/>
          <w:szCs w:val="24"/>
        </w:rPr>
        <w:t xml:space="preserve"> </w:t>
      </w:r>
      <w:r w:rsidR="001F4421" w:rsidRPr="006633BF">
        <w:rPr>
          <w:rFonts w:ascii="Palatino Linotype" w:hAnsi="Palatino Linotype" w:cs="Arial"/>
          <w:sz w:val="24"/>
          <w:szCs w:val="24"/>
        </w:rPr>
        <w:t>a</w:t>
      </w:r>
      <w:r w:rsidR="001F4421">
        <w:rPr>
          <w:rFonts w:ascii="Palatino Linotype" w:hAnsi="Palatino Linotype" w:cs="Arial"/>
          <w:sz w:val="24"/>
          <w:szCs w:val="24"/>
        </w:rPr>
        <w:t xml:space="preserve"> </w:t>
      </w:r>
      <w:r w:rsidR="001F4421" w:rsidRPr="006633BF">
        <w:rPr>
          <w:rFonts w:ascii="Palatino Linotype" w:hAnsi="Palatino Linotype" w:cs="Arial"/>
          <w:b/>
          <w:sz w:val="24"/>
          <w:szCs w:val="24"/>
        </w:rPr>
        <w:t>LA</w:t>
      </w:r>
      <w:r w:rsidR="00621BDA">
        <w:rPr>
          <w:rFonts w:ascii="Palatino Linotype" w:hAnsi="Palatino Linotype" w:cs="Arial"/>
          <w:b/>
          <w:sz w:val="24"/>
          <w:szCs w:val="24"/>
        </w:rPr>
        <w:t xml:space="preserve"> </w:t>
      </w:r>
      <w:r w:rsidRPr="006633BF">
        <w:rPr>
          <w:rFonts w:ascii="Palatino Linotype" w:hAnsi="Palatino Linotype" w:cs="Arial"/>
          <w:b/>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sidRPr="006633BF">
        <w:rPr>
          <w:rFonts w:ascii="Palatino Linotype" w:hAnsi="Palatino Linotype" w:cs="Arial"/>
          <w:sz w:val="24"/>
          <w:szCs w:val="24"/>
        </w:rPr>
        <w:t xml:space="preserve">en versión pública de ser procedente, a través del Sistema de Acceso a la Información Mexiquense </w:t>
      </w:r>
      <w:r w:rsidRPr="006633BF">
        <w:rPr>
          <w:rFonts w:ascii="Palatino Linotype" w:hAnsi="Palatino Linotype" w:cs="Arial"/>
          <w:b/>
          <w:sz w:val="24"/>
          <w:szCs w:val="24"/>
        </w:rPr>
        <w:t xml:space="preserve">(SAIMEX), </w:t>
      </w:r>
      <w:r w:rsidRPr="006633BF">
        <w:rPr>
          <w:rFonts w:ascii="Palatino Linotype" w:hAnsi="Palatino Linotype" w:cs="Arial"/>
          <w:sz w:val="24"/>
          <w:szCs w:val="24"/>
        </w:rPr>
        <w:t xml:space="preserve">de lo siguiente: </w:t>
      </w:r>
    </w:p>
    <w:p w14:paraId="34DEC8DA" w14:textId="6E7B2959" w:rsidR="00621BDA" w:rsidRPr="00621BDA" w:rsidRDefault="00621BDA">
      <w:pPr>
        <w:pStyle w:val="Prrafodelista"/>
        <w:numPr>
          <w:ilvl w:val="0"/>
          <w:numId w:val="8"/>
        </w:numPr>
        <w:spacing w:before="240" w:line="360" w:lineRule="auto"/>
        <w:jc w:val="both"/>
        <w:rPr>
          <w:rFonts w:ascii="Palatino Linotype" w:hAnsi="Palatino Linotype" w:cs="Arial"/>
          <w:i/>
          <w:iCs/>
        </w:rPr>
      </w:pPr>
      <w:r w:rsidRPr="00621BDA">
        <w:rPr>
          <w:rFonts w:ascii="Palatino Linotype" w:hAnsi="Palatino Linotype" w:cs="Arial"/>
          <w:i/>
          <w:iCs/>
        </w:rPr>
        <w:t xml:space="preserve">El o los </w:t>
      </w:r>
      <w:r w:rsidRPr="00621BDA">
        <w:rPr>
          <w:rFonts w:ascii="Palatino Linotype" w:hAnsi="Palatino Linotype"/>
          <w:i/>
          <w:iCs/>
        </w:rPr>
        <w:t>documentos y anexos vinculados con la controversia de límites territoriales entre los municipios de Tepotzotlán y Teoloyucan, al uno de agosto de dos mil veintidós.</w:t>
      </w:r>
    </w:p>
    <w:p w14:paraId="354D132C" w14:textId="77777777" w:rsidR="00C230A7" w:rsidRDefault="00C230A7" w:rsidP="00E2158E">
      <w:pPr>
        <w:pStyle w:val="Prrafodelista"/>
        <w:spacing w:line="360" w:lineRule="auto"/>
        <w:ind w:left="720"/>
        <w:jc w:val="both"/>
        <w:rPr>
          <w:rFonts w:ascii="Palatino Linotype" w:hAnsi="Palatino Linotype" w:cs="Arial"/>
          <w:i/>
        </w:rPr>
      </w:pPr>
    </w:p>
    <w:p w14:paraId="33A43054" w14:textId="09E2F851" w:rsidR="00E2158E" w:rsidRDefault="00E2158E" w:rsidP="00E2158E">
      <w:pPr>
        <w:pStyle w:val="Prrafodelista"/>
        <w:spacing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w:t>
      </w:r>
      <w:r>
        <w:rPr>
          <w:rFonts w:ascii="Palatino Linotype" w:hAnsi="Palatino Linotype" w:cs="Arial"/>
          <w:i/>
        </w:rPr>
        <w:lastRenderedPageBreak/>
        <w:t>y motive las razones sobre los datos que se supriman o eliminen y se ponga a disposición de</w:t>
      </w:r>
      <w:r w:rsidR="00D945CB">
        <w:rPr>
          <w:rFonts w:ascii="Palatino Linotype" w:hAnsi="Palatino Linotype" w:cs="Arial"/>
          <w:i/>
        </w:rPr>
        <w:t xml:space="preserve"> la</w:t>
      </w:r>
      <w:r>
        <w:rPr>
          <w:rFonts w:ascii="Palatino Linotype" w:hAnsi="Palatino Linotype" w:cs="Arial"/>
          <w:i/>
        </w:rPr>
        <w:t xml:space="preserve"> recurrente.</w:t>
      </w:r>
    </w:p>
    <w:p w14:paraId="3CDED6C4" w14:textId="77777777" w:rsidR="00E2158E" w:rsidRDefault="00E2158E" w:rsidP="00E2158E">
      <w:pPr>
        <w:pStyle w:val="Prrafodelista"/>
        <w:autoSpaceDE w:val="0"/>
        <w:autoSpaceDN w:val="0"/>
        <w:adjustRightInd w:val="0"/>
        <w:spacing w:line="360" w:lineRule="auto"/>
        <w:ind w:left="720"/>
        <w:jc w:val="both"/>
        <w:rPr>
          <w:rFonts w:ascii="Palatino Linotype" w:hAnsi="Palatino Linotype" w:cs="Arial"/>
        </w:rPr>
      </w:pPr>
    </w:p>
    <w:p w14:paraId="4BE1E549" w14:textId="77777777" w:rsidR="00E2158E" w:rsidRDefault="00E2158E" w:rsidP="00E2158E">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593F5D">
        <w:rPr>
          <w:rFonts w:ascii="Palatino Linotype" w:eastAsia="Times New Roman" w:hAnsi="Palatino Linotype" w:cs="Tahoma"/>
          <w:b/>
          <w:sz w:val="24"/>
          <w:szCs w:val="24"/>
          <w:lang w:eastAsia="es-ES"/>
        </w:rPr>
        <w:t xml:space="preserve">NOTIFÍQUESE </w:t>
      </w:r>
      <w:r w:rsidRPr="00593F5D">
        <w:rPr>
          <w:rFonts w:ascii="Palatino Linotype" w:eastAsia="Times New Roman" w:hAnsi="Palatino Linotype" w:cs="Tahoma"/>
          <w:sz w:val="24"/>
          <w:szCs w:val="24"/>
          <w:lang w:eastAsia="es-ES"/>
        </w:rPr>
        <w:t xml:space="preserve">la presente Resolución al Titular de la Unidad de Transparencia del </w:t>
      </w:r>
      <w:r w:rsidRPr="00593F5D">
        <w:rPr>
          <w:rFonts w:ascii="Palatino Linotype" w:eastAsia="Times New Roman" w:hAnsi="Palatino Linotype" w:cs="Tahoma"/>
          <w:b/>
          <w:sz w:val="24"/>
          <w:szCs w:val="24"/>
          <w:lang w:eastAsia="es-ES"/>
        </w:rPr>
        <w:t>Sujeto Obligado</w:t>
      </w:r>
      <w:r w:rsidRPr="00593F5D">
        <w:rPr>
          <w:rFonts w:ascii="Palatino Linotype" w:eastAsia="Times New Roman" w:hAnsi="Palatino Linotype" w:cs="Tahoma"/>
          <w:sz w:val="24"/>
          <w:szCs w:val="24"/>
          <w:lang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425F152" w14:textId="77777777" w:rsidR="00E2158E" w:rsidRPr="00593F5D" w:rsidRDefault="00E2158E" w:rsidP="00E2158E">
      <w:pPr>
        <w:spacing w:after="0" w:line="360" w:lineRule="auto"/>
        <w:jc w:val="both"/>
        <w:rPr>
          <w:rFonts w:ascii="Palatino Linotype" w:eastAsia="Times New Roman" w:hAnsi="Palatino Linotype" w:cs="Tahoma"/>
          <w:bCs/>
          <w:sz w:val="24"/>
          <w:szCs w:val="24"/>
          <w:lang w:eastAsia="es-ES"/>
        </w:rPr>
      </w:pPr>
    </w:p>
    <w:p w14:paraId="2EA79B6D" w14:textId="77777777" w:rsidR="00E2158E" w:rsidRDefault="00E2158E" w:rsidP="00E2158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6F0266C2" w14:textId="77777777" w:rsidR="00E2158E" w:rsidRPr="00593F5D" w:rsidRDefault="00E2158E" w:rsidP="00E2158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A2D093A" w14:textId="1F5EA1E4" w:rsidR="00E2158E" w:rsidRDefault="00E2158E" w:rsidP="00E2158E">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0C756F63" w14:textId="77777777" w:rsidR="00533B78" w:rsidRDefault="00533B78" w:rsidP="00E2158E">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407FE9CF" w14:textId="77777777" w:rsidR="00FE5CE5" w:rsidRDefault="00FE5CE5" w:rsidP="00E2158E">
      <w:pPr>
        <w:pStyle w:val="Prrafodelista"/>
        <w:autoSpaceDE w:val="0"/>
        <w:autoSpaceDN w:val="0"/>
        <w:adjustRightInd w:val="0"/>
        <w:spacing w:before="240" w:after="160" w:line="360" w:lineRule="auto"/>
        <w:ind w:left="0"/>
        <w:jc w:val="both"/>
        <w:rPr>
          <w:rFonts w:ascii="Palatino Linotype" w:hAnsi="Palatino Linotype" w:cs="Arial"/>
        </w:rPr>
      </w:pPr>
    </w:p>
    <w:p w14:paraId="5823F374" w14:textId="589475F1" w:rsidR="00E2158E" w:rsidRPr="00F0456E" w:rsidRDefault="00E2158E" w:rsidP="00E2158E">
      <w:pPr>
        <w:pStyle w:val="Prrafodelista"/>
        <w:autoSpaceDE w:val="0"/>
        <w:autoSpaceDN w:val="0"/>
        <w:adjustRightInd w:val="0"/>
        <w:spacing w:before="240" w:after="160" w:line="360" w:lineRule="auto"/>
        <w:ind w:left="0"/>
        <w:jc w:val="both"/>
        <w:rPr>
          <w:rFonts w:ascii="Palatino Linotype" w:hAnsi="Palatino Linotype" w:cs="Arial"/>
        </w:rPr>
      </w:pPr>
      <w:r w:rsidRPr="00F0456E">
        <w:rPr>
          <w:rFonts w:ascii="Palatino Linotype" w:hAnsi="Palatino Linotype" w:cs="Arial"/>
        </w:rPr>
        <w:lastRenderedPageBreak/>
        <w:t>ASÍ LO ACORDÓ, POR UNANIMIDAD DE VOTOS, EL PLENO DEL</w:t>
      </w:r>
      <w:r w:rsidRPr="00F0456E">
        <w:rPr>
          <w:rFonts w:ascii="Palatino Linotype" w:eastAsia="Arial Unicode MS" w:hAnsi="Palatino Linotype" w:cs="Arial"/>
        </w:rPr>
        <w:t xml:space="preserve"> INSTITUTO DE TRANSPARENCIA, ACCESO A LA INFORMACIÓN PÚBLICA Y PROTECCIÓN DE DATOS PERSONALES DEL ESTADO DE MÉXICO Y MUNICIPIOS</w:t>
      </w:r>
      <w:r w:rsidRPr="00F0456E">
        <w:rPr>
          <w:rFonts w:ascii="Palatino Linotype" w:hAnsi="Palatino Linotype" w:cs="Arial"/>
        </w:rPr>
        <w:t xml:space="preserve">, CONFORMADO POR LOS COMISIONADOS JOSÉ MARTÍNEZ VILCHIS, MARÍA DEL ROSARIO MEJÍA AYALA, SHARON CRISTINA MORALES MARTÍNEZ, LUIS GUSTAVO PARRA NORIEGA Y GUADALUPE RAMÍREZ PEÑA; EN LA CUADRAGÉSIMA </w:t>
      </w:r>
      <w:r w:rsidR="007C738E">
        <w:rPr>
          <w:rFonts w:ascii="Palatino Linotype" w:hAnsi="Palatino Linotype" w:cs="Arial"/>
        </w:rPr>
        <w:t>CUARTA</w:t>
      </w:r>
      <w:r w:rsidRPr="00F0456E">
        <w:rPr>
          <w:rFonts w:ascii="Palatino Linotype" w:hAnsi="Palatino Linotype" w:cs="Arial"/>
        </w:rPr>
        <w:t xml:space="preserve"> SESIÓN ORDINARIA CELEBRADA EL </w:t>
      </w:r>
      <w:r w:rsidR="00EB4105">
        <w:rPr>
          <w:rFonts w:ascii="Palatino Linotype" w:hAnsi="Palatino Linotype" w:cs="Arial"/>
        </w:rPr>
        <w:t>SIETE</w:t>
      </w:r>
      <w:r w:rsidR="00621BDA">
        <w:rPr>
          <w:rFonts w:ascii="Palatino Linotype" w:hAnsi="Palatino Linotype" w:cs="Arial"/>
        </w:rPr>
        <w:t xml:space="preserve"> DE DICIEMBRE</w:t>
      </w:r>
      <w:r w:rsidRPr="00F0456E">
        <w:rPr>
          <w:rFonts w:ascii="Palatino Linotype" w:hAnsi="Palatino Linotype" w:cs="Arial"/>
        </w:rPr>
        <w:t xml:space="preserve"> DE DOS MIL VEINTIDÓS, ANTE EL  SECRETARIO TÉCNICO DEL PLENO, ALEXIS TAPIA RAMÍREZ. </w:t>
      </w:r>
    </w:p>
    <w:p w14:paraId="763F9350" w14:textId="77777777" w:rsidR="00E2158E" w:rsidRPr="00F0456E" w:rsidRDefault="00E2158E" w:rsidP="00E2158E">
      <w:pPr>
        <w:pStyle w:val="Prrafodelista"/>
        <w:autoSpaceDE w:val="0"/>
        <w:autoSpaceDN w:val="0"/>
        <w:adjustRightInd w:val="0"/>
        <w:spacing w:before="240" w:after="160" w:line="360" w:lineRule="auto"/>
        <w:ind w:left="0"/>
        <w:jc w:val="both"/>
        <w:rPr>
          <w:rFonts w:ascii="Palatino Linotype" w:hAnsi="Palatino Linotype"/>
          <w:bCs/>
        </w:rPr>
      </w:pPr>
      <w:r w:rsidRPr="00F0456E">
        <w:rPr>
          <w:rFonts w:ascii="Palatino Linotype" w:hAnsi="Palatino Linotype"/>
          <w:bCs/>
        </w:rPr>
        <w:t>CCR/JCMA</w:t>
      </w:r>
    </w:p>
    <w:p w14:paraId="343B5AD1" w14:textId="570D264E" w:rsidR="003F0EC7" w:rsidRDefault="00621BDA" w:rsidP="00B6662B">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9744" behindDoc="0" locked="0" layoutInCell="1" allowOverlap="1" wp14:anchorId="2E8371F4" wp14:editId="7C74D1F4">
                <wp:simplePos x="0" y="0"/>
                <wp:positionH relativeFrom="column">
                  <wp:posOffset>-13335</wp:posOffset>
                </wp:positionH>
                <wp:positionV relativeFrom="paragraph">
                  <wp:posOffset>142875</wp:posOffset>
                </wp:positionV>
                <wp:extent cx="5930900" cy="4127500"/>
                <wp:effectExtent l="0" t="0" r="31750" b="25400"/>
                <wp:wrapNone/>
                <wp:docPr id="14" name="Straight Connector 14"/>
                <wp:cNvGraphicFramePr/>
                <a:graphic xmlns:a="http://schemas.openxmlformats.org/drawingml/2006/main">
                  <a:graphicData uri="http://schemas.microsoft.com/office/word/2010/wordprocessingShape">
                    <wps:wsp>
                      <wps:cNvCnPr/>
                      <wps:spPr>
                        <a:xfrm>
                          <a:off x="0" y="0"/>
                          <a:ext cx="5930900" cy="412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D884D6" id="Straight Connector 1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1.25pt" to="465.95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" strokecolor="#5b9bd5 [3204]" strokeweight=".5pt">
                <v:stroke joinstyle="miter"/>
              </v:line>
            </w:pict>
          </mc:Fallback>
        </mc:AlternateContent>
      </w:r>
    </w:p>
    <w:p w14:paraId="01280AF3" w14:textId="77777777" w:rsidR="003F0EC7" w:rsidRDefault="003F0EC7" w:rsidP="00B6662B">
      <w:pPr>
        <w:spacing w:before="240" w:line="360" w:lineRule="auto"/>
        <w:jc w:val="both"/>
        <w:rPr>
          <w:rFonts w:ascii="Palatino Linotype" w:hAnsi="Palatino Linotype"/>
          <w:sz w:val="24"/>
          <w:szCs w:val="24"/>
        </w:rPr>
      </w:pPr>
    </w:p>
    <w:p w14:paraId="351855AA" w14:textId="77777777" w:rsidR="003F0EC7" w:rsidRDefault="003F0EC7" w:rsidP="00B6662B">
      <w:pPr>
        <w:spacing w:before="240" w:line="360" w:lineRule="auto"/>
        <w:jc w:val="both"/>
        <w:rPr>
          <w:rFonts w:ascii="Palatino Linotype" w:hAnsi="Palatino Linotype"/>
          <w:sz w:val="24"/>
          <w:szCs w:val="24"/>
        </w:rPr>
      </w:pPr>
    </w:p>
    <w:p w14:paraId="3A885FE4" w14:textId="77777777" w:rsidR="003F0EC7" w:rsidRDefault="003F0EC7" w:rsidP="00B6662B">
      <w:pPr>
        <w:spacing w:before="240" w:line="360" w:lineRule="auto"/>
        <w:jc w:val="both"/>
        <w:rPr>
          <w:rFonts w:ascii="Palatino Linotype" w:hAnsi="Palatino Linotype"/>
          <w:sz w:val="24"/>
          <w:szCs w:val="24"/>
        </w:rPr>
      </w:pPr>
    </w:p>
    <w:p w14:paraId="7B27FB52" w14:textId="77777777" w:rsidR="003F0EC7" w:rsidRDefault="003F0EC7" w:rsidP="00B6662B">
      <w:pPr>
        <w:spacing w:before="240" w:line="360" w:lineRule="auto"/>
        <w:jc w:val="both"/>
        <w:rPr>
          <w:rFonts w:ascii="Palatino Linotype" w:hAnsi="Palatino Linotype"/>
          <w:sz w:val="24"/>
          <w:szCs w:val="24"/>
        </w:rPr>
      </w:pPr>
    </w:p>
    <w:p w14:paraId="302217A4" w14:textId="06397D13" w:rsidR="003F0EC7" w:rsidRDefault="003F0EC7" w:rsidP="00B6662B">
      <w:pPr>
        <w:spacing w:before="240" w:line="360" w:lineRule="auto"/>
        <w:jc w:val="both"/>
        <w:rPr>
          <w:rFonts w:ascii="Palatino Linotype" w:hAnsi="Palatino Linotype"/>
          <w:sz w:val="24"/>
          <w:szCs w:val="24"/>
        </w:rPr>
      </w:pPr>
    </w:p>
    <w:p w14:paraId="667FF154" w14:textId="555A22E5" w:rsidR="00FE5CE5" w:rsidRDefault="00FE5CE5" w:rsidP="00B6662B">
      <w:pPr>
        <w:spacing w:before="240" w:line="360" w:lineRule="auto"/>
        <w:jc w:val="both"/>
        <w:rPr>
          <w:rFonts w:ascii="Palatino Linotype" w:hAnsi="Palatino Linotype"/>
          <w:sz w:val="24"/>
          <w:szCs w:val="24"/>
        </w:rPr>
      </w:pPr>
    </w:p>
    <w:p w14:paraId="7DF97CEF" w14:textId="673AE38B" w:rsidR="00FE5CE5" w:rsidRDefault="00FE5CE5" w:rsidP="00B6662B">
      <w:pPr>
        <w:spacing w:before="240" w:line="360" w:lineRule="auto"/>
        <w:jc w:val="both"/>
        <w:rPr>
          <w:rFonts w:ascii="Palatino Linotype" w:hAnsi="Palatino Linotype"/>
          <w:sz w:val="24"/>
          <w:szCs w:val="24"/>
        </w:rPr>
      </w:pPr>
    </w:p>
    <w:p w14:paraId="59383C1D" w14:textId="5D66FE99" w:rsidR="00FE5CE5" w:rsidRDefault="00FE5CE5" w:rsidP="00B6662B">
      <w:pPr>
        <w:spacing w:before="240" w:line="360" w:lineRule="auto"/>
        <w:jc w:val="both"/>
        <w:rPr>
          <w:rFonts w:ascii="Palatino Linotype" w:hAnsi="Palatino Linotype"/>
          <w:sz w:val="24"/>
          <w:szCs w:val="24"/>
        </w:rPr>
      </w:pPr>
    </w:p>
    <w:p w14:paraId="53421A28" w14:textId="77777777" w:rsidR="00FE5CE5" w:rsidRDefault="00FE5CE5" w:rsidP="00B6662B">
      <w:pPr>
        <w:spacing w:before="240" w:line="360" w:lineRule="auto"/>
        <w:jc w:val="both"/>
        <w:rPr>
          <w:rFonts w:ascii="Palatino Linotype" w:hAnsi="Palatino Linotype"/>
          <w:sz w:val="24"/>
          <w:szCs w:val="24"/>
        </w:rPr>
      </w:pPr>
    </w:p>
    <w:sectPr w:rsidR="00FE5CE5"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F0ECC" w14:textId="77777777" w:rsidR="00036CB1" w:rsidRDefault="00036CB1" w:rsidP="006168E4">
      <w:pPr>
        <w:spacing w:after="0" w:line="240" w:lineRule="auto"/>
      </w:pPr>
      <w:r>
        <w:separator/>
      </w:r>
    </w:p>
  </w:endnote>
  <w:endnote w:type="continuationSeparator" w:id="0">
    <w:p w14:paraId="145A85D0" w14:textId="77777777" w:rsidR="00036CB1" w:rsidRDefault="00036CB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3773A">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3773A">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3773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3773A">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2A5618" w14:textId="77777777" w:rsidR="00036CB1" w:rsidRDefault="00036CB1" w:rsidP="006168E4">
      <w:pPr>
        <w:spacing w:after="0" w:line="240" w:lineRule="auto"/>
      </w:pPr>
      <w:r>
        <w:separator/>
      </w:r>
    </w:p>
  </w:footnote>
  <w:footnote w:type="continuationSeparator" w:id="0">
    <w:p w14:paraId="55E9677D" w14:textId="77777777" w:rsidR="00036CB1" w:rsidRDefault="00036CB1" w:rsidP="006168E4">
      <w:pPr>
        <w:spacing w:after="0" w:line="240" w:lineRule="auto"/>
      </w:pPr>
      <w:r>
        <w:continuationSeparator/>
      </w:r>
    </w:p>
  </w:footnote>
  <w:footnote w:id="1">
    <w:p w14:paraId="39B38BB9" w14:textId="77777777" w:rsidR="00CC4B8A" w:rsidRPr="005552A8" w:rsidRDefault="00CC4B8A" w:rsidP="00CC4B8A">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8040E9A" w14:textId="77777777" w:rsidR="00CC4B8A" w:rsidRPr="005552A8" w:rsidRDefault="00CC4B8A" w:rsidP="00CC4B8A">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70D24B4" w14:textId="77777777" w:rsidR="00FE5CE5" w:rsidRDefault="00FE5CE5" w:rsidP="00FE5CE5">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3" w:history="1">
        <w:r w:rsidRPr="00553A32">
          <w:rPr>
            <w:rStyle w:val="Hipervnculo"/>
            <w:sz w:val="18"/>
            <w:szCs w:val="18"/>
          </w:rPr>
          <w:t>https://sjf.scjn.gob.mx/sjfsist/Paginas/DetalleGeneralV2.aspx?ID=1000830&amp;Clase=DetalleTesisBL&amp;Semanario=0</w:t>
        </w:r>
      </w:hyperlink>
      <w:r>
        <w:rPr>
          <w:sz w:val="18"/>
          <w:szCs w:val="18"/>
          <w:u w:val="single"/>
        </w:rPr>
        <w:t>.</w:t>
      </w:r>
    </w:p>
    <w:p w14:paraId="3E45CD58" w14:textId="77777777" w:rsidR="00FE5CE5" w:rsidRPr="000F0A6E" w:rsidRDefault="00FE5CE5" w:rsidP="00FE5CE5">
      <w:pPr>
        <w:pStyle w:val="Textonotapie"/>
        <w:jc w:val="both"/>
        <w:rPr>
          <w:sz w:val="18"/>
          <w:szCs w:val="18"/>
          <w:u w:val="single"/>
        </w:rPr>
      </w:pPr>
    </w:p>
  </w:footnote>
  <w:footnote w:id="3">
    <w:p w14:paraId="13866FC7" w14:textId="77777777" w:rsidR="00563A40" w:rsidRPr="000553F9" w:rsidRDefault="00563A40" w:rsidP="00563A40">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4"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4">
    <w:p w14:paraId="277AE9B4" w14:textId="77777777" w:rsidR="00563A40" w:rsidRPr="000553F9" w:rsidRDefault="00563A40" w:rsidP="00563A40">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5"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5">
    <w:p w14:paraId="31647203" w14:textId="77777777" w:rsidR="00563A40" w:rsidRPr="000553F9" w:rsidRDefault="00563A40" w:rsidP="00563A40">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6" w:history="1">
        <w:r w:rsidRPr="000553F9">
          <w:rPr>
            <w:rStyle w:val="Hipervnculo"/>
            <w:color w:val="000000" w:themeColor="text1"/>
          </w:rPr>
          <w:t>http://dle.rae.es/?id=VGqyuLj|VGtxgAo|VGuc9Wg</w:t>
        </w:r>
      </w:hyperlink>
      <w:r w:rsidRPr="000553F9">
        <w:rPr>
          <w:color w:val="000000" w:themeColor="text1"/>
        </w:rPr>
        <w:t xml:space="preserve"> </w:t>
      </w:r>
    </w:p>
  </w:footnote>
  <w:footnote w:id="6">
    <w:p w14:paraId="7576ABD6" w14:textId="77777777" w:rsidR="00563A40" w:rsidRPr="000553F9" w:rsidRDefault="00563A40" w:rsidP="00563A40">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7" w:history="1">
        <w:r w:rsidRPr="000553F9">
          <w:rPr>
            <w:rStyle w:val="Hipervnculo"/>
            <w:color w:val="000000" w:themeColor="text1"/>
          </w:rPr>
          <w:t>http://dle.rae.es/?id=CAjNzMR</w:t>
        </w:r>
      </w:hyperlink>
      <w:r w:rsidRPr="000553F9">
        <w:rPr>
          <w:color w:val="000000" w:themeColor="text1"/>
        </w:rPr>
        <w:t xml:space="preserve"> </w:t>
      </w:r>
    </w:p>
  </w:footnote>
  <w:footnote w:id="7">
    <w:p w14:paraId="64AB2D45" w14:textId="77777777" w:rsidR="00563A40" w:rsidRPr="000553F9" w:rsidRDefault="00563A40" w:rsidP="00563A40">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8" w:history="1">
        <w:r w:rsidRPr="000553F9">
          <w:rPr>
            <w:rStyle w:val="Hipervnculo"/>
            <w:color w:val="000000" w:themeColor="text1"/>
          </w:rPr>
          <w:t>http://dle.rae.es/?id=CAqWkEB</w:t>
        </w:r>
      </w:hyperlink>
      <w:r w:rsidRPr="000553F9">
        <w:rPr>
          <w:color w:val="000000" w:themeColor="text1"/>
        </w:rPr>
        <w:t xml:space="preserve"> </w:t>
      </w:r>
    </w:p>
  </w:footnote>
  <w:footnote w:id="8">
    <w:p w14:paraId="15F4AC13" w14:textId="77777777" w:rsidR="00563A40" w:rsidRPr="000553F9" w:rsidRDefault="00563A40" w:rsidP="00563A40">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9" w:history="1">
        <w:r w:rsidRPr="000553F9">
          <w:rPr>
            <w:rStyle w:val="Hipervnculo"/>
            <w:color w:val="000000" w:themeColor="text1"/>
          </w:rPr>
          <w:t>http://dle.rae.es/?id=KtnHLLd</w:t>
        </w:r>
      </w:hyperlink>
      <w:r w:rsidRPr="000553F9">
        <w:rPr>
          <w:color w:val="000000" w:themeColor="text1"/>
        </w:rPr>
        <w:t xml:space="preserve"> </w:t>
      </w:r>
    </w:p>
  </w:footnote>
  <w:footnote w:id="9">
    <w:p w14:paraId="667A1FFA" w14:textId="77777777" w:rsidR="00563A40" w:rsidRPr="000406A4" w:rsidRDefault="00563A40" w:rsidP="00563A40">
      <w:pPr>
        <w:pStyle w:val="Textonotapie"/>
        <w:jc w:val="both"/>
        <w:rPr>
          <w:lang w:val="es-ES"/>
        </w:rPr>
      </w:pPr>
      <w:r w:rsidRPr="000553F9">
        <w:rPr>
          <w:rStyle w:val="Refdenotaalpie"/>
          <w:color w:val="000000" w:themeColor="text1"/>
        </w:rPr>
        <w:footnoteRef/>
      </w:r>
      <w:r w:rsidRPr="000553F9">
        <w:rPr>
          <w:color w:val="000000" w:themeColor="text1"/>
        </w:rPr>
        <w:t xml:space="preserve"> </w:t>
      </w:r>
      <w:hyperlink r:id="rId10" w:history="1">
        <w:r w:rsidRPr="000553F9">
          <w:rPr>
            <w:rStyle w:val="Hipervnculo"/>
            <w:color w:val="000000" w:themeColor="text1"/>
          </w:rPr>
          <w:t>http://dle.rae.es/?id=KtpfgjV</w:t>
        </w:r>
      </w:hyperlink>
      <w:r w:rsidRPr="000553F9">
        <w:rPr>
          <w:color w:val="000000" w:themeColor="text1"/>
        </w:rPr>
        <w:t xml:space="preserve"> </w:t>
      </w:r>
    </w:p>
  </w:footnote>
  <w:footnote w:id="10">
    <w:p w14:paraId="7629BA2B" w14:textId="77777777" w:rsidR="00563A40" w:rsidRPr="00D75A73" w:rsidRDefault="00563A40" w:rsidP="00563A40">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75A73">
        <w:rPr>
          <w:rFonts w:ascii="Palatino Linotype" w:eastAsia="Times New Roman" w:hAnsi="Palatino Linotype" w:cs="Arial"/>
          <w:color w:val="000000" w:themeColor="text1"/>
          <w:sz w:val="16"/>
          <w:szCs w:val="16"/>
          <w:lang w:val="es-ES_tradnl" w:eastAsia="es-ES_tradnl"/>
        </w:rPr>
        <w:t>tests</w:t>
      </w:r>
      <w:proofErr w:type="spellEnd"/>
      <w:r w:rsidRPr="00D75A73">
        <w:rPr>
          <w:rFonts w:ascii="Palatino Linotype" w:eastAsia="Times New Roman" w:hAnsi="Palatino Linotype" w:cs="Arial"/>
          <w:color w:val="000000" w:themeColor="text1"/>
          <w:sz w:val="16"/>
          <w:szCs w:val="16"/>
          <w:lang w:val="es-ES_tradnl"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75A73">
        <w:rPr>
          <w:rFonts w:ascii="Palatino Linotype" w:eastAsia="Times New Roman" w:hAnsi="Palatino Linotype" w:cs="Arial"/>
          <w:color w:val="000000" w:themeColor="text1"/>
          <w:sz w:val="16"/>
          <w:szCs w:val="16"/>
          <w:lang w:val="es-ES_tradnl" w:eastAsia="es-ES_tradnl"/>
        </w:rPr>
        <w:t>Lluy</w:t>
      </w:r>
      <w:proofErr w:type="spellEnd"/>
      <w:r w:rsidRPr="00D75A73">
        <w:rPr>
          <w:rFonts w:ascii="Palatino Linotype" w:eastAsia="Times New Roman" w:hAnsi="Palatino Linotype" w:cs="Arial"/>
          <w:color w:val="000000" w:themeColor="text1"/>
          <w:sz w:val="16"/>
          <w:szCs w:val="16"/>
          <w:lang w:val="es-ES_tradnl" w:eastAsia="es-ES_tradnl"/>
        </w:rPr>
        <w:t xml:space="preserve"> y otros contra Ecuador. Excepciones preliminares, fondo, reparaciones y costas. Sentencia del 01 de septiembre de 2015. Párr. 256.  </w:t>
      </w:r>
    </w:p>
  </w:footnote>
  <w:footnote w:id="11">
    <w:p w14:paraId="39D80998" w14:textId="77777777" w:rsidR="00563A40" w:rsidRPr="00D75A73" w:rsidRDefault="00563A40" w:rsidP="00563A40">
      <w:pPr>
        <w:pStyle w:val="Textonotapie"/>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w:t>
      </w:r>
      <w:proofErr w:type="spellStart"/>
      <w:r w:rsidRPr="00D75A73">
        <w:rPr>
          <w:rFonts w:ascii="Palatino Linotype" w:hAnsi="Palatino Linotype"/>
          <w:color w:val="000000" w:themeColor="text1"/>
          <w:sz w:val="16"/>
          <w:szCs w:val="16"/>
          <w:lang w:val="es-ES"/>
        </w:rPr>
        <w:t>BVerfGE</w:t>
      </w:r>
      <w:proofErr w:type="spellEnd"/>
      <w:r w:rsidRPr="00D75A73">
        <w:rPr>
          <w:rFonts w:ascii="Palatino Linotype" w:hAnsi="Palatino Linotype"/>
          <w:color w:val="000000" w:themeColor="text1"/>
          <w:sz w:val="16"/>
          <w:szCs w:val="16"/>
          <w:lang w:val="es-ES"/>
        </w:rPr>
        <w:t xml:space="preserve"> 93, 266). En ALÁEZ CORRAL, Benito y ÁLVAREZ </w:t>
      </w:r>
      <w:proofErr w:type="spellStart"/>
      <w:r w:rsidRPr="00D75A73">
        <w:rPr>
          <w:rFonts w:ascii="Palatino Linotype" w:hAnsi="Palatino Linotype"/>
          <w:color w:val="000000" w:themeColor="text1"/>
          <w:sz w:val="16"/>
          <w:szCs w:val="16"/>
          <w:lang w:val="es-ES"/>
        </w:rPr>
        <w:t>ÁLVAREZ</w:t>
      </w:r>
      <w:proofErr w:type="spellEnd"/>
      <w:r w:rsidRPr="00D75A73">
        <w:rPr>
          <w:rFonts w:ascii="Palatino Linotype" w:hAnsi="Palatino Linotype"/>
          <w:color w:val="000000" w:themeColor="text1"/>
          <w:sz w:val="16"/>
          <w:szCs w:val="16"/>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05600" w14:paraId="17981A04" w14:textId="77777777" w:rsidTr="00073E92">
      <w:trPr>
        <w:trHeight w:val="227"/>
      </w:trPr>
      <w:tc>
        <w:tcPr>
          <w:tcW w:w="5529" w:type="dxa"/>
          <w:hideMark/>
        </w:tcPr>
        <w:p w14:paraId="0E414BC5" w14:textId="19670DF2"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0F01334" w:rsidR="00E05600" w:rsidRPr="00B4142F" w:rsidRDefault="00EA2A0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13950</w:t>
          </w:r>
          <w:r w:rsidR="00E05600">
            <w:rPr>
              <w:rFonts w:ascii="Palatino Linotype" w:hAnsi="Palatino Linotype" w:cs="Arial"/>
              <w:bCs/>
              <w:sz w:val="24"/>
              <w:lang w:eastAsia="es-MX"/>
            </w:rPr>
            <w:t>/INFOEM/IP/RR/2022</w:t>
          </w:r>
        </w:p>
      </w:tc>
    </w:tr>
    <w:tr w:rsidR="00E05600" w14:paraId="637042F0" w14:textId="77777777" w:rsidTr="00073E92">
      <w:trPr>
        <w:trHeight w:val="242"/>
      </w:trPr>
      <w:tc>
        <w:tcPr>
          <w:tcW w:w="5529" w:type="dxa"/>
          <w:hideMark/>
        </w:tcPr>
        <w:p w14:paraId="412AD568" w14:textId="582E7AD7"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505E3FD" w:rsidR="00E05600" w:rsidRPr="00F06FED" w:rsidRDefault="00E05600" w:rsidP="00F2667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EA2A04">
            <w:rPr>
              <w:rFonts w:ascii="Palatino Linotype" w:hAnsi="Palatino Linotype" w:cs="Arial"/>
              <w:szCs w:val="20"/>
            </w:rPr>
            <w:t>Tepotzotlán</w:t>
          </w:r>
        </w:p>
      </w:tc>
    </w:tr>
    <w:tr w:rsidR="00E05600" w14:paraId="21BFE746" w14:textId="77777777" w:rsidTr="00073E92">
      <w:trPr>
        <w:trHeight w:val="342"/>
      </w:trPr>
      <w:tc>
        <w:tcPr>
          <w:tcW w:w="5529" w:type="dxa"/>
          <w:hideMark/>
        </w:tcPr>
        <w:p w14:paraId="64C4E314" w14:textId="2A83840C" w:rsidR="00E05600" w:rsidRDefault="00E0560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05600" w:rsidRDefault="00E0560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05600" w:rsidRDefault="00E0560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05600" w14:paraId="385FD437" w14:textId="77777777" w:rsidTr="00073E92">
      <w:trPr>
        <w:trHeight w:val="227"/>
      </w:trPr>
      <w:tc>
        <w:tcPr>
          <w:tcW w:w="5529" w:type="dxa"/>
          <w:hideMark/>
        </w:tcPr>
        <w:p w14:paraId="272860E8" w14:textId="6340DBC0"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1A3B92B6" w:rsidR="00E05600" w:rsidRPr="00B4142F" w:rsidRDefault="00EA2A0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13950</w:t>
          </w:r>
          <w:r w:rsidR="00E05600">
            <w:rPr>
              <w:rFonts w:ascii="Palatino Linotype" w:hAnsi="Palatino Linotype" w:cs="Arial"/>
              <w:bCs/>
              <w:sz w:val="24"/>
              <w:lang w:eastAsia="es-MX"/>
            </w:rPr>
            <w:t>/INFOEM/IP/RR/2022</w:t>
          </w:r>
        </w:p>
      </w:tc>
    </w:tr>
    <w:tr w:rsidR="00E05600" w14:paraId="33FC5097" w14:textId="77777777" w:rsidTr="00073E92">
      <w:trPr>
        <w:trHeight w:val="196"/>
      </w:trPr>
      <w:tc>
        <w:tcPr>
          <w:tcW w:w="5529" w:type="dxa"/>
          <w:hideMark/>
        </w:tcPr>
        <w:p w14:paraId="4F5D01E5"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A9BADA9" w:rsidR="00E05600" w:rsidRPr="00F06FED" w:rsidRDefault="0063773A" w:rsidP="007A3BB5">
          <w:pPr>
            <w:spacing w:after="120" w:line="256" w:lineRule="auto"/>
            <w:ind w:left="639" w:right="214"/>
            <w:jc w:val="both"/>
            <w:rPr>
              <w:rFonts w:ascii="Palatino Linotype" w:hAnsi="Palatino Linotype" w:cs="Arial"/>
            </w:rPr>
          </w:pPr>
          <w:r>
            <w:rPr>
              <w:rFonts w:ascii="Palatino Linotype" w:hAnsi="Palatino Linotype" w:cs="Arial"/>
            </w:rPr>
            <w:t>XXXXXXXXXXXXXX</w:t>
          </w:r>
        </w:p>
      </w:tc>
    </w:tr>
    <w:tr w:rsidR="00E05600" w14:paraId="178280DE" w14:textId="77777777" w:rsidTr="00073E92">
      <w:trPr>
        <w:trHeight w:val="242"/>
      </w:trPr>
      <w:tc>
        <w:tcPr>
          <w:tcW w:w="5529" w:type="dxa"/>
          <w:hideMark/>
        </w:tcPr>
        <w:p w14:paraId="71AC708B"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00D8A935" w:rsidR="00E05600" w:rsidRDefault="00E05600" w:rsidP="00F2667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EA2A04">
            <w:rPr>
              <w:rFonts w:ascii="Palatino Linotype" w:hAnsi="Palatino Linotype" w:cs="Arial"/>
              <w:szCs w:val="20"/>
            </w:rPr>
            <w:t>Tepotzotlán</w:t>
          </w:r>
        </w:p>
      </w:tc>
    </w:tr>
    <w:tr w:rsidR="00E05600" w14:paraId="0518978B" w14:textId="77777777" w:rsidTr="00073E92">
      <w:trPr>
        <w:trHeight w:val="342"/>
      </w:trPr>
      <w:tc>
        <w:tcPr>
          <w:tcW w:w="5529" w:type="dxa"/>
          <w:hideMark/>
        </w:tcPr>
        <w:p w14:paraId="04968A43" w14:textId="7BE2A222" w:rsidR="00E05600" w:rsidRDefault="00E0560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05600" w:rsidRDefault="00E0560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C03"/>
    <w:multiLevelType w:val="hybridMultilevel"/>
    <w:tmpl w:val="AED0E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0E1BBC"/>
    <w:multiLevelType w:val="hybridMultilevel"/>
    <w:tmpl w:val="607C08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03283F"/>
    <w:multiLevelType w:val="hybridMultilevel"/>
    <w:tmpl w:val="81DC6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53D73"/>
    <w:multiLevelType w:val="hybridMultilevel"/>
    <w:tmpl w:val="290635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6" w15:restartNumberingAfterBreak="0">
    <w:nsid w:val="1D4403DA"/>
    <w:multiLevelType w:val="hybridMultilevel"/>
    <w:tmpl w:val="8280F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8" w15:restartNumberingAfterBreak="0">
    <w:nsid w:val="2ACF7FA0"/>
    <w:multiLevelType w:val="hybridMultilevel"/>
    <w:tmpl w:val="BCFECE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E6E3E00"/>
    <w:multiLevelType w:val="hybridMultilevel"/>
    <w:tmpl w:val="80744C6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453E29CA"/>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1" w15:restartNumberingAfterBreak="0">
    <w:nsid w:val="48411B96"/>
    <w:multiLevelType w:val="hybridMultilevel"/>
    <w:tmpl w:val="126874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4F967CA0"/>
    <w:multiLevelType w:val="hybridMultilevel"/>
    <w:tmpl w:val="BF7A4E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5A393B"/>
    <w:multiLevelType w:val="hybridMultilevel"/>
    <w:tmpl w:val="812A8F1E"/>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15"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D215574"/>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7" w15:restartNumberingAfterBreak="0">
    <w:nsid w:val="6D924E8C"/>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8"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7"/>
  </w:num>
  <w:num w:numId="2">
    <w:abstractNumId w:val="16"/>
  </w:num>
  <w:num w:numId="3">
    <w:abstractNumId w:val="3"/>
  </w:num>
  <w:num w:numId="4">
    <w:abstractNumId w:val="12"/>
  </w:num>
  <w:num w:numId="5">
    <w:abstractNumId w:val="13"/>
  </w:num>
  <w:num w:numId="6">
    <w:abstractNumId w:val="15"/>
  </w:num>
  <w:num w:numId="7">
    <w:abstractNumId w:val="17"/>
  </w:num>
  <w:num w:numId="8">
    <w:abstractNumId w:val="5"/>
  </w:num>
  <w:num w:numId="9">
    <w:abstractNumId w:val="14"/>
  </w:num>
  <w:num w:numId="10">
    <w:abstractNumId w:val="4"/>
  </w:num>
  <w:num w:numId="11">
    <w:abstractNumId w:val="1"/>
  </w:num>
  <w:num w:numId="12">
    <w:abstractNumId w:val="8"/>
  </w:num>
  <w:num w:numId="13">
    <w:abstractNumId w:val="2"/>
  </w:num>
  <w:num w:numId="14">
    <w:abstractNumId w:val="18"/>
  </w:num>
  <w:num w:numId="15">
    <w:abstractNumId w:val="6"/>
  </w:num>
  <w:num w:numId="16">
    <w:abstractNumId w:val="0"/>
  </w:num>
  <w:num w:numId="17">
    <w:abstractNumId w:val="9"/>
  </w:num>
  <w:num w:numId="18">
    <w:abstractNumId w:val="11"/>
  </w:num>
  <w:num w:numId="1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0F8B"/>
    <w:rsid w:val="000026CF"/>
    <w:rsid w:val="00002A9A"/>
    <w:rsid w:val="00002FA5"/>
    <w:rsid w:val="0000354B"/>
    <w:rsid w:val="000056BB"/>
    <w:rsid w:val="00005B85"/>
    <w:rsid w:val="0000721A"/>
    <w:rsid w:val="00010537"/>
    <w:rsid w:val="00011980"/>
    <w:rsid w:val="00012E56"/>
    <w:rsid w:val="0001366A"/>
    <w:rsid w:val="00013C75"/>
    <w:rsid w:val="000143F3"/>
    <w:rsid w:val="000171B7"/>
    <w:rsid w:val="00017F8D"/>
    <w:rsid w:val="00020E74"/>
    <w:rsid w:val="0002163D"/>
    <w:rsid w:val="00022B41"/>
    <w:rsid w:val="00023442"/>
    <w:rsid w:val="000240C8"/>
    <w:rsid w:val="000255D5"/>
    <w:rsid w:val="0002560B"/>
    <w:rsid w:val="00025F8F"/>
    <w:rsid w:val="00027921"/>
    <w:rsid w:val="000306A7"/>
    <w:rsid w:val="000315CA"/>
    <w:rsid w:val="00031A66"/>
    <w:rsid w:val="00031B3B"/>
    <w:rsid w:val="0003281E"/>
    <w:rsid w:val="00032896"/>
    <w:rsid w:val="000329BE"/>
    <w:rsid w:val="00036740"/>
    <w:rsid w:val="00036CB1"/>
    <w:rsid w:val="0004186E"/>
    <w:rsid w:val="00044C7F"/>
    <w:rsid w:val="000451BE"/>
    <w:rsid w:val="00045379"/>
    <w:rsid w:val="000458B5"/>
    <w:rsid w:val="00045CB8"/>
    <w:rsid w:val="00047B1D"/>
    <w:rsid w:val="000502C8"/>
    <w:rsid w:val="000508FA"/>
    <w:rsid w:val="000511AB"/>
    <w:rsid w:val="0005171D"/>
    <w:rsid w:val="00055224"/>
    <w:rsid w:val="000579CE"/>
    <w:rsid w:val="00057FE1"/>
    <w:rsid w:val="000610F9"/>
    <w:rsid w:val="00061821"/>
    <w:rsid w:val="00062176"/>
    <w:rsid w:val="000623F9"/>
    <w:rsid w:val="00063A10"/>
    <w:rsid w:val="00063C69"/>
    <w:rsid w:val="00064EA6"/>
    <w:rsid w:val="000662F8"/>
    <w:rsid w:val="00066CAB"/>
    <w:rsid w:val="00070E99"/>
    <w:rsid w:val="00071290"/>
    <w:rsid w:val="00073E78"/>
    <w:rsid w:val="00073E92"/>
    <w:rsid w:val="00073FC2"/>
    <w:rsid w:val="00074B0E"/>
    <w:rsid w:val="00076AE0"/>
    <w:rsid w:val="0007756F"/>
    <w:rsid w:val="0008033D"/>
    <w:rsid w:val="0008151E"/>
    <w:rsid w:val="000821BF"/>
    <w:rsid w:val="00084BAA"/>
    <w:rsid w:val="00085007"/>
    <w:rsid w:val="0008548C"/>
    <w:rsid w:val="00086AF1"/>
    <w:rsid w:val="0008719F"/>
    <w:rsid w:val="00087E9F"/>
    <w:rsid w:val="00090174"/>
    <w:rsid w:val="00090D0C"/>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0EFE"/>
    <w:rsid w:val="000B115B"/>
    <w:rsid w:val="000B2A2F"/>
    <w:rsid w:val="000B2A89"/>
    <w:rsid w:val="000B45EB"/>
    <w:rsid w:val="000B4B51"/>
    <w:rsid w:val="000B4D0F"/>
    <w:rsid w:val="000B5864"/>
    <w:rsid w:val="000B5B77"/>
    <w:rsid w:val="000B6663"/>
    <w:rsid w:val="000B701B"/>
    <w:rsid w:val="000B7158"/>
    <w:rsid w:val="000B78C0"/>
    <w:rsid w:val="000C0B33"/>
    <w:rsid w:val="000C2602"/>
    <w:rsid w:val="000C5B8B"/>
    <w:rsid w:val="000C7DC3"/>
    <w:rsid w:val="000D0352"/>
    <w:rsid w:val="000D0916"/>
    <w:rsid w:val="000D1A4E"/>
    <w:rsid w:val="000D1B55"/>
    <w:rsid w:val="000D3C75"/>
    <w:rsid w:val="000D4532"/>
    <w:rsid w:val="000D4A3A"/>
    <w:rsid w:val="000D5800"/>
    <w:rsid w:val="000D67B8"/>
    <w:rsid w:val="000D69D7"/>
    <w:rsid w:val="000D7523"/>
    <w:rsid w:val="000D7F7B"/>
    <w:rsid w:val="000E0C4D"/>
    <w:rsid w:val="000E164F"/>
    <w:rsid w:val="000E30C2"/>
    <w:rsid w:val="000E3AEA"/>
    <w:rsid w:val="000E6545"/>
    <w:rsid w:val="000E686B"/>
    <w:rsid w:val="000F1FE8"/>
    <w:rsid w:val="000F2A5E"/>
    <w:rsid w:val="000F2E5A"/>
    <w:rsid w:val="000F3EC2"/>
    <w:rsid w:val="000F3F8D"/>
    <w:rsid w:val="00100C19"/>
    <w:rsid w:val="00101CE5"/>
    <w:rsid w:val="00104391"/>
    <w:rsid w:val="00106372"/>
    <w:rsid w:val="00111DCD"/>
    <w:rsid w:val="00112C29"/>
    <w:rsid w:val="00114CF9"/>
    <w:rsid w:val="00114FD0"/>
    <w:rsid w:val="001154C1"/>
    <w:rsid w:val="00117250"/>
    <w:rsid w:val="00120A03"/>
    <w:rsid w:val="00121E3A"/>
    <w:rsid w:val="001228AB"/>
    <w:rsid w:val="00124209"/>
    <w:rsid w:val="00124855"/>
    <w:rsid w:val="00124E99"/>
    <w:rsid w:val="001254F5"/>
    <w:rsid w:val="00127033"/>
    <w:rsid w:val="0012724B"/>
    <w:rsid w:val="00136C13"/>
    <w:rsid w:val="00136FAD"/>
    <w:rsid w:val="00140557"/>
    <w:rsid w:val="001408A0"/>
    <w:rsid w:val="001414E7"/>
    <w:rsid w:val="001416FE"/>
    <w:rsid w:val="00141BDA"/>
    <w:rsid w:val="001439C9"/>
    <w:rsid w:val="00146F0A"/>
    <w:rsid w:val="0015142D"/>
    <w:rsid w:val="00151D16"/>
    <w:rsid w:val="00152AB2"/>
    <w:rsid w:val="00152C2B"/>
    <w:rsid w:val="00161FBE"/>
    <w:rsid w:val="0016613D"/>
    <w:rsid w:val="0016699E"/>
    <w:rsid w:val="0016745C"/>
    <w:rsid w:val="001705AC"/>
    <w:rsid w:val="001710C0"/>
    <w:rsid w:val="001712BB"/>
    <w:rsid w:val="001733A0"/>
    <w:rsid w:val="00175897"/>
    <w:rsid w:val="00177BC8"/>
    <w:rsid w:val="00180B9F"/>
    <w:rsid w:val="00180F0F"/>
    <w:rsid w:val="00181CC5"/>
    <w:rsid w:val="001829BE"/>
    <w:rsid w:val="00182C4E"/>
    <w:rsid w:val="00184E8E"/>
    <w:rsid w:val="00185197"/>
    <w:rsid w:val="001854E1"/>
    <w:rsid w:val="0018577F"/>
    <w:rsid w:val="001913B5"/>
    <w:rsid w:val="0019373B"/>
    <w:rsid w:val="00193784"/>
    <w:rsid w:val="00194676"/>
    <w:rsid w:val="00195824"/>
    <w:rsid w:val="00196DCE"/>
    <w:rsid w:val="00196FE9"/>
    <w:rsid w:val="001A02EC"/>
    <w:rsid w:val="001A1756"/>
    <w:rsid w:val="001A30F5"/>
    <w:rsid w:val="001A443E"/>
    <w:rsid w:val="001A4643"/>
    <w:rsid w:val="001A4BAD"/>
    <w:rsid w:val="001A5630"/>
    <w:rsid w:val="001A577E"/>
    <w:rsid w:val="001A7095"/>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159"/>
    <w:rsid w:val="001D3E87"/>
    <w:rsid w:val="001D49A2"/>
    <w:rsid w:val="001D5F45"/>
    <w:rsid w:val="001D627A"/>
    <w:rsid w:val="001D6B60"/>
    <w:rsid w:val="001E0C3F"/>
    <w:rsid w:val="001E11BF"/>
    <w:rsid w:val="001E2C56"/>
    <w:rsid w:val="001E3960"/>
    <w:rsid w:val="001E3E6B"/>
    <w:rsid w:val="001E5168"/>
    <w:rsid w:val="001E58D8"/>
    <w:rsid w:val="001E6631"/>
    <w:rsid w:val="001E78AA"/>
    <w:rsid w:val="001F2101"/>
    <w:rsid w:val="001F2360"/>
    <w:rsid w:val="001F3385"/>
    <w:rsid w:val="001F3969"/>
    <w:rsid w:val="001F4421"/>
    <w:rsid w:val="001F607C"/>
    <w:rsid w:val="001F6084"/>
    <w:rsid w:val="001F61DA"/>
    <w:rsid w:val="001F6D13"/>
    <w:rsid w:val="00204420"/>
    <w:rsid w:val="00205ACD"/>
    <w:rsid w:val="002075A5"/>
    <w:rsid w:val="00212797"/>
    <w:rsid w:val="00212A9D"/>
    <w:rsid w:val="0021501E"/>
    <w:rsid w:val="00215192"/>
    <w:rsid w:val="0021530C"/>
    <w:rsid w:val="002205C0"/>
    <w:rsid w:val="00221889"/>
    <w:rsid w:val="002248AC"/>
    <w:rsid w:val="00226AF5"/>
    <w:rsid w:val="0023220E"/>
    <w:rsid w:val="0023373D"/>
    <w:rsid w:val="0023423C"/>
    <w:rsid w:val="002406B0"/>
    <w:rsid w:val="00241398"/>
    <w:rsid w:val="002420E3"/>
    <w:rsid w:val="002429D6"/>
    <w:rsid w:val="002448CB"/>
    <w:rsid w:val="002525C7"/>
    <w:rsid w:val="002526E7"/>
    <w:rsid w:val="002534AB"/>
    <w:rsid w:val="002545DA"/>
    <w:rsid w:val="002548EC"/>
    <w:rsid w:val="00254BA9"/>
    <w:rsid w:val="00254CAC"/>
    <w:rsid w:val="0025556B"/>
    <w:rsid w:val="0025613A"/>
    <w:rsid w:val="002577FE"/>
    <w:rsid w:val="00261125"/>
    <w:rsid w:val="002659E9"/>
    <w:rsid w:val="00267074"/>
    <w:rsid w:val="00267244"/>
    <w:rsid w:val="00267F00"/>
    <w:rsid w:val="002717B7"/>
    <w:rsid w:val="00273D0E"/>
    <w:rsid w:val="00274159"/>
    <w:rsid w:val="00274300"/>
    <w:rsid w:val="00274BE8"/>
    <w:rsid w:val="002765A6"/>
    <w:rsid w:val="002766D5"/>
    <w:rsid w:val="0028097F"/>
    <w:rsid w:val="00284A01"/>
    <w:rsid w:val="0028588E"/>
    <w:rsid w:val="00286784"/>
    <w:rsid w:val="00286C41"/>
    <w:rsid w:val="00287700"/>
    <w:rsid w:val="00292BF6"/>
    <w:rsid w:val="0029431D"/>
    <w:rsid w:val="00294823"/>
    <w:rsid w:val="00295248"/>
    <w:rsid w:val="00295749"/>
    <w:rsid w:val="0029598B"/>
    <w:rsid w:val="00296316"/>
    <w:rsid w:val="00297A36"/>
    <w:rsid w:val="002A0229"/>
    <w:rsid w:val="002A0ABA"/>
    <w:rsid w:val="002A1527"/>
    <w:rsid w:val="002A2034"/>
    <w:rsid w:val="002A24F4"/>
    <w:rsid w:val="002A38BF"/>
    <w:rsid w:val="002A4319"/>
    <w:rsid w:val="002A5409"/>
    <w:rsid w:val="002A56AE"/>
    <w:rsid w:val="002A5933"/>
    <w:rsid w:val="002A597E"/>
    <w:rsid w:val="002B0A7C"/>
    <w:rsid w:val="002B113A"/>
    <w:rsid w:val="002B18B5"/>
    <w:rsid w:val="002B19E0"/>
    <w:rsid w:val="002B1A1F"/>
    <w:rsid w:val="002B1C3E"/>
    <w:rsid w:val="002B2879"/>
    <w:rsid w:val="002B3AF1"/>
    <w:rsid w:val="002B576E"/>
    <w:rsid w:val="002B5A2F"/>
    <w:rsid w:val="002B5DBD"/>
    <w:rsid w:val="002C07C4"/>
    <w:rsid w:val="002C1B76"/>
    <w:rsid w:val="002C2ED7"/>
    <w:rsid w:val="002C3189"/>
    <w:rsid w:val="002C5BD5"/>
    <w:rsid w:val="002C72D2"/>
    <w:rsid w:val="002D08E3"/>
    <w:rsid w:val="002D30CB"/>
    <w:rsid w:val="002D310D"/>
    <w:rsid w:val="002D3D96"/>
    <w:rsid w:val="002D59F9"/>
    <w:rsid w:val="002D6159"/>
    <w:rsid w:val="002E23FD"/>
    <w:rsid w:val="002E2D7B"/>
    <w:rsid w:val="002E3B86"/>
    <w:rsid w:val="002E5E6A"/>
    <w:rsid w:val="002F14AA"/>
    <w:rsid w:val="002F2198"/>
    <w:rsid w:val="002F37BE"/>
    <w:rsid w:val="002F3C96"/>
    <w:rsid w:val="002F4577"/>
    <w:rsid w:val="002F5503"/>
    <w:rsid w:val="002F5BD7"/>
    <w:rsid w:val="002F6424"/>
    <w:rsid w:val="002F67A3"/>
    <w:rsid w:val="002F7704"/>
    <w:rsid w:val="00300D0B"/>
    <w:rsid w:val="00301981"/>
    <w:rsid w:val="00303210"/>
    <w:rsid w:val="00304D88"/>
    <w:rsid w:val="003056A2"/>
    <w:rsid w:val="00306096"/>
    <w:rsid w:val="00307369"/>
    <w:rsid w:val="003107AB"/>
    <w:rsid w:val="003111C0"/>
    <w:rsid w:val="0031632F"/>
    <w:rsid w:val="0031645D"/>
    <w:rsid w:val="003179EC"/>
    <w:rsid w:val="00317A04"/>
    <w:rsid w:val="00317A10"/>
    <w:rsid w:val="00320A67"/>
    <w:rsid w:val="00321565"/>
    <w:rsid w:val="0032187D"/>
    <w:rsid w:val="00322039"/>
    <w:rsid w:val="00323CD2"/>
    <w:rsid w:val="00324E31"/>
    <w:rsid w:val="00325461"/>
    <w:rsid w:val="00325645"/>
    <w:rsid w:val="00326F6B"/>
    <w:rsid w:val="003272FB"/>
    <w:rsid w:val="003317CD"/>
    <w:rsid w:val="00335EE5"/>
    <w:rsid w:val="0033704D"/>
    <w:rsid w:val="00337BA5"/>
    <w:rsid w:val="0034179E"/>
    <w:rsid w:val="00341AC3"/>
    <w:rsid w:val="0034299B"/>
    <w:rsid w:val="003430A8"/>
    <w:rsid w:val="003442C8"/>
    <w:rsid w:val="003443B2"/>
    <w:rsid w:val="00345B43"/>
    <w:rsid w:val="00346B14"/>
    <w:rsid w:val="00352D61"/>
    <w:rsid w:val="003549DC"/>
    <w:rsid w:val="00360F1F"/>
    <w:rsid w:val="0036194F"/>
    <w:rsid w:val="00361B9C"/>
    <w:rsid w:val="003625BE"/>
    <w:rsid w:val="00365C45"/>
    <w:rsid w:val="00366665"/>
    <w:rsid w:val="00371031"/>
    <w:rsid w:val="0037342D"/>
    <w:rsid w:val="003736ED"/>
    <w:rsid w:val="00373F39"/>
    <w:rsid w:val="00374444"/>
    <w:rsid w:val="00374F7B"/>
    <w:rsid w:val="003755BC"/>
    <w:rsid w:val="003756A4"/>
    <w:rsid w:val="00376114"/>
    <w:rsid w:val="00376CEC"/>
    <w:rsid w:val="00380758"/>
    <w:rsid w:val="00382012"/>
    <w:rsid w:val="003827B4"/>
    <w:rsid w:val="00383C82"/>
    <w:rsid w:val="00386BBB"/>
    <w:rsid w:val="00386D84"/>
    <w:rsid w:val="0039245A"/>
    <w:rsid w:val="00393F7A"/>
    <w:rsid w:val="00394A1E"/>
    <w:rsid w:val="00395F5A"/>
    <w:rsid w:val="003A19E1"/>
    <w:rsid w:val="003A241D"/>
    <w:rsid w:val="003A43CE"/>
    <w:rsid w:val="003A60CC"/>
    <w:rsid w:val="003A61F9"/>
    <w:rsid w:val="003A73D3"/>
    <w:rsid w:val="003B1A03"/>
    <w:rsid w:val="003B1C4E"/>
    <w:rsid w:val="003B1E88"/>
    <w:rsid w:val="003B2317"/>
    <w:rsid w:val="003B5455"/>
    <w:rsid w:val="003B5FFE"/>
    <w:rsid w:val="003B63C0"/>
    <w:rsid w:val="003B6686"/>
    <w:rsid w:val="003C1C73"/>
    <w:rsid w:val="003C2632"/>
    <w:rsid w:val="003C2A8E"/>
    <w:rsid w:val="003C4C62"/>
    <w:rsid w:val="003C7873"/>
    <w:rsid w:val="003C78F7"/>
    <w:rsid w:val="003C79D5"/>
    <w:rsid w:val="003D0A89"/>
    <w:rsid w:val="003D11E5"/>
    <w:rsid w:val="003D153C"/>
    <w:rsid w:val="003D305F"/>
    <w:rsid w:val="003D4013"/>
    <w:rsid w:val="003D4806"/>
    <w:rsid w:val="003D5267"/>
    <w:rsid w:val="003E0BC5"/>
    <w:rsid w:val="003E16E1"/>
    <w:rsid w:val="003E20B4"/>
    <w:rsid w:val="003E2624"/>
    <w:rsid w:val="003E34C9"/>
    <w:rsid w:val="003E4B54"/>
    <w:rsid w:val="003E5686"/>
    <w:rsid w:val="003E6C30"/>
    <w:rsid w:val="003F0DF5"/>
    <w:rsid w:val="003F0EC7"/>
    <w:rsid w:val="003F3172"/>
    <w:rsid w:val="003F332C"/>
    <w:rsid w:val="003F3BA1"/>
    <w:rsid w:val="003F659A"/>
    <w:rsid w:val="003F6ADE"/>
    <w:rsid w:val="003F6CB2"/>
    <w:rsid w:val="0040028E"/>
    <w:rsid w:val="00400E16"/>
    <w:rsid w:val="004012CF"/>
    <w:rsid w:val="004012E1"/>
    <w:rsid w:val="00401F9A"/>
    <w:rsid w:val="004020B1"/>
    <w:rsid w:val="004028F5"/>
    <w:rsid w:val="00402FF3"/>
    <w:rsid w:val="00404627"/>
    <w:rsid w:val="00405192"/>
    <w:rsid w:val="00405EAB"/>
    <w:rsid w:val="00406265"/>
    <w:rsid w:val="004069EB"/>
    <w:rsid w:val="004072AA"/>
    <w:rsid w:val="004111DA"/>
    <w:rsid w:val="00413327"/>
    <w:rsid w:val="00413F1C"/>
    <w:rsid w:val="0041440A"/>
    <w:rsid w:val="00423213"/>
    <w:rsid w:val="0042416D"/>
    <w:rsid w:val="00431DF7"/>
    <w:rsid w:val="00433507"/>
    <w:rsid w:val="004336AE"/>
    <w:rsid w:val="00433F50"/>
    <w:rsid w:val="00437A0E"/>
    <w:rsid w:val="00437EBD"/>
    <w:rsid w:val="00441432"/>
    <w:rsid w:val="00441566"/>
    <w:rsid w:val="00443B76"/>
    <w:rsid w:val="00444EC5"/>
    <w:rsid w:val="0044504F"/>
    <w:rsid w:val="004460C0"/>
    <w:rsid w:val="004502F1"/>
    <w:rsid w:val="004516EB"/>
    <w:rsid w:val="00451AC8"/>
    <w:rsid w:val="004529B6"/>
    <w:rsid w:val="00453DBD"/>
    <w:rsid w:val="00454CE6"/>
    <w:rsid w:val="00457162"/>
    <w:rsid w:val="00457A9F"/>
    <w:rsid w:val="0046133D"/>
    <w:rsid w:val="0046218B"/>
    <w:rsid w:val="00462881"/>
    <w:rsid w:val="00462B0D"/>
    <w:rsid w:val="00464534"/>
    <w:rsid w:val="0046475C"/>
    <w:rsid w:val="00464805"/>
    <w:rsid w:val="00466B1C"/>
    <w:rsid w:val="004702BF"/>
    <w:rsid w:val="0047088E"/>
    <w:rsid w:val="00470F88"/>
    <w:rsid w:val="00472649"/>
    <w:rsid w:val="004726B1"/>
    <w:rsid w:val="004738C8"/>
    <w:rsid w:val="0047555B"/>
    <w:rsid w:val="00475F48"/>
    <w:rsid w:val="00476C7B"/>
    <w:rsid w:val="0047718A"/>
    <w:rsid w:val="00477430"/>
    <w:rsid w:val="00477CC2"/>
    <w:rsid w:val="00480074"/>
    <w:rsid w:val="00480C13"/>
    <w:rsid w:val="00481325"/>
    <w:rsid w:val="0048180A"/>
    <w:rsid w:val="00481C7A"/>
    <w:rsid w:val="0048339F"/>
    <w:rsid w:val="004836B3"/>
    <w:rsid w:val="00484134"/>
    <w:rsid w:val="00485454"/>
    <w:rsid w:val="00485906"/>
    <w:rsid w:val="004863BE"/>
    <w:rsid w:val="00486CC8"/>
    <w:rsid w:val="004872B4"/>
    <w:rsid w:val="004906C8"/>
    <w:rsid w:val="0049459B"/>
    <w:rsid w:val="00494DE3"/>
    <w:rsid w:val="00495252"/>
    <w:rsid w:val="004964B5"/>
    <w:rsid w:val="0049675F"/>
    <w:rsid w:val="004967E2"/>
    <w:rsid w:val="0049785D"/>
    <w:rsid w:val="004A1436"/>
    <w:rsid w:val="004A19ED"/>
    <w:rsid w:val="004A290F"/>
    <w:rsid w:val="004A4D09"/>
    <w:rsid w:val="004A55D8"/>
    <w:rsid w:val="004A5FFD"/>
    <w:rsid w:val="004A6011"/>
    <w:rsid w:val="004A7195"/>
    <w:rsid w:val="004A7CE2"/>
    <w:rsid w:val="004B0309"/>
    <w:rsid w:val="004B376D"/>
    <w:rsid w:val="004B4A4A"/>
    <w:rsid w:val="004B5DEC"/>
    <w:rsid w:val="004B7F32"/>
    <w:rsid w:val="004C1B07"/>
    <w:rsid w:val="004C1DF1"/>
    <w:rsid w:val="004C4E77"/>
    <w:rsid w:val="004C74FD"/>
    <w:rsid w:val="004C7E3D"/>
    <w:rsid w:val="004D08EB"/>
    <w:rsid w:val="004D6029"/>
    <w:rsid w:val="004D6663"/>
    <w:rsid w:val="004E0166"/>
    <w:rsid w:val="004E0679"/>
    <w:rsid w:val="004E0B32"/>
    <w:rsid w:val="004E1161"/>
    <w:rsid w:val="004E1AC5"/>
    <w:rsid w:val="004E1B1C"/>
    <w:rsid w:val="004E2371"/>
    <w:rsid w:val="004E329E"/>
    <w:rsid w:val="004E35D0"/>
    <w:rsid w:val="004E4020"/>
    <w:rsid w:val="004E6BE9"/>
    <w:rsid w:val="004E79A4"/>
    <w:rsid w:val="004F0CEB"/>
    <w:rsid w:val="004F26CF"/>
    <w:rsid w:val="004F3E8F"/>
    <w:rsid w:val="004F4792"/>
    <w:rsid w:val="004F4DF1"/>
    <w:rsid w:val="004F74F7"/>
    <w:rsid w:val="005008D0"/>
    <w:rsid w:val="00502595"/>
    <w:rsid w:val="00502F50"/>
    <w:rsid w:val="00503655"/>
    <w:rsid w:val="0050434E"/>
    <w:rsid w:val="00504911"/>
    <w:rsid w:val="00505759"/>
    <w:rsid w:val="00505784"/>
    <w:rsid w:val="0050578D"/>
    <w:rsid w:val="0051107C"/>
    <w:rsid w:val="00512786"/>
    <w:rsid w:val="00514187"/>
    <w:rsid w:val="00515090"/>
    <w:rsid w:val="00517F23"/>
    <w:rsid w:val="00521A89"/>
    <w:rsid w:val="00521E57"/>
    <w:rsid w:val="00521FD6"/>
    <w:rsid w:val="00523ACD"/>
    <w:rsid w:val="00525E83"/>
    <w:rsid w:val="005268A3"/>
    <w:rsid w:val="00527A22"/>
    <w:rsid w:val="00527EBC"/>
    <w:rsid w:val="005305EA"/>
    <w:rsid w:val="00530E3E"/>
    <w:rsid w:val="005311BB"/>
    <w:rsid w:val="00533B78"/>
    <w:rsid w:val="00535C9F"/>
    <w:rsid w:val="00536723"/>
    <w:rsid w:val="005371E7"/>
    <w:rsid w:val="0054033D"/>
    <w:rsid w:val="00540538"/>
    <w:rsid w:val="00540C92"/>
    <w:rsid w:val="0054346B"/>
    <w:rsid w:val="00544016"/>
    <w:rsid w:val="005478DE"/>
    <w:rsid w:val="005520FE"/>
    <w:rsid w:val="0055211D"/>
    <w:rsid w:val="00552FA7"/>
    <w:rsid w:val="00553E92"/>
    <w:rsid w:val="00554927"/>
    <w:rsid w:val="005554CB"/>
    <w:rsid w:val="00556513"/>
    <w:rsid w:val="00560D4A"/>
    <w:rsid w:val="00562653"/>
    <w:rsid w:val="00563A40"/>
    <w:rsid w:val="0056468F"/>
    <w:rsid w:val="00566E4B"/>
    <w:rsid w:val="00567F9A"/>
    <w:rsid w:val="005705E2"/>
    <w:rsid w:val="005714B9"/>
    <w:rsid w:val="005733EB"/>
    <w:rsid w:val="00573F98"/>
    <w:rsid w:val="00575485"/>
    <w:rsid w:val="00577500"/>
    <w:rsid w:val="00580802"/>
    <w:rsid w:val="00581A22"/>
    <w:rsid w:val="005833A8"/>
    <w:rsid w:val="00584485"/>
    <w:rsid w:val="005863B4"/>
    <w:rsid w:val="0058661B"/>
    <w:rsid w:val="005875FF"/>
    <w:rsid w:val="00587E4A"/>
    <w:rsid w:val="00590A32"/>
    <w:rsid w:val="00591165"/>
    <w:rsid w:val="00593E91"/>
    <w:rsid w:val="00594C99"/>
    <w:rsid w:val="0059513F"/>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0435"/>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5AF3"/>
    <w:rsid w:val="005E63EA"/>
    <w:rsid w:val="005E6A46"/>
    <w:rsid w:val="005E7A49"/>
    <w:rsid w:val="005F048E"/>
    <w:rsid w:val="005F10E7"/>
    <w:rsid w:val="005F1408"/>
    <w:rsid w:val="005F1E0B"/>
    <w:rsid w:val="005F433B"/>
    <w:rsid w:val="005F4BA7"/>
    <w:rsid w:val="005F57F0"/>
    <w:rsid w:val="005F7424"/>
    <w:rsid w:val="005F7D10"/>
    <w:rsid w:val="00600A14"/>
    <w:rsid w:val="00600FB9"/>
    <w:rsid w:val="0060108E"/>
    <w:rsid w:val="006010C7"/>
    <w:rsid w:val="00602223"/>
    <w:rsid w:val="0060225F"/>
    <w:rsid w:val="0060242C"/>
    <w:rsid w:val="006041EC"/>
    <w:rsid w:val="00606FDA"/>
    <w:rsid w:val="0061042F"/>
    <w:rsid w:val="00612499"/>
    <w:rsid w:val="00612954"/>
    <w:rsid w:val="006168E4"/>
    <w:rsid w:val="00616943"/>
    <w:rsid w:val="006174FA"/>
    <w:rsid w:val="00620EEE"/>
    <w:rsid w:val="00621171"/>
    <w:rsid w:val="006214B9"/>
    <w:rsid w:val="00621940"/>
    <w:rsid w:val="00621BDA"/>
    <w:rsid w:val="006223C1"/>
    <w:rsid w:val="0062421A"/>
    <w:rsid w:val="00624FE9"/>
    <w:rsid w:val="00625866"/>
    <w:rsid w:val="00627269"/>
    <w:rsid w:val="006300D6"/>
    <w:rsid w:val="00630382"/>
    <w:rsid w:val="00630469"/>
    <w:rsid w:val="00630E5F"/>
    <w:rsid w:val="006321C8"/>
    <w:rsid w:val="0063265C"/>
    <w:rsid w:val="00633079"/>
    <w:rsid w:val="006332DC"/>
    <w:rsid w:val="00635020"/>
    <w:rsid w:val="00635846"/>
    <w:rsid w:val="006373D0"/>
    <w:rsid w:val="00637512"/>
    <w:rsid w:val="0063765F"/>
    <w:rsid w:val="0063773A"/>
    <w:rsid w:val="00640EE4"/>
    <w:rsid w:val="0064168D"/>
    <w:rsid w:val="00643161"/>
    <w:rsid w:val="00643DA3"/>
    <w:rsid w:val="006455CC"/>
    <w:rsid w:val="006466F5"/>
    <w:rsid w:val="006468D6"/>
    <w:rsid w:val="006478C6"/>
    <w:rsid w:val="006517BB"/>
    <w:rsid w:val="006522DA"/>
    <w:rsid w:val="006529A5"/>
    <w:rsid w:val="00652E67"/>
    <w:rsid w:val="0065450F"/>
    <w:rsid w:val="00655735"/>
    <w:rsid w:val="00656289"/>
    <w:rsid w:val="00660155"/>
    <w:rsid w:val="00661404"/>
    <w:rsid w:val="00661753"/>
    <w:rsid w:val="006623E3"/>
    <w:rsid w:val="006646AC"/>
    <w:rsid w:val="00664D5B"/>
    <w:rsid w:val="0066790A"/>
    <w:rsid w:val="00671D7C"/>
    <w:rsid w:val="00672112"/>
    <w:rsid w:val="006766EB"/>
    <w:rsid w:val="00676C2E"/>
    <w:rsid w:val="00681802"/>
    <w:rsid w:val="00681C48"/>
    <w:rsid w:val="00682225"/>
    <w:rsid w:val="006822F4"/>
    <w:rsid w:val="00682B6F"/>
    <w:rsid w:val="00683417"/>
    <w:rsid w:val="00684893"/>
    <w:rsid w:val="006848B7"/>
    <w:rsid w:val="00684CBE"/>
    <w:rsid w:val="00686FC2"/>
    <w:rsid w:val="0068792F"/>
    <w:rsid w:val="0069391E"/>
    <w:rsid w:val="00694735"/>
    <w:rsid w:val="00697281"/>
    <w:rsid w:val="00697492"/>
    <w:rsid w:val="006A2C7F"/>
    <w:rsid w:val="006A2EFE"/>
    <w:rsid w:val="006A3C38"/>
    <w:rsid w:val="006B0AA4"/>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C75E3"/>
    <w:rsid w:val="006D23FC"/>
    <w:rsid w:val="006D3CD7"/>
    <w:rsid w:val="006D5719"/>
    <w:rsid w:val="006D57FE"/>
    <w:rsid w:val="006D5803"/>
    <w:rsid w:val="006D5C09"/>
    <w:rsid w:val="006E01D1"/>
    <w:rsid w:val="006E2644"/>
    <w:rsid w:val="006E32D1"/>
    <w:rsid w:val="006E594D"/>
    <w:rsid w:val="006E5C99"/>
    <w:rsid w:val="006E7F05"/>
    <w:rsid w:val="006F1B61"/>
    <w:rsid w:val="006F1FC1"/>
    <w:rsid w:val="006F3F8C"/>
    <w:rsid w:val="006F4A27"/>
    <w:rsid w:val="006F53A9"/>
    <w:rsid w:val="006F5A35"/>
    <w:rsid w:val="006F6041"/>
    <w:rsid w:val="006F610D"/>
    <w:rsid w:val="006F6E0E"/>
    <w:rsid w:val="00701033"/>
    <w:rsid w:val="0070175B"/>
    <w:rsid w:val="007024E8"/>
    <w:rsid w:val="0070371E"/>
    <w:rsid w:val="00705BF0"/>
    <w:rsid w:val="00705F8F"/>
    <w:rsid w:val="007064F6"/>
    <w:rsid w:val="007078A3"/>
    <w:rsid w:val="007111B4"/>
    <w:rsid w:val="00711536"/>
    <w:rsid w:val="007129C0"/>
    <w:rsid w:val="00712AFE"/>
    <w:rsid w:val="00712D5D"/>
    <w:rsid w:val="00713390"/>
    <w:rsid w:val="007142B5"/>
    <w:rsid w:val="00716BFE"/>
    <w:rsid w:val="00716DEC"/>
    <w:rsid w:val="00716F27"/>
    <w:rsid w:val="00720774"/>
    <w:rsid w:val="00721D87"/>
    <w:rsid w:val="00723454"/>
    <w:rsid w:val="007234D1"/>
    <w:rsid w:val="0072378A"/>
    <w:rsid w:val="00731428"/>
    <w:rsid w:val="0073157A"/>
    <w:rsid w:val="007335F8"/>
    <w:rsid w:val="00734B6E"/>
    <w:rsid w:val="00735209"/>
    <w:rsid w:val="00737D40"/>
    <w:rsid w:val="0074023C"/>
    <w:rsid w:val="00743818"/>
    <w:rsid w:val="0074433F"/>
    <w:rsid w:val="00744E29"/>
    <w:rsid w:val="00744EEF"/>
    <w:rsid w:val="00746D2D"/>
    <w:rsid w:val="0074726D"/>
    <w:rsid w:val="00747D38"/>
    <w:rsid w:val="00750C96"/>
    <w:rsid w:val="00751095"/>
    <w:rsid w:val="007517D1"/>
    <w:rsid w:val="007518D4"/>
    <w:rsid w:val="007524CA"/>
    <w:rsid w:val="00753F8F"/>
    <w:rsid w:val="00754B2D"/>
    <w:rsid w:val="00754CAE"/>
    <w:rsid w:val="0075592D"/>
    <w:rsid w:val="00757559"/>
    <w:rsid w:val="00760493"/>
    <w:rsid w:val="00760CA0"/>
    <w:rsid w:val="007658D5"/>
    <w:rsid w:val="00770863"/>
    <w:rsid w:val="00772BA8"/>
    <w:rsid w:val="00774266"/>
    <w:rsid w:val="0078028A"/>
    <w:rsid w:val="007806CB"/>
    <w:rsid w:val="00780A54"/>
    <w:rsid w:val="007818E1"/>
    <w:rsid w:val="00781C64"/>
    <w:rsid w:val="00781EDB"/>
    <w:rsid w:val="007848FB"/>
    <w:rsid w:val="007851D5"/>
    <w:rsid w:val="00785698"/>
    <w:rsid w:val="0078693A"/>
    <w:rsid w:val="00787954"/>
    <w:rsid w:val="007900A4"/>
    <w:rsid w:val="007906E0"/>
    <w:rsid w:val="00794153"/>
    <w:rsid w:val="0079486A"/>
    <w:rsid w:val="00794D64"/>
    <w:rsid w:val="00794E74"/>
    <w:rsid w:val="00794F80"/>
    <w:rsid w:val="0079666D"/>
    <w:rsid w:val="0079788F"/>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38E"/>
    <w:rsid w:val="007C7FF1"/>
    <w:rsid w:val="007D0D01"/>
    <w:rsid w:val="007D15EF"/>
    <w:rsid w:val="007D1A27"/>
    <w:rsid w:val="007D1B24"/>
    <w:rsid w:val="007D1F15"/>
    <w:rsid w:val="007D25B1"/>
    <w:rsid w:val="007D2878"/>
    <w:rsid w:val="007D300A"/>
    <w:rsid w:val="007D4430"/>
    <w:rsid w:val="007D4DD9"/>
    <w:rsid w:val="007D581B"/>
    <w:rsid w:val="007D63A2"/>
    <w:rsid w:val="007D661B"/>
    <w:rsid w:val="007E1016"/>
    <w:rsid w:val="007E1DE4"/>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5AB8"/>
    <w:rsid w:val="007F67C9"/>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21792"/>
    <w:rsid w:val="00821C2C"/>
    <w:rsid w:val="008230AE"/>
    <w:rsid w:val="00824DCD"/>
    <w:rsid w:val="008253B0"/>
    <w:rsid w:val="0083069B"/>
    <w:rsid w:val="00831D3F"/>
    <w:rsid w:val="00832986"/>
    <w:rsid w:val="00833DB5"/>
    <w:rsid w:val="00835692"/>
    <w:rsid w:val="008419A8"/>
    <w:rsid w:val="00842697"/>
    <w:rsid w:val="008436A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3BF"/>
    <w:rsid w:val="00867B2F"/>
    <w:rsid w:val="00867FEE"/>
    <w:rsid w:val="00870084"/>
    <w:rsid w:val="008709D8"/>
    <w:rsid w:val="00870F44"/>
    <w:rsid w:val="00871F78"/>
    <w:rsid w:val="00874015"/>
    <w:rsid w:val="00875611"/>
    <w:rsid w:val="00876A75"/>
    <w:rsid w:val="0087786C"/>
    <w:rsid w:val="00877DCA"/>
    <w:rsid w:val="00883587"/>
    <w:rsid w:val="00884054"/>
    <w:rsid w:val="00886712"/>
    <w:rsid w:val="008868B6"/>
    <w:rsid w:val="00890A5B"/>
    <w:rsid w:val="00891715"/>
    <w:rsid w:val="00893C5F"/>
    <w:rsid w:val="00895089"/>
    <w:rsid w:val="008951ED"/>
    <w:rsid w:val="008966B3"/>
    <w:rsid w:val="00896BBD"/>
    <w:rsid w:val="00896DB2"/>
    <w:rsid w:val="00897D44"/>
    <w:rsid w:val="008A08B6"/>
    <w:rsid w:val="008A1129"/>
    <w:rsid w:val="008A322D"/>
    <w:rsid w:val="008A4437"/>
    <w:rsid w:val="008A75BE"/>
    <w:rsid w:val="008B00BD"/>
    <w:rsid w:val="008B14D0"/>
    <w:rsid w:val="008B18B5"/>
    <w:rsid w:val="008B5026"/>
    <w:rsid w:val="008B634F"/>
    <w:rsid w:val="008C2BCF"/>
    <w:rsid w:val="008C32A8"/>
    <w:rsid w:val="008C3857"/>
    <w:rsid w:val="008C55A3"/>
    <w:rsid w:val="008C5EC3"/>
    <w:rsid w:val="008D06E0"/>
    <w:rsid w:val="008D1DFF"/>
    <w:rsid w:val="008D29A7"/>
    <w:rsid w:val="008D2F5B"/>
    <w:rsid w:val="008D4DDD"/>
    <w:rsid w:val="008D5A7E"/>
    <w:rsid w:val="008D5AE2"/>
    <w:rsid w:val="008D6D20"/>
    <w:rsid w:val="008D7675"/>
    <w:rsid w:val="008E6024"/>
    <w:rsid w:val="008E6375"/>
    <w:rsid w:val="008E7DB4"/>
    <w:rsid w:val="008F10A6"/>
    <w:rsid w:val="008F16D2"/>
    <w:rsid w:val="008F3674"/>
    <w:rsid w:val="008F4944"/>
    <w:rsid w:val="008F4AB6"/>
    <w:rsid w:val="008F4C65"/>
    <w:rsid w:val="008F5B38"/>
    <w:rsid w:val="008F63B0"/>
    <w:rsid w:val="0090155A"/>
    <w:rsid w:val="0090162D"/>
    <w:rsid w:val="009020E0"/>
    <w:rsid w:val="0090233A"/>
    <w:rsid w:val="00903376"/>
    <w:rsid w:val="00903410"/>
    <w:rsid w:val="00905422"/>
    <w:rsid w:val="0090614B"/>
    <w:rsid w:val="00910B4E"/>
    <w:rsid w:val="009130C0"/>
    <w:rsid w:val="00913133"/>
    <w:rsid w:val="00913283"/>
    <w:rsid w:val="00915791"/>
    <w:rsid w:val="00916B04"/>
    <w:rsid w:val="00917744"/>
    <w:rsid w:val="00917869"/>
    <w:rsid w:val="00921094"/>
    <w:rsid w:val="0092113F"/>
    <w:rsid w:val="00921DB9"/>
    <w:rsid w:val="00921E3A"/>
    <w:rsid w:val="00922358"/>
    <w:rsid w:val="0092403D"/>
    <w:rsid w:val="0092563B"/>
    <w:rsid w:val="00927C53"/>
    <w:rsid w:val="00932888"/>
    <w:rsid w:val="009331C2"/>
    <w:rsid w:val="0093422A"/>
    <w:rsid w:val="00934B04"/>
    <w:rsid w:val="009361F0"/>
    <w:rsid w:val="009402DB"/>
    <w:rsid w:val="0094160B"/>
    <w:rsid w:val="00941FE3"/>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219"/>
    <w:rsid w:val="009634AB"/>
    <w:rsid w:val="00963D83"/>
    <w:rsid w:val="009642BE"/>
    <w:rsid w:val="00964573"/>
    <w:rsid w:val="00965139"/>
    <w:rsid w:val="00965FEE"/>
    <w:rsid w:val="0096643B"/>
    <w:rsid w:val="009679C0"/>
    <w:rsid w:val="0097038E"/>
    <w:rsid w:val="0097069C"/>
    <w:rsid w:val="009706B5"/>
    <w:rsid w:val="00970CE3"/>
    <w:rsid w:val="009718BF"/>
    <w:rsid w:val="00972BDF"/>
    <w:rsid w:val="00973028"/>
    <w:rsid w:val="0097390F"/>
    <w:rsid w:val="00977E05"/>
    <w:rsid w:val="0098057B"/>
    <w:rsid w:val="0098182D"/>
    <w:rsid w:val="00985AD2"/>
    <w:rsid w:val="00985C4C"/>
    <w:rsid w:val="0098704B"/>
    <w:rsid w:val="00993821"/>
    <w:rsid w:val="009940F6"/>
    <w:rsid w:val="00994280"/>
    <w:rsid w:val="0099575D"/>
    <w:rsid w:val="009970B5"/>
    <w:rsid w:val="009A0D0A"/>
    <w:rsid w:val="009A0FAE"/>
    <w:rsid w:val="009A110C"/>
    <w:rsid w:val="009A1915"/>
    <w:rsid w:val="009A2418"/>
    <w:rsid w:val="009A2DB0"/>
    <w:rsid w:val="009A38B7"/>
    <w:rsid w:val="009A41F6"/>
    <w:rsid w:val="009A517D"/>
    <w:rsid w:val="009A64BD"/>
    <w:rsid w:val="009A686F"/>
    <w:rsid w:val="009A6ACC"/>
    <w:rsid w:val="009B1636"/>
    <w:rsid w:val="009B33A8"/>
    <w:rsid w:val="009B3487"/>
    <w:rsid w:val="009B4429"/>
    <w:rsid w:val="009B4510"/>
    <w:rsid w:val="009B5F5A"/>
    <w:rsid w:val="009B7C61"/>
    <w:rsid w:val="009B7D7D"/>
    <w:rsid w:val="009C0DC9"/>
    <w:rsid w:val="009C2394"/>
    <w:rsid w:val="009C3793"/>
    <w:rsid w:val="009C451F"/>
    <w:rsid w:val="009C5075"/>
    <w:rsid w:val="009C5E96"/>
    <w:rsid w:val="009C726D"/>
    <w:rsid w:val="009D1B1E"/>
    <w:rsid w:val="009D3697"/>
    <w:rsid w:val="009D42F9"/>
    <w:rsid w:val="009D5F9E"/>
    <w:rsid w:val="009D735D"/>
    <w:rsid w:val="009E1411"/>
    <w:rsid w:val="009E32B5"/>
    <w:rsid w:val="009E5079"/>
    <w:rsid w:val="009E52F2"/>
    <w:rsid w:val="009E5717"/>
    <w:rsid w:val="009E6985"/>
    <w:rsid w:val="009F002C"/>
    <w:rsid w:val="009F01C0"/>
    <w:rsid w:val="009F1278"/>
    <w:rsid w:val="009F3C1F"/>
    <w:rsid w:val="009F5439"/>
    <w:rsid w:val="009F5DB2"/>
    <w:rsid w:val="009F614E"/>
    <w:rsid w:val="009F762B"/>
    <w:rsid w:val="00A0172D"/>
    <w:rsid w:val="00A02047"/>
    <w:rsid w:val="00A03338"/>
    <w:rsid w:val="00A036BE"/>
    <w:rsid w:val="00A03C4B"/>
    <w:rsid w:val="00A04C52"/>
    <w:rsid w:val="00A0717F"/>
    <w:rsid w:val="00A07627"/>
    <w:rsid w:val="00A11AE6"/>
    <w:rsid w:val="00A12205"/>
    <w:rsid w:val="00A21876"/>
    <w:rsid w:val="00A230E1"/>
    <w:rsid w:val="00A260B4"/>
    <w:rsid w:val="00A26100"/>
    <w:rsid w:val="00A279CF"/>
    <w:rsid w:val="00A30BC9"/>
    <w:rsid w:val="00A30C44"/>
    <w:rsid w:val="00A328AE"/>
    <w:rsid w:val="00A347D8"/>
    <w:rsid w:val="00A35865"/>
    <w:rsid w:val="00A36D20"/>
    <w:rsid w:val="00A4131E"/>
    <w:rsid w:val="00A41694"/>
    <w:rsid w:val="00A42326"/>
    <w:rsid w:val="00A43501"/>
    <w:rsid w:val="00A453DC"/>
    <w:rsid w:val="00A469C4"/>
    <w:rsid w:val="00A46BDA"/>
    <w:rsid w:val="00A475D9"/>
    <w:rsid w:val="00A50617"/>
    <w:rsid w:val="00A5333A"/>
    <w:rsid w:val="00A535E3"/>
    <w:rsid w:val="00A5450F"/>
    <w:rsid w:val="00A570A7"/>
    <w:rsid w:val="00A57E92"/>
    <w:rsid w:val="00A61900"/>
    <w:rsid w:val="00A625E2"/>
    <w:rsid w:val="00A62AA3"/>
    <w:rsid w:val="00A62B55"/>
    <w:rsid w:val="00A64C80"/>
    <w:rsid w:val="00A67EF9"/>
    <w:rsid w:val="00A708F1"/>
    <w:rsid w:val="00A715FE"/>
    <w:rsid w:val="00A72465"/>
    <w:rsid w:val="00A755B3"/>
    <w:rsid w:val="00A75CA6"/>
    <w:rsid w:val="00A76B72"/>
    <w:rsid w:val="00A80C92"/>
    <w:rsid w:val="00A81BCB"/>
    <w:rsid w:val="00A82461"/>
    <w:rsid w:val="00A82EF1"/>
    <w:rsid w:val="00A840FB"/>
    <w:rsid w:val="00A84571"/>
    <w:rsid w:val="00A84CDC"/>
    <w:rsid w:val="00A851D8"/>
    <w:rsid w:val="00A8580D"/>
    <w:rsid w:val="00A85816"/>
    <w:rsid w:val="00A85E37"/>
    <w:rsid w:val="00A860FD"/>
    <w:rsid w:val="00A86416"/>
    <w:rsid w:val="00A864D9"/>
    <w:rsid w:val="00A87555"/>
    <w:rsid w:val="00A90202"/>
    <w:rsid w:val="00A908EE"/>
    <w:rsid w:val="00A9099E"/>
    <w:rsid w:val="00A9277F"/>
    <w:rsid w:val="00A940B5"/>
    <w:rsid w:val="00A95083"/>
    <w:rsid w:val="00A953BA"/>
    <w:rsid w:val="00A95A9B"/>
    <w:rsid w:val="00A96C9F"/>
    <w:rsid w:val="00A96E60"/>
    <w:rsid w:val="00A97D27"/>
    <w:rsid w:val="00AA05C0"/>
    <w:rsid w:val="00AA12D0"/>
    <w:rsid w:val="00AA1687"/>
    <w:rsid w:val="00AA285C"/>
    <w:rsid w:val="00AA4325"/>
    <w:rsid w:val="00AA4BE1"/>
    <w:rsid w:val="00AA50AC"/>
    <w:rsid w:val="00AA5D62"/>
    <w:rsid w:val="00AB14BD"/>
    <w:rsid w:val="00AB1D6A"/>
    <w:rsid w:val="00AB3710"/>
    <w:rsid w:val="00AB4B0F"/>
    <w:rsid w:val="00AB4FA1"/>
    <w:rsid w:val="00AB57AD"/>
    <w:rsid w:val="00AB65D4"/>
    <w:rsid w:val="00AB6A6D"/>
    <w:rsid w:val="00AB6C3B"/>
    <w:rsid w:val="00AB747F"/>
    <w:rsid w:val="00AB76A1"/>
    <w:rsid w:val="00AC0516"/>
    <w:rsid w:val="00AC0D96"/>
    <w:rsid w:val="00AC2A55"/>
    <w:rsid w:val="00AC48E0"/>
    <w:rsid w:val="00AC6189"/>
    <w:rsid w:val="00AC7A73"/>
    <w:rsid w:val="00AC7C82"/>
    <w:rsid w:val="00AD1553"/>
    <w:rsid w:val="00AD25F0"/>
    <w:rsid w:val="00AD2EBD"/>
    <w:rsid w:val="00AD30EB"/>
    <w:rsid w:val="00AD3849"/>
    <w:rsid w:val="00AD461A"/>
    <w:rsid w:val="00AD6CC6"/>
    <w:rsid w:val="00AD6EAA"/>
    <w:rsid w:val="00AE008F"/>
    <w:rsid w:val="00AE04E8"/>
    <w:rsid w:val="00AE09FB"/>
    <w:rsid w:val="00AE0D01"/>
    <w:rsid w:val="00AE2056"/>
    <w:rsid w:val="00AE43EE"/>
    <w:rsid w:val="00AE69E3"/>
    <w:rsid w:val="00AE74E9"/>
    <w:rsid w:val="00AF16C8"/>
    <w:rsid w:val="00AF4AAA"/>
    <w:rsid w:val="00AF54EF"/>
    <w:rsid w:val="00AF74DA"/>
    <w:rsid w:val="00B00C72"/>
    <w:rsid w:val="00B00C80"/>
    <w:rsid w:val="00B01443"/>
    <w:rsid w:val="00B024D6"/>
    <w:rsid w:val="00B03C9B"/>
    <w:rsid w:val="00B03FB7"/>
    <w:rsid w:val="00B04CF0"/>
    <w:rsid w:val="00B06055"/>
    <w:rsid w:val="00B070A2"/>
    <w:rsid w:val="00B0761F"/>
    <w:rsid w:val="00B10E49"/>
    <w:rsid w:val="00B11E08"/>
    <w:rsid w:val="00B145FA"/>
    <w:rsid w:val="00B2037B"/>
    <w:rsid w:val="00B20C7F"/>
    <w:rsid w:val="00B226AF"/>
    <w:rsid w:val="00B23274"/>
    <w:rsid w:val="00B24D10"/>
    <w:rsid w:val="00B264D4"/>
    <w:rsid w:val="00B272A6"/>
    <w:rsid w:val="00B30856"/>
    <w:rsid w:val="00B32CD3"/>
    <w:rsid w:val="00B333EA"/>
    <w:rsid w:val="00B33F04"/>
    <w:rsid w:val="00B34CA9"/>
    <w:rsid w:val="00B35797"/>
    <w:rsid w:val="00B35A93"/>
    <w:rsid w:val="00B3672D"/>
    <w:rsid w:val="00B40656"/>
    <w:rsid w:val="00B40F8A"/>
    <w:rsid w:val="00B443AD"/>
    <w:rsid w:val="00B4502E"/>
    <w:rsid w:val="00B4745C"/>
    <w:rsid w:val="00B50AAA"/>
    <w:rsid w:val="00B51FC0"/>
    <w:rsid w:val="00B53B4F"/>
    <w:rsid w:val="00B544D9"/>
    <w:rsid w:val="00B5641B"/>
    <w:rsid w:val="00B564E0"/>
    <w:rsid w:val="00B57F47"/>
    <w:rsid w:val="00B61063"/>
    <w:rsid w:val="00B63AA2"/>
    <w:rsid w:val="00B658D4"/>
    <w:rsid w:val="00B6662B"/>
    <w:rsid w:val="00B67823"/>
    <w:rsid w:val="00B67D2A"/>
    <w:rsid w:val="00B70133"/>
    <w:rsid w:val="00B70741"/>
    <w:rsid w:val="00B7481A"/>
    <w:rsid w:val="00B75A2C"/>
    <w:rsid w:val="00B77A82"/>
    <w:rsid w:val="00B813AC"/>
    <w:rsid w:val="00B8287F"/>
    <w:rsid w:val="00B83146"/>
    <w:rsid w:val="00B8376C"/>
    <w:rsid w:val="00B84260"/>
    <w:rsid w:val="00B84884"/>
    <w:rsid w:val="00B86811"/>
    <w:rsid w:val="00B86CC9"/>
    <w:rsid w:val="00B8738D"/>
    <w:rsid w:val="00B91F0B"/>
    <w:rsid w:val="00B9223B"/>
    <w:rsid w:val="00B92D47"/>
    <w:rsid w:val="00B961A5"/>
    <w:rsid w:val="00B97C8F"/>
    <w:rsid w:val="00BA0E4C"/>
    <w:rsid w:val="00BA18D5"/>
    <w:rsid w:val="00BA1FC4"/>
    <w:rsid w:val="00BA202D"/>
    <w:rsid w:val="00BA31F5"/>
    <w:rsid w:val="00BA49CC"/>
    <w:rsid w:val="00BA4D1F"/>
    <w:rsid w:val="00BA7AD1"/>
    <w:rsid w:val="00BB0B9D"/>
    <w:rsid w:val="00BB1CC2"/>
    <w:rsid w:val="00BB2250"/>
    <w:rsid w:val="00BB2E89"/>
    <w:rsid w:val="00BB4F63"/>
    <w:rsid w:val="00BB63AB"/>
    <w:rsid w:val="00BB744D"/>
    <w:rsid w:val="00BB7708"/>
    <w:rsid w:val="00BC0FDD"/>
    <w:rsid w:val="00BC22E0"/>
    <w:rsid w:val="00BC31FC"/>
    <w:rsid w:val="00BC4AA7"/>
    <w:rsid w:val="00BC4CC5"/>
    <w:rsid w:val="00BC5558"/>
    <w:rsid w:val="00BC5852"/>
    <w:rsid w:val="00BD293B"/>
    <w:rsid w:val="00BD2C39"/>
    <w:rsid w:val="00BD30CA"/>
    <w:rsid w:val="00BD32AF"/>
    <w:rsid w:val="00BD5425"/>
    <w:rsid w:val="00BD6AA7"/>
    <w:rsid w:val="00BD6F2F"/>
    <w:rsid w:val="00BD705F"/>
    <w:rsid w:val="00BE28ED"/>
    <w:rsid w:val="00BE4503"/>
    <w:rsid w:val="00BE4A6B"/>
    <w:rsid w:val="00BE5596"/>
    <w:rsid w:val="00BE55D6"/>
    <w:rsid w:val="00BE61B8"/>
    <w:rsid w:val="00BE6F45"/>
    <w:rsid w:val="00BF030A"/>
    <w:rsid w:val="00BF2DD7"/>
    <w:rsid w:val="00BF2EA1"/>
    <w:rsid w:val="00BF41EE"/>
    <w:rsid w:val="00BF53C9"/>
    <w:rsid w:val="00BF543F"/>
    <w:rsid w:val="00BF6902"/>
    <w:rsid w:val="00BF7421"/>
    <w:rsid w:val="00C01E2A"/>
    <w:rsid w:val="00C065F7"/>
    <w:rsid w:val="00C06E2B"/>
    <w:rsid w:val="00C07650"/>
    <w:rsid w:val="00C104DD"/>
    <w:rsid w:val="00C1331F"/>
    <w:rsid w:val="00C1348A"/>
    <w:rsid w:val="00C15275"/>
    <w:rsid w:val="00C15E31"/>
    <w:rsid w:val="00C1625D"/>
    <w:rsid w:val="00C16479"/>
    <w:rsid w:val="00C2058D"/>
    <w:rsid w:val="00C230A7"/>
    <w:rsid w:val="00C24754"/>
    <w:rsid w:val="00C25084"/>
    <w:rsid w:val="00C250CB"/>
    <w:rsid w:val="00C261C7"/>
    <w:rsid w:val="00C2768B"/>
    <w:rsid w:val="00C316A8"/>
    <w:rsid w:val="00C337F9"/>
    <w:rsid w:val="00C3746F"/>
    <w:rsid w:val="00C3768A"/>
    <w:rsid w:val="00C37D9D"/>
    <w:rsid w:val="00C4139D"/>
    <w:rsid w:val="00C45C58"/>
    <w:rsid w:val="00C45DE7"/>
    <w:rsid w:val="00C5122B"/>
    <w:rsid w:val="00C51736"/>
    <w:rsid w:val="00C538D4"/>
    <w:rsid w:val="00C55C14"/>
    <w:rsid w:val="00C562FD"/>
    <w:rsid w:val="00C5658A"/>
    <w:rsid w:val="00C56C17"/>
    <w:rsid w:val="00C62189"/>
    <w:rsid w:val="00C65944"/>
    <w:rsid w:val="00C666B4"/>
    <w:rsid w:val="00C66829"/>
    <w:rsid w:val="00C6788A"/>
    <w:rsid w:val="00C70EEF"/>
    <w:rsid w:val="00C7113E"/>
    <w:rsid w:val="00C71A4B"/>
    <w:rsid w:val="00C71CD1"/>
    <w:rsid w:val="00C72345"/>
    <w:rsid w:val="00C72E54"/>
    <w:rsid w:val="00C73143"/>
    <w:rsid w:val="00C76C40"/>
    <w:rsid w:val="00C77685"/>
    <w:rsid w:val="00C77815"/>
    <w:rsid w:val="00C80ED6"/>
    <w:rsid w:val="00C82D1D"/>
    <w:rsid w:val="00C85259"/>
    <w:rsid w:val="00C85378"/>
    <w:rsid w:val="00C861F5"/>
    <w:rsid w:val="00C86808"/>
    <w:rsid w:val="00C87238"/>
    <w:rsid w:val="00C90157"/>
    <w:rsid w:val="00C90F97"/>
    <w:rsid w:val="00C9297C"/>
    <w:rsid w:val="00C96057"/>
    <w:rsid w:val="00C961E8"/>
    <w:rsid w:val="00C967A3"/>
    <w:rsid w:val="00C96BF0"/>
    <w:rsid w:val="00CA1C79"/>
    <w:rsid w:val="00CA30DB"/>
    <w:rsid w:val="00CA491B"/>
    <w:rsid w:val="00CA6D58"/>
    <w:rsid w:val="00CA6FDA"/>
    <w:rsid w:val="00CB3B6F"/>
    <w:rsid w:val="00CB3D57"/>
    <w:rsid w:val="00CB6F8B"/>
    <w:rsid w:val="00CB7F87"/>
    <w:rsid w:val="00CC0C5F"/>
    <w:rsid w:val="00CC1FE6"/>
    <w:rsid w:val="00CC24B0"/>
    <w:rsid w:val="00CC2788"/>
    <w:rsid w:val="00CC2F3D"/>
    <w:rsid w:val="00CC3AD5"/>
    <w:rsid w:val="00CC436A"/>
    <w:rsid w:val="00CC4B8A"/>
    <w:rsid w:val="00CC5FF3"/>
    <w:rsid w:val="00CD1E46"/>
    <w:rsid w:val="00CD7178"/>
    <w:rsid w:val="00CE2ADF"/>
    <w:rsid w:val="00CE33FC"/>
    <w:rsid w:val="00CE39B8"/>
    <w:rsid w:val="00CE4B84"/>
    <w:rsid w:val="00CE57D6"/>
    <w:rsid w:val="00CE5B00"/>
    <w:rsid w:val="00CE6A56"/>
    <w:rsid w:val="00CE74B0"/>
    <w:rsid w:val="00CE78B8"/>
    <w:rsid w:val="00CE7CF5"/>
    <w:rsid w:val="00CF00DE"/>
    <w:rsid w:val="00CF052D"/>
    <w:rsid w:val="00CF1D7D"/>
    <w:rsid w:val="00CF2623"/>
    <w:rsid w:val="00CF3998"/>
    <w:rsid w:val="00CF45D3"/>
    <w:rsid w:val="00CF4D04"/>
    <w:rsid w:val="00CF4E1C"/>
    <w:rsid w:val="00CF58A9"/>
    <w:rsid w:val="00CF6B6C"/>
    <w:rsid w:val="00CF7B6B"/>
    <w:rsid w:val="00D0001C"/>
    <w:rsid w:val="00D00804"/>
    <w:rsid w:val="00D00A04"/>
    <w:rsid w:val="00D00C20"/>
    <w:rsid w:val="00D01094"/>
    <w:rsid w:val="00D01EA5"/>
    <w:rsid w:val="00D02978"/>
    <w:rsid w:val="00D03A57"/>
    <w:rsid w:val="00D042BB"/>
    <w:rsid w:val="00D050B4"/>
    <w:rsid w:val="00D06321"/>
    <w:rsid w:val="00D0676A"/>
    <w:rsid w:val="00D06CA0"/>
    <w:rsid w:val="00D07106"/>
    <w:rsid w:val="00D07E06"/>
    <w:rsid w:val="00D1014B"/>
    <w:rsid w:val="00D108E6"/>
    <w:rsid w:val="00D1312A"/>
    <w:rsid w:val="00D13159"/>
    <w:rsid w:val="00D13814"/>
    <w:rsid w:val="00D139EB"/>
    <w:rsid w:val="00D14BA9"/>
    <w:rsid w:val="00D1537D"/>
    <w:rsid w:val="00D16498"/>
    <w:rsid w:val="00D166FF"/>
    <w:rsid w:val="00D171EB"/>
    <w:rsid w:val="00D17789"/>
    <w:rsid w:val="00D21565"/>
    <w:rsid w:val="00D22B01"/>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16CC"/>
    <w:rsid w:val="00D52355"/>
    <w:rsid w:val="00D52AC7"/>
    <w:rsid w:val="00D53360"/>
    <w:rsid w:val="00D53A66"/>
    <w:rsid w:val="00D543E6"/>
    <w:rsid w:val="00D54514"/>
    <w:rsid w:val="00D54935"/>
    <w:rsid w:val="00D54CA9"/>
    <w:rsid w:val="00D562D3"/>
    <w:rsid w:val="00D563D9"/>
    <w:rsid w:val="00D566F2"/>
    <w:rsid w:val="00D6188C"/>
    <w:rsid w:val="00D61959"/>
    <w:rsid w:val="00D62F3F"/>
    <w:rsid w:val="00D6340F"/>
    <w:rsid w:val="00D6781D"/>
    <w:rsid w:val="00D67D98"/>
    <w:rsid w:val="00D709E8"/>
    <w:rsid w:val="00D72D16"/>
    <w:rsid w:val="00D73893"/>
    <w:rsid w:val="00D7412C"/>
    <w:rsid w:val="00D75521"/>
    <w:rsid w:val="00D75B88"/>
    <w:rsid w:val="00D767A9"/>
    <w:rsid w:val="00D8195B"/>
    <w:rsid w:val="00D8307E"/>
    <w:rsid w:val="00D83503"/>
    <w:rsid w:val="00D8428D"/>
    <w:rsid w:val="00D84724"/>
    <w:rsid w:val="00D8554E"/>
    <w:rsid w:val="00D8619F"/>
    <w:rsid w:val="00D86764"/>
    <w:rsid w:val="00D872D8"/>
    <w:rsid w:val="00D87982"/>
    <w:rsid w:val="00D87BCA"/>
    <w:rsid w:val="00D91F4E"/>
    <w:rsid w:val="00D93A67"/>
    <w:rsid w:val="00D93F28"/>
    <w:rsid w:val="00D942D8"/>
    <w:rsid w:val="00D945CB"/>
    <w:rsid w:val="00D96FC1"/>
    <w:rsid w:val="00D97AC9"/>
    <w:rsid w:val="00DA0601"/>
    <w:rsid w:val="00DA2E2B"/>
    <w:rsid w:val="00DA354D"/>
    <w:rsid w:val="00DA3DE4"/>
    <w:rsid w:val="00DA5CA1"/>
    <w:rsid w:val="00DA67AA"/>
    <w:rsid w:val="00DA69DE"/>
    <w:rsid w:val="00DB0E0F"/>
    <w:rsid w:val="00DB3BE8"/>
    <w:rsid w:val="00DB424F"/>
    <w:rsid w:val="00DB5C0A"/>
    <w:rsid w:val="00DB6DAF"/>
    <w:rsid w:val="00DC0AF1"/>
    <w:rsid w:val="00DC2393"/>
    <w:rsid w:val="00DC588B"/>
    <w:rsid w:val="00DC625A"/>
    <w:rsid w:val="00DC64BF"/>
    <w:rsid w:val="00DD0123"/>
    <w:rsid w:val="00DD13E2"/>
    <w:rsid w:val="00DD4938"/>
    <w:rsid w:val="00DD7977"/>
    <w:rsid w:val="00DE1FC5"/>
    <w:rsid w:val="00DE34FF"/>
    <w:rsid w:val="00DE35D7"/>
    <w:rsid w:val="00DE4454"/>
    <w:rsid w:val="00DE44AB"/>
    <w:rsid w:val="00DE716E"/>
    <w:rsid w:val="00DF003C"/>
    <w:rsid w:val="00DF00D4"/>
    <w:rsid w:val="00DF181A"/>
    <w:rsid w:val="00DF4501"/>
    <w:rsid w:val="00DF4928"/>
    <w:rsid w:val="00DF7233"/>
    <w:rsid w:val="00DF73DC"/>
    <w:rsid w:val="00DF75B7"/>
    <w:rsid w:val="00DF78AE"/>
    <w:rsid w:val="00E0171F"/>
    <w:rsid w:val="00E02AC4"/>
    <w:rsid w:val="00E033F2"/>
    <w:rsid w:val="00E0462A"/>
    <w:rsid w:val="00E05600"/>
    <w:rsid w:val="00E05BB8"/>
    <w:rsid w:val="00E075D4"/>
    <w:rsid w:val="00E07AAA"/>
    <w:rsid w:val="00E07CC2"/>
    <w:rsid w:val="00E115FB"/>
    <w:rsid w:val="00E11E2E"/>
    <w:rsid w:val="00E125CA"/>
    <w:rsid w:val="00E138CC"/>
    <w:rsid w:val="00E14B17"/>
    <w:rsid w:val="00E14EAE"/>
    <w:rsid w:val="00E1568D"/>
    <w:rsid w:val="00E16394"/>
    <w:rsid w:val="00E176DD"/>
    <w:rsid w:val="00E17B2E"/>
    <w:rsid w:val="00E2158E"/>
    <w:rsid w:val="00E22571"/>
    <w:rsid w:val="00E25156"/>
    <w:rsid w:val="00E25242"/>
    <w:rsid w:val="00E253F6"/>
    <w:rsid w:val="00E25AAC"/>
    <w:rsid w:val="00E2730D"/>
    <w:rsid w:val="00E279B9"/>
    <w:rsid w:val="00E27B3C"/>
    <w:rsid w:val="00E30CA9"/>
    <w:rsid w:val="00E31807"/>
    <w:rsid w:val="00E33AAA"/>
    <w:rsid w:val="00E33C53"/>
    <w:rsid w:val="00E33CB8"/>
    <w:rsid w:val="00E33F0E"/>
    <w:rsid w:val="00E36B77"/>
    <w:rsid w:val="00E36C8F"/>
    <w:rsid w:val="00E371EC"/>
    <w:rsid w:val="00E37EB7"/>
    <w:rsid w:val="00E404C5"/>
    <w:rsid w:val="00E40A10"/>
    <w:rsid w:val="00E42206"/>
    <w:rsid w:val="00E42DA5"/>
    <w:rsid w:val="00E44B8D"/>
    <w:rsid w:val="00E47568"/>
    <w:rsid w:val="00E47C5F"/>
    <w:rsid w:val="00E51EF9"/>
    <w:rsid w:val="00E523B5"/>
    <w:rsid w:val="00E54816"/>
    <w:rsid w:val="00E5512E"/>
    <w:rsid w:val="00E55E60"/>
    <w:rsid w:val="00E56594"/>
    <w:rsid w:val="00E57466"/>
    <w:rsid w:val="00E578DF"/>
    <w:rsid w:val="00E57D18"/>
    <w:rsid w:val="00E605C2"/>
    <w:rsid w:val="00E6129C"/>
    <w:rsid w:val="00E61E5F"/>
    <w:rsid w:val="00E644A0"/>
    <w:rsid w:val="00E669E6"/>
    <w:rsid w:val="00E67395"/>
    <w:rsid w:val="00E72707"/>
    <w:rsid w:val="00E72AE3"/>
    <w:rsid w:val="00E7349C"/>
    <w:rsid w:val="00E73B51"/>
    <w:rsid w:val="00E75790"/>
    <w:rsid w:val="00E80180"/>
    <w:rsid w:val="00E8129E"/>
    <w:rsid w:val="00E81A2B"/>
    <w:rsid w:val="00E81E42"/>
    <w:rsid w:val="00E82A17"/>
    <w:rsid w:val="00E82C6A"/>
    <w:rsid w:val="00E83A01"/>
    <w:rsid w:val="00E83ECE"/>
    <w:rsid w:val="00E861BA"/>
    <w:rsid w:val="00E9156D"/>
    <w:rsid w:val="00E91EBF"/>
    <w:rsid w:val="00E957C8"/>
    <w:rsid w:val="00E9753A"/>
    <w:rsid w:val="00E97676"/>
    <w:rsid w:val="00EA1CE1"/>
    <w:rsid w:val="00EA1F89"/>
    <w:rsid w:val="00EA21CB"/>
    <w:rsid w:val="00EA2A04"/>
    <w:rsid w:val="00EB08A0"/>
    <w:rsid w:val="00EB117B"/>
    <w:rsid w:val="00EB40D6"/>
    <w:rsid w:val="00EB4105"/>
    <w:rsid w:val="00EB5CDD"/>
    <w:rsid w:val="00EB5F75"/>
    <w:rsid w:val="00EB6D22"/>
    <w:rsid w:val="00EB7852"/>
    <w:rsid w:val="00EB79CD"/>
    <w:rsid w:val="00EC060D"/>
    <w:rsid w:val="00EC1B22"/>
    <w:rsid w:val="00EC2525"/>
    <w:rsid w:val="00EC4F33"/>
    <w:rsid w:val="00EC7410"/>
    <w:rsid w:val="00EC77D8"/>
    <w:rsid w:val="00EC7E6C"/>
    <w:rsid w:val="00ED3C5C"/>
    <w:rsid w:val="00ED3DE9"/>
    <w:rsid w:val="00ED4B06"/>
    <w:rsid w:val="00EE05C1"/>
    <w:rsid w:val="00EE0713"/>
    <w:rsid w:val="00EE07A6"/>
    <w:rsid w:val="00EE0F2E"/>
    <w:rsid w:val="00EE257E"/>
    <w:rsid w:val="00EE2A41"/>
    <w:rsid w:val="00EE4E10"/>
    <w:rsid w:val="00EE525B"/>
    <w:rsid w:val="00EE633C"/>
    <w:rsid w:val="00EF02AF"/>
    <w:rsid w:val="00EF09FB"/>
    <w:rsid w:val="00EF0CFD"/>
    <w:rsid w:val="00EF0DE2"/>
    <w:rsid w:val="00EF128D"/>
    <w:rsid w:val="00EF3989"/>
    <w:rsid w:val="00EF4DFA"/>
    <w:rsid w:val="00EF5F08"/>
    <w:rsid w:val="00EF6598"/>
    <w:rsid w:val="00EF7736"/>
    <w:rsid w:val="00F02923"/>
    <w:rsid w:val="00F0351B"/>
    <w:rsid w:val="00F04089"/>
    <w:rsid w:val="00F0456E"/>
    <w:rsid w:val="00F0532D"/>
    <w:rsid w:val="00F059C0"/>
    <w:rsid w:val="00F06275"/>
    <w:rsid w:val="00F06472"/>
    <w:rsid w:val="00F1080A"/>
    <w:rsid w:val="00F123EC"/>
    <w:rsid w:val="00F14E6B"/>
    <w:rsid w:val="00F1508F"/>
    <w:rsid w:val="00F16331"/>
    <w:rsid w:val="00F16803"/>
    <w:rsid w:val="00F22566"/>
    <w:rsid w:val="00F22963"/>
    <w:rsid w:val="00F2380A"/>
    <w:rsid w:val="00F24A58"/>
    <w:rsid w:val="00F262C4"/>
    <w:rsid w:val="00F2667C"/>
    <w:rsid w:val="00F30AEF"/>
    <w:rsid w:val="00F31554"/>
    <w:rsid w:val="00F3229A"/>
    <w:rsid w:val="00F32406"/>
    <w:rsid w:val="00F378B2"/>
    <w:rsid w:val="00F403EA"/>
    <w:rsid w:val="00F40B51"/>
    <w:rsid w:val="00F40E4D"/>
    <w:rsid w:val="00F41C66"/>
    <w:rsid w:val="00F41DE4"/>
    <w:rsid w:val="00F41F3D"/>
    <w:rsid w:val="00F42499"/>
    <w:rsid w:val="00F42753"/>
    <w:rsid w:val="00F448AA"/>
    <w:rsid w:val="00F44DC5"/>
    <w:rsid w:val="00F44ECF"/>
    <w:rsid w:val="00F453CB"/>
    <w:rsid w:val="00F46CE7"/>
    <w:rsid w:val="00F471AE"/>
    <w:rsid w:val="00F510DB"/>
    <w:rsid w:val="00F5390F"/>
    <w:rsid w:val="00F548C1"/>
    <w:rsid w:val="00F578E5"/>
    <w:rsid w:val="00F604E0"/>
    <w:rsid w:val="00F6232F"/>
    <w:rsid w:val="00F63F11"/>
    <w:rsid w:val="00F647D9"/>
    <w:rsid w:val="00F648E3"/>
    <w:rsid w:val="00F6501E"/>
    <w:rsid w:val="00F70615"/>
    <w:rsid w:val="00F72722"/>
    <w:rsid w:val="00F727B0"/>
    <w:rsid w:val="00F75065"/>
    <w:rsid w:val="00F7598B"/>
    <w:rsid w:val="00F80180"/>
    <w:rsid w:val="00F81ABD"/>
    <w:rsid w:val="00F868D1"/>
    <w:rsid w:val="00F87ADD"/>
    <w:rsid w:val="00F87CD3"/>
    <w:rsid w:val="00F914FD"/>
    <w:rsid w:val="00F91637"/>
    <w:rsid w:val="00F9164E"/>
    <w:rsid w:val="00F91FEE"/>
    <w:rsid w:val="00F92490"/>
    <w:rsid w:val="00F92D2B"/>
    <w:rsid w:val="00F952BF"/>
    <w:rsid w:val="00F95515"/>
    <w:rsid w:val="00F9574E"/>
    <w:rsid w:val="00F95C57"/>
    <w:rsid w:val="00F96695"/>
    <w:rsid w:val="00F974AA"/>
    <w:rsid w:val="00F976D1"/>
    <w:rsid w:val="00FA1FF1"/>
    <w:rsid w:val="00FA2545"/>
    <w:rsid w:val="00FA3650"/>
    <w:rsid w:val="00FA7CFC"/>
    <w:rsid w:val="00FB00AF"/>
    <w:rsid w:val="00FB097C"/>
    <w:rsid w:val="00FB1D16"/>
    <w:rsid w:val="00FB21C2"/>
    <w:rsid w:val="00FB3846"/>
    <w:rsid w:val="00FB4AAD"/>
    <w:rsid w:val="00FB4AD8"/>
    <w:rsid w:val="00FB4E3D"/>
    <w:rsid w:val="00FB5A22"/>
    <w:rsid w:val="00FB5B57"/>
    <w:rsid w:val="00FB5F2A"/>
    <w:rsid w:val="00FB5FB6"/>
    <w:rsid w:val="00FB6061"/>
    <w:rsid w:val="00FB7602"/>
    <w:rsid w:val="00FC0398"/>
    <w:rsid w:val="00FC103E"/>
    <w:rsid w:val="00FC1407"/>
    <w:rsid w:val="00FC22E1"/>
    <w:rsid w:val="00FC2C04"/>
    <w:rsid w:val="00FC2C8C"/>
    <w:rsid w:val="00FC3549"/>
    <w:rsid w:val="00FC4F9B"/>
    <w:rsid w:val="00FC59F0"/>
    <w:rsid w:val="00FD2B77"/>
    <w:rsid w:val="00FD302E"/>
    <w:rsid w:val="00FD3863"/>
    <w:rsid w:val="00FD4474"/>
    <w:rsid w:val="00FD4599"/>
    <w:rsid w:val="00FD4784"/>
    <w:rsid w:val="00FD51C8"/>
    <w:rsid w:val="00FD5753"/>
    <w:rsid w:val="00FD65FE"/>
    <w:rsid w:val="00FD6B57"/>
    <w:rsid w:val="00FE0040"/>
    <w:rsid w:val="00FE00DA"/>
    <w:rsid w:val="00FE015B"/>
    <w:rsid w:val="00FE0CC3"/>
    <w:rsid w:val="00FE0FAF"/>
    <w:rsid w:val="00FE35B1"/>
    <w:rsid w:val="00FE3C36"/>
    <w:rsid w:val="00FE427F"/>
    <w:rsid w:val="00FE4DBB"/>
    <w:rsid w:val="00FE5CE5"/>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Mencinsinresolver3">
    <w:name w:val="Mención sin resolver3"/>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 w:type="character" w:styleId="nfasis">
    <w:name w:val="Emphasis"/>
    <w:basedOn w:val="Fuentedeprrafopredeter"/>
    <w:uiPriority w:val="20"/>
    <w:qFormat/>
    <w:rsid w:val="00F1080A"/>
    <w:rPr>
      <w:i/>
      <w:iCs/>
    </w:rPr>
  </w:style>
  <w:style w:type="character" w:customStyle="1" w:styleId="UnresolvedMention1">
    <w:name w:val="Unresolved Mention1"/>
    <w:basedOn w:val="Fuentedeprrafopredeter"/>
    <w:uiPriority w:val="99"/>
    <w:semiHidden/>
    <w:unhideWhenUsed/>
    <w:rsid w:val="00301981"/>
    <w:rPr>
      <w:color w:val="605E5C"/>
      <w:shd w:val="clear" w:color="auto" w:fill="E1DFDD"/>
    </w:rPr>
  </w:style>
  <w:style w:type="character" w:customStyle="1" w:styleId="UnresolvedMention">
    <w:name w:val="Unresolved Mention"/>
    <w:basedOn w:val="Fuentedeprrafopredeter"/>
    <w:uiPriority w:val="99"/>
    <w:semiHidden/>
    <w:unhideWhenUsed/>
    <w:rsid w:val="0050434E"/>
    <w:rPr>
      <w:color w:val="605E5C"/>
      <w:shd w:val="clear" w:color="auto" w:fill="E1DFDD"/>
    </w:rPr>
  </w:style>
  <w:style w:type="paragraph" w:customStyle="1" w:styleId="j">
    <w:name w:val="j"/>
    <w:basedOn w:val="Normal"/>
    <w:rsid w:val="00563A40"/>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47240">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34024954">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3374264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978659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19118409">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57676148">
      <w:bodyDiv w:val="1"/>
      <w:marLeft w:val="0"/>
      <w:marRight w:val="0"/>
      <w:marTop w:val="0"/>
      <w:marBottom w:val="0"/>
      <w:divBdr>
        <w:top w:val="none" w:sz="0" w:space="0" w:color="auto"/>
        <w:left w:val="none" w:sz="0" w:space="0" w:color="auto"/>
        <w:bottom w:val="none" w:sz="0" w:space="0" w:color="auto"/>
        <w:right w:val="none" w:sz="0" w:space="0" w:color="auto"/>
      </w:divBdr>
    </w:div>
    <w:div w:id="1466780501">
      <w:bodyDiv w:val="1"/>
      <w:marLeft w:val="0"/>
      <w:marRight w:val="0"/>
      <w:marTop w:val="0"/>
      <w:marBottom w:val="0"/>
      <w:divBdr>
        <w:top w:val="none" w:sz="0" w:space="0" w:color="auto"/>
        <w:left w:val="none" w:sz="0" w:space="0" w:color="auto"/>
        <w:bottom w:val="none" w:sz="0" w:space="0" w:color="auto"/>
        <w:right w:val="none" w:sz="0" w:space="0" w:color="auto"/>
      </w:divBdr>
    </w:div>
    <w:div w:id="1498810887">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5989839">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550474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oloyuquenses.mx/2022/05/18/escala-conflicto-por-limites-territoriales-entre-teoloyucan-y-tepotzotla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milenio.com/politica/comunidad/con-conflictos-territoriales-20-municipios-del-edome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CAqWkEB" TargetMode="External"/><Relationship Id="rId3" Type="http://schemas.openxmlformats.org/officeDocument/2006/relationships/hyperlink" Target="https://sjf.scjn.gob.mx/sjfsist/Paginas/DetalleGeneralV2.aspx?ID=1000830&amp;Clase=DetalleTesisBL&amp;Semanario=0" TargetMode="External"/><Relationship Id="rId7" Type="http://schemas.openxmlformats.org/officeDocument/2006/relationships/hyperlink" Target="http://dle.rae.es/?id=CAjNzMR"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dle.rae.es/?id=VGqyuLj|VGtxgAo|VGuc9Wg" TargetMode="External"/><Relationship Id="rId5" Type="http://schemas.openxmlformats.org/officeDocument/2006/relationships/hyperlink" Target="http://dej.rae.es/" TargetMode="External"/><Relationship Id="rId10" Type="http://schemas.openxmlformats.org/officeDocument/2006/relationships/hyperlink" Target="http://dle.rae.es/?id=KtpfgjV" TargetMode="External"/><Relationship Id="rId4" Type="http://schemas.openxmlformats.org/officeDocument/2006/relationships/hyperlink" Target="http://dej.rae.es/" TargetMode="External"/><Relationship Id="rId9" Type="http://schemas.openxmlformats.org/officeDocument/2006/relationships/hyperlink" Target="http://dle.rae.es/?id=KtnHLL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7FF08-73DA-458A-B050-9AB584B74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39</Pages>
  <Words>7476</Words>
  <Characters>41121</Characters>
  <Application>Microsoft Office Word</Application>
  <DocSecurity>0</DocSecurity>
  <Lines>342</Lines>
  <Paragraphs>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26</cp:revision>
  <cp:lastPrinted>2018-12-04T20:35:00Z</cp:lastPrinted>
  <dcterms:created xsi:type="dcterms:W3CDTF">2022-11-16T16:30:00Z</dcterms:created>
  <dcterms:modified xsi:type="dcterms:W3CDTF">2022-12-16T14:57:00Z</dcterms:modified>
</cp:coreProperties>
</file>