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de fecha ocho de junio del dos mil veintidós.</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03189/INFOEM/IP/RR/2022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que no proporcionó su nombre</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00103/ECATEPEC/IP/2022,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Ecatepec de Morelos,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5D22C6" w:rsidRDefault="005A60AC">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tres de febrero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5D22C6" w:rsidRDefault="005A60AC">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“RECIBOS DE NOMINA 1RA Y 2DA QUINCENA DE ENERO 2022, CURRICULUM Y NOMBRAMIENTO DEL TITULAR DE ARCHIVO” (Sic)</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quince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5D22C6" w:rsidRDefault="005A60AC">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D22C6" w:rsidRDefault="005A60AC">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H. Ayuntamiento Constitucional de Ecatepec de Morelos hace de su conocimiento la respuesta emitida por Dirección de Administración, la cual se anexa al presente en formato PDF.</w:t>
      </w:r>
    </w:p>
    <w:p w:rsidR="005D22C6" w:rsidRDefault="005A60AC">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5D22C6" w:rsidRDefault="005A60AC">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Brianda Eunice Iberri Estrada” (Sic)</w:t>
      </w:r>
    </w:p>
    <w:p w:rsidR="005D22C6" w:rsidRDefault="005D22C6">
      <w:pPr>
        <w:ind w:left="851" w:right="902"/>
        <w:jc w:val="both"/>
        <w:rPr>
          <w:rFonts w:ascii="Palatino Linotype" w:eastAsia="Palatino Linotype" w:hAnsi="Palatino Linotype" w:cs="Palatino Linotype"/>
          <w:i/>
          <w:color w:val="000000"/>
          <w:sz w:val="22"/>
          <w:szCs w:val="22"/>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el archivo electrónico denominado “</w:t>
      </w:r>
      <w:hyperlink r:id="rId8">
        <w:r>
          <w:rPr>
            <w:rFonts w:ascii="Palatino Linotype" w:eastAsia="Palatino Linotype" w:hAnsi="Palatino Linotype" w:cs="Palatino Linotype"/>
          </w:rPr>
          <w:t>103-A.pdf</w:t>
        </w:r>
      </w:hyperlink>
      <w:r>
        <w:rPr>
          <w:rFonts w:ascii="Palatino Linotype" w:eastAsia="Palatino Linotype" w:hAnsi="Palatino Linotype" w:cs="Palatino Linotype"/>
        </w:rPr>
        <w:t xml:space="preserve">”, el cual contiene la respuesta de la Directora de Administración del Ayuntamiento de Ecatepec de Morelos, en el sentido que actualmente por inicio de la administración se está generando la información correspondiente a la integración de expedientes, así como la generación de pagos y compensaciones de los servidores públicos que causarán alta en el periodo 2022-2024, concluyendo que cuando se cuente con la información será remitida a la brevedad. </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tres de marzo del dos mil veintidós, a través del cual expresó lo siguiente:</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5D22C6" w:rsidRDefault="005A60AC">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LA INFORMACION PUBICA SOLICITADA, COMO SERVIDORES PUBLICOS SON SUJETOS OBLIGADOS A DAR LO SOLICITADO” (Sic)</w:t>
      </w:r>
    </w:p>
    <w:p w:rsidR="005D22C6" w:rsidRDefault="005A60A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5D22C6" w:rsidRDefault="005A60AC">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SEA REMITIDA DICHA INFORMACION” (Sic)</w:t>
      </w:r>
    </w:p>
    <w:p w:rsidR="005D22C6" w:rsidRDefault="005A60A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03189/INFOEM/IP/RR/2022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ocho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5D22C6" w:rsidRDefault="005D22C6">
      <w:pPr>
        <w:spacing w:after="240" w:line="360" w:lineRule="auto"/>
        <w:jc w:val="both"/>
        <w:rPr>
          <w:rFonts w:ascii="Palatino Linotype" w:eastAsia="Palatino Linotype" w:hAnsi="Palatino Linotype" w:cs="Palatino Linotype"/>
          <w:b/>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integran el expediente en que se actúa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omisa en presentar alegatos o manifestación alguna.</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catorce de marzo del año dos mil veintidós, remitió el archivo electrónico siguiente:</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hyperlink r:id="rId9">
        <w:r>
          <w:rPr>
            <w:rFonts w:ascii="Palatino Linotype" w:eastAsia="Palatino Linotype" w:hAnsi="Palatino Linotype" w:cs="Palatino Linotype"/>
          </w:rPr>
          <w:t>RR.03189-2021.pdf</w:t>
        </w:r>
      </w:hyperlink>
      <w:r>
        <w:rPr>
          <w:rFonts w:ascii="Palatino Linotype" w:eastAsia="Palatino Linotype" w:hAnsi="Palatino Linotype" w:cs="Palatino Linotype"/>
        </w:rPr>
        <w:t xml:space="preserve">”, a través del cual la Directora de Administración del Ayuntamiento de Ecatepec de Morelos, informó que después de haber realizado una </w:t>
      </w:r>
      <w:r>
        <w:rPr>
          <w:rFonts w:ascii="Palatino Linotype" w:eastAsia="Palatino Linotype" w:hAnsi="Palatino Linotype" w:cs="Palatino Linotype"/>
        </w:rPr>
        <w:lastRenderedPageBreak/>
        <w:t xml:space="preserve">búsqueda minuciosa no se tiene registro del nombramiento del Titular de Archivo, por tal situación señaló que no es posible remitir las documentales que se solicitaron.   </w:t>
      </w:r>
    </w:p>
    <w:p w:rsidR="005D22C6" w:rsidRDefault="005A60AC">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dieciséis de mayo del año dos mil veintidós, con fundamento en el artículo 181, párrafo tercero de la Ley de Transparencia y Acceso a la Información Pública del Estado de México y Municipios, se acordó la ampliación del plazo para su resolución.</w:t>
      </w:r>
      <w:r>
        <w:rPr>
          <w:rFonts w:ascii="Palatino Linotype" w:eastAsia="Palatino Linotype" w:hAnsi="Palatino Linotype" w:cs="Palatino Linotype"/>
          <w:b/>
        </w:rPr>
        <w:t xml:space="preserve"> </w:t>
      </w:r>
    </w:p>
    <w:p w:rsidR="005D22C6" w:rsidRDefault="005A60AC">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veinte de mayo del dos mil veintidós la Comisionada ponente determinó el cierre de instrucción en términos de la fracción VI del artículo 185 de la Ley de Transparencia y Acceso a la Información Pública del Estado de México y Municipios. </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5D22C6" w:rsidRDefault="005A60AC">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5D22C6" w:rsidRDefault="005A60AC">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w:t>
      </w:r>
      <w:r>
        <w:rPr>
          <w:rFonts w:ascii="Palatino Linotype" w:eastAsia="Palatino Linotype" w:hAnsi="Palatino Linotype" w:cs="Palatino Linotype"/>
          <w:highlight w:val="white"/>
        </w:rPr>
        <w:lastRenderedPageBreak/>
        <w:t xml:space="preserve">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quince de febrero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tres de marzo del mismo año, esto es al décimo tercer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5D22C6" w:rsidRDefault="005A60A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Al mismo tiempo, tras la revisión del formato de interposición del recurso</w:t>
      </w:r>
      <w:r>
        <w:rPr>
          <w:rFonts w:ascii="Palatino Linotype" w:eastAsia="Palatino Linotype" w:hAnsi="Palatino Linotype" w:cs="Palatino Linotype"/>
        </w:rPr>
        <w:t xml:space="preserve">,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no proporcionó su nombre</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D22C6" w:rsidRDefault="005D22C6">
      <w:pPr>
        <w:ind w:left="567" w:right="474"/>
        <w:jc w:val="both"/>
        <w:rPr>
          <w:rFonts w:ascii="Palatino Linotype" w:eastAsia="Palatino Linotype" w:hAnsi="Palatino Linotype" w:cs="Palatino Linotype"/>
          <w:i/>
        </w:rPr>
      </w:pPr>
    </w:p>
    <w:p w:rsidR="005D22C6" w:rsidRDefault="005A60AC">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5D22C6" w:rsidRDefault="005D22C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D22C6" w:rsidRDefault="005A60AC">
      <w:pPr>
        <w:pBdr>
          <w:top w:val="nil"/>
          <w:left w:val="nil"/>
          <w:bottom w:val="nil"/>
          <w:right w:val="nil"/>
          <w:between w:val="nil"/>
        </w:pBdr>
        <w:spacing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5D22C6" w:rsidRDefault="005D22C6">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5D22C6" w:rsidRDefault="005A60AC">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en su acto impugnado como en sus motivos de inconformidad, de acuerdo al artículo 179 fracción I de la Ley de Transparencia y Acceso a la Información Pública del Estado de México y Municipios; que a la letra dice:</w:t>
      </w:r>
    </w:p>
    <w:p w:rsidR="005D22C6" w:rsidRDefault="005D22C6">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5D22C6" w:rsidRDefault="005A60AC">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 y procederá en contra de las siguientes causas:</w:t>
      </w:r>
    </w:p>
    <w:p w:rsidR="005D22C6" w:rsidRDefault="005D22C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5D22C6" w:rsidRDefault="005A60AC">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La negativa de la información solicitada…” (Sic)</w:t>
      </w:r>
    </w:p>
    <w:p w:rsidR="005D22C6" w:rsidRDefault="005D22C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5D22C6" w:rsidRDefault="005A60A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5D22C6" w:rsidRDefault="005A60AC">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advierte que el particular requirió al Ayuntamiento de Ecatepec de Morelos de su Titular de Archivo, lo siguiente:</w:t>
      </w:r>
    </w:p>
    <w:p w:rsidR="005D22C6" w:rsidRDefault="005A60AC">
      <w:pPr>
        <w:numPr>
          <w:ilvl w:val="0"/>
          <w:numId w:val="4"/>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RECIBOS DE NOMINA 1RA Y 2DA QUINCENA DE ENERO 2022, CURRICULUM Y NOMBRAMIENTO.</w:t>
      </w: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el sentido que actualmente por inicio de la administración se está generando la información correspondiente a la integración de expedientes, así como la generación de pagos y compensaciones de los servidores públicos que causarán alta en el periodo 2022-2024, concluyendo que cuando se cuente con la información será remitida a la brevedad. </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en lo medular por la negativa de la información solicitada. </w:t>
      </w:r>
    </w:p>
    <w:p w:rsidR="005D22C6" w:rsidRDefault="005A60A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el sentido que no es posible remitir la información solicitada en razón de una búsqueda minuciosa no se tiene registro del nombramiento del Titular de Archivo. </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w:t>
      </w:r>
      <w:r>
        <w:rPr>
          <w:rFonts w:ascii="Palatino Linotype" w:eastAsia="Palatino Linotype" w:hAnsi="Palatino Linotype" w:cs="Palatino Linotype"/>
        </w:rPr>
        <w:lastRenderedPageBreak/>
        <w:t>de la información en versión pública, en razón de las consideraciones de derecho que a continuación se exponen:</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5D22C6" w:rsidRDefault="005A60AC">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D22C6" w:rsidRDefault="005A60AC">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D22C6" w:rsidRDefault="005A60AC">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5D22C6" w:rsidRDefault="005D22C6">
      <w:pPr>
        <w:ind w:left="709" w:right="760"/>
        <w:jc w:val="both"/>
        <w:rPr>
          <w:rFonts w:ascii="Palatino Linotype" w:eastAsia="Palatino Linotype" w:hAnsi="Palatino Linotype" w:cs="Palatino Linotype"/>
          <w:i/>
          <w:sz w:val="22"/>
          <w:szCs w:val="22"/>
        </w:rPr>
      </w:pPr>
    </w:p>
    <w:p w:rsidR="005D22C6" w:rsidRDefault="005A60A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5D22C6" w:rsidRDefault="005A60AC">
      <w:pPr>
        <w:spacing w:before="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D22C6" w:rsidRDefault="005D22C6">
      <w:pPr>
        <w:ind w:left="567" w:right="758"/>
        <w:jc w:val="both"/>
        <w:rPr>
          <w:rFonts w:ascii="Palatino Linotype" w:eastAsia="Palatino Linotype" w:hAnsi="Palatino Linotype" w:cs="Palatino Linotype"/>
          <w:i/>
          <w:sz w:val="22"/>
          <w:szCs w:val="22"/>
        </w:rPr>
      </w:pPr>
    </w:p>
    <w:p w:rsidR="005D22C6" w:rsidRDefault="005A60AC">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5D22C6" w:rsidRDefault="005D22C6">
      <w:pPr>
        <w:spacing w:line="360" w:lineRule="auto"/>
        <w:ind w:right="-93"/>
        <w:jc w:val="both"/>
        <w:rPr>
          <w:rFonts w:ascii="Palatino Linotype" w:eastAsia="Palatino Linotype" w:hAnsi="Palatino Linotype" w:cs="Palatino Linotype"/>
          <w:color w:val="000000"/>
        </w:rPr>
      </w:pPr>
    </w:p>
    <w:p w:rsidR="005D22C6" w:rsidRDefault="005A60AC">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5D22C6" w:rsidRDefault="005A60AC">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5D22C6" w:rsidRDefault="005D22C6">
      <w:pPr>
        <w:ind w:left="851" w:right="850"/>
        <w:jc w:val="both"/>
        <w:rPr>
          <w:rFonts w:ascii="Palatino Linotype" w:eastAsia="Palatino Linotype" w:hAnsi="Palatino Linotype" w:cs="Palatino Linotype"/>
          <w:color w:val="000000"/>
        </w:rPr>
      </w:pPr>
    </w:p>
    <w:p w:rsidR="005D22C6" w:rsidRDefault="005A60A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Pr>
          <w:rFonts w:ascii="Palatino Linotype" w:eastAsia="Palatino Linotype" w:hAnsi="Palatino Linotype" w:cs="Palatino Linotype"/>
          <w:i/>
          <w:color w:val="000000"/>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D22C6" w:rsidRDefault="005A60A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5D22C6" w:rsidRDefault="005A60AC">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5D22C6" w:rsidRDefault="005A60AC">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5D22C6" w:rsidRDefault="005A60AC">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5D22C6" w:rsidRDefault="005D22C6">
      <w:pPr>
        <w:spacing w:line="360" w:lineRule="auto"/>
        <w:jc w:val="both"/>
        <w:rPr>
          <w:rFonts w:ascii="Palatino Linotype" w:eastAsia="Palatino Linotype" w:hAnsi="Palatino Linotype" w:cs="Palatino Linotype"/>
          <w:color w:val="000000"/>
        </w:rPr>
      </w:pPr>
    </w:p>
    <w:p w:rsidR="005D22C6" w:rsidRDefault="005A60A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D22C6" w:rsidRDefault="005D22C6">
      <w:pPr>
        <w:ind w:left="851" w:right="899"/>
        <w:jc w:val="both"/>
        <w:rPr>
          <w:rFonts w:ascii="Palatino Linotype" w:eastAsia="Palatino Linotype" w:hAnsi="Palatino Linotype" w:cs="Palatino Linotype"/>
          <w:i/>
          <w:sz w:val="22"/>
          <w:szCs w:val="22"/>
        </w:rPr>
      </w:pP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5D22C6" w:rsidRDefault="005D22C6">
      <w:pPr>
        <w:ind w:left="851" w:right="899"/>
        <w:jc w:val="both"/>
        <w:rPr>
          <w:rFonts w:ascii="Palatino Linotype" w:eastAsia="Palatino Linotype" w:hAnsi="Palatino Linotype" w:cs="Palatino Linotype"/>
          <w:sz w:val="22"/>
          <w:szCs w:val="22"/>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D22C6" w:rsidRDefault="005D22C6">
      <w:pPr>
        <w:ind w:left="851" w:right="899"/>
        <w:jc w:val="both"/>
        <w:rPr>
          <w:rFonts w:ascii="Palatino Linotype" w:eastAsia="Palatino Linotype" w:hAnsi="Palatino Linotype" w:cs="Palatino Linotype"/>
        </w:rPr>
      </w:pPr>
    </w:p>
    <w:p w:rsidR="005D22C6" w:rsidRDefault="005A60A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w:t>
      </w:r>
      <w:r>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5D22C6" w:rsidRDefault="005A60A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5D22C6" w:rsidRDefault="005A60A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5D22C6" w:rsidRDefault="005D22C6">
      <w:pPr>
        <w:spacing w:line="360" w:lineRule="auto"/>
        <w:ind w:right="-93"/>
        <w:jc w:val="both"/>
        <w:rPr>
          <w:rFonts w:ascii="Palatino Linotype" w:eastAsia="Palatino Linotype" w:hAnsi="Palatino Linotype" w:cs="Palatino Linotype"/>
          <w:color w:val="000000"/>
        </w:rPr>
      </w:pPr>
    </w:p>
    <w:p w:rsidR="005D22C6" w:rsidRDefault="005A60A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de la Ley de Transparencia y Acceso a la Información Pública del Estado de México y Municipios.</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advierte de la solicitud de información pública que el particular requirió información del Titular del Archivo, 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mediante informe justificado que después de una búsqueda minuciosa no se tiene registro del nombramiento del Titular del Archivo. </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este sentido se procedió a realizar de una revisión al Bando Municipal de Ecatepec de Morelos del año 2022, en específico en su artículo 43:</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43. Para el ejercicio de sus atribuciones, tanto el H. Ayuntamiento como el Presidente Municipal se auxiliarán de las siguientes dependencias que estarán subordinadas a este último: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 Secretaría del Ayuntamiento;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Tesorería Municipal;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Contraloría Interna Municipal;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Las Direcciones de: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Administración;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Bienestar;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Comunicación Social;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Desarrollo Económico;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Desarrollo Urbano y Obras Públicas;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 Diversidad y Atención a la Población LGBTTTIQ+;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 Educación y Cultura;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h. Gobierno;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Instituto Municipal de las Mujeres e Igualdad de Género;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j. Jurídica y Consultiva;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k. Medio Ambiente y Ecología;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 Movilidad y Transporte;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 Protección Civil y Bomberos;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 Servicios Públicos;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 Seguridad Pública y Tránsito; y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 Tecnologías de la Información y de la Comunicación.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Las Coordinaciones Municipales de: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Instituto de la Juventud;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Mercados, Tianguis y Vía Pública.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Unidades Administrativas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Secretaría Técnica de Gabinete;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Secretaría Particular;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Secretaría Técnica del Consejo Municipal de Seguridad Pública;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Coordinación de Registro, Control y Verificación de Áreas Normativas;</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Del Centro de Control, Comando, Comunicación y Cómputo (C4);</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f.Centros de Atención Ciudadana.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Defensoría Municipal de los Derechos Humanos.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Organismos Públicos Descentralizados: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Instituto Municipal de Cultura Física y Deporte de Ecatepec de Morelos, México (IMCUFIDEEM);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Para la Prestación de los Servicios de Agua Potable, Alcantarillado y Saneamiento de Ecatepec de Morelos; (S.A.P.A.S.E), y</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Sistema Municipal para el Desarrollo Integral de la Familia (D.I.F).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Presidente Municipal nombrará, entre los servidores públicos, a quien coordine las Oficialías del Registro Civil.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Los nombramientos respectivos serán expedidos por el Presidente Municipal, con las limitantes que en su caso establecen las leyes que crean los organismos públicos descentralizados. Cada uno de sus miembros deberá conducirse por el Código de Ética y Conducta de la Administración Pública Municipal de Ecatepec de Morelos. Ningún integrante del H. Ayuntamiento o de la Administración Pública Municipal podrá percibir un salario superior al del Presidente Municipal, bajo ningún caso.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dependencias de la Administración Pública Municipal gozarán de las facultades y atribuciones que les confieren el presente Bando, el Reglamento Interno de la Administración Pública Municipal vigente y demás disposiciones legales aplicables.”(Sic)</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el Ayuntamiento en efecto no cuenta una dirección, coordinación y unidad administrativa con la denominación señalada por el particular; sin embargo, el área del Ayuntamiento de Ecatepec de Morelos encargada del archivo es la Secretaría del Ayuntamiento en términos de lo señalado por el artículo 45 del Bando Municipal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vigente en presente año, que establece:</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45. El titular de la Secretaría del H. Ayuntamiento deberá levantar las Actas de Cabildo respectivas, así como emitir los citatorios para la celebración de las sesiones de Cabildo. </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El Secretario del H. Ayuntamiento contará con las atribuciones que le otorga el Artículo 91 de la Ley Orgánica Municipal del Estado de México; tendrá a su cargo </w:t>
      </w:r>
      <w:r>
        <w:rPr>
          <w:rFonts w:ascii="Palatino Linotype" w:eastAsia="Palatino Linotype" w:hAnsi="Palatino Linotype" w:cs="Palatino Linotype"/>
          <w:i/>
          <w:sz w:val="22"/>
          <w:szCs w:val="22"/>
        </w:rPr>
        <w:t xml:space="preserve">la Oficialía de Partes Común del H. Ayuntamiento, </w:t>
      </w:r>
      <w:r>
        <w:rPr>
          <w:rFonts w:ascii="Palatino Linotype" w:eastAsia="Palatino Linotype" w:hAnsi="Palatino Linotype" w:cs="Palatino Linotype"/>
          <w:b/>
          <w:i/>
          <w:sz w:val="22"/>
          <w:szCs w:val="22"/>
          <w:u w:val="single"/>
        </w:rPr>
        <w:t>el Archivo General del H. Ayuntamient</w:t>
      </w:r>
      <w:r>
        <w:rPr>
          <w:rFonts w:ascii="Palatino Linotype" w:eastAsia="Palatino Linotype" w:hAnsi="Palatino Linotype" w:cs="Palatino Linotype"/>
          <w:i/>
          <w:sz w:val="22"/>
          <w:szCs w:val="22"/>
          <w:u w:val="single"/>
        </w:rPr>
        <w:t>o,</w:t>
      </w:r>
      <w:r>
        <w:rPr>
          <w:rFonts w:ascii="Palatino Linotype" w:eastAsia="Palatino Linotype" w:hAnsi="Palatino Linotype" w:cs="Palatino Linotype"/>
          <w:i/>
          <w:sz w:val="22"/>
          <w:szCs w:val="22"/>
        </w:rPr>
        <w:t xml:space="preserve"> el Sistema Municipal de Información y la Oficina Central de Diligencias; supervisará el ejercicio de las funciones de la Junta Municipal de Reclutamiento, la oficina que controla el sistema de información de datos y aspectos socio-económicos básicos del municipio y del Departamento de Patrimonio Municipal; atenderá los asuntos internacionales; estarán a su cargo y otorgará permisos para cualquier tipo de evento en plazas cívicas, centros cívicos, explanadas municipales y quioscos; expedirá permisos para eventos sociales en vía pública, constancias de vecindad, de no propiedad municipal, de identidad, última residencia o domiciliarias que soliciten las y los habitantes del municipio, las de personas jurídicas colectivas, instituciones públicas, de notorio arraigo tratándose de iglesias y asociaciones religiosas, de </w:t>
      </w:r>
      <w:r>
        <w:rPr>
          <w:rFonts w:ascii="Palatino Linotype" w:eastAsia="Palatino Linotype" w:hAnsi="Palatino Linotype" w:cs="Palatino Linotype"/>
          <w:i/>
          <w:sz w:val="22"/>
          <w:szCs w:val="22"/>
        </w:rPr>
        <w:lastRenderedPageBreak/>
        <w:t>actividad y demás que legalmente procedan; así como podrá iniciar, tramitar y resolver procedimientos administrativos en el ámbito de sus atribuciones; y las demás que le señalen expresamente el Presidente Municipal y/o el H. Ayuntamiento, las leyes, reglamentos y demás disposiciones jurídicas vigentes aplicables.</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señalado por el artículo 91 fracción VI de la Ley Orgánica Municipal del Estado de México, que señala:</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VI. Tener a su cargo el archivo general del ayuntamiento</w:t>
      </w:r>
      <w:r>
        <w:rPr>
          <w:rFonts w:ascii="Palatino Linotype" w:eastAsia="Palatino Linotype" w:hAnsi="Palatino Linotype" w:cs="Palatino Linotype"/>
          <w:i/>
          <w:sz w:val="22"/>
          <w:szCs w:val="22"/>
        </w:rPr>
        <w:t>;”(Sic)</w:t>
      </w:r>
    </w:p>
    <w:p w:rsidR="005D22C6" w:rsidRDefault="005D22C6">
      <w:pPr>
        <w:spacing w:line="360" w:lineRule="auto"/>
        <w:ind w:right="-93"/>
        <w:jc w:val="both"/>
      </w:pPr>
    </w:p>
    <w:p w:rsidR="005D22C6" w:rsidRDefault="005A60A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consiguiente, se determina en términos de lo señalado por los artículos 13</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rPr>
        <w:t>y 181, párrafo cuarto</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rPr>
        <w:t xml:space="preserve">de la Ley de Transparencia y Acceso a la Información Pública de la entidad, a favor del solicitante, que lo requerido por este son los recibos de nómina 1ra y 2da quincena de enero 2022, curriculum y nombramiento de la Secretaría de Ayuntamiento. </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Sobre los recibos de nómina, conviene a traer lo establecido por el artículo 804, fracción II, de la Ley Federal de Trabajo, el cual a la letra establece: </w:t>
      </w:r>
    </w:p>
    <w:p w:rsidR="005D22C6" w:rsidRDefault="005D22C6">
      <w:pPr>
        <w:ind w:left="851" w:right="851"/>
        <w:jc w:val="both"/>
        <w:rPr>
          <w:rFonts w:ascii="Palatino Linotype" w:eastAsia="Palatino Linotype" w:hAnsi="Palatino Linotype" w:cs="Palatino Linotype"/>
          <w:i/>
        </w:rPr>
      </w:pP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rsidR="005D22C6" w:rsidRDefault="005D22C6">
      <w:pPr>
        <w:ind w:left="851" w:right="851"/>
        <w:jc w:val="both"/>
        <w:rPr>
          <w:rFonts w:ascii="Palatino Linotype" w:eastAsia="Palatino Linotype" w:hAnsi="Palatino Linotype" w:cs="Palatino Linotype"/>
          <w:i/>
          <w:sz w:val="22"/>
          <w:szCs w:val="22"/>
        </w:rPr>
      </w:pP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rsidR="005D22C6" w:rsidRDefault="005D22C6">
      <w:pPr>
        <w:tabs>
          <w:tab w:val="right" w:pos="8505"/>
        </w:tabs>
        <w:spacing w:line="360" w:lineRule="auto"/>
        <w:jc w:val="both"/>
        <w:rPr>
          <w:rFonts w:ascii="Palatino Linotype" w:eastAsia="Palatino Linotype" w:hAnsi="Palatino Linotype" w:cs="Palatino Linotype"/>
        </w:rPr>
      </w:pPr>
    </w:p>
    <w:p w:rsidR="005D22C6" w:rsidRDefault="005A60A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5D22C6" w:rsidRDefault="005A60AC">
      <w:pPr>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ahí que, el artículo 50 de la Ley del Trabajo de los Servidores Públicos del Estado y Municipios, dispone literalmente lo siguiente:</w:t>
      </w:r>
    </w:p>
    <w:p w:rsidR="005D22C6" w:rsidRDefault="005D22C6">
      <w:pPr>
        <w:ind w:left="851" w:right="851"/>
        <w:jc w:val="both"/>
        <w:rPr>
          <w:rFonts w:ascii="Palatino Linotype" w:eastAsia="Palatino Linotype" w:hAnsi="Palatino Linotype" w:cs="Palatino Linotype"/>
          <w:i/>
          <w:sz w:val="22"/>
          <w:szCs w:val="22"/>
        </w:rPr>
      </w:pP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raya.”(Sic)</w:t>
      </w:r>
    </w:p>
    <w:p w:rsidR="005D22C6" w:rsidRDefault="005D22C6">
      <w:pPr>
        <w:spacing w:line="360" w:lineRule="auto"/>
        <w:ind w:right="49"/>
        <w:jc w:val="both"/>
        <w:rPr>
          <w:rFonts w:ascii="Palatino Linotype" w:eastAsia="Palatino Linotype" w:hAnsi="Palatino Linotype" w:cs="Palatino Linotype"/>
        </w:rPr>
      </w:pPr>
    </w:p>
    <w:p w:rsidR="005D22C6" w:rsidRDefault="005A60A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la relación laboral entre un servidor público y el Estado se formaliza mediante nombramiento, contrato o formato único de movimientos de personal.</w:t>
      </w:r>
    </w:p>
    <w:p w:rsidR="005D22C6" w:rsidRDefault="005A60A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5D22C6" w:rsidRDefault="005A60AC">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rsidR="005D22C6" w:rsidRDefault="005A60AC">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sea por depósito o mediante información electrónica;</w:t>
      </w:r>
    </w:p>
    <w:p w:rsidR="005D22C6" w:rsidRDefault="005A60AC">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5D22C6" w:rsidRDefault="005A60AC">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5D22C6" w:rsidRDefault="005D22C6">
      <w:pPr>
        <w:tabs>
          <w:tab w:val="left" w:pos="9072"/>
        </w:tabs>
        <w:ind w:left="851" w:right="851"/>
        <w:jc w:val="both"/>
        <w:rPr>
          <w:rFonts w:ascii="Palatino Linotype" w:eastAsia="Palatino Linotype" w:hAnsi="Palatino Linotype" w:cs="Palatino Linotype"/>
          <w:i/>
          <w:sz w:val="22"/>
          <w:szCs w:val="22"/>
        </w:rPr>
      </w:pPr>
    </w:p>
    <w:p w:rsidR="005D22C6" w:rsidRDefault="005A60AC">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5D22C6" w:rsidRDefault="005D22C6">
      <w:pPr>
        <w:spacing w:line="360" w:lineRule="auto"/>
        <w:ind w:right="51"/>
        <w:jc w:val="both"/>
        <w:rPr>
          <w:rFonts w:ascii="Palatino Linotype" w:eastAsia="Palatino Linotype" w:hAnsi="Palatino Linotype" w:cs="Palatino Linotype"/>
        </w:rPr>
      </w:pPr>
    </w:p>
    <w:p w:rsidR="005D22C6" w:rsidRDefault="005A60AC">
      <w:pPr>
        <w:tabs>
          <w:tab w:val="right" w:pos="8505"/>
        </w:tabs>
        <w:spacing w:after="240" w:line="360" w:lineRule="auto"/>
        <w:jc w:val="both"/>
        <w:rPr>
          <w:color w:val="000000"/>
        </w:rPr>
      </w:pPr>
      <w:r>
        <w:rPr>
          <w:rFonts w:ascii="Palatino Linotype" w:eastAsia="Palatino Linotype" w:hAnsi="Palatino Linotype" w:cs="Palatino Linotype"/>
        </w:rPr>
        <w:t xml:space="preserve">Una vez precisado lo que antecede, es necesario analizar la Ley de Fiscalización Superior del Estado de México, toda vez que señala </w:t>
      </w:r>
      <w:r>
        <w:rPr>
          <w:rFonts w:ascii="Palatino Linotype" w:eastAsia="Palatino Linotype" w:hAnsi="Palatino Linotype" w:cs="Palatino Linotype"/>
          <w:color w:val="000000"/>
        </w:rPr>
        <w:t xml:space="preserve">que los municipios que conforman el Estado de México, entre ellos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r>
        <w:t xml:space="preserve"> </w:t>
      </w:r>
      <w:r>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rsidR="005D22C6" w:rsidRDefault="005A60AC">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5D22C6" w:rsidRDefault="005A60AC">
      <w:pPr>
        <w:ind w:left="851" w:right="851"/>
        <w:jc w:val="both"/>
        <w:rPr>
          <w:i/>
          <w:sz w:val="22"/>
          <w:szCs w:val="22"/>
        </w:rPr>
      </w:pPr>
      <w:r>
        <w:rPr>
          <w:rFonts w:ascii="Palatino Linotype" w:eastAsia="Palatino Linotype" w:hAnsi="Palatino Linotype" w:cs="Palatino Linotype"/>
          <w:i/>
          <w:sz w:val="22"/>
          <w:szCs w:val="22"/>
        </w:rPr>
        <w:lastRenderedPageBreak/>
        <w:t>…</w:t>
      </w:r>
    </w:p>
    <w:p w:rsidR="005D22C6" w:rsidRDefault="005A60AC">
      <w:pPr>
        <w:numPr>
          <w:ilvl w:val="0"/>
          <w:numId w:val="2"/>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municipios del Estado de México…” (Sic)</w:t>
      </w:r>
    </w:p>
    <w:p w:rsidR="005D22C6" w:rsidRDefault="005D22C6">
      <w:pPr>
        <w:spacing w:before="240"/>
        <w:ind w:left="851" w:right="851"/>
        <w:jc w:val="both"/>
        <w:rPr>
          <w:b/>
          <w:color w:val="000000"/>
          <w:sz w:val="22"/>
          <w:szCs w:val="22"/>
        </w:rPr>
      </w:pPr>
    </w:p>
    <w:p w:rsidR="005D22C6" w:rsidRDefault="005A60AC">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los Lineamientos </w:t>
      </w:r>
      <w:r>
        <w:rPr>
          <w:rFonts w:ascii="Palatino Linotype" w:eastAsia="Palatino Linotype" w:hAnsi="Palatino Linotype" w:cs="Palatino Linotype"/>
        </w:rPr>
        <w:t>Integración del Informe Trimestral de los Sujetos de Fiscalización Municipales para el Ejercicio 2022</w:t>
      </w:r>
      <w:r>
        <w:rPr>
          <w:rFonts w:ascii="Palatino Linotype" w:eastAsia="Palatino Linotype" w:hAnsi="Palatino Linotype" w:cs="Palatino Linotype"/>
          <w:color w:val="000000"/>
        </w:rPr>
        <w:t>, como así se advierte a continuación:</w:t>
      </w:r>
    </w:p>
    <w:p w:rsidR="005D22C6" w:rsidRDefault="005D22C6">
      <w:pPr>
        <w:spacing w:line="360" w:lineRule="auto"/>
        <w:ind w:right="49"/>
        <w:jc w:val="both"/>
        <w:rPr>
          <w:rFonts w:ascii="Palatino Linotype" w:eastAsia="Palatino Linotype" w:hAnsi="Palatino Linotype" w:cs="Palatino Linotype"/>
          <w:color w:val="000000"/>
        </w:rPr>
      </w:pPr>
    </w:p>
    <w:p w:rsidR="005D22C6" w:rsidRDefault="005A60AC">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5D22C6" w:rsidRDefault="005D22C6">
      <w:pPr>
        <w:ind w:left="851" w:right="851"/>
        <w:jc w:val="both"/>
        <w:rPr>
          <w:rFonts w:ascii="Palatino Linotype" w:eastAsia="Palatino Linotype" w:hAnsi="Palatino Linotype" w:cs="Palatino Linotype"/>
          <w:b/>
          <w:i/>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5D22C6" w:rsidRDefault="005D22C6">
      <w:pPr>
        <w:spacing w:line="360" w:lineRule="auto"/>
        <w:jc w:val="both"/>
      </w:pPr>
    </w:p>
    <w:p w:rsidR="005D22C6" w:rsidRDefault="006D0411">
      <w:pPr>
        <w:spacing w:line="360" w:lineRule="auto"/>
        <w:jc w:val="both"/>
        <w:rPr>
          <w:rFonts w:ascii="Palatino Linotype" w:eastAsia="Palatino Linotype" w:hAnsi="Palatino Linotype" w:cs="Palatino Linotype"/>
        </w:rPr>
      </w:pPr>
      <w:r>
        <w:rPr>
          <w:noProof/>
          <w:lang w:val="en-US" w:eastAsia="en-US"/>
        </w:rPr>
        <mc:AlternateContent>
          <mc:Choice Requires="wps">
            <w:drawing>
              <wp:anchor distT="0" distB="0" distL="114300" distR="114300" simplePos="0" relativeHeight="251658240" behindDoc="0" locked="0" layoutInCell="1" hidden="0" allowOverlap="1" wp14:anchorId="52BC080A" wp14:editId="128D4ED0">
                <wp:simplePos x="0" y="0"/>
                <wp:positionH relativeFrom="column">
                  <wp:posOffset>4470400</wp:posOffset>
                </wp:positionH>
                <wp:positionV relativeFrom="paragraph">
                  <wp:posOffset>800100</wp:posOffset>
                </wp:positionV>
                <wp:extent cx="558800" cy="831849"/>
                <wp:effectExtent l="0" t="0" r="0" b="0"/>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5D22C6" w:rsidRDefault="005D22C6">
                            <w:pPr>
                              <w:textDirection w:val="btLr"/>
                            </w:pPr>
                          </w:p>
                        </w:txbxContent>
                      </wps:txbx>
                      <wps:bodyPr spcFirstLastPara="1" wrap="square" lIns="91425" tIns="91425" rIns="91425" bIns="91425" anchor="ctr" anchorCtr="0">
                        <a:noAutofit/>
                      </wps:bodyPr>
                    </wps:wsp>
                  </a:graphicData>
                </a:graphic>
              </wp:anchor>
            </w:drawing>
          </mc:Choice>
          <mc:Fallback>
            <w:pict>
              <v:shapetype w14:anchorId="52BC080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6" type="#_x0000_t93" style="position:absolute;left:0;text-align:left;margin-left:352pt;margin-top:63pt;width:44pt;height:65.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" adj="10800" fillcolor="#5b9bd5 [3204]" strokecolor="#42719b" strokeweight="1pt">
                <v:stroke startarrowwidth="narrow" startarrowlength="short" endarrowwidth="narrow" endarrowlength="short"/>
                <v:textbox inset="2.53958mm,2.53958mm,2.53958mm,2.53958mm">
                  <w:txbxContent>
                    <w:p w:rsidR="005D22C6" w:rsidRDefault="005D22C6">
                      <w:pPr>
                        <w:textDirection w:val="btLr"/>
                      </w:pPr>
                    </w:p>
                  </w:txbxContent>
                </v:textbox>
              </v:shape>
            </w:pict>
          </mc:Fallback>
        </mc:AlternateContent>
      </w:r>
      <w:r w:rsidR="005A60AC">
        <w:rPr>
          <w:noProof/>
          <w:lang w:val="en-US" w:eastAsia="en-US"/>
        </w:rPr>
        <w:drawing>
          <wp:inline distT="0" distB="0" distL="0" distR="0" wp14:anchorId="1A48BFE7" wp14:editId="73F6AEFF">
            <wp:extent cx="5431790" cy="2679590"/>
            <wp:effectExtent l="0" t="0" r="0" b="6985"/>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5982" t="17911" r="21361" b="2999"/>
                    <a:stretch>
                      <a:fillRect/>
                    </a:stretch>
                  </pic:blipFill>
                  <pic:spPr>
                    <a:xfrm>
                      <a:off x="0" y="0"/>
                      <a:ext cx="5455816" cy="2691442"/>
                    </a:xfrm>
                    <a:prstGeom prst="rect">
                      <a:avLst/>
                    </a:prstGeom>
                    <a:ln/>
                  </pic:spPr>
                </pic:pic>
              </a:graphicData>
            </a:graphic>
          </wp:inline>
        </w:drawing>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noProof/>
          <w:lang w:val="en-US" w:eastAsia="en-US"/>
        </w:rPr>
        <w:drawing>
          <wp:inline distT="0" distB="0" distL="0" distR="0">
            <wp:extent cx="5527688" cy="3462490"/>
            <wp:effectExtent l="0" t="0" r="0" b="0"/>
            <wp:docPr id="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2361" t="20325" r="3937" b="4206"/>
                    <a:stretch>
                      <a:fillRect/>
                    </a:stretch>
                  </pic:blipFill>
                  <pic:spPr>
                    <a:xfrm>
                      <a:off x="0" y="0"/>
                      <a:ext cx="5527688" cy="3462490"/>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column">
                  <wp:posOffset>3009900</wp:posOffset>
                </wp:positionH>
                <wp:positionV relativeFrom="paragraph">
                  <wp:posOffset>1320800</wp:posOffset>
                </wp:positionV>
                <wp:extent cx="717550" cy="800100"/>
                <wp:effectExtent l="0" t="0" r="0" b="0"/>
                <wp:wrapNone/>
                <wp:docPr id="136" name="Flecha izquierda 136"/>
                <wp:cNvGraphicFramePr/>
                <a:graphic xmlns:a="http://schemas.openxmlformats.org/drawingml/2006/main">
                  <a:graphicData uri="http://schemas.microsoft.com/office/word/2010/wordprocessingShape">
                    <wps:wsp>
                      <wps:cNvSpPr/>
                      <wps:spPr>
                        <a:xfrm>
                          <a:off x="4993575" y="3386300"/>
                          <a:ext cx="704850" cy="7874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5D22C6" w:rsidRDefault="005D22C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1320800</wp:posOffset>
                </wp:positionV>
                <wp:extent cx="717550" cy="800100"/>
                <wp:effectExtent b="0" l="0" r="0" t="0"/>
                <wp:wrapNone/>
                <wp:docPr id="136"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717550" cy="800100"/>
                        </a:xfrm>
                        <a:prstGeom prst="rect"/>
                        <a:ln/>
                      </pic:spPr>
                    </pic:pic>
                  </a:graphicData>
                </a:graphic>
              </wp:anchor>
            </w:drawing>
          </mc:Fallback>
        </mc:AlternateConten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noProof/>
          <w:lang w:val="en-US" w:eastAsia="en-US"/>
        </w:rPr>
        <w:drawing>
          <wp:inline distT="0" distB="0" distL="0" distR="0">
            <wp:extent cx="5441950" cy="3093057"/>
            <wp:effectExtent l="0" t="0" r="6350" b="0"/>
            <wp:docPr id="1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23987" t="26966" r="3145" b="13261"/>
                    <a:stretch>
                      <a:fillRect/>
                    </a:stretch>
                  </pic:blipFill>
                  <pic:spPr>
                    <a:xfrm>
                      <a:off x="0" y="0"/>
                      <a:ext cx="5446499" cy="3095643"/>
                    </a:xfrm>
                    <a:prstGeom prst="rect">
                      <a:avLst/>
                    </a:prstGeom>
                    <a:ln/>
                  </pic:spPr>
                </pic:pic>
              </a:graphicData>
            </a:graphic>
          </wp:inline>
        </w:drawing>
      </w:r>
    </w:p>
    <w:p w:rsidR="005D22C6" w:rsidRDefault="005D22C6">
      <w:pPr>
        <w:spacing w:line="360" w:lineRule="auto"/>
        <w:jc w:val="both"/>
      </w:pPr>
    </w:p>
    <w:p w:rsidR="005D22C6" w:rsidRDefault="005A60AC">
      <w:pPr>
        <w:spacing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353050" cy="3035300"/>
            <wp:effectExtent l="0" t="0" r="0" b="0"/>
            <wp:docPr id="1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l="22516" t="21936" r="4391" b="21512"/>
                    <a:stretch>
                      <a:fillRect/>
                    </a:stretch>
                  </pic:blipFill>
                  <pic:spPr>
                    <a:xfrm>
                      <a:off x="0" y="0"/>
                      <a:ext cx="5353050" cy="3035300"/>
                    </a:xfrm>
                    <a:prstGeom prst="rect">
                      <a:avLst/>
                    </a:prstGeom>
                    <a:ln/>
                  </pic:spPr>
                </pic:pic>
              </a:graphicData>
            </a:graphic>
          </wp:inline>
        </w:drawing>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noProof/>
          <w:lang w:val="en-US" w:eastAsia="en-US"/>
        </w:rPr>
        <w:drawing>
          <wp:inline distT="0" distB="0" distL="0" distR="0">
            <wp:extent cx="5492750" cy="3683000"/>
            <wp:effectExtent l="0" t="0" r="0" b="0"/>
            <wp:docPr id="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36206" t="14489" r="18081"/>
                    <a:stretch>
                      <a:fillRect/>
                    </a:stretch>
                  </pic:blipFill>
                  <pic:spPr>
                    <a:xfrm>
                      <a:off x="0" y="0"/>
                      <a:ext cx="5492750" cy="3683000"/>
                    </a:xfrm>
                    <a:prstGeom prst="rect">
                      <a:avLst/>
                    </a:prstGeom>
                    <a:ln/>
                  </pic:spPr>
                </pic:pic>
              </a:graphicData>
            </a:graphic>
          </wp:inline>
        </w:drawing>
      </w:r>
    </w:p>
    <w:p w:rsidR="005D22C6" w:rsidRDefault="005A60AC">
      <w:pPr>
        <w:spacing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435600" cy="4070350"/>
            <wp:effectExtent l="0" t="0" r="0" b="0"/>
            <wp:docPr id="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37792" t="16704" r="16949" b="2192"/>
                    <a:stretch>
                      <a:fillRect/>
                    </a:stretch>
                  </pic:blipFill>
                  <pic:spPr>
                    <a:xfrm>
                      <a:off x="0" y="0"/>
                      <a:ext cx="5435600" cy="4070350"/>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60288" behindDoc="0" locked="0" layoutInCell="1" hidden="0" allowOverlap="1">
                <wp:simplePos x="0" y="0"/>
                <wp:positionH relativeFrom="column">
                  <wp:posOffset>1219200</wp:posOffset>
                </wp:positionH>
                <wp:positionV relativeFrom="paragraph">
                  <wp:posOffset>3238500</wp:posOffset>
                </wp:positionV>
                <wp:extent cx="422398" cy="458024"/>
                <wp:effectExtent l="0" t="0" r="0" b="0"/>
                <wp:wrapNone/>
                <wp:docPr id="137" name="Flecha arriba 137"/>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5D22C6" w:rsidRDefault="005D22C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3238500</wp:posOffset>
                </wp:positionV>
                <wp:extent cx="422398" cy="458024"/>
                <wp:effectExtent b="0" l="0" r="0" t="0"/>
                <wp:wrapNone/>
                <wp:docPr id="137"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422398" cy="458024"/>
                        </a:xfrm>
                        <a:prstGeom prst="rect"/>
                        <a:ln/>
                      </pic:spPr>
                    </pic:pic>
                  </a:graphicData>
                </a:graphic>
              </wp:anchor>
            </w:drawing>
          </mc:Fallback>
        </mc:AlternateContent>
      </w:r>
    </w:p>
    <w:p w:rsidR="005D22C6" w:rsidRDefault="005A60AC">
      <w:pPr>
        <w:spacing w:line="360" w:lineRule="auto"/>
        <w:jc w:val="both"/>
        <w:rPr>
          <w:rFonts w:ascii="Palatino Linotype" w:eastAsia="Palatino Linotype" w:hAnsi="Palatino Linotype" w:cs="Palatino Linotype"/>
        </w:rPr>
      </w:pPr>
      <w:r>
        <w:rPr>
          <w:noProof/>
          <w:lang w:val="en-US" w:eastAsia="en-US"/>
        </w:rPr>
        <w:drawing>
          <wp:inline distT="0" distB="0" distL="0" distR="0">
            <wp:extent cx="5435600" cy="3073400"/>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43222" t="23949" r="22607" b="9438"/>
                    <a:stretch>
                      <a:fillRect/>
                    </a:stretch>
                  </pic:blipFill>
                  <pic:spPr>
                    <a:xfrm>
                      <a:off x="0" y="0"/>
                      <a:ext cx="5435600" cy="3073400"/>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61312" behindDoc="0" locked="0" layoutInCell="1" hidden="0" allowOverlap="1">
                <wp:simplePos x="0" y="0"/>
                <wp:positionH relativeFrom="column">
                  <wp:posOffset>1155700</wp:posOffset>
                </wp:positionH>
                <wp:positionV relativeFrom="paragraph">
                  <wp:posOffset>2133600</wp:posOffset>
                </wp:positionV>
                <wp:extent cx="422398" cy="458024"/>
                <wp:effectExtent l="0" t="0" r="0" b="0"/>
                <wp:wrapNone/>
                <wp:docPr id="135" name="Flecha arriba 135"/>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5D22C6" w:rsidRDefault="005D22C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1155700</wp:posOffset>
                </wp:positionH>
                <wp:positionV relativeFrom="paragraph">
                  <wp:posOffset>2133600</wp:posOffset>
                </wp:positionV>
                <wp:extent cx="422398" cy="458024"/>
                <wp:effectExtent b="0" l="0" r="0" t="0"/>
                <wp:wrapNone/>
                <wp:docPr id="135"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422398" cy="458024"/>
                        </a:xfrm>
                        <a:prstGeom prst="rect"/>
                        <a:ln/>
                      </pic:spPr>
                    </pic:pic>
                  </a:graphicData>
                </a:graphic>
              </wp:anchor>
            </w:drawing>
          </mc:Fallback>
        </mc:AlternateContent>
      </w: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relativa a los recibos de nómina solicitados; de manera mensual y remitirla al Órgano Superior de Fiscalización del Estado de México, para su respectiva revisión y fiscalización.</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los recibos de nómina, son el documento que contiene los salarios de todos los funcionarios de la administración pública del municipio de Ecatepec de Morelos, entre los que se destacan el salario del titular de la Secretaría del Ayuntamiento, y que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rsidR="005D22C6" w:rsidRDefault="005D22C6">
      <w:pPr>
        <w:spacing w:line="360" w:lineRule="auto"/>
        <w:ind w:right="51"/>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rsidR="005D22C6" w:rsidRDefault="005A60AC">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D22C6" w:rsidRDefault="005A60A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5D22C6" w:rsidRDefault="005A60AC">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5D22C6" w:rsidRDefault="005A60AC">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w:t>
      </w:r>
      <w:r>
        <w:rPr>
          <w:rFonts w:ascii="Palatino Linotype" w:eastAsia="Palatino Linotype" w:hAnsi="Palatino Linotype" w:cs="Palatino Linotype"/>
          <w:i/>
          <w:sz w:val="22"/>
          <w:szCs w:val="22"/>
        </w:rPr>
        <w:lastRenderedPageBreak/>
        <w:t xml:space="preserve">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rsidR="005D22C6" w:rsidRDefault="005D22C6">
      <w:pPr>
        <w:ind w:left="851" w:right="851"/>
        <w:jc w:val="both"/>
        <w:rPr>
          <w:rFonts w:ascii="Palatino Linotype" w:eastAsia="Palatino Linotype" w:hAnsi="Palatino Linotype" w:cs="Palatino Linotype"/>
          <w:i/>
          <w:sz w:val="22"/>
          <w:szCs w:val="22"/>
        </w:rPr>
      </w:pPr>
    </w:p>
    <w:p w:rsidR="005D22C6" w:rsidRDefault="005A60AC">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rsidR="005D22C6" w:rsidRDefault="005A60A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que respecta al nombramiento, es necesario puntualizar que en alusión a la Ley del Trabajo de los Servidores Públicos del Estado de México</w:t>
      </w:r>
      <w:r>
        <w:rPr>
          <w:rFonts w:ascii="Palatino Linotype" w:eastAsia="Palatino Linotype" w:hAnsi="Palatino Linotype" w:cs="Palatino Linotype"/>
          <w:i/>
        </w:rPr>
        <w:t xml:space="preserve">, </w:t>
      </w:r>
      <w:r>
        <w:rPr>
          <w:rFonts w:ascii="Palatino Linotype" w:eastAsia="Palatino Linotype" w:hAnsi="Palatino Linotype" w:cs="Palatino Linotype"/>
        </w:rPr>
        <w:t>que tiene por objeto regular las relaciones de trabajo comprendidas entre los poderes públicos del Estado y los Municipios, y sus respectivos servidores públicos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las que se entienden establecidas mediante nombramiento, formato único de movimiento de personal, contrato o por cualquier otro acto que tenga como consecuencia la prestación </w:t>
      </w:r>
      <w:r>
        <w:rPr>
          <w:rFonts w:ascii="Palatino Linotype" w:eastAsia="Palatino Linotype" w:hAnsi="Palatino Linotype" w:cs="Palatino Linotype"/>
        </w:rPr>
        <w:lastRenderedPageBreak/>
        <w:t>personal subordinada del servicio y la percepción de un sueldo, como así lo determina en su artículo 5 que señala:</w:t>
      </w:r>
    </w:p>
    <w:p w:rsidR="005D22C6" w:rsidRDefault="005D22C6">
      <w:pPr>
        <w:spacing w:line="360" w:lineRule="auto"/>
        <w:ind w:right="49"/>
        <w:jc w:val="both"/>
        <w:rPr>
          <w:rFonts w:ascii="Palatino Linotype" w:eastAsia="Palatino Linotype" w:hAnsi="Palatino Linotype" w:cs="Palatino Linotype"/>
        </w:rPr>
      </w:pPr>
    </w:p>
    <w:p w:rsidR="005D22C6" w:rsidRDefault="005A60AC">
      <w:pPr>
        <w:spacing w:after="120"/>
        <w:ind w:left="851" w:right="902"/>
        <w:jc w:val="both"/>
        <w:rPr>
          <w:rFonts w:ascii="Palatino Linotype" w:eastAsia="Palatino Linotype" w:hAnsi="Palatino Linotype" w:cs="Palatino Linotype"/>
          <w:i/>
          <w:u w:val="single"/>
        </w:rPr>
      </w:pPr>
      <w:r>
        <w:rPr>
          <w:rFonts w:ascii="Palatino Linotype" w:eastAsia="Palatino Linotype" w:hAnsi="Palatino Linotype" w:cs="Palatino Linotype"/>
          <w:i/>
        </w:rPr>
        <w:t xml:space="preserve">“ARTÍCULO 5.- La relación de trabajo entre las instituciones públicas y sus servidores públicos se entiende establecida </w:t>
      </w:r>
      <w:r>
        <w:rPr>
          <w:rFonts w:ascii="Palatino Linotype" w:eastAsia="Palatino Linotype" w:hAnsi="Palatino Linotype" w:cs="Palatino Linotype"/>
          <w:i/>
          <w:u w:val="single"/>
        </w:rPr>
        <w:t xml:space="preserve">mediante nombramiento, formato único de movimiento de personal, contrato o por cualquier otro acto que tenga como consecuencia la prestación personal subordinada del servicio y la percepción de un sueldo. </w:t>
      </w:r>
    </w:p>
    <w:p w:rsidR="005D22C6" w:rsidRDefault="005A60A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Para los efectos de esta ley, las instituciones públicas estarán representadas por sus titulares.” (Sic)</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el documento o documentos en donde conste el nombramiento del encargado del archivo del Ayuntamiento de Ecatepec de Morelos, vigente al tres de febrero del año dos mil veintidós y de ser procedente en versión pública de acuerdo a lo señalado por el considerando quinto del presente fallo.</w:t>
      </w: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sobre el curriculum, conviene señalar que el curriculum es el documento que las personas elaboran con los datos principalmente de preparación académica y experiencia profesional con la finalidad de presentarlo ante un posible empleador, por lo que, dicho documento permite identificar el nivel de conocimiento de su titular, su perfil profesional y/o laboral. </w:t>
      </w:r>
    </w:p>
    <w:p w:rsidR="005D22C6" w:rsidRDefault="005A60AC">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si bien, el documento referido es elaborado por cada persona sin ninguna validez oficial, también lo es que como se mencionó, este tiene como objetivo que las personas conozcan la trayectoria de quien lo presenta, situación que toma mayor relevancia al tratarse de aquel que ostenta un cargo en la administración; por lo que, existe un interés público para dar a conocer su contenido, pues transparenta </w:t>
      </w:r>
      <w:r>
        <w:rPr>
          <w:rFonts w:ascii="Palatino Linotype" w:eastAsia="Palatino Linotype" w:hAnsi="Palatino Linotype" w:cs="Palatino Linotype"/>
        </w:rPr>
        <w:lastRenderedPageBreak/>
        <w:t xml:space="preserve">que el personal que labora para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cuenta con las capacidades, conocimientos y experiencia necesaria para el cabal cumplimiento de sus funciones. </w:t>
      </w:r>
    </w:p>
    <w:p w:rsidR="005D22C6" w:rsidRDefault="005A60AC">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esta información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5D22C6" w:rsidRDefault="005A60AC">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D22C6" w:rsidRDefault="005A60AC">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5D22C6" w:rsidRDefault="005A60AC">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objeto;”(Sic)</w:t>
      </w:r>
    </w:p>
    <w:p w:rsidR="005D22C6" w:rsidRDefault="005D22C6">
      <w:pPr>
        <w:ind w:left="567" w:right="902"/>
        <w:jc w:val="both"/>
        <w:rPr>
          <w:rFonts w:ascii="Palatino Linotype" w:eastAsia="Palatino Linotype" w:hAnsi="Palatino Linotype" w:cs="Palatino Linotype"/>
          <w:i/>
          <w:color w:val="000000"/>
          <w:sz w:val="22"/>
          <w:szCs w:val="22"/>
        </w:rPr>
      </w:pPr>
    </w:p>
    <w:p w:rsidR="005D22C6" w:rsidRDefault="005A60AC">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5D22C6" w:rsidRDefault="005A60AC">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“XVII. La información curricular desde el nivel de jefe de departamento o equivalente hasta el titular del sujeto obligado, así como, en su caso, las sanciones administrativas de que haya sido objeto. </w:t>
      </w:r>
    </w:p>
    <w:p w:rsidR="005D22C6" w:rsidRDefault="005A60AC">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5D22C6" w:rsidRDefault="005A60AC">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5D22C6" w:rsidRDefault="005A60AC">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5D22C6" w:rsidRDefault="005A60AC">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5D22C6" w:rsidRDefault="005A60AC">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5D22C6" w:rsidRDefault="005A60AC">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r>
        <w:rPr>
          <w:rFonts w:ascii="Palatino Linotype" w:eastAsia="Palatino Linotype" w:hAnsi="Palatino Linotype" w:cs="Palatino Linotype"/>
          <w:i/>
          <w:color w:val="000000"/>
          <w:sz w:val="22"/>
          <w:szCs w:val="22"/>
        </w:rPr>
        <w:t>”(Sic)</w:t>
      </w:r>
    </w:p>
    <w:p w:rsidR="005D22C6" w:rsidRDefault="005D22C6">
      <w:pPr>
        <w:ind w:left="567" w:right="902"/>
        <w:jc w:val="both"/>
        <w:rPr>
          <w:rFonts w:ascii="Palatino Linotype" w:eastAsia="Palatino Linotype" w:hAnsi="Palatino Linotype" w:cs="Palatino Linotype"/>
          <w:i/>
          <w:color w:val="000000"/>
          <w:sz w:val="22"/>
          <w:szCs w:val="22"/>
        </w:rPr>
      </w:pPr>
    </w:p>
    <w:p w:rsidR="005D22C6" w:rsidRDefault="005A60AC">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n-US" w:eastAsia="en-US"/>
        </w:rPr>
        <w:drawing>
          <wp:inline distT="0" distB="0" distL="0" distR="0">
            <wp:extent cx="5671856" cy="3623017"/>
            <wp:effectExtent l="0" t="0" r="0" b="0"/>
            <wp:docPr id="1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671856" cy="3623017"/>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62336" behindDoc="0" locked="0" layoutInCell="1" hidden="0" allowOverlap="1">
                <wp:simplePos x="0" y="0"/>
                <wp:positionH relativeFrom="column">
                  <wp:posOffset>-25399</wp:posOffset>
                </wp:positionH>
                <wp:positionV relativeFrom="paragraph">
                  <wp:posOffset>863600</wp:posOffset>
                </wp:positionV>
                <wp:extent cx="5295900" cy="1078131"/>
                <wp:effectExtent l="0" t="0" r="0" b="0"/>
                <wp:wrapNone/>
                <wp:docPr id="134" name="Rectángulo 134"/>
                <wp:cNvGraphicFramePr/>
                <a:graphic xmlns:a="http://schemas.openxmlformats.org/drawingml/2006/main">
                  <a:graphicData uri="http://schemas.microsoft.com/office/word/2010/wordprocessingShape">
                    <wps:wsp>
                      <wps:cNvSpPr/>
                      <wps:spPr>
                        <a:xfrm>
                          <a:off x="2726625" y="3269510"/>
                          <a:ext cx="5238750" cy="1020981"/>
                        </a:xfrm>
                        <a:prstGeom prst="rect">
                          <a:avLst/>
                        </a:prstGeom>
                        <a:noFill/>
                        <a:ln w="28575" cap="flat" cmpd="sng">
                          <a:solidFill>
                            <a:srgbClr val="002060"/>
                          </a:solidFill>
                          <a:prstDash val="solid"/>
                          <a:miter lim="800000"/>
                          <a:headEnd type="none" w="sm" len="sm"/>
                          <a:tailEnd type="none" w="sm" len="sm"/>
                        </a:ln>
                      </wps:spPr>
                      <wps:txbx>
                        <w:txbxContent>
                          <w:p w:rsidR="005D22C6" w:rsidRDefault="005D22C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863600</wp:posOffset>
                </wp:positionV>
                <wp:extent cx="5295900" cy="1078131"/>
                <wp:effectExtent b="0" l="0" r="0" t="0"/>
                <wp:wrapNone/>
                <wp:docPr id="134"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5295900" cy="1078131"/>
                        </a:xfrm>
                        <a:prstGeom prst="rect"/>
                        <a:ln/>
                      </pic:spPr>
                    </pic:pic>
                  </a:graphicData>
                </a:graphic>
              </wp:anchor>
            </w:drawing>
          </mc:Fallback>
        </mc:AlternateContent>
      </w:r>
    </w:p>
    <w:p w:rsidR="005D22C6" w:rsidRDefault="005A60AC">
      <w:pPr>
        <w:spacing w:before="240" w:after="240" w:line="360" w:lineRule="auto"/>
        <w:ind w:right="51"/>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n-US" w:eastAsia="en-US"/>
        </w:rPr>
        <w:lastRenderedPageBreak/>
        <w:drawing>
          <wp:inline distT="0" distB="0" distL="0" distR="0">
            <wp:extent cx="5610225" cy="4105275"/>
            <wp:effectExtent l="0" t="0" r="0" b="0"/>
            <wp:docPr id="1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610225" cy="4105275"/>
                    </a:xfrm>
                    <a:prstGeom prst="rect">
                      <a:avLst/>
                    </a:prstGeom>
                    <a:ln/>
                  </pic:spPr>
                </pic:pic>
              </a:graphicData>
            </a:graphic>
          </wp:inline>
        </w:drawing>
      </w:r>
    </w:p>
    <w:p w:rsidR="005D22C6" w:rsidRDefault="005A60AC">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rsidR="005D22C6" w:rsidRDefault="005A60AC">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5D22C6" w:rsidRDefault="005A60AC">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conviene mencionar, el Criterio 03/09 emitido por el Pleno del entonces Instituto Federal de Acceso a la Información y Protección de Datos establece que: </w:t>
      </w:r>
    </w:p>
    <w:p w:rsidR="005D22C6" w:rsidRDefault="005A60AC">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w:t>
      </w:r>
      <w:r>
        <w:rPr>
          <w:rFonts w:ascii="Palatino Linotype" w:eastAsia="Palatino Linotype" w:hAnsi="Palatino Linotype" w:cs="Palatino Linotype"/>
          <w:i/>
          <w:sz w:val="22"/>
          <w:szCs w:val="22"/>
        </w:rPr>
        <w:lastRenderedPageBreak/>
        <w:t>aquellos que acrediten su capacidad, habilidades o pericia para ocupar el cargo público.” (Sic)</w:t>
      </w:r>
    </w:p>
    <w:p w:rsidR="005D22C6" w:rsidRDefault="005A60A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Por lo que se estima que, en el presente punto, es procedente la entrega del curriculum vitae o ficha curricular del encargado del Archivo en el Ayuntamiento de Ecatepec de Morelos</w:t>
      </w:r>
      <w:r>
        <w:rPr>
          <w:rFonts w:ascii="Palatino Linotype" w:eastAsia="Palatino Linotype" w:hAnsi="Palatino Linotype" w:cs="Palatino Linotype"/>
        </w:rPr>
        <w:t xml:space="preserve">, vigente al tres de febrero del año dos mil veintidós y de ser procedente en versión pública conforme a lo señalado por el considerando quinto del presente fallo. </w:t>
      </w:r>
    </w:p>
    <w:p w:rsidR="005D22C6" w:rsidRDefault="005D22C6">
      <w:pPr>
        <w:spacing w:line="360" w:lineRule="auto"/>
        <w:ind w:right="-93"/>
        <w:jc w:val="both"/>
        <w:rPr>
          <w:rFonts w:ascii="Palatino Linotype" w:eastAsia="Palatino Linotype" w:hAnsi="Palatino Linotype" w:cs="Palatino Linotype"/>
        </w:rPr>
      </w:pPr>
    </w:p>
    <w:p w:rsidR="005D22C6" w:rsidRDefault="005A60AC">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5D22C6" w:rsidRDefault="005D22C6">
      <w:pPr>
        <w:tabs>
          <w:tab w:val="left" w:pos="709"/>
        </w:tabs>
        <w:spacing w:line="360" w:lineRule="auto"/>
        <w:jc w:val="both"/>
        <w:rPr>
          <w:rFonts w:ascii="Palatino Linotype" w:eastAsia="Palatino Linotype" w:hAnsi="Palatino Linotype" w:cs="Palatino Linotype"/>
        </w:rPr>
      </w:pP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w:t>
      </w:r>
      <w:r>
        <w:rPr>
          <w:rFonts w:ascii="Palatino Linotype" w:eastAsia="Palatino Linotype" w:hAnsi="Palatino Linotype" w:cs="Palatino Linotype"/>
          <w:i/>
          <w:sz w:val="22"/>
          <w:szCs w:val="22"/>
        </w:rPr>
        <w:lastRenderedPageBreak/>
        <w:t>corresponda a particulares, sujetos de derecho internacional o a sujetos obligados cuando no involucren el ejercicio de recursos públicos;</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5D22C6" w:rsidRDefault="005A60AC">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5D22C6" w:rsidRDefault="005A60AC">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5D22C6" w:rsidRDefault="005A60AC">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5D22C6" w:rsidRDefault="005A60AC">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5D22C6" w:rsidRDefault="005A60A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5D22C6" w:rsidRDefault="005D22C6">
      <w:pPr>
        <w:spacing w:line="360" w:lineRule="auto"/>
        <w:ind w:right="49"/>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5D22C6" w:rsidRDefault="005D22C6">
      <w:pPr>
        <w:spacing w:line="360" w:lineRule="auto"/>
        <w:jc w:val="both"/>
        <w:rPr>
          <w:rFonts w:ascii="Palatino Linotype" w:eastAsia="Palatino Linotype" w:hAnsi="Palatino Linotype" w:cs="Palatino Linotype"/>
        </w:rPr>
      </w:pPr>
    </w:p>
    <w:p w:rsidR="005D22C6" w:rsidRDefault="005A60A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5D22C6" w:rsidRDefault="005A60A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5D22C6" w:rsidRDefault="005A60AC">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5D22C6" w:rsidRDefault="005A60A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5D22C6" w:rsidRDefault="005A60A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5D22C6" w:rsidRDefault="005A60A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Pr>
          <w:rFonts w:ascii="Palatino Linotype" w:eastAsia="Palatino Linotype" w:hAnsi="Palatino Linotype" w:cs="Palatino Linotype"/>
        </w:rPr>
        <w:lastRenderedPageBreak/>
        <w:t xml:space="preserve">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5D22C6" w:rsidRDefault="005D22C6">
      <w:pPr>
        <w:spacing w:line="360" w:lineRule="auto"/>
        <w:ind w:right="51"/>
        <w:jc w:val="both"/>
        <w:rPr>
          <w:rFonts w:ascii="Palatino Linotype" w:eastAsia="Palatino Linotype" w:hAnsi="Palatino Linotype" w:cs="Palatino Linotype"/>
        </w:rPr>
      </w:pPr>
    </w:p>
    <w:p w:rsidR="005D22C6" w:rsidRDefault="005A60A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5D22C6" w:rsidRDefault="005A60AC">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5D22C6" w:rsidRDefault="005A60A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5D22C6" w:rsidRDefault="005A60A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5D22C6" w:rsidRDefault="005A60AC">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5D22C6" w:rsidRDefault="005A60A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xml:space="preserve">, éstos no deben tener relación con la prestación del servicio; es decir, son confidenciales los préstamos o descuentos que se le hagan a la persona en los que no se involucren instituciones </w:t>
      </w:r>
      <w:r>
        <w:rPr>
          <w:rFonts w:ascii="Palatino Linotype" w:eastAsia="Palatino Linotype" w:hAnsi="Palatino Linotype" w:cs="Palatino Linotype"/>
        </w:rPr>
        <w:lastRenderedPageBreak/>
        <w:t>públicas, en virtud de no favorecer en la transparencia y rendición de cuentas, sino, por el contrario, con ello se violentaría la protección de información confidencial, porque incide en la intimidad de un individuo identificado.</w:t>
      </w:r>
    </w:p>
    <w:p w:rsidR="005D22C6" w:rsidRDefault="005A60A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rsidR="005D22C6" w:rsidRDefault="005A60A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5D22C6" w:rsidRDefault="005A60A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5D22C6" w:rsidRDefault="005A60A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5D22C6" w:rsidRDefault="005A60A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5D22C6" w:rsidRDefault="005A60AC">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5D22C6" w:rsidRDefault="005A60A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5D22C6" w:rsidRDefault="005A60A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rsidR="005D22C6" w:rsidRDefault="005D22C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rsidR="005D22C6" w:rsidRDefault="005D22C6">
      <w:pPr>
        <w:spacing w:line="360" w:lineRule="auto"/>
        <w:ind w:right="51"/>
        <w:jc w:val="both"/>
        <w:rPr>
          <w:rFonts w:ascii="Palatino Linotype" w:eastAsia="Palatino Linotype" w:hAnsi="Palatino Linotype" w:cs="Palatino Linotype"/>
        </w:rPr>
      </w:pPr>
    </w:p>
    <w:p w:rsidR="005D22C6" w:rsidRDefault="005A60AC">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5D22C6" w:rsidRDefault="005D22C6">
      <w:pPr>
        <w:spacing w:line="360" w:lineRule="auto"/>
        <w:ind w:right="50"/>
        <w:jc w:val="both"/>
        <w:rPr>
          <w:rFonts w:ascii="Palatino Linotype" w:eastAsia="Palatino Linotype" w:hAnsi="Palatino Linotype" w:cs="Palatino Linotype"/>
        </w:rPr>
      </w:pPr>
    </w:p>
    <w:p w:rsidR="005D22C6" w:rsidRDefault="005A60AC">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5D22C6" w:rsidRDefault="005D22C6">
      <w:pPr>
        <w:spacing w:line="360" w:lineRule="auto"/>
        <w:ind w:right="51"/>
        <w:jc w:val="both"/>
        <w:rPr>
          <w:rFonts w:ascii="Palatino Linotype" w:eastAsia="Palatino Linotype" w:hAnsi="Palatino Linotype" w:cs="Palatino Linotype"/>
        </w:rPr>
      </w:pPr>
    </w:p>
    <w:p w:rsidR="005D22C6" w:rsidRDefault="005A60AC">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5D22C6" w:rsidRDefault="005A60AC">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5D22C6" w:rsidRDefault="005A60AC">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5D22C6" w:rsidRDefault="005A60AC">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5D22C6" w:rsidRDefault="005A60AC">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5D22C6" w:rsidRDefault="005A60AC">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5D22C6" w:rsidRDefault="005D22C6">
      <w:pPr>
        <w:ind w:left="992" w:right="1043"/>
        <w:jc w:val="both"/>
        <w:rPr>
          <w:rFonts w:ascii="Palatino Linotype" w:eastAsia="Palatino Linotype" w:hAnsi="Palatino Linotype" w:cs="Palatino Linotype"/>
          <w:i/>
          <w:sz w:val="22"/>
          <w:szCs w:val="22"/>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5D22C6" w:rsidRDefault="005D22C6">
      <w:pPr>
        <w:spacing w:line="360" w:lineRule="auto"/>
        <w:jc w:val="both"/>
        <w:rPr>
          <w:rFonts w:ascii="Palatino Linotype" w:eastAsia="Palatino Linotype" w:hAnsi="Palatino Linotype" w:cs="Palatino Linotype"/>
        </w:rPr>
      </w:pPr>
    </w:p>
    <w:p w:rsidR="005D22C6" w:rsidRDefault="005A60AC">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5D22C6" w:rsidRDefault="005D22C6">
      <w:pPr>
        <w:spacing w:before="240" w:line="360" w:lineRule="auto"/>
        <w:ind w:right="51"/>
        <w:jc w:val="both"/>
        <w:rPr>
          <w:rFonts w:ascii="Palatino Linotype" w:eastAsia="Palatino Linotype" w:hAnsi="Palatino Linotype" w:cs="Palatino Linotype"/>
        </w:rPr>
      </w:pPr>
    </w:p>
    <w:p w:rsidR="005D22C6" w:rsidRDefault="005A60AC">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5D22C6" w:rsidRDefault="005D22C6">
      <w:pPr>
        <w:spacing w:line="360" w:lineRule="auto"/>
        <w:ind w:right="51"/>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w:t>
      </w:r>
      <w:r>
        <w:rPr>
          <w:rFonts w:ascii="Palatino Linotype" w:eastAsia="Palatino Linotype" w:hAnsi="Palatino Linotype" w:cs="Palatino Linotype"/>
        </w:rPr>
        <w:lastRenderedPageBreak/>
        <w:t xml:space="preserve">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5D22C6" w:rsidRDefault="005D22C6">
      <w:pPr>
        <w:spacing w:line="360" w:lineRule="auto"/>
        <w:jc w:val="both"/>
        <w:rPr>
          <w:rFonts w:ascii="Palatino Linotype" w:eastAsia="Palatino Linotype" w:hAnsi="Palatino Linotype" w:cs="Palatino Linotype"/>
        </w:rPr>
      </w:pPr>
    </w:p>
    <w:p w:rsidR="005D22C6" w:rsidRDefault="005A60AC">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5D22C6" w:rsidRDefault="005A60AC">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5D22C6" w:rsidRDefault="005A60A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D22C6" w:rsidRDefault="005A60AC">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5"/>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5D22C6">
        <w:trPr>
          <w:jc w:val="center"/>
        </w:trPr>
        <w:tc>
          <w:tcPr>
            <w:tcW w:w="1159" w:type="dxa"/>
            <w:tcBorders>
              <w:top w:val="nil"/>
              <w:left w:val="nil"/>
              <w:bottom w:val="single" w:sz="4" w:space="0" w:color="000000"/>
              <w:right w:val="single" w:sz="4" w:space="0" w:color="000000"/>
            </w:tcBorders>
          </w:tcPr>
          <w:p w:rsidR="005D22C6" w:rsidRDefault="005D22C6">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5D22C6">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5D22C6" w:rsidRDefault="005A60AC">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5D22C6" w:rsidRDefault="005A60AC">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5D22C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22C6" w:rsidRDefault="005D22C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22C6" w:rsidRDefault="005A60AC">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5D22C6" w:rsidRDefault="005A60AC">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5D22C6" w:rsidRDefault="005D22C6">
      <w:pPr>
        <w:spacing w:before="240" w:line="360" w:lineRule="auto"/>
        <w:ind w:right="51"/>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5D22C6" w:rsidRDefault="005D22C6">
      <w:pPr>
        <w:spacing w:line="360" w:lineRule="auto"/>
        <w:jc w:val="both"/>
        <w:rPr>
          <w:rFonts w:ascii="Palatino Linotype" w:eastAsia="Palatino Linotype" w:hAnsi="Palatino Linotype" w:cs="Palatino Linotype"/>
        </w:rPr>
      </w:pPr>
    </w:p>
    <w:p w:rsidR="005D22C6" w:rsidRDefault="005A60AC">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w:t>
      </w:r>
      <w:r>
        <w:rPr>
          <w:rFonts w:ascii="Palatino Linotype" w:eastAsia="Palatino Linotype" w:hAnsi="Palatino Linotype" w:cs="Palatino Linotype"/>
        </w:rPr>
        <w:lastRenderedPageBreak/>
        <w:t>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noveno, trigésimo y trigésimo primero de la Constitución Política del Estado Libre y Soberano de México; 2, fracción II; 29, 36 fracciones I y II; 176, 178, 179, fracción VII, 181, 185 de la Ley de Transparencia y Acceso a la Información Pública del Estado de México y Municipios, este Pleno:</w:t>
      </w:r>
    </w:p>
    <w:p w:rsidR="005D22C6" w:rsidRDefault="005D22C6">
      <w:pPr>
        <w:spacing w:line="360" w:lineRule="auto"/>
        <w:jc w:val="both"/>
        <w:rPr>
          <w:rFonts w:ascii="Palatino Linotype" w:eastAsia="Palatino Linotype" w:hAnsi="Palatino Linotype" w:cs="Palatino Linotype"/>
        </w:rPr>
      </w:pPr>
    </w:p>
    <w:p w:rsidR="005D22C6" w:rsidRDefault="005A60AC">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5D22C6" w:rsidRDefault="005D22C6">
      <w:pPr>
        <w:spacing w:line="360" w:lineRule="auto"/>
        <w:jc w:val="center"/>
        <w:rPr>
          <w:rFonts w:ascii="Palatino Linotype" w:eastAsia="Palatino Linotype" w:hAnsi="Palatino Linotype" w:cs="Palatino Linotype"/>
          <w:b/>
        </w:rPr>
      </w:pPr>
    </w:p>
    <w:p w:rsidR="005D22C6" w:rsidRDefault="005A60A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03189/INFOEM/IP/RR/2022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5D22C6" w:rsidRDefault="005A60A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 de ser el caso en versión pública, del documento o documentos en donde conste lo siguiente:</w:t>
      </w:r>
    </w:p>
    <w:p w:rsidR="005D22C6" w:rsidRDefault="005A60AC">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recibos de nómina de la primera y segunda quincena del mes de enero del año dos mil veintidós, del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sz w:val="22"/>
          <w:szCs w:val="22"/>
        </w:rPr>
        <w:t xml:space="preserve">encargado del archivo general en el Ayuntamiento de Ecatepec de Morelos. </w:t>
      </w:r>
    </w:p>
    <w:p w:rsidR="005D22C6" w:rsidRPr="006D0411" w:rsidRDefault="005A60AC">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2"/>
          <w:szCs w:val="22"/>
        </w:rPr>
      </w:pPr>
      <w:r w:rsidRPr="006D0411">
        <w:rPr>
          <w:rFonts w:ascii="Palatino Linotype" w:eastAsia="Palatino Linotype" w:hAnsi="Palatino Linotype" w:cs="Palatino Linotype"/>
          <w:color w:val="000000"/>
          <w:sz w:val="22"/>
          <w:szCs w:val="22"/>
        </w:rPr>
        <w:t>Nombramiento y Curriculum vitae o ficha curricular del encargado del archivo general en el Ayuntamiento de Ecatepec de Morelos</w:t>
      </w:r>
      <w:r w:rsidRPr="006D0411">
        <w:rPr>
          <w:rFonts w:ascii="Palatino Linotype" w:eastAsia="Palatino Linotype" w:hAnsi="Palatino Linotype" w:cs="Palatino Linotype"/>
          <w:sz w:val="22"/>
          <w:szCs w:val="22"/>
        </w:rPr>
        <w:t>, vigente al tres de febrero del año dos mil veintidós.</w:t>
      </w:r>
      <w:r w:rsidRPr="006D0411">
        <w:rPr>
          <w:rFonts w:ascii="Palatino Linotype" w:eastAsia="Palatino Linotype" w:hAnsi="Palatino Linotype" w:cs="Palatino Linotype"/>
          <w:color w:val="000000"/>
          <w:sz w:val="22"/>
          <w:szCs w:val="22"/>
        </w:rPr>
        <w:t xml:space="preserve"> </w:t>
      </w:r>
    </w:p>
    <w:p w:rsidR="005D22C6" w:rsidRDefault="005A60AC">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i/>
        </w:rPr>
        <w:t xml:space="preserve">Para la versión pública, el </w:t>
      </w:r>
      <w:r>
        <w:rPr>
          <w:rFonts w:ascii="Palatino Linotype" w:eastAsia="Palatino Linotype" w:hAnsi="Palatino Linotype" w:cs="Palatino Linotype"/>
          <w:b/>
          <w:i/>
        </w:rPr>
        <w:t>SUJETO OBLIGADO</w:t>
      </w:r>
      <w:r>
        <w:rPr>
          <w:rFonts w:ascii="Palatino Linotype" w:eastAsia="Palatino Linotype" w:hAnsi="Palatino Linotype" w:cs="Palatino Linotype"/>
          <w:i/>
        </w:rPr>
        <w:t xml:space="preserve"> deberá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Pr>
          <w:rFonts w:ascii="Palatino Linotype" w:eastAsia="Palatino Linotype" w:hAnsi="Palatino Linotype" w:cs="Palatino Linotype"/>
          <w:b/>
          <w:i/>
        </w:rPr>
        <w:t>RECURRENTE</w:t>
      </w:r>
      <w:r>
        <w:rPr>
          <w:rFonts w:ascii="Palatino Linotype" w:eastAsia="Palatino Linotype" w:hAnsi="Palatino Linotype" w:cs="Palatino Linotype"/>
          <w:i/>
        </w:rPr>
        <w:t>, mismo que igualmente hará de su conocimiento</w:t>
      </w:r>
      <w:r>
        <w:rPr>
          <w:rFonts w:ascii="Palatino Linotype" w:eastAsia="Palatino Linotype" w:hAnsi="Palatino Linotype" w:cs="Palatino Linotype"/>
        </w:rPr>
        <w:t>.</w:t>
      </w:r>
    </w:p>
    <w:p w:rsidR="005D22C6" w:rsidRDefault="005D22C6">
      <w:pPr>
        <w:spacing w:line="360" w:lineRule="auto"/>
        <w:jc w:val="both"/>
        <w:rPr>
          <w:rFonts w:ascii="Palatino Linotype" w:eastAsia="Palatino Linotype" w:hAnsi="Palatino Linotype" w:cs="Palatino Linotype"/>
        </w:rPr>
      </w:pPr>
    </w:p>
    <w:p w:rsidR="005D22C6" w:rsidRDefault="005A60AC">
      <w:pPr>
        <w:tabs>
          <w:tab w:val="left" w:pos="5019"/>
        </w:tabs>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 Notifíquese vía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D22C6" w:rsidRDefault="005A60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5D22C6" w:rsidRDefault="005A60AC">
      <w:pPr>
        <w:spacing w:after="240" w:line="360" w:lineRule="auto"/>
        <w:jc w:val="both"/>
        <w:rPr>
          <w:rFonts w:ascii="Palatino Linotype" w:eastAsia="Palatino Linotype" w:hAnsi="Palatino Linotype" w:cs="Palatino Linotype"/>
          <w:b/>
        </w:rPr>
      </w:pPr>
      <w:bookmarkStart w:id="0" w:name="_heading=h.30j0zll" w:colFirst="0" w:colLast="0"/>
      <w:bookmarkEnd w:id="0"/>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5D22C6" w:rsidRDefault="006D0BCC">
      <w:pPr>
        <w:spacing w:before="240" w:after="240" w:line="360" w:lineRule="auto"/>
        <w:jc w:val="both"/>
        <w:rPr>
          <w:rFonts w:ascii="Palatino Linotype" w:eastAsia="Palatino Linotype" w:hAnsi="Palatino Linotype" w:cs="Palatino Linotype"/>
        </w:rPr>
        <w:sectPr w:rsidR="005D22C6">
          <w:headerReference w:type="default" r:id="rId24"/>
          <w:footerReference w:type="default" r:id="rId25"/>
          <w:headerReference w:type="first" r:id="rId26"/>
          <w:footerReference w:type="first" r:id="rId27"/>
          <w:pgSz w:w="12240" w:h="15840"/>
          <w:pgMar w:top="1417" w:right="1701" w:bottom="1417" w:left="1701" w:header="709" w:footer="709" w:gutter="0"/>
          <w:pgNumType w:start="1"/>
          <w:cols w:space="720"/>
          <w:titlePg/>
        </w:sectPr>
      </w:pPr>
      <w:bookmarkStart w:id="1" w:name="_heading=h.gjdgxs" w:colFirst="0" w:colLast="0"/>
      <w:bookmarkStart w:id="2" w:name="_GoBack"/>
      <w:bookmarkEnd w:id="1"/>
      <w:r>
        <w:rPr>
          <w:rFonts w:ascii="Palatino Linotype" w:eastAsia="Palatino Linotype" w:hAnsi="Palatino Linotype" w:cs="Palatino Linotype"/>
          <w:noProof/>
          <w:color w:val="222222"/>
          <w:lang w:val="en-US" w:eastAsia="en-US"/>
        </w:rPr>
        <mc:AlternateContent>
          <mc:Choice Requires="wps">
            <w:drawing>
              <wp:anchor distT="0" distB="0" distL="114300" distR="114300" simplePos="0" relativeHeight="251663360" behindDoc="0" locked="0" layoutInCell="1" allowOverlap="1">
                <wp:simplePos x="0" y="0"/>
                <wp:positionH relativeFrom="column">
                  <wp:posOffset>24764</wp:posOffset>
                </wp:positionH>
                <wp:positionV relativeFrom="paragraph">
                  <wp:posOffset>2766059</wp:posOffset>
                </wp:positionV>
                <wp:extent cx="5534025" cy="17049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534025" cy="170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A6F7E"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217.8pt" to="437.7pt,3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" strokecolor="black [3200]" strokeweight=".5pt">
                <v:stroke joinstyle="miter"/>
              </v:line>
            </w:pict>
          </mc:Fallback>
        </mc:AlternateContent>
      </w:r>
      <w:bookmarkEnd w:id="2"/>
      <w:r w:rsidR="005A60AC">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w:t>
      </w:r>
      <w:r w:rsidR="005A60AC">
        <w:rPr>
          <w:rFonts w:ascii="Palatino Linotype" w:eastAsia="Palatino Linotype" w:hAnsi="Palatino Linotype" w:cs="Palatino Linotype"/>
        </w:rPr>
        <w:t>DE DOS MIL VEINTIDÓS, ANTE EL SECRETARIO TÉCNICO DEL PLENO ALEXIS TAPIA RAMÍREZ.</w:t>
      </w:r>
    </w:p>
    <w:p w:rsidR="005D22C6" w:rsidRDefault="005D22C6">
      <w:pPr>
        <w:spacing w:before="240" w:after="240" w:line="360" w:lineRule="auto"/>
        <w:jc w:val="both"/>
        <w:rPr>
          <w:rFonts w:ascii="Palatino Linotype" w:eastAsia="Palatino Linotype" w:hAnsi="Palatino Linotype" w:cs="Palatino Linotype"/>
        </w:rPr>
      </w:pPr>
    </w:p>
    <w:p w:rsidR="005D22C6" w:rsidRDefault="005D22C6">
      <w:pPr>
        <w:spacing w:before="240" w:after="240" w:line="360" w:lineRule="auto"/>
        <w:jc w:val="both"/>
        <w:rPr>
          <w:rFonts w:ascii="Palatino Linotype" w:eastAsia="Palatino Linotype" w:hAnsi="Palatino Linotype" w:cs="Palatino Linotype"/>
        </w:rPr>
      </w:pPr>
    </w:p>
    <w:p w:rsidR="005D22C6" w:rsidRDefault="005D22C6">
      <w:pPr>
        <w:spacing w:before="240" w:after="240" w:line="360" w:lineRule="auto"/>
        <w:jc w:val="both"/>
        <w:rPr>
          <w:rFonts w:ascii="Palatino Linotype" w:eastAsia="Palatino Linotype" w:hAnsi="Palatino Linotype" w:cs="Palatino Linotype"/>
        </w:rPr>
      </w:pPr>
    </w:p>
    <w:sectPr w:rsidR="005D22C6">
      <w:headerReference w:type="first" r:id="rId28"/>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754" w:rsidRDefault="004B6754">
      <w:r>
        <w:separator/>
      </w:r>
    </w:p>
  </w:endnote>
  <w:endnote w:type="continuationSeparator" w:id="0">
    <w:p w:rsidR="004B6754" w:rsidRDefault="004B6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2C6" w:rsidRDefault="005A60A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0BCC">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0BCC">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5D22C6" w:rsidRDefault="005D22C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2C6" w:rsidRDefault="005A60A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0BCC">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0BCC">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5D22C6" w:rsidRDefault="005D22C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754" w:rsidRDefault="004B6754">
      <w:r>
        <w:separator/>
      </w:r>
    </w:p>
  </w:footnote>
  <w:footnote w:type="continuationSeparator" w:id="0">
    <w:p w:rsidR="004B6754" w:rsidRDefault="004B6754">
      <w:r>
        <w:continuationSeparator/>
      </w:r>
    </w:p>
  </w:footnote>
  <w:footnote w:id="1">
    <w:p w:rsidR="005D22C6" w:rsidRDefault="005A60A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del Trabajo de los Servidores Públicos del Estado de México, Artículo 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2C6" w:rsidRDefault="005A60AC">
    <w:pPr>
      <w:pBdr>
        <w:top w:val="nil"/>
        <w:left w:val="nil"/>
        <w:bottom w:val="nil"/>
        <w:right w:val="nil"/>
        <w:between w:val="nil"/>
      </w:pBdr>
      <w:tabs>
        <w:tab w:val="center" w:pos="4419"/>
        <w:tab w:val="right" w:pos="8838"/>
      </w:tabs>
      <w:jc w:val="both"/>
      <w:rPr>
        <w:color w:val="000000"/>
      </w:rPr>
    </w:pPr>
    <w:r>
      <w:rPr>
        <w:noProof/>
        <w:lang w:val="en-US" w:eastAsia="en-US"/>
      </w:rPr>
      <w:drawing>
        <wp:anchor distT="0" distB="0" distL="0" distR="0" simplePos="0" relativeHeight="251658240" behindDoc="1" locked="0" layoutInCell="1" hidden="0" allowOverlap="1">
          <wp:simplePos x="0" y="0"/>
          <wp:positionH relativeFrom="column">
            <wp:posOffset>-665858</wp:posOffset>
          </wp:positionH>
          <wp:positionV relativeFrom="paragraph">
            <wp:posOffset>-453614</wp:posOffset>
          </wp:positionV>
          <wp:extent cx="7635600" cy="9943200"/>
          <wp:effectExtent l="0" t="0" r="0" b="0"/>
          <wp:wrapNone/>
          <wp:docPr id="1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5670" w:type="dxa"/>
      <w:tblInd w:w="3119" w:type="dxa"/>
      <w:tblLayout w:type="fixed"/>
      <w:tblLook w:val="0400" w:firstRow="0" w:lastRow="0" w:firstColumn="0" w:lastColumn="0" w:noHBand="0" w:noVBand="1"/>
    </w:tblPr>
    <w:tblGrid>
      <w:gridCol w:w="2551"/>
      <w:gridCol w:w="3119"/>
    </w:tblGrid>
    <w:tr w:rsidR="005D22C6">
      <w:tc>
        <w:tcPr>
          <w:tcW w:w="2551" w:type="dxa"/>
          <w:vAlign w:val="center"/>
        </w:tcPr>
        <w:p w:rsidR="005D22C6" w:rsidRDefault="005A60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5D22C6" w:rsidRDefault="005A60A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03189/INFOEM/IP/RR/2022. </w:t>
          </w:r>
        </w:p>
      </w:tc>
    </w:tr>
    <w:tr w:rsidR="005D22C6">
      <w:trPr>
        <w:trHeight w:val="228"/>
      </w:trPr>
      <w:tc>
        <w:tcPr>
          <w:tcW w:w="2551" w:type="dxa"/>
          <w:vAlign w:val="center"/>
        </w:tcPr>
        <w:p w:rsidR="005D22C6" w:rsidRDefault="005A60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5D22C6" w:rsidRDefault="005A60A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br/>
            <w:t>Ecatepec de Morelos.</w:t>
          </w:r>
        </w:p>
      </w:tc>
    </w:tr>
    <w:tr w:rsidR="005D22C6">
      <w:tc>
        <w:tcPr>
          <w:tcW w:w="2551" w:type="dxa"/>
          <w:vAlign w:val="center"/>
        </w:tcPr>
        <w:p w:rsidR="005D22C6" w:rsidRDefault="005A60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5D22C6" w:rsidRDefault="005A60A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D22C6" w:rsidRDefault="005D22C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2C6" w:rsidRDefault="005A60AC">
    <w:pPr>
      <w:pBdr>
        <w:top w:val="nil"/>
        <w:left w:val="nil"/>
        <w:bottom w:val="nil"/>
        <w:right w:val="nil"/>
        <w:between w:val="nil"/>
      </w:pBdr>
      <w:tabs>
        <w:tab w:val="center" w:pos="4419"/>
        <w:tab w:val="right" w:pos="8838"/>
      </w:tabs>
      <w:jc w:val="both"/>
      <w:rPr>
        <w:color w:val="000000"/>
      </w:rPr>
    </w:pPr>
    <w:r>
      <w:rPr>
        <w:noProof/>
        <w:lang w:val="en-US" w:eastAsia="en-US"/>
      </w:rPr>
      <w:drawing>
        <wp:anchor distT="0" distB="0" distL="0" distR="0" simplePos="0" relativeHeight="251659264" behindDoc="1" locked="0" layoutInCell="1" hidden="0" allowOverlap="1">
          <wp:simplePos x="0" y="0"/>
          <wp:positionH relativeFrom="column">
            <wp:posOffset>-680311</wp:posOffset>
          </wp:positionH>
          <wp:positionV relativeFrom="paragraph">
            <wp:posOffset>-168882</wp:posOffset>
          </wp:positionV>
          <wp:extent cx="7635600" cy="9943200"/>
          <wp:effectExtent l="0" t="0" r="0" b="0"/>
          <wp:wrapNone/>
          <wp:docPr id="1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5812" w:type="dxa"/>
      <w:tblInd w:w="3119" w:type="dxa"/>
      <w:tblLayout w:type="fixed"/>
      <w:tblLook w:val="0400" w:firstRow="0" w:lastRow="0" w:firstColumn="0" w:lastColumn="0" w:noHBand="0" w:noVBand="1"/>
    </w:tblPr>
    <w:tblGrid>
      <w:gridCol w:w="2551"/>
      <w:gridCol w:w="3261"/>
    </w:tblGrid>
    <w:tr w:rsidR="005D22C6">
      <w:tc>
        <w:tcPr>
          <w:tcW w:w="2551" w:type="dxa"/>
          <w:vAlign w:val="center"/>
        </w:tcPr>
        <w:p w:rsidR="005D22C6" w:rsidRDefault="005A60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5D22C6" w:rsidRDefault="005A60A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03189/INFOEM/IP/RR/2022. </w:t>
          </w:r>
        </w:p>
      </w:tc>
    </w:tr>
    <w:tr w:rsidR="005D22C6">
      <w:tc>
        <w:tcPr>
          <w:tcW w:w="2551" w:type="dxa"/>
          <w:vAlign w:val="center"/>
        </w:tcPr>
        <w:p w:rsidR="005D22C6" w:rsidRDefault="005A60A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5D22C6" w:rsidRDefault="005D22C6">
          <w:pPr>
            <w:jc w:val="both"/>
            <w:rPr>
              <w:rFonts w:ascii="Palatino Linotype" w:eastAsia="Palatino Linotype" w:hAnsi="Palatino Linotype" w:cs="Palatino Linotype"/>
              <w:b/>
              <w:sz w:val="22"/>
              <w:szCs w:val="22"/>
            </w:rPr>
          </w:pPr>
        </w:p>
      </w:tc>
    </w:tr>
    <w:tr w:rsidR="005D22C6">
      <w:trPr>
        <w:trHeight w:val="228"/>
      </w:trPr>
      <w:tc>
        <w:tcPr>
          <w:tcW w:w="2551" w:type="dxa"/>
          <w:vAlign w:val="center"/>
        </w:tcPr>
        <w:p w:rsidR="005D22C6" w:rsidRDefault="005A60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5D22C6" w:rsidRDefault="005A60AC">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5D22C6">
      <w:tc>
        <w:tcPr>
          <w:tcW w:w="2551" w:type="dxa"/>
          <w:vAlign w:val="center"/>
        </w:tcPr>
        <w:p w:rsidR="005D22C6" w:rsidRDefault="005A60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5D22C6" w:rsidRDefault="005A60A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D22C6" w:rsidRDefault="005D22C6">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2C6" w:rsidRDefault="005D22C6">
    <w:pPr>
      <w:pBdr>
        <w:top w:val="nil"/>
        <w:left w:val="nil"/>
        <w:bottom w:val="nil"/>
        <w:right w:val="nil"/>
        <w:between w:val="nil"/>
      </w:pBdr>
      <w:tabs>
        <w:tab w:val="center" w:pos="4419"/>
        <w:tab w:val="right" w:pos="8838"/>
      </w:tabs>
      <w:jc w:val="both"/>
      <w:rPr>
        <w:color w:val="000000"/>
      </w:rPr>
    </w:pPr>
  </w:p>
  <w:p w:rsidR="005D22C6" w:rsidRDefault="005D22C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A0EFD"/>
    <w:multiLevelType w:val="multilevel"/>
    <w:tmpl w:val="70F4A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C466EE"/>
    <w:multiLevelType w:val="multilevel"/>
    <w:tmpl w:val="06DA18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8445E5"/>
    <w:multiLevelType w:val="multilevel"/>
    <w:tmpl w:val="40D22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2C6"/>
    <w:rsid w:val="004B6754"/>
    <w:rsid w:val="005A60AC"/>
    <w:rsid w:val="005D22C6"/>
    <w:rsid w:val="006D0411"/>
    <w:rsid w:val="006D0BCC"/>
    <w:rsid w:val="006D64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8360F-74DA-495B-A196-0203DCA22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customStyle="1" w:styleId="Listavistosa-nfasis11">
    <w:name w:val="Lista vistosa - Énfasis 11"/>
    <w:basedOn w:val="Normal"/>
    <w:link w:val="Listavistosa-nfasis1Car"/>
    <w:uiPriority w:val="34"/>
    <w:qFormat/>
    <w:rsid w:val="001B10D5"/>
    <w:pPr>
      <w:ind w:left="708"/>
    </w:pPr>
  </w:style>
  <w:style w:type="character" w:customStyle="1" w:styleId="Listavistosa-nfasis1Car">
    <w:name w:val="Lista vistosa - Énfasis 1 Car"/>
    <w:link w:val="Listavistosa-nfasis11"/>
    <w:uiPriority w:val="34"/>
    <w:locked/>
    <w:rsid w:val="001B10D5"/>
    <w:rPr>
      <w:lang w:eastAsia="es-ES"/>
    </w:rPr>
  </w:style>
  <w:style w:type="paragraph" w:customStyle="1" w:styleId="Texto">
    <w:name w:val="Texto"/>
    <w:basedOn w:val="Normal"/>
    <w:link w:val="TextoCar"/>
    <w:rsid w:val="001B10D5"/>
    <w:pPr>
      <w:spacing w:after="101" w:line="216" w:lineRule="exact"/>
      <w:ind w:firstLine="288"/>
      <w:jc w:val="both"/>
    </w:pPr>
    <w:rPr>
      <w:rFonts w:ascii="Arial" w:hAnsi="Arial" w:cs="Arial"/>
      <w:sz w:val="18"/>
      <w:szCs w:val="18"/>
      <w:lang w:val="es-MX"/>
    </w:rPr>
  </w:style>
  <w:style w:type="paragraph" w:styleId="Textoindependiente2">
    <w:name w:val="Body Text 2"/>
    <w:basedOn w:val="Normal"/>
    <w:link w:val="Textoindependiente2Car"/>
    <w:uiPriority w:val="99"/>
    <w:unhideWhenUsed/>
    <w:rsid w:val="001B10D5"/>
    <w:pPr>
      <w:spacing w:after="120" w:line="480" w:lineRule="auto"/>
    </w:pPr>
  </w:style>
  <w:style w:type="character" w:customStyle="1" w:styleId="Textoindependiente2Car">
    <w:name w:val="Texto independiente 2 Car"/>
    <w:basedOn w:val="Fuentedeprrafopredeter"/>
    <w:link w:val="Textoindependiente2"/>
    <w:uiPriority w:val="99"/>
    <w:rsid w:val="001B10D5"/>
    <w:rPr>
      <w:lang w:eastAsia="es-ES"/>
    </w:rPr>
  </w:style>
  <w:style w:type="paragraph" w:styleId="Textosinformato">
    <w:name w:val="Plain Text"/>
    <w:basedOn w:val="Normal"/>
    <w:link w:val="TextosinformatoCar"/>
    <w:rsid w:val="001B10D5"/>
    <w:rPr>
      <w:rFonts w:ascii="Courier New" w:hAnsi="Courier New"/>
      <w:sz w:val="20"/>
      <w:szCs w:val="20"/>
    </w:rPr>
  </w:style>
  <w:style w:type="character" w:customStyle="1" w:styleId="TextosinformatoCar">
    <w:name w:val="Texto sin formato Car"/>
    <w:basedOn w:val="Fuentedeprrafopredeter"/>
    <w:link w:val="Textosinformato"/>
    <w:rsid w:val="001B10D5"/>
    <w:rPr>
      <w:rFonts w:ascii="Courier New" w:hAnsi="Courier New"/>
      <w:sz w:val="20"/>
      <w:szCs w:val="20"/>
      <w:lang w:eastAsia="es-ES"/>
    </w:rPr>
  </w:style>
  <w:style w:type="character" w:customStyle="1" w:styleId="negritas1">
    <w:name w:val="negritas1"/>
    <w:rsid w:val="001B10D5"/>
    <w:rPr>
      <w:rFonts w:ascii="Arial" w:hAnsi="Arial" w:cs="Arial" w:hint="default"/>
      <w:b/>
      <w:bCs/>
      <w:sz w:val="18"/>
      <w:szCs w:val="18"/>
    </w:rPr>
  </w:style>
  <w:style w:type="paragraph" w:customStyle="1" w:styleId="Pa2">
    <w:name w:val="Pa2"/>
    <w:basedOn w:val="Normal"/>
    <w:next w:val="Normal"/>
    <w:uiPriority w:val="99"/>
    <w:rsid w:val="001B10D5"/>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1B10D5"/>
    <w:pPr>
      <w:spacing w:before="100" w:beforeAutospacing="1" w:after="100" w:afterAutospacing="1"/>
    </w:pPr>
    <w:rPr>
      <w:lang w:val="es-MX" w:eastAsia="es-MX"/>
    </w:rPr>
  </w:style>
  <w:style w:type="character" w:customStyle="1" w:styleId="d">
    <w:name w:val="d"/>
    <w:basedOn w:val="Fuentedeprrafopredeter"/>
    <w:rsid w:val="001B10D5"/>
  </w:style>
  <w:style w:type="character" w:customStyle="1" w:styleId="b">
    <w:name w:val="b"/>
    <w:basedOn w:val="Fuentedeprrafopredeter"/>
    <w:rsid w:val="001B10D5"/>
  </w:style>
  <w:style w:type="character" w:customStyle="1" w:styleId="k">
    <w:name w:val="k"/>
    <w:basedOn w:val="Fuentedeprrafopredeter"/>
    <w:rsid w:val="001B10D5"/>
  </w:style>
  <w:style w:type="character" w:customStyle="1" w:styleId="h">
    <w:name w:val="h"/>
    <w:basedOn w:val="Fuentedeprrafopredeter"/>
    <w:rsid w:val="001B10D5"/>
  </w:style>
  <w:style w:type="character" w:styleId="CitaHTML">
    <w:name w:val="HTML Cite"/>
    <w:uiPriority w:val="99"/>
    <w:semiHidden/>
    <w:unhideWhenUsed/>
    <w:rsid w:val="001B10D5"/>
    <w:rPr>
      <w:i/>
      <w:iCs/>
    </w:rPr>
  </w:style>
  <w:style w:type="character" w:customStyle="1" w:styleId="medium">
    <w:name w:val="medium"/>
    <w:basedOn w:val="Fuentedeprrafopredeter"/>
    <w:rsid w:val="001B10D5"/>
  </w:style>
  <w:style w:type="character" w:customStyle="1" w:styleId="numeroconsecutivo">
    <w:name w:val="numeroconsecutivo"/>
    <w:basedOn w:val="Fuentedeprrafopredeter"/>
    <w:rsid w:val="001B10D5"/>
  </w:style>
  <w:style w:type="character" w:customStyle="1" w:styleId="titulorubrolgt">
    <w:name w:val="titulorubrolgt"/>
    <w:basedOn w:val="Fuentedeprrafopredeter"/>
    <w:rsid w:val="001B10D5"/>
  </w:style>
  <w:style w:type="character" w:customStyle="1" w:styleId="ctr">
    <w:name w:val="ctr"/>
    <w:basedOn w:val="Fuentedeprrafopredeter"/>
    <w:rsid w:val="001B10D5"/>
  </w:style>
  <w:style w:type="paragraph" w:styleId="Textonotaalfinal">
    <w:name w:val="endnote text"/>
    <w:basedOn w:val="Normal"/>
    <w:link w:val="TextonotaalfinalCar"/>
    <w:uiPriority w:val="99"/>
    <w:semiHidden/>
    <w:unhideWhenUsed/>
    <w:rsid w:val="001B10D5"/>
    <w:rPr>
      <w:sz w:val="20"/>
      <w:szCs w:val="20"/>
    </w:rPr>
  </w:style>
  <w:style w:type="character" w:customStyle="1" w:styleId="TextonotaalfinalCar">
    <w:name w:val="Texto nota al final Car"/>
    <w:basedOn w:val="Fuentedeprrafopredeter"/>
    <w:link w:val="Textonotaalfinal"/>
    <w:uiPriority w:val="99"/>
    <w:semiHidden/>
    <w:rsid w:val="001B10D5"/>
    <w:rPr>
      <w:sz w:val="20"/>
      <w:szCs w:val="20"/>
      <w:lang w:eastAsia="es-ES"/>
    </w:rPr>
  </w:style>
  <w:style w:type="character" w:styleId="Refdenotaalfinal">
    <w:name w:val="endnote reference"/>
    <w:basedOn w:val="Fuentedeprrafopredeter"/>
    <w:uiPriority w:val="99"/>
    <w:semiHidden/>
    <w:unhideWhenUsed/>
    <w:rsid w:val="001B10D5"/>
    <w:rPr>
      <w:vertAlign w:val="superscript"/>
    </w:rPr>
  </w:style>
  <w:style w:type="character" w:customStyle="1" w:styleId="A10">
    <w:name w:val="A1"/>
    <w:uiPriority w:val="99"/>
    <w:rsid w:val="001B10D5"/>
    <w:rPr>
      <w:rFonts w:ascii="Myriad Pro" w:hAnsi="Myriad Pro" w:cs="Myriad Pro" w:hint="default"/>
      <w:color w:val="000000"/>
      <w:sz w:val="22"/>
      <w:szCs w:val="22"/>
    </w:rPr>
  </w:style>
  <w:style w:type="paragraph" w:customStyle="1" w:styleId="Pa9">
    <w:name w:val="Pa9"/>
    <w:basedOn w:val="Normal"/>
    <w:next w:val="Normal"/>
    <w:uiPriority w:val="99"/>
    <w:rsid w:val="001B10D5"/>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1B10D5"/>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1B10D5"/>
    <w:pPr>
      <w:spacing w:before="100" w:beforeAutospacing="1" w:after="100" w:afterAutospacing="1"/>
    </w:pPr>
    <w:rPr>
      <w:lang w:val="es-MX" w:eastAsia="es-MX"/>
    </w:rPr>
  </w:style>
  <w:style w:type="character" w:customStyle="1" w:styleId="nombrefraccder">
    <w:name w:val="nombrefraccder"/>
    <w:basedOn w:val="Fuentedeprrafopredeter"/>
    <w:rsid w:val="001B10D5"/>
  </w:style>
  <w:style w:type="character" w:customStyle="1" w:styleId="numberfraccder">
    <w:name w:val="numberfraccder"/>
    <w:basedOn w:val="Fuentedeprrafopredeter"/>
    <w:rsid w:val="001B10D5"/>
  </w:style>
  <w:style w:type="character" w:customStyle="1" w:styleId="TextoCar">
    <w:name w:val="Texto Car"/>
    <w:link w:val="Texto"/>
    <w:locked/>
    <w:rsid w:val="001B10D5"/>
    <w:rPr>
      <w:rFonts w:ascii="Arial" w:hAnsi="Arial" w:cs="Arial"/>
      <w:sz w:val="18"/>
      <w:szCs w:val="18"/>
      <w:lang w:val="es-MX" w:eastAsia="es-ES"/>
    </w:rPr>
  </w:style>
  <w:style w:type="character" w:styleId="nfasis">
    <w:name w:val="Emphasis"/>
    <w:basedOn w:val="Fuentedeprrafopredeter"/>
    <w:uiPriority w:val="20"/>
    <w:qFormat/>
    <w:rsid w:val="001B10D5"/>
    <w:rPr>
      <w:i/>
      <w:iCs/>
    </w:rPr>
  </w:style>
  <w:style w:type="character" w:customStyle="1" w:styleId="m5127500252372250437gmail-normaltextrun">
    <w:name w:val="m_5127500252372250437gmail-normaltextrun"/>
    <w:basedOn w:val="Fuentedeprrafopredeter"/>
    <w:rsid w:val="001B10D5"/>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34347.page" TargetMode="External"/><Relationship Id="rId13" Type="http://schemas.openxmlformats.org/officeDocument/2006/relationships/image" Target="media/image12.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364503.page"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q3lwR24HfgXDl9TdLZeX+bi0ng==">AMUW2mUURcG81L22RotszcqKyzi9FlLptl6U8DtjPohm/ndmMB+QIdE22Usx6htWmgsr7UTqu36kpxfQbuVdsTnNlx/HTy7scgGld3jyk2WaEOJN08EQG8rU8MhRluxQSo2iyXsROyEj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11635</Words>
  <Characters>66323</Characters>
  <Application>Microsoft Office Word</Application>
  <DocSecurity>0</DocSecurity>
  <Lines>552</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NAJERA </cp:lastModifiedBy>
  <cp:revision>4</cp:revision>
  <dcterms:created xsi:type="dcterms:W3CDTF">2022-06-02T18:35:00Z</dcterms:created>
  <dcterms:modified xsi:type="dcterms:W3CDTF">2022-06-08T23:46:00Z</dcterms:modified>
</cp:coreProperties>
</file>