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diecinueve de octubre de dos mil veintidós. </w:t>
      </w:r>
    </w:p>
    <w:p w:rsidR="003F0671" w:rsidRDefault="003F0671">
      <w:pPr>
        <w:spacing w:after="0" w:line="360" w:lineRule="auto"/>
        <w:ind w:right="49"/>
        <w:jc w:val="center"/>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Visto el expediente relativo al recurso de revisión </w:t>
      </w:r>
      <w:r>
        <w:rPr>
          <w:rFonts w:ascii="Palatino Linotype" w:eastAsia="Palatino Linotype" w:hAnsi="Palatino Linotype" w:cs="Palatino Linotype"/>
          <w:b/>
          <w:sz w:val="24"/>
          <w:szCs w:val="24"/>
        </w:rPr>
        <w:t>09629/INFOEM/IP/RR/2022</w:t>
      </w:r>
      <w:r>
        <w:rPr>
          <w:rFonts w:ascii="Palatino Linotype" w:eastAsia="Palatino Linotype" w:hAnsi="Palatino Linotype" w:cs="Palatino Linotype"/>
          <w:sz w:val="24"/>
          <w:szCs w:val="24"/>
        </w:rPr>
        <w:t xml:space="preserve">, interpuesto por </w:t>
      </w:r>
      <w:r w:rsidR="00D6500F">
        <w:rPr>
          <w:rFonts w:ascii="Palatino Linotype" w:eastAsia="Palatino Linotype" w:hAnsi="Palatino Linotype" w:cs="Palatino Linotype"/>
          <w:b/>
          <w:sz w:val="24"/>
          <w:szCs w:val="24"/>
        </w:rPr>
        <w:t xml:space="preserve">XXXXXX </w:t>
      </w:r>
      <w:proofErr w:type="spellStart"/>
      <w:r w:rsidR="00D6500F">
        <w:rPr>
          <w:rFonts w:ascii="Palatino Linotype" w:eastAsia="Palatino Linotype" w:hAnsi="Palatino Linotype" w:cs="Palatino Linotype"/>
          <w:b/>
          <w:sz w:val="24"/>
          <w:szCs w:val="24"/>
        </w:rPr>
        <w:t>XXXXXX</w:t>
      </w:r>
      <w:proofErr w:type="spellEnd"/>
      <w:r w:rsidR="00D6500F">
        <w:rPr>
          <w:rFonts w:ascii="Palatino Linotype" w:eastAsia="Palatino Linotype" w:hAnsi="Palatino Linotype" w:cs="Palatino Linotype"/>
          <w:b/>
          <w:sz w:val="24"/>
          <w:szCs w:val="24"/>
        </w:rPr>
        <w:t xml:space="preserve"> XXXXXXX</w:t>
      </w:r>
      <w:r>
        <w:rPr>
          <w:rFonts w:ascii="Palatino Linotype" w:eastAsia="Palatino Linotype" w:hAnsi="Palatino Linotype" w:cs="Palatino Linotype"/>
          <w:sz w:val="24"/>
          <w:szCs w:val="24"/>
        </w:rPr>
        <w:t xml:space="preserve">, al cual en lo sucesivo se le denominara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 respuesta a su solicitud de información identificada con número de folio </w:t>
      </w:r>
      <w:r>
        <w:rPr>
          <w:rFonts w:ascii="Palatino Linotype" w:eastAsia="Palatino Linotype" w:hAnsi="Palatino Linotype" w:cs="Palatino Linotype"/>
          <w:b/>
          <w:sz w:val="24"/>
          <w:szCs w:val="24"/>
        </w:rPr>
        <w:t>00079/MORELOS/IP/2022</w:t>
      </w:r>
      <w:r>
        <w:rPr>
          <w:rFonts w:ascii="Palatino Linotype" w:eastAsia="Palatino Linotype" w:hAnsi="Palatino Linotype" w:cs="Palatino Linotype"/>
          <w:sz w:val="24"/>
          <w:szCs w:val="24"/>
        </w:rPr>
        <w:t xml:space="preserve"> proporcionada por parte del Ayuntamiento de Morelos, en lo sucesivo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procede a dictar la presente resolución, con base en los siguientes: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b/>
          <w:sz w:val="24"/>
          <w:szCs w:val="24"/>
        </w:rPr>
        <w:tab/>
        <w:t>A N T E C E D E N T E 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Solicitud de acceso a la información.</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dieciséis de mayo de dos mil veintidós</w:t>
      </w:r>
      <w:r>
        <w:rPr>
          <w:rFonts w:ascii="Palatino Linotype" w:eastAsia="Palatino Linotype" w:hAnsi="Palatino Linotype" w:cs="Palatino Linotype"/>
          <w:color w:val="000000"/>
          <w:sz w:val="24"/>
          <w:szCs w:val="24"/>
        </w:rPr>
        <w:t xml:space="preserv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formuló solicitud de acceso a información pública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SABER A CUANTO ASCIENDE EL GASTO REALIZADO POR CONCEPTO DE REVESTIMIENTO DE CAMINOS, EN QUE LOCALIDADES SE HA LLEVADO A CABO, SI EL CONSUMO DE COMBUSTIBLE CORRE POR PARTE DEL MUNICIPIO Y SI LA MAQUINARIA ES PROPIA O POR ARRENDAMIENTO, EN ESE CASO, CONOCER EL MONTO DE </w:t>
      </w:r>
      <w:r>
        <w:rPr>
          <w:rFonts w:ascii="Palatino Linotype" w:eastAsia="Palatino Linotype" w:hAnsi="Palatino Linotype" w:cs="Palatino Linotype"/>
          <w:i/>
        </w:rPr>
        <w:lastRenderedPageBreak/>
        <w:t>ARRENDAMIENTO Y ANEXAR LOS CONTRATOS CON EL O LOS ARRENDADORES”.</w:t>
      </w:r>
    </w:p>
    <w:p w:rsidR="003F0671" w:rsidRDefault="003F0671">
      <w:pPr>
        <w:spacing w:after="0" w:line="360" w:lineRule="auto"/>
        <w:ind w:left="567" w:right="560"/>
        <w:jc w:val="both"/>
        <w:rPr>
          <w:rFonts w:ascii="Palatino Linotype" w:eastAsia="Palatino Linotype" w:hAnsi="Palatino Linotype" w:cs="Palatino Linotype"/>
          <w:i/>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Modalidad elegida para la entrega de la información:</w:t>
      </w:r>
      <w:r>
        <w:rPr>
          <w:rFonts w:ascii="Palatino Linotype" w:eastAsia="Palatino Linotype" w:hAnsi="Palatino Linotype" w:cs="Palatino Linotype"/>
          <w:sz w:val="24"/>
          <w:szCs w:val="24"/>
        </w:rPr>
        <w:t xml:space="preserve"> a través del Sistema de Acceso a la Información Mexiquense (SAIMEX).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veinticinco de mayo de dos mil veintidós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envió su respuesta a la solicitud de acceso a la información a través del SAIMEX, la cual versa como sigue: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Por medio del presente envió un saludo y al mismo tiempo conforme a lo establecido en los artículos 4, 12, 16, 19, 23 fracción IV, 24 fracción XI y último párrafo de la Ley de Transparencia y Acceso a la Información Pública del Estado de México y Municipios, en el sentido de dar respuesta a la solicitud de información No. 00079/MORELOS/IP/2022, recibida por esta dependencia a través del Sistema de Acceso a la Información Mexiquense (SAIMEX), con fecha de 16 de mayo de 2022, dirigida al Ayuntamiento de Morelos, Estado de México como sujeto Obligado de la Ley de Transparencia y Acceso a la Información Pública del Estado de México y Municipios, conforme al artículo 152 de la Ley de Transparencia y Acceso a la Información Pública del Estado de México y Municipios, se turnó al Sujeto Habilitado Director de Obras Públicas, Servicios Públicos, Alumbrado Público y Agua Potable del Ayuntamiento de Morelos, Estado de México, el cual mediante oficio signado DOP/001248/V/2022, remite así su contestación ante esta unidad de transparencia, la cual se adjunta con el presente oficio en formato PDF”. </w:t>
      </w:r>
    </w:p>
    <w:p w:rsidR="003F0671" w:rsidRDefault="003F0671">
      <w:pPr>
        <w:spacing w:after="0" w:line="360" w:lineRule="auto"/>
        <w:ind w:left="567" w:right="560"/>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Sujeto Obligado a su respuesta adjuntó un oficio de fecha veinticinco de mayo de dos mil veintidós, signado por el Responsable de la Unidad de Transparencia, </w:t>
      </w:r>
      <w:r>
        <w:rPr>
          <w:rFonts w:ascii="Palatino Linotype" w:eastAsia="Palatino Linotype" w:hAnsi="Palatino Linotype" w:cs="Palatino Linotype"/>
          <w:sz w:val="24"/>
          <w:szCs w:val="24"/>
        </w:rPr>
        <w:lastRenderedPageBreak/>
        <w:t>mediante el cual informó que la solicitud se turnó a la Dirección de Obras Públicas, Servicios Públicos, Alumbrado Público y Agua Potable del Ayuntamiento de Morelos, y en atención a ello, dicha unidad administrativa adjuntó un oficio en formato PDF.</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color w:val="000000"/>
          <w:sz w:val="24"/>
          <w:szCs w:val="24"/>
        </w:rPr>
        <w:t xml:space="preserve">Asimismo, envió un oficio de número DOP/001248/V/2022 de fecha veintitrés de mayo de dos mil veintidós, signado por el Director de Obras Públicas, Servicios Públicos, Alumbrado Público y Agua Potable, mediante el cual informó </w:t>
      </w:r>
      <w:r>
        <w:rPr>
          <w:rFonts w:ascii="Palatino Linotype" w:eastAsia="Palatino Linotype" w:hAnsi="Palatino Linotype" w:cs="Palatino Linotype"/>
          <w:b/>
          <w:color w:val="000000"/>
          <w:sz w:val="24"/>
          <w:szCs w:val="24"/>
          <w:u w:val="single"/>
        </w:rPr>
        <w:t>que el solicitante pretende que se atiendan cuestionamientos a través del procesamiento de información, además de que requiere que se elabore un documento ad hoc.</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Particular, derivado de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interpuso Recurso de Revisión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veinticinco de mayo de dos mil veintidós</w:t>
      </w:r>
      <w:r>
        <w:rPr>
          <w:rFonts w:ascii="Palatino Linotype" w:eastAsia="Palatino Linotype" w:hAnsi="Palatino Linotype" w:cs="Palatino Linotype"/>
          <w:color w:val="000000"/>
          <w:sz w:val="24"/>
          <w:szCs w:val="24"/>
        </w:rPr>
        <w:t>, a través del cual expresó lo siguiente:</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numPr>
          <w:ilvl w:val="0"/>
          <w:numId w:val="5"/>
        </w:numPr>
        <w:pBdr>
          <w:top w:val="nil"/>
          <w:left w:val="nil"/>
          <w:bottom w:val="nil"/>
          <w:right w:val="nil"/>
          <w:between w:val="nil"/>
        </w:pBdr>
        <w:spacing w:after="0" w:line="360" w:lineRule="auto"/>
        <w:ind w:left="567" w:right="49"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LA NEGATIVA DE LA INFORMACION”.</w:t>
      </w:r>
    </w:p>
    <w:p w:rsidR="003F0671" w:rsidRDefault="003F0671">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color w:val="000000"/>
          <w:sz w:val="24"/>
          <w:szCs w:val="24"/>
        </w:rPr>
      </w:pPr>
    </w:p>
    <w:p w:rsidR="003F0671" w:rsidRDefault="003C59FF">
      <w:pPr>
        <w:numPr>
          <w:ilvl w:val="0"/>
          <w:numId w:val="5"/>
        </w:numPr>
        <w:pBdr>
          <w:top w:val="nil"/>
          <w:left w:val="nil"/>
          <w:bottom w:val="nil"/>
          <w:right w:val="nil"/>
          <w:between w:val="nil"/>
        </w:pBdr>
        <w:spacing w:after="0" w:line="360" w:lineRule="auto"/>
        <w:ind w:left="567" w:right="49"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Razones o motivos de la inconformidad: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EL DIRECTOR DE OBRAS PRETENDE TOMARME EL PELO Y SUPONE QUE LE ESTOY SOLICITANDO EL PROCESAMIENTO DE DATOS, SOLO REQUIERO QUE EL INFOEM ANALICE LA SOLICITUD Y OBLIGUE AL AYUNTAMIENTO DE MORELOS A ENTREGAR LA INFORMACIÓN QUE SOLICITO, ES INFORMACIÓN QUE DEBE SER PUBLICA PORQUE ESTA EN POSESIÓN DE UN ENTE PUBLICO. SOLICITO QUE SE SANCIONE AL TITULAR DE TRANSPARENCIA POR NO GARNTIZAR EL ACDESO A LA INFORMACIÓN. </w:t>
      </w:r>
      <w:r>
        <w:rPr>
          <w:rFonts w:ascii="Palatino Linotype" w:eastAsia="Palatino Linotype" w:hAnsi="Palatino Linotype" w:cs="Palatino Linotype"/>
          <w:b/>
          <w:i/>
          <w:color w:val="000000"/>
          <w:u w:val="single"/>
        </w:rPr>
        <w:t xml:space="preserve">REQUIERO SABER A CUANTO ASCIENDE EL GASTO REALIZADO POR CONCEPTO DE REVESTIMIENTO DE CAMINOS, EN QUE </w:t>
      </w:r>
      <w:r>
        <w:rPr>
          <w:rFonts w:ascii="Palatino Linotype" w:eastAsia="Palatino Linotype" w:hAnsi="Palatino Linotype" w:cs="Palatino Linotype"/>
          <w:b/>
          <w:i/>
          <w:color w:val="000000"/>
          <w:u w:val="single"/>
        </w:rPr>
        <w:lastRenderedPageBreak/>
        <w:t>LOCALIDADES SE HA LLEVADO A CABO, SI EL CONSUMO DE COMBUSTIBLE CORRE POR PARTE DEL MUNICIPIO Y SI LA MAQUINARIA ES PROPIA O POR ARRENDAMIENTO, EN ESE CASO, CONOCER EL MONTO DE ARRENDAMIENTO Y ANEXAR LOS CONTRATOS CON EL O LOS ARRENDADORES, TODO ESTO DURANTE EL EJERCICIO 2022, LOS QUE SE HAN COMENZADO</w:t>
      </w:r>
      <w:r>
        <w:rPr>
          <w:rFonts w:ascii="Palatino Linotype" w:eastAsia="Palatino Linotype" w:hAnsi="Palatino Linotype" w:cs="Palatino Linotype"/>
          <w:i/>
          <w:color w:val="000000"/>
        </w:rPr>
        <w:t>”.</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Turno.</w:t>
      </w:r>
      <w:r>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4"/>
          <w:szCs w:val="24"/>
        </w:rPr>
        <w:t>09629/INFOEM/IP/RR/2022</w:t>
      </w:r>
      <w:r>
        <w:rPr>
          <w:rFonts w:ascii="Palatino Linotype" w:eastAsia="Palatino Linotype" w:hAnsi="Palatino Linotype" w:cs="Palatino Linotype"/>
          <w:color w:val="000000"/>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Admisión del recurso de revisión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treinta de mayo de dos mil veintidós</w:t>
      </w:r>
      <w:r>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Manifestaciones:</w:t>
      </w:r>
      <w:r>
        <w:rPr>
          <w:rFonts w:ascii="Palatino Linotype" w:eastAsia="Palatino Linotype" w:hAnsi="Palatino Linotype" w:cs="Palatino Linotype"/>
          <w:color w:val="000000"/>
          <w:sz w:val="24"/>
          <w:szCs w:val="24"/>
        </w:rPr>
        <w:t xml:space="preserve"> Las partes fueron omisas en rendir manifestaciones, como se advierte a continuación: </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5756275" cy="137477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1374775"/>
                    </a:xfrm>
                    <a:prstGeom prst="rect">
                      <a:avLst/>
                    </a:prstGeom>
                    <a:ln/>
                  </pic:spPr>
                </pic:pic>
              </a:graphicData>
            </a:graphic>
          </wp:inline>
        </w:drawing>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Cierre de instrucción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cinco de octubre de dos mil veintidós</w:t>
      </w:r>
      <w:r>
        <w:rPr>
          <w:rFonts w:ascii="Palatino Linotype" w:eastAsia="Palatino Linotype" w:hAnsi="Palatino Linotype" w:cs="Palatino Linotype"/>
          <w:color w:val="000000"/>
          <w:sz w:val="24"/>
          <w:szCs w:val="24"/>
        </w:rPr>
        <w:t>, la Comisionada Ponente determinó el cierre de instrucción en términos de la fracción VI del artículo 185 de la Ley de Transparencia y Acceso a la Información Pública del Estado de México y Municipios.</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numPr>
          <w:ilvl w:val="0"/>
          <w:numId w:val="4"/>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Ampliación de plazo:</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doce de octubre de dos mil veintidós</w:t>
      </w:r>
      <w:r>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sz w:val="24"/>
          <w:szCs w:val="24"/>
        </w:rPr>
        <w:t>a</w:t>
      </w:r>
      <w:r>
        <w:rPr>
          <w:rFonts w:ascii="Palatino Linotype" w:eastAsia="Palatino Linotype" w:hAnsi="Palatino Linotype" w:cs="Palatino Linotype"/>
          <w:b/>
        </w:rPr>
        <w:t>)    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w:t>
      </w:r>
    </w:p>
    <w:p w:rsidR="003F0671" w:rsidRDefault="003C59FF">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b)   Actividad Procesal del interesado</w:t>
      </w:r>
      <w:r>
        <w:rPr>
          <w:rFonts w:ascii="Palatino Linotype" w:eastAsia="Palatino Linotype" w:hAnsi="Palatino Linotype" w:cs="Palatino Linotype"/>
        </w:rPr>
        <w:t>: Acciones u omisiones del interesado.</w:t>
      </w:r>
    </w:p>
    <w:p w:rsidR="003F0671" w:rsidRDefault="003C59FF">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lastRenderedPageBreak/>
        <w:t>c)  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3F0671" w:rsidRDefault="003C59FF">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J. 32/92 emitida por el Pleno de la Suprema Corte de Justicia de la Nación de rubro “</w:t>
      </w:r>
      <w:r>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left="567" w:right="560"/>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 “PLAZO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3F0671" w:rsidRDefault="003C59FF">
      <w:pPr>
        <w:spacing w:after="0" w:line="360" w:lineRule="auto"/>
        <w:ind w:left="567" w:right="5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left="567" w:right="560"/>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xml:space="preserve"> visible en el Seminario Judicial de la Federación y su gaceta, con el registro digital 2002350.</w:t>
      </w:r>
    </w:p>
    <w:p w:rsidR="003F0671" w:rsidRDefault="003F06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F0671" w:rsidRDefault="003C59F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b/>
          <w:sz w:val="24"/>
          <w:szCs w:val="24"/>
        </w:rPr>
        <w:tab/>
        <w:t>C O N S I D E R A N D 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w:t>
      </w:r>
      <w:proofErr w:type="spellStart"/>
      <w:r>
        <w:rPr>
          <w:rFonts w:ascii="Palatino Linotype" w:eastAsia="Palatino Linotype" w:hAnsi="Palatino Linotype" w:cs="Palatino Linotype"/>
          <w:b/>
          <w:sz w:val="24"/>
          <w:szCs w:val="24"/>
        </w:rPr>
        <w:t>Procedibilidad</w:t>
      </w:r>
      <w:proofErr w:type="spellEnd"/>
      <w:r>
        <w:rPr>
          <w:rFonts w:ascii="Palatino Linotype" w:eastAsia="Palatino Linotype" w:hAnsi="Palatino Linotype" w:cs="Palatino Linotype"/>
          <w:b/>
          <w:sz w:val="24"/>
          <w:szCs w:val="24"/>
        </w:rPr>
        <w:t xml:space="preserve"> del Recurso de Revisión.</w:t>
      </w:r>
      <w:r>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El recurso de revisión fue interpuesto dentro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la respuesta a la solicitud de información el </w:t>
      </w:r>
      <w:r>
        <w:rPr>
          <w:rFonts w:ascii="Palatino Linotype" w:eastAsia="Palatino Linotype" w:hAnsi="Palatino Linotype" w:cs="Palatino Linotype"/>
          <w:b/>
          <w:sz w:val="24"/>
          <w:szCs w:val="24"/>
        </w:rPr>
        <w:t>veinticinco de mayo de dos mil veintidós</w:t>
      </w:r>
      <w:r>
        <w:rPr>
          <w:rFonts w:ascii="Palatino Linotype" w:eastAsia="Palatino Linotype" w:hAnsi="Palatino Linotype" w:cs="Palatino Linotype"/>
          <w:sz w:val="24"/>
          <w:szCs w:val="24"/>
        </w:rPr>
        <w:t xml:space="preserve">, mientras que el recurso de revisión interpuesto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se tuvo por presentado el mismo día en que se tuvo conocimiento de la respuesta.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al considerar la fecha en que se formuló la solicitud y la fecha en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así como la fecha en que se interpuso el recurso de revisión, se concluye que el presente recurso de revisión se encuentra dentro de los márgenes temporales previstos en las disposiciones legales referidas.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3F0671" w:rsidRDefault="003F06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F0671" w:rsidRDefault="003C59FF">
      <w:pPr>
        <w:pBdr>
          <w:top w:val="nil"/>
          <w:left w:val="nil"/>
          <w:bottom w:val="nil"/>
          <w:right w:val="nil"/>
          <w:between w:val="nil"/>
        </w:pBdr>
        <w:spacing w:after="0" w:line="276" w:lineRule="auto"/>
        <w:ind w:left="851" w:right="902"/>
        <w:jc w:val="both"/>
        <w:rPr>
          <w:rFonts w:ascii="Times New Roman" w:eastAsia="Times New Roman" w:hAnsi="Times New Roman" w:cs="Times New Roman"/>
          <w:color w:val="000000"/>
        </w:rPr>
      </w:pPr>
      <w:r>
        <w:rPr>
          <w:rFonts w:ascii="Palatino Linotype" w:eastAsia="Palatino Linotype" w:hAnsi="Palatino Linotype" w:cs="Palatino Linotype"/>
          <w:b/>
          <w:i/>
          <w:color w:val="000000"/>
        </w:rPr>
        <w:t>“RECURSO DE RECLAMACIÓN. SU INTERPOSICIÓN NO ES EXTEMPORÁNEA SI SE REALIZA ANTES DE QUE INICIE EL PLAZO PARA HACERLO</w:t>
      </w:r>
      <w:r>
        <w:rPr>
          <w:rFonts w:ascii="Palatino Linotype" w:eastAsia="Palatino Linotype" w:hAnsi="Palatino Linotype" w:cs="Palatino Linotype"/>
          <w:i/>
          <w:color w:val="000000"/>
        </w:rPr>
        <w:t>.</w:t>
      </w:r>
    </w:p>
    <w:p w:rsidR="003F0671" w:rsidRDefault="003C59FF">
      <w:pPr>
        <w:pBdr>
          <w:top w:val="nil"/>
          <w:left w:val="nil"/>
          <w:bottom w:val="nil"/>
          <w:right w:val="nil"/>
          <w:between w:val="nil"/>
        </w:pBdr>
        <w:spacing w:after="0" w:line="276" w:lineRule="auto"/>
        <w:ind w:left="851" w:right="902"/>
        <w:jc w:val="both"/>
        <w:rPr>
          <w:rFonts w:ascii="Times New Roman" w:eastAsia="Times New Roman" w:hAnsi="Times New Roman" w:cs="Times New Roman"/>
          <w:color w:val="000000"/>
        </w:rPr>
      </w:pPr>
      <w:r>
        <w:rPr>
          <w:rFonts w:ascii="Palatino Linotype" w:eastAsia="Palatino Linotype" w:hAnsi="Palatino Linotype" w:cs="Palatino Linotype"/>
          <w:i/>
          <w:color w:val="000000"/>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 SAIMEX.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resulta procedente la interposición del recurso de revisión al rubro anotado, toda vez que se actualiza la hipótesis de procedencia prevista en el artículo 179, fracción I de la Ley de la materia, que a la letra dice: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Materia de la revisión</w:t>
      </w:r>
      <w:r>
        <w:rPr>
          <w:rFonts w:ascii="Palatino Linotype" w:eastAsia="Palatino Linotype" w:hAnsi="Palatino Linotype" w:cs="Palatino Linotype"/>
          <w:sz w:val="24"/>
          <w:szCs w:val="24"/>
        </w:rPr>
        <w:t xml:space="preserve">. 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sz w:val="24"/>
          <w:szCs w:val="24"/>
        </w:rPr>
        <w:lastRenderedPageBreak/>
        <w:t>en determinar, si se actualiza la hipótesis prevista en la fracción I del artículo 179 de la Ley en la materia, es decir; si el sujeto obligado negó la información solicitada por el Recurrente de manera fundada y motivada.</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Estudio de fondo del asunto.</w:t>
      </w:r>
      <w:r>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1o.</w:t>
      </w:r>
      <w:r>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“Artículo 6o.</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 Para el ejercicio del derecho de acceso a la información, la Federación y las entidades federativas, en el ámbito de sus respectivas competencias, se regirán por los siguientes principios y bases: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w:t>
      </w:r>
      <w:r>
        <w:rPr>
          <w:rFonts w:ascii="Palatino Linotype" w:eastAsia="Palatino Linotype" w:hAnsi="Palatino Linotype" w:cs="Palatino Linotype"/>
          <w:sz w:val="24"/>
          <w:szCs w:val="24"/>
        </w:rPr>
        <w:lastRenderedPageBreak/>
        <w:t>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3F0671" w:rsidRDefault="003F0671">
      <w:pPr>
        <w:spacing w:after="0" w:line="276" w:lineRule="auto"/>
        <w:ind w:left="567" w:right="560"/>
        <w:jc w:val="both"/>
        <w:rPr>
          <w:rFonts w:ascii="Palatino Linotype" w:eastAsia="Palatino Linotype" w:hAnsi="Palatino Linotype" w:cs="Palatino Linotype"/>
          <w:i/>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Criterio 03/17</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“NO EXISTE OBLIGACIÓN DE ELABORAR DOCUMENTOS AD HOC PARA ATENDER LAS SOLICITUDES DE ACCESO A LA INFORMACIÓN. </w:t>
      </w: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0671" w:rsidRDefault="003F0671">
      <w:pPr>
        <w:spacing w:after="0" w:line="360" w:lineRule="auto"/>
        <w:ind w:left="567" w:right="560"/>
        <w:jc w:val="both"/>
        <w:rPr>
          <w:rFonts w:ascii="Palatino Linotype" w:eastAsia="Palatino Linotype" w:hAnsi="Palatino Linotype" w:cs="Palatino Linotype"/>
          <w:b/>
          <w:i/>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0002-11</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1)</w:t>
      </w:r>
      <w:r>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2)</w:t>
      </w:r>
      <w:r>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las actuaciones que integran el expediente electrónico, se procede al análisis del agravio hecho valer por el Recurrente, relativo a la negativa de la información solicitada, lo que actualiza la causal de procedencia prevista en la fracción I del artículo 179 de la Ley de Transparencia y Acceso a la Información Pública del Estado de México y Municipios.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ello, en principio resulta recordar que la pretensión del ahora Recurrente es obtener la siguiente información: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1"/>
        </w:numPr>
        <w:pBdr>
          <w:top w:val="nil"/>
          <w:left w:val="nil"/>
          <w:bottom w:val="nil"/>
          <w:right w:val="nil"/>
          <w:between w:val="nil"/>
        </w:pBdr>
        <w:spacing w:after="0" w:line="360" w:lineRule="auto"/>
        <w:ind w:left="993" w:right="56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Monto del gasto realizado por concepto de revestimiento de caminos.</w:t>
      </w:r>
    </w:p>
    <w:p w:rsidR="003F0671" w:rsidRDefault="003C59FF">
      <w:pPr>
        <w:numPr>
          <w:ilvl w:val="0"/>
          <w:numId w:val="1"/>
        </w:numPr>
        <w:pBdr>
          <w:top w:val="nil"/>
          <w:left w:val="nil"/>
          <w:bottom w:val="nil"/>
          <w:right w:val="nil"/>
          <w:between w:val="nil"/>
        </w:pBdr>
        <w:spacing w:after="0" w:line="360" w:lineRule="auto"/>
        <w:ind w:left="993" w:right="56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Localidades en las que se ha llevado a cabo.</w:t>
      </w:r>
    </w:p>
    <w:p w:rsidR="003F0671" w:rsidRDefault="003C59FF">
      <w:pPr>
        <w:numPr>
          <w:ilvl w:val="0"/>
          <w:numId w:val="1"/>
        </w:numPr>
        <w:pBdr>
          <w:top w:val="nil"/>
          <w:left w:val="nil"/>
          <w:bottom w:val="nil"/>
          <w:right w:val="nil"/>
          <w:between w:val="nil"/>
        </w:pBdr>
        <w:spacing w:after="0" w:line="360" w:lineRule="auto"/>
        <w:ind w:left="993" w:right="56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Conocer si el consumo de combustible corre por parte del municipio.</w:t>
      </w:r>
    </w:p>
    <w:p w:rsidR="003F0671" w:rsidRDefault="003C59FF">
      <w:pPr>
        <w:numPr>
          <w:ilvl w:val="0"/>
          <w:numId w:val="1"/>
        </w:numPr>
        <w:pBdr>
          <w:top w:val="nil"/>
          <w:left w:val="nil"/>
          <w:bottom w:val="nil"/>
          <w:right w:val="nil"/>
          <w:between w:val="nil"/>
        </w:pBdr>
        <w:spacing w:after="0" w:line="360" w:lineRule="auto"/>
        <w:ind w:left="993" w:right="56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Conocer si la maquinaria es propia o por arrendamiento, en ese caso, conocer el monto de arrendamiento y anexar los contratos con el o los arrendadores. </w:t>
      </w:r>
    </w:p>
    <w:p w:rsidR="003F0671" w:rsidRDefault="003F067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el Sujeto Obligado a través del Director de Obras Públicas, Servicios Públicos, Alumbrado Público y Agua Potable refirió que el solicitante pretendía que se atendieran cuestionamientos a través del procesamiento de la información, además de que requiere que la información sea entregada conforme a sus intereses, de lo cual no tiene obligación.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por lo que, el Particular se inconformó al referir medularmente que el Sujeto Obligado le había negado la información bajo el argumento de que necesita procesar datos.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se procede a realizar el análisis de la información solicitada, al tenor de lo siguiente: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Del estudio del agravio hecho valer en el Recurso de Revisión.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señaló el Particular se inconformó arguyendo que el Sujeto Obligado le había negado la información debido a que esta debía ser procesada, a lo cual no está obligado en términos del artículo 12 de la Ley de Transparencia y Acceso a la Información Pública del Estado de México y Municipios.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lastRenderedPageBreak/>
        <w:t xml:space="preserve">En ese sentido, la Litis a resolver en el presente asunto, </w:t>
      </w:r>
      <w:r>
        <w:rPr>
          <w:rFonts w:ascii="Palatino Linotype" w:eastAsia="Palatino Linotype" w:hAnsi="Palatino Linotype" w:cs="Palatino Linotype"/>
          <w:b/>
          <w:sz w:val="24"/>
          <w:szCs w:val="24"/>
        </w:rPr>
        <w:t xml:space="preserve">es precisamente determinar si se le había negado la información porque lo peticionado debe ser procesado por el Sujeto Obligado, lo que no es una obligación.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Para ello, es de recordar que la pretensión del Particular es obtener el monto del gasto realizado por concepto de revestimiento de camino, las localidades en las que se ha llevado a cabo, conocer si el consumo de combustible corre a cuenta del municipio así como si la maquinaria es propia o arrendada y, en cualquiera de los dos casos, saber el monto de arrendamiento y obtener los contratos correspondientes.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lectura a los requerimientos del Particular, se puede considerar que parte de estos se hicieron a modo de consulta, lo cual nos podría llevar a pensar que no pueden ser atendidos vía acceso a la información, sin embargo, de conformidad con el Criterio 16/17 emitido por el Instituto Nacional de Transparencia, Acceso a la Información y Protección de Datos Personales, los sujetos obligados deben dar una expresión documental  a las solicitudes de información que si bien pueden ser una consulta, la respuesta puede obrar en algún archivo en su poder, tal como se advierte a continuación: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Expresión documental.</w:t>
      </w:r>
      <w:r>
        <w:rPr>
          <w:rFonts w:ascii="Palatino Linotype" w:eastAsia="Palatino Linotype" w:hAnsi="Palatino Linotype" w:cs="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Es por lo que, en principio resulta importante mencionar que de conformidad con la Norma Técnica N-CRT-CAR-1-04-001/00 emitida por la Secretaría de Comunicaciones y Transportes (consultada en </w:t>
      </w:r>
      <w:hyperlink r:id="rId9">
        <w:r>
          <w:rPr>
            <w:rFonts w:ascii="Palatino Linotype" w:eastAsia="Palatino Linotype" w:hAnsi="Palatino Linotype" w:cs="Palatino Linotype"/>
            <w:color w:val="0563C1"/>
            <w:sz w:val="24"/>
            <w:szCs w:val="24"/>
            <w:u w:val="single"/>
          </w:rPr>
          <w:t>https://normas.imt.mx/normativa/N-CTR-CAR-1-04-001-00.pdf</w:t>
        </w:r>
      </w:hyperlink>
      <w:r>
        <w:rPr>
          <w:rFonts w:ascii="Palatino Linotype" w:eastAsia="Palatino Linotype" w:hAnsi="Palatino Linotype" w:cs="Palatino Linotype"/>
          <w:sz w:val="24"/>
          <w:szCs w:val="24"/>
        </w:rPr>
        <w:t xml:space="preserve">), define como “revestimiento” a la capa de materiales pétreos seleccionados con una composición granulométrica determinada, que se coloca sobre las terracerías con el objeto de servir como superficie de rodamiento.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de acuerdo con el Manual de Revestimiento y Mantenimiento de Caminos emitido por la Organización Internacional del Trabajo (consultada en </w:t>
      </w:r>
      <w:hyperlink r:id="rId10">
        <w:r>
          <w:rPr>
            <w:rFonts w:ascii="Palatino Linotype" w:eastAsia="Palatino Linotype" w:hAnsi="Palatino Linotype" w:cs="Palatino Linotype"/>
            <w:color w:val="0563C1"/>
            <w:sz w:val="24"/>
            <w:szCs w:val="24"/>
            <w:u w:val="single"/>
          </w:rPr>
          <w:t>https://www.ilo.org/public/spanish/employment/recon/eiip/download/romarman.pdf</w:t>
        </w:r>
      </w:hyperlink>
      <w:r>
        <w:rPr>
          <w:rFonts w:ascii="Palatino Linotype" w:eastAsia="Palatino Linotype" w:hAnsi="Palatino Linotype" w:cs="Palatino Linotype"/>
          <w:sz w:val="24"/>
          <w:szCs w:val="24"/>
        </w:rPr>
        <w:t xml:space="preserve">), el “revestimiento” consiste principalmente en el rediseño y rehabilitación del camino y el mantenimiento de esto a largo plazo, es decir; esta práctica busca principalmente prolongar la vida de los caminos y mejorar la calidad en el transporte.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de conformidad con el Código Administrativo del Estado de México, la ejecución de las obras públicas o servicios relacionados con estas, corresponderá a la Secretaría del Ramo y a los ayuntamientos, </w:t>
      </w:r>
      <w:r>
        <w:rPr>
          <w:rFonts w:ascii="Palatino Linotype" w:eastAsia="Palatino Linotype" w:hAnsi="Palatino Linotype" w:cs="Palatino Linotype"/>
          <w:b/>
          <w:sz w:val="24"/>
          <w:szCs w:val="24"/>
          <w:u w:val="single"/>
        </w:rPr>
        <w:t>mediante contrato con terceros o por administración directa</w:t>
      </w:r>
      <w:r>
        <w:rPr>
          <w:rFonts w:ascii="Palatino Linotype" w:eastAsia="Palatino Linotype" w:hAnsi="Palatino Linotype" w:cs="Palatino Linotype"/>
          <w:sz w:val="24"/>
          <w:szCs w:val="24"/>
        </w:rPr>
        <w:t xml:space="preserve">, tal como se advierte a continuación;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b/>
          <w:i/>
        </w:rPr>
        <w:t>Artículo 12.8.-</w:t>
      </w:r>
      <w:r>
        <w:rPr>
          <w:rFonts w:ascii="Palatino Linotype" w:eastAsia="Palatino Linotype" w:hAnsi="Palatino Linotype" w:cs="Palatino Linotype"/>
          <w:i/>
        </w:rPr>
        <w:t xml:space="preserve"> Corresponde a la Secretaría del Ramo y a los ayuntamientos, en el ámbito de sus respectivas competencias, ejecutar la obra pública, mediante contrato con terceros o por administración directa.</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mismo orden de ideas, es necesario traer a colación que de conformidad con los fines que persigue el Ayuntamiento enunciados en el Bando Municipal de Morelos, </w:t>
      </w:r>
      <w:r>
        <w:rPr>
          <w:rFonts w:ascii="Palatino Linotype" w:eastAsia="Palatino Linotype" w:hAnsi="Palatino Linotype" w:cs="Palatino Linotype"/>
          <w:sz w:val="24"/>
          <w:szCs w:val="24"/>
        </w:rPr>
        <w:lastRenderedPageBreak/>
        <w:t>este Ente Público debe emprender acciones que preserven el territorio municipal, así como aquellas encaminadas a satisfacer las necesidades colectivas para garantizar una mejor calidad de vida, entre otros, tal como se observa a continuación: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20.-</w:t>
      </w:r>
      <w:r>
        <w:rPr>
          <w:rFonts w:ascii="Palatino Linotype" w:eastAsia="Palatino Linotype" w:hAnsi="Palatino Linotype" w:cs="Palatino Linotype"/>
          <w:i/>
        </w:rPr>
        <w:t xml:space="preserve"> La actividad del Municipio va encaminada a cumplir con los fines siguientes: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 Emprender acciones para preservar, salvaguardar, embellecer y modernizar el territorio municipal;</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 Emprender acciones para la adecuada prestación de los servicios públicos municipales encaminadas a satisfacer las necesidades colectivas prioritarias para garantizar una mejor calidad de vida;</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 Impulsar el desarrollo urbano y rural dentro del territorio municipal;</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XVIII. Preservar y salvaguardar la integridad territorial del Municipio;</w:t>
      </w:r>
    </w:p>
    <w:p w:rsidR="003F0671" w:rsidRDefault="003C59FF">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w:t>
      </w:r>
    </w:p>
    <w:p w:rsidR="003F0671" w:rsidRDefault="003F0671">
      <w:pPr>
        <w:spacing w:after="0" w:line="276" w:lineRule="auto"/>
        <w:ind w:left="567" w:right="560"/>
        <w:jc w:val="both"/>
        <w:rPr>
          <w:rFonts w:ascii="Palatino Linotype" w:eastAsia="Palatino Linotype" w:hAnsi="Palatino Linotype" w:cs="Palatino Linotype"/>
          <w:i/>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anterior, para el cumplimiento de sus fines, la administración pública municipal estará integrada por diversas dependencias, entre ellas las que se encuentran contempladas en el artículo 76 del Bando Municipal de Morelos, y que son las siguientes: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76.-</w:t>
      </w:r>
      <w:r>
        <w:rPr>
          <w:rFonts w:ascii="Palatino Linotype" w:eastAsia="Palatino Linotype" w:hAnsi="Palatino Linotype" w:cs="Palatino Linotype"/>
          <w:i/>
        </w:rPr>
        <w:t xml:space="preserve"> La Administración Pública Municipal, estará integrada por las siguientes Dependencias Administrativas: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3 Tesorería Municipal;</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5 Dirección de Administración;</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6 Dirección de Obras Públicas, Servicios Públicos, Alumbrado Público y Agua Potable;</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7 Dirección de Desarrollo Urbano Sustentable y Ecología;</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se tiene que, dichas dependencias cumplirán con lo que establece el Bando Municipal en sus artículos 100, 107, 118 y 126, que a la literalidad es lo siguiente: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100.-</w:t>
      </w:r>
      <w:r>
        <w:rPr>
          <w:rFonts w:ascii="Palatino Linotype" w:eastAsia="Palatino Linotype" w:hAnsi="Palatino Linotype" w:cs="Palatino Linotype"/>
          <w:i/>
        </w:rPr>
        <w:t xml:space="preserve"> Al titular de la Tesorería Municipal le corresponde, además de las atribuciones que le confieren la Ley Orgánica Municipal del Estado de México y el Código Financiero del Estado de México y Municipios, el despacho de los siguientes asuntos:</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Proponer al ayuntamiento los presupuestos de ingresos y egresos; informar de su ejercicio y sugerir las modificaciones, en caso de ser necesario.</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107.-</w:t>
      </w:r>
      <w:r>
        <w:rPr>
          <w:rFonts w:ascii="Palatino Linotype" w:eastAsia="Palatino Linotype" w:hAnsi="Palatino Linotype" w:cs="Palatino Linotype"/>
          <w:i/>
        </w:rPr>
        <w:t xml:space="preserve"> El titular de la Dirección de Administración tiene las siguientes atribuciones: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III. Llevar a cabo el mantenimiento y resguardo de los bienes muebles del Ayuntamiento</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Ordenar el suministro de combustibles de los vehículos que integran el parque </w:t>
      </w:r>
      <w:proofErr w:type="spellStart"/>
      <w:r>
        <w:rPr>
          <w:rFonts w:ascii="Palatino Linotype" w:eastAsia="Palatino Linotype" w:hAnsi="Palatino Linotype" w:cs="Palatino Linotype"/>
          <w:i/>
        </w:rPr>
        <w:t>vehícular</w:t>
      </w:r>
      <w:proofErr w:type="spellEnd"/>
      <w:r>
        <w:rPr>
          <w:rFonts w:ascii="Palatino Linotype" w:eastAsia="Palatino Linotype" w:hAnsi="Palatino Linotype" w:cs="Palatino Linotype"/>
          <w:i/>
        </w:rPr>
        <w:t xml:space="preserve"> municipal, a vehículos particulares de los servidores públicos, bajo principios de racionalidad, siempre y cuando realicen funciones inherentes al desempeño de funciones propias de la administración pública municipal y previa autorización de la Presidenta Municipal.</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118.-</w:t>
      </w:r>
      <w:r>
        <w:rPr>
          <w:rFonts w:ascii="Palatino Linotype" w:eastAsia="Palatino Linotype" w:hAnsi="Palatino Linotype" w:cs="Palatino Linotype"/>
          <w:i/>
        </w:rPr>
        <w:t xml:space="preserve"> Las atribuciones que tiene el titular de la Dirección de Obras Públicas, Servicios Públicos, alumbrado Público y Agua Potable, en términos del presente Bando y demás disposiciones legales son:</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 Administrar y ejercer en el ámbito de su competencia y de manera coordinada con algunas otras áreas del Ayuntamiento, los Recursos Públicos sean estos, Federales los cuales estarán normados por la Ley de Obras Publicas y Servicios relacionados con la misma y su reglamento correspondiente, Estatales y Recursos Propios, los cuales estarán normados por el Libro Décimo Segundo y su Reglamento, y así cumplir la Normatividad aplicable, </w:t>
      </w:r>
      <w:r>
        <w:rPr>
          <w:rFonts w:ascii="Palatino Linotype" w:eastAsia="Palatino Linotype" w:hAnsi="Palatino Linotype" w:cs="Palatino Linotype"/>
          <w:i/>
        </w:rPr>
        <w:lastRenderedPageBreak/>
        <w:t xml:space="preserve">también ser congruentes con los planes, programas, especificaciones técnicas, controles y procedimientos administrativos vigentes;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II. Vigilar que las Obras Públicas y servicios relacionados, cumplan con los requisitos de seguridad y observancia a las normas de construcción y demás relativos a su proceso de construcción;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III. Integrar y autorizar con su firma la documentación que, en materia de obra pública debe presentarse a las diferentes instancias de Gobierno tanto Federal como Estatal, principalmente al Órgano Superior de Fiscalización del Estado de México (OSFEM), a la Dirección de Planeación y Gasto Publico, Instituciones Normativas de sector como son: Salud, Educación, Media Ambiente y electrificación;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IV. Vigilar la elaboración de los Expedientes Técnicos, siguiendo las etapas de planeación, programación, </w:t>
      </w:r>
      <w:proofErr w:type="spellStart"/>
      <w:r>
        <w:rPr>
          <w:rFonts w:ascii="Palatino Linotype" w:eastAsia="Palatino Linotype" w:hAnsi="Palatino Linotype" w:cs="Palatino Linotype"/>
          <w:i/>
        </w:rPr>
        <w:t>presupuestación</w:t>
      </w:r>
      <w:proofErr w:type="spellEnd"/>
      <w:r>
        <w:rPr>
          <w:rFonts w:ascii="Palatino Linotype" w:eastAsia="Palatino Linotype" w:hAnsi="Palatino Linotype" w:cs="Palatino Linotype"/>
          <w:i/>
        </w:rPr>
        <w:t>, de igual forma integrar y verificar el Expediente Técnico o Libro Blanco, en donde quedaran plasmadas las seis etapas de la obra pública, parta en un futuro hace frente cualquier observación o auditoria, por los entes fiscalizadores;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V. Asegurarse de que el personal técnico adscrito a Obras Publicas, me refiero a Supervisores, Residentes y Analista de Precios Unitarios se encuentren certificados;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VI. Cuidar que, en la etapa de adjudicación y contratación, se integren todos los documentos que la normatividad nos indica, sea por adjudicación directa, Invitación Restringida o Licitación Pública;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VII. En cuanto a la etapa de ejecución, supervisión y control de la obra pública asegurarse de que esta cumpla con los estándares básicos de calidad;</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 En la elaboración de los Proyectos Ejecutivos se debe observar antes de su inicio por lo menos cuatro factibilidades, las culés son: Factibilidad Social, Técnica, Económica y ambiental, acorde a las autorizaciones financieras de los Programas Etiquetados, Propios o Gestionados;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XI. Cumplir con los informes mensuales, trimestrales, anuales y todo aquello información que instancias normativas nos soliciten en tiempo y forma; y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XII. Todo aquello que se relacione con la obra pública.</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126.-</w:t>
      </w:r>
      <w:r>
        <w:rPr>
          <w:rFonts w:ascii="Palatino Linotype" w:eastAsia="Palatino Linotype" w:hAnsi="Palatino Linotype" w:cs="Palatino Linotype"/>
          <w:i/>
        </w:rPr>
        <w:t xml:space="preserve"> EL Ayuntamiento, con arreglo a la legislación federal, a las disposiciones relativas del Código Administrativo del Estado de México y demás ordenamientos Estatales y Municipales aplicables, así como el plan de Desarrollo Urbano Municipal, tiene las siguientes atribuciones a través de la Dirección de Desarrollo Urbano:</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XIII. Participar con el gobierno estatal en la elaboración, evaluación y modificación de los planes de vialidad, comunicaciones, transporte y servicios públicos municipales;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advierte que en relación con el caso que ahora nos ocupa, el Ayuntamiento de Morelos cuenta con unidades administrativas competentes para conocer, administrar y generar información relacionada con la pavimentación de los caminos y vialidades que se ubican dentro del territorio.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este Instituto realizó una búsqueda relacionada con los trabajos de “revestimiento” que alude el Particular, y de ello, se encontraron diversas publicaciones y videos en las cuentas oficiales del Ayuntamiento de Morelos, respecto a trabajos de obra que datan a inicios de mayo de dos mil veintidós, y que fueron realizados en las distintas delegaciones, rancherías y pueblos del Municipio, como el inicio de revestimiento en </w:t>
      </w:r>
      <w:proofErr w:type="spellStart"/>
      <w:r>
        <w:rPr>
          <w:rFonts w:ascii="Palatino Linotype" w:eastAsia="Palatino Linotype" w:hAnsi="Palatino Linotype" w:cs="Palatino Linotype"/>
          <w:sz w:val="24"/>
          <w:szCs w:val="24"/>
        </w:rPr>
        <w:t>Xhinte</w:t>
      </w:r>
      <w:proofErr w:type="spellEnd"/>
      <w:r>
        <w:rPr>
          <w:rFonts w:ascii="Palatino Linotype" w:eastAsia="Palatino Linotype" w:hAnsi="Palatino Linotype" w:cs="Palatino Linotype"/>
          <w:sz w:val="24"/>
          <w:szCs w:val="24"/>
        </w:rPr>
        <w:t xml:space="preserve"> de Lagos, en Ranchería San Antonio, San Marcos </w:t>
      </w:r>
      <w:proofErr w:type="spellStart"/>
      <w:r>
        <w:rPr>
          <w:rFonts w:ascii="Palatino Linotype" w:eastAsia="Palatino Linotype" w:hAnsi="Palatino Linotype" w:cs="Palatino Linotype"/>
          <w:sz w:val="24"/>
          <w:szCs w:val="24"/>
        </w:rPr>
        <w:t>Tlazalpan</w:t>
      </w:r>
      <w:proofErr w:type="spellEnd"/>
      <w:r>
        <w:rPr>
          <w:rFonts w:ascii="Palatino Linotype" w:eastAsia="Palatino Linotype" w:hAnsi="Palatino Linotype" w:cs="Palatino Linotype"/>
          <w:sz w:val="24"/>
          <w:szCs w:val="24"/>
        </w:rPr>
        <w:t xml:space="preserve"> y Ejido San Antonio, por mencionar algunos, como se observa a continuación: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F0671">
      <w:pPr>
        <w:spacing w:after="0" w:line="360" w:lineRule="auto"/>
        <w:ind w:right="49"/>
        <w:jc w:val="both"/>
        <w:rPr>
          <w:rFonts w:ascii="Palatino Linotype" w:eastAsia="Palatino Linotype" w:hAnsi="Palatino Linotype" w:cs="Palatino Linotype"/>
          <w:sz w:val="10"/>
          <w:szCs w:val="10"/>
        </w:rPr>
      </w:pPr>
    </w:p>
    <w:p w:rsidR="003F0671" w:rsidRDefault="003C59F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4765675" cy="238061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65675" cy="2380615"/>
                    </a:xfrm>
                    <a:prstGeom prst="rect">
                      <a:avLst/>
                    </a:prstGeom>
                    <a:ln/>
                  </pic:spPr>
                </pic:pic>
              </a:graphicData>
            </a:graphic>
          </wp:inline>
        </w:drawing>
      </w:r>
    </w:p>
    <w:p w:rsidR="003F0671" w:rsidRDefault="003C59FF">
      <w:pPr>
        <w:spacing w:after="0" w:line="240" w:lineRule="auto"/>
        <w:ind w:left="709" w:right="84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[Imagen obtenida en </w:t>
      </w:r>
      <w:hyperlink r:id="rId12">
        <w:r>
          <w:rPr>
            <w:rFonts w:ascii="Palatino Linotype" w:eastAsia="Palatino Linotype" w:hAnsi="Palatino Linotype" w:cs="Palatino Linotype"/>
            <w:color w:val="0563C1"/>
            <w:sz w:val="20"/>
            <w:szCs w:val="20"/>
            <w:u w:val="single"/>
          </w:rPr>
          <w:t>https://www.facebook.com/MorelosEdoMex22.24/videos/728076631705438/?extid=WA-UNK-UNK-UNK-IOS_GK0T-GK1C&amp;ref=sharing</w:t>
        </w:r>
      </w:hyperlink>
      <w:r>
        <w:rPr>
          <w:rFonts w:ascii="Palatino Linotype" w:eastAsia="Palatino Linotype" w:hAnsi="Palatino Linotype" w:cs="Palatino Linotype"/>
          <w:sz w:val="20"/>
          <w:szCs w:val="20"/>
        </w:rPr>
        <w:t xml:space="preserve">] </w:t>
      </w:r>
    </w:p>
    <w:p w:rsidR="003F0671" w:rsidRDefault="003C59F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4860925" cy="224536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60925" cy="2245360"/>
                    </a:xfrm>
                    <a:prstGeom prst="rect">
                      <a:avLst/>
                    </a:prstGeom>
                    <a:ln/>
                  </pic:spPr>
                </pic:pic>
              </a:graphicData>
            </a:graphic>
          </wp:inline>
        </w:drawing>
      </w:r>
    </w:p>
    <w:p w:rsidR="003F0671" w:rsidRDefault="003C59FF">
      <w:pPr>
        <w:spacing w:after="0" w:line="240" w:lineRule="auto"/>
        <w:ind w:left="709" w:right="701"/>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[Imagen obtenida en </w:t>
      </w:r>
      <w:hyperlink r:id="rId14">
        <w:r>
          <w:rPr>
            <w:rFonts w:ascii="Palatino Linotype" w:eastAsia="Palatino Linotype" w:hAnsi="Palatino Linotype" w:cs="Palatino Linotype"/>
            <w:color w:val="0563C1"/>
            <w:sz w:val="20"/>
            <w:szCs w:val="20"/>
            <w:u w:val="single"/>
          </w:rPr>
          <w:t>https://www.facebook.com/MorelosEdoMex22.24/videos/3190499864567690/?extid=WA-UNK-UNK-UNK-IOS_GK0T-GK1C&amp;ref=sharing</w:t>
        </w:r>
      </w:hyperlink>
      <w:r>
        <w:rPr>
          <w:rFonts w:ascii="Palatino Linotype" w:eastAsia="Palatino Linotype" w:hAnsi="Palatino Linotype" w:cs="Palatino Linotype"/>
          <w:sz w:val="20"/>
          <w:szCs w:val="20"/>
        </w:rPr>
        <w:t xml:space="preserv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4889500" cy="222377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889500" cy="2223770"/>
                    </a:xfrm>
                    <a:prstGeom prst="rect">
                      <a:avLst/>
                    </a:prstGeom>
                    <a:ln/>
                  </pic:spPr>
                </pic:pic>
              </a:graphicData>
            </a:graphic>
          </wp:inline>
        </w:drawing>
      </w:r>
    </w:p>
    <w:p w:rsidR="003F0671" w:rsidRDefault="003C59FF">
      <w:pPr>
        <w:spacing w:after="0" w:line="240" w:lineRule="auto"/>
        <w:ind w:left="567" w:right="701"/>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[Imagen obtenida en </w:t>
      </w:r>
      <w:hyperlink r:id="rId16">
        <w:r>
          <w:rPr>
            <w:rFonts w:ascii="Palatino Linotype" w:eastAsia="Palatino Linotype" w:hAnsi="Palatino Linotype" w:cs="Palatino Linotype"/>
            <w:color w:val="0563C1"/>
            <w:sz w:val="20"/>
            <w:szCs w:val="20"/>
            <w:u w:val="single"/>
          </w:rPr>
          <w:t>https://www.facebook.com/MorelosEdoMex22.24/videos/388658039811724/?extid=WA-UNK-UNK-UNK-IOS_GK0T-GK1C&amp;ref=sharing</w:t>
        </w:r>
      </w:hyperlink>
      <w:r>
        <w:rPr>
          <w:rFonts w:ascii="Palatino Linotype" w:eastAsia="Palatino Linotype" w:hAnsi="Palatino Linotype" w:cs="Palatino Linotype"/>
          <w:sz w:val="20"/>
          <w:szCs w:val="20"/>
        </w:rPr>
        <w:t xml:space="preserv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4651375" cy="223202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651375" cy="2232025"/>
                    </a:xfrm>
                    <a:prstGeom prst="rect">
                      <a:avLst/>
                    </a:prstGeom>
                    <a:ln/>
                  </pic:spPr>
                </pic:pic>
              </a:graphicData>
            </a:graphic>
          </wp:inline>
        </w:drawing>
      </w:r>
    </w:p>
    <w:p w:rsidR="003F0671" w:rsidRDefault="003C59FF">
      <w:pPr>
        <w:tabs>
          <w:tab w:val="left" w:pos="8080"/>
        </w:tabs>
        <w:spacing w:after="0" w:line="360" w:lineRule="auto"/>
        <w:ind w:left="851" w:right="84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[Imagen obtenida en </w:t>
      </w:r>
      <w:hyperlink r:id="rId18">
        <w:r>
          <w:rPr>
            <w:rFonts w:ascii="Palatino Linotype" w:eastAsia="Palatino Linotype" w:hAnsi="Palatino Linotype" w:cs="Palatino Linotype"/>
            <w:color w:val="0563C1"/>
            <w:sz w:val="20"/>
            <w:szCs w:val="20"/>
            <w:u w:val="single"/>
          </w:rPr>
          <w:t>https://www.facebook.com/MorelosEdoMex22.24/videos/506285414567635/?extid=WA-UNK-UNK-UNK-IOS_GK0T-GK1C&amp;ref=sharing</w:t>
        </w:r>
      </w:hyperlink>
      <w:r>
        <w:rPr>
          <w:rFonts w:ascii="Palatino Linotype" w:eastAsia="Palatino Linotype" w:hAnsi="Palatino Linotype" w:cs="Palatino Linotype"/>
          <w:sz w:val="20"/>
          <w:szCs w:val="20"/>
        </w:rPr>
        <w:t xml:space="preserv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tal forma que, se las obras de revestimiento en las diversas localidades del Ayuntamiento de Morelos, son </w:t>
      </w:r>
      <w:r>
        <w:rPr>
          <w:rFonts w:ascii="Palatino Linotype" w:eastAsia="Palatino Linotype" w:hAnsi="Palatino Linotype" w:cs="Palatino Linotype"/>
          <w:i/>
          <w:sz w:val="24"/>
          <w:szCs w:val="24"/>
        </w:rPr>
        <w:t xml:space="preserve">“hechos notorios”, </w:t>
      </w:r>
      <w:r>
        <w:rPr>
          <w:rFonts w:ascii="Palatino Linotype" w:eastAsia="Palatino Linotype" w:hAnsi="Palatino Linotype" w:cs="Palatino Linotype"/>
          <w:sz w:val="24"/>
          <w:szCs w:val="24"/>
        </w:rPr>
        <w:t xml:space="preserve">es decir; son hechos públicos y </w:t>
      </w:r>
      <w:r>
        <w:rPr>
          <w:rFonts w:ascii="Palatino Linotype" w:eastAsia="Palatino Linotype" w:hAnsi="Palatino Linotype" w:cs="Palatino Linotype"/>
          <w:sz w:val="24"/>
          <w:szCs w:val="24"/>
        </w:rPr>
        <w:lastRenderedPageBreak/>
        <w:t xml:space="preserve">sabidos por todos, por lo que se consideran indiscutibles, tal como lo precisa la Tesis Jurisprudencial P./J. 74/2006 que a la letra establece: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b/>
          <w:i/>
        </w:rPr>
        <w:t>HECHOS NOTORIOS. CONCEPTOS GENERAL Y JURÍDICO.</w:t>
      </w:r>
      <w:r>
        <w:rPr>
          <w:rFonts w:ascii="Palatino Linotype" w:eastAsia="Palatino Linotype" w:hAnsi="Palatino Linotype" w:cs="Palatino Linotype"/>
          <w:i/>
        </w:rPr>
        <w:t xml:space="preserve"> 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esto, no hay que perder de vista que, tal como lo menciona el Código Administrativo del Estado de México, </w:t>
      </w:r>
      <w:r>
        <w:rPr>
          <w:rFonts w:ascii="Palatino Linotype" w:eastAsia="Palatino Linotype" w:hAnsi="Palatino Linotype" w:cs="Palatino Linotype"/>
          <w:b/>
          <w:sz w:val="24"/>
          <w:szCs w:val="24"/>
          <w:u w:val="single"/>
        </w:rPr>
        <w:t>la ejecución de obras puede ser mediante contrato con terceros o por administración directa del Ayuntamiento</w:t>
      </w:r>
      <w:r>
        <w:rPr>
          <w:rFonts w:ascii="Palatino Linotype" w:eastAsia="Palatino Linotype" w:hAnsi="Palatino Linotype" w:cs="Palatino Linotype"/>
          <w:sz w:val="24"/>
          <w:szCs w:val="24"/>
        </w:rPr>
        <w:t xml:space="preserve">, de tal manera que existen diversas posibilidades respecto a la ejecución de las obras, la primera que el Ayuntamiento de Morelos no sólo haya adjudicado las maquinarías para la realización de la obra pública, sino que, haya adjudicado todo el servicio para la ejecución de estas, por lo que, de ser el caso de esto último, existe la posibilidad de que los montos por arrendamiento, los contratos por este concepto respecto de las maquinarias utilizadas, así como los costos del consumo de combustible, no obren de manera específica en los contratos que integran los expedientes de adjudicación. </w:t>
      </w:r>
    </w:p>
    <w:p w:rsidR="003F0671" w:rsidRDefault="003F0671">
      <w:pPr>
        <w:spacing w:after="0" w:line="360" w:lineRule="auto"/>
        <w:ind w:right="49"/>
        <w:jc w:val="both"/>
        <w:rPr>
          <w:rFonts w:ascii="Palatino Linotype" w:eastAsia="Palatino Linotype" w:hAnsi="Palatino Linotype" w:cs="Palatino Linotype"/>
          <w:sz w:val="24"/>
          <w:szCs w:val="24"/>
          <w:highlight w:val="yellow"/>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La segunda posibilidad, es que la ejecución de las obras estén a cargo directamente del Ayuntamiento y este únicamente haya arrendado las maquinarias, o bien; la tercera posibilidad, que el Sujeto Obligado ejecute las obras mediante sus propios medios.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esto, en cuanto hace al </w:t>
      </w:r>
      <w:r>
        <w:rPr>
          <w:rFonts w:ascii="Palatino Linotype" w:eastAsia="Palatino Linotype" w:hAnsi="Palatino Linotype" w:cs="Palatino Linotype"/>
          <w:b/>
          <w:sz w:val="24"/>
          <w:szCs w:val="24"/>
        </w:rPr>
        <w:t>monto erogado por concepto de revestimiento</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 xml:space="preserve">monto erogado por concepto de combustible de las maquinarías utilizadas </w:t>
      </w:r>
      <w:r>
        <w:rPr>
          <w:rFonts w:ascii="Palatino Linotype" w:eastAsia="Palatino Linotype" w:hAnsi="Palatino Linotype" w:cs="Palatino Linotype"/>
          <w:sz w:val="24"/>
          <w:szCs w:val="24"/>
        </w:rPr>
        <w:t xml:space="preserve">es menester traer a colación las definiciones relacionadas con “registro contable” y “registro presupuestario” las cuales de conformidad con el “Glosario de Términos Administrativos” emitido por el Instituto Nacional de la Administración Pública, A.C” y el “Glosario de Términos para el Proceso de Planeación, Programación, </w:t>
      </w:r>
      <w:proofErr w:type="spellStart"/>
      <w:r>
        <w:rPr>
          <w:rFonts w:ascii="Palatino Linotype" w:eastAsia="Palatino Linotype" w:hAnsi="Palatino Linotype" w:cs="Palatino Linotype"/>
          <w:sz w:val="24"/>
          <w:szCs w:val="24"/>
        </w:rPr>
        <w:t>Presupuestación</w:t>
      </w:r>
      <w:proofErr w:type="spellEnd"/>
      <w:r>
        <w:rPr>
          <w:rFonts w:ascii="Palatino Linotype" w:eastAsia="Palatino Linotype" w:hAnsi="Palatino Linotype" w:cs="Palatino Linotype"/>
          <w:sz w:val="24"/>
          <w:szCs w:val="24"/>
        </w:rPr>
        <w:t xml:space="preserve"> y Evaluación en la Administración Pública”, se establece lo siguiente: </w:t>
      </w:r>
    </w:p>
    <w:p w:rsidR="003F0671" w:rsidRDefault="003C59FF">
      <w:pPr>
        <w:spacing w:after="0" w:line="360" w:lineRule="auto"/>
        <w:ind w:left="567" w:right="843"/>
        <w:jc w:val="both"/>
        <w:rPr>
          <w:rFonts w:ascii="Palatino Linotype" w:eastAsia="Palatino Linotype" w:hAnsi="Palatino Linotype" w:cs="Palatino Linotype"/>
        </w:rPr>
      </w:pPr>
      <w:r>
        <w:rPr>
          <w:rFonts w:ascii="Symbol" w:eastAsia="Symbol" w:hAnsi="Symbol" w:cs="Symbol"/>
          <w:b/>
        </w:rPr>
        <w:t>∙</w:t>
      </w:r>
      <w:r>
        <w:rPr>
          <w:rFonts w:ascii="Palatino Linotype" w:eastAsia="Palatino Linotype" w:hAnsi="Palatino Linotype" w:cs="Palatino Linotype"/>
          <w:b/>
        </w:rPr>
        <w:t xml:space="preserve"> Registro Contable:</w:t>
      </w:r>
      <w:r>
        <w:rPr>
          <w:rFonts w:ascii="Palatino Linotype" w:eastAsia="Palatino Linotype" w:hAnsi="Palatino Linotype" w:cs="Palatino Linotype"/>
        </w:rPr>
        <w:t xml:space="preserve"> Asiento que se realiza en los libros de contabilidad de las actividades relacionadas con el ingreso y egresos de un ente económico. </w:t>
      </w:r>
    </w:p>
    <w:p w:rsidR="003F0671" w:rsidRDefault="003F0671">
      <w:pPr>
        <w:spacing w:after="0" w:line="360" w:lineRule="auto"/>
        <w:ind w:left="567" w:right="843"/>
        <w:jc w:val="both"/>
        <w:rPr>
          <w:rFonts w:ascii="Palatino Linotype" w:eastAsia="Palatino Linotype" w:hAnsi="Palatino Linotype" w:cs="Palatino Linotype"/>
        </w:rPr>
      </w:pPr>
    </w:p>
    <w:p w:rsidR="003F0671" w:rsidRDefault="003C59FF">
      <w:pPr>
        <w:spacing w:after="0" w:line="360" w:lineRule="auto"/>
        <w:ind w:left="567" w:right="843"/>
        <w:jc w:val="both"/>
        <w:rPr>
          <w:rFonts w:ascii="Palatino Linotype" w:eastAsia="Palatino Linotype" w:hAnsi="Palatino Linotype" w:cs="Palatino Linotype"/>
        </w:rPr>
      </w:pPr>
      <w:r>
        <w:rPr>
          <w:rFonts w:ascii="Symbol" w:eastAsia="Symbol" w:hAnsi="Symbol" w:cs="Symbol"/>
          <w:b/>
        </w:rPr>
        <w:t>∙</w:t>
      </w:r>
      <w:r>
        <w:rPr>
          <w:rFonts w:ascii="Palatino Linotype" w:eastAsia="Palatino Linotype" w:hAnsi="Palatino Linotype" w:cs="Palatino Linotype"/>
          <w:b/>
        </w:rPr>
        <w:t xml:space="preserve"> Registro Presupuestario:</w:t>
      </w:r>
      <w:r>
        <w:rPr>
          <w:rFonts w:ascii="Palatino Linotype" w:eastAsia="Palatino Linotype" w:hAnsi="Palatino Linotype" w:cs="Palatino Linotype"/>
        </w:rPr>
        <w:t xml:space="preserve"> Asiento contable de las erogaciones realizadas por las dependencias y entidades con relación a la asignación, modificación y ejercicio de recursos presupuestarios. </w:t>
      </w:r>
    </w:p>
    <w:p w:rsidR="003F0671" w:rsidRDefault="003F0671">
      <w:pPr>
        <w:spacing w:after="0" w:line="360" w:lineRule="auto"/>
        <w:ind w:right="49"/>
        <w:jc w:val="both"/>
        <w:rPr>
          <w:rFonts w:ascii="Palatino Linotype" w:eastAsia="Palatino Linotype" w:hAnsi="Palatino Linotype" w:cs="Palatino Linotype"/>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Del mismo modo, vale la pena señalar que, de conformidad con el artículo décimo primero de los Lineamientos de Control Financiero y Administrativo para las Entidades Fiscalizables Municipales del Estado de México, los servidores públicos municipales tendrán las siguientes obligaciones: </w:t>
      </w:r>
    </w:p>
    <w:p w:rsidR="003F0671" w:rsidRDefault="003F0671">
      <w:pPr>
        <w:spacing w:after="0" w:line="276" w:lineRule="auto"/>
        <w:ind w:right="49"/>
        <w:jc w:val="both"/>
        <w:rPr>
          <w:rFonts w:ascii="Palatino Linotype" w:eastAsia="Palatino Linotype" w:hAnsi="Palatino Linotype" w:cs="Palatino Linotype"/>
        </w:rPr>
      </w:pPr>
    </w:p>
    <w:p w:rsidR="003F0671" w:rsidRDefault="003C59FF">
      <w:pPr>
        <w:spacing w:after="0" w:line="276" w:lineRule="auto"/>
        <w:ind w:left="567" w:right="843"/>
        <w:jc w:val="center"/>
        <w:rPr>
          <w:rFonts w:ascii="Palatino Linotype" w:eastAsia="Palatino Linotype" w:hAnsi="Palatino Linotype" w:cs="Palatino Linotype"/>
          <w:b/>
          <w:i/>
        </w:rPr>
      </w:pPr>
      <w:r>
        <w:rPr>
          <w:rFonts w:ascii="Palatino Linotype" w:eastAsia="Palatino Linotype" w:hAnsi="Palatino Linotype" w:cs="Palatino Linotype"/>
          <w:b/>
          <w:i/>
        </w:rPr>
        <w:t>CAPÍTULO V</w:t>
      </w:r>
    </w:p>
    <w:p w:rsidR="003F0671" w:rsidRDefault="003C59FF">
      <w:pPr>
        <w:spacing w:after="0" w:line="276" w:lineRule="auto"/>
        <w:ind w:left="567" w:right="843"/>
        <w:jc w:val="center"/>
        <w:rPr>
          <w:rFonts w:ascii="Palatino Linotype" w:eastAsia="Palatino Linotype" w:hAnsi="Palatino Linotype" w:cs="Palatino Linotype"/>
          <w:b/>
          <w:i/>
        </w:rPr>
      </w:pPr>
      <w:r>
        <w:rPr>
          <w:rFonts w:ascii="Palatino Linotype" w:eastAsia="Palatino Linotype" w:hAnsi="Palatino Linotype" w:cs="Palatino Linotype"/>
          <w:b/>
          <w:i/>
        </w:rPr>
        <w:t>DE LAS OBLIGACIONES</w:t>
      </w:r>
    </w:p>
    <w:p w:rsidR="003F0671" w:rsidRDefault="003F0671">
      <w:pPr>
        <w:spacing w:after="0" w:line="276" w:lineRule="auto"/>
        <w:ind w:left="567" w:right="843"/>
        <w:jc w:val="center"/>
        <w:rPr>
          <w:rFonts w:ascii="Palatino Linotype" w:eastAsia="Palatino Linotype" w:hAnsi="Palatino Linotype" w:cs="Palatino Linotype"/>
          <w:b/>
          <w:i/>
        </w:rPr>
      </w:pPr>
    </w:p>
    <w:p w:rsidR="003F0671" w:rsidRDefault="003C59FF">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Los servidores públicos municipales, tendrán en el ámbito de su competencia, respecto de los presentes Lineamientos, las obligaciones siguientes: </w:t>
      </w:r>
    </w:p>
    <w:p w:rsidR="003F0671" w:rsidRDefault="003C59FF">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3F0671" w:rsidRDefault="003C59FF">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IV. </w:t>
      </w:r>
      <w:r>
        <w:rPr>
          <w:rFonts w:ascii="Palatino Linotype" w:eastAsia="Palatino Linotype" w:hAnsi="Palatino Linotype" w:cs="Palatino Linotype"/>
          <w:b/>
          <w:i/>
          <w:u w:val="single"/>
        </w:rPr>
        <w:t>El tesorero deberá verificar que todas las pólizas de registro contable y presupuestal</w:t>
      </w:r>
      <w:r>
        <w:rPr>
          <w:rFonts w:ascii="Palatino Linotype" w:eastAsia="Palatino Linotype" w:hAnsi="Palatino Linotype" w:cs="Palatino Linotype"/>
          <w:i/>
        </w:rPr>
        <w:t xml:space="preserve">, se encuentren firmadas por quién las elaboró, revisó y autorizó, </w:t>
      </w:r>
      <w:r>
        <w:rPr>
          <w:rFonts w:ascii="Palatino Linotype" w:eastAsia="Palatino Linotype" w:hAnsi="Palatino Linotype" w:cs="Palatino Linotype"/>
          <w:b/>
          <w:i/>
          <w:u w:val="single"/>
        </w:rPr>
        <w:t>las cuales deberán estar soportadas con la documentación original, justificativa, comprobatoria, suficiente, competente, pertinente y relevante, las que deberán permanecer en custodia y conservación de la tesorería,</w:t>
      </w:r>
      <w:r>
        <w:rPr>
          <w:rFonts w:ascii="Palatino Linotype" w:eastAsia="Palatino Linotype" w:hAnsi="Palatino Linotype" w:cs="Palatino Linotype"/>
          <w:i/>
        </w:rPr>
        <w:t xml:space="preserve">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rsidR="003F0671" w:rsidRDefault="003C59FF">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V. El tesorero deberá integrar a la póliza de egresos, fotocopia del cheque original, para su debido cotejo.</w:t>
      </w:r>
    </w:p>
    <w:p w:rsidR="003F0671" w:rsidRDefault="003C59FF">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 … </w:t>
      </w:r>
    </w:p>
    <w:p w:rsidR="003F0671" w:rsidRDefault="003F0671">
      <w:pPr>
        <w:spacing w:after="0" w:line="360" w:lineRule="auto"/>
        <w:ind w:left="567" w:right="843"/>
        <w:jc w:val="both"/>
        <w:rPr>
          <w:rFonts w:ascii="Palatino Linotype" w:eastAsia="Palatino Linotype" w:hAnsi="Palatino Linotype" w:cs="Palatino Linotype"/>
          <w:i/>
        </w:rPr>
      </w:pPr>
    </w:p>
    <w:p w:rsidR="003F0671" w:rsidRDefault="003C59FF">
      <w:pPr>
        <w:spacing w:after="0"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Por ello, se advierte que </w:t>
      </w:r>
      <w:r>
        <w:rPr>
          <w:rFonts w:ascii="Palatino Linotype" w:eastAsia="Palatino Linotype" w:hAnsi="Palatino Linotype" w:cs="Palatino Linotype"/>
          <w:b/>
          <w:sz w:val="24"/>
          <w:szCs w:val="24"/>
        </w:rPr>
        <w:t>montos erogados por las obras de revestimiento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así como los costos por concepto combustible de la maquinaría utilizada</w:t>
      </w:r>
      <w:r>
        <w:rPr>
          <w:rFonts w:ascii="Palatino Linotype" w:eastAsia="Palatino Linotype" w:hAnsi="Palatino Linotype" w:cs="Palatino Linotype"/>
          <w:sz w:val="24"/>
          <w:szCs w:val="24"/>
        </w:rPr>
        <w:t xml:space="preserve">, se encuentran soportados con la documentación original, justificativa, comprobatoria que deberá permanecer en custodia y conservación de la tesorería municipal, por lo que, el Sujeto Obligado toda vez que no tuvo a bien otorgar una expresión documental a dicho requerimiento, deberá entregar los </w:t>
      </w:r>
      <w:r>
        <w:rPr>
          <w:rFonts w:ascii="Palatino Linotype" w:eastAsia="Palatino Linotype" w:hAnsi="Palatino Linotype" w:cs="Palatino Linotype"/>
          <w:b/>
          <w:sz w:val="24"/>
          <w:szCs w:val="24"/>
        </w:rPr>
        <w:t xml:space="preserve">documentos donde conste el monto erogado por las obras de revestimiento de caminos y los costos por concepto de combustible de la maquinaría utilizada,  todo ello de las obras realizadas del uno de enero al dieciséis de mayo de dos mil veintidós.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importante destacar que, existe la posibilidad de que el Ayuntamiento de Morelos, </w:t>
      </w:r>
      <w:r>
        <w:rPr>
          <w:rFonts w:ascii="Palatino Linotype" w:eastAsia="Palatino Linotype" w:hAnsi="Palatino Linotype" w:cs="Palatino Linotype"/>
          <w:b/>
          <w:sz w:val="24"/>
          <w:szCs w:val="24"/>
          <w:u w:val="single"/>
        </w:rPr>
        <w:t xml:space="preserve">no haya realizado gastos por concepto de combustible de las maquinarías utilizadas </w:t>
      </w:r>
      <w:r>
        <w:rPr>
          <w:rFonts w:ascii="Palatino Linotype" w:eastAsia="Palatino Linotype" w:hAnsi="Palatino Linotype" w:cs="Palatino Linotype"/>
          <w:b/>
          <w:sz w:val="24"/>
          <w:szCs w:val="24"/>
          <w:u w:val="single"/>
        </w:rPr>
        <w:lastRenderedPageBreak/>
        <w:t>en las obras de revestimiento</w:t>
      </w:r>
      <w:r>
        <w:rPr>
          <w:rFonts w:ascii="Palatino Linotype" w:eastAsia="Palatino Linotype" w:hAnsi="Palatino Linotype" w:cs="Palatino Linotype"/>
          <w:sz w:val="24"/>
          <w:szCs w:val="24"/>
        </w:rPr>
        <w:t xml:space="preserve">, toda vez que como se dijo, este gasto puede estar a cargo de las personas físicas o jurídico colectivas contratadas para brindar este servicio, lo cual podría estar detallado en los documentos que integran los expedientes de procedimientos de adjudicación directa, invitación restringida o licitación pública.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va ligado con los requerimientos relativos a conocer si la maquinaría es arrendada, los montos por concepto de arrendamiento y los contratos respectivos; esto en razón de que, de conformidad con el artículo 26 de la Ley de Contratación Pública del Estado de México y Municipios, las adquisiciones, arrendamientos y servicios se adjudicarán a través de licitaciones públicas, mediante convocatoria pública o, mediante las excepciones a estas; invitación restringida y adjudicación directa.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tal forma que, en lo que respecta a nuestra materia, la Ley de Transparencia y Acceso a la Información Pública del Estado de México y Municipios, precisa en su artículo 92, fracción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F0671" w:rsidRDefault="003C59FF">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w:t>
      </w:r>
      <w:r>
        <w:rPr>
          <w:rFonts w:ascii="Palatino Linotype" w:eastAsia="Palatino Linotype" w:hAnsi="Palatino Linotype" w:cs="Palatino Linotype"/>
          <w:i/>
        </w:rPr>
        <w:lastRenderedPageBreak/>
        <w:t xml:space="preserve">pública del expediente respectivo y de los contratos celebrados, que deberán contener, por los menos, lo siguiente: </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 De licitaciones públicas o procedimientos de invitación restringida: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 La convocatoria o invitación emitida, así como los fundamentos legales aplicados para llevarla a cabo;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2) Los nombres de los participantes o invitados;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3) El nombre del ganador y las razones que lo justifican;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4) El área solicitante y la responsable de su ejecución;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5) Las convocatorias e invitaciones emitidas;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6) Los dictámenes y fallo de adjudicación; </w:t>
      </w: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7) El contrato y, en su caso, sus anexos;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9) La partida presupuestal, de conformidad con el clasificador por objeto del gasto, en el caso de ser aplicable;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11) Los convenios modificatorios que, en su caso, sean firmados, precisando el objeto y la fecha de celebración; </w:t>
      </w:r>
    </w:p>
    <w:p w:rsidR="003F0671" w:rsidRDefault="003C59FF">
      <w:pPr>
        <w:spacing w:after="0" w:line="276" w:lineRule="auto"/>
        <w:ind w:left="567" w:right="56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12) Los informes de avance físico y financiero sobre las obras o servicios contratados;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13) El convenio de terminación; y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14) El finiquito. </w:t>
      </w:r>
    </w:p>
    <w:p w:rsidR="003F0671" w:rsidRDefault="003F0671">
      <w:pPr>
        <w:spacing w:after="0" w:line="276" w:lineRule="auto"/>
        <w:ind w:left="567" w:right="560"/>
        <w:jc w:val="both"/>
        <w:rPr>
          <w:rFonts w:ascii="Palatino Linotype" w:eastAsia="Palatino Linotype" w:hAnsi="Palatino Linotype" w:cs="Palatino Linotype"/>
          <w:b/>
          <w:i/>
        </w:rPr>
      </w:pP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b) De las adjudicaciones directas: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 La propuesta enviada por el participante;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2) Los motivos y fundamentos legales aplicados para llevarla a cabo;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3) La autorización del ejercicio de la opción;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4) En su caso, las cotizaciones consideradas, especificando los nombres de los proveedores y sus montos;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5) El nombre de la persona física o jurídica colectiva adjudicada;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6) La unidad administrativa solicitante y la responsable de su ejecución; </w:t>
      </w: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7) El número, fecha, el monto del contrato y el plazo de entrega o de ejecución de los servicios u obra;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8) Los mecanismos de vigilancia y supervisión, incluyendo, en su caso, los estudios de impacto urbano y ambiental, según corresponda; </w:t>
      </w:r>
    </w:p>
    <w:p w:rsidR="003F0671" w:rsidRDefault="003C59FF">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9) Los informes de avance sobre las obras o servicios contratados;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10) El convenio de terminación; y </w:t>
      </w:r>
    </w:p>
    <w:p w:rsidR="003F0671" w:rsidRDefault="003C59FF">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11) El finiquito.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tal como se advierte los expedientes que integran los procedimientos de licitación pública, adjudicación directa e invitación restringida, deben estar integrados por los contratos respectivos y sus anexos, siendo que proporcionar dicha información, es una obligación de transparencia del sujeto obligado.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cuanto hace a las </w:t>
      </w:r>
      <w:r>
        <w:rPr>
          <w:rFonts w:ascii="Palatino Linotype" w:eastAsia="Palatino Linotype" w:hAnsi="Palatino Linotype" w:cs="Palatino Linotype"/>
          <w:b/>
          <w:sz w:val="24"/>
          <w:szCs w:val="24"/>
        </w:rPr>
        <w:t>localidades en las que se ha llevado a cabo la realización de las obras</w:t>
      </w:r>
      <w:r>
        <w:rPr>
          <w:rFonts w:ascii="Palatino Linotype" w:eastAsia="Palatino Linotype" w:hAnsi="Palatino Linotype" w:cs="Palatino Linotype"/>
          <w:sz w:val="24"/>
          <w:szCs w:val="24"/>
        </w:rPr>
        <w:t xml:space="preserve">, como se advirtió, a través de diversas publicaciones en medios oficiales del Ayuntamiento, este ejecutó las obras de “revestimiento” en distintas delegaciones, pueblos y rancherías del Municipio, por lo que, de ser el caso, que la ejecución de estas haya sido a través de un servicio contratado por alguna de las modalidades que establece la Ley de Contratación Estatal, los expedientes conformados deberán contener los informes de avances de las obras o servicios contratados, de tal manera que en estos, de manera enunciativa más no limitativa, se pudiera apreciar la información relacionada con las localidades en los que se han llevado los trabajos de “revestimiento”.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en el caso de que, el Ayuntamiento se encuentre ejecutando estos trabajos de obra, el artículo 12.15 del Código Administrativo del Estado de México, establece que los ayuntamientos formularán los programas de obra pública o de servicios relacionados con las mismas, considerando la calendarización física y </w:t>
      </w:r>
      <w:r>
        <w:rPr>
          <w:rFonts w:ascii="Palatino Linotype" w:eastAsia="Palatino Linotype" w:hAnsi="Palatino Linotype" w:cs="Palatino Linotype"/>
          <w:sz w:val="24"/>
          <w:szCs w:val="24"/>
        </w:rPr>
        <w:lastRenderedPageBreak/>
        <w:t xml:space="preserve">financiera de ejecución de los trabajos, asimismo, el Bando Municipal del Ayuntamiento de Morelos, menciona que una de las atribuciones de la Dirección de Obras Públicas es la de elaborar e integrar el Expediente Técnico de las obras, su planeación, programación y </w:t>
      </w:r>
      <w:proofErr w:type="spellStart"/>
      <w:r>
        <w:rPr>
          <w:rFonts w:ascii="Palatino Linotype" w:eastAsia="Palatino Linotype" w:hAnsi="Palatino Linotype" w:cs="Palatino Linotype"/>
          <w:sz w:val="24"/>
          <w:szCs w:val="24"/>
        </w:rPr>
        <w:t>presupuestación</w:t>
      </w:r>
      <w:proofErr w:type="spellEnd"/>
      <w:r>
        <w:rPr>
          <w:rFonts w:ascii="Palatino Linotype" w:eastAsia="Palatino Linotype" w:hAnsi="Palatino Linotype" w:cs="Palatino Linotype"/>
          <w:sz w:val="24"/>
          <w:szCs w:val="24"/>
        </w:rPr>
        <w:t xml:space="preserve">, por lo que, esta información, de igual forma debe obrar en los archivos del Sujeto Obligado.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orden de ideas y toda vez que los requerimientos del Particular constan en  soportes documentales que obran en los archivos del Sujeto Obligado, lo cual no implica un procesamiento de la información, tal como lo alude el Director de Obras Públicas, Servicios Públicos, Alumbrado Público y Agua Potable, se consideran que los agravios hechos valer por el Solicitante devienen </w:t>
      </w:r>
      <w:r>
        <w:rPr>
          <w:rFonts w:ascii="Palatino Linotype" w:eastAsia="Palatino Linotype" w:hAnsi="Palatino Linotype" w:cs="Palatino Linotype"/>
          <w:b/>
          <w:sz w:val="24"/>
          <w:szCs w:val="24"/>
        </w:rPr>
        <w:t xml:space="preserve">FUNDADOS </w:t>
      </w:r>
      <w:r>
        <w:rPr>
          <w:rFonts w:ascii="Palatino Linotype" w:eastAsia="Palatino Linotype" w:hAnsi="Palatino Linotype" w:cs="Palatino Linotype"/>
          <w:sz w:val="24"/>
          <w:szCs w:val="24"/>
        </w:rPr>
        <w:t xml:space="preserve">y, en consecuencia,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del Sujeto Obligado y se le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haga entrega, vía Sistema de Acceso a la Información Mexiquense, de ser el caso en versión pública, </w:t>
      </w:r>
      <w:r>
        <w:rPr>
          <w:rFonts w:ascii="Palatino Linotype" w:eastAsia="Palatino Linotype" w:hAnsi="Palatino Linotype" w:cs="Palatino Linotype"/>
          <w:b/>
          <w:sz w:val="24"/>
          <w:szCs w:val="24"/>
          <w:u w:val="single"/>
        </w:rPr>
        <w:t>la siguiente información: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2"/>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los trabajos de revestimiento llevados a cabo del uno de enero al dieciséis de mayo de dos mil veintidós, los documentos que den cuenta de: </w:t>
      </w:r>
    </w:p>
    <w:p w:rsidR="003F0671" w:rsidRDefault="003F0671">
      <w:pPr>
        <w:pBdr>
          <w:top w:val="nil"/>
          <w:left w:val="nil"/>
          <w:bottom w:val="nil"/>
          <w:right w:val="nil"/>
          <w:between w:val="nil"/>
        </w:pBdr>
        <w:spacing w:after="0" w:line="360" w:lineRule="auto"/>
        <w:ind w:left="720" w:right="701"/>
        <w:jc w:val="both"/>
        <w:rPr>
          <w:rFonts w:ascii="Palatino Linotype" w:eastAsia="Palatino Linotype" w:hAnsi="Palatino Linotype" w:cs="Palatino Linotype"/>
          <w:b/>
          <w:color w:val="000000"/>
        </w:rPr>
      </w:pPr>
    </w:p>
    <w:p w:rsidR="003F0671" w:rsidRDefault="003C59FF">
      <w:pPr>
        <w:numPr>
          <w:ilvl w:val="0"/>
          <w:numId w:val="3"/>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Monto erogado.</w:t>
      </w:r>
    </w:p>
    <w:p w:rsidR="003F0671" w:rsidRDefault="003C59FF">
      <w:pPr>
        <w:numPr>
          <w:ilvl w:val="0"/>
          <w:numId w:val="3"/>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Localidades en las que se ha llevado.</w:t>
      </w:r>
    </w:p>
    <w:p w:rsidR="003F0671" w:rsidRDefault="003C59FF">
      <w:pPr>
        <w:numPr>
          <w:ilvl w:val="0"/>
          <w:numId w:val="3"/>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Maquinarias propias y/o arrendadas, de ser el caso, monto de arrendamiento y los contratos respectivos.  </w:t>
      </w:r>
    </w:p>
    <w:p w:rsidR="003F0671" w:rsidRDefault="003C59FF">
      <w:pPr>
        <w:numPr>
          <w:ilvl w:val="0"/>
          <w:numId w:val="3"/>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Monto erogado por consumo de combustible de las maquinarias utilizadas.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supuesto de que la información ordenada en el inciso d) no obre en los archivos del Sujeto Obligado, deberá hacerlo del conocimiento de la parte Recurrente en términos del segundo párrafo del artículo 19 de la Ley en la materia, para tener por colmado el requerimiento de información.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no escapa de la óptica de este Organismo Garante que el particular, a través de su recurso de revisión, solicitó a este Instituto, se sancionara al Titular de la Unidad de Transparencia por no garantizar el derecho de acceso a la información,</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De la versión pública.</w:t>
      </w:r>
      <w:r>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i/>
        </w:rPr>
        <w:t>Artículo 143.</w:t>
      </w:r>
      <w:r>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w:t>
      </w:r>
      <w:r>
        <w:rPr>
          <w:rFonts w:ascii="Palatino Linotype" w:eastAsia="Palatino Linotype" w:hAnsi="Palatino Linotype" w:cs="Palatino Linotype"/>
          <w:i/>
        </w:rPr>
        <w:tab/>
        <w:t xml:space="preserve">Se refiera a la información privada y los datos personales concernientes a una persona física o </w:t>
      </w:r>
      <w:proofErr w:type="gramStart"/>
      <w:r>
        <w:rPr>
          <w:rFonts w:ascii="Palatino Linotype" w:eastAsia="Palatino Linotype" w:hAnsi="Palatino Linotype" w:cs="Palatino Linotype"/>
          <w:i/>
        </w:rPr>
        <w:t>jurídico</w:t>
      </w:r>
      <w:proofErr w:type="gramEnd"/>
      <w:r>
        <w:rPr>
          <w:rFonts w:ascii="Palatino Linotype" w:eastAsia="Palatino Linotype" w:hAnsi="Palatino Linotype" w:cs="Palatino Linotype"/>
          <w:i/>
        </w:rPr>
        <w:t xml:space="preserve"> colectiva identificada o identificable…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Los Comités de Transparencia tendrán las siguientes atribuciones: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VIII. Aprobar, modificar o revocar la clasificación de la información</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Unidades de Transparencia tendrán las siguientes funciones: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 Presentar ante el Comité, el proyecto de clasificación de información…” </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F0671">
      <w:pPr>
        <w:spacing w:after="0" w:line="276" w:lineRule="auto"/>
        <w:ind w:left="567" w:right="560"/>
        <w:jc w:val="both"/>
        <w:rPr>
          <w:rFonts w:ascii="Palatino Linotype" w:eastAsia="Palatino Linotype" w:hAnsi="Palatino Linotype" w:cs="Palatino Linotype"/>
          <w:i/>
        </w:rPr>
      </w:pP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servidores públicos habilitados tendrán las funciones siguientes:</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3F0671" w:rsidRDefault="003C59FF">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149.</w:t>
      </w:r>
      <w:r>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Pr>
          <w:rFonts w:ascii="Palatino Linotype" w:eastAsia="Palatino Linotype" w:hAnsi="Palatino Linotype" w:cs="Palatino Linotype"/>
          <w:sz w:val="24"/>
          <w:szCs w:val="24"/>
        </w:rPr>
        <w:t>supraindicados</w:t>
      </w:r>
      <w:proofErr w:type="spellEnd"/>
      <w:r>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rsidR="003F0671" w:rsidRDefault="003F0671">
      <w:pPr>
        <w:spacing w:after="0" w:line="360" w:lineRule="auto"/>
        <w:ind w:right="49"/>
        <w:jc w:val="both"/>
        <w:rPr>
          <w:rFonts w:ascii="Palatino Linotype" w:eastAsia="Palatino Linotype" w:hAnsi="Palatino Linotype" w:cs="Palatino Linotype"/>
          <w:sz w:val="24"/>
          <w:szCs w:val="24"/>
        </w:rPr>
      </w:pPr>
    </w:p>
    <w:tbl>
      <w:tblPr>
        <w:tblStyle w:val="a"/>
        <w:tblW w:w="9049" w:type="dxa"/>
        <w:tblInd w:w="0"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3F0671">
        <w:tc>
          <w:tcPr>
            <w:tcW w:w="4234" w:type="dxa"/>
            <w:gridSpan w:val="2"/>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Total</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Dónde</w:t>
            </w:r>
          </w:p>
        </w:tc>
      </w:tr>
      <w:tr w:rsidR="003F0671">
        <w:tc>
          <w:tcPr>
            <w:tcW w:w="9049" w:type="dxa"/>
            <w:gridSpan w:val="4"/>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Sello oficial o logotipo del sujeto obligado</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área de la cual es el titular quien clasifica.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8"/>
                <w:szCs w:val="18"/>
              </w:rPr>
              <w:t>anotarán</w:t>
            </w:r>
            <w:proofErr w:type="gramEnd"/>
            <w:r>
              <w:rPr>
                <w:rFonts w:ascii="Palatino Linotype" w:eastAsia="Palatino Linotype" w:hAnsi="Palatino Linotype" w:cs="Palatino Linotype"/>
                <w:sz w:val="18"/>
                <w:szCs w:val="18"/>
              </w:rPr>
              <w:t xml:space="preserve"> todas las páginas que lo conforman. Si el documento no contiene </w:t>
            </w:r>
            <w:r>
              <w:rPr>
                <w:rFonts w:ascii="Palatino Linotype" w:eastAsia="Palatino Linotype" w:hAnsi="Palatino Linotype" w:cs="Palatino Linotype"/>
                <w:sz w:val="18"/>
                <w:szCs w:val="18"/>
              </w:rPr>
              <w:lastRenderedPageBreak/>
              <w:t>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Reservado</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Leyenda de información RESERVADA.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Fundamento legal</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Leyenda de información CONFIDENCIAL.</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clasifica.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que se desclasifica.</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que una vez desclasificado el expediente, </w:t>
            </w:r>
            <w:proofErr w:type="spellStart"/>
            <w:r>
              <w:rPr>
                <w:rFonts w:ascii="Palatino Linotype" w:eastAsia="Palatino Linotype" w:hAnsi="Palatino Linotype" w:cs="Palatino Linotype"/>
                <w:sz w:val="18"/>
                <w:szCs w:val="18"/>
              </w:rPr>
              <w:t>subsistanpartes</w:t>
            </w:r>
            <w:proofErr w:type="spellEnd"/>
            <w:r>
              <w:rPr>
                <w:rFonts w:ascii="Palatino Linotype" w:eastAsia="Palatino Linotype" w:hAnsi="Palatino Linotype" w:cs="Palatino Linotype"/>
                <w:sz w:val="18"/>
                <w:szCs w:val="18"/>
              </w:rPr>
              <w:t> o secciones del mismo reservadas o confidenciales, se señalará este hecho.</w:t>
            </w:r>
          </w:p>
        </w:tc>
      </w:tr>
      <w:tr w:rsidR="003F0671">
        <w:tc>
          <w:tcPr>
            <w:tcW w:w="1386"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rsidR="003F0671" w:rsidRDefault="003C59FF">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desclasifica.</w:t>
            </w:r>
          </w:p>
        </w:tc>
      </w:tr>
    </w:tbl>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el RECURRENTE dentro del recurso de revisión </w:t>
      </w:r>
      <w:r>
        <w:rPr>
          <w:rFonts w:ascii="Palatino Linotype" w:eastAsia="Palatino Linotype" w:hAnsi="Palatino Linotype" w:cs="Palatino Linotype"/>
          <w:b/>
          <w:sz w:val="24"/>
          <w:szCs w:val="24"/>
        </w:rPr>
        <w:t>09629/INFOEM/IP/RR/2022</w:t>
      </w:r>
      <w:r>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a la solicitud de información número </w:t>
      </w:r>
      <w:r>
        <w:rPr>
          <w:rFonts w:ascii="Palatino Linotype" w:eastAsia="Palatino Linotype" w:hAnsi="Palatino Linotype" w:cs="Palatino Linotype"/>
          <w:b/>
          <w:sz w:val="24"/>
          <w:szCs w:val="24"/>
        </w:rPr>
        <w:t>00079/MORELOS/IP/2022.</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trigésimo, trigésimo primero y trigésimo segundo fracciones IV y V de la Constitución Política del Estado </w:t>
      </w:r>
      <w:r>
        <w:rPr>
          <w:rFonts w:ascii="Palatino Linotype" w:eastAsia="Palatino Linotype" w:hAnsi="Palatino Linotype" w:cs="Palatino Linotype"/>
          <w:sz w:val="24"/>
          <w:szCs w:val="24"/>
        </w:rPr>
        <w:lastRenderedPageBreak/>
        <w:t>Libre y Soberano de México; 2, fracción II; 29, 36 fracciones I y II; 176, 178, 181, 185, fracción I, 186 y 188 de la Ley de Transparencia y Acceso a la Información Pública del Estado de México y Municipios, este Pleno: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III.</w:t>
      </w:r>
      <w:r>
        <w:rPr>
          <w:rFonts w:ascii="Palatino Linotype" w:eastAsia="Palatino Linotype" w:hAnsi="Palatino Linotype" w:cs="Palatino Linotype"/>
          <w:b/>
          <w:sz w:val="24"/>
          <w:szCs w:val="24"/>
        </w:rPr>
        <w:tab/>
        <w:t>R E S U E L V E:</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xml:space="preserve">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09629/INFOEM/IP/RR/2022</w:t>
      </w:r>
      <w:r>
        <w:rPr>
          <w:rFonts w:ascii="Palatino Linotype" w:eastAsia="Palatino Linotype" w:hAnsi="Palatino Linotype" w:cs="Palatino Linotype"/>
          <w:sz w:val="24"/>
          <w:szCs w:val="24"/>
        </w:rPr>
        <w:t xml:space="preserve">, por lo que, en términos del </w:t>
      </w:r>
      <w:r>
        <w:rPr>
          <w:rFonts w:ascii="Palatino Linotype" w:eastAsia="Palatino Linotype" w:hAnsi="Palatino Linotype" w:cs="Palatino Linotype"/>
          <w:b/>
          <w:sz w:val="24"/>
          <w:szCs w:val="24"/>
        </w:rPr>
        <w:t>Considerando Cuarto</w:t>
      </w:r>
      <w:r>
        <w:rPr>
          <w:rFonts w:ascii="Palatino Linotype" w:eastAsia="Palatino Linotype" w:hAnsi="Palatino Linotype" w:cs="Palatino Linotype"/>
          <w:sz w:val="24"/>
          <w:szCs w:val="24"/>
        </w:rPr>
        <w:t xml:space="preserve"> de esta resolución, se </w:t>
      </w:r>
      <w:r>
        <w:rPr>
          <w:rFonts w:ascii="Palatino Linotype" w:eastAsia="Palatino Linotype" w:hAnsi="Palatino Linotype" w:cs="Palatino Linotype"/>
          <w:b/>
          <w:sz w:val="24"/>
          <w:szCs w:val="24"/>
        </w:rPr>
        <w:t>REVOCA</w:t>
      </w:r>
      <w:r>
        <w:rPr>
          <w:rFonts w:ascii="Palatino Linotype" w:eastAsia="Palatino Linotype" w:hAnsi="Palatino Linotype" w:cs="Palatino Linotype"/>
          <w:sz w:val="24"/>
          <w:szCs w:val="24"/>
        </w:rPr>
        <w:t xml:space="preserve"> 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 en términos del </w:t>
      </w:r>
      <w:r>
        <w:rPr>
          <w:rFonts w:ascii="Palatino Linotype" w:eastAsia="Palatino Linotype" w:hAnsi="Palatino Linotype" w:cs="Palatino Linotype"/>
          <w:b/>
          <w:sz w:val="24"/>
          <w:szCs w:val="24"/>
        </w:rPr>
        <w:t>Considerando Cuarto y Quinto</w:t>
      </w:r>
      <w:r>
        <w:rPr>
          <w:rFonts w:ascii="Palatino Linotype" w:eastAsia="Palatino Linotype" w:hAnsi="Palatino Linotype" w:cs="Palatino Linotype"/>
          <w:sz w:val="24"/>
          <w:szCs w:val="24"/>
        </w:rPr>
        <w:t xml:space="preserve">, haga entrega vía Sistema de Acceso a la Información Mexiquense, de ser el caso, en versión pública, </w:t>
      </w:r>
      <w:r>
        <w:rPr>
          <w:rFonts w:ascii="Palatino Linotype" w:eastAsia="Palatino Linotype" w:hAnsi="Palatino Linotype" w:cs="Palatino Linotype"/>
          <w:b/>
          <w:sz w:val="24"/>
          <w:szCs w:val="24"/>
          <w:u w:val="single"/>
        </w:rPr>
        <w:t>la siguiente información: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numPr>
          <w:ilvl w:val="0"/>
          <w:numId w:val="2"/>
        </w:numPr>
        <w:pBdr>
          <w:top w:val="nil"/>
          <w:left w:val="nil"/>
          <w:bottom w:val="nil"/>
          <w:right w:val="nil"/>
          <w:between w:val="nil"/>
        </w:pBdr>
        <w:spacing w:after="0" w:line="360" w:lineRule="auto"/>
        <w:ind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los trabajos de revestimiento llevados a cabo del uno de enero al dieciséis de mayo de dos mil veintidós, los documentos que den cuenta de: </w:t>
      </w:r>
    </w:p>
    <w:p w:rsidR="003F0671" w:rsidRDefault="003F0671">
      <w:pPr>
        <w:pBdr>
          <w:top w:val="nil"/>
          <w:left w:val="nil"/>
          <w:bottom w:val="nil"/>
          <w:right w:val="nil"/>
          <w:between w:val="nil"/>
        </w:pBdr>
        <w:spacing w:after="0" w:line="360" w:lineRule="auto"/>
        <w:ind w:left="720" w:right="701"/>
        <w:jc w:val="both"/>
        <w:rPr>
          <w:rFonts w:ascii="Palatino Linotype" w:eastAsia="Palatino Linotype" w:hAnsi="Palatino Linotype" w:cs="Palatino Linotype"/>
          <w:b/>
          <w:color w:val="000000"/>
        </w:rPr>
      </w:pPr>
    </w:p>
    <w:p w:rsidR="003F0671" w:rsidRDefault="003C59FF">
      <w:pPr>
        <w:pBdr>
          <w:top w:val="nil"/>
          <w:left w:val="nil"/>
          <w:bottom w:val="nil"/>
          <w:right w:val="nil"/>
          <w:between w:val="nil"/>
        </w:pBdr>
        <w:spacing w:after="0" w:line="360" w:lineRule="auto"/>
        <w:ind w:left="426"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Monto erogado.</w:t>
      </w:r>
    </w:p>
    <w:p w:rsidR="003F0671" w:rsidRDefault="003C59FF">
      <w:pPr>
        <w:pBdr>
          <w:top w:val="nil"/>
          <w:left w:val="nil"/>
          <w:bottom w:val="nil"/>
          <w:right w:val="nil"/>
          <w:between w:val="nil"/>
        </w:pBdr>
        <w:spacing w:after="0" w:line="360" w:lineRule="auto"/>
        <w:ind w:left="426"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 Localidades en las que se ha llevado.</w:t>
      </w:r>
    </w:p>
    <w:p w:rsidR="003F0671" w:rsidRDefault="003C59FF">
      <w:pPr>
        <w:pBdr>
          <w:top w:val="nil"/>
          <w:left w:val="nil"/>
          <w:bottom w:val="nil"/>
          <w:right w:val="nil"/>
          <w:between w:val="nil"/>
        </w:pBdr>
        <w:spacing w:after="0" w:line="360" w:lineRule="auto"/>
        <w:ind w:left="426"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Maquinarias propias y/o arrendadas, de ser el caso, monto de arrendamiento y los contratos respectivos y;</w:t>
      </w:r>
    </w:p>
    <w:p w:rsidR="003F0671" w:rsidRDefault="003C59FF">
      <w:pPr>
        <w:pBdr>
          <w:top w:val="nil"/>
          <w:left w:val="nil"/>
          <w:bottom w:val="nil"/>
          <w:right w:val="nil"/>
          <w:between w:val="nil"/>
        </w:pBdr>
        <w:spacing w:after="0" w:line="360" w:lineRule="auto"/>
        <w:ind w:left="426" w:right="70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 Monto erogado por consumo de combustible de las maquinarias utilizadas.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supuesto de que la información ordenada en el inciso d) no obre en los archivos del Sujeto Obligado, deberá hacerlo del conocimiento de la parte Recurrente en términos del segundo párrafo del artículo 19 de la Ley en la materia, para tener por colmado el requerimiento de información.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Responsable de la Unidad de Transparencia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del Sujeto Obligado</w:t>
      </w:r>
      <w:r>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w:t>
      </w:r>
      <w:bookmarkStart w:id="1" w:name="_GoBack"/>
      <w:bookmarkEnd w:id="1"/>
      <w:r>
        <w:rPr>
          <w:rFonts w:ascii="Palatino Linotype" w:eastAsia="Palatino Linotype" w:hAnsi="Palatino Linotype" w:cs="Palatino Linotype"/>
          <w:sz w:val="24"/>
          <w:szCs w:val="24"/>
        </w:rPr>
        <w:t>hábiles siguientes sobre el cumplimiento dado.</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Notifíquese vía 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C59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 DE OCTUBRE DE DOS MIL VEINTIDÓS, ANTE EL SECRETARIO TÉCNICO DEL PLENO ALEXIS TAPIA RAMÍREZ. </w:t>
      </w:r>
    </w:p>
    <w:p w:rsidR="003F0671" w:rsidRDefault="003F0671">
      <w:pPr>
        <w:spacing w:after="0" w:line="360" w:lineRule="auto"/>
        <w:ind w:right="49"/>
        <w:jc w:val="both"/>
        <w:rPr>
          <w:rFonts w:ascii="Palatino Linotype" w:eastAsia="Palatino Linotype" w:hAnsi="Palatino Linotype" w:cs="Palatino Linotype"/>
          <w:sz w:val="24"/>
          <w:szCs w:val="24"/>
        </w:rPr>
      </w:pPr>
    </w:p>
    <w:p w:rsidR="003F0671" w:rsidRDefault="003F0671">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p w:rsidR="0052419D" w:rsidRDefault="0052419D">
      <w:pPr>
        <w:spacing w:after="0" w:line="360" w:lineRule="auto"/>
        <w:ind w:right="49"/>
        <w:jc w:val="both"/>
        <w:rPr>
          <w:rFonts w:ascii="Palatino Linotype" w:eastAsia="Palatino Linotype" w:hAnsi="Palatino Linotype" w:cs="Palatino Linotype"/>
          <w:sz w:val="24"/>
          <w:szCs w:val="24"/>
        </w:rPr>
      </w:pPr>
    </w:p>
    <w:sectPr w:rsidR="0052419D">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9FF" w:rsidRDefault="003C59FF">
      <w:pPr>
        <w:spacing w:after="0" w:line="240" w:lineRule="auto"/>
      </w:pPr>
      <w:r>
        <w:separator/>
      </w:r>
    </w:p>
  </w:endnote>
  <w:endnote w:type="continuationSeparator" w:id="0">
    <w:p w:rsidR="003C59FF" w:rsidRDefault="003C5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671" w:rsidRDefault="003C59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6500F">
      <w:rPr>
        <w:b/>
        <w:noProof/>
        <w:color w:val="000000"/>
        <w:sz w:val="24"/>
        <w:szCs w:val="24"/>
      </w:rPr>
      <w:t>14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6500F">
      <w:rPr>
        <w:b/>
        <w:noProof/>
        <w:color w:val="000000"/>
        <w:sz w:val="24"/>
        <w:szCs w:val="24"/>
      </w:rPr>
      <w:t>44</w:t>
    </w:r>
    <w:r>
      <w:rPr>
        <w:b/>
        <w:color w:val="000000"/>
        <w:sz w:val="24"/>
        <w:szCs w:val="24"/>
      </w:rPr>
      <w:fldChar w:fldCharType="end"/>
    </w:r>
  </w:p>
  <w:p w:rsidR="003F0671" w:rsidRDefault="003F06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671" w:rsidRDefault="003C59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6500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6500F">
      <w:rPr>
        <w:b/>
        <w:noProof/>
        <w:color w:val="000000"/>
        <w:sz w:val="24"/>
        <w:szCs w:val="24"/>
      </w:rPr>
      <w:t>44</w:t>
    </w:r>
    <w:r>
      <w:rPr>
        <w:b/>
        <w:color w:val="000000"/>
        <w:sz w:val="24"/>
        <w:szCs w:val="24"/>
      </w:rPr>
      <w:fldChar w:fldCharType="end"/>
    </w:r>
  </w:p>
  <w:p w:rsidR="003F0671" w:rsidRDefault="003F06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9FF" w:rsidRDefault="003C59FF">
      <w:pPr>
        <w:spacing w:after="0" w:line="240" w:lineRule="auto"/>
      </w:pPr>
      <w:r>
        <w:separator/>
      </w:r>
    </w:p>
  </w:footnote>
  <w:footnote w:type="continuationSeparator" w:id="0">
    <w:p w:rsidR="003C59FF" w:rsidRDefault="003C59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671" w:rsidRDefault="003F0671">
    <w:pPr>
      <w:widowControl w:val="0"/>
      <w:pBdr>
        <w:top w:val="nil"/>
        <w:left w:val="nil"/>
        <w:bottom w:val="nil"/>
        <w:right w:val="nil"/>
        <w:between w:val="nil"/>
      </w:pBdr>
      <w:spacing w:after="0" w:line="276" w:lineRule="auto"/>
      <w:rPr>
        <w:color w:val="000000"/>
      </w:rPr>
    </w:pPr>
  </w:p>
  <w:tbl>
    <w:tblPr>
      <w:tblStyle w:val="a1"/>
      <w:tblW w:w="5603" w:type="dxa"/>
      <w:tblInd w:w="3611" w:type="dxa"/>
      <w:tblLayout w:type="fixed"/>
      <w:tblLook w:val="0400" w:firstRow="0" w:lastRow="0" w:firstColumn="0" w:lastColumn="0" w:noHBand="0" w:noVBand="1"/>
    </w:tblPr>
    <w:tblGrid>
      <w:gridCol w:w="2551"/>
      <w:gridCol w:w="3052"/>
    </w:tblGrid>
    <w:tr w:rsidR="003F0671">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09629/INFOEM/IP/RR/2022</w:t>
          </w:r>
        </w:p>
      </w:tc>
    </w:tr>
    <w:tr w:rsidR="003F0671">
      <w:trPr>
        <w:trHeight w:val="228"/>
      </w:trPr>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Morelos</w:t>
          </w:r>
        </w:p>
      </w:tc>
    </w:tr>
    <w:tr w:rsidR="003F0671">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3F0671" w:rsidRDefault="003C59F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-403859</wp:posOffset>
          </wp:positionH>
          <wp:positionV relativeFrom="paragraph">
            <wp:posOffset>-1257934</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671" w:rsidRDefault="003F067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0"/>
      <w:tblW w:w="5603" w:type="dxa"/>
      <w:tblInd w:w="3611" w:type="dxa"/>
      <w:tblLayout w:type="fixed"/>
      <w:tblLook w:val="0400" w:firstRow="0" w:lastRow="0" w:firstColumn="0" w:lastColumn="0" w:noHBand="0" w:noVBand="1"/>
    </w:tblPr>
    <w:tblGrid>
      <w:gridCol w:w="2551"/>
      <w:gridCol w:w="3052"/>
    </w:tblGrid>
    <w:tr w:rsidR="003F0671">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09629/INFOEM/IP/RR/2022</w:t>
          </w:r>
        </w:p>
      </w:tc>
    </w:tr>
    <w:tr w:rsidR="003F0671">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3F0671" w:rsidRDefault="00D6500F" w:rsidP="00D6500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 </w:t>
          </w:r>
          <w:proofErr w:type="spellStart"/>
          <w:r>
            <w:rPr>
              <w:rFonts w:ascii="Palatino Linotype" w:eastAsia="Palatino Linotype" w:hAnsi="Palatino Linotype" w:cs="Palatino Linotype"/>
              <w:b/>
              <w:color w:val="000000"/>
            </w:rPr>
            <w:t>XXXXXX</w:t>
          </w:r>
          <w:proofErr w:type="spellEnd"/>
          <w:r>
            <w:rPr>
              <w:rFonts w:ascii="Palatino Linotype" w:eastAsia="Palatino Linotype" w:hAnsi="Palatino Linotype" w:cs="Palatino Linotype"/>
              <w:b/>
              <w:color w:val="000000"/>
            </w:rPr>
            <w:t xml:space="preserve"> XXXXXXX</w:t>
          </w:r>
        </w:p>
      </w:tc>
    </w:tr>
    <w:tr w:rsidR="003F0671">
      <w:trPr>
        <w:trHeight w:val="228"/>
      </w:trPr>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Morelos</w:t>
          </w:r>
        </w:p>
      </w:tc>
    </w:tr>
    <w:tr w:rsidR="003F0671">
      <w:tc>
        <w:tcPr>
          <w:tcW w:w="2551"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3F0671" w:rsidRDefault="003C59F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3F0671" w:rsidRDefault="003C59FF">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r>
      <w:rPr>
        <w:noProof/>
      </w:rPr>
      <w:drawing>
        <wp:anchor distT="0" distB="0" distL="0" distR="0" simplePos="0" relativeHeight="251659264" behindDoc="1" locked="0" layoutInCell="1" hidden="0" allowOverlap="1">
          <wp:simplePos x="0" y="0"/>
          <wp:positionH relativeFrom="column">
            <wp:posOffset>-761999</wp:posOffset>
          </wp:positionH>
          <wp:positionV relativeFrom="paragraph">
            <wp:posOffset>-1200784</wp:posOffset>
          </wp:positionV>
          <wp:extent cx="7809876" cy="10165823"/>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05014"/>
    <w:multiLevelType w:val="multilevel"/>
    <w:tmpl w:val="AD7846D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520458"/>
    <w:multiLevelType w:val="multilevel"/>
    <w:tmpl w:val="BA54AE0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AD4809"/>
    <w:multiLevelType w:val="multilevel"/>
    <w:tmpl w:val="9DAC3C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320EFE"/>
    <w:multiLevelType w:val="multilevel"/>
    <w:tmpl w:val="93F475E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4FA5BBF"/>
    <w:multiLevelType w:val="multilevel"/>
    <w:tmpl w:val="E426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671"/>
    <w:rsid w:val="003C59FF"/>
    <w:rsid w:val="003F0671"/>
    <w:rsid w:val="0052419D"/>
    <w:rsid w:val="00D65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A0263-8044-4781-B87E-EE031E2E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acebook.com/MorelosEdoMex22.24/videos/506285414567635/?extid=WA-UNK-UNK-UNK-IOS_GK0T-GK1C&amp;ref=sharin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MorelosEdoMex22.24/videos/728076631705438/?extid=WA-UNK-UNK-UNK-IOS_GK0T-GK1C&amp;ref=sharin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facebook.com/MorelosEdoMex22.24/videos/388658039811724/?extid=WA-UNK-UNK-UNK-IOS_GK0T-GK1C&amp;ref=shar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ilo.org/public/spanish/employment/recon/eiip/download/romarman.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ormas.imt.mx/normativa/N-CTR-CAR-1-04-001-00.pdf" TargetMode="External"/><Relationship Id="rId14" Type="http://schemas.openxmlformats.org/officeDocument/2006/relationships/hyperlink" Target="https://www.facebook.com/MorelosEdoMex22.24/videos/3190499864567690/?extid=WA-UNK-UNK-UNK-IOS_GK0T-GK1C&amp;ref=sharin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q8waMYJixN7y7s8M0scC8t2Hjw==">AMUW2mW99dYh2fhzS25bIag+8lGAyxDRgvPozSBSPjfeZXz2Av4AdDbANXTz5O6TN7wjqEYwqnE5W80JXENYzzWqRbYipGGdXsgJh619IBlcWlgBPfet3Vmh1fpfeIw/8Q5GmcmfSQOi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10304</Words>
  <Characters>56678</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cp:lastModifiedBy>
  <cp:revision>2</cp:revision>
  <cp:lastPrinted>2022-10-20T15:37:00Z</cp:lastPrinted>
  <dcterms:created xsi:type="dcterms:W3CDTF">2022-11-04T20:28:00Z</dcterms:created>
  <dcterms:modified xsi:type="dcterms:W3CDTF">2022-11-04T20:28:00Z</dcterms:modified>
</cp:coreProperties>
</file>