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56DB02" w14:textId="12287AF4" w:rsidR="00FE3AA8" w:rsidRDefault="00776873">
      <w:pPr>
        <w:spacing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34137C">
        <w:rPr>
          <w:rFonts w:ascii="Palatino Linotype" w:eastAsia="Palatino Linotype" w:hAnsi="Palatino Linotype" w:cs="Palatino Linotype"/>
        </w:rPr>
        <w:t>cuatro</w:t>
      </w:r>
      <w:r>
        <w:rPr>
          <w:rFonts w:ascii="Palatino Linotype" w:eastAsia="Palatino Linotype" w:hAnsi="Palatino Linotype" w:cs="Palatino Linotype"/>
        </w:rPr>
        <w:t xml:space="preserve"> de febrero de dos mil veintidós. </w:t>
      </w:r>
    </w:p>
    <w:p w14:paraId="5C1CBD35" w14:textId="22C8048C" w:rsidR="00FE3AA8" w:rsidRDefault="00776873">
      <w:pPr>
        <w:spacing w:after="28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05677/INFOEM/IP/RR/2021</w:t>
      </w:r>
      <w:r>
        <w:rPr>
          <w:rFonts w:ascii="Palatino Linotype" w:eastAsia="Palatino Linotype" w:hAnsi="Palatino Linotype" w:cs="Palatino Linotype"/>
        </w:rPr>
        <w:t xml:space="preserve">, promovido por el </w:t>
      </w:r>
      <w:r w:rsidRPr="005145CF">
        <w:rPr>
          <w:rFonts w:ascii="Palatino Linotype" w:eastAsia="Palatino Linotype" w:hAnsi="Palatino Linotype" w:cs="Palatino Linotype"/>
          <w:b/>
        </w:rPr>
        <w:t>C.</w:t>
      </w:r>
      <w:r>
        <w:rPr>
          <w:rFonts w:ascii="Palatino Linotype" w:eastAsia="Palatino Linotype" w:hAnsi="Palatino Linotype" w:cs="Palatino Linotype"/>
        </w:rPr>
        <w:t xml:space="preserve"> </w:t>
      </w:r>
      <w:proofErr w:type="spellStart"/>
      <w:r w:rsidR="000610E0">
        <w:rPr>
          <w:rFonts w:ascii="Palatino Linotype" w:eastAsia="Palatino Linotype" w:hAnsi="Palatino Linotype" w:cs="Palatino Linotype"/>
          <w:b/>
        </w:rPr>
        <w:t>xxxxxxxxxxxxxxxxxxxxxxxxxxx</w:t>
      </w:r>
      <w:proofErr w:type="spellEnd"/>
      <w:r>
        <w:rPr>
          <w:rFonts w:ascii="Palatino Linotype" w:eastAsia="Palatino Linotype" w:hAnsi="Palatino Linotype" w:cs="Palatino Linotype"/>
          <w:b/>
        </w:rPr>
        <w:t xml:space="preserve"> </w:t>
      </w:r>
      <w:proofErr w:type="spellStart"/>
      <w:r w:rsidR="000610E0">
        <w:rPr>
          <w:rFonts w:ascii="Palatino Linotype" w:eastAsia="Palatino Linotype" w:hAnsi="Palatino Linotype" w:cs="Palatino Linotype"/>
          <w:b/>
        </w:rPr>
        <w:t>xxxxxxxxxx</w:t>
      </w:r>
      <w:proofErr w:type="spellEnd"/>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a quien en lo sucesivo se le denominará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contra de la </w:t>
      </w:r>
      <w:r>
        <w:rPr>
          <w:rFonts w:ascii="Palatino Linotype" w:eastAsia="Palatino Linotype" w:hAnsi="Palatino Linotype" w:cs="Palatino Linotype"/>
          <w:color w:val="000000"/>
        </w:rPr>
        <w:t xml:space="preserve">respuesta por parte del </w:t>
      </w:r>
      <w:r>
        <w:rPr>
          <w:rFonts w:ascii="Palatino Linotype" w:eastAsia="Palatino Linotype" w:hAnsi="Palatino Linotype" w:cs="Palatino Linotype"/>
          <w:b/>
        </w:rPr>
        <w:t xml:space="preserve">Ayuntamiento Chicoloapan, </w:t>
      </w:r>
      <w:r>
        <w:rPr>
          <w:rFonts w:ascii="Palatino Linotype" w:eastAsia="Palatino Linotype" w:hAnsi="Palatino Linotype" w:cs="Palatino Linotype"/>
        </w:rPr>
        <w:t>quien</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lo subsecuente se le denominará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se procede a dictar la presente resolución con base en lo siguiente: </w:t>
      </w:r>
    </w:p>
    <w:p w14:paraId="55938028" w14:textId="77777777" w:rsidR="00FE3AA8" w:rsidRDefault="00776873">
      <w:pPr>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RESULTANDO</w:t>
      </w:r>
    </w:p>
    <w:p w14:paraId="16A85992" w14:textId="77777777" w:rsidR="00FE3AA8" w:rsidRDefault="00776873">
      <w:pPr>
        <w:spacing w:before="280" w:after="280" w:line="360" w:lineRule="auto"/>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 xml:space="preserve">I.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diez de octubre de dos mil veintiuno</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 xml:space="preserve">presentó a través del Sistema de Acceso a la Información Mexiquense, en lo subsecuente </w:t>
      </w:r>
      <w:r>
        <w:rPr>
          <w:rFonts w:ascii="Palatino Linotype" w:eastAsia="Palatino Linotype" w:hAnsi="Palatino Linotype" w:cs="Palatino Linotype"/>
          <w:b/>
        </w:rPr>
        <w:t>EL SAIMEX</w:t>
      </w:r>
      <w:r>
        <w:rPr>
          <w:rFonts w:ascii="Palatino Linotype" w:eastAsia="Palatino Linotype" w:hAnsi="Palatino Linotype" w:cs="Palatino Linotype"/>
        </w:rPr>
        <w:t xml:space="preserve"> ante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la solicitud de acceso a la información pública, a la que se le asignó el número de expediente </w:t>
      </w:r>
      <w:r>
        <w:rPr>
          <w:rFonts w:ascii="Palatino Linotype" w:eastAsia="Palatino Linotype" w:hAnsi="Palatino Linotype" w:cs="Palatino Linotype"/>
          <w:b/>
        </w:rPr>
        <w:t>00199/CHICOLOA/IP/2021</w:t>
      </w:r>
      <w:r>
        <w:rPr>
          <w:rFonts w:ascii="Palatino Linotype" w:eastAsia="Palatino Linotype" w:hAnsi="Palatino Linotype" w:cs="Palatino Linotype"/>
        </w:rPr>
        <w:t>, mediante la cual requirió:</w:t>
      </w:r>
    </w:p>
    <w:p w14:paraId="5381041D" w14:textId="77777777" w:rsidR="00FE3AA8" w:rsidRDefault="00776873">
      <w:pPr>
        <w:tabs>
          <w:tab w:val="left" w:pos="851"/>
        </w:tabs>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Solicito conocer el equipamiento, ubicación, medidas, colindancias y planos para cada uno de los parques del municipio al 9 de octubre de 2021  2</w:t>
      </w:r>
      <w:proofErr w:type="gramStart"/>
      <w:r>
        <w:rPr>
          <w:rFonts w:ascii="Palatino Linotype" w:eastAsia="Palatino Linotype" w:hAnsi="Palatino Linotype" w:cs="Palatino Linotype"/>
          <w:i/>
          <w:sz w:val="22"/>
          <w:szCs w:val="22"/>
        </w:rPr>
        <w:t>)Solicito</w:t>
      </w:r>
      <w:proofErr w:type="gramEnd"/>
      <w:r>
        <w:rPr>
          <w:rFonts w:ascii="Palatino Linotype" w:eastAsia="Palatino Linotype" w:hAnsi="Palatino Linotype" w:cs="Palatino Linotype"/>
          <w:i/>
          <w:sz w:val="22"/>
          <w:szCs w:val="22"/>
        </w:rPr>
        <w:t xml:space="preserve"> conocer la lista de asistencia de las y los regidores, síndicos, secretario del ayuntamiento y presidente o presidenta municipal a las sesiones de pleno y comisiones del 1 de enero de 2021 al 9 de octubre de 2021 3) Solicito conocer el número y estado que guardan los semáforos y señalizaciones</w:t>
      </w:r>
    </w:p>
    <w:p w14:paraId="1787B0B8" w14:textId="77777777" w:rsidR="00FE3AA8" w:rsidRDefault="00776873">
      <w:pPr>
        <w:tabs>
          <w:tab w:val="left" w:pos="851"/>
        </w:tabs>
        <w:ind w:left="851" w:right="901"/>
        <w:jc w:val="both"/>
        <w:rPr>
          <w:rFonts w:ascii="Palatino Linotype" w:eastAsia="Palatino Linotype" w:hAnsi="Palatino Linotype" w:cs="Palatino Linotype"/>
          <w:i/>
          <w:sz w:val="22"/>
          <w:szCs w:val="22"/>
        </w:rPr>
      </w:pPr>
      <w:proofErr w:type="gramStart"/>
      <w:r>
        <w:rPr>
          <w:rFonts w:ascii="Palatino Linotype" w:eastAsia="Palatino Linotype" w:hAnsi="Palatino Linotype" w:cs="Palatino Linotype"/>
          <w:i/>
          <w:sz w:val="22"/>
          <w:szCs w:val="22"/>
        </w:rPr>
        <w:t>viales</w:t>
      </w:r>
      <w:proofErr w:type="gramEnd"/>
      <w:r>
        <w:rPr>
          <w:rFonts w:ascii="Palatino Linotype" w:eastAsia="Palatino Linotype" w:hAnsi="Palatino Linotype" w:cs="Palatino Linotype"/>
          <w:i/>
          <w:sz w:val="22"/>
          <w:szCs w:val="22"/>
        </w:rPr>
        <w:t xml:space="preserve">, respectivamente del municipio” </w:t>
      </w:r>
      <w:r>
        <w:rPr>
          <w:rFonts w:ascii="Palatino Linotype" w:eastAsia="Palatino Linotype" w:hAnsi="Palatino Linotype" w:cs="Palatino Linotype"/>
          <w:sz w:val="22"/>
          <w:szCs w:val="22"/>
        </w:rPr>
        <w:t>(Sic).</w:t>
      </w:r>
    </w:p>
    <w:p w14:paraId="4B9330B3" w14:textId="77777777" w:rsidR="00FE3AA8" w:rsidRDefault="00FE3AA8">
      <w:pPr>
        <w:spacing w:before="280" w:after="280" w:line="360" w:lineRule="auto"/>
        <w:jc w:val="both"/>
        <w:rPr>
          <w:rFonts w:ascii="Palatino Linotype" w:eastAsia="Palatino Linotype" w:hAnsi="Palatino Linotype" w:cs="Palatino Linotype"/>
          <w:b/>
          <w:sz w:val="6"/>
          <w:szCs w:val="6"/>
        </w:rPr>
      </w:pPr>
    </w:p>
    <w:p w14:paraId="68C02328" w14:textId="77777777" w:rsidR="00FE3AA8" w:rsidRDefault="00FE3AA8">
      <w:pPr>
        <w:spacing w:before="280" w:after="280" w:line="360" w:lineRule="auto"/>
        <w:jc w:val="both"/>
        <w:rPr>
          <w:rFonts w:ascii="Palatino Linotype" w:eastAsia="Palatino Linotype" w:hAnsi="Palatino Linotype" w:cs="Palatino Linotype"/>
          <w:b/>
          <w:sz w:val="6"/>
          <w:szCs w:val="6"/>
        </w:rPr>
      </w:pPr>
    </w:p>
    <w:p w14:paraId="2E11B775" w14:textId="77777777" w:rsidR="00FE3AA8" w:rsidRDefault="00776873">
      <w:pPr>
        <w:spacing w:before="280" w:after="28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Vía </w:t>
      </w:r>
      <w:r>
        <w:rPr>
          <w:rFonts w:ascii="Palatino Linotype" w:eastAsia="Palatino Linotype" w:hAnsi="Palatino Linotype" w:cs="Palatino Linotype"/>
          <w:b/>
        </w:rPr>
        <w:t>SAIMEX.</w:t>
      </w:r>
    </w:p>
    <w:p w14:paraId="78B7DBFE" w14:textId="77777777" w:rsidR="00FE3AA8" w:rsidRDefault="00776873">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lastRenderedPageBreak/>
        <w:t>II</w:t>
      </w: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En cumplimiento al artículo 162 de la Ley de Transparencia y Acceso a la Información Pública del Estado de México y Municipios, el once de noviembre de dos mil veintiuno,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xml:space="preserve"> turnó el requerimiento para solicitar la información para dar respuesta a la solicitud del ciudadano, así mismo, se le pidió al servidor público habilitado que consideró competente, la búsqueda y localización de dicha información, tal como se desprende de la imagen que continuación se inserta:</w:t>
      </w:r>
    </w:p>
    <w:p w14:paraId="407F8CF8" w14:textId="77777777" w:rsidR="00FE3AA8" w:rsidRDefault="00776873">
      <w:pPr>
        <w:pBdr>
          <w:top w:val="nil"/>
          <w:left w:val="nil"/>
          <w:bottom w:val="nil"/>
          <w:right w:val="nil"/>
          <w:between w:val="nil"/>
        </w:pBdr>
        <w:spacing w:before="280" w:after="280" w:line="360" w:lineRule="auto"/>
        <w:jc w:val="both"/>
        <w:rPr>
          <w:rFonts w:ascii="Palatino Linotype" w:eastAsia="Palatino Linotype" w:hAnsi="Palatino Linotype" w:cs="Palatino Linotype"/>
          <w:b/>
          <w:color w:val="000000"/>
          <w:sz w:val="28"/>
          <w:szCs w:val="28"/>
        </w:rPr>
      </w:pPr>
      <w:r>
        <w:rPr>
          <w:rFonts w:ascii="Palatino Linotype" w:eastAsia="Palatino Linotype" w:hAnsi="Palatino Linotype" w:cs="Palatino Linotype"/>
          <w:b/>
          <w:noProof/>
          <w:color w:val="000000"/>
          <w:sz w:val="28"/>
          <w:szCs w:val="28"/>
        </w:rPr>
        <w:drawing>
          <wp:inline distT="0" distB="0" distL="0" distR="0" wp14:anchorId="4FEC8D45" wp14:editId="40F45DB1">
            <wp:extent cx="5791835" cy="1439545"/>
            <wp:effectExtent l="0" t="0" r="0" b="0"/>
            <wp:docPr id="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791835" cy="1439545"/>
                    </a:xfrm>
                    <a:prstGeom prst="rect">
                      <a:avLst/>
                    </a:prstGeom>
                    <a:ln/>
                  </pic:spPr>
                </pic:pic>
              </a:graphicData>
            </a:graphic>
          </wp:inline>
        </w:drawing>
      </w:r>
    </w:p>
    <w:p w14:paraId="784FDCEF" w14:textId="77777777" w:rsidR="00FE3AA8" w:rsidRDefault="00776873">
      <w:pPr>
        <w:pBdr>
          <w:top w:val="nil"/>
          <w:left w:val="nil"/>
          <w:bottom w:val="nil"/>
          <w:right w:val="nil"/>
          <w:between w:val="nil"/>
        </w:pBdr>
        <w:spacing w:before="280" w:after="280" w:line="360" w:lineRule="auto"/>
        <w:jc w:val="both"/>
        <w:rPr>
          <w:rFonts w:ascii="Palatino Linotype" w:eastAsia="Palatino Linotype" w:hAnsi="Palatino Linotype" w:cs="Palatino Linotype"/>
          <w:b/>
          <w:color w:val="000000"/>
          <w:sz w:val="28"/>
          <w:szCs w:val="28"/>
        </w:rPr>
      </w:pPr>
      <w:r>
        <w:rPr>
          <w:rFonts w:ascii="Palatino Linotype" w:eastAsia="Palatino Linotype" w:hAnsi="Palatino Linotype" w:cs="Palatino Linotype"/>
          <w:b/>
          <w:color w:val="000000"/>
          <w:sz w:val="28"/>
          <w:szCs w:val="28"/>
        </w:rPr>
        <w:t xml:space="preserve">III. </w:t>
      </w:r>
      <w:r>
        <w:rPr>
          <w:rFonts w:ascii="Palatino Linotype" w:eastAsia="Palatino Linotype" w:hAnsi="Palatino Linotype" w:cs="Palatino Linotype"/>
          <w:color w:val="000000"/>
        </w:rPr>
        <w:t xml:space="preserve">Del expediente electrónico formado en el </w:t>
      </w:r>
      <w:r>
        <w:rPr>
          <w:rFonts w:ascii="Palatino Linotype" w:eastAsia="Palatino Linotype" w:hAnsi="Palatino Linotype" w:cs="Palatino Linotype"/>
          <w:b/>
          <w:color w:val="000000"/>
        </w:rPr>
        <w:t xml:space="preserve">SAIMEX, </w:t>
      </w:r>
      <w:r>
        <w:rPr>
          <w:rFonts w:ascii="Palatino Linotype" w:eastAsia="Palatino Linotype" w:hAnsi="Palatino Linotype" w:cs="Palatino Linotype"/>
          <w:color w:val="000000"/>
        </w:rPr>
        <w:t xml:space="preserve">del Recurso de Revisión que nos ocupa, se advierte que en fecha </w:t>
      </w:r>
      <w:r>
        <w:rPr>
          <w:rFonts w:ascii="Palatino Linotype" w:eastAsia="Palatino Linotype" w:hAnsi="Palatino Linotype" w:cs="Palatino Linotype"/>
          <w:b/>
          <w:color w:val="000000"/>
        </w:rPr>
        <w:t>veintiocho de octubre de dos mil veintiuno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 xml:space="preserve">EL SUJETO OBLIGADO </w:t>
      </w:r>
      <w:r>
        <w:rPr>
          <w:rFonts w:ascii="Palatino Linotype" w:eastAsia="Palatino Linotype" w:hAnsi="Palatino Linotype" w:cs="Palatino Linotype"/>
          <w:color w:val="000000"/>
        </w:rPr>
        <w:t>interpuso una prórroga para dar respuesta a la solicitud.</w:t>
      </w:r>
    </w:p>
    <w:p w14:paraId="2ADBAAAC" w14:textId="77777777" w:rsidR="00FE3AA8" w:rsidRDefault="00776873">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IV. </w:t>
      </w:r>
      <w:r>
        <w:rPr>
          <w:rFonts w:ascii="Palatino Linotype" w:eastAsia="Palatino Linotype" w:hAnsi="Palatino Linotype" w:cs="Palatino Linotype"/>
        </w:rPr>
        <w:t>E</w:t>
      </w:r>
      <w:r>
        <w:rPr>
          <w:rFonts w:ascii="Palatino Linotype" w:eastAsia="Palatino Linotype" w:hAnsi="Palatino Linotype" w:cs="Palatino Linotype"/>
          <w:color w:val="000000"/>
        </w:rPr>
        <w:t xml:space="preserve">n fecha </w:t>
      </w:r>
      <w:r>
        <w:rPr>
          <w:rFonts w:ascii="Palatino Linotype" w:eastAsia="Palatino Linotype" w:hAnsi="Palatino Linotype" w:cs="Palatino Linotype"/>
          <w:b/>
        </w:rPr>
        <w:t>dieciséis</w:t>
      </w:r>
      <w:r>
        <w:rPr>
          <w:rFonts w:ascii="Palatino Linotype" w:eastAsia="Palatino Linotype" w:hAnsi="Palatino Linotype" w:cs="Palatino Linotype"/>
          <w:b/>
          <w:color w:val="000000"/>
        </w:rPr>
        <w:t xml:space="preserve"> de noviembre de dos mil veintiuno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EL SUJETO OBLIGADO</w:t>
      </w:r>
      <w:r>
        <w:rPr>
          <w:rFonts w:ascii="Palatino Linotype" w:eastAsia="Palatino Linotype" w:hAnsi="Palatino Linotype" w:cs="Palatino Linotype"/>
          <w:color w:val="000000"/>
        </w:rPr>
        <w:t xml:space="preserve"> dio respuesta a la solicitud de acceso a la información pública requerida por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en los siguientes términos:</w:t>
      </w:r>
    </w:p>
    <w:p w14:paraId="482F470D" w14:textId="77777777" w:rsidR="00FE3AA8" w:rsidRDefault="00776873">
      <w:pPr>
        <w:pBdr>
          <w:top w:val="nil"/>
          <w:left w:val="nil"/>
          <w:bottom w:val="nil"/>
          <w:right w:val="nil"/>
          <w:between w:val="nil"/>
        </w:pBdr>
        <w:ind w:left="850" w:right="899"/>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“Chicoloapan, México a 16 de Noviembre de 2021</w:t>
      </w:r>
    </w:p>
    <w:p w14:paraId="58C58AE6" w14:textId="230B9C41" w:rsidR="00FE3AA8" w:rsidRDefault="00776873">
      <w:pPr>
        <w:pBdr>
          <w:top w:val="nil"/>
          <w:left w:val="nil"/>
          <w:bottom w:val="nil"/>
          <w:right w:val="nil"/>
          <w:between w:val="nil"/>
        </w:pBdr>
        <w:ind w:left="850" w:right="899"/>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Nombre del solicitante: </w:t>
      </w:r>
      <w:proofErr w:type="spellStart"/>
      <w:r w:rsidR="000610E0">
        <w:rPr>
          <w:rFonts w:ascii="Palatino Linotype" w:eastAsia="Palatino Linotype" w:hAnsi="Palatino Linotype" w:cs="Palatino Linotype"/>
          <w:i/>
          <w:sz w:val="22"/>
          <w:szCs w:val="22"/>
        </w:rPr>
        <w:t>xxxxxxxxxxxxxxxxxxxxxxxxxxxx</w:t>
      </w:r>
      <w:proofErr w:type="spellEnd"/>
    </w:p>
    <w:p w14:paraId="2D6E76D8" w14:textId="77777777" w:rsidR="00FE3AA8" w:rsidRDefault="00776873">
      <w:pPr>
        <w:pBdr>
          <w:top w:val="nil"/>
          <w:left w:val="nil"/>
          <w:bottom w:val="nil"/>
          <w:right w:val="nil"/>
          <w:between w:val="nil"/>
        </w:pBdr>
        <w:ind w:left="850" w:right="899"/>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Folio de la solicitud: 00199/CHICOLOA/IP/2021</w:t>
      </w:r>
    </w:p>
    <w:p w14:paraId="01D1F56B" w14:textId="77777777" w:rsidR="00FE3AA8" w:rsidRDefault="00FE3AA8">
      <w:pPr>
        <w:pBdr>
          <w:top w:val="nil"/>
          <w:left w:val="nil"/>
          <w:bottom w:val="nil"/>
          <w:right w:val="nil"/>
          <w:between w:val="nil"/>
        </w:pBdr>
        <w:ind w:left="850" w:right="899"/>
        <w:rPr>
          <w:rFonts w:ascii="Palatino Linotype" w:eastAsia="Palatino Linotype" w:hAnsi="Palatino Linotype" w:cs="Palatino Linotype"/>
          <w:i/>
          <w:sz w:val="22"/>
          <w:szCs w:val="22"/>
        </w:rPr>
      </w:pPr>
    </w:p>
    <w:p w14:paraId="6EC0BF25" w14:textId="77777777" w:rsidR="00FE3AA8" w:rsidRDefault="00776873">
      <w:pPr>
        <w:pBdr>
          <w:top w:val="nil"/>
          <w:left w:val="nil"/>
          <w:bottom w:val="nil"/>
          <w:right w:val="nil"/>
          <w:between w:val="nil"/>
        </w:pBdr>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371CDE6" w14:textId="77777777" w:rsidR="00FE3AA8" w:rsidRDefault="00776873">
      <w:pPr>
        <w:pBdr>
          <w:top w:val="nil"/>
          <w:left w:val="nil"/>
          <w:bottom w:val="nil"/>
          <w:right w:val="nil"/>
          <w:between w:val="nil"/>
        </w:pBdr>
        <w:spacing w:before="280" w:after="280"/>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En atención s su solicitud de información, se turnó al Servidor Público Habilitado y </w:t>
      </w:r>
      <w:bookmarkStart w:id="0" w:name="_GoBack"/>
      <w:bookmarkEnd w:id="0"/>
      <w:r>
        <w:rPr>
          <w:rFonts w:ascii="Palatino Linotype" w:eastAsia="Palatino Linotype" w:hAnsi="Palatino Linotype" w:cs="Palatino Linotype"/>
          <w:i/>
          <w:sz w:val="22"/>
          <w:szCs w:val="22"/>
        </w:rPr>
        <w:t>Titular de la Secretaría del Ayuntamiento, así como a la Dirección de Seguridad Pública y Movilidad, unidades administrativas que dieron respuesta de la siguiente manera: A través del portal SAIMEX, el servidor público habilitado de la Secretaría del Ayuntamiento, manifestó lo siguiente: "Para dar respuesta a la solicitud de información con el folio 00199/CHICOLOA/IP/2021, especificando que es de mi competencia el inciso 2), mismo que a la letra dice: “2) Solicito conocer la lista de asistencia de las y los regidores, síndicos, secretario del ayuntamiento y presidente o presidenta municipal a las sesiones de pleno y comisiones del 1 de enero de 2021 al 9 de octubre de 2021” Le informo que las listas de asistencia a las sesiones de cabildo de la administración 2019-2021, se encuentran dentro del cuerpo de las actas de cabildo las cuales se encuentran debidamente publicadas en el portal de Información Pública de Oficio Mexiquense (IPOMEX) en el artículo 94, fracción II B2, en lo que corresponde a las comisiones edilicias, se hace de su conocimiento que cada comisión tiene su archivo, por lo que esta Secretaría no cuenta con el resguardo de la información que se solicita. " La Dirección de Seguridad Pública y Movilidad remitió el oficio número CHIC/PM/SPM2081/2021, el cual se pone a disposición a través de la presente respuesta. Sin otro particular, hago de su conocimiento que tiene derecho a interponer el recurso de revisión ante la respuesta brindada, para lo cual cuenta con un plazo de quince días hábiles contados a partir del siguiente día a la fecha de notificación de la presente. Sin otro particular, quedo a usted.</w:t>
      </w:r>
    </w:p>
    <w:p w14:paraId="6FF4F134" w14:textId="77777777" w:rsidR="00FE3AA8" w:rsidRDefault="00776873">
      <w:pPr>
        <w:pBdr>
          <w:top w:val="nil"/>
          <w:left w:val="nil"/>
          <w:bottom w:val="nil"/>
          <w:right w:val="nil"/>
          <w:between w:val="nil"/>
        </w:pBdr>
        <w:spacing w:before="280" w:after="280"/>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22D65373" w14:textId="77777777" w:rsidR="00FE3AA8" w:rsidRDefault="00776873">
      <w:pPr>
        <w:pBdr>
          <w:top w:val="nil"/>
          <w:left w:val="nil"/>
          <w:bottom w:val="nil"/>
          <w:right w:val="nil"/>
          <w:between w:val="nil"/>
        </w:pBdr>
        <w:spacing w:before="280" w:after="280"/>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 ABEL ULISES AQUINO RIVERA”</w:t>
      </w:r>
    </w:p>
    <w:p w14:paraId="134C2A7D" w14:textId="77777777" w:rsidR="00FE3AA8" w:rsidRDefault="00776873">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del fragmento antes señalado se advierte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se pronuncia con respecto a las listas de asistencia de la y los regidores, síndicos, secretario del ayuntamiento y presidente o presidenta municipal de la administración 2019-2011, indicando que estas se encuentran publicadas en el portal de Información Pública de Oficio Mexiquense (IPOMEX) dentro del apartado referente al artículo 94 fracción II, B2 y por lo que corresponde a las comisiones edilicias, señala que la Secretaría no tiene en su resguardo la información solicitada, toda vez que cada comisión tiene su propio archivo.</w:t>
      </w:r>
    </w:p>
    <w:p w14:paraId="6C06AA5D" w14:textId="77777777" w:rsidR="00FE3AA8" w:rsidRDefault="00776873">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lastRenderedPageBreak/>
        <w:t>Aunado a ello adjuntó el archivo denominado “</w:t>
      </w:r>
      <w:r>
        <w:rPr>
          <w:rFonts w:ascii="Palatino Linotype" w:eastAsia="Palatino Linotype" w:hAnsi="Palatino Linotype" w:cs="Palatino Linotype"/>
          <w:i/>
        </w:rPr>
        <w:t xml:space="preserve">RESP. SOLICITUD 00199.pdf” </w:t>
      </w:r>
      <w:r>
        <w:rPr>
          <w:rFonts w:ascii="Palatino Linotype" w:eastAsia="Palatino Linotype" w:hAnsi="Palatino Linotype" w:cs="Palatino Linotype"/>
        </w:rPr>
        <w:t xml:space="preserve">de cuyo contenido se observa el oficio número CHIC/PM/SPM/2081/2021 firmado por el Director de Seguridad Pública y Movilidad mediante el cual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se pronuncia sobre el número y estado que guardan los semáforos y señalizaciones viales indicando que existen tres semáforos al interior del territorio de los cuales el único que no se encuentra en funciones es el ubicado en la Avenida Juárez, esquina con Venustiano Carranza. </w:t>
      </w:r>
      <w:r>
        <w:rPr>
          <w:rFonts w:ascii="Palatino Linotype" w:eastAsia="Palatino Linotype" w:hAnsi="Palatino Linotype" w:cs="Palatino Linotype"/>
          <w:color w:val="000000"/>
        </w:rPr>
        <w:t xml:space="preserve">               </w:t>
      </w:r>
    </w:p>
    <w:p w14:paraId="56C2B163" w14:textId="759A6E7D" w:rsidR="00FE3AA8" w:rsidRDefault="00776873">
      <w:pP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V.</w:t>
      </w:r>
      <w:r>
        <w:rPr>
          <w:rFonts w:ascii="Palatino Linotype" w:eastAsia="Palatino Linotype" w:hAnsi="Palatino Linotype" w:cs="Palatino Linotype"/>
          <w:color w:val="000000"/>
        </w:rPr>
        <w:t xml:space="preserve"> Inconforme por la respuesta, en fecha </w:t>
      </w:r>
      <w:r>
        <w:rPr>
          <w:rFonts w:ascii="Palatino Linotype" w:eastAsia="Palatino Linotype" w:hAnsi="Palatino Linotype" w:cs="Palatino Linotype"/>
          <w:b/>
        </w:rPr>
        <w:t>dieciséis</w:t>
      </w:r>
      <w:r>
        <w:rPr>
          <w:rFonts w:ascii="Palatino Linotype" w:eastAsia="Palatino Linotype" w:hAnsi="Palatino Linotype" w:cs="Palatino Linotype"/>
          <w:b/>
          <w:color w:val="000000"/>
        </w:rPr>
        <w:t xml:space="preserve"> de noviembre de dos mil veintiuno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 xml:space="preserve">EL RECURRENTE </w:t>
      </w:r>
      <w:r>
        <w:rPr>
          <w:rFonts w:ascii="Palatino Linotype" w:eastAsia="Palatino Linotype" w:hAnsi="Palatino Linotype" w:cs="Palatino Linotype"/>
          <w:color w:val="000000"/>
        </w:rPr>
        <w:t xml:space="preserve">interpuso el recurso de revisión sujeto del presente estudio, el cual fue registrado en </w:t>
      </w:r>
      <w:r>
        <w:rPr>
          <w:rFonts w:ascii="Palatino Linotype" w:eastAsia="Palatino Linotype" w:hAnsi="Palatino Linotype" w:cs="Palatino Linotype"/>
          <w:b/>
          <w:color w:val="000000"/>
        </w:rPr>
        <w:t xml:space="preserve">EL SAIMEX, </w:t>
      </w:r>
      <w:r>
        <w:rPr>
          <w:rFonts w:ascii="Palatino Linotype" w:eastAsia="Palatino Linotype" w:hAnsi="Palatino Linotype" w:cs="Palatino Linotype"/>
          <w:color w:val="000000"/>
        </w:rPr>
        <w:t xml:space="preserve">y se le asignó el número de expediente </w:t>
      </w:r>
      <w:r>
        <w:rPr>
          <w:rFonts w:ascii="Palatino Linotype" w:eastAsia="Palatino Linotype" w:hAnsi="Palatino Linotype" w:cs="Palatino Linotype"/>
          <w:b/>
          <w:color w:val="000000"/>
        </w:rPr>
        <w:t>05677/INFOEM/IP/RR/2021,</w:t>
      </w:r>
      <w:r>
        <w:rPr>
          <w:rFonts w:ascii="Palatino Linotype" w:eastAsia="Palatino Linotype" w:hAnsi="Palatino Linotype" w:cs="Palatino Linotype"/>
          <w:color w:val="000000"/>
        </w:rPr>
        <w:t xml:space="preserve"> en el que señaló como acto impugnado: </w:t>
      </w:r>
    </w:p>
    <w:p w14:paraId="061C09B2" w14:textId="77777777" w:rsidR="00FE3AA8" w:rsidRDefault="00776873">
      <w:pPr>
        <w:tabs>
          <w:tab w:val="left" w:pos="851"/>
        </w:tabs>
        <w:spacing w:before="280" w:after="280"/>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“El sujeto obligado en su respuesta no entrego la información solicitada de forma completa, ya que ésta, de acuerdo a la información registrada en el SAIMEX únicamente colmo totalmente el inciso 3) y parcialmente el inciso 2) de la solicitud, no dando repuesta alguna en el inciso 1) y vulnerando el derecho de acceso a la información en el inciso 2) al no dar respuesta respecto a las comisiones edilicias.” </w:t>
      </w:r>
      <w:r>
        <w:rPr>
          <w:rFonts w:ascii="Palatino Linotype" w:eastAsia="Palatino Linotype" w:hAnsi="Palatino Linotype" w:cs="Palatino Linotype"/>
          <w:color w:val="000000"/>
          <w:sz w:val="22"/>
          <w:szCs w:val="22"/>
        </w:rPr>
        <w:t>(Sic).</w:t>
      </w:r>
    </w:p>
    <w:p w14:paraId="7CACA643" w14:textId="77777777" w:rsidR="00FE3AA8" w:rsidRDefault="00776873">
      <w:pP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como, razones o motivos de inconformidad, lo siguiente: </w:t>
      </w:r>
    </w:p>
    <w:p w14:paraId="067345D0" w14:textId="77777777" w:rsidR="00FE3AA8" w:rsidRDefault="00776873">
      <w:pPr>
        <w:tabs>
          <w:tab w:val="left" w:pos="851"/>
        </w:tabs>
        <w:spacing w:before="280" w:after="280"/>
        <w:ind w:left="851" w:right="901"/>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“El sujeto obligado en su respuesta no entrego la información solicitada de forma completa, ya que ésta, de acuerdo a la información registrada en el SAIMEX, consistió únicamente en un oficio denominado "RESP. SOLICITUD 00199.pdf", donde resolvió lo concerniente al inciso 3) de la solicitud de acceso a la información como se aprecia en las documentales anexas. De igual forma, en su respuesta, el titular de la unidad de transparencia del sujeto obligado señalo lo siguiente: "En atención s su solicitud de información, se turnó al Servidor Público Habilitado y Titular de la Secretaría del Ayuntamiento, así como a la Dirección de Seguridad Pública y Movilidad, unidades administrativas que dieron respuesta de la siguiente manera: A través del portal SAIMEX, el servidor público habilitado de la Secretaría del Ayuntamiento, manifestó </w:t>
      </w:r>
      <w:r>
        <w:rPr>
          <w:rFonts w:ascii="Palatino Linotype" w:eastAsia="Palatino Linotype" w:hAnsi="Palatino Linotype" w:cs="Palatino Linotype"/>
          <w:i/>
          <w:color w:val="000000"/>
          <w:sz w:val="22"/>
          <w:szCs w:val="22"/>
        </w:rPr>
        <w:lastRenderedPageBreak/>
        <w:t xml:space="preserve">lo siguiente: "Para dar respuesta a la solicitud de información con el folio 00199/CHICOLOA/IP/2021, especificando que es de mi competencia el inciso 2), mismo que a la letra dice: “2) Solicito conocer la lista de asistencia de las y los regidores, síndicos, secretario del ayuntamiento y presidente o presidenta municipal a las sesiones de pleno y comisiones del 1 de enero de 2021 al 9 de octubre de 2021” Le informo que las listas de asistencia a las sesiones de cabildo de la administración 2019-2021, se encuentran dentro del cuerpo de las actas de cabildo las cuales se encuentran debidamente publicadas en el portal de Información Pública de Oficio Mexiquense (IPOMEX) en el artículo 94, fracción II B2, en lo que corresponde a las comisiones edilicias, se hace de su conocimiento que cada comisión tiene su archivo, por lo que esta Secretaría no cuenta con el resguardo de la información que se solicita. La Dirección de Seguridad Pública y Movilidad remitió el oficio número CHIC/PM/SPM2081/2021, el cual se pone a disposición a través de la presente respuesta. Sin otro particular, hago de su conocimiento que tiene derecho a interponer el recurso de revisión ante la respuesta brindada, para lo cual cuenta con un plazo de quince días hábiles contados a partir del siguiente día a la fecha de notificación de la presente. Sin otro particular, quedo a usted". De lo anterior se desprende que, si bien es cierto, que la información solicitada en el inciso 2) se encuentra parcialmente disponible en el IPOMEX, de acuerdo a lo señalado por la Ley de Transparencia y Acceso a la Información Pública del Estado de México y Municipios en su </w:t>
      </w:r>
      <w:proofErr w:type="spellStart"/>
      <w:r>
        <w:rPr>
          <w:rFonts w:ascii="Palatino Linotype" w:eastAsia="Palatino Linotype" w:hAnsi="Palatino Linotype" w:cs="Palatino Linotype"/>
          <w:i/>
          <w:color w:val="000000"/>
          <w:sz w:val="22"/>
          <w:szCs w:val="22"/>
        </w:rPr>
        <w:t>articulo</w:t>
      </w:r>
      <w:proofErr w:type="spellEnd"/>
      <w:r>
        <w:rPr>
          <w:rFonts w:ascii="Palatino Linotype" w:eastAsia="Palatino Linotype" w:hAnsi="Palatino Linotype" w:cs="Palatino Linotype"/>
          <w:i/>
          <w:color w:val="000000"/>
          <w:sz w:val="22"/>
          <w:szCs w:val="22"/>
        </w:rPr>
        <w:t xml:space="preserve"> 162 se tiene que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y en su respuesta, el sujeto obligado en lo que corresponde a las comisiones edilicias, hace del conocimiento del recurrente que no habilito a los servidores públicos que cuentan con la información solicitada y no realizo una búsqueda exhaustiva de la misma, sin justificación alguna, vulnerando el derecho de acceso a la información pública al no proporcionar la información solicitada en su totalidad la cual </w:t>
      </w:r>
      <w:proofErr w:type="spellStart"/>
      <w:r>
        <w:rPr>
          <w:rFonts w:ascii="Palatino Linotype" w:eastAsia="Palatino Linotype" w:hAnsi="Palatino Linotype" w:cs="Palatino Linotype"/>
          <w:i/>
          <w:color w:val="000000"/>
          <w:sz w:val="22"/>
          <w:szCs w:val="22"/>
        </w:rPr>
        <w:t>requeria</w:t>
      </w:r>
      <w:proofErr w:type="spellEnd"/>
      <w:r>
        <w:rPr>
          <w:rFonts w:ascii="Palatino Linotype" w:eastAsia="Palatino Linotype" w:hAnsi="Palatino Linotype" w:cs="Palatino Linotype"/>
          <w:i/>
          <w:color w:val="000000"/>
          <w:sz w:val="22"/>
          <w:szCs w:val="22"/>
        </w:rPr>
        <w:t xml:space="preserve"> " 2) Solicito conocer la lista de asistencia de las y los regidores, síndicos, secretario del ayuntamiento y presidente o presidenta municipal a las sesiones de pleno y comisiones del 1 de enero de 2021 al 9 de octubre de 2021 " Finalmente respecto al inciso 1) "Solicito conocer el equipamiento, ubicación, medidas, colindancias y planos para cada uno de los parques del municipio al 9 de octubre de 2021" se tiene que el sujeto obligado fue omiso en su totalidad al no dar respuesta alguna y presumiblemente no se habilito a ningún servidor público para realizar la búsqueda de la información solicitada. Por esto, y al día 16 de noviembre de 2021, fecha de notificación de la respuesta, se cumplen los criterios señalados por el articulo 178 y 179, fracciones V y VI de la Ley de Transparencia y Acceso a la Información del Estado de México y </w:t>
      </w:r>
      <w:r>
        <w:rPr>
          <w:rFonts w:ascii="Palatino Linotype" w:eastAsia="Palatino Linotype" w:hAnsi="Palatino Linotype" w:cs="Palatino Linotype"/>
          <w:i/>
          <w:color w:val="000000"/>
          <w:sz w:val="22"/>
          <w:szCs w:val="22"/>
        </w:rPr>
        <w:lastRenderedPageBreak/>
        <w:t>Municipios para la interposición de un recurso de revisión respecto a la respuesta a una solicitud de acceso a la información.” (Sic).</w:t>
      </w:r>
    </w:p>
    <w:p w14:paraId="0F49FE94" w14:textId="63CDDEFA" w:rsidR="00FE3AA8" w:rsidRDefault="00776873">
      <w:pP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V</w:t>
      </w:r>
      <w:r w:rsidR="0034137C">
        <w:rPr>
          <w:rFonts w:ascii="Palatino Linotype" w:eastAsia="Palatino Linotype" w:hAnsi="Palatino Linotype" w:cs="Palatino Linotype"/>
          <w:b/>
          <w:color w:val="000000"/>
          <w:sz w:val="28"/>
          <w:szCs w:val="28"/>
        </w:rPr>
        <w:t>I</w:t>
      </w:r>
      <w:r>
        <w:rPr>
          <w:rFonts w:ascii="Palatino Linotype" w:eastAsia="Palatino Linotype" w:hAnsi="Palatino Linotype" w:cs="Palatino Linotype"/>
          <w:b/>
          <w:color w:val="000000"/>
          <w:sz w:val="28"/>
          <w:szCs w:val="28"/>
        </w:rPr>
        <w:t xml:space="preserve">. </w:t>
      </w:r>
      <w:r>
        <w:rPr>
          <w:rFonts w:ascii="Palatino Linotype" w:eastAsia="Palatino Linotype" w:hAnsi="Palatino Linotype" w:cs="Palatino Linotype"/>
          <w:color w:val="000000"/>
        </w:rPr>
        <w:t xml:space="preserve">En fecha </w:t>
      </w:r>
      <w:r>
        <w:rPr>
          <w:rFonts w:ascii="Palatino Linotype" w:eastAsia="Palatino Linotype" w:hAnsi="Palatino Linotype" w:cs="Palatino Linotype"/>
          <w:b/>
        </w:rPr>
        <w:t>dieciséis</w:t>
      </w:r>
      <w:r>
        <w:rPr>
          <w:rFonts w:ascii="Palatino Linotype" w:eastAsia="Palatino Linotype" w:hAnsi="Palatino Linotype" w:cs="Palatino Linotype"/>
          <w:b/>
          <w:color w:val="000000"/>
        </w:rPr>
        <w:t xml:space="preserve"> de noviembre de dos mil veintiuno</w:t>
      </w:r>
      <w:r>
        <w:rPr>
          <w:rFonts w:ascii="Palatino Linotype" w:eastAsia="Palatino Linotype" w:hAnsi="Palatino Linotype" w:cs="Palatino Linotype"/>
          <w:color w:val="000000"/>
        </w:rPr>
        <w:t xml:space="preserve">, el recurso de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través del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a la Comisionada </w:t>
      </w:r>
      <w:r>
        <w:rPr>
          <w:rFonts w:ascii="Palatino Linotype" w:eastAsia="Palatino Linotype" w:hAnsi="Palatino Linotype" w:cs="Palatino Linotype"/>
          <w:b/>
          <w:color w:val="000000"/>
        </w:rPr>
        <w:t>Sharon Cristina Morales Martínez</w:t>
      </w:r>
      <w:r>
        <w:rPr>
          <w:rFonts w:ascii="Palatino Linotype" w:eastAsia="Palatino Linotype" w:hAnsi="Palatino Linotype" w:cs="Palatino Linotype"/>
          <w:color w:val="000000"/>
        </w:rPr>
        <w:t>, a efecto de decretar su admisión o desechamiento.</w:t>
      </w:r>
    </w:p>
    <w:p w14:paraId="24B82838" w14:textId="1A8E188C" w:rsidR="00FE3AA8" w:rsidRDefault="00776873">
      <w:pPr>
        <w:tabs>
          <w:tab w:val="center" w:pos="4252"/>
          <w:tab w:val="right" w:pos="8504"/>
        </w:tabs>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VI</w:t>
      </w:r>
      <w:r w:rsidR="0034137C">
        <w:rPr>
          <w:rFonts w:ascii="Palatino Linotype" w:eastAsia="Palatino Linotype" w:hAnsi="Palatino Linotype" w:cs="Palatino Linotype"/>
          <w:b/>
          <w:color w:val="000000"/>
          <w:sz w:val="28"/>
          <w:szCs w:val="28"/>
        </w:rPr>
        <w:t>I</w:t>
      </w:r>
      <w:r>
        <w:rPr>
          <w:rFonts w:ascii="Palatino Linotype" w:eastAsia="Palatino Linotype" w:hAnsi="Palatino Linotype" w:cs="Palatino Linotype"/>
          <w:b/>
          <w:color w:val="000000"/>
          <w:sz w:val="28"/>
          <w:szCs w:val="28"/>
        </w:rPr>
        <w:t xml:space="preserve">. </w:t>
      </w:r>
      <w:r>
        <w:rPr>
          <w:rFonts w:ascii="Palatino Linotype" w:eastAsia="Palatino Linotype" w:hAnsi="Palatino Linotype" w:cs="Palatino Linotype"/>
          <w:color w:val="000000"/>
        </w:rPr>
        <w:t>De las constancias del expediente electrónico del</w:t>
      </w:r>
      <w:r>
        <w:rPr>
          <w:rFonts w:ascii="Palatino Linotype" w:eastAsia="Palatino Linotype" w:hAnsi="Palatino Linotype" w:cs="Palatino Linotype"/>
          <w:b/>
          <w:color w:val="000000"/>
        </w:rPr>
        <w:t xml:space="preserve"> SAIMEX</w:t>
      </w:r>
      <w:r>
        <w:rPr>
          <w:rFonts w:ascii="Palatino Linotype" w:eastAsia="Palatino Linotype" w:hAnsi="Palatino Linotype" w:cs="Palatino Linotype"/>
          <w:color w:val="000000"/>
        </w:rPr>
        <w:t xml:space="preserve">, se advierte que en fecha </w:t>
      </w:r>
      <w:r>
        <w:rPr>
          <w:rFonts w:ascii="Palatino Linotype" w:eastAsia="Palatino Linotype" w:hAnsi="Palatino Linotype" w:cs="Palatino Linotype"/>
          <w:b/>
          <w:color w:val="000000"/>
        </w:rPr>
        <w:t>diecisiete de noviembre de dos mil veintiuno</w:t>
      </w:r>
      <w:r>
        <w:rPr>
          <w:rFonts w:ascii="Palatino Linotype" w:eastAsia="Palatino Linotype" w:hAnsi="Palatino Linotype" w:cs="Palatino Linotype"/>
          <w:color w:val="000000"/>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fracción II de la Ley de Transparencia y Acceso a la Información Pública del Estado de México y Municipios, manifestaran lo que a su derecho conviniera, a efecto de presentar pruebas y alegatos; así como para que </w:t>
      </w:r>
      <w:r>
        <w:rPr>
          <w:rFonts w:ascii="Palatino Linotype" w:eastAsia="Palatino Linotype" w:hAnsi="Palatino Linotype" w:cs="Palatino Linotype"/>
          <w:b/>
          <w:color w:val="000000"/>
        </w:rPr>
        <w:t xml:space="preserve">EL SUJETO OBLIGADO </w:t>
      </w:r>
      <w:r>
        <w:rPr>
          <w:rFonts w:ascii="Palatino Linotype" w:eastAsia="Palatino Linotype" w:hAnsi="Palatino Linotype" w:cs="Palatino Linotype"/>
          <w:color w:val="000000"/>
        </w:rPr>
        <w:t>rindiera su</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Informe Justificado.</w:t>
      </w:r>
    </w:p>
    <w:p w14:paraId="47EBA584" w14:textId="49C60BF6" w:rsidR="00FE3AA8" w:rsidRDefault="00776873">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sz w:val="28"/>
          <w:szCs w:val="28"/>
        </w:rPr>
        <w:t>VII</w:t>
      </w:r>
      <w:r w:rsidR="0034137C">
        <w:rPr>
          <w:rFonts w:ascii="Palatino Linotype" w:eastAsia="Palatino Linotype" w:hAnsi="Palatino Linotype" w:cs="Palatino Linotype"/>
          <w:b/>
          <w:color w:val="000000"/>
          <w:sz w:val="28"/>
          <w:szCs w:val="28"/>
        </w:rPr>
        <w:t>I</w:t>
      </w:r>
      <w:r>
        <w:rPr>
          <w:rFonts w:ascii="Palatino Linotype" w:eastAsia="Palatino Linotype" w:hAnsi="Palatino Linotype" w:cs="Palatino Linotype"/>
          <w:b/>
          <w:color w:val="000000"/>
          <w:sz w:val="28"/>
          <w:szCs w:val="28"/>
        </w:rPr>
        <w:t xml:space="preserve">. </w:t>
      </w:r>
      <w:r>
        <w:rPr>
          <w:rFonts w:ascii="Palatino Linotype" w:eastAsia="Palatino Linotype" w:hAnsi="Palatino Linotype" w:cs="Palatino Linotype"/>
        </w:rPr>
        <w:t xml:space="preserve">Conforme a las constancias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se desprende que atento a lo dispuesto en el artículo 185</w:t>
      </w:r>
      <w:r>
        <w:rPr>
          <w:rFonts w:ascii="Palatino Linotype" w:eastAsia="Palatino Linotype" w:hAnsi="Palatino Linotype" w:cs="Palatino Linotype"/>
          <w:color w:val="000000"/>
        </w:rPr>
        <w:t>, fracción III</w:t>
      </w:r>
      <w:r>
        <w:rPr>
          <w:rFonts w:ascii="Palatino Linotype" w:eastAsia="Palatino Linotype" w:hAnsi="Palatino Linotype" w:cs="Palatino Linotype"/>
        </w:rPr>
        <w:t xml:space="preserve"> de la Ley de Transparencia y Acceso a la Información Pública del Estado de México y Municipios, dentro del término legalmente concedido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éste no realizó manifestación alguna, ni presentó pruebas o alegatos; de igual manera </w:t>
      </w:r>
      <w:r>
        <w:rPr>
          <w:rFonts w:ascii="Palatino Linotype" w:eastAsia="Palatino Linotype" w:hAnsi="Palatino Linotype" w:cs="Palatino Linotype"/>
          <w:b/>
        </w:rPr>
        <w:t>EL</w:t>
      </w:r>
      <w:r>
        <w:rPr>
          <w:rFonts w:ascii="Palatino Linotype" w:eastAsia="Palatino Linotype" w:hAnsi="Palatino Linotype" w:cs="Palatino Linotype"/>
        </w:rPr>
        <w:t xml:space="preserve">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fue omiso en rendir </w:t>
      </w:r>
      <w:r>
        <w:rPr>
          <w:rFonts w:ascii="Palatino Linotype" w:eastAsia="Palatino Linotype" w:hAnsi="Palatino Linotype" w:cs="Palatino Linotype"/>
        </w:rPr>
        <w:t xml:space="preserve">su Informe Justificado, como sustento a lo anterior, se inserta imagen descriptiva: </w:t>
      </w:r>
    </w:p>
    <w:p w14:paraId="36398322" w14:textId="77777777" w:rsidR="00FE3AA8" w:rsidRDefault="00776873">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noProof/>
          <w:color w:val="000000"/>
        </w:rPr>
        <w:lastRenderedPageBreak/>
        <w:drawing>
          <wp:inline distT="0" distB="0" distL="0" distR="0" wp14:anchorId="79BB3008" wp14:editId="1D2E8FDB">
            <wp:extent cx="5791835" cy="1533525"/>
            <wp:effectExtent l="0" t="0" r="0" b="0"/>
            <wp:docPr id="3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5791835" cy="1533525"/>
                    </a:xfrm>
                    <a:prstGeom prst="rect">
                      <a:avLst/>
                    </a:prstGeom>
                    <a:ln/>
                  </pic:spPr>
                </pic:pic>
              </a:graphicData>
            </a:graphic>
          </wp:inline>
        </w:drawing>
      </w:r>
    </w:p>
    <w:p w14:paraId="57688272" w14:textId="138EE50D" w:rsidR="00FE3AA8" w:rsidRDefault="0034137C">
      <w:pPr>
        <w:spacing w:before="280" w:after="280" w:line="360" w:lineRule="auto"/>
        <w:jc w:val="both"/>
        <w:rPr>
          <w:rFonts w:ascii="Palatino Linotype" w:eastAsia="Palatino Linotype" w:hAnsi="Palatino Linotype" w:cs="Palatino Linotype"/>
          <w:color w:val="000000"/>
        </w:rPr>
      </w:pPr>
      <w:bookmarkStart w:id="1" w:name="_heading=h.gjdgxs" w:colFirst="0" w:colLast="0"/>
      <w:bookmarkEnd w:id="1"/>
      <w:r>
        <w:rPr>
          <w:rFonts w:ascii="Palatino Linotype" w:eastAsia="Palatino Linotype" w:hAnsi="Palatino Linotype" w:cs="Palatino Linotype"/>
          <w:b/>
          <w:sz w:val="28"/>
          <w:szCs w:val="28"/>
        </w:rPr>
        <w:t>IX</w:t>
      </w:r>
      <w:r w:rsidR="00776873">
        <w:rPr>
          <w:rFonts w:ascii="Palatino Linotype" w:eastAsia="Palatino Linotype" w:hAnsi="Palatino Linotype" w:cs="Palatino Linotype"/>
          <w:b/>
          <w:sz w:val="28"/>
          <w:szCs w:val="28"/>
        </w:rPr>
        <w:t xml:space="preserve">. </w:t>
      </w:r>
      <w:r w:rsidR="00776873">
        <w:rPr>
          <w:rFonts w:ascii="Palatino Linotype" w:eastAsia="Palatino Linotype" w:hAnsi="Palatino Linotype" w:cs="Palatino Linotype"/>
          <w:color w:val="000000"/>
        </w:rPr>
        <w:t xml:space="preserve">En fecha </w:t>
      </w:r>
      <w:r w:rsidR="00776873">
        <w:rPr>
          <w:rFonts w:ascii="Palatino Linotype" w:eastAsia="Palatino Linotype" w:hAnsi="Palatino Linotype" w:cs="Palatino Linotype"/>
          <w:b/>
          <w:color w:val="000000"/>
        </w:rPr>
        <w:t>veintinueve de noviembre de dos mil veintiuno</w:t>
      </w:r>
      <w:r w:rsidR="00776873">
        <w:rPr>
          <w:rFonts w:ascii="Palatino Linotype" w:eastAsia="Palatino Linotype" w:hAnsi="Palatino Linotype" w:cs="Palatino Linotype"/>
          <w:color w:val="000000"/>
        </w:rPr>
        <w:t xml:space="preserve">, se notificó a las partes el Acuerdo de Cierre de Instrucción a efecto de ser resuelto, de conformidad con lo establecido en el artículo 185 fracción VIII de la Ley de Transparencia y Acceso a la Información Pública del Estado de México y Municipios; </w:t>
      </w:r>
    </w:p>
    <w:p w14:paraId="5F613A1C" w14:textId="0526041A" w:rsidR="00FE3AA8" w:rsidRDefault="0034137C">
      <w:pP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X</w:t>
      </w:r>
      <w:r w:rsidR="00776873">
        <w:rPr>
          <w:rFonts w:ascii="Palatino Linotype" w:eastAsia="Palatino Linotype" w:hAnsi="Palatino Linotype" w:cs="Palatino Linotype"/>
          <w:b/>
          <w:color w:val="000000"/>
          <w:sz w:val="28"/>
          <w:szCs w:val="28"/>
        </w:rPr>
        <w:t xml:space="preserve">. </w:t>
      </w:r>
      <w:r w:rsidR="00776873">
        <w:rPr>
          <w:rFonts w:ascii="Palatino Linotype" w:eastAsia="Palatino Linotype" w:hAnsi="Palatino Linotype" w:cs="Palatino Linotype"/>
        </w:rPr>
        <w:t xml:space="preserve">En fecha </w:t>
      </w:r>
      <w:r w:rsidR="00776873">
        <w:rPr>
          <w:rFonts w:ascii="Palatino Linotype" w:eastAsia="Palatino Linotype" w:hAnsi="Palatino Linotype" w:cs="Palatino Linotype"/>
          <w:b/>
        </w:rPr>
        <w:t>nueve de diciembre de dos mil veintiuno</w:t>
      </w:r>
      <w:r w:rsidR="00776873">
        <w:rPr>
          <w:rFonts w:ascii="Palatino Linotype" w:eastAsia="Palatino Linotype" w:hAnsi="Palatino Linotype" w:cs="Palatino Linotype"/>
        </w:rPr>
        <w:t xml:space="preserve">, el Pleno del Instituto de Transparencia, Acceso a la Información Pública y Protección de Datos Personales del Estado de México y Municipios, mediante acuerdo signado por sus integrantes, aprobó la Licencia por incapacidad médica de la Comisionada </w:t>
      </w:r>
      <w:r w:rsidR="00776873">
        <w:rPr>
          <w:rFonts w:ascii="Palatino Linotype" w:eastAsia="Palatino Linotype" w:hAnsi="Palatino Linotype" w:cs="Palatino Linotype"/>
          <w:b/>
        </w:rPr>
        <w:t>Sharon Cristina Morales Martínez</w:t>
      </w:r>
      <w:r w:rsidR="00776873">
        <w:rPr>
          <w:rFonts w:ascii="Palatino Linotype" w:eastAsia="Palatino Linotype" w:hAnsi="Palatino Linotype" w:cs="Palatino Linotype"/>
        </w:rPr>
        <w:t xml:space="preserve">, y a través del cual se convino el returno del recurso de revisión de mérito al Comisionado Presidente </w:t>
      </w:r>
      <w:r w:rsidR="00776873">
        <w:rPr>
          <w:rFonts w:ascii="Palatino Linotype" w:eastAsia="Palatino Linotype" w:hAnsi="Palatino Linotype" w:cs="Palatino Linotype"/>
          <w:b/>
        </w:rPr>
        <w:t>José Martínez Vilchis</w:t>
      </w:r>
      <w:r w:rsidR="00776873">
        <w:rPr>
          <w:rFonts w:ascii="Palatino Linotype" w:eastAsia="Palatino Linotype" w:hAnsi="Palatino Linotype" w:cs="Palatino Linotype"/>
        </w:rPr>
        <w:t>, para que diera trámite y resolviera conforme a derecho.</w:t>
      </w:r>
    </w:p>
    <w:p w14:paraId="2FFF3730" w14:textId="2F0C4007" w:rsidR="00FE3AA8" w:rsidRDefault="00776873">
      <w:pP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sz w:val="28"/>
          <w:szCs w:val="28"/>
        </w:rPr>
        <w:t>X</w:t>
      </w:r>
      <w:r w:rsidR="0034137C">
        <w:rPr>
          <w:rFonts w:ascii="Palatino Linotype" w:eastAsia="Palatino Linotype" w:hAnsi="Palatino Linotype" w:cs="Palatino Linotype"/>
          <w:b/>
          <w:sz w:val="28"/>
          <w:szCs w:val="28"/>
        </w:rPr>
        <w:t>I</w:t>
      </w:r>
      <w:r>
        <w:rPr>
          <w:rFonts w:ascii="Palatino Linotype" w:eastAsia="Palatino Linotype" w:hAnsi="Palatino Linotype" w:cs="Palatino Linotype"/>
          <w:b/>
          <w:sz w:val="28"/>
          <w:szCs w:val="28"/>
        </w:rPr>
        <w:t>.</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 xml:space="preserve">El </w:t>
      </w:r>
      <w:r>
        <w:rPr>
          <w:rFonts w:ascii="Palatino Linotype" w:eastAsia="Palatino Linotype" w:hAnsi="Palatino Linotype" w:cs="Palatino Linotype"/>
          <w:b/>
          <w:color w:val="000000"/>
        </w:rPr>
        <w:t xml:space="preserve">catorce de enero de dos mil </w:t>
      </w:r>
      <w:r>
        <w:rPr>
          <w:rFonts w:ascii="Palatino Linotype" w:eastAsia="Palatino Linotype" w:hAnsi="Palatino Linotype" w:cs="Palatino Linotype"/>
          <w:b/>
        </w:rPr>
        <w:t>veintidós</w:t>
      </w:r>
      <w:r>
        <w:rPr>
          <w:rFonts w:ascii="Palatino Linotype" w:eastAsia="Palatino Linotype" w:hAnsi="Palatino Linotype" w:cs="Palatino Linotype"/>
          <w:color w:val="000000"/>
        </w:rPr>
        <w:t>, se acordó ampliar el plazo para resolver el recurso de revisión en estudio, por un periodo de hasta quince días hábiles, de conformidad con el artículo 181, tercer párrafo de la Ley de Transparencia y Acceso a la Información Pública del Estado de México y Municipios; y,</w:t>
      </w:r>
    </w:p>
    <w:p w14:paraId="6CF4FF4E" w14:textId="77777777" w:rsidR="00FE3AA8" w:rsidRDefault="00776873">
      <w:pPr>
        <w:spacing w:before="280" w:after="280" w:line="360" w:lineRule="auto"/>
        <w:jc w:val="center"/>
        <w:rPr>
          <w:rFonts w:ascii="Palatino Linotype" w:eastAsia="Palatino Linotype" w:hAnsi="Palatino Linotype" w:cs="Palatino Linotype"/>
          <w:b/>
          <w:color w:val="000000"/>
          <w:sz w:val="28"/>
          <w:szCs w:val="28"/>
        </w:rPr>
      </w:pPr>
      <w:r>
        <w:rPr>
          <w:rFonts w:ascii="Palatino Linotype" w:eastAsia="Palatino Linotype" w:hAnsi="Palatino Linotype" w:cs="Palatino Linotype"/>
          <w:b/>
          <w:color w:val="000000"/>
          <w:sz w:val="28"/>
          <w:szCs w:val="28"/>
        </w:rPr>
        <w:t>CONSIDERANDO</w:t>
      </w:r>
    </w:p>
    <w:p w14:paraId="0DF34F7F" w14:textId="77777777" w:rsidR="00FE3AA8" w:rsidRDefault="00776873">
      <w:pPr>
        <w:spacing w:before="280" w:after="280" w:line="360" w:lineRule="auto"/>
        <w:ind w:right="50"/>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sz w:val="28"/>
          <w:szCs w:val="28"/>
        </w:rPr>
        <w:lastRenderedPageBreak/>
        <w:t>PRIMERO</w:t>
      </w:r>
      <w:r>
        <w:rPr>
          <w:rFonts w:ascii="Palatino Linotype" w:eastAsia="Palatino Linotype" w:hAnsi="Palatino Linotype" w:cs="Palatino Linotype"/>
          <w:b/>
          <w:color w:val="000000"/>
        </w:rPr>
        <w:t>.</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Competencia</w:t>
      </w:r>
      <w:r>
        <w:rPr>
          <w:rFonts w:ascii="Palatino Linotype" w:eastAsia="Palatino Linotype" w:hAnsi="Palatino Linotype" w:cs="Palatino Linotype"/>
          <w:color w:val="000000"/>
        </w:rPr>
        <w:t>.</w:t>
      </w:r>
      <w:r>
        <w:rPr>
          <w:rFonts w:ascii="Palatino Linotype" w:eastAsia="Palatino Linotype" w:hAnsi="Palatino Linotype" w:cs="Palatino Linotype"/>
          <w:b/>
          <w:color w:val="000000"/>
        </w:rPr>
        <w:t xml:space="preserve"> </w:t>
      </w:r>
    </w:p>
    <w:p w14:paraId="4A3D6DDD" w14:textId="77777777" w:rsidR="00FE3AA8" w:rsidRDefault="00776873">
      <w:pPr>
        <w:spacing w:before="280" w:after="280" w:line="360" w:lineRule="auto"/>
        <w:ind w:right="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31AC9000" w14:textId="77777777" w:rsidR="00FE3AA8" w:rsidRDefault="00776873">
      <w:pPr>
        <w:spacing w:before="280" w:after="28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sz w:val="28"/>
          <w:szCs w:val="28"/>
        </w:rPr>
        <w:t>SEGUNDO</w:t>
      </w:r>
      <w:r>
        <w:rPr>
          <w:rFonts w:ascii="Palatino Linotype" w:eastAsia="Palatino Linotype" w:hAnsi="Palatino Linotype" w:cs="Palatino Linotype"/>
          <w:b/>
          <w:color w:val="000000"/>
        </w:rPr>
        <w:t xml:space="preserve">. Interés. </w:t>
      </w:r>
    </w:p>
    <w:p w14:paraId="441D2C3D" w14:textId="77777777" w:rsidR="00FE3AA8" w:rsidRDefault="00776873">
      <w:pPr>
        <w:spacing w:before="280" w:after="28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El recurso de revisión fue interpuesto por parte legítima, en atención a que se presentó por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xml:space="preserve"> quien es la misma persona que formuló la solicitud de acceso a la información pública al </w:t>
      </w:r>
      <w:r>
        <w:rPr>
          <w:rFonts w:ascii="Palatino Linotype" w:eastAsia="Palatino Linotype" w:hAnsi="Palatino Linotype" w:cs="Palatino Linotype"/>
          <w:b/>
          <w:color w:val="000000"/>
        </w:rPr>
        <w:t>SUJETO OBLIGADO.</w:t>
      </w:r>
    </w:p>
    <w:p w14:paraId="2E36EAA4" w14:textId="77777777" w:rsidR="00FE3AA8" w:rsidRDefault="00776873">
      <w:pPr>
        <w:widowControl w:val="0"/>
        <w:pBdr>
          <w:top w:val="nil"/>
          <w:left w:val="nil"/>
          <w:bottom w:val="nil"/>
          <w:right w:val="nil"/>
          <w:between w:val="nil"/>
        </w:pBdr>
        <w:spacing w:before="280" w:after="28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sz w:val="28"/>
          <w:szCs w:val="28"/>
        </w:rPr>
        <w:t xml:space="preserve">TERCERO. </w:t>
      </w:r>
      <w:r>
        <w:rPr>
          <w:rFonts w:ascii="Palatino Linotype" w:eastAsia="Palatino Linotype" w:hAnsi="Palatino Linotype" w:cs="Palatino Linotype"/>
          <w:b/>
          <w:color w:val="000000"/>
        </w:rPr>
        <w:t xml:space="preserve">Oportunidad. </w:t>
      </w:r>
    </w:p>
    <w:p w14:paraId="0BD45E30" w14:textId="77777777" w:rsidR="00FE3AA8" w:rsidRDefault="00776873">
      <w:pPr>
        <w:widowControl w:val="0"/>
        <w:pBdr>
          <w:top w:val="nil"/>
          <w:left w:val="nil"/>
          <w:bottom w:val="nil"/>
          <w:right w:val="nil"/>
          <w:between w:val="nil"/>
        </w:pBdr>
        <w:spacing w:before="280" w:after="28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El recurso de revisión fue interpuesto dentro del plazo de quince días hábiles contados a partir del día siguiente a aquel en que </w:t>
      </w:r>
      <w:r>
        <w:rPr>
          <w:rFonts w:ascii="Palatino Linotype" w:eastAsia="Palatino Linotype" w:hAnsi="Palatino Linotype" w:cs="Palatino Linotype"/>
          <w:b/>
          <w:color w:val="000000"/>
        </w:rPr>
        <w:t xml:space="preserve">EL RECURRENTE </w:t>
      </w:r>
      <w:r>
        <w:rPr>
          <w:rFonts w:ascii="Palatino Linotype" w:eastAsia="Palatino Linotype" w:hAnsi="Palatino Linotype" w:cs="Palatino Linotype"/>
          <w:color w:val="000000"/>
        </w:rPr>
        <w:t>tuvo conocimiento de la respuesta impugnada, tal y como lo prevé el artículo 178 de la Ley de Transparencia y Acceso a la Información Pública del Estado de México y Municipios, que establece:</w:t>
      </w:r>
    </w:p>
    <w:p w14:paraId="6D2E0B49" w14:textId="77777777" w:rsidR="00FE3AA8" w:rsidRDefault="00776873">
      <w:pPr>
        <w:ind w:left="709" w:right="75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178.</w:t>
      </w:r>
      <w:r>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A73E409" w14:textId="77777777" w:rsidR="00FE3AA8" w:rsidRDefault="00FE3AA8">
      <w:pPr>
        <w:ind w:left="709" w:right="757"/>
        <w:jc w:val="both"/>
        <w:rPr>
          <w:rFonts w:ascii="Palatino Linotype" w:eastAsia="Palatino Linotype" w:hAnsi="Palatino Linotype" w:cs="Palatino Linotype"/>
          <w:i/>
          <w:sz w:val="22"/>
          <w:szCs w:val="22"/>
        </w:rPr>
      </w:pPr>
    </w:p>
    <w:p w14:paraId="6AFFF220" w14:textId="77777777" w:rsidR="00FE3AA8" w:rsidRDefault="00776873">
      <w:pPr>
        <w:ind w:left="709" w:right="75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7F8B30D" w14:textId="77777777" w:rsidR="00FE3AA8" w:rsidRDefault="00FE3AA8">
      <w:pPr>
        <w:ind w:left="709" w:right="757"/>
        <w:jc w:val="both"/>
        <w:rPr>
          <w:rFonts w:ascii="Palatino Linotype" w:eastAsia="Palatino Linotype" w:hAnsi="Palatino Linotype" w:cs="Palatino Linotype"/>
          <w:i/>
          <w:sz w:val="22"/>
          <w:szCs w:val="22"/>
        </w:rPr>
      </w:pPr>
    </w:p>
    <w:p w14:paraId="1AF9FCA0" w14:textId="77777777" w:rsidR="00FE3AA8" w:rsidRDefault="00776873">
      <w:pPr>
        <w:ind w:left="709" w:right="75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035D4631" w14:textId="77777777" w:rsidR="00FE3AA8" w:rsidRDefault="00776873">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esa tesitura, atendiendo a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notificó la respuesta a la solicitud de información pública el día</w:t>
      </w:r>
      <w:r>
        <w:rPr>
          <w:rFonts w:ascii="Palatino Linotype" w:eastAsia="Palatino Linotype" w:hAnsi="Palatino Linotype" w:cs="Palatino Linotype"/>
          <w:b/>
        </w:rPr>
        <w:t xml:space="preserve"> dieciséis de noviembre  de dos mil veintiuno</w:t>
      </w:r>
      <w:r>
        <w:rPr>
          <w:rFonts w:ascii="Palatino Linotype" w:eastAsia="Palatino Linotype" w:hAnsi="Palatino Linotype" w:cs="Palatino Linotype"/>
        </w:rPr>
        <w:t xml:space="preserve">; el plazo de quince días hábiles que el artículo 178 de la Ley de la materia otorga a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 xml:space="preserve">para presentar el recurso de revisión, transcurrió del </w:t>
      </w:r>
      <w:r>
        <w:rPr>
          <w:rFonts w:ascii="Palatino Linotype" w:eastAsia="Palatino Linotype" w:hAnsi="Palatino Linotype" w:cs="Palatino Linotype"/>
          <w:b/>
        </w:rPr>
        <w:t>diecisiete de noviembre al siete de diciembre de dos mil veintiuno</w:t>
      </w:r>
      <w:r>
        <w:rPr>
          <w:rFonts w:ascii="Palatino Linotype" w:eastAsia="Palatino Linotype" w:hAnsi="Palatino Linotype" w:cs="Palatino Linotype"/>
        </w:rPr>
        <w:t xml:space="preserve">, sin contemplar en el cómputo los días:  veinte, veintiuno, veintisiete y veintiocho de noviembre, así como cuatro y cinco de diciembre de dos mil veintiuno, por corresponder a sábados y domingos, considerados como días inhábiles, en términos del artículo 3, fracción X de la Ley de Transparencia y Acceso a la Información Pública del Estado de México y Municipios. </w:t>
      </w:r>
    </w:p>
    <w:p w14:paraId="2C5A84E4" w14:textId="77777777" w:rsidR="00FE3AA8" w:rsidRDefault="00776873">
      <w:pPr>
        <w:spacing w:before="200" w:after="200" w:line="360" w:lineRule="auto"/>
        <w:jc w:val="both"/>
      </w:pPr>
      <w:r>
        <w:rPr>
          <w:rFonts w:ascii="Palatino Linotype" w:eastAsia="Palatino Linotype" w:hAnsi="Palatino Linotype" w:cs="Palatino Linotype"/>
        </w:rPr>
        <w:t xml:space="preserve">En ese tenor, se advierte que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presentó el medio de impugnación en comento, el mismo día en que se le notificó la respuesta impugnada; no obstante lo anterior, ello no implica que su interposición sea extemporánea, es decir, fuera del plazo señalado para tales efectos, en razón de que el artículo 178, de la Ley de Transparencia y Acceso a la Información Pública del Estado de México y Municipios, establece que el recurso de revisión se promueve </w:t>
      </w:r>
      <w:r>
        <w:rPr>
          <w:rFonts w:ascii="Palatino Linotype" w:eastAsia="Palatino Linotype" w:hAnsi="Palatino Linotype" w:cs="Palatino Linotype"/>
          <w:b/>
          <w:u w:val="single"/>
        </w:rPr>
        <w:t>dentro</w:t>
      </w:r>
      <w:r>
        <w:rPr>
          <w:rFonts w:ascii="Palatino Linotype" w:eastAsia="Palatino Linotype" w:hAnsi="Palatino Linotype" w:cs="Palatino Linotype"/>
        </w:rPr>
        <w:t xml:space="preserve"> de los quince días hábiles siguientes en que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tenga conocimiento de la respuesta impugnada, no limita a los </w:t>
      </w:r>
      <w:r>
        <w:rPr>
          <w:rFonts w:ascii="Palatino Linotype" w:eastAsia="Palatino Linotype" w:hAnsi="Palatino Linotype" w:cs="Palatino Linotype"/>
        </w:rPr>
        <w:lastRenderedPageBreak/>
        <w:t xml:space="preserve">particulares para que lo puedan presentar </w:t>
      </w:r>
      <w:r>
        <w:rPr>
          <w:rFonts w:ascii="Palatino Linotype" w:eastAsia="Palatino Linotype" w:hAnsi="Palatino Linotype" w:cs="Palatino Linotype"/>
          <w:b/>
        </w:rPr>
        <w:t>el mismo día</w:t>
      </w:r>
      <w:r>
        <w:rPr>
          <w:rFonts w:ascii="Palatino Linotype" w:eastAsia="Palatino Linotype" w:hAnsi="Palatino Linotype" w:cs="Palatino Linotype"/>
        </w:rPr>
        <w:t xml:space="preserve"> en que le sea notificada dicha respuesta.</w:t>
      </w:r>
    </w:p>
    <w:p w14:paraId="27A8F66C" w14:textId="77777777" w:rsidR="00FE3AA8" w:rsidRDefault="00776873">
      <w:pPr>
        <w:spacing w:before="200" w:after="200" w:line="360" w:lineRule="auto"/>
        <w:jc w:val="both"/>
      </w:pPr>
      <w:r>
        <w:rPr>
          <w:rFonts w:ascii="Palatino Linotype" w:eastAsia="Palatino Linotype" w:hAnsi="Palatino Linotype" w:cs="Palatino Linotype"/>
        </w:rPr>
        <w:t>En apoyo a lo anterior, resulta aplicable por analogía la Jurisprudencia número 1a</w:t>
      </w:r>
      <w:proofErr w:type="gramStart"/>
      <w:r>
        <w:rPr>
          <w:rFonts w:ascii="Palatino Linotype" w:eastAsia="Palatino Linotype" w:hAnsi="Palatino Linotype" w:cs="Palatino Linotype"/>
        </w:rPr>
        <w:t>./</w:t>
      </w:r>
      <w:proofErr w:type="gramEnd"/>
      <w:r>
        <w:rPr>
          <w:rFonts w:ascii="Palatino Linotype" w:eastAsia="Palatino Linotype" w:hAnsi="Palatino Linotype" w:cs="Palatino Linotype"/>
        </w:rPr>
        <w:t>J. 41/2015 (10a.), Décima Época, sustentada por la Primera Sala de la Suprema Corte de Justicia de la Nación, visible en la página 569, libro 19, tomo I, del Semanario Judicial de la Federación y su de la Gaceta de junio de 2015, cuyo rubro y texto esgrimen:</w:t>
      </w:r>
    </w:p>
    <w:p w14:paraId="18024DAD" w14:textId="77777777" w:rsidR="00FE3AA8" w:rsidRDefault="00776873">
      <w:pPr>
        <w:spacing w:before="120" w:after="120"/>
        <w:ind w:left="709" w:right="709"/>
        <w:jc w:val="both"/>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RECURSO DE RECLAMACIÓN. SU INTERPOSICIÓN NO ES EXTEMPORÁNEA SI SE REALIZA ANTES DE QUE INICIE EL PLAZO PARA HACERLO. </w:t>
      </w:r>
      <w:r>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r>
        <w:t xml:space="preserve"> </w:t>
      </w:r>
    </w:p>
    <w:p w14:paraId="2B6AA16B" w14:textId="77777777" w:rsidR="00FE3AA8" w:rsidRDefault="00FE3AA8">
      <w:pPr>
        <w:spacing w:before="120" w:after="120"/>
        <w:ind w:left="709" w:right="709"/>
        <w:jc w:val="both"/>
      </w:pPr>
    </w:p>
    <w:p w14:paraId="34BF48DC" w14:textId="77777777" w:rsidR="00FE3AA8" w:rsidRDefault="00776873">
      <w:pPr>
        <w:spacing w:before="120" w:after="12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Dicha tesis establece que si bien, los artículos contemplan un plazo, este debe ser entendido en el sentido de que la presentación del recurso no debe hacerse después de la cantidad de días contemplados, pero no debe limitarse la presentación si esta se hace antes de que comiencen a contar los días indicados en la ley. </w:t>
      </w:r>
    </w:p>
    <w:p w14:paraId="295AE23C" w14:textId="77777777" w:rsidR="00FE3AA8" w:rsidRDefault="00776873">
      <w:pPr>
        <w:spacing w:before="120" w:after="12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ello, al haber interpuesto el recurso materia de este análisis el mismo día de la notificación de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considerarse en tiempo. </w:t>
      </w:r>
    </w:p>
    <w:p w14:paraId="1EA5E81F" w14:textId="77777777" w:rsidR="00FE3AA8" w:rsidRDefault="00776873">
      <w:pPr>
        <w:spacing w:before="280" w:after="280" w:line="360" w:lineRule="auto"/>
        <w:ind w:right="51"/>
        <w:jc w:val="both"/>
        <w:rPr>
          <w:rFonts w:ascii="Palatino Linotype" w:eastAsia="Palatino Linotype" w:hAnsi="Palatino Linotype" w:cs="Palatino Linotype"/>
          <w:b/>
        </w:rPr>
      </w:pPr>
      <w:r>
        <w:rPr>
          <w:rFonts w:ascii="Palatino Linotype" w:eastAsia="Palatino Linotype" w:hAnsi="Palatino Linotype" w:cs="Palatino Linotype"/>
          <w:b/>
          <w:sz w:val="28"/>
          <w:szCs w:val="28"/>
        </w:rPr>
        <w:t>CUARTO.</w:t>
      </w:r>
      <w:r>
        <w:rPr>
          <w:rFonts w:ascii="Palatino Linotype" w:eastAsia="Palatino Linotype" w:hAnsi="Palatino Linotype" w:cs="Palatino Linotype"/>
          <w:b/>
        </w:rPr>
        <w:t xml:space="preserve"> Procedibilidad. </w:t>
      </w:r>
    </w:p>
    <w:p w14:paraId="5DC6BC4F" w14:textId="77777777" w:rsidR="00FE3AA8" w:rsidRDefault="00776873">
      <w:pPr>
        <w:spacing w:before="240" w:after="28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Del análisis efectuado se advierte que resulta procedente la interposición del recurso y se concluye la acreditación plena de todos y cada uno de los elementos formales exigidos </w:t>
      </w:r>
      <w:r>
        <w:rPr>
          <w:rFonts w:ascii="Palatino Linotype" w:eastAsia="Palatino Linotype" w:hAnsi="Palatino Linotype" w:cs="Palatino Linotype"/>
        </w:rPr>
        <w:lastRenderedPageBreak/>
        <w:t xml:space="preserve">por el artículo 180 de la Ley de Transparencia y Acceso a la Información Pública del Estado de México y Municipios, en atención a que fueron presentados mediante el formato visible en </w:t>
      </w:r>
      <w:r>
        <w:rPr>
          <w:rFonts w:ascii="Palatino Linotype" w:eastAsia="Palatino Linotype" w:hAnsi="Palatino Linotype" w:cs="Palatino Linotype"/>
          <w:b/>
        </w:rPr>
        <w:t>EL SAIMEX</w:t>
      </w:r>
    </w:p>
    <w:p w14:paraId="2C3314BE" w14:textId="77777777" w:rsidR="00FE3AA8" w:rsidRDefault="00776873">
      <w:pPr>
        <w:pBdr>
          <w:top w:val="nil"/>
          <w:left w:val="nil"/>
          <w:bottom w:val="nil"/>
          <w:right w:val="nil"/>
          <w:between w:val="nil"/>
        </w:pBdr>
        <w:spacing w:before="280" w:after="280" w:line="360" w:lineRule="auto"/>
        <w:jc w:val="both"/>
        <w:rPr>
          <w:rFonts w:ascii="Palatino Linotype" w:eastAsia="Palatino Linotype" w:hAnsi="Palatino Linotype" w:cs="Palatino Linotype"/>
          <w:b/>
          <w:color w:val="000000"/>
        </w:rPr>
      </w:pPr>
      <w:bookmarkStart w:id="2" w:name="_heading=h.30j0zll" w:colFirst="0" w:colLast="0"/>
      <w:bookmarkEnd w:id="2"/>
      <w:r>
        <w:rPr>
          <w:rFonts w:ascii="Palatino Linotype" w:eastAsia="Palatino Linotype" w:hAnsi="Palatino Linotype" w:cs="Palatino Linotype"/>
          <w:b/>
          <w:color w:val="000000"/>
          <w:sz w:val="28"/>
          <w:szCs w:val="28"/>
        </w:rPr>
        <w:t>QUINTO</w:t>
      </w:r>
      <w:r>
        <w:rPr>
          <w:rFonts w:ascii="Palatino Linotype" w:eastAsia="Palatino Linotype" w:hAnsi="Palatino Linotype" w:cs="Palatino Linotype"/>
          <w:b/>
          <w:color w:val="000000"/>
        </w:rPr>
        <w:t xml:space="preserve">. Estudio y resolución del recurso. </w:t>
      </w:r>
    </w:p>
    <w:p w14:paraId="3EAF8208" w14:textId="77777777" w:rsidR="00FE3AA8" w:rsidRDefault="00776873">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Una vez determinada la vía sobre la que versará el presente recurso, y previa revisión del expediente electrónico formado en </w:t>
      </w:r>
      <w:r>
        <w:rPr>
          <w:rFonts w:ascii="Palatino Linotype" w:eastAsia="Palatino Linotype" w:hAnsi="Palatino Linotype" w:cs="Palatino Linotype"/>
          <w:b/>
          <w:color w:val="000000"/>
        </w:rPr>
        <w:t>EL SAIMEX</w:t>
      </w:r>
      <w:r>
        <w:rPr>
          <w:rFonts w:ascii="Palatino Linotype" w:eastAsia="Palatino Linotype" w:hAnsi="Palatino Linotype" w:cs="Palatino Linotype"/>
          <w:color w:val="000000"/>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legislación mexicana.</w:t>
      </w:r>
    </w:p>
    <w:p w14:paraId="6E1C51E8" w14:textId="77777777" w:rsidR="00FE3AA8" w:rsidRDefault="00776873">
      <w:pPr>
        <w:widowControl w:val="0"/>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debemos recordar que el hoy</w:t>
      </w:r>
      <w:r>
        <w:rPr>
          <w:rFonts w:ascii="Palatino Linotype" w:eastAsia="Palatino Linotype" w:hAnsi="Palatino Linotype" w:cs="Palatino Linotype"/>
          <w:b/>
        </w:rPr>
        <w:t xml:space="preserve"> RECURRENTE </w:t>
      </w:r>
      <w:r>
        <w:rPr>
          <w:rFonts w:ascii="Palatino Linotype" w:eastAsia="Palatino Linotype" w:hAnsi="Palatino Linotype" w:cs="Palatino Linotype"/>
        </w:rPr>
        <w:t xml:space="preserve">en la solicitud de acceso a la información pública, requirió del </w:t>
      </w:r>
      <w:r>
        <w:rPr>
          <w:rFonts w:ascii="Palatino Linotype" w:eastAsia="Palatino Linotype" w:hAnsi="Palatino Linotype" w:cs="Palatino Linotype"/>
          <w:b/>
        </w:rPr>
        <w:t>SUJETO OBLIGADO</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vía </w:t>
      </w:r>
      <w:r>
        <w:rPr>
          <w:rFonts w:ascii="Palatino Linotype" w:eastAsia="Palatino Linotype" w:hAnsi="Palatino Linotype" w:cs="Palatino Linotype"/>
          <w:b/>
        </w:rPr>
        <w:t>EL SAIMEX,</w:t>
      </w:r>
      <w:r>
        <w:rPr>
          <w:rFonts w:ascii="Palatino Linotype" w:eastAsia="Palatino Linotype" w:hAnsi="Palatino Linotype" w:cs="Palatino Linotype"/>
        </w:rPr>
        <w:t xml:space="preserve"> lo siguiente: </w:t>
      </w:r>
    </w:p>
    <w:p w14:paraId="4F7F2BCA" w14:textId="77777777" w:rsidR="00FE3AA8" w:rsidRDefault="00776873">
      <w:pPr>
        <w:widowControl w:val="0"/>
        <w:numPr>
          <w:ilvl w:val="0"/>
          <w:numId w:val="2"/>
        </w:numPr>
        <w:spacing w:before="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Equipamiento, ubicación, medidas, colindancias y planos para cada uno de los parques del municipio al 9 de octubre de 2021 </w:t>
      </w:r>
    </w:p>
    <w:p w14:paraId="5CBFBD9F" w14:textId="77777777" w:rsidR="00FE3AA8" w:rsidRDefault="00776873">
      <w:pPr>
        <w:widowControl w:val="0"/>
        <w:numPr>
          <w:ilvl w:val="0"/>
          <w:numId w:val="2"/>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Lista de asistencia de las y los regidores, síndicos, secretario del ayuntamiento y presidente o presidenta municipal a las sesiones de pleno y comisiones del 1 de enero de 2021 al 9 de octubre de 2021 </w:t>
      </w:r>
    </w:p>
    <w:p w14:paraId="42DA636A" w14:textId="77777777" w:rsidR="00FE3AA8" w:rsidRDefault="00776873">
      <w:pPr>
        <w:widowControl w:val="0"/>
        <w:numPr>
          <w:ilvl w:val="0"/>
          <w:numId w:val="2"/>
        </w:numPr>
        <w:spacing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Número y estado que guardan los semáforos y señalizaciones viales, respectivamente del municipio.</w:t>
      </w:r>
    </w:p>
    <w:p w14:paraId="4F24AD80" w14:textId="77777777" w:rsidR="00FE3AA8" w:rsidRDefault="00776873">
      <w:pPr>
        <w:widowControl w:val="0"/>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lastRenderedPageBreak/>
        <w:t xml:space="preserve">Bajo la tesitura anterior,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dio respuesta indicando sobre el Punto B que las listas de asistencia a las sesiones de cabildo de la administración 2019-2021, se encuentran dentro del cuerpo de las actas de cabildo mismas que están publicadas en el portal de </w:t>
      </w:r>
      <w:r>
        <w:rPr>
          <w:rFonts w:ascii="Palatino Linotype" w:eastAsia="Palatino Linotype" w:hAnsi="Palatino Linotype" w:cs="Palatino Linotype"/>
          <w:b/>
        </w:rPr>
        <w:t>Información Pública de Oficio Mexiquense (IPOMEX)</w:t>
      </w:r>
      <w:r>
        <w:rPr>
          <w:rFonts w:ascii="Palatino Linotype" w:eastAsia="Palatino Linotype" w:hAnsi="Palatino Linotype" w:cs="Palatino Linotype"/>
        </w:rPr>
        <w:t xml:space="preserve"> de acuerdo a lo dispuesto en el artículo 94, fracción II B2, de la ley de Transparencia y Acceso a la Información Pública del Estado de México y Municipios y por lo que hace a las comisiones edilicias, señala que, cada comisión tiene su archivo, por lo no cuenta con el resguardo de la información solicitada. </w:t>
      </w:r>
    </w:p>
    <w:p w14:paraId="4D20F917" w14:textId="77777777" w:rsidR="00FE3AA8" w:rsidRDefault="00776873">
      <w:pPr>
        <w:widowControl w:val="0"/>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Para lo requerido en el inciso C,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responde mediante oficio número CHIC/PM/SPM/2081/2021 firmado por el Director de Seguridad Pública y Movilidad  en el cual indica que existen tres semáforos al interior del territorio de los cuales el único que no se encuentra en </w:t>
      </w:r>
      <w:proofErr w:type="spellStart"/>
      <w:r>
        <w:rPr>
          <w:rFonts w:ascii="Palatino Linotype" w:eastAsia="Palatino Linotype" w:hAnsi="Palatino Linotype" w:cs="Palatino Linotype"/>
        </w:rPr>
        <w:t>en</w:t>
      </w:r>
      <w:proofErr w:type="spellEnd"/>
      <w:r>
        <w:rPr>
          <w:rFonts w:ascii="Palatino Linotype" w:eastAsia="Palatino Linotype" w:hAnsi="Palatino Linotype" w:cs="Palatino Linotype"/>
        </w:rPr>
        <w:t xml:space="preserve"> funciones es el ubicado en la Avenida Juárez, esquina con Venustiano Carranza.  </w:t>
      </w:r>
    </w:p>
    <w:p w14:paraId="0500CF49" w14:textId="77777777" w:rsidR="00FE3AA8" w:rsidRDefault="00776873">
      <w:pPr>
        <w:widowControl w:val="0"/>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Inconforme con dicha respuesta, </w:t>
      </w:r>
      <w:r>
        <w:rPr>
          <w:rFonts w:ascii="Palatino Linotype" w:eastAsia="Palatino Linotype" w:hAnsi="Palatino Linotype" w:cs="Palatino Linotype"/>
          <w:b/>
          <w:color w:val="000000"/>
        </w:rPr>
        <w:t>EL RECURRENTE</w:t>
      </w:r>
      <w:r>
        <w:rPr>
          <w:rFonts w:ascii="Palatino Linotype" w:eastAsia="Palatino Linotype" w:hAnsi="Palatino Linotype" w:cs="Palatino Linotype"/>
        </w:rPr>
        <w:t xml:space="preserve"> interpuso el presente recurso de revisión, señalando como acto impugnado: </w:t>
      </w:r>
    </w:p>
    <w:p w14:paraId="0B1CD487" w14:textId="77777777" w:rsidR="00FE3AA8" w:rsidRDefault="00FE3AA8">
      <w:pPr>
        <w:widowControl w:val="0"/>
        <w:spacing w:line="360" w:lineRule="auto"/>
        <w:jc w:val="both"/>
        <w:rPr>
          <w:rFonts w:ascii="Palatino Linotype" w:eastAsia="Palatino Linotype" w:hAnsi="Palatino Linotype" w:cs="Palatino Linotype"/>
          <w:sz w:val="10"/>
          <w:szCs w:val="10"/>
        </w:rPr>
      </w:pPr>
    </w:p>
    <w:p w14:paraId="6C11EA93" w14:textId="77777777" w:rsidR="00FE3AA8" w:rsidRDefault="00776873">
      <w:pPr>
        <w:ind w:left="709" w:right="757"/>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 xml:space="preserve">“El sujeto obligado en su respuesta no entrego la información solicitada de forma completa, ya que ésta, de acuerdo a la información registrada en el SAIMEX únicamente colmo totalmente el inciso 3) y parcialmente el inciso 2) de la solicitud, no dando repuesta alguna en el inciso 1) y vulnerando el derecho de acceso a la información en el inciso 2) al no dar respuesta respecto a las comisiones edilicias.” </w:t>
      </w:r>
      <w:r>
        <w:rPr>
          <w:rFonts w:ascii="Palatino Linotype" w:eastAsia="Palatino Linotype" w:hAnsi="Palatino Linotype" w:cs="Palatino Linotype"/>
          <w:sz w:val="22"/>
          <w:szCs w:val="22"/>
        </w:rPr>
        <w:t>(Sic).</w:t>
      </w:r>
    </w:p>
    <w:p w14:paraId="0660F7B3" w14:textId="77777777" w:rsidR="00FE3AA8" w:rsidRDefault="00FE3AA8">
      <w:pPr>
        <w:widowControl w:val="0"/>
        <w:spacing w:line="360" w:lineRule="auto"/>
        <w:jc w:val="both"/>
        <w:rPr>
          <w:rFonts w:ascii="Palatino Linotype" w:eastAsia="Palatino Linotype" w:hAnsi="Palatino Linotype" w:cs="Palatino Linotype"/>
          <w:sz w:val="10"/>
          <w:szCs w:val="10"/>
        </w:rPr>
      </w:pPr>
    </w:p>
    <w:p w14:paraId="510B4FE3" w14:textId="77777777" w:rsidR="00FE3AA8" w:rsidRDefault="00776873">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como razones o motivos de inconformidad, lo siguiente:</w:t>
      </w:r>
    </w:p>
    <w:p w14:paraId="3A04AAB5" w14:textId="77777777" w:rsidR="00FE3AA8" w:rsidRDefault="00776873">
      <w:pPr>
        <w:ind w:left="709" w:right="757"/>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 xml:space="preserve">“El sujeto obligado en su respuesta no entrego la información solicitada de forma completa, ya que ésta, de acuerdo a la información registrada en el SAIMEX, consistió únicamente en un oficio denominado "RESP. SOLICITUD 00199.pdf", donde resolvió lo concerniente al inciso 3) de la solicitud de acceso a la información como se aprecia en las documentales </w:t>
      </w:r>
      <w:r>
        <w:rPr>
          <w:rFonts w:ascii="Palatino Linotype" w:eastAsia="Palatino Linotype" w:hAnsi="Palatino Linotype" w:cs="Palatino Linotype"/>
          <w:i/>
          <w:sz w:val="22"/>
          <w:szCs w:val="22"/>
        </w:rPr>
        <w:lastRenderedPageBreak/>
        <w:t xml:space="preserve">anexas. De igual forma, en su respuesta, el titular de la unidad de transparencia del sujeto obligado señalo lo siguiente: "En atención s su solicitud de información, se turnó al Servidor Público Habilitado y Titular de la Secretaría del Ayuntamiento, así como a la Dirección de Seguridad Pública y Movilidad, unidades administrativas que dieron respuesta de la siguiente manera: A través del portal SAIMEX, el servidor público habilitado de la Secretaría del Ayuntamiento, manifestó lo siguiente: "Para dar respuesta a la solicitud de información con el folio 00199/CHICOLOA/IP/2021, especificando que es de mi competencia el inciso 2), mismo que a la letra dice: “2) Solicito conocer la lista de asistencia de las y los regidores, síndicos, secretario del ayuntamiento y presidente o presidenta municipal a las sesiones de pleno y comisiones del 1 de enero de 2021 al 9 de octubre de 2021” Le informo que las listas de asistencia a las sesiones de cabildo de la administración 2019-2021, se encuentran dentro del cuerpo de las actas de cabildo las cuales se encuentran debidamente publicadas en el portal de Información Pública de Oficio Mexiquense (IPOMEX) en el artículo 94, fracción II B2, en lo que corresponde a las comisiones edilicias, se hace de su conocimiento que cada comisión tiene su archivo, por lo que esta Secretaría no cuenta con el resguardo de la información que se solicita. La Dirección de Seguridad Pública y Movilidad remitió el oficio número CHIC/PM/SPM2081/2021, el cual se pone a disposición a través de la presente respuesta. Sin otro particular, hago de su conocimiento que tiene derecho a interponer el recurso de revisión ante la respuesta brindada, para lo cual cuenta con un plazo de quince días hábiles contados a partir del siguiente día a la fecha de notificación de la presente. Sin otro particular, quedo a usted". De lo anterior se desprende que, si bien es cierto, que la información solicitada en el inciso 2) se encuentra parcialmente disponible en el IPOMEX, de acuerdo a lo señalado por la Ley de Transparencia y Acceso a la Información Pública del Estado de México y Municipios en su </w:t>
      </w:r>
      <w:proofErr w:type="spellStart"/>
      <w:r>
        <w:rPr>
          <w:rFonts w:ascii="Palatino Linotype" w:eastAsia="Palatino Linotype" w:hAnsi="Palatino Linotype" w:cs="Palatino Linotype"/>
          <w:i/>
          <w:sz w:val="22"/>
          <w:szCs w:val="22"/>
        </w:rPr>
        <w:t>articulo</w:t>
      </w:r>
      <w:proofErr w:type="spellEnd"/>
      <w:r>
        <w:rPr>
          <w:rFonts w:ascii="Palatino Linotype" w:eastAsia="Palatino Linotype" w:hAnsi="Palatino Linotype" w:cs="Palatino Linotype"/>
          <w:i/>
          <w:sz w:val="22"/>
          <w:szCs w:val="22"/>
        </w:rPr>
        <w:t xml:space="preserve"> 162 se tiene que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y en su respuesta, el sujeto obligado en lo que corresponde a las comisiones edilicias, hace del conocimiento del recurrente que no habilito a los servidores públicos que cuentan con la información solicitada y no realizo una búsqueda exhaustiva de la misma, sin justificación alguna, vulnerando el derecho de acceso a la información pública al no proporcionar la información solicitada en su totalidad la cual </w:t>
      </w:r>
      <w:proofErr w:type="spellStart"/>
      <w:r>
        <w:rPr>
          <w:rFonts w:ascii="Palatino Linotype" w:eastAsia="Palatino Linotype" w:hAnsi="Palatino Linotype" w:cs="Palatino Linotype"/>
          <w:i/>
          <w:sz w:val="22"/>
          <w:szCs w:val="22"/>
        </w:rPr>
        <w:t>requeria</w:t>
      </w:r>
      <w:proofErr w:type="spellEnd"/>
      <w:r>
        <w:rPr>
          <w:rFonts w:ascii="Palatino Linotype" w:eastAsia="Palatino Linotype" w:hAnsi="Palatino Linotype" w:cs="Palatino Linotype"/>
          <w:i/>
          <w:sz w:val="22"/>
          <w:szCs w:val="22"/>
        </w:rPr>
        <w:t xml:space="preserve"> " 2) Solicito conocer la lista de asistencia de las y los regidores, síndicos, secretario del ayuntamiento y presidente o presidenta municipal a las sesiones de pleno y comisiones del 1 de enero de 2021 al 9 de octubre de 2021 " Finalmente respecto al inciso 1) "Solicito conocer el equipamiento, ubicación, medidas, colindancias y planos para cada uno de los parques del municipio al 9 de octubre de 2021" se tiene que el sujeto obligado fue omiso en su totalidad al no dar respuesta alguna y presumiblemente no se habilito a </w:t>
      </w:r>
      <w:r>
        <w:rPr>
          <w:rFonts w:ascii="Palatino Linotype" w:eastAsia="Palatino Linotype" w:hAnsi="Palatino Linotype" w:cs="Palatino Linotype"/>
          <w:i/>
          <w:sz w:val="22"/>
          <w:szCs w:val="22"/>
        </w:rPr>
        <w:lastRenderedPageBreak/>
        <w:t xml:space="preserve">ningún servidor público para realizar la búsqueda de la información solicitada. Por esto, y al día 16 de noviembre de 2021, fecha de notificación de la respuesta, se cumplen los criterios señalados por el articulo 178 y 179, fracciones V y VI de la Ley de Transparencia y Acceso a la Información del Estado de México y Municipios para la interposición de un recurso de revisión respecto a la respuesta a una solicitud de acceso a la información.” </w:t>
      </w:r>
      <w:r>
        <w:rPr>
          <w:rFonts w:ascii="Palatino Linotype" w:eastAsia="Palatino Linotype" w:hAnsi="Palatino Linotype" w:cs="Palatino Linotype"/>
          <w:sz w:val="22"/>
          <w:szCs w:val="22"/>
        </w:rPr>
        <w:t>(Sic).</w:t>
      </w:r>
    </w:p>
    <w:p w14:paraId="6015A32A" w14:textId="77777777" w:rsidR="00FE3AA8" w:rsidRDefault="00776873">
      <w:pPr>
        <w:widowControl w:val="0"/>
        <w:pBdr>
          <w:top w:val="nil"/>
          <w:left w:val="nil"/>
          <w:bottom w:val="nil"/>
          <w:right w:val="nil"/>
          <w:between w:val="nil"/>
        </w:pBdr>
        <w:tabs>
          <w:tab w:val="left" w:pos="1701"/>
          <w:tab w:val="left" w:pos="1843"/>
        </w:tabs>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concordancia y derivado del análisis efectuado se advierte la procedibilidad del recurso de revisión, toda vez que se actualiz</w:t>
      </w:r>
      <w:r>
        <w:rPr>
          <w:rFonts w:ascii="Palatino Linotype" w:eastAsia="Palatino Linotype" w:hAnsi="Palatino Linotype" w:cs="Palatino Linotype"/>
        </w:rPr>
        <w:t>a la hipótesis prevista en</w:t>
      </w:r>
      <w:r>
        <w:rPr>
          <w:rFonts w:ascii="Palatino Linotype" w:eastAsia="Palatino Linotype" w:hAnsi="Palatino Linotype" w:cs="Palatino Linotype"/>
          <w:color w:val="000000"/>
        </w:rPr>
        <w:t xml:space="preserve"> la fracci</w:t>
      </w:r>
      <w:r>
        <w:rPr>
          <w:rFonts w:ascii="Palatino Linotype" w:eastAsia="Palatino Linotype" w:hAnsi="Palatino Linotype" w:cs="Palatino Linotype"/>
        </w:rPr>
        <w:t xml:space="preserve">ón V. </w:t>
      </w:r>
      <w:r>
        <w:rPr>
          <w:rFonts w:ascii="Palatino Linotype" w:eastAsia="Palatino Linotype" w:hAnsi="Palatino Linotype" w:cs="Palatino Linotype"/>
          <w:color w:val="000000"/>
        </w:rPr>
        <w:t>del artículo 179 de la Ley de Transparencia y Acceso a la Información Pública del Estado de México y Municipios, que a la letra señala así:</w:t>
      </w:r>
    </w:p>
    <w:p w14:paraId="3921720D" w14:textId="77777777" w:rsidR="00FE3AA8" w:rsidRDefault="00776873">
      <w:pPr>
        <w:spacing w:before="280"/>
        <w:ind w:left="709" w:right="757"/>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El recurso de revisión</w:t>
      </w:r>
      <w:r>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 y </w:t>
      </w:r>
      <w:r>
        <w:rPr>
          <w:rFonts w:ascii="Palatino Linotype" w:eastAsia="Palatino Linotype" w:hAnsi="Palatino Linotype" w:cs="Palatino Linotype"/>
          <w:b/>
          <w:i/>
          <w:sz w:val="22"/>
          <w:szCs w:val="22"/>
          <w:u w:val="single"/>
        </w:rPr>
        <w:t>procederá en contra de las siguientes causas</w:t>
      </w:r>
      <w:r>
        <w:rPr>
          <w:rFonts w:ascii="Palatino Linotype" w:eastAsia="Palatino Linotype" w:hAnsi="Palatino Linotype" w:cs="Palatino Linotype"/>
          <w:sz w:val="22"/>
          <w:szCs w:val="22"/>
        </w:rPr>
        <w:t>:</w:t>
      </w:r>
    </w:p>
    <w:p w14:paraId="532136DC" w14:textId="77777777" w:rsidR="00FE3AA8" w:rsidRDefault="00776873">
      <w:pPr>
        <w:ind w:left="709" w:right="75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p>
    <w:p w14:paraId="3C428378" w14:textId="77777777" w:rsidR="00FE3AA8" w:rsidRDefault="00776873">
      <w:pPr>
        <w:tabs>
          <w:tab w:val="left" w:pos="1134"/>
        </w:tabs>
        <w:ind w:left="709" w:right="75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 La entrega de información incompleta</w:t>
      </w:r>
      <w:proofErr w:type="gramStart"/>
      <w:r>
        <w:rPr>
          <w:rFonts w:ascii="Palatino Linotype" w:eastAsia="Palatino Linotype" w:hAnsi="Palatino Linotype" w:cs="Palatino Linotype"/>
          <w:b/>
          <w:i/>
          <w:sz w:val="22"/>
          <w:szCs w:val="22"/>
        </w:rPr>
        <w:t>;.</w:t>
      </w:r>
      <w:proofErr w:type="gramEnd"/>
    </w:p>
    <w:p w14:paraId="5EBA5B7F" w14:textId="77777777" w:rsidR="00FE3AA8" w:rsidRDefault="00776873">
      <w:pPr>
        <w:spacing w:before="280" w:after="280" w:line="360"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sz w:val="22"/>
          <w:szCs w:val="22"/>
        </w:rPr>
        <w:t>(Énfasis añadido)</w:t>
      </w:r>
    </w:p>
    <w:p w14:paraId="2E550D3A" w14:textId="77777777" w:rsidR="00FE3AA8" w:rsidRDefault="00776873">
      <w:pPr>
        <w:widowControl w:val="0"/>
        <w:tabs>
          <w:tab w:val="left" w:pos="1276"/>
        </w:tabs>
        <w:spacing w:before="24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bien, en primera instancia es importante mencionar que de lo señalado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tanto en su acto impugnado, como en sus motivos o razones de inconformidad se advierte, la intención de impugnar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lo que se refiere a la parte de la solicitud señalada con los incisos A y B este último de forma parcial; es decir: Equipamiento, ubicación, medidas, colindancias y planos para cada uno de los parques del municipio al 9 de octubre de 2021 y  Lista de asistencia de las y los regidores, síndicos, secretario del ayuntamiento y presidente o presidenta municipal a las sesiones de pleno y comisiones del 1 de enero de 2021 al 9 de octubre de 2021. </w:t>
      </w:r>
    </w:p>
    <w:p w14:paraId="0FE927BD" w14:textId="77777777" w:rsidR="00FE3AA8" w:rsidRDefault="00776873">
      <w:pPr>
        <w:widowControl w:val="0"/>
        <w:tabs>
          <w:tab w:val="left" w:pos="1276"/>
        </w:tabs>
        <w:spacing w:before="240" w:after="280" w:line="360" w:lineRule="auto"/>
        <w:jc w:val="both"/>
        <w:rPr>
          <w:rFonts w:ascii="Palatino Linotype" w:eastAsia="Palatino Linotype" w:hAnsi="Palatino Linotype" w:cs="Palatino Linotype"/>
          <w:b/>
        </w:rPr>
      </w:pPr>
      <w:r>
        <w:rPr>
          <w:rFonts w:ascii="Palatino Linotype" w:eastAsia="Palatino Linotype" w:hAnsi="Palatino Linotype" w:cs="Palatino Linotype"/>
        </w:rPr>
        <w:lastRenderedPageBreak/>
        <w:t xml:space="preserve">Consecuentemente, se advierte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manifiesta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colma con su respuesta a la solicitud de información la parte del requerimiento tendiente a conocer el número y estado que guardan los semáforos y señalizaciones viales, respectivamente del municipio, así como también indica que se colma de forma parcial lo señalado con el inciso B pues se inconforma de que no se le diera respuesta respecto de la lista de asistencia para la comisiones, aceptando por consiguiente lo referente a la lista de asistencia a las sesiones del pleno entregada en respuesta mediante enlaces electrónicos , que redirigen a la página de IPOMEX</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xml:space="preserve"> del </w:t>
      </w:r>
      <w:r>
        <w:rPr>
          <w:rFonts w:ascii="Palatino Linotype" w:eastAsia="Palatino Linotype" w:hAnsi="Palatino Linotype" w:cs="Palatino Linotype"/>
          <w:b/>
        </w:rPr>
        <w:t xml:space="preserve">SUJETO OBLIGADO </w:t>
      </w:r>
    </w:p>
    <w:p w14:paraId="7EA643F0" w14:textId="77777777" w:rsidR="00FE3AA8" w:rsidRDefault="00776873">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respecto, esta Ponencia Resolutora, advierte que dichas manifestaciones son  tendientes a consentir la respuesta otorgada y por tanto no entrará al estudio de las mismas. </w:t>
      </w:r>
    </w:p>
    <w:p w14:paraId="4B895CED" w14:textId="77777777" w:rsidR="00FE3AA8" w:rsidRDefault="00776873">
      <w:pPr>
        <w:widowControl w:val="0"/>
        <w:tabs>
          <w:tab w:val="left" w:pos="1701"/>
          <w:tab w:val="left" w:pos="1843"/>
        </w:tabs>
        <w:spacing w:before="36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la parte de la respuesta que no fue impugnada debe declararse consentida, toda vez que al no realizar manifestaciones de inconformidad respecto de la respuesta proporcionada; no pueden producirse efectos jurídicos tendentes a revocar, confirmar o modificar el acto reclamado, ya que no realizó manifestación alguna al respecto. </w:t>
      </w:r>
    </w:p>
    <w:p w14:paraId="6FBECAFC" w14:textId="77777777" w:rsidR="00FE3AA8" w:rsidRDefault="00776873">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Sirve de sustento, la tesis jurisprudencial número VI.3o.C. J/60, publicada en el Semanario Judicial de la Federación y su Gaceta bajo el número de registro 176,608 que a la letra dice:</w:t>
      </w:r>
    </w:p>
    <w:p w14:paraId="057E0C0D" w14:textId="77777777" w:rsidR="00FE3AA8" w:rsidRDefault="00776873">
      <w:pPr>
        <w:tabs>
          <w:tab w:val="left" w:pos="851"/>
        </w:tabs>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“ACTOS CONSENTIDOS. SON LOS QUE NO SE IMPUGNAN MEDIANTE EL RECURSO IDÓNEO. </w:t>
      </w:r>
      <w:r>
        <w:rPr>
          <w:rFonts w:ascii="Palatino Linotype" w:eastAsia="Palatino Linotype" w:hAnsi="Palatino Linotype" w:cs="Palatino Linotype"/>
          <w:i/>
          <w:sz w:val="22"/>
          <w:szCs w:val="22"/>
        </w:rPr>
        <w:t xml:space="preserve">Debe reputarse como consentido el acto que no se impugnó por el </w:t>
      </w:r>
      <w:r>
        <w:rPr>
          <w:rFonts w:ascii="Palatino Linotype" w:eastAsia="Palatino Linotype" w:hAnsi="Palatino Linotype" w:cs="Palatino Linotype"/>
          <w:i/>
          <w:sz w:val="22"/>
          <w:szCs w:val="22"/>
        </w:rPr>
        <w:lastRenderedPageBreak/>
        <w:t>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4FA114C8" w14:textId="77777777" w:rsidR="00FE3AA8" w:rsidRDefault="00776873">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la interpretación del criterio antes citado, se advierte que cuando el particular impugnó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expresó razón o motivo de inconformidad en contra de todos los rubros solicitados, por tanto estos deben declararse atendidos, pues se entiende que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está conforme con la respuesta proporcionada por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al no contravenir la misma. </w:t>
      </w:r>
    </w:p>
    <w:p w14:paraId="71A71020" w14:textId="77777777" w:rsidR="00FE3AA8" w:rsidRDefault="00776873">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Atento a ello, es importante traer a contexto la Tesis Jurisprudencial Número 3ª./J.7/91, Publicada en el Semanario Judicial de la Federación y su Gaceta bajo el número de registro 174,177, que establece lo siguiente:</w:t>
      </w:r>
    </w:p>
    <w:p w14:paraId="312282CD" w14:textId="77777777" w:rsidR="00FE3AA8" w:rsidRDefault="00776873">
      <w:pPr>
        <w:tabs>
          <w:tab w:val="left" w:pos="7937"/>
          <w:tab w:val="left" w:pos="8222"/>
        </w:tabs>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“REVISIÓN EN AMPARO. LOS RESOLUTIVOS NO COMBATIDOS DEBEN DECLARARSE FIRMES. </w:t>
      </w:r>
      <w:r>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400D0F6" w14:textId="77777777" w:rsidR="00FE3AA8" w:rsidRDefault="00776873">
      <w:pPr>
        <w:widowControl w:val="0"/>
        <w:tabs>
          <w:tab w:val="left" w:pos="1701"/>
          <w:tab w:val="left" w:pos="1843"/>
        </w:tabs>
        <w:spacing w:before="36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manera que lo referente al cuestionamiento identificado con el inciso: </w:t>
      </w:r>
    </w:p>
    <w:p w14:paraId="7E5D22B6" w14:textId="77777777" w:rsidR="00FE3AA8" w:rsidRDefault="00776873">
      <w:pPr>
        <w:widowControl w:val="0"/>
        <w:spacing w:before="280" w:after="280" w:line="360" w:lineRule="auto"/>
        <w:ind w:left="720"/>
        <w:jc w:val="both"/>
        <w:rPr>
          <w:rFonts w:ascii="Palatino Linotype" w:eastAsia="Palatino Linotype" w:hAnsi="Palatino Linotype" w:cs="Palatino Linotype"/>
        </w:rPr>
      </w:pPr>
      <w:r>
        <w:rPr>
          <w:rFonts w:ascii="Palatino Linotype" w:eastAsia="Palatino Linotype" w:hAnsi="Palatino Linotype" w:cs="Palatino Linotype"/>
        </w:rPr>
        <w:t>C. Número y estado que guardan los semáforos y señalizaciones viales, respectivamente del municipio.</w:t>
      </w:r>
    </w:p>
    <w:p w14:paraId="5609ACE8" w14:textId="77777777" w:rsidR="00FE3AA8" w:rsidRDefault="00776873">
      <w:pPr>
        <w:widowControl w:val="0"/>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Y de forma parcial a lo requerido en el inciso B, referente a las listas de asistencia de las y los regidores, síndicos, secretario del ayuntamiento y presidente o presidenta municipal </w:t>
      </w:r>
      <w:r>
        <w:rPr>
          <w:rFonts w:ascii="Palatino Linotype" w:eastAsia="Palatino Linotype" w:hAnsi="Palatino Linotype" w:cs="Palatino Linotype"/>
        </w:rPr>
        <w:lastRenderedPageBreak/>
        <w:t xml:space="preserve">a las sesiones de pleno del 1 de enero de 2021 al 9 de octubre de 2021 </w:t>
      </w:r>
    </w:p>
    <w:p w14:paraId="4C3B25CF" w14:textId="77777777" w:rsidR="00FE3AA8" w:rsidRDefault="00776873">
      <w:pPr>
        <w:widowControl w:val="0"/>
        <w:tabs>
          <w:tab w:val="left" w:pos="1701"/>
          <w:tab w:val="left" w:pos="1843"/>
        </w:tabs>
        <w:spacing w:before="36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Se consideran actos consentidos y, en consecuencia, este Órgano Resolutor no entrará al estudio del mismo  por las razones hasta aquí expuestas. </w:t>
      </w:r>
    </w:p>
    <w:p w14:paraId="142654C3" w14:textId="77777777" w:rsidR="00FE3AA8" w:rsidRDefault="00776873">
      <w:pPr>
        <w:widowControl w:val="0"/>
        <w:tabs>
          <w:tab w:val="left" w:pos="1701"/>
          <w:tab w:val="left" w:pos="1843"/>
        </w:tabs>
        <w:spacing w:before="36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hecha la precisión anterior, se procederá al estudio de la parte de la solicitud de información sobre la cual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expresa su inconformidad. </w:t>
      </w:r>
    </w:p>
    <w:p w14:paraId="1D8E7929" w14:textId="77777777" w:rsidR="00FE3AA8" w:rsidRDefault="00776873">
      <w:pPr>
        <w:widowControl w:val="0"/>
        <w:tabs>
          <w:tab w:val="left" w:pos="1701"/>
          <w:tab w:val="left" w:pos="1843"/>
        </w:tabs>
        <w:spacing w:before="36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en primera instancia se advierte que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 xml:space="preserve">requirió información acerca del: </w:t>
      </w:r>
      <w:r>
        <w:rPr>
          <w:rFonts w:ascii="Palatino Linotype" w:eastAsia="Palatino Linotype" w:hAnsi="Palatino Linotype" w:cs="Palatino Linotype"/>
          <w:i/>
        </w:rPr>
        <w:t xml:space="preserve">Equipamiento, ubicación, medidas, colindancias y planos para cada uno de los parques del municipio al 9 de octubre de 2021. </w:t>
      </w:r>
      <w:r>
        <w:rPr>
          <w:rFonts w:ascii="Palatino Linotype" w:eastAsia="Palatino Linotype" w:hAnsi="Palatino Linotype" w:cs="Palatino Linotype"/>
        </w:rPr>
        <w:t xml:space="preserve">Requerimiento sobre el cual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fue omiso en pronunciarse, razón por la cual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se inconforma manifestando </w:t>
      </w:r>
      <w:proofErr w:type="gramStart"/>
      <w:r>
        <w:rPr>
          <w:rFonts w:ascii="Palatino Linotype" w:eastAsia="Palatino Linotype" w:hAnsi="Palatino Linotype" w:cs="Palatino Linotype"/>
        </w:rPr>
        <w:t>los siguiente</w:t>
      </w:r>
      <w:proofErr w:type="gramEnd"/>
      <w:r>
        <w:rPr>
          <w:rFonts w:ascii="Palatino Linotype" w:eastAsia="Palatino Linotype" w:hAnsi="Palatino Linotype" w:cs="Palatino Linotype"/>
        </w:rPr>
        <w:t>:</w:t>
      </w:r>
    </w:p>
    <w:p w14:paraId="7DCAD5D5" w14:textId="77777777" w:rsidR="00FE3AA8" w:rsidRDefault="00776873">
      <w:pPr>
        <w:widowControl w:val="0"/>
        <w:tabs>
          <w:tab w:val="left" w:pos="1701"/>
          <w:tab w:val="left" w:pos="1843"/>
        </w:tabs>
        <w:spacing w:before="360" w:after="240"/>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Finalmente respecto al inciso 1) "Solicito conocer el equipamiento, ubicación, medidas, colindancias y planos para cada uno de los parques del municipio al 9 de octubre de 2021" se tiene que el sujeto obligado fue omiso en su totalidad al no dar respuesta alguna y presumiblemente no se habilito a ningún servidor público para realizar la búsqueda de la información solicitada. Por esto, y al día 16 de noviembre de 2021, fecha de notificación de la respuesta, se cumplen los criterios señalados por el articulo 178 y 179, fracciones V y VI de la Ley de Transparencia y Acceso a la Información del Estado de México y Municipios para la interposición de un recurso de revisión respecto a la respuesta a una solicitud de acceso a la información.” (Sic)</w:t>
      </w:r>
    </w:p>
    <w:p w14:paraId="697A5891" w14:textId="77777777" w:rsidR="00FE3AA8" w:rsidRDefault="00776873">
      <w:pPr>
        <w:widowControl w:val="0"/>
        <w:tabs>
          <w:tab w:val="left" w:pos="1701"/>
          <w:tab w:val="left" w:pos="1843"/>
        </w:tabs>
        <w:spacing w:before="36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la cita anterior, se desprende que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señala su inconformidad respecto de la omisión total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dar respuesta, expresando también su descontento por la falta de trámite a su solicitud de información presumiendo que no fue turnada a los servidores públicos habilitados correspondientes. </w:t>
      </w:r>
    </w:p>
    <w:p w14:paraId="15A4AD30" w14:textId="77777777" w:rsidR="00FE3AA8" w:rsidRDefault="00776873">
      <w:pPr>
        <w:widowControl w:val="0"/>
        <w:tabs>
          <w:tab w:val="left" w:pos="1701"/>
          <w:tab w:val="left" w:pos="1843"/>
        </w:tabs>
        <w:spacing w:before="36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Es así que de la revisión a las constancias que obran en el expediente electrónico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se aprecia que el Titular de la Unidad de Transparencia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siguiendo el procedimiento señalado en el artículo 162 de la de la Ley de Transparencia y Acceso a la Información Pública del Estado de México y Municipios, turnado la solicitud de información a tres servidores públicos habilitados, de los cuales se aprecia son la Titular de la Secretaría del Ayuntamiento, el Titular de Seguridad Pública y Movilidad y el Titular de la Coordinación de Alumbrado Público y Electrificación como se puede apreciar en la imagen que se inserta a continuación: </w:t>
      </w:r>
    </w:p>
    <w:p w14:paraId="6994BD3D" w14:textId="77777777" w:rsidR="00FE3AA8" w:rsidRDefault="00776873">
      <w:pPr>
        <w:widowControl w:val="0"/>
        <w:tabs>
          <w:tab w:val="left" w:pos="1701"/>
          <w:tab w:val="left" w:pos="1843"/>
        </w:tabs>
        <w:spacing w:before="36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114300" distB="114300" distL="114300" distR="114300" wp14:anchorId="1E517C3C" wp14:editId="3717BBB3">
            <wp:extent cx="5791835" cy="1181100"/>
            <wp:effectExtent l="0" t="0" r="0" b="0"/>
            <wp:docPr id="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791835" cy="1181100"/>
                    </a:xfrm>
                    <a:prstGeom prst="rect">
                      <a:avLst/>
                    </a:prstGeom>
                    <a:ln/>
                  </pic:spPr>
                </pic:pic>
              </a:graphicData>
            </a:graphic>
          </wp:inline>
        </w:drawing>
      </w:r>
    </w:p>
    <w:p w14:paraId="0A2CACD9" w14:textId="77777777" w:rsidR="00FE3AA8" w:rsidRDefault="00776873">
      <w:pPr>
        <w:widowControl w:val="0"/>
        <w:tabs>
          <w:tab w:val="left" w:pos="1701"/>
          <w:tab w:val="left" w:pos="1843"/>
        </w:tabs>
        <w:spacing w:before="36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obstante de la investigación realizada por este Órgano Garante a la normativa interna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 aprecia que existen otras áreas competentes para conocer, poseer, generar o administrar la información solicitada por </w:t>
      </w:r>
      <w:r>
        <w:rPr>
          <w:rFonts w:ascii="Palatino Linotype" w:eastAsia="Palatino Linotype" w:hAnsi="Palatino Linotype" w:cs="Palatino Linotype"/>
          <w:b/>
        </w:rPr>
        <w:t xml:space="preserve">EL RECURRENTE, </w:t>
      </w:r>
      <w:r>
        <w:rPr>
          <w:rFonts w:ascii="Palatino Linotype" w:eastAsia="Palatino Linotype" w:hAnsi="Palatino Linotype" w:cs="Palatino Linotype"/>
        </w:rPr>
        <w:t xml:space="preserve">normativa que será abordada a lo largo del presente estudio. </w:t>
      </w:r>
    </w:p>
    <w:p w14:paraId="6EEFB295" w14:textId="77777777" w:rsidR="00FE3AA8" w:rsidRDefault="00776873">
      <w:pPr>
        <w:widowControl w:val="0"/>
        <w:tabs>
          <w:tab w:val="left" w:pos="1701"/>
          <w:tab w:val="left" w:pos="1843"/>
        </w:tabs>
        <w:spacing w:before="36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Razón por la cual es importante señalar en quién recae la figura de los Servidores Públicos Habilitados competentes, los cuales son los encargados dentro de las diversas unidades administrativas o áreas de los Sujeto Obligados, de apoyar, gestionar y entregar la información o datos personales que se ubiquen en la misma, a sus respectivas Unidades de Transparencia, en términos de lo dispuesto en los artículos 3 fracción XXXIX, 50, 51, 53 y 59 fracciones I, II y III, de la Ley de la materia, mismos que se transcriben a </w:t>
      </w:r>
      <w:r>
        <w:rPr>
          <w:rFonts w:ascii="Palatino Linotype" w:eastAsia="Palatino Linotype" w:hAnsi="Palatino Linotype" w:cs="Palatino Linotype"/>
        </w:rPr>
        <w:lastRenderedPageBreak/>
        <w:t>continuación:</w:t>
      </w:r>
    </w:p>
    <w:p w14:paraId="7CA2EF58" w14:textId="77777777" w:rsidR="00FE3AA8" w:rsidRDefault="00776873">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Para los efectos de la presente Ley se entenderá por</w:t>
      </w:r>
      <w:r>
        <w:rPr>
          <w:rFonts w:ascii="Palatino Linotype" w:eastAsia="Palatino Linotype" w:hAnsi="Palatino Linotype" w:cs="Palatino Linotype"/>
          <w:i/>
          <w:sz w:val="22"/>
          <w:szCs w:val="22"/>
        </w:rPr>
        <w:t xml:space="preserve">: </w:t>
      </w:r>
    </w:p>
    <w:p w14:paraId="11C4EE7E" w14:textId="77777777" w:rsidR="00FE3AA8" w:rsidRDefault="00776873">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XXXIX</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Servidor público habilitado</w:t>
      </w:r>
      <w:r>
        <w:rPr>
          <w:rFonts w:ascii="Palatino Linotype" w:eastAsia="Palatino Linotype" w:hAnsi="Palatino Linotype" w:cs="Palatino Linotype"/>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4AFE246D" w14:textId="77777777" w:rsidR="00FE3AA8" w:rsidRDefault="00776873">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2C83C79" w14:textId="77777777" w:rsidR="00FE3AA8" w:rsidRDefault="00776873">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50.</w:t>
      </w:r>
      <w:r>
        <w:rPr>
          <w:rFonts w:ascii="Palatino Linotype" w:eastAsia="Palatino Linotype" w:hAnsi="Palatino Linotype" w:cs="Palatino Linotype"/>
          <w:i/>
          <w:sz w:val="22"/>
          <w:szCs w:val="22"/>
        </w:rPr>
        <w:t xml:space="preserve"> Los sujetos obligados contarán con un área responsable para la atención de las solicitudes de información, a la que se le denominará Unidad de Transparencia.</w:t>
      </w:r>
    </w:p>
    <w:p w14:paraId="26C49D63" w14:textId="77777777" w:rsidR="00FE3AA8" w:rsidRDefault="00776873">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51</w:t>
      </w:r>
      <w:r>
        <w:rPr>
          <w:rFonts w:ascii="Palatino Linotype" w:eastAsia="Palatino Linotype" w:hAnsi="Palatino Linotype" w:cs="Palatino Linotype"/>
          <w:i/>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5FD6B7FA" w14:textId="77777777" w:rsidR="00FE3AA8" w:rsidRDefault="00776873">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Las Unidades de Transparencia tendrán las siguientes funciones:</w:t>
      </w:r>
    </w:p>
    <w:p w14:paraId="4B5CE9EE" w14:textId="77777777" w:rsidR="00FE3AA8" w:rsidRDefault="00776873">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46872FD2" w14:textId="77777777" w:rsidR="00FE3AA8" w:rsidRDefault="00776873">
      <w:pPr>
        <w:ind w:left="567" w:right="618"/>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II. Recibir, </w:t>
      </w:r>
      <w:r>
        <w:rPr>
          <w:rFonts w:ascii="Palatino Linotype" w:eastAsia="Palatino Linotype" w:hAnsi="Palatino Linotype" w:cs="Palatino Linotype"/>
          <w:b/>
          <w:i/>
          <w:sz w:val="22"/>
          <w:szCs w:val="22"/>
          <w:u w:val="single"/>
        </w:rPr>
        <w:t>tramitar</w:t>
      </w:r>
      <w:r>
        <w:rPr>
          <w:rFonts w:ascii="Palatino Linotype" w:eastAsia="Palatino Linotype" w:hAnsi="Palatino Linotype" w:cs="Palatino Linotype"/>
          <w:b/>
          <w:i/>
          <w:sz w:val="22"/>
          <w:szCs w:val="22"/>
        </w:rPr>
        <w:t xml:space="preserve"> y dar respuesta a las solicitudes de acceso a la información;</w:t>
      </w:r>
    </w:p>
    <w:p w14:paraId="4B425565" w14:textId="77777777" w:rsidR="00FE3AA8" w:rsidRDefault="00776873">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Auxiliar a los particulares en la elaboración de solicitudes de acceso a la información y, en su caso, orientarlos sobre los sujetos obligados competentes conforme a la normatividad aplicable;</w:t>
      </w:r>
    </w:p>
    <w:p w14:paraId="4AD2CFD1" w14:textId="77777777" w:rsidR="00FE3AA8" w:rsidRDefault="00776873">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Realizar, con efectividad, los trámites internos necesarios para la atención de las solicitudes de acceso a la información;</w:t>
      </w:r>
    </w:p>
    <w:p w14:paraId="147B73BF" w14:textId="77777777" w:rsidR="00FE3AA8" w:rsidRDefault="00776873">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 Entregar, en su caso, a los particulares la información solicitada;</w:t>
      </w:r>
    </w:p>
    <w:p w14:paraId="5F1432AA" w14:textId="77777777" w:rsidR="00FE3AA8" w:rsidRDefault="00776873">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 Efectuar las notificaciones a los solicitantes;</w:t>
      </w:r>
    </w:p>
    <w:p w14:paraId="24E87A27" w14:textId="77777777" w:rsidR="00FE3AA8" w:rsidRDefault="00776873">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 Proponer al Comité de Transparencia, los procedimientos internos que aseguren la mayor eficiencia en la gestión de las solicitudes de acceso a la información, conforme a la normatividad aplicable;</w:t>
      </w:r>
    </w:p>
    <w:p w14:paraId="05A2EE35" w14:textId="77777777" w:rsidR="00FE3AA8" w:rsidRDefault="00776873">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VIII. Proponer a quien preside el Comité de Transparencia, personal habilitado que sea necesario para recibir y dar trámite a las solicitudes de acceso a la información;</w:t>
      </w:r>
    </w:p>
    <w:p w14:paraId="56991808" w14:textId="77777777" w:rsidR="00FE3AA8" w:rsidRDefault="00776873">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14:paraId="4A3BCE43" w14:textId="77777777" w:rsidR="00FE3AA8" w:rsidRDefault="00776873">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 Presentar ante el Comité, el proyecto de clasificación de información;</w:t>
      </w:r>
    </w:p>
    <w:p w14:paraId="7364B4A2" w14:textId="77777777" w:rsidR="00FE3AA8" w:rsidRDefault="00776873">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XI. Promover e implementar políticas de transparencia proactiva procurando su accesibilidad;</w:t>
      </w:r>
    </w:p>
    <w:p w14:paraId="797291F3" w14:textId="77777777" w:rsidR="00FE3AA8" w:rsidRDefault="00776873">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XII. Fomentar la transparencia y accesibilidad al interior del sujeto obligado;</w:t>
      </w:r>
    </w:p>
    <w:p w14:paraId="3B561515" w14:textId="77777777" w:rsidR="00FE3AA8" w:rsidRDefault="00776873">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XIII. Hacer del conocimiento de la instancia competente la probable responsabilidad por el incumplimiento de las obligaciones previstas en la presente Ley; y</w:t>
      </w:r>
    </w:p>
    <w:p w14:paraId="70739F91" w14:textId="77777777" w:rsidR="00FE3AA8" w:rsidRDefault="00776873">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XIV. Las demás que resulten necesarias para facilitar el acceso a la información y aquellas que se desprenden de la presente Ley y demás disposiciones jurídicas aplicables.</w:t>
      </w:r>
    </w:p>
    <w:p w14:paraId="1EBD6ED2" w14:textId="77777777" w:rsidR="00FE3AA8" w:rsidRDefault="00776873">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64512C8D" w14:textId="77777777" w:rsidR="00FE3AA8" w:rsidRDefault="00776873">
      <w:pPr>
        <w:ind w:left="567" w:right="61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19271B41" w14:textId="77777777" w:rsidR="00FE3AA8" w:rsidRDefault="00776873">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Los servidores públicos habilitados tendrán las funciones siguientes</w:t>
      </w:r>
      <w:r>
        <w:rPr>
          <w:rFonts w:ascii="Palatino Linotype" w:eastAsia="Palatino Linotype" w:hAnsi="Palatino Linotype" w:cs="Palatino Linotype"/>
          <w:i/>
          <w:sz w:val="22"/>
          <w:szCs w:val="22"/>
        </w:rPr>
        <w:t xml:space="preserve">: </w:t>
      </w:r>
    </w:p>
    <w:p w14:paraId="0C4D5406" w14:textId="77777777" w:rsidR="00FE3AA8" w:rsidRDefault="00776873">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Localizar la información que le solicite la Unidad de Transparencia</w:t>
      </w:r>
      <w:r>
        <w:rPr>
          <w:rFonts w:ascii="Palatino Linotype" w:eastAsia="Palatino Linotype" w:hAnsi="Palatino Linotype" w:cs="Palatino Linotype"/>
          <w:i/>
          <w:sz w:val="22"/>
          <w:szCs w:val="22"/>
        </w:rPr>
        <w:t xml:space="preserve">; </w:t>
      </w:r>
    </w:p>
    <w:p w14:paraId="0D9D21A1" w14:textId="77777777" w:rsidR="00FE3AA8" w:rsidRDefault="00776873">
      <w:pPr>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II. </w:t>
      </w:r>
      <w:r>
        <w:rPr>
          <w:rFonts w:ascii="Palatino Linotype" w:eastAsia="Palatino Linotype" w:hAnsi="Palatino Linotype" w:cs="Palatino Linotype"/>
          <w:b/>
          <w:i/>
          <w:sz w:val="22"/>
          <w:szCs w:val="22"/>
          <w:u w:val="single"/>
        </w:rPr>
        <w:t>Proporcionar la información que obre en los archivos y que le sea solicitada por la Unidad de Transparencia</w:t>
      </w:r>
      <w:r>
        <w:rPr>
          <w:rFonts w:ascii="Palatino Linotype" w:eastAsia="Palatino Linotype" w:hAnsi="Palatino Linotype" w:cs="Palatino Linotype"/>
          <w:b/>
          <w:i/>
          <w:sz w:val="22"/>
          <w:szCs w:val="22"/>
        </w:rPr>
        <w:t xml:space="preserve">; </w:t>
      </w:r>
    </w:p>
    <w:p w14:paraId="601FE0D9" w14:textId="77777777" w:rsidR="00FE3AA8" w:rsidRDefault="00776873">
      <w:pPr>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Apoyar a la Unidad de Transparencia en lo que esta le solicite para el cumplimiento de sus funciones</w:t>
      </w:r>
      <w:r>
        <w:rPr>
          <w:rFonts w:ascii="Palatino Linotype" w:eastAsia="Palatino Linotype" w:hAnsi="Palatino Linotype" w:cs="Palatino Linotype"/>
          <w:b/>
          <w:i/>
          <w:sz w:val="22"/>
          <w:szCs w:val="22"/>
        </w:rPr>
        <w:t xml:space="preserve">; </w:t>
      </w:r>
    </w:p>
    <w:p w14:paraId="4201C9FC" w14:textId="77777777" w:rsidR="00FE3AA8" w:rsidRDefault="00776873">
      <w:pPr>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14:paraId="59AEAAA0" w14:textId="77777777" w:rsidR="00FE3AA8" w:rsidRDefault="00776873">
      <w:pPr>
        <w:ind w:left="567"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1CD4B36A" w14:textId="77777777" w:rsidR="00FE3AA8" w:rsidRDefault="0077687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 Sujeto Obligado y los solicitantes, y tiene bajo su responsabilidad el tramitar internamente la solicitud de información.</w:t>
      </w:r>
    </w:p>
    <w:p w14:paraId="26F3A394" w14:textId="77777777" w:rsidR="00FE3AA8" w:rsidRDefault="0077687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tal manera que, si bien, el Titular de la Unidad de Transparencia no tiene bajo su resguardo el archivo que pudiese contener la documentación solicitada, sino que puede obrar en las distintas áreas que conforman la estructura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es por </w:t>
      </w:r>
      <w:r>
        <w:rPr>
          <w:rFonts w:ascii="Palatino Linotype" w:eastAsia="Palatino Linotype" w:hAnsi="Palatino Linotype" w:cs="Palatino Linotype"/>
        </w:rPr>
        <w:lastRenderedPageBreak/>
        <w:t>ello que, debe turnar la solicitud al servidor público habilitado que tiene bajo su resguardo la misma. Los servidores públicos habilitados tienen como función, buscar, localizar y en su caso entregar la información solicitada.</w:t>
      </w:r>
    </w:p>
    <w:p w14:paraId="6BD735D6" w14:textId="77777777" w:rsidR="00FE3AA8" w:rsidRDefault="0077687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por ello, que corresponde al Titular de la Unidad de Transparencia el garantizar que las solicitudes se turnen a todas las áreas competentes que puedan contar con la información, </w:t>
      </w:r>
      <w:r>
        <w:rPr>
          <w:rFonts w:ascii="Palatino Linotype" w:eastAsia="Palatino Linotype" w:hAnsi="Palatino Linotype" w:cs="Palatino Linotype"/>
          <w:b/>
        </w:rPr>
        <w:t>con el objeto de que se realice una búsqueda exhaustiva y razonable de la información solicitada</w:t>
      </w:r>
      <w:r>
        <w:rPr>
          <w:rFonts w:ascii="Palatino Linotype" w:eastAsia="Palatino Linotype" w:hAnsi="Palatino Linotype" w:cs="Palatino Linotype"/>
        </w:rPr>
        <w:t>.</w:t>
      </w:r>
    </w:p>
    <w:p w14:paraId="3A39411D" w14:textId="77777777" w:rsidR="00FE3AA8" w:rsidRDefault="00776873">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respecto de la información solicitada, se advierte que el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términos del artículo 162 de la Ley de Transparencia y Acceso a la Información Pública del Estado de México y Municipios, debió solicitar la información requerida, a dichas áreas. </w:t>
      </w:r>
    </w:p>
    <w:p w14:paraId="4183BE71" w14:textId="77777777" w:rsidR="00FE3AA8" w:rsidRDefault="00776873">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resulta importante traer a contexto el contenido del Bando Municipal de Chicoloapan 2019 -2021 mismo que establece en sus artículos 51 y  52 fracción IX mismos que en su conjunto establecen la existencia de Comisiones dentro de la administración del Ayuntamiento de Chicoloapan encargadas de estudiar, examinar y proponer los acuerdos, normas o acciones necesarios con la finalidad de la administración pública municipal, entre las cuales  existe una Comisión denominada “De parques y Jardines” tal y como se aprecia a continuación: </w:t>
      </w:r>
    </w:p>
    <w:p w14:paraId="762DC4C6" w14:textId="77777777" w:rsidR="00FE3AA8" w:rsidRDefault="00776873">
      <w:pPr>
        <w:widowControl w:val="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51. </w:t>
      </w:r>
      <w:r>
        <w:rPr>
          <w:rFonts w:ascii="Palatino Linotype" w:eastAsia="Palatino Linotype" w:hAnsi="Palatino Linotype" w:cs="Palatino Linotype"/>
          <w:i/>
          <w:sz w:val="22"/>
          <w:szCs w:val="22"/>
        </w:rPr>
        <w:t>Las comisiones del Ayuntamiento se integrarán por los miembros de éste a propuesta de la Presidente Municipal y son responsables de estudiar, examinar y proponer a este órgano deliberativo, los acuerdos, acciones o normas tendientes a mejorar la administración pública municipal, así como vigilar y reportar, al propio Ayuntamiento, sobre los asuntos a su cargo y sobre el cumplimiento de las disposiciones y acuerdos que dicte el Cabildo</w:t>
      </w:r>
    </w:p>
    <w:p w14:paraId="54E2C3F5" w14:textId="77777777" w:rsidR="00FE3AA8" w:rsidRDefault="00FE3AA8">
      <w:pPr>
        <w:widowControl w:val="0"/>
        <w:ind w:left="851" w:right="902"/>
        <w:jc w:val="both"/>
        <w:rPr>
          <w:rFonts w:ascii="Palatino Linotype" w:eastAsia="Palatino Linotype" w:hAnsi="Palatino Linotype" w:cs="Palatino Linotype"/>
          <w:b/>
          <w:i/>
          <w:sz w:val="22"/>
          <w:szCs w:val="22"/>
        </w:rPr>
      </w:pPr>
    </w:p>
    <w:p w14:paraId="1A847ABA" w14:textId="77777777" w:rsidR="00FE3AA8" w:rsidRDefault="00776873">
      <w:pPr>
        <w:widowControl w:val="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52.</w:t>
      </w:r>
      <w:r>
        <w:rPr>
          <w:rFonts w:ascii="Palatino Linotype" w:eastAsia="Palatino Linotype" w:hAnsi="Palatino Linotype" w:cs="Palatino Linotype"/>
          <w:i/>
          <w:sz w:val="22"/>
          <w:szCs w:val="22"/>
        </w:rPr>
        <w:t xml:space="preserve"> El Ayuntamiento de Chicoloapan para el eficaz desempeño de sus funciones públicas se auxiliará de las comisiones siguientes: </w:t>
      </w:r>
    </w:p>
    <w:p w14:paraId="6764FA8C" w14:textId="77777777" w:rsidR="00FE3AA8" w:rsidRDefault="00776873">
      <w:pPr>
        <w:widowControl w:val="0"/>
        <w:tabs>
          <w:tab w:val="left" w:pos="1276"/>
        </w:tabs>
        <w:spacing w:before="200"/>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De gobernación, seguridad pública y protección civil; </w:t>
      </w:r>
    </w:p>
    <w:p w14:paraId="27ECC9EB" w14:textId="77777777" w:rsidR="00FE3AA8" w:rsidRDefault="00776873">
      <w:pPr>
        <w:widowControl w:val="0"/>
        <w:tabs>
          <w:tab w:val="left" w:pos="1276"/>
        </w:tabs>
        <w:spacing w:before="200"/>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De planeación para el desarrollo; </w:t>
      </w:r>
    </w:p>
    <w:p w14:paraId="420AF5EB" w14:textId="77777777" w:rsidR="00FE3AA8" w:rsidRDefault="00776873">
      <w:pPr>
        <w:widowControl w:val="0"/>
        <w:tabs>
          <w:tab w:val="left" w:pos="1276"/>
        </w:tabs>
        <w:spacing w:before="200"/>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De hacienda; </w:t>
      </w:r>
    </w:p>
    <w:p w14:paraId="3988FF07" w14:textId="77777777" w:rsidR="00FE3AA8" w:rsidRDefault="00776873">
      <w:pPr>
        <w:widowControl w:val="0"/>
        <w:tabs>
          <w:tab w:val="left" w:pos="1276"/>
        </w:tabs>
        <w:spacing w:before="200"/>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De agua, drenaje y alcantarillado; </w:t>
      </w:r>
    </w:p>
    <w:p w14:paraId="57AC9465" w14:textId="77777777" w:rsidR="00FE3AA8" w:rsidRDefault="00776873">
      <w:pPr>
        <w:widowControl w:val="0"/>
        <w:tabs>
          <w:tab w:val="left" w:pos="1276"/>
        </w:tabs>
        <w:spacing w:before="200"/>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De </w:t>
      </w:r>
      <w:proofErr w:type="gramStart"/>
      <w:r>
        <w:rPr>
          <w:rFonts w:ascii="Palatino Linotype" w:eastAsia="Palatino Linotype" w:hAnsi="Palatino Linotype" w:cs="Palatino Linotype"/>
          <w:i/>
          <w:sz w:val="22"/>
          <w:szCs w:val="22"/>
        </w:rPr>
        <w:t>mercado centrales</w:t>
      </w:r>
      <w:proofErr w:type="gramEnd"/>
      <w:r>
        <w:rPr>
          <w:rFonts w:ascii="Palatino Linotype" w:eastAsia="Palatino Linotype" w:hAnsi="Palatino Linotype" w:cs="Palatino Linotype"/>
          <w:i/>
          <w:sz w:val="22"/>
          <w:szCs w:val="22"/>
        </w:rPr>
        <w:t xml:space="preserve"> de abasto y rastros; </w:t>
      </w:r>
    </w:p>
    <w:p w14:paraId="12C5D344" w14:textId="77777777" w:rsidR="00FE3AA8" w:rsidRDefault="00776873">
      <w:pPr>
        <w:widowControl w:val="0"/>
        <w:tabs>
          <w:tab w:val="left" w:pos="1276"/>
        </w:tabs>
        <w:spacing w:before="200"/>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 De alumbrado público; </w:t>
      </w:r>
    </w:p>
    <w:p w14:paraId="4A4692BF" w14:textId="77777777" w:rsidR="00FE3AA8" w:rsidRDefault="00776873">
      <w:pPr>
        <w:widowControl w:val="0"/>
        <w:tabs>
          <w:tab w:val="left" w:pos="1276"/>
        </w:tabs>
        <w:spacing w:before="200"/>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 De obras públicas y desarrollo urbano; </w:t>
      </w:r>
    </w:p>
    <w:p w14:paraId="10788853" w14:textId="77777777" w:rsidR="00FE3AA8" w:rsidRDefault="00776873">
      <w:pPr>
        <w:widowControl w:val="0"/>
        <w:tabs>
          <w:tab w:val="left" w:pos="1276"/>
        </w:tabs>
        <w:spacing w:before="200"/>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VIII. De fomento agropecuario y forestal; </w:t>
      </w:r>
    </w:p>
    <w:p w14:paraId="7B1290F2" w14:textId="77777777" w:rsidR="00FE3AA8" w:rsidRDefault="00776873">
      <w:pPr>
        <w:widowControl w:val="0"/>
        <w:tabs>
          <w:tab w:val="left" w:pos="1276"/>
        </w:tabs>
        <w:spacing w:before="200"/>
        <w:ind w:left="850"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IX. De parques y jardines; </w:t>
      </w:r>
    </w:p>
    <w:p w14:paraId="124F87FB" w14:textId="77777777" w:rsidR="00FE3AA8" w:rsidRDefault="00776873">
      <w:pPr>
        <w:widowControl w:val="0"/>
        <w:tabs>
          <w:tab w:val="left" w:pos="1276"/>
        </w:tabs>
        <w:spacing w:before="200"/>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0206999" w14:textId="77777777" w:rsidR="00FE3AA8" w:rsidRDefault="00776873">
      <w:pPr>
        <w:widowControl w:val="0"/>
        <w:ind w:left="851" w:right="902"/>
        <w:jc w:val="both"/>
        <w:rPr>
          <w:rFonts w:ascii="Palatino Linotype" w:eastAsia="Palatino Linotype" w:hAnsi="Palatino Linotype" w:cs="Palatino Linotype"/>
        </w:rPr>
      </w:pPr>
      <w:r>
        <w:rPr>
          <w:rFonts w:ascii="Palatino Linotype" w:eastAsia="Palatino Linotype" w:hAnsi="Palatino Linotype" w:cs="Palatino Linotype"/>
          <w:i/>
          <w:sz w:val="22"/>
          <w:szCs w:val="22"/>
        </w:rPr>
        <w:t xml:space="preserve">(Énfasis añadido) </w:t>
      </w:r>
    </w:p>
    <w:p w14:paraId="467FDC03" w14:textId="77777777" w:rsidR="00FE3AA8" w:rsidRDefault="00776873">
      <w:pPr>
        <w:widowControl w:val="0"/>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Aunado a la anterior, en el mismo Bando Municipal en comento, en el capítulo III artículo 54 inciso B) se enlistan las coordinaciones administrativas que forman parte del Ayuntamiento y se encuentran subordinadas al presidente municipal, de entre las cuales se encuentra aprobada la Coordinación Administrativa de Parques y Jardines como los señala la fracción VI: </w:t>
      </w:r>
    </w:p>
    <w:p w14:paraId="3228393B" w14:textId="77777777" w:rsidR="00FE3AA8" w:rsidRDefault="00776873">
      <w:pPr>
        <w:widowControl w:val="0"/>
        <w:tabs>
          <w:tab w:val="left" w:pos="1276"/>
        </w:tabs>
        <w:ind w:left="850"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“CAPÍTULO III </w:t>
      </w:r>
    </w:p>
    <w:p w14:paraId="4C28539D" w14:textId="77777777" w:rsidR="00FE3AA8" w:rsidRDefault="00776873">
      <w:pPr>
        <w:widowControl w:val="0"/>
        <w:tabs>
          <w:tab w:val="left" w:pos="1276"/>
        </w:tabs>
        <w:ind w:left="850"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DE LA ADMINISTRACIÓN PÚBLICA CENTRAL </w:t>
      </w:r>
    </w:p>
    <w:p w14:paraId="421C9D4E" w14:textId="77777777" w:rsidR="00FE3AA8" w:rsidRDefault="00FE3AA8">
      <w:pPr>
        <w:widowControl w:val="0"/>
        <w:tabs>
          <w:tab w:val="left" w:pos="1276"/>
        </w:tabs>
        <w:ind w:left="850" w:right="899"/>
        <w:jc w:val="both"/>
        <w:rPr>
          <w:rFonts w:ascii="Palatino Linotype" w:eastAsia="Palatino Linotype" w:hAnsi="Palatino Linotype" w:cs="Palatino Linotype"/>
          <w:b/>
          <w:i/>
          <w:sz w:val="22"/>
          <w:szCs w:val="22"/>
        </w:rPr>
      </w:pPr>
    </w:p>
    <w:p w14:paraId="5ECB890F" w14:textId="77777777" w:rsidR="00FE3AA8" w:rsidRDefault="00776873">
      <w:pPr>
        <w:widowControl w:val="0"/>
        <w:tabs>
          <w:tab w:val="left" w:pos="1276"/>
        </w:tabs>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54.</w:t>
      </w:r>
      <w:r>
        <w:rPr>
          <w:rFonts w:ascii="Palatino Linotype" w:eastAsia="Palatino Linotype" w:hAnsi="Palatino Linotype" w:cs="Palatino Linotype"/>
          <w:i/>
          <w:sz w:val="22"/>
          <w:szCs w:val="22"/>
        </w:rPr>
        <w:t xml:space="preserve"> Para el ejercicio de sus atribuciones y responsabilidades ejecutivas el Ayuntamiento se auxiliará de las dependencias administrativas que sean admitidas por el Cabildo mediante la aprobación de este Bando Municipal, las cuales en todo momento estarán subordinadas a la Presidente Municipal, siendo las siguientes:</w:t>
      </w:r>
    </w:p>
    <w:p w14:paraId="4155E87B" w14:textId="77777777" w:rsidR="00FE3AA8" w:rsidRDefault="00FE3AA8">
      <w:pPr>
        <w:widowControl w:val="0"/>
        <w:tabs>
          <w:tab w:val="left" w:pos="1276"/>
        </w:tabs>
        <w:ind w:left="850" w:right="899"/>
        <w:jc w:val="both"/>
        <w:rPr>
          <w:rFonts w:ascii="Palatino Linotype" w:eastAsia="Palatino Linotype" w:hAnsi="Palatino Linotype" w:cs="Palatino Linotype"/>
          <w:i/>
          <w:sz w:val="22"/>
          <w:szCs w:val="22"/>
        </w:rPr>
      </w:pPr>
    </w:p>
    <w:p w14:paraId="17C47CF8" w14:textId="77777777" w:rsidR="00FE3AA8" w:rsidRDefault="00776873">
      <w:pPr>
        <w:widowControl w:val="0"/>
        <w:tabs>
          <w:tab w:val="left" w:pos="1276"/>
        </w:tabs>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B) Coordinaciones administrativas </w:t>
      </w:r>
    </w:p>
    <w:p w14:paraId="67FAF81A" w14:textId="77777777" w:rsidR="00FE3AA8" w:rsidRDefault="00FE3AA8">
      <w:pPr>
        <w:widowControl w:val="0"/>
        <w:tabs>
          <w:tab w:val="left" w:pos="1276"/>
        </w:tabs>
        <w:ind w:left="850" w:right="899"/>
        <w:jc w:val="both"/>
        <w:rPr>
          <w:rFonts w:ascii="Palatino Linotype" w:eastAsia="Palatino Linotype" w:hAnsi="Palatino Linotype" w:cs="Palatino Linotype"/>
          <w:i/>
          <w:sz w:val="22"/>
          <w:szCs w:val="22"/>
        </w:rPr>
      </w:pPr>
    </w:p>
    <w:p w14:paraId="220CFEA0" w14:textId="77777777" w:rsidR="00FE3AA8" w:rsidRDefault="00776873">
      <w:pPr>
        <w:widowControl w:val="0"/>
        <w:tabs>
          <w:tab w:val="left" w:pos="1276"/>
        </w:tabs>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Comunicación Social; </w:t>
      </w:r>
    </w:p>
    <w:p w14:paraId="6790F94B" w14:textId="77777777" w:rsidR="00FE3AA8" w:rsidRDefault="00776873">
      <w:pPr>
        <w:widowControl w:val="0"/>
        <w:tabs>
          <w:tab w:val="left" w:pos="1276"/>
        </w:tabs>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Control Patrimonial; </w:t>
      </w:r>
    </w:p>
    <w:p w14:paraId="3FB8A2CA" w14:textId="77777777" w:rsidR="00FE3AA8" w:rsidRDefault="00776873">
      <w:pPr>
        <w:widowControl w:val="0"/>
        <w:tabs>
          <w:tab w:val="left" w:pos="1276"/>
        </w:tabs>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Desarrollo Urbano; </w:t>
      </w:r>
    </w:p>
    <w:p w14:paraId="2949F27B" w14:textId="77777777" w:rsidR="00FE3AA8" w:rsidRDefault="00776873">
      <w:pPr>
        <w:widowControl w:val="0"/>
        <w:tabs>
          <w:tab w:val="left" w:pos="1276"/>
        </w:tabs>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Limpia; </w:t>
      </w:r>
    </w:p>
    <w:p w14:paraId="14E81D05" w14:textId="77777777" w:rsidR="00FE3AA8" w:rsidRDefault="00776873">
      <w:pPr>
        <w:widowControl w:val="0"/>
        <w:tabs>
          <w:tab w:val="left" w:pos="1276"/>
        </w:tabs>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Alumbrado Público y electrificaciones; </w:t>
      </w:r>
    </w:p>
    <w:p w14:paraId="27AE1578" w14:textId="77777777" w:rsidR="00FE3AA8" w:rsidRDefault="00776873">
      <w:pPr>
        <w:widowControl w:val="0"/>
        <w:tabs>
          <w:tab w:val="left" w:pos="1276"/>
        </w:tabs>
        <w:ind w:left="850"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VI. Parques y Jardines; </w:t>
      </w:r>
    </w:p>
    <w:p w14:paraId="5C7A6F77" w14:textId="77777777" w:rsidR="00FE3AA8" w:rsidRDefault="00776873">
      <w:pPr>
        <w:widowControl w:val="0"/>
        <w:tabs>
          <w:tab w:val="left" w:pos="1276"/>
        </w:tabs>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 Protección y Bienestar Animal; </w:t>
      </w:r>
    </w:p>
    <w:p w14:paraId="6012FE06" w14:textId="77777777" w:rsidR="00FE3AA8" w:rsidRDefault="00776873">
      <w:pPr>
        <w:widowControl w:val="0"/>
        <w:tabs>
          <w:tab w:val="left" w:pos="1276"/>
        </w:tabs>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VIII. Mejora Regulatoria; </w:t>
      </w:r>
    </w:p>
    <w:p w14:paraId="53A80532" w14:textId="77777777" w:rsidR="00FE3AA8" w:rsidRDefault="00776873">
      <w:pPr>
        <w:widowControl w:val="0"/>
        <w:tabs>
          <w:tab w:val="left" w:pos="1276"/>
        </w:tabs>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IX. Atención a la Juventud; X. Panteones; </w:t>
      </w:r>
    </w:p>
    <w:p w14:paraId="6FDC20E9" w14:textId="77777777" w:rsidR="00FE3AA8" w:rsidRDefault="00776873">
      <w:pPr>
        <w:widowControl w:val="0"/>
        <w:tabs>
          <w:tab w:val="left" w:pos="1276"/>
        </w:tabs>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 Bibliotecas; </w:t>
      </w:r>
    </w:p>
    <w:p w14:paraId="6AE76B00" w14:textId="77777777" w:rsidR="00FE3AA8" w:rsidRDefault="00776873">
      <w:pPr>
        <w:widowControl w:val="0"/>
        <w:tabs>
          <w:tab w:val="left" w:pos="1276"/>
        </w:tabs>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XII. Casa de Cultura </w:t>
      </w:r>
      <w:proofErr w:type="spellStart"/>
      <w:r>
        <w:rPr>
          <w:rFonts w:ascii="Palatino Linotype" w:eastAsia="Palatino Linotype" w:hAnsi="Palatino Linotype" w:cs="Palatino Linotype"/>
          <w:i/>
          <w:sz w:val="22"/>
          <w:szCs w:val="22"/>
        </w:rPr>
        <w:t>Tlalmanticalli</w:t>
      </w:r>
      <w:proofErr w:type="spellEnd"/>
      <w:r>
        <w:rPr>
          <w:rFonts w:ascii="Palatino Linotype" w:eastAsia="Palatino Linotype" w:hAnsi="Palatino Linotype" w:cs="Palatino Linotype"/>
          <w:i/>
          <w:sz w:val="22"/>
          <w:szCs w:val="22"/>
        </w:rPr>
        <w:t xml:space="preserve">; </w:t>
      </w:r>
    </w:p>
    <w:p w14:paraId="4B00CF9E" w14:textId="77777777" w:rsidR="00FE3AA8" w:rsidRDefault="00776873">
      <w:pPr>
        <w:widowControl w:val="0"/>
        <w:tabs>
          <w:tab w:val="left" w:pos="1276"/>
        </w:tabs>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XIII. Centro Cultural Tonatiuh </w:t>
      </w:r>
      <w:proofErr w:type="spellStart"/>
      <w:r>
        <w:rPr>
          <w:rFonts w:ascii="Palatino Linotype" w:eastAsia="Palatino Linotype" w:hAnsi="Palatino Linotype" w:cs="Palatino Linotype"/>
          <w:i/>
          <w:sz w:val="22"/>
          <w:szCs w:val="22"/>
        </w:rPr>
        <w:t>Calli</w:t>
      </w:r>
      <w:proofErr w:type="spellEnd"/>
      <w:r>
        <w:rPr>
          <w:rFonts w:ascii="Palatino Linotype" w:eastAsia="Palatino Linotype" w:hAnsi="Palatino Linotype" w:cs="Palatino Linotype"/>
          <w:i/>
          <w:sz w:val="22"/>
          <w:szCs w:val="22"/>
        </w:rPr>
        <w:t xml:space="preserve">; </w:t>
      </w:r>
    </w:p>
    <w:p w14:paraId="7929BA89" w14:textId="77777777" w:rsidR="00FE3AA8" w:rsidRDefault="00776873">
      <w:pPr>
        <w:widowControl w:val="0"/>
        <w:tabs>
          <w:tab w:val="left" w:pos="1276"/>
        </w:tabs>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XIV. Atención a la Mujer.”</w:t>
      </w:r>
    </w:p>
    <w:p w14:paraId="50E60750" w14:textId="77777777" w:rsidR="00FE3AA8" w:rsidRDefault="00776873">
      <w:pPr>
        <w:widowControl w:val="0"/>
        <w:tabs>
          <w:tab w:val="left" w:pos="1276"/>
        </w:tabs>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23B3777C" w14:textId="77777777" w:rsidR="00FE3AA8" w:rsidRDefault="00776873">
      <w:pPr>
        <w:widowControl w:val="0"/>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De igual manera, se consultó el portal de IPOMEX</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xml:space="preserv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la cual dentro del apartado de Estructura Orgánica, se puede apreciar las distintas áreas que conforman la administración pública del Municipio de Chicoloapan, resaltando que dentro de la Dirección de Control y Vigilancia Ambiental dentro de la cual se encuentra ubicada la Coordinación administrativa de Parques y Jardines mencionada en líneas precedentes, se inserta capturas de pantalla de dicho apartado para mayor referencia:</w:t>
      </w:r>
    </w:p>
    <w:p w14:paraId="36FB8758" w14:textId="77777777" w:rsidR="00FE3AA8" w:rsidRDefault="00776873">
      <w:pPr>
        <w:widowControl w:val="0"/>
        <w:tabs>
          <w:tab w:val="left" w:pos="1276"/>
        </w:tabs>
        <w:spacing w:before="24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114300" distB="114300" distL="114300" distR="114300" wp14:anchorId="24889AD2" wp14:editId="27A82722">
            <wp:extent cx="5143500" cy="1819275"/>
            <wp:effectExtent l="0" t="0" r="0" b="0"/>
            <wp:docPr id="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143500" cy="1819275"/>
                    </a:xfrm>
                    <a:prstGeom prst="rect">
                      <a:avLst/>
                    </a:prstGeom>
                    <a:ln/>
                  </pic:spPr>
                </pic:pic>
              </a:graphicData>
            </a:graphic>
          </wp:inline>
        </w:drawing>
      </w:r>
    </w:p>
    <w:p w14:paraId="6A8416C1" w14:textId="77777777" w:rsidR="00FE3AA8" w:rsidRDefault="00776873">
      <w:pPr>
        <w:widowControl w:val="0"/>
        <w:tabs>
          <w:tab w:val="left" w:pos="1276"/>
        </w:tabs>
        <w:spacing w:before="24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drawing>
          <wp:inline distT="114300" distB="114300" distL="114300" distR="114300" wp14:anchorId="78F209B5" wp14:editId="786B5418">
            <wp:extent cx="5276850" cy="1838325"/>
            <wp:effectExtent l="0" t="0" r="0" b="0"/>
            <wp:docPr id="3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276850" cy="1838325"/>
                    </a:xfrm>
                    <a:prstGeom prst="rect">
                      <a:avLst/>
                    </a:prstGeom>
                    <a:ln/>
                  </pic:spPr>
                </pic:pic>
              </a:graphicData>
            </a:graphic>
          </wp:inline>
        </w:drawing>
      </w:r>
    </w:p>
    <w:p w14:paraId="6869D782" w14:textId="77777777" w:rsidR="00FE3AA8" w:rsidRDefault="00776873">
      <w:pPr>
        <w:widowControl w:val="0"/>
        <w:tabs>
          <w:tab w:val="left" w:pos="1276"/>
        </w:tabs>
        <w:spacing w:before="24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dentro del Reglamento Orgánico Municipal de Chicoloapan se advierte en su capítulo quinto, artículo 35 lo referente a las funciones de la Dirección de Servicios Públicos, misma que entre otras cosas deberá coordinar los servicios de mantenimiento de parques y jardines: </w:t>
      </w:r>
    </w:p>
    <w:p w14:paraId="3F7D778F" w14:textId="77777777" w:rsidR="00FE3AA8" w:rsidRDefault="00776873">
      <w:pPr>
        <w:widowControl w:val="0"/>
        <w:tabs>
          <w:tab w:val="left" w:pos="1276"/>
        </w:tabs>
        <w:ind w:left="850"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“CAPÍTULO QUINTO </w:t>
      </w:r>
    </w:p>
    <w:p w14:paraId="4B6080EA" w14:textId="77777777" w:rsidR="00FE3AA8" w:rsidRDefault="00776873">
      <w:pPr>
        <w:widowControl w:val="0"/>
        <w:tabs>
          <w:tab w:val="left" w:pos="1276"/>
        </w:tabs>
        <w:ind w:left="850"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DE LA DIRECCIÓN DE SERVICIOS PÚBLICOS </w:t>
      </w:r>
    </w:p>
    <w:p w14:paraId="503E744A" w14:textId="77777777" w:rsidR="00FE3AA8" w:rsidRDefault="00776873">
      <w:pPr>
        <w:widowControl w:val="0"/>
        <w:tabs>
          <w:tab w:val="left" w:pos="1276"/>
        </w:tabs>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35.</w:t>
      </w:r>
      <w:r>
        <w:rPr>
          <w:rFonts w:ascii="Palatino Linotype" w:eastAsia="Palatino Linotype" w:hAnsi="Palatino Linotype" w:cs="Palatino Linotype"/>
          <w:i/>
          <w:sz w:val="22"/>
          <w:szCs w:val="22"/>
        </w:rPr>
        <w:t>- La Dirección de Servicios Públicos es la dependencia encargada de coordinar los servicios de limpia, recolección, transporte y disposición final de residuos sólidos y de los que requieran manejo especial; servicios de alumbrado público,</w:t>
      </w:r>
      <w:r>
        <w:rPr>
          <w:rFonts w:ascii="Palatino Linotype" w:eastAsia="Palatino Linotype" w:hAnsi="Palatino Linotype" w:cs="Palatino Linotype"/>
          <w:b/>
          <w:i/>
          <w:sz w:val="22"/>
          <w:szCs w:val="22"/>
        </w:rPr>
        <w:t xml:space="preserve"> mantenimiento a parques y jardines;</w:t>
      </w:r>
      <w:r>
        <w:rPr>
          <w:rFonts w:ascii="Palatino Linotype" w:eastAsia="Palatino Linotype" w:hAnsi="Palatino Linotype" w:cs="Palatino Linotype"/>
          <w:i/>
          <w:sz w:val="22"/>
          <w:szCs w:val="22"/>
        </w:rPr>
        <w:t xml:space="preserve"> en materia de ecología, panteones; así como propiciar el mejoramiento y ampliación de la cobertura de los mismos, de conformidad con lo dispuesto en la Ley Orgánica, el Bando Municipal, el presente Reglamento y demás disposiciones jurídicas aplicables.”</w:t>
      </w:r>
    </w:p>
    <w:p w14:paraId="07000836" w14:textId="77777777" w:rsidR="00FE3AA8" w:rsidRDefault="00776873">
      <w:pPr>
        <w:widowControl w:val="0"/>
        <w:tabs>
          <w:tab w:val="left" w:pos="1276"/>
        </w:tabs>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(Énfasis añadido)</w:t>
      </w:r>
    </w:p>
    <w:p w14:paraId="2747C47A" w14:textId="77777777" w:rsidR="00FE3AA8" w:rsidRDefault="00776873">
      <w:pPr>
        <w:widowControl w:val="0"/>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de la interpretación armónica y sistemática a los preceptos legales que anteceden, se advierte que existen otras áreas administrativas que pudieran contar con la información solicitada. </w:t>
      </w:r>
    </w:p>
    <w:p w14:paraId="07495364" w14:textId="3A35C5F3" w:rsidR="00FE3AA8" w:rsidRDefault="00776873">
      <w:pPr>
        <w:widowControl w:val="0"/>
        <w:spacing w:before="280" w:after="280" w:line="360" w:lineRule="auto"/>
        <w:jc w:val="both"/>
        <w:rPr>
          <w:rFonts w:ascii="Palatino Linotype" w:eastAsia="Palatino Linotype" w:hAnsi="Palatino Linotype" w:cs="Palatino Linotype"/>
          <w:shd w:val="clear" w:color="auto" w:fill="FFE599"/>
        </w:rPr>
      </w:pPr>
      <w:r>
        <w:rPr>
          <w:rFonts w:ascii="Palatino Linotype" w:eastAsia="Palatino Linotype" w:hAnsi="Palatino Linotype" w:cs="Palatino Linotype"/>
        </w:rPr>
        <w:t xml:space="preserve">En razón de lo anterior, es que la respuesta otorgada por la Titular de la Unidad de Transparencia carece de la certeza jurídica necesaria para poder satisfacer el derecho de acceso a la información del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por lo que, es de advertir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que deberá realizar una búsqueda exhaustiva y razonable de la información relativa a el equipamiento, ubicación, medidas, colindancias y planos para cada uno de los parques del municipio vigente</w:t>
      </w:r>
      <w:r w:rsidR="0034137C">
        <w:rPr>
          <w:rFonts w:ascii="Palatino Linotype" w:eastAsia="Palatino Linotype" w:hAnsi="Palatino Linotype" w:cs="Palatino Linotype"/>
        </w:rPr>
        <w:t xml:space="preserve"> al ocho de octubre de 2021.</w:t>
      </w:r>
      <w:r>
        <w:rPr>
          <w:rFonts w:ascii="Palatino Linotype" w:eastAsia="Palatino Linotype" w:hAnsi="Palatino Linotype" w:cs="Palatino Linotype"/>
          <w:shd w:val="clear" w:color="auto" w:fill="FFE599"/>
        </w:rPr>
        <w:t xml:space="preserve"> </w:t>
      </w:r>
    </w:p>
    <w:p w14:paraId="2310D95B" w14:textId="77777777" w:rsidR="00FE3AA8" w:rsidRDefault="00776873">
      <w:pPr>
        <w:widowControl w:val="0"/>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lo que respecta al otro punto impugnado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relacionado a: </w:t>
      </w:r>
    </w:p>
    <w:p w14:paraId="586F2A1C" w14:textId="77777777" w:rsidR="00FE3AA8" w:rsidRDefault="00776873">
      <w:pPr>
        <w:widowControl w:val="0"/>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 La lista de asistencia de las y los regidores, síndicos, secretario del ayuntamiento y presidente o presidenta municipal a las comisiones del 1 de enero de 2021 al 9 de octubre de 2021. </w:t>
      </w:r>
    </w:p>
    <w:p w14:paraId="3BAF5AE6" w14:textId="77777777" w:rsidR="00FE3AA8" w:rsidRDefault="00776873">
      <w:pPr>
        <w:widowControl w:val="0"/>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dio respuesta indicando que las listas de asistencia a las sesiones de cabildo correspondiente a la administración</w:t>
      </w:r>
      <w:r>
        <w:rPr>
          <w:rFonts w:ascii="Verdana" w:eastAsia="Verdana" w:hAnsi="Verdana" w:cs="Verdana"/>
          <w:sz w:val="18"/>
          <w:szCs w:val="18"/>
        </w:rPr>
        <w:t xml:space="preserve"> </w:t>
      </w:r>
      <w:r>
        <w:rPr>
          <w:rFonts w:ascii="Palatino Linotype" w:eastAsia="Palatino Linotype" w:hAnsi="Palatino Linotype" w:cs="Palatino Linotype"/>
        </w:rPr>
        <w:t xml:space="preserve">2019-2021, se encuentran dentro del contenido de las actas de cabildo publicadas en el portal de Información Pública de Oficio Mexiquense (IPOMEX) dentro del apartado correspondiente al Artículo 94 fracción II apartado B2; sin embargo, en lo que corresponde a lista de asistencia de las comisiones edilicias la Secretaria del Ayuntamiento, quien dio respuesta no cuenta con el respaldo de la misma, toda vez que cada Comisión cuenta con su propio archivo. </w:t>
      </w:r>
    </w:p>
    <w:p w14:paraId="513F0484" w14:textId="77777777" w:rsidR="00FE3AA8" w:rsidRDefault="00776873">
      <w:pPr>
        <w:widowControl w:val="0"/>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EL RECURRENTE </w:t>
      </w:r>
      <w:r>
        <w:rPr>
          <w:rFonts w:ascii="Palatino Linotype" w:eastAsia="Palatino Linotype" w:hAnsi="Palatino Linotype" w:cs="Palatino Linotype"/>
        </w:rPr>
        <w:t xml:space="preserve">manifestó su inconformidad con dicha respuesta estableciendo que en atención a lo dispuesto por la Ley de Transparencia y Acceso a la Información Pública del Estado de México y Municipios en su artículo 162, las Unidades de Transparencia deberán garantizar que las solicitudes de información se turnen a todas las áreas competentes a efectos de que realicen una búsqueda exhaustiva y razonable de la información solicitada, situación que no ocurrió pues el Servidor Público Habilitado que dio respuesta de forma parcial al requerimiento señaló no contar con dicha información ya que cada Comisión tiene su propio archivo. </w:t>
      </w:r>
    </w:p>
    <w:p w14:paraId="799D296C" w14:textId="77777777" w:rsidR="00FE3AA8" w:rsidRDefault="00776873">
      <w:pPr>
        <w:widowControl w:val="0"/>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de las constancias que obran en el expediente electrónico del </w:t>
      </w:r>
      <w:r>
        <w:rPr>
          <w:rFonts w:ascii="Palatino Linotype" w:eastAsia="Palatino Linotype" w:hAnsi="Palatino Linotype" w:cs="Palatino Linotype"/>
          <w:b/>
        </w:rPr>
        <w:t xml:space="preserve">SAIMEX </w:t>
      </w:r>
      <w:r>
        <w:rPr>
          <w:rFonts w:ascii="Palatino Linotype" w:eastAsia="Palatino Linotype" w:hAnsi="Palatino Linotype" w:cs="Palatino Linotype"/>
        </w:rPr>
        <w:t xml:space="preserve">se puede observar que, en efecto, el servidor público que dio respuesta a dicho requerimiento de la solicitud de información, indicó no contar con la lista de asistencia de los miembros de las comisiones edilicias del Ayuntamiento, en razón de que cada una de las comisiones lleva su propio archivo. </w:t>
      </w:r>
    </w:p>
    <w:p w14:paraId="1D4AFC89" w14:textId="77777777" w:rsidR="00FE3AA8" w:rsidRDefault="00776873">
      <w:pPr>
        <w:widowControl w:val="0"/>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En atención a lo anterior, este Instituto advierte que según lo dispuesto por la Ley Orgánica Municipal del Estado de México, en sus artículos 30 Bis 64 y 65, el Ayuntamiento podrá funcionar en Pleno y mediante Comisiones. Los integrantes de estas últimas, serán nombrados por propuesta del Presidente Municipal a más tardar en la tercera sesión celebrada al inicio de su gestión y una vez nombrados los integrantes de las comisiones, los presidentes de cada una tendrán treinta días para convocar a sesión a efecto de llevar a cabo su instalación e inicio de los trabajos.</w:t>
      </w:r>
    </w:p>
    <w:p w14:paraId="60C6E79D" w14:textId="77777777" w:rsidR="00FE3AA8" w:rsidRDefault="00776873">
      <w:pPr>
        <w:widowControl w:val="0"/>
        <w:tabs>
          <w:tab w:val="left" w:pos="1276"/>
        </w:tabs>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30 Bis</w:t>
      </w:r>
      <w:r>
        <w:rPr>
          <w:rFonts w:ascii="Palatino Linotype" w:eastAsia="Palatino Linotype" w:hAnsi="Palatino Linotype" w:cs="Palatino Linotype"/>
          <w:i/>
          <w:sz w:val="22"/>
          <w:szCs w:val="22"/>
        </w:rPr>
        <w:t xml:space="preserve">.- El Ayuntamiento, para atender y en su caso resolver los asuntos de su competencia, funcionará en Pleno y mediante Comisiones. </w:t>
      </w:r>
    </w:p>
    <w:p w14:paraId="49B055B1" w14:textId="77777777" w:rsidR="00FE3AA8" w:rsidRDefault="00FE3AA8">
      <w:pPr>
        <w:widowControl w:val="0"/>
        <w:tabs>
          <w:tab w:val="left" w:pos="1276"/>
        </w:tabs>
        <w:ind w:left="850" w:right="899"/>
        <w:jc w:val="both"/>
        <w:rPr>
          <w:rFonts w:ascii="Palatino Linotype" w:eastAsia="Palatino Linotype" w:hAnsi="Palatino Linotype" w:cs="Palatino Linotype"/>
          <w:i/>
          <w:sz w:val="22"/>
          <w:szCs w:val="22"/>
        </w:rPr>
      </w:pPr>
    </w:p>
    <w:p w14:paraId="0CD4311C" w14:textId="77777777" w:rsidR="00FE3AA8" w:rsidRDefault="00776873">
      <w:pPr>
        <w:widowControl w:val="0"/>
        <w:tabs>
          <w:tab w:val="left" w:pos="1276"/>
        </w:tabs>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64.</w:t>
      </w:r>
      <w:r>
        <w:rPr>
          <w:rFonts w:ascii="Palatino Linotype" w:eastAsia="Palatino Linotype" w:hAnsi="Palatino Linotype" w:cs="Palatino Linotype"/>
          <w:i/>
          <w:sz w:val="22"/>
          <w:szCs w:val="22"/>
        </w:rPr>
        <w:t xml:space="preserve">- Los ayuntamientos, para el eficaz desempeño de sus funciones públicas, podrán auxiliarse por: </w:t>
      </w:r>
    </w:p>
    <w:p w14:paraId="436CAF6D" w14:textId="77777777" w:rsidR="00FE3AA8" w:rsidRDefault="00FE3AA8">
      <w:pPr>
        <w:widowControl w:val="0"/>
        <w:tabs>
          <w:tab w:val="left" w:pos="1276"/>
        </w:tabs>
        <w:ind w:left="850" w:right="899"/>
        <w:jc w:val="both"/>
        <w:rPr>
          <w:rFonts w:ascii="Palatino Linotype" w:eastAsia="Palatino Linotype" w:hAnsi="Palatino Linotype" w:cs="Palatino Linotype"/>
          <w:i/>
          <w:sz w:val="22"/>
          <w:szCs w:val="22"/>
        </w:rPr>
      </w:pPr>
    </w:p>
    <w:p w14:paraId="3B92C18A" w14:textId="77777777" w:rsidR="00FE3AA8" w:rsidRDefault="00776873">
      <w:pPr>
        <w:widowControl w:val="0"/>
        <w:tabs>
          <w:tab w:val="left" w:pos="1276"/>
        </w:tabs>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Comisiones del ayuntamiento;</w:t>
      </w:r>
    </w:p>
    <w:p w14:paraId="081795EA" w14:textId="77777777" w:rsidR="00FE3AA8" w:rsidRDefault="00FE3AA8">
      <w:pPr>
        <w:widowControl w:val="0"/>
        <w:tabs>
          <w:tab w:val="left" w:pos="1276"/>
        </w:tabs>
        <w:ind w:left="850" w:right="899"/>
        <w:jc w:val="both"/>
        <w:rPr>
          <w:rFonts w:ascii="Palatino Linotype" w:eastAsia="Palatino Linotype" w:hAnsi="Palatino Linotype" w:cs="Palatino Linotype"/>
          <w:i/>
          <w:sz w:val="22"/>
          <w:szCs w:val="22"/>
        </w:rPr>
      </w:pPr>
    </w:p>
    <w:p w14:paraId="0BDEF020" w14:textId="77777777" w:rsidR="00FE3AA8" w:rsidRDefault="00776873">
      <w:pPr>
        <w:widowControl w:val="0"/>
        <w:tabs>
          <w:tab w:val="left" w:pos="1276"/>
        </w:tabs>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65.-</w:t>
      </w:r>
      <w:r>
        <w:rPr>
          <w:rFonts w:ascii="Palatino Linotype" w:eastAsia="Palatino Linotype" w:hAnsi="Palatino Linotype" w:cs="Palatino Linotype"/>
          <w:i/>
          <w:sz w:val="22"/>
          <w:szCs w:val="22"/>
        </w:rPr>
        <w:t xml:space="preserve"> Los integrantes de las comisiones del ayuntamiento serán nombrados por éste, de entre sus miembros, a propuesta del presidente municipal, a más tardar en la tercera sesión ordinaria que celebren al inicio de su gestión. Las comisiones se conformarán de forma plural y proporcional, tomando en cuenta el número de sus integrantes y la importancia de los ramos encomendados a las mismas; en su integración se deberá tomar en consideración el conocimiento, profesión, vocación y experiencia de los integrantes del ayuntamiento, procurando la paridad de género en la designación de presidencias de las comisiones del ayuntamiento. Una vez nombrados los integrantes de las comisiones, los presidentes de cada una tendrán treinta días para convocar a sesión a efecto de llevar a cabo su instalación e inicio de los trabajos.”</w:t>
      </w:r>
    </w:p>
    <w:p w14:paraId="02AEC55C" w14:textId="77777777" w:rsidR="00FE3AA8" w:rsidRDefault="00FE3AA8">
      <w:pPr>
        <w:widowControl w:val="0"/>
        <w:tabs>
          <w:tab w:val="left" w:pos="1276"/>
        </w:tabs>
        <w:ind w:left="850" w:right="899"/>
        <w:jc w:val="both"/>
        <w:rPr>
          <w:rFonts w:ascii="Palatino Linotype" w:eastAsia="Palatino Linotype" w:hAnsi="Palatino Linotype" w:cs="Palatino Linotype"/>
          <w:i/>
          <w:sz w:val="22"/>
          <w:szCs w:val="22"/>
        </w:rPr>
      </w:pPr>
    </w:p>
    <w:p w14:paraId="05D603B6" w14:textId="77777777" w:rsidR="00FE3AA8" w:rsidRDefault="00776873">
      <w:pPr>
        <w:widowControl w:val="0"/>
        <w:tabs>
          <w:tab w:val="left" w:pos="1276"/>
        </w:tabs>
        <w:spacing w:before="24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La misma Ley Orgánica Municipal del Estado de México señala en su artículo 91 fracción I dentro de las atribuciones de la Secretaría del Ayuntamiento la de Asistir a las sesiones del ayuntamiento y levantar las actas correspondientes, mismo que para mayor certeza jurídica se transcribe a continuación:</w:t>
      </w:r>
    </w:p>
    <w:p w14:paraId="7E5913D0" w14:textId="77777777" w:rsidR="00FE3AA8" w:rsidRDefault="00776873">
      <w:pPr>
        <w:widowControl w:val="0"/>
        <w:tabs>
          <w:tab w:val="left" w:pos="1276"/>
        </w:tabs>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91.-</w:t>
      </w:r>
      <w:r>
        <w:rPr>
          <w:rFonts w:ascii="Palatino Linotype" w:eastAsia="Palatino Linotype" w:hAnsi="Palatino Linotype" w:cs="Palatino Linotype"/>
          <w:i/>
          <w:sz w:val="22"/>
          <w:szCs w:val="22"/>
        </w:rPr>
        <w:t xml:space="preserve">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 </w:t>
      </w:r>
    </w:p>
    <w:p w14:paraId="3A5A1A53" w14:textId="77777777" w:rsidR="00FE3AA8" w:rsidRDefault="00FE3AA8">
      <w:pPr>
        <w:widowControl w:val="0"/>
        <w:tabs>
          <w:tab w:val="left" w:pos="1276"/>
        </w:tabs>
        <w:ind w:left="850" w:right="899"/>
        <w:jc w:val="both"/>
        <w:rPr>
          <w:rFonts w:ascii="Palatino Linotype" w:eastAsia="Palatino Linotype" w:hAnsi="Palatino Linotype" w:cs="Palatino Linotype"/>
          <w:i/>
          <w:sz w:val="22"/>
          <w:szCs w:val="22"/>
        </w:rPr>
      </w:pPr>
    </w:p>
    <w:p w14:paraId="2DB0B1F4" w14:textId="77777777" w:rsidR="00FE3AA8" w:rsidRDefault="00776873">
      <w:pPr>
        <w:widowControl w:val="0"/>
        <w:tabs>
          <w:tab w:val="left" w:pos="1276"/>
        </w:tabs>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 Asistir a las sesiones del ayuntamiento y levantar las actas correspondientes;</w:t>
      </w:r>
      <w:r>
        <w:rPr>
          <w:rFonts w:ascii="Palatino Linotype" w:eastAsia="Palatino Linotype" w:hAnsi="Palatino Linotype" w:cs="Palatino Linotype"/>
          <w:i/>
          <w:sz w:val="22"/>
          <w:szCs w:val="22"/>
        </w:rPr>
        <w:t>”</w:t>
      </w:r>
    </w:p>
    <w:p w14:paraId="6EA7A246" w14:textId="77777777" w:rsidR="00FE3AA8" w:rsidRDefault="00776873">
      <w:pPr>
        <w:widowControl w:val="0"/>
        <w:tabs>
          <w:tab w:val="left" w:pos="1276"/>
        </w:tabs>
        <w:ind w:left="850"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roofErr w:type="gramStart"/>
      <w:r>
        <w:rPr>
          <w:rFonts w:ascii="Palatino Linotype" w:eastAsia="Palatino Linotype" w:hAnsi="Palatino Linotype" w:cs="Palatino Linotype"/>
          <w:i/>
          <w:sz w:val="22"/>
          <w:szCs w:val="22"/>
        </w:rPr>
        <w:t>énfasis</w:t>
      </w:r>
      <w:proofErr w:type="gramEnd"/>
      <w:r>
        <w:rPr>
          <w:rFonts w:ascii="Palatino Linotype" w:eastAsia="Palatino Linotype" w:hAnsi="Palatino Linotype" w:cs="Palatino Linotype"/>
          <w:i/>
          <w:sz w:val="22"/>
          <w:szCs w:val="22"/>
        </w:rPr>
        <w:t xml:space="preserve"> añadido)</w:t>
      </w:r>
    </w:p>
    <w:p w14:paraId="30093FF5" w14:textId="77777777" w:rsidR="00FE3AA8" w:rsidRDefault="00776873">
      <w:pPr>
        <w:widowControl w:val="0"/>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Del precepto mencionado previamente se puede apreciar que en sentido estricto el responsable de generar las actas de las sesiones del ayuntamiento es el Secretario del Ayuntamiento, dicho precepto no establece el tipo de sesiones, por lo tanto, si el </w:t>
      </w:r>
      <w:r>
        <w:rPr>
          <w:rFonts w:ascii="Palatino Linotype" w:eastAsia="Palatino Linotype" w:hAnsi="Palatino Linotype" w:cs="Palatino Linotype"/>
        </w:rPr>
        <w:lastRenderedPageBreak/>
        <w:t>Ayuntamiento puede funcionar en pleno o comisiones, como quedó establecido en párrafos precedentes, el Secretario debería contar con la información, no obstante en su respuesta señala que cada comisión cuenta con su propio archivo de sus sesiones.</w:t>
      </w:r>
    </w:p>
    <w:p w14:paraId="6DE75C76" w14:textId="77777777" w:rsidR="00FE3AA8" w:rsidRDefault="00776873">
      <w:pPr>
        <w:widowControl w:val="0"/>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así que si el servidor público que pudiera contener la información solicitada se pronunció manifestando que dicha información obra en los archivos de cada una de las comisiones, este Órgano Garante hizo una investigación en la normatividad interna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de la cual se advierte lo siguiente: </w:t>
      </w:r>
    </w:p>
    <w:p w14:paraId="5FD31F7D" w14:textId="77777777" w:rsidR="00FE3AA8" w:rsidRDefault="00776873">
      <w:pPr>
        <w:widowControl w:val="0"/>
        <w:tabs>
          <w:tab w:val="left" w:pos="1276"/>
        </w:tabs>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II</w:t>
      </w:r>
    </w:p>
    <w:p w14:paraId="416BEBBB" w14:textId="77777777" w:rsidR="00FE3AA8" w:rsidRDefault="00776873">
      <w:pPr>
        <w:widowControl w:val="0"/>
        <w:tabs>
          <w:tab w:val="left" w:pos="1276"/>
        </w:tabs>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DE LAS COMISIONES </w:t>
      </w:r>
    </w:p>
    <w:p w14:paraId="643F3F4C" w14:textId="77777777" w:rsidR="00FE3AA8" w:rsidRDefault="00FE3AA8">
      <w:pPr>
        <w:widowControl w:val="0"/>
        <w:tabs>
          <w:tab w:val="left" w:pos="1276"/>
        </w:tabs>
        <w:jc w:val="both"/>
        <w:rPr>
          <w:rFonts w:ascii="Palatino Linotype" w:eastAsia="Palatino Linotype" w:hAnsi="Palatino Linotype" w:cs="Palatino Linotype"/>
          <w:b/>
          <w:i/>
          <w:sz w:val="22"/>
          <w:szCs w:val="22"/>
        </w:rPr>
      </w:pPr>
    </w:p>
    <w:p w14:paraId="696C22B2" w14:textId="77777777" w:rsidR="00FE3AA8" w:rsidRDefault="00776873">
      <w:pPr>
        <w:widowControl w:val="0"/>
        <w:tabs>
          <w:tab w:val="left" w:pos="1276"/>
        </w:tabs>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51.</w:t>
      </w:r>
      <w:r>
        <w:rPr>
          <w:rFonts w:ascii="Palatino Linotype" w:eastAsia="Palatino Linotype" w:hAnsi="Palatino Linotype" w:cs="Palatino Linotype"/>
          <w:i/>
          <w:sz w:val="22"/>
          <w:szCs w:val="22"/>
        </w:rPr>
        <w:t xml:space="preserve"> Las comisiones del Ayuntamiento se integrarán por los miembros de éste a propuesta de la Presidente Municipal y son responsables de estudiar, examinar y proponer a este órgano deliberativo, los acuerdos, acciones o normas tendientes a mejorar la administración pública municipal, así como vigilar y reportar, al propio Ayuntamiento, sobre los asuntos a su cargo y sobre el cumplimiento de las disposiciones y acuerdos que dicte el Cabildo. </w:t>
      </w:r>
    </w:p>
    <w:p w14:paraId="747BE991" w14:textId="77777777" w:rsidR="00FE3AA8" w:rsidRDefault="00FE3AA8">
      <w:pPr>
        <w:widowControl w:val="0"/>
        <w:tabs>
          <w:tab w:val="left" w:pos="1276"/>
        </w:tabs>
        <w:jc w:val="both"/>
        <w:rPr>
          <w:rFonts w:ascii="Palatino Linotype" w:eastAsia="Palatino Linotype" w:hAnsi="Palatino Linotype" w:cs="Palatino Linotype"/>
          <w:b/>
          <w:i/>
          <w:sz w:val="22"/>
          <w:szCs w:val="22"/>
        </w:rPr>
      </w:pPr>
    </w:p>
    <w:p w14:paraId="50BC56E3" w14:textId="77777777" w:rsidR="00FE3AA8" w:rsidRDefault="00776873">
      <w:pPr>
        <w:widowControl w:val="0"/>
        <w:tabs>
          <w:tab w:val="left" w:pos="1276"/>
        </w:tabs>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52. </w:t>
      </w:r>
      <w:r>
        <w:rPr>
          <w:rFonts w:ascii="Palatino Linotype" w:eastAsia="Palatino Linotype" w:hAnsi="Palatino Linotype" w:cs="Palatino Linotype"/>
          <w:i/>
          <w:sz w:val="22"/>
          <w:szCs w:val="22"/>
        </w:rPr>
        <w:t xml:space="preserve">El Ayuntamiento de Chicoloapan para el eficaz desempeño de sus funciones públicas se auxiliará de las comisiones siguientes: </w:t>
      </w:r>
    </w:p>
    <w:p w14:paraId="645E1C01" w14:textId="77777777" w:rsidR="00FE3AA8" w:rsidRDefault="00FE3AA8">
      <w:pPr>
        <w:widowControl w:val="0"/>
        <w:tabs>
          <w:tab w:val="left" w:pos="1276"/>
        </w:tabs>
        <w:jc w:val="both"/>
        <w:rPr>
          <w:rFonts w:ascii="Palatino Linotype" w:eastAsia="Palatino Linotype" w:hAnsi="Palatino Linotype" w:cs="Palatino Linotype"/>
          <w:i/>
          <w:sz w:val="22"/>
          <w:szCs w:val="22"/>
        </w:rPr>
      </w:pPr>
    </w:p>
    <w:p w14:paraId="09652E87" w14:textId="77777777" w:rsidR="00FE3AA8" w:rsidRDefault="00776873">
      <w:pPr>
        <w:widowControl w:val="0"/>
        <w:tabs>
          <w:tab w:val="left" w:pos="1276"/>
        </w:tabs>
        <w:ind w:left="7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 De gobernación, seguridad pública y protección civil; </w:t>
      </w:r>
    </w:p>
    <w:p w14:paraId="09B6B48F" w14:textId="77777777" w:rsidR="00FE3AA8" w:rsidRDefault="00776873">
      <w:pPr>
        <w:widowControl w:val="0"/>
        <w:tabs>
          <w:tab w:val="left" w:pos="1276"/>
        </w:tabs>
        <w:ind w:left="7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De planeación para el desarrollo; </w:t>
      </w:r>
    </w:p>
    <w:p w14:paraId="41397850" w14:textId="77777777" w:rsidR="00FE3AA8" w:rsidRDefault="00776873">
      <w:pPr>
        <w:widowControl w:val="0"/>
        <w:tabs>
          <w:tab w:val="left" w:pos="1276"/>
        </w:tabs>
        <w:ind w:left="7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III. De hacienda; </w:t>
      </w:r>
    </w:p>
    <w:p w14:paraId="54C96EE7" w14:textId="77777777" w:rsidR="00FE3AA8" w:rsidRDefault="00776873">
      <w:pPr>
        <w:widowControl w:val="0"/>
        <w:tabs>
          <w:tab w:val="left" w:pos="1276"/>
        </w:tabs>
        <w:ind w:left="7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IV. De agua, drenaje y alcantarillado; </w:t>
      </w:r>
    </w:p>
    <w:p w14:paraId="4EB06597" w14:textId="77777777" w:rsidR="00FE3AA8" w:rsidRDefault="00776873">
      <w:pPr>
        <w:widowControl w:val="0"/>
        <w:tabs>
          <w:tab w:val="left" w:pos="1276"/>
        </w:tabs>
        <w:ind w:left="7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 De </w:t>
      </w:r>
      <w:proofErr w:type="gramStart"/>
      <w:r>
        <w:rPr>
          <w:rFonts w:ascii="Palatino Linotype" w:eastAsia="Palatino Linotype" w:hAnsi="Palatino Linotype" w:cs="Palatino Linotype"/>
          <w:i/>
          <w:sz w:val="22"/>
          <w:szCs w:val="22"/>
        </w:rPr>
        <w:t>mercado centrales</w:t>
      </w:r>
      <w:proofErr w:type="gramEnd"/>
      <w:r>
        <w:rPr>
          <w:rFonts w:ascii="Palatino Linotype" w:eastAsia="Palatino Linotype" w:hAnsi="Palatino Linotype" w:cs="Palatino Linotype"/>
          <w:i/>
          <w:sz w:val="22"/>
          <w:szCs w:val="22"/>
        </w:rPr>
        <w:t xml:space="preserve"> de abasto y rastros; </w:t>
      </w:r>
    </w:p>
    <w:p w14:paraId="60362B3E" w14:textId="77777777" w:rsidR="00FE3AA8" w:rsidRDefault="00776873">
      <w:pPr>
        <w:widowControl w:val="0"/>
        <w:tabs>
          <w:tab w:val="left" w:pos="1276"/>
        </w:tabs>
        <w:ind w:left="7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 De alumbrado público; VII. De obras públicas y desarrollo urbano; </w:t>
      </w:r>
    </w:p>
    <w:p w14:paraId="1925DE1D" w14:textId="77777777" w:rsidR="00FE3AA8" w:rsidRDefault="00776873">
      <w:pPr>
        <w:widowControl w:val="0"/>
        <w:tabs>
          <w:tab w:val="left" w:pos="1276"/>
        </w:tabs>
        <w:ind w:left="7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VIII. De fomento agropecuario y forestal; </w:t>
      </w:r>
    </w:p>
    <w:p w14:paraId="5CC6CA49" w14:textId="77777777" w:rsidR="00FE3AA8" w:rsidRDefault="00776873">
      <w:pPr>
        <w:widowControl w:val="0"/>
        <w:tabs>
          <w:tab w:val="left" w:pos="1276"/>
        </w:tabs>
        <w:ind w:left="7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IX. De parques y jardines; </w:t>
      </w:r>
    </w:p>
    <w:p w14:paraId="514B44DC" w14:textId="77777777" w:rsidR="00FE3AA8" w:rsidRDefault="00776873">
      <w:pPr>
        <w:widowControl w:val="0"/>
        <w:tabs>
          <w:tab w:val="left" w:pos="1276"/>
        </w:tabs>
        <w:ind w:left="7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 De panteones; </w:t>
      </w:r>
    </w:p>
    <w:p w14:paraId="4F9D8CCE" w14:textId="77777777" w:rsidR="00FE3AA8" w:rsidRDefault="00776873">
      <w:pPr>
        <w:widowControl w:val="0"/>
        <w:tabs>
          <w:tab w:val="left" w:pos="1276"/>
        </w:tabs>
        <w:ind w:left="7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 De cultura, educación pública, deporte y recreación; </w:t>
      </w:r>
    </w:p>
    <w:p w14:paraId="6A2F8F5A" w14:textId="77777777" w:rsidR="00FE3AA8" w:rsidRDefault="00776873">
      <w:pPr>
        <w:widowControl w:val="0"/>
        <w:tabs>
          <w:tab w:val="left" w:pos="1276"/>
        </w:tabs>
        <w:ind w:left="7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XII. De turismo; </w:t>
      </w:r>
    </w:p>
    <w:p w14:paraId="3D9B6BB4" w14:textId="77777777" w:rsidR="00FE3AA8" w:rsidRDefault="00776873">
      <w:pPr>
        <w:widowControl w:val="0"/>
        <w:tabs>
          <w:tab w:val="left" w:pos="1276"/>
        </w:tabs>
        <w:ind w:left="7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XIII. De preservación y restauración del medio ambiente; </w:t>
      </w:r>
    </w:p>
    <w:p w14:paraId="0E7FA379" w14:textId="77777777" w:rsidR="00FE3AA8" w:rsidRDefault="00776873">
      <w:pPr>
        <w:widowControl w:val="0"/>
        <w:tabs>
          <w:tab w:val="left" w:pos="1276"/>
        </w:tabs>
        <w:ind w:left="7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XIV. De empleo; </w:t>
      </w:r>
    </w:p>
    <w:p w14:paraId="51AF0C95" w14:textId="77777777" w:rsidR="00FE3AA8" w:rsidRDefault="00776873">
      <w:pPr>
        <w:widowControl w:val="0"/>
        <w:tabs>
          <w:tab w:val="left" w:pos="1276"/>
        </w:tabs>
        <w:ind w:left="7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XV. De salud pública; </w:t>
      </w:r>
    </w:p>
    <w:p w14:paraId="43828FBD" w14:textId="77777777" w:rsidR="00FE3AA8" w:rsidRDefault="00776873">
      <w:pPr>
        <w:widowControl w:val="0"/>
        <w:tabs>
          <w:tab w:val="left" w:pos="1276"/>
        </w:tabs>
        <w:ind w:left="7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XVI. De población; </w:t>
      </w:r>
    </w:p>
    <w:p w14:paraId="02D116D0" w14:textId="77777777" w:rsidR="00FE3AA8" w:rsidRDefault="00776873">
      <w:pPr>
        <w:widowControl w:val="0"/>
        <w:tabs>
          <w:tab w:val="left" w:pos="1276"/>
        </w:tabs>
        <w:ind w:left="7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XVII. De participación ciudadana; </w:t>
      </w:r>
    </w:p>
    <w:p w14:paraId="2A64D22D" w14:textId="77777777" w:rsidR="00FE3AA8" w:rsidRDefault="00776873">
      <w:pPr>
        <w:widowControl w:val="0"/>
        <w:tabs>
          <w:tab w:val="left" w:pos="1276"/>
        </w:tabs>
        <w:ind w:left="7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XVIII. De asuntos indígenas; </w:t>
      </w:r>
    </w:p>
    <w:p w14:paraId="78DFCD0E" w14:textId="77777777" w:rsidR="00FE3AA8" w:rsidRDefault="00776873">
      <w:pPr>
        <w:widowControl w:val="0"/>
        <w:tabs>
          <w:tab w:val="left" w:pos="1276"/>
        </w:tabs>
        <w:ind w:left="7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XIX. De revisión y actualización de la reglamentación municipal; </w:t>
      </w:r>
    </w:p>
    <w:p w14:paraId="3CCA9895" w14:textId="77777777" w:rsidR="00FE3AA8" w:rsidRDefault="00776873">
      <w:pPr>
        <w:widowControl w:val="0"/>
        <w:tabs>
          <w:tab w:val="left" w:pos="1276"/>
        </w:tabs>
        <w:ind w:left="7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XX. De asuntos internacionales y apoyo al migrante; </w:t>
      </w:r>
    </w:p>
    <w:p w14:paraId="434C67C4" w14:textId="77777777" w:rsidR="00FE3AA8" w:rsidRDefault="00776873">
      <w:pPr>
        <w:widowControl w:val="0"/>
        <w:tabs>
          <w:tab w:val="left" w:pos="1276"/>
        </w:tabs>
        <w:ind w:left="7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XXI. De Asuntos Metropolitanos; </w:t>
      </w:r>
    </w:p>
    <w:p w14:paraId="6535A9A9" w14:textId="77777777" w:rsidR="00FE3AA8" w:rsidRDefault="00776873">
      <w:pPr>
        <w:widowControl w:val="0"/>
        <w:tabs>
          <w:tab w:val="left" w:pos="1276"/>
        </w:tabs>
        <w:ind w:left="7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XXII. De protección e inclusión a personas con discapacidad; </w:t>
      </w:r>
    </w:p>
    <w:p w14:paraId="56BAA1F8" w14:textId="77777777" w:rsidR="00FE3AA8" w:rsidRDefault="00776873">
      <w:pPr>
        <w:widowControl w:val="0"/>
        <w:tabs>
          <w:tab w:val="left" w:pos="1276"/>
        </w:tabs>
        <w:ind w:left="7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XXIII. De prevención social de la violencia y la delincuencia; </w:t>
      </w:r>
    </w:p>
    <w:p w14:paraId="50E47E4F" w14:textId="77777777" w:rsidR="00FE3AA8" w:rsidRDefault="00776873">
      <w:pPr>
        <w:widowControl w:val="0"/>
        <w:tabs>
          <w:tab w:val="left" w:pos="1276"/>
        </w:tabs>
        <w:ind w:left="7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XXIV. De Derechos Humanos; XXV. Atención a la violencia en contra de las mujeres; </w:t>
      </w:r>
    </w:p>
    <w:p w14:paraId="68CE8705" w14:textId="77777777" w:rsidR="00FE3AA8" w:rsidRDefault="00776873">
      <w:pPr>
        <w:widowControl w:val="0"/>
        <w:tabs>
          <w:tab w:val="left" w:pos="1276"/>
        </w:tabs>
        <w:ind w:left="7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XXVI. De Transparencia, Acceso a la Información Pública y Protección de Datos Personales; </w:t>
      </w:r>
    </w:p>
    <w:p w14:paraId="561EC15A" w14:textId="77777777" w:rsidR="00FE3AA8" w:rsidRDefault="00776873">
      <w:pPr>
        <w:widowControl w:val="0"/>
        <w:tabs>
          <w:tab w:val="left" w:pos="1276"/>
        </w:tabs>
        <w:ind w:left="7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XXVII. De prevención y atención de conflictos laborales; </w:t>
      </w:r>
    </w:p>
    <w:p w14:paraId="74EC812B" w14:textId="77777777" w:rsidR="00FE3AA8" w:rsidRDefault="00776873">
      <w:pPr>
        <w:widowControl w:val="0"/>
        <w:tabs>
          <w:tab w:val="left" w:pos="1276"/>
        </w:tabs>
        <w:ind w:left="7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XXVIII. De Atención al Adulto Mayor; </w:t>
      </w:r>
    </w:p>
    <w:p w14:paraId="302448E8" w14:textId="77777777" w:rsidR="00FE3AA8" w:rsidRDefault="00776873">
      <w:pPr>
        <w:widowControl w:val="0"/>
        <w:tabs>
          <w:tab w:val="left" w:pos="1276"/>
        </w:tabs>
        <w:ind w:left="7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XXIX. De protección y bienestar animal; y </w:t>
      </w:r>
    </w:p>
    <w:p w14:paraId="7B0DB08A" w14:textId="77777777" w:rsidR="00FE3AA8" w:rsidRDefault="00776873">
      <w:pPr>
        <w:widowControl w:val="0"/>
        <w:tabs>
          <w:tab w:val="left" w:pos="1276"/>
        </w:tabs>
        <w:ind w:left="72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XXX. Las demás que determine el Ayuntamiento, de acuerdo con las necesidades del Municipio. </w:t>
      </w:r>
    </w:p>
    <w:p w14:paraId="573A8A2E" w14:textId="77777777" w:rsidR="00FE3AA8" w:rsidRDefault="00776873">
      <w:pPr>
        <w:widowControl w:val="0"/>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antes citados se observa que el Bando </w:t>
      </w:r>
      <w:proofErr w:type="spellStart"/>
      <w:r>
        <w:rPr>
          <w:rFonts w:ascii="Palatino Linotype" w:eastAsia="Palatino Linotype" w:hAnsi="Palatino Linotype" w:cs="Palatino Linotype"/>
        </w:rPr>
        <w:t>Muncipal</w:t>
      </w:r>
      <w:proofErr w:type="spellEnd"/>
      <w:r>
        <w:rPr>
          <w:rFonts w:ascii="Palatino Linotype" w:eastAsia="Palatino Linotype" w:hAnsi="Palatino Linotype" w:cs="Palatino Linotype"/>
        </w:rPr>
        <w:t xml:space="preserve"> de Chicoloapan en su capítulo segundo  regula lo referente a las Comisiones indicando en sus artículos 51 y 52 su composición y división, artículos que aunque ya fueron mencionados anteriormente en este estudio, es importante recordar pues indican de forma puntual las comisiones que forman parte del Ayuntamiento, siendo estas, según lo dispuesto por el artículo 52, por lo menos 29 Comisiones edilicias. </w:t>
      </w:r>
    </w:p>
    <w:p w14:paraId="7BD3DDD9" w14:textId="77777777" w:rsidR="00FE3AA8" w:rsidRDefault="00776873">
      <w:pPr>
        <w:widowControl w:val="0"/>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las cosas, no pasa desapercibido que en la Sexta Sesión del Cabildo del Municipio de Chicoloapan de fecha siete  de febrero de dos mil diecinueve fueron nombrados los presidentes, secretarios y vocales para cada una de las comisiones del Ayuntamiento, tal y como se muestra en las capturas de pantalla que se insertan a continuación: </w:t>
      </w:r>
    </w:p>
    <w:p w14:paraId="09F2D78E" w14:textId="77777777" w:rsidR="00FE3AA8" w:rsidRDefault="00776873">
      <w:pPr>
        <w:widowControl w:val="0"/>
        <w:tabs>
          <w:tab w:val="left" w:pos="1276"/>
        </w:tabs>
        <w:spacing w:before="24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114300" distB="114300" distL="114300" distR="114300" wp14:anchorId="488619EC" wp14:editId="5B9D60A7">
            <wp:extent cx="5486400" cy="2159635"/>
            <wp:effectExtent l="0" t="0" r="0" b="0"/>
            <wp:docPr id="4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b="31291"/>
                    <a:stretch>
                      <a:fillRect/>
                    </a:stretch>
                  </pic:blipFill>
                  <pic:spPr>
                    <a:xfrm>
                      <a:off x="0" y="0"/>
                      <a:ext cx="5486400" cy="2159635"/>
                    </a:xfrm>
                    <a:prstGeom prst="rect">
                      <a:avLst/>
                    </a:prstGeom>
                    <a:ln/>
                  </pic:spPr>
                </pic:pic>
              </a:graphicData>
            </a:graphic>
          </wp:inline>
        </w:drawing>
      </w:r>
    </w:p>
    <w:p w14:paraId="444410AB" w14:textId="77777777" w:rsidR="00FE3AA8" w:rsidRDefault="00776873">
      <w:pPr>
        <w:widowControl w:val="0"/>
        <w:tabs>
          <w:tab w:val="left" w:pos="1276"/>
        </w:tabs>
        <w:spacing w:before="240" w:after="28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114300" distB="114300" distL="114300" distR="114300" wp14:anchorId="3F91D26A" wp14:editId="58420DFD">
            <wp:extent cx="5380371" cy="3488373"/>
            <wp:effectExtent l="0" t="0" r="0" b="0"/>
            <wp:docPr id="4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380371" cy="3488373"/>
                    </a:xfrm>
                    <a:prstGeom prst="rect">
                      <a:avLst/>
                    </a:prstGeom>
                    <a:ln/>
                  </pic:spPr>
                </pic:pic>
              </a:graphicData>
            </a:graphic>
          </wp:inline>
        </w:drawing>
      </w:r>
    </w:p>
    <w:p w14:paraId="02403ECD" w14:textId="77777777" w:rsidR="00FE3AA8" w:rsidRDefault="00776873">
      <w:pPr>
        <w:widowControl w:val="0"/>
        <w:tabs>
          <w:tab w:val="left" w:pos="1276"/>
        </w:tabs>
        <w:spacing w:before="240" w:after="28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114300" distB="114300" distL="114300" distR="114300" wp14:anchorId="791F88CF" wp14:editId="49D06E9A">
            <wp:extent cx="5392238" cy="2616299"/>
            <wp:effectExtent l="0" t="0" r="0" b="0"/>
            <wp:docPr id="4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b="45114"/>
                    <a:stretch>
                      <a:fillRect/>
                    </a:stretch>
                  </pic:blipFill>
                  <pic:spPr>
                    <a:xfrm>
                      <a:off x="0" y="0"/>
                      <a:ext cx="5392238" cy="2616299"/>
                    </a:xfrm>
                    <a:prstGeom prst="rect">
                      <a:avLst/>
                    </a:prstGeom>
                    <a:ln/>
                  </pic:spPr>
                </pic:pic>
              </a:graphicData>
            </a:graphic>
          </wp:inline>
        </w:drawing>
      </w:r>
    </w:p>
    <w:p w14:paraId="75B5E74E" w14:textId="77777777" w:rsidR="00FE3AA8" w:rsidRDefault="00FE3AA8">
      <w:pPr>
        <w:widowControl w:val="0"/>
        <w:tabs>
          <w:tab w:val="left" w:pos="1276"/>
        </w:tabs>
        <w:spacing w:before="240" w:after="280" w:line="360" w:lineRule="auto"/>
        <w:jc w:val="center"/>
        <w:rPr>
          <w:rFonts w:ascii="Palatino Linotype" w:eastAsia="Palatino Linotype" w:hAnsi="Palatino Linotype" w:cs="Palatino Linotype"/>
        </w:rPr>
      </w:pPr>
    </w:p>
    <w:p w14:paraId="5E779B50" w14:textId="77777777" w:rsidR="00FE3AA8" w:rsidRDefault="00FE3AA8">
      <w:pPr>
        <w:widowControl w:val="0"/>
        <w:tabs>
          <w:tab w:val="left" w:pos="1276"/>
        </w:tabs>
        <w:spacing w:before="240" w:after="280" w:line="360" w:lineRule="auto"/>
        <w:jc w:val="center"/>
        <w:rPr>
          <w:rFonts w:ascii="Palatino Linotype" w:eastAsia="Palatino Linotype" w:hAnsi="Palatino Linotype" w:cs="Palatino Linotype"/>
        </w:rPr>
      </w:pPr>
    </w:p>
    <w:p w14:paraId="2D8E4646" w14:textId="77777777" w:rsidR="00FE3AA8" w:rsidRDefault="00776873">
      <w:pPr>
        <w:widowControl w:val="0"/>
        <w:tabs>
          <w:tab w:val="left" w:pos="1276"/>
        </w:tabs>
        <w:spacing w:before="240" w:after="28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114300" distB="114300" distL="114300" distR="114300" wp14:anchorId="5C2FD818" wp14:editId="3281FBDE">
            <wp:extent cx="5506538" cy="2182690"/>
            <wp:effectExtent l="0" t="0" r="0" b="0"/>
            <wp:docPr id="4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t="55070"/>
                    <a:stretch>
                      <a:fillRect/>
                    </a:stretch>
                  </pic:blipFill>
                  <pic:spPr>
                    <a:xfrm>
                      <a:off x="0" y="0"/>
                      <a:ext cx="5506538" cy="2182690"/>
                    </a:xfrm>
                    <a:prstGeom prst="rect">
                      <a:avLst/>
                    </a:prstGeom>
                    <a:ln/>
                  </pic:spPr>
                </pic:pic>
              </a:graphicData>
            </a:graphic>
          </wp:inline>
        </w:drawing>
      </w:r>
    </w:p>
    <w:p w14:paraId="462AA8B9" w14:textId="77777777" w:rsidR="00FE3AA8" w:rsidRDefault="00776873">
      <w:pPr>
        <w:widowControl w:val="0"/>
        <w:tabs>
          <w:tab w:val="left" w:pos="1276"/>
        </w:tabs>
        <w:spacing w:before="24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114300" distB="114300" distL="114300" distR="114300" wp14:anchorId="3FA843BF" wp14:editId="353BD6E5">
            <wp:extent cx="5445964" cy="4021773"/>
            <wp:effectExtent l="0" t="0" r="0" b="0"/>
            <wp:docPr id="4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t="20201"/>
                    <a:stretch>
                      <a:fillRect/>
                    </a:stretch>
                  </pic:blipFill>
                  <pic:spPr>
                    <a:xfrm>
                      <a:off x="0" y="0"/>
                      <a:ext cx="5445964" cy="4021773"/>
                    </a:xfrm>
                    <a:prstGeom prst="rect">
                      <a:avLst/>
                    </a:prstGeom>
                    <a:ln/>
                  </pic:spPr>
                </pic:pic>
              </a:graphicData>
            </a:graphic>
          </wp:inline>
        </w:drawing>
      </w:r>
    </w:p>
    <w:p w14:paraId="6D978B02" w14:textId="77777777" w:rsidR="00FE3AA8" w:rsidRDefault="00776873">
      <w:pPr>
        <w:widowControl w:val="0"/>
        <w:tabs>
          <w:tab w:val="left" w:pos="1276"/>
        </w:tabs>
        <w:spacing w:before="240" w:after="28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114300" distB="114300" distL="114300" distR="114300" wp14:anchorId="53AFE73B" wp14:editId="1E46ACAF">
            <wp:extent cx="4866573" cy="3198033"/>
            <wp:effectExtent l="0" t="0" r="0" b="0"/>
            <wp:docPr id="4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b="26038"/>
                    <a:stretch>
                      <a:fillRect/>
                    </a:stretch>
                  </pic:blipFill>
                  <pic:spPr>
                    <a:xfrm>
                      <a:off x="0" y="0"/>
                      <a:ext cx="4866573" cy="3198033"/>
                    </a:xfrm>
                    <a:prstGeom prst="rect">
                      <a:avLst/>
                    </a:prstGeom>
                    <a:ln/>
                  </pic:spPr>
                </pic:pic>
              </a:graphicData>
            </a:graphic>
          </wp:inline>
        </w:drawing>
      </w:r>
    </w:p>
    <w:p w14:paraId="69BCC8B4" w14:textId="77777777" w:rsidR="00FE3AA8" w:rsidRDefault="00776873">
      <w:pPr>
        <w:widowControl w:val="0"/>
        <w:tabs>
          <w:tab w:val="left" w:pos="1276"/>
        </w:tabs>
        <w:spacing w:before="240" w:after="28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114300" distB="114300" distL="114300" distR="114300" wp14:anchorId="185B7EC8" wp14:editId="091B83E5">
            <wp:extent cx="5001398" cy="1173798"/>
            <wp:effectExtent l="0" t="0" r="0" b="0"/>
            <wp:docPr id="4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t="73501"/>
                    <a:stretch>
                      <a:fillRect/>
                    </a:stretch>
                  </pic:blipFill>
                  <pic:spPr>
                    <a:xfrm>
                      <a:off x="0" y="0"/>
                      <a:ext cx="5001398" cy="1173798"/>
                    </a:xfrm>
                    <a:prstGeom prst="rect">
                      <a:avLst/>
                    </a:prstGeom>
                    <a:ln/>
                  </pic:spPr>
                </pic:pic>
              </a:graphicData>
            </a:graphic>
          </wp:inline>
        </w:drawing>
      </w:r>
    </w:p>
    <w:p w14:paraId="0A6CA0B3" w14:textId="77777777" w:rsidR="00FE3AA8" w:rsidRDefault="00776873">
      <w:pPr>
        <w:widowControl w:val="0"/>
        <w:spacing w:before="280" w:after="28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De las imágenes insertas se pueden apreciar los nombres de cada una de las comisiones del Ayuntamiento así como quienes presiden con sus respectivos Secretarios y Vocales, por lo que estos al considerarse servidores públicos habilitados por relacionarse con la información solicitada y siendo el presidente según lo dispuesto por la Ley Orgánica Municipal del Estado de México en su artículo 65, quien convoca a las sesiones, deberán pronunciarse respecto de las listas de asistencia solicitadas por </w:t>
      </w:r>
      <w:r>
        <w:rPr>
          <w:rFonts w:ascii="Palatino Linotype" w:eastAsia="Palatino Linotype" w:hAnsi="Palatino Linotype" w:cs="Palatino Linotype"/>
          <w:b/>
        </w:rPr>
        <w:t xml:space="preserve">EL RECURRENTE. </w:t>
      </w:r>
    </w:p>
    <w:p w14:paraId="045D9772" w14:textId="77777777" w:rsidR="00FE3AA8" w:rsidRDefault="00776873">
      <w:pPr>
        <w:widowControl w:val="0"/>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Atento a lo anterior, este Órgano Garante considera que no se tiene por colmado el </w:t>
      </w:r>
      <w:r>
        <w:rPr>
          <w:rFonts w:ascii="Palatino Linotype" w:eastAsia="Palatino Linotype" w:hAnsi="Palatino Linotype" w:cs="Palatino Linotype"/>
        </w:rPr>
        <w:lastRenderedPageBreak/>
        <w:t xml:space="preserve">requerimiento del particular; en razón de que, existen otras unidades administrativas que pudieran generar, poseer, administrar la información solicitada; por ello, la respuesta emitida carece de certeza jurídica acerca de que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no cuente con la información referente a lo anterior con fundamento en el artículo 9 fracción I de la Ley de la materia que dispone:</w:t>
      </w:r>
    </w:p>
    <w:p w14:paraId="1587AE88" w14:textId="77777777" w:rsidR="00FE3AA8" w:rsidRDefault="00776873">
      <w:pPr>
        <w:ind w:left="709" w:right="103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 </w:t>
      </w:r>
      <w:r>
        <w:rPr>
          <w:rFonts w:ascii="Palatino Linotype" w:eastAsia="Palatino Linotype" w:hAnsi="Palatino Linotype" w:cs="Palatino Linotype"/>
          <w:i/>
          <w:sz w:val="22"/>
          <w:szCs w:val="22"/>
        </w:rPr>
        <w:t>El Instituto deberá regir su funcionamiento de acuerdo a los siguientes principios:</w:t>
      </w:r>
    </w:p>
    <w:p w14:paraId="113F6124" w14:textId="77777777" w:rsidR="00FE3AA8" w:rsidRDefault="00FE3AA8">
      <w:pPr>
        <w:ind w:left="709" w:right="1038"/>
        <w:jc w:val="both"/>
        <w:rPr>
          <w:rFonts w:ascii="Palatino Linotype" w:eastAsia="Palatino Linotype" w:hAnsi="Palatino Linotype" w:cs="Palatino Linotype"/>
          <w:b/>
          <w:i/>
          <w:sz w:val="22"/>
          <w:szCs w:val="22"/>
          <w:u w:val="single"/>
        </w:rPr>
      </w:pPr>
    </w:p>
    <w:p w14:paraId="477E4B5D" w14:textId="77777777" w:rsidR="00FE3AA8" w:rsidRDefault="00776873">
      <w:pPr>
        <w:ind w:left="709" w:right="1038"/>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 Certeza:</w:t>
      </w:r>
      <w:r>
        <w:rPr>
          <w:rFonts w:ascii="Palatino Linotype" w:eastAsia="Palatino Linotype" w:hAnsi="Palatino Linotype" w:cs="Palatino Linotype"/>
          <w:i/>
          <w:sz w:val="22"/>
          <w:szCs w:val="22"/>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Pr>
          <w:rFonts w:ascii="Palatino Linotype" w:eastAsia="Palatino Linotype" w:hAnsi="Palatino Linotype" w:cs="Palatino Linotype"/>
          <w:b/>
          <w:i/>
          <w:sz w:val="22"/>
          <w:szCs w:val="22"/>
        </w:rPr>
        <w:t>”</w:t>
      </w:r>
    </w:p>
    <w:p w14:paraId="531E0BD8" w14:textId="77777777" w:rsidR="00FE3AA8" w:rsidRDefault="00FE3AA8">
      <w:pPr>
        <w:spacing w:before="240" w:after="240" w:line="360" w:lineRule="auto"/>
        <w:jc w:val="both"/>
        <w:rPr>
          <w:rFonts w:ascii="Palatino Linotype" w:eastAsia="Palatino Linotype" w:hAnsi="Palatino Linotype" w:cs="Palatino Linotype"/>
        </w:rPr>
      </w:pPr>
    </w:p>
    <w:p w14:paraId="42B94E3C" w14:textId="396CB3C6" w:rsidR="00FE3AA8" w:rsidRPr="0034137C" w:rsidRDefault="00776873" w:rsidP="0034137C">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En tal sentido y a fin de salvaguardar el derecho de acceso a la información pública y toda vez que existe fuente obligacional que constriñe al</w:t>
      </w:r>
      <w:r>
        <w:rPr>
          <w:rFonts w:ascii="Palatino Linotype" w:eastAsia="Palatino Linotype" w:hAnsi="Palatino Linotype" w:cs="Palatino Linotype"/>
          <w:b/>
        </w:rPr>
        <w:t xml:space="preserve"> SUJETO OBLIGADO </w:t>
      </w:r>
      <w:r>
        <w:rPr>
          <w:rFonts w:ascii="Palatino Linotype" w:eastAsia="Palatino Linotype" w:hAnsi="Palatino Linotype" w:cs="Palatino Linotype"/>
        </w:rPr>
        <w:t xml:space="preserve">para poder generar, administrar o poseer la  información requerida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su solicitud de información, en consecuencia, esta Ponencia Resolutora, determina </w:t>
      </w:r>
      <w:r>
        <w:rPr>
          <w:rFonts w:ascii="Palatino Linotype" w:eastAsia="Palatino Linotype" w:hAnsi="Palatino Linotype" w:cs="Palatino Linotype"/>
          <w:b/>
        </w:rPr>
        <w:t xml:space="preserve">MODIFICAR </w:t>
      </w:r>
      <w:r>
        <w:rPr>
          <w:rFonts w:ascii="Palatino Linotype" w:eastAsia="Palatino Linotype" w:hAnsi="Palatino Linotype" w:cs="Palatino Linotype"/>
        </w:rPr>
        <w:t xml:space="preserve">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y </w:t>
      </w:r>
      <w:r>
        <w:rPr>
          <w:rFonts w:ascii="Palatino Linotype" w:eastAsia="Palatino Linotype" w:hAnsi="Palatino Linotype" w:cs="Palatino Linotype"/>
          <w:b/>
        </w:rPr>
        <w:t>ordenarle</w:t>
      </w:r>
      <w:r>
        <w:rPr>
          <w:rFonts w:ascii="Palatino Linotype" w:eastAsia="Palatino Linotype" w:hAnsi="Palatino Linotype" w:cs="Palatino Linotype"/>
        </w:rPr>
        <w:t xml:space="preserve"> realizar una </w:t>
      </w:r>
      <w:r>
        <w:rPr>
          <w:rFonts w:ascii="Palatino Linotype" w:eastAsia="Palatino Linotype" w:hAnsi="Palatino Linotype" w:cs="Palatino Linotype"/>
          <w:b/>
          <w:u w:val="single"/>
        </w:rPr>
        <w:t>búsqueda exhaustiva</w:t>
      </w:r>
      <w:r>
        <w:rPr>
          <w:rFonts w:ascii="Palatino Linotype" w:eastAsia="Palatino Linotype" w:hAnsi="Palatino Linotype" w:cs="Palatino Linotype"/>
        </w:rPr>
        <w:t xml:space="preserve"> y razonable de la información solicitada de conformidad con el artículo 162 de la Ley de Transparencia y Acceso a la Información Pública del Estado de México y Municipios, a través de los </w:t>
      </w:r>
      <w:r>
        <w:rPr>
          <w:rFonts w:ascii="Palatino Linotype" w:eastAsia="Palatino Linotype" w:hAnsi="Palatino Linotype" w:cs="Palatino Linotype"/>
          <w:b/>
        </w:rPr>
        <w:t>Servidores Públicos Habilitados Competentes</w:t>
      </w:r>
      <w:r w:rsidR="0034137C">
        <w:rPr>
          <w:rFonts w:ascii="Palatino Linotype" w:eastAsia="Palatino Linotype" w:hAnsi="Palatino Linotype" w:cs="Palatino Linotype"/>
          <w:b/>
        </w:rPr>
        <w:t xml:space="preserve"> </w:t>
      </w:r>
      <w:r w:rsidRPr="0034137C">
        <w:rPr>
          <w:rFonts w:ascii="Palatino Linotype" w:eastAsia="Palatino Linotype" w:hAnsi="Palatino Linotype"/>
        </w:rPr>
        <w:t>por el periodo compren</w:t>
      </w:r>
      <w:r w:rsidR="002C4A78">
        <w:rPr>
          <w:rFonts w:ascii="Palatino Linotype" w:eastAsia="Palatino Linotype" w:hAnsi="Palatino Linotype"/>
        </w:rPr>
        <w:t>dido del 1 de enero de 2021 al 9</w:t>
      </w:r>
      <w:r w:rsidRPr="0034137C">
        <w:rPr>
          <w:rFonts w:ascii="Palatino Linotype" w:eastAsia="Palatino Linotype" w:hAnsi="Palatino Linotype"/>
        </w:rPr>
        <w:t xml:space="preserve"> de octubre de 2021, y haga entrega de la misma al </w:t>
      </w:r>
      <w:r w:rsidRPr="002C4A78">
        <w:rPr>
          <w:rFonts w:ascii="Palatino Linotype" w:eastAsia="Palatino Linotype" w:hAnsi="Palatino Linotype"/>
          <w:b/>
        </w:rPr>
        <w:t>RECURRENTE</w:t>
      </w:r>
      <w:r w:rsidRPr="0034137C">
        <w:rPr>
          <w:rFonts w:ascii="Palatino Linotype" w:eastAsia="Palatino Linotype" w:hAnsi="Palatino Linotype"/>
        </w:rPr>
        <w:t xml:space="preserve"> en versión pública de ser procedente.</w:t>
      </w:r>
    </w:p>
    <w:p w14:paraId="1631DF72" w14:textId="77777777" w:rsidR="00FE3AA8" w:rsidRDefault="0077687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igual manera no se omite comentar que, de la normativa interna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específicamente su Bando Municipal artículo 28 fracción VI se observa la </w:t>
      </w:r>
      <w:r>
        <w:rPr>
          <w:rFonts w:ascii="Palatino Linotype" w:eastAsia="Palatino Linotype" w:hAnsi="Palatino Linotype" w:cs="Palatino Linotype"/>
        </w:rPr>
        <w:lastRenderedPageBreak/>
        <w:t xml:space="preserve">obligatoriedad para que se tengan las actas de sesiones de las comisiones edilicias del Ayuntamiento: </w:t>
      </w:r>
    </w:p>
    <w:p w14:paraId="1255E631" w14:textId="77777777" w:rsidR="00FE3AA8" w:rsidRDefault="00776873">
      <w:pPr>
        <w:widowControl w:val="0"/>
        <w:tabs>
          <w:tab w:val="left" w:pos="1276"/>
        </w:tabs>
        <w:spacing w:before="240" w:after="280"/>
        <w:ind w:left="850" w:right="113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“CAPÍTULO PRIMERO </w:t>
      </w:r>
    </w:p>
    <w:p w14:paraId="046CAE1C" w14:textId="77777777" w:rsidR="00FE3AA8" w:rsidRDefault="00776873">
      <w:pPr>
        <w:widowControl w:val="0"/>
        <w:tabs>
          <w:tab w:val="left" w:pos="1276"/>
        </w:tabs>
        <w:spacing w:before="240" w:after="280"/>
        <w:ind w:left="850" w:right="113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DE LA SECRETARÍA DEL AYUNTAMIENTO ARTÍCULO </w:t>
      </w:r>
    </w:p>
    <w:p w14:paraId="58602683" w14:textId="77777777" w:rsidR="00FE3AA8" w:rsidRDefault="00776873">
      <w:pPr>
        <w:widowControl w:val="0"/>
        <w:tabs>
          <w:tab w:val="left" w:pos="1276"/>
        </w:tabs>
        <w:spacing w:before="240" w:after="280"/>
        <w:ind w:left="850" w:right="113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28.-</w:t>
      </w:r>
      <w:r>
        <w:rPr>
          <w:rFonts w:ascii="Palatino Linotype" w:eastAsia="Palatino Linotype" w:hAnsi="Palatino Linotype" w:cs="Palatino Linotype"/>
          <w:i/>
          <w:sz w:val="22"/>
          <w:szCs w:val="22"/>
        </w:rPr>
        <w:t xml:space="preserve"> El Secretario del Ayuntamiento, además de las atribuciones que expresamente le señalan la Ley Orgánica y otras disposiciones legales aplicables, tendrá las siguientes facultades:</w:t>
      </w:r>
    </w:p>
    <w:p w14:paraId="7BB24E39" w14:textId="77777777" w:rsidR="00FE3AA8" w:rsidRDefault="00776873">
      <w:pPr>
        <w:widowControl w:val="0"/>
        <w:tabs>
          <w:tab w:val="left" w:pos="1276"/>
        </w:tabs>
        <w:spacing w:before="240" w:after="280"/>
        <w:ind w:left="850" w:right="11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VI. </w:t>
      </w:r>
      <w:r>
        <w:rPr>
          <w:rFonts w:ascii="Palatino Linotype" w:eastAsia="Palatino Linotype" w:hAnsi="Palatino Linotype" w:cs="Palatino Linotype"/>
          <w:b/>
          <w:i/>
          <w:sz w:val="22"/>
          <w:szCs w:val="22"/>
        </w:rPr>
        <w:t>Llevar el registro actualizado de las comisiones</w:t>
      </w:r>
      <w:r>
        <w:rPr>
          <w:rFonts w:ascii="Palatino Linotype" w:eastAsia="Palatino Linotype" w:hAnsi="Palatino Linotype" w:cs="Palatino Linotype"/>
          <w:i/>
          <w:sz w:val="22"/>
          <w:szCs w:val="22"/>
        </w:rPr>
        <w:t xml:space="preserve"> y/o consejos u organismos de participación ciudadana existentes en el municipio y que se encuentran reglamentados, </w:t>
      </w:r>
      <w:r>
        <w:rPr>
          <w:rFonts w:ascii="Palatino Linotype" w:eastAsia="Palatino Linotype" w:hAnsi="Palatino Linotype" w:cs="Palatino Linotype"/>
          <w:b/>
          <w:i/>
          <w:sz w:val="22"/>
          <w:szCs w:val="22"/>
        </w:rPr>
        <w:t>sus programas y actas de sesiones</w:t>
      </w:r>
      <w:r>
        <w:rPr>
          <w:rFonts w:ascii="Palatino Linotype" w:eastAsia="Palatino Linotype" w:hAnsi="Palatino Linotype" w:cs="Palatino Linotype"/>
          <w:i/>
          <w:sz w:val="22"/>
          <w:szCs w:val="22"/>
        </w:rPr>
        <w:t>, seguimiento de acuerdos e Informe de resultados con participación social en el mismo;”</w:t>
      </w:r>
    </w:p>
    <w:p w14:paraId="026FCA5C" w14:textId="77777777" w:rsidR="00FE3AA8" w:rsidRDefault="00776873">
      <w:pPr>
        <w:widowControl w:val="0"/>
        <w:tabs>
          <w:tab w:val="left" w:pos="1276"/>
        </w:tabs>
        <w:spacing w:before="240" w:after="280"/>
        <w:ind w:left="850" w:right="113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15B2E365" w14:textId="77777777" w:rsidR="00FE3AA8" w:rsidRDefault="00776873">
      <w:pPr>
        <w:widowControl w:val="0"/>
        <w:tabs>
          <w:tab w:val="left" w:pos="1276"/>
        </w:tabs>
        <w:spacing w:before="240" w:after="280" w:line="360" w:lineRule="auto"/>
        <w:jc w:val="both"/>
      </w:pPr>
      <w:r>
        <w:rPr>
          <w:rFonts w:ascii="Palatino Linotype" w:eastAsia="Palatino Linotype" w:hAnsi="Palatino Linotype" w:cs="Palatino Linotype"/>
        </w:rPr>
        <w:t xml:space="preserve">Por lo que es obligación del Secretario del Ayuntamiento llevar el registro actualizado de las actas de sesiones de las comisiones, de manera que si bien fue el Secretario del Ayuntamiento quien se pronunció y manifestó que cada comisión tiene su propio archivo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deberá llevar a cabo la búsqueda razonable y exhaustiva de la información en los archivos de las comisiones,  y dado el caso que de dicha búsqueda no se encuentre la información su Comité de Transparencia deberá emitir el Acuerdo de Inexistencia correspondiente ello, de conformidad con los artículos</w:t>
      </w:r>
      <w:r>
        <w:rPr>
          <w:rFonts w:ascii="Palatino Linotype" w:eastAsia="Palatino Linotype" w:hAnsi="Palatino Linotype" w:cs="Palatino Linotype"/>
          <w:color w:val="222222"/>
        </w:rPr>
        <w:t xml:space="preserve"> 19, 169 y 170 de la Ley de Transparencia y Acceso a la Información Pública del Estado de México y Municipios,</w:t>
      </w:r>
      <w:r>
        <w:rPr>
          <w:rFonts w:ascii="Palatino Linotype" w:eastAsia="Palatino Linotype" w:hAnsi="Palatino Linotype" w:cs="Palatino Linotype"/>
        </w:rPr>
        <w:t xml:space="preserve"> esto en razón de que existe fuente obligacional que constriñe a la servidora pública mencionada a contar con la certificación señalada, preceptos que se transcriben a continuación para mayor referencia:</w:t>
      </w:r>
    </w:p>
    <w:p w14:paraId="0ACA6779" w14:textId="77777777" w:rsidR="00FE3AA8" w:rsidRDefault="00776873">
      <w:pPr>
        <w:ind w:left="851" w:right="902"/>
        <w:jc w:val="both"/>
      </w:pPr>
      <w:r>
        <w:rPr>
          <w:rFonts w:ascii="Palatino Linotype" w:eastAsia="Palatino Linotype" w:hAnsi="Palatino Linotype" w:cs="Palatino Linotype"/>
          <w:b/>
          <w:i/>
          <w:sz w:val="22"/>
          <w:szCs w:val="22"/>
        </w:rPr>
        <w:lastRenderedPageBreak/>
        <w:t xml:space="preserve">“Artículo 19. </w:t>
      </w:r>
      <w:r>
        <w:rPr>
          <w:rFonts w:ascii="Palatino Linotype" w:eastAsia="Palatino Linotype" w:hAnsi="Palatino Linotype" w:cs="Palatino Linotype"/>
          <w:i/>
          <w:sz w:val="22"/>
          <w:szCs w:val="22"/>
        </w:rPr>
        <w:t>Se presume que la información debe existir si se refiere a las facultades, competencias y funciones que los ordenamientos jurídicos aplicables otorgan a los sujetos obligados. </w:t>
      </w:r>
    </w:p>
    <w:p w14:paraId="11F045E8" w14:textId="77777777" w:rsidR="00FE3AA8" w:rsidRDefault="00776873">
      <w:pPr>
        <w:ind w:left="851" w:right="902"/>
        <w:jc w:val="both"/>
      </w:pPr>
      <w:r>
        <w:rPr>
          <w:rFonts w:ascii="Palatino Linotype" w:eastAsia="Palatino Linotype" w:hAnsi="Palatino Linotype" w:cs="Palatino Linotype"/>
          <w:i/>
          <w:sz w:val="22"/>
          <w:szCs w:val="22"/>
        </w:rPr>
        <w:t>…</w:t>
      </w:r>
    </w:p>
    <w:p w14:paraId="49B68A8E" w14:textId="77777777" w:rsidR="00FE3AA8" w:rsidRDefault="00776873">
      <w:pPr>
        <w:ind w:left="851" w:right="902"/>
        <w:jc w:val="both"/>
      </w:pPr>
      <w:r>
        <w:rPr>
          <w:rFonts w:ascii="Palatino Linotype" w:eastAsia="Palatino Linotype" w:hAnsi="Palatino Linotype" w:cs="Palatino Linotype"/>
          <w:i/>
          <w:sz w:val="22"/>
          <w:szCs w:val="22"/>
        </w:rPr>
        <w:t xml:space="preserve">Si el sujeto obligado, </w:t>
      </w:r>
      <w:r>
        <w:rPr>
          <w:rFonts w:ascii="Palatino Linotype" w:eastAsia="Palatino Linotype" w:hAnsi="Palatino Linotype" w:cs="Palatino Linotype"/>
          <w:b/>
          <w:i/>
          <w:sz w:val="22"/>
          <w:szCs w:val="22"/>
        </w:rPr>
        <w:t>en el ejercicio de sus atribuciones, debía generar, poseer o administrar la información, pero ésta no se encuentra</w:t>
      </w:r>
      <w:r>
        <w:rPr>
          <w:rFonts w:ascii="Palatino Linotype" w:eastAsia="Palatino Linotype" w:hAnsi="Palatino Linotype" w:cs="Palatino Linotype"/>
          <w:i/>
          <w:sz w:val="22"/>
          <w:szCs w:val="22"/>
        </w:rPr>
        <w:t>, el Comité de transparencia deberá emitir un acuerdo de inexistencia, debidamente fundado y motivado, en el que detalle las razones del por qué no obra en sus archivos.</w:t>
      </w:r>
    </w:p>
    <w:p w14:paraId="7AEE490B" w14:textId="77777777" w:rsidR="00FE3AA8" w:rsidRDefault="00776873">
      <w:pPr>
        <w:ind w:left="851" w:right="902"/>
        <w:jc w:val="both"/>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Los Comités de Transparencia tendrán las siguientes atribuciones:</w:t>
      </w:r>
    </w:p>
    <w:p w14:paraId="22751492" w14:textId="77777777" w:rsidR="00FE3AA8" w:rsidRDefault="00776873">
      <w:pPr>
        <w:ind w:left="851" w:right="902"/>
        <w:jc w:val="both"/>
      </w:pPr>
      <w:r>
        <w:rPr>
          <w:rFonts w:ascii="Palatino Linotype" w:eastAsia="Palatino Linotype" w:hAnsi="Palatino Linotype" w:cs="Palatino Linotype"/>
          <w:i/>
          <w:sz w:val="22"/>
          <w:szCs w:val="22"/>
        </w:rPr>
        <w:t>…</w:t>
      </w:r>
    </w:p>
    <w:p w14:paraId="00A2FC56" w14:textId="77777777" w:rsidR="00FE3AA8" w:rsidRDefault="00776873">
      <w:pPr>
        <w:ind w:left="851" w:right="902"/>
        <w:jc w:val="both"/>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14:paraId="07B713D0" w14:textId="77777777" w:rsidR="00FE3AA8" w:rsidRDefault="00776873">
      <w:pPr>
        <w:ind w:left="851" w:right="902"/>
        <w:jc w:val="both"/>
      </w:pPr>
      <w:r>
        <w:rPr>
          <w:rFonts w:ascii="Palatino Linotype" w:eastAsia="Palatino Linotype" w:hAnsi="Palatino Linotype" w:cs="Palatino Linotype"/>
          <w:i/>
          <w:sz w:val="22"/>
          <w:szCs w:val="22"/>
        </w:rPr>
        <w:t>…</w:t>
      </w:r>
    </w:p>
    <w:p w14:paraId="157FB841" w14:textId="77777777" w:rsidR="00FE3AA8" w:rsidRDefault="00776873">
      <w:pPr>
        <w:ind w:left="851" w:right="902"/>
        <w:jc w:val="both"/>
      </w:pPr>
      <w:r>
        <w:rPr>
          <w:rFonts w:ascii="Palatino Linotype" w:eastAsia="Palatino Linotype" w:hAnsi="Palatino Linotype" w:cs="Palatino Linotype"/>
          <w:b/>
          <w:i/>
          <w:sz w:val="22"/>
          <w:szCs w:val="22"/>
        </w:rPr>
        <w:t>XIII.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Dictaminar las declaratorias de inexistencia de la información que les remitan las unidades administrativas y resolver en consecuencia;</w:t>
      </w:r>
    </w:p>
    <w:p w14:paraId="5FCC629A" w14:textId="77777777" w:rsidR="00FE3AA8" w:rsidRDefault="00776873">
      <w:pPr>
        <w:ind w:left="851" w:right="902"/>
        <w:jc w:val="both"/>
      </w:pPr>
      <w:r>
        <w:rPr>
          <w:rFonts w:ascii="Palatino Linotype" w:eastAsia="Palatino Linotype" w:hAnsi="Palatino Linotype" w:cs="Palatino Linotype"/>
          <w:b/>
          <w:i/>
          <w:sz w:val="22"/>
          <w:szCs w:val="22"/>
        </w:rPr>
        <w:t>…</w:t>
      </w:r>
    </w:p>
    <w:p w14:paraId="3EEF8CFE" w14:textId="77777777" w:rsidR="00FE3AA8" w:rsidRDefault="00776873">
      <w:pPr>
        <w:ind w:left="851" w:right="902"/>
        <w:jc w:val="both"/>
      </w:pPr>
      <w:r>
        <w:rPr>
          <w:rFonts w:ascii="Palatino Linotype" w:eastAsia="Palatino Linotype" w:hAnsi="Palatino Linotype" w:cs="Palatino Linotype"/>
          <w:b/>
          <w:i/>
          <w:sz w:val="22"/>
          <w:szCs w:val="22"/>
        </w:rPr>
        <w:t>Artículo 169.</w:t>
      </w:r>
      <w:r>
        <w:rPr>
          <w:rFonts w:ascii="Palatino Linotype" w:eastAsia="Palatino Linotype" w:hAnsi="Palatino Linotype" w:cs="Palatino Linotype"/>
          <w:i/>
          <w:sz w:val="22"/>
          <w:szCs w:val="22"/>
        </w:rPr>
        <w:t xml:space="preserve"> Cuando la información no se encuentre en los archivos del sujeto obligado, el Comité de Transparencia:</w:t>
      </w:r>
    </w:p>
    <w:p w14:paraId="0700C2BF" w14:textId="77777777" w:rsidR="00FE3AA8" w:rsidRDefault="00776873">
      <w:pPr>
        <w:ind w:left="851" w:right="902"/>
        <w:jc w:val="both"/>
      </w:pPr>
      <w:r>
        <w:rPr>
          <w:rFonts w:ascii="Palatino Linotype" w:eastAsia="Palatino Linotype" w:hAnsi="Palatino Linotype" w:cs="Palatino Linotype"/>
          <w:i/>
          <w:sz w:val="22"/>
          <w:szCs w:val="22"/>
        </w:rPr>
        <w:t>I. Analizará el caso y tomará las medidas necesarias para localizar la información;</w:t>
      </w:r>
    </w:p>
    <w:p w14:paraId="433BBE07" w14:textId="77777777" w:rsidR="00FE3AA8" w:rsidRDefault="00776873">
      <w:pPr>
        <w:ind w:left="851" w:right="902"/>
        <w:jc w:val="both"/>
      </w:pPr>
      <w:r>
        <w:rPr>
          <w:rFonts w:ascii="Palatino Linotype" w:eastAsia="Palatino Linotype" w:hAnsi="Palatino Linotype" w:cs="Palatino Linotype"/>
          <w:i/>
          <w:sz w:val="22"/>
          <w:szCs w:val="22"/>
        </w:rPr>
        <w:t>II. Expedirá una resolución que confirme la inexistencia del documento;</w:t>
      </w:r>
    </w:p>
    <w:p w14:paraId="65F5E590" w14:textId="77777777" w:rsidR="00FE3AA8" w:rsidRDefault="00776873">
      <w:pPr>
        <w:ind w:left="851" w:right="902"/>
        <w:jc w:val="both"/>
      </w:pPr>
      <w:r>
        <w:rPr>
          <w:rFonts w:ascii="Palatino Linotype" w:eastAsia="Palatino Linotype" w:hAnsi="Palatino Linotype" w:cs="Palatino Linotype"/>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2574A90B" w14:textId="77777777" w:rsidR="00FE3AA8" w:rsidRDefault="00776873">
      <w:pPr>
        <w:ind w:left="851" w:right="902"/>
        <w:jc w:val="both"/>
      </w:pPr>
      <w:r>
        <w:rPr>
          <w:rFonts w:ascii="Palatino Linotype" w:eastAsia="Palatino Linotype" w:hAnsi="Palatino Linotype" w:cs="Palatino Linotype"/>
          <w:i/>
          <w:sz w:val="22"/>
          <w:szCs w:val="22"/>
        </w:rPr>
        <w:t>IV. Notificará al órgano interno de control o equivalente del sujeto obligado quien, en su caso, deberá iniciar el procedimiento de responsabilidad administrativa que corresponda.</w:t>
      </w:r>
    </w:p>
    <w:p w14:paraId="0785DBC6" w14:textId="77777777" w:rsidR="00FE3AA8" w:rsidRDefault="00776873">
      <w:pPr>
        <w:ind w:left="851" w:right="902"/>
        <w:jc w:val="both"/>
      </w:pPr>
      <w:r>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w:t>
      </w:r>
    </w:p>
    <w:p w14:paraId="354CE710" w14:textId="77777777" w:rsidR="00FE3AA8" w:rsidRDefault="00776873">
      <w:pPr>
        <w:ind w:left="851" w:right="902"/>
        <w:jc w:val="both"/>
      </w:pPr>
      <w:r>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r>
        <w:rPr>
          <w:rFonts w:ascii="Palatino Linotype" w:eastAsia="Palatino Linotype" w:hAnsi="Palatino Linotype" w:cs="Palatino Linotype"/>
          <w:b/>
          <w:i/>
          <w:sz w:val="22"/>
          <w:szCs w:val="22"/>
        </w:rPr>
        <w:t> </w:t>
      </w:r>
    </w:p>
    <w:p w14:paraId="62492A20" w14:textId="77777777" w:rsidR="00FE3AA8" w:rsidRDefault="00FE3AA8"/>
    <w:p w14:paraId="2BE1FB3F" w14:textId="77777777" w:rsidR="00FE3AA8" w:rsidRDefault="00776873">
      <w:pPr>
        <w:ind w:left="851" w:right="902"/>
        <w:jc w:val="both"/>
      </w:pPr>
      <w:r>
        <w:rPr>
          <w:rFonts w:ascii="Palatino Linotype" w:eastAsia="Palatino Linotype" w:hAnsi="Palatino Linotype" w:cs="Palatino Linotype"/>
          <w:b/>
          <w:i/>
          <w:sz w:val="22"/>
          <w:szCs w:val="22"/>
        </w:rPr>
        <w:t>Artículo 170.</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La resolución del Comité de Transparencia que confirme la inexistencia de la información solicitada contendrá los elementos mínimos que permitan al solicitante tener la certeza de que se utilizó un criterio de búsqueda </w:t>
      </w:r>
      <w:r>
        <w:rPr>
          <w:rFonts w:ascii="Palatino Linotype" w:eastAsia="Palatino Linotype" w:hAnsi="Palatino Linotype" w:cs="Palatino Linotype"/>
          <w:b/>
          <w:i/>
          <w:sz w:val="22"/>
          <w:szCs w:val="22"/>
        </w:rPr>
        <w:lastRenderedPageBreak/>
        <w:t>exhaustivo, además de señalar las circunstancias de tiempo, modo y lugar que generaron la existencia en cuestión y señalará al servidor público responsable de contar con la misma</w:t>
      </w:r>
      <w:r>
        <w:rPr>
          <w:rFonts w:ascii="Palatino Linotype" w:eastAsia="Palatino Linotype" w:hAnsi="Palatino Linotype" w:cs="Palatino Linotype"/>
          <w:i/>
          <w:sz w:val="22"/>
          <w:szCs w:val="22"/>
        </w:rPr>
        <w:t>.”</w:t>
      </w:r>
    </w:p>
    <w:p w14:paraId="17706FC3" w14:textId="77777777" w:rsidR="00FE3AA8" w:rsidRDefault="00FE3AA8"/>
    <w:p w14:paraId="4F7C5771" w14:textId="77777777" w:rsidR="00FE3AA8" w:rsidRDefault="00776873">
      <w:pPr>
        <w:ind w:left="851" w:right="902"/>
        <w:jc w:val="both"/>
      </w:pPr>
      <w:r>
        <w:rPr>
          <w:rFonts w:ascii="Palatino Linotype" w:eastAsia="Palatino Linotype" w:hAnsi="Palatino Linotype" w:cs="Palatino Linotype"/>
          <w:sz w:val="22"/>
          <w:szCs w:val="22"/>
        </w:rPr>
        <w:t>(Énfasis añadido)</w:t>
      </w:r>
    </w:p>
    <w:p w14:paraId="70336E74" w14:textId="77777777" w:rsidR="00FE3AA8" w:rsidRDefault="00776873">
      <w:pPr>
        <w:spacing w:before="240" w:after="240" w:line="360" w:lineRule="auto"/>
        <w:jc w:val="both"/>
      </w:pPr>
      <w:r>
        <w:rPr>
          <w:rFonts w:ascii="Palatino Linotype" w:eastAsia="Palatino Linotype" w:hAnsi="Palatino Linotype" w:cs="Palatino Linotype"/>
        </w:rPr>
        <w:t>En observancia a lo anterior, resultan aplicables los criterios de interpretación en el orden administrativo número 0003-11 y 004-11 emitidos por Acuerdo del Pleno del Instituto de Transparencia y Acceso a la Información Pública del Estado de México y Municipios, que a la letra dicen:</w:t>
      </w:r>
    </w:p>
    <w:p w14:paraId="00214145" w14:textId="77777777" w:rsidR="00FE3AA8" w:rsidRDefault="00776873">
      <w:pPr>
        <w:spacing w:before="240" w:after="240"/>
        <w:ind w:left="851" w:right="900"/>
        <w:jc w:val="center"/>
      </w:pPr>
      <w:r>
        <w:rPr>
          <w:rFonts w:ascii="Palatino Linotype" w:eastAsia="Palatino Linotype" w:hAnsi="Palatino Linotype" w:cs="Palatino Linotype"/>
          <w:b/>
          <w:i/>
          <w:sz w:val="22"/>
          <w:szCs w:val="22"/>
        </w:rPr>
        <w:t>“CRITERIO 003-11.</w:t>
      </w:r>
    </w:p>
    <w:p w14:paraId="16D1A18D" w14:textId="77777777" w:rsidR="00FE3AA8" w:rsidRDefault="00776873">
      <w:pPr>
        <w:spacing w:before="240" w:after="240"/>
        <w:ind w:left="851" w:right="900"/>
        <w:jc w:val="both"/>
      </w:pPr>
      <w:r>
        <w:rPr>
          <w:rFonts w:ascii="Palatino Linotype" w:eastAsia="Palatino Linotype" w:hAnsi="Palatino Linotype" w:cs="Palatino Linotype"/>
          <w:b/>
          <w:i/>
          <w:sz w:val="22"/>
          <w:szCs w:val="22"/>
        </w:rPr>
        <w:t xml:space="preserve">“INEXISTENCIA, CONCEPTO DE, EN MATERIA DE TRANSPARENCIA. </w:t>
      </w:r>
      <w:r>
        <w:rPr>
          <w:rFonts w:ascii="Palatino Linotype" w:eastAsia="Palatino Linotype" w:hAnsi="Palatino Linotype" w:cs="Palatino Linotype"/>
          <w:i/>
          <w:sz w:val="22"/>
          <w:szCs w:val="22"/>
        </w:rPr>
        <w:t xml:space="preserve">La interpretación sistemática de los artículos 29 y 30, fracción VIII, de la Ley de Transparencia y Acceso a la Información Pública del Estado de México y Municipios, permite concluir que la inexistencia de la </w:t>
      </w:r>
      <w:r>
        <w:rPr>
          <w:rFonts w:ascii="Palatino Linotype" w:eastAsia="Palatino Linotype" w:hAnsi="Palatino Linotype" w:cs="Palatino Linotype"/>
          <w:i/>
          <w:sz w:val="22"/>
          <w:szCs w:val="22"/>
          <w:u w:val="single"/>
        </w:rPr>
        <w:t>información</w:t>
      </w:r>
      <w:r>
        <w:rPr>
          <w:rFonts w:ascii="Palatino Linotype" w:eastAsia="Palatino Linotype" w:hAnsi="Palatino Linotype" w:cs="Palatino Linotype"/>
          <w:i/>
          <w:sz w:val="22"/>
          <w:szCs w:val="22"/>
        </w:rPr>
        <w:t xml:space="preserve"> en el derecho de acceso a la información pública</w:t>
      </w:r>
      <w:r>
        <w:rPr>
          <w:rFonts w:ascii="Palatino Linotype" w:eastAsia="Palatino Linotype" w:hAnsi="Palatino Linotype" w:cs="Palatino Linotype"/>
          <w:i/>
          <w:sz w:val="22"/>
          <w:szCs w:val="22"/>
          <w:u w:val="single"/>
        </w:rPr>
        <w:t xml:space="preserve"> conlleva necesariamente a los siguientes supuestos:</w:t>
      </w:r>
    </w:p>
    <w:p w14:paraId="032F5B85" w14:textId="77777777" w:rsidR="00FE3AA8" w:rsidRDefault="00776873">
      <w:pPr>
        <w:spacing w:before="240" w:after="240"/>
        <w:ind w:left="851" w:right="900"/>
        <w:jc w:val="both"/>
      </w:pPr>
      <w:r>
        <w:rPr>
          <w:rFonts w:ascii="Palatino Linotype" w:eastAsia="Palatino Linotype" w:hAnsi="Palatino Linotype" w:cs="Palatino Linotype"/>
          <w:i/>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4AD6AF20" w14:textId="77777777" w:rsidR="00FE3AA8" w:rsidRDefault="00776873">
      <w:pPr>
        <w:spacing w:before="240" w:after="240"/>
        <w:ind w:left="851" w:right="900"/>
        <w:jc w:val="both"/>
      </w:pPr>
      <w:r>
        <w:rPr>
          <w:rFonts w:ascii="Palatino Linotype" w:eastAsia="Palatino Linotype" w:hAnsi="Palatino Linotype" w:cs="Palatino Linotype"/>
          <w:i/>
          <w:sz w:val="22"/>
          <w:szCs w:val="22"/>
        </w:rPr>
        <w:t xml:space="preserve">b) </w:t>
      </w:r>
      <w:r>
        <w:rPr>
          <w:rFonts w:ascii="Palatino Linotype" w:eastAsia="Palatino Linotype" w:hAnsi="Palatino Linotype" w:cs="Palatino Linotype"/>
          <w:b/>
          <w:i/>
          <w:sz w:val="22"/>
          <w:szCs w:val="22"/>
          <w:u w:val="single"/>
        </w:rPr>
        <w:t xml:space="preserve">En los casos en que por las atribuciones conferidas al Sujeto Obligado éste debió generar, administrar o poseer la información, pero en incumplimiento a la normatividad respectiva no llevó a cabo </w:t>
      </w:r>
      <w:proofErr w:type="gramStart"/>
      <w:r>
        <w:rPr>
          <w:rFonts w:ascii="Palatino Linotype" w:eastAsia="Palatino Linotype" w:hAnsi="Palatino Linotype" w:cs="Palatino Linotype"/>
          <w:b/>
          <w:i/>
          <w:sz w:val="22"/>
          <w:szCs w:val="22"/>
          <w:u w:val="single"/>
        </w:rPr>
        <w:t>ninguna</w:t>
      </w:r>
      <w:proofErr w:type="gramEnd"/>
      <w:r>
        <w:rPr>
          <w:rFonts w:ascii="Palatino Linotype" w:eastAsia="Palatino Linotype" w:hAnsi="Palatino Linotype" w:cs="Palatino Linotype"/>
          <w:b/>
          <w:i/>
          <w:sz w:val="22"/>
          <w:szCs w:val="22"/>
          <w:u w:val="single"/>
        </w:rPr>
        <w:t xml:space="preserve"> de esas acciones.</w:t>
      </w:r>
    </w:p>
    <w:p w14:paraId="2909384D" w14:textId="77777777" w:rsidR="00FE3AA8" w:rsidRDefault="00776873">
      <w:pPr>
        <w:spacing w:before="240" w:after="240"/>
        <w:ind w:left="851" w:right="900"/>
        <w:jc w:val="both"/>
      </w:pPr>
      <w:r>
        <w:rPr>
          <w:rFonts w:ascii="Palatino Linotype" w:eastAsia="Palatino Linotype" w:hAnsi="Palatino Linotype" w:cs="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61C19E37" w14:textId="77777777" w:rsidR="00FE3AA8" w:rsidRDefault="00776873">
      <w:pPr>
        <w:spacing w:before="240" w:after="240"/>
        <w:ind w:left="851" w:right="900"/>
        <w:jc w:val="center"/>
      </w:pPr>
      <w:r>
        <w:rPr>
          <w:rFonts w:ascii="Palatino Linotype" w:eastAsia="Palatino Linotype" w:hAnsi="Palatino Linotype" w:cs="Palatino Linotype"/>
          <w:b/>
          <w:i/>
          <w:sz w:val="22"/>
          <w:szCs w:val="22"/>
        </w:rPr>
        <w:t>CRITERIO 004/2011</w:t>
      </w:r>
    </w:p>
    <w:p w14:paraId="5BDF7F51" w14:textId="77777777" w:rsidR="00FE3AA8" w:rsidRDefault="00776873">
      <w:pPr>
        <w:spacing w:before="240" w:after="240"/>
        <w:ind w:left="851" w:right="900"/>
        <w:jc w:val="both"/>
      </w:pPr>
      <w:r>
        <w:rPr>
          <w:rFonts w:ascii="Palatino Linotype" w:eastAsia="Palatino Linotype" w:hAnsi="Palatino Linotype" w:cs="Palatino Linotype"/>
          <w:b/>
          <w:i/>
          <w:sz w:val="22"/>
          <w:szCs w:val="22"/>
        </w:rPr>
        <w:t xml:space="preserve">INEXISTENCIA. DECLARATORIA DE LA. ALCANCES Y PROCEDIMIENTOS. </w:t>
      </w:r>
      <w:r>
        <w:rPr>
          <w:rFonts w:ascii="Palatino Linotype" w:eastAsia="Palatino Linotype" w:hAnsi="Palatino Linotype" w:cs="Palatino Linotype"/>
          <w:i/>
          <w:sz w:val="22"/>
          <w:szCs w:val="22"/>
        </w:rPr>
        <w:t xml:space="preserve">De la interpretación de los artículos 29 y 30, fracción VIII, de </w:t>
      </w:r>
      <w:r>
        <w:rPr>
          <w:rFonts w:ascii="Palatino Linotype" w:eastAsia="Palatino Linotype" w:hAnsi="Palatino Linotype" w:cs="Palatino Linotype"/>
          <w:i/>
          <w:sz w:val="22"/>
          <w:szCs w:val="22"/>
        </w:rPr>
        <w:lastRenderedPageBreak/>
        <w:t xml:space="preserve">la Ley de Transparencia y Acceso a la Información Pública del Estado de México y Municipios, se concluye </w:t>
      </w:r>
      <w:r>
        <w:rPr>
          <w:rFonts w:ascii="Palatino Linotype" w:eastAsia="Palatino Linotype" w:hAnsi="Palatino Linotype" w:cs="Palatino Linotype"/>
          <w:i/>
          <w:sz w:val="22"/>
          <w:szCs w:val="22"/>
          <w:u w:val="single"/>
        </w:rPr>
        <w:t xml:space="preserve">que cuando el Titular de la Unidad de Información no localice la documentación solicitada, a pesar de haber sido </w:t>
      </w:r>
      <w:r>
        <w:rPr>
          <w:rFonts w:ascii="Palatino Linotype" w:eastAsia="Palatino Linotype" w:hAnsi="Palatino Linotype" w:cs="Palatino Linotype"/>
          <w:i/>
          <w:sz w:val="22"/>
          <w:szCs w:val="22"/>
        </w:rPr>
        <w:t>generada, poseída o</w:t>
      </w:r>
      <w:r>
        <w:rPr>
          <w:rFonts w:ascii="Palatino Linotype" w:eastAsia="Palatino Linotype" w:hAnsi="Palatino Linotype" w:cs="Palatino Linotype"/>
          <w:i/>
          <w:sz w:val="22"/>
          <w:szCs w:val="22"/>
          <w:u w:val="single"/>
        </w:rPr>
        <w:t xml:space="preserve"> administrada por el Sujeto Obligado, turnará la solicitud al Comité de Información el cual es el único competente para conocer y deliberar mediante resolución el dictamen de declaratoria de inexistencia</w:t>
      </w:r>
      <w:r>
        <w:rPr>
          <w:rFonts w:ascii="Palatino Linotype" w:eastAsia="Palatino Linotype" w:hAnsi="Palatino Linotype" w:cs="Palatino Linotype"/>
          <w:i/>
          <w:sz w:val="22"/>
          <w:szCs w:val="22"/>
        </w:rPr>
        <w:t xml:space="preserve">, la cual tiene como propósito que el particular tenga la certeza jurídica de que el Sujeto Obligado realizó una búsqueda exhaustiva y minuciosa de la información en los archivos a cargo. En consecuencia, </w:t>
      </w:r>
      <w:r>
        <w:rPr>
          <w:rFonts w:ascii="Palatino Linotype" w:eastAsia="Palatino Linotype" w:hAnsi="Palatino Linotype" w:cs="Palatino Linotype"/>
          <w:i/>
          <w:sz w:val="22"/>
          <w:szCs w:val="22"/>
          <w:u w:val="single"/>
        </w:rPr>
        <w:t>es deber del Comité de Información instruir una búsqueda exhaustiva a todas y cada una de las áreas que integran orgánica o funcionalmente al Sujeto Obligado, para localizar los documentos que contengan la información materia de una solicitud,</w:t>
      </w:r>
      <w:r>
        <w:rPr>
          <w:rFonts w:ascii="Palatino Linotype" w:eastAsia="Palatino Linotype" w:hAnsi="Palatino Linotype" w:cs="Palatino Linotype"/>
          <w:i/>
          <w:sz w:val="22"/>
          <w:szCs w:val="22"/>
        </w:rPr>
        <w:t xml:space="preserve">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28243060" w14:textId="77777777" w:rsidR="00FE3AA8" w:rsidRDefault="00776873">
      <w:pPr>
        <w:spacing w:before="240" w:after="240"/>
        <w:ind w:left="851" w:right="900"/>
        <w:jc w:val="both"/>
      </w:pPr>
      <w:r>
        <w:rPr>
          <w:rFonts w:ascii="Palatino Linotype" w:eastAsia="Palatino Linotype" w:hAnsi="Palatino Linotype" w:cs="Palatino Linotype"/>
          <w:i/>
          <w:sz w:val="22"/>
          <w:szCs w:val="22"/>
        </w:rPr>
        <w:t>Bajo el entendido de que dicha búsqueda exhaustiva permitirá dos determinaciones:</w:t>
      </w:r>
    </w:p>
    <w:p w14:paraId="0F60A693" w14:textId="77777777" w:rsidR="00FE3AA8" w:rsidRDefault="00776873">
      <w:pPr>
        <w:spacing w:before="240" w:after="240"/>
        <w:ind w:left="851" w:right="900"/>
        <w:jc w:val="both"/>
      </w:pPr>
      <w:r>
        <w:rPr>
          <w:rFonts w:ascii="Palatino Linotype" w:eastAsia="Palatino Linotype" w:hAnsi="Palatino Linotype" w:cs="Palatino Linotype"/>
          <w:i/>
          <w:sz w:val="22"/>
          <w:szCs w:val="22"/>
        </w:rPr>
        <w:t>a) Que se localice la documentación que contenga la información solicitada y de ser así la información pueda entregarse al solicitante en la forma en que se encuentra disponible, o</w:t>
      </w:r>
    </w:p>
    <w:p w14:paraId="09E304C3" w14:textId="77777777" w:rsidR="00FE3AA8" w:rsidRDefault="00776873">
      <w:pPr>
        <w:spacing w:before="240" w:after="240"/>
        <w:ind w:left="851" w:right="900"/>
        <w:jc w:val="both"/>
      </w:pPr>
      <w:r>
        <w:rPr>
          <w:rFonts w:ascii="Palatino Linotype" w:eastAsia="Palatino Linotype" w:hAnsi="Palatino Linotype" w:cs="Palatino Linotype"/>
          <w:i/>
          <w:sz w:val="22"/>
          <w:szCs w:val="22"/>
        </w:rPr>
        <w:t>b</w:t>
      </w:r>
      <w:r>
        <w:rPr>
          <w:rFonts w:ascii="Palatino Linotype" w:eastAsia="Palatino Linotype" w:hAnsi="Palatino Linotype" w:cs="Palatino Linotype"/>
          <w:i/>
          <w:sz w:val="22"/>
          <w:szCs w:val="22"/>
          <w:u w:val="single"/>
        </w:rPr>
        <w:t>)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653A5885" w14:textId="77777777" w:rsidR="00FE3AA8" w:rsidRDefault="00776873">
      <w:pPr>
        <w:spacing w:before="240" w:after="240"/>
        <w:ind w:left="851" w:right="900"/>
        <w:jc w:val="both"/>
      </w:pPr>
      <w:r>
        <w:rPr>
          <w:rFonts w:ascii="Palatino Linotype" w:eastAsia="Palatino Linotype" w:hAnsi="Palatino Linotype" w:cs="Palatino Linotype"/>
          <w:i/>
          <w:sz w:val="22"/>
          <w:szCs w:val="22"/>
          <w:u w:val="single"/>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r>
        <w:rPr>
          <w:rFonts w:ascii="Palatino Linotype" w:eastAsia="Palatino Linotype" w:hAnsi="Palatino Linotype" w:cs="Palatino Linotype"/>
          <w:i/>
          <w:sz w:val="22"/>
          <w:szCs w:val="22"/>
        </w:rPr>
        <w:t>.”</w:t>
      </w:r>
    </w:p>
    <w:p w14:paraId="0A62E28D" w14:textId="77777777" w:rsidR="00FE3AA8" w:rsidRDefault="00776873">
      <w:pPr>
        <w:spacing w:before="240" w:after="240"/>
        <w:ind w:left="851" w:right="900"/>
        <w:jc w:val="both"/>
        <w:rPr>
          <w:rFonts w:ascii="Palatino Linotype" w:eastAsia="Palatino Linotype" w:hAnsi="Palatino Linotype" w:cs="Palatino Linotype"/>
        </w:rPr>
      </w:pPr>
      <w:r>
        <w:rPr>
          <w:rFonts w:ascii="Palatino Linotype" w:eastAsia="Palatino Linotype" w:hAnsi="Palatino Linotype" w:cs="Palatino Linotype"/>
        </w:rPr>
        <w:t>(Énfasis añadido)</w:t>
      </w:r>
    </w:p>
    <w:p w14:paraId="0E99F4D9" w14:textId="77777777" w:rsidR="00FE3AA8" w:rsidRDefault="00776873">
      <w:pPr>
        <w:widowControl w:val="0"/>
        <w:spacing w:before="200" w:after="20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Esto derivado de que existe un precepto jurídico que constriñe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contar con las actas de sesiones de las comisiones edilicias. </w:t>
      </w:r>
    </w:p>
    <w:p w14:paraId="4352D018" w14:textId="77777777" w:rsidR="00FE3AA8" w:rsidRDefault="0077687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último es importante mencionar que, a pesar de que, de la información ordenada, no se advierten datos susceptibles de clasificación, si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advierte que dentro de dicho documento existen datos que pudieran ser clasificados como reservados o confidenciales deberá llevar a cabo una versión pública del mismo. </w:t>
      </w:r>
    </w:p>
    <w:p w14:paraId="5B060973" w14:textId="77777777" w:rsidR="00FE3AA8" w:rsidRDefault="00776873">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sólo podrán ser testados los datos que actualicen las hipótesis normativas previstas en el artículo 143 de la Ley de Transparencia y Acceso a la Información Pública del Estado de México y Municipios y deberá procederse a su clasificación mediante las formalidades de Ley, es decir, que 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11A56DBA" w14:textId="77777777" w:rsidR="00FE3AA8" w:rsidRDefault="00776873">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ende,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debe testar los datos confidenciales, sin pasar por alto que la clasificación respectiva tiene que cumplirse mediante la forma y formalidades que la Ley impone; es decir, mediante Acuerdo debidamente fundado y motivado, en términos de los numerales 49 fracción VIII y 132 fracciones II y III de la Ley de Transparencia y Acceso a la Información Pública del Estado de México y Municipios, así como los numerales Segundo, fracción XVIII, y del Cuarto al Décimo Primero de los </w:t>
      </w:r>
      <w:r>
        <w:rPr>
          <w:rFonts w:ascii="Palatino Linotype" w:eastAsia="Palatino Linotype" w:hAnsi="Palatino Linotype" w:cs="Palatino Linotype"/>
        </w:rPr>
        <w:lastRenderedPageBreak/>
        <w:t>Lineamientos Generales en materia de Clasificación y Desclasificación de la Información, así como para la elaboración de Versiones Públicas, que literalmente expresan:</w:t>
      </w:r>
    </w:p>
    <w:p w14:paraId="126F3018" w14:textId="77777777" w:rsidR="00FE3AA8" w:rsidRDefault="00776873">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Ley de Transparencia y Acceso a la Información Pública del Estado de México y Municipios</w:t>
      </w:r>
    </w:p>
    <w:p w14:paraId="4E94D30C" w14:textId="77777777" w:rsidR="00FE3AA8" w:rsidRDefault="00776873">
      <w:pPr>
        <w:tabs>
          <w:tab w:val="left" w:pos="851"/>
        </w:tabs>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49. </w:t>
      </w:r>
      <w:r>
        <w:rPr>
          <w:rFonts w:ascii="Palatino Linotype" w:eastAsia="Palatino Linotype" w:hAnsi="Palatino Linotype" w:cs="Palatino Linotype"/>
          <w:i/>
          <w:sz w:val="22"/>
          <w:szCs w:val="22"/>
        </w:rPr>
        <w:t>Los Comités de Transparencia tendrán las siguientes atribuciones:</w:t>
      </w:r>
    </w:p>
    <w:p w14:paraId="3E715464" w14:textId="77777777" w:rsidR="00FE3AA8" w:rsidRDefault="0077687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rPr>
        <w:t xml:space="preserve"> Aprobar, modificar o revocar la clasificación de la información;</w:t>
      </w:r>
    </w:p>
    <w:p w14:paraId="1CBF62C9" w14:textId="77777777" w:rsidR="00FE3AA8" w:rsidRDefault="0077687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132.</w:t>
      </w:r>
      <w:r>
        <w:rPr>
          <w:rFonts w:ascii="Palatino Linotype" w:eastAsia="Palatino Linotype" w:hAnsi="Palatino Linotype" w:cs="Palatino Linotype"/>
          <w:i/>
          <w:sz w:val="22"/>
          <w:szCs w:val="22"/>
        </w:rPr>
        <w:t xml:space="preserve"> La clasificación de la información se llevará a cabo en el momento en que:</w:t>
      </w:r>
    </w:p>
    <w:p w14:paraId="753D866B" w14:textId="77777777" w:rsidR="00FE3AA8" w:rsidRDefault="0077687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14:paraId="545AA910" w14:textId="77777777" w:rsidR="00FE3AA8" w:rsidRDefault="0077687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14:paraId="35149DC2" w14:textId="77777777" w:rsidR="00FE3AA8" w:rsidRDefault="0077687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Se generen versiones públicas para dar cumplimiento a las obligaciones de transparencia previstas en esta Ley.”</w:t>
      </w:r>
    </w:p>
    <w:p w14:paraId="72F4F83C" w14:textId="77777777" w:rsidR="00FE3AA8" w:rsidRDefault="00776873">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Generales en materia de Clasificación y Desclasificación de la Información</w:t>
      </w:r>
    </w:p>
    <w:p w14:paraId="3AE4110E" w14:textId="77777777" w:rsidR="00FE3AA8" w:rsidRDefault="0077687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14:paraId="5A6F1848" w14:textId="77777777" w:rsidR="00FE3AA8" w:rsidRDefault="0077687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u w:val="single"/>
        </w:rPr>
        <w:t>fundando y motivando</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b/>
          <w:i/>
          <w:sz w:val="22"/>
          <w:szCs w:val="22"/>
          <w:u w:val="single"/>
        </w:rPr>
        <w:t>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u w:val="single"/>
        </w:rPr>
        <w:t>confidencialidad</w:t>
      </w:r>
      <w:r>
        <w:rPr>
          <w:rFonts w:ascii="Palatino Linotype" w:eastAsia="Palatino Linotype" w:hAnsi="Palatino Linotype" w:cs="Palatino Linotype"/>
          <w:i/>
          <w:sz w:val="22"/>
          <w:szCs w:val="22"/>
        </w:rPr>
        <w:t>, a través de la resolución que para tal efecto emita el Comité de Transparencia.</w:t>
      </w:r>
    </w:p>
    <w:p w14:paraId="730365F5" w14:textId="77777777" w:rsidR="00FE3AA8" w:rsidRDefault="0077687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646B661B" w14:textId="77777777" w:rsidR="00FE3AA8" w:rsidRDefault="0077687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07390EA0" w14:textId="77777777" w:rsidR="00FE3AA8" w:rsidRDefault="0077687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2F2CA6C" w14:textId="77777777" w:rsidR="00FE3AA8" w:rsidRDefault="0077687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74C50DA" w14:textId="77777777" w:rsidR="00FE3AA8" w:rsidRDefault="0077687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La clasificación de información se realizará conforme a un análisis caso por caso, mediante la aplicación de la prueba de daño y de interés público.</w:t>
      </w:r>
    </w:p>
    <w:p w14:paraId="35C676D7" w14:textId="77777777" w:rsidR="00FE3AA8" w:rsidRDefault="0077687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14:paraId="19C9E010" w14:textId="77777777" w:rsidR="00FE3AA8" w:rsidRDefault="0077687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14:paraId="70A58400" w14:textId="77777777" w:rsidR="00FE3AA8" w:rsidRDefault="0077687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14:paraId="18C5EB10" w14:textId="77777777" w:rsidR="00FE3AA8" w:rsidRDefault="0077687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7BD79069" w14:textId="77777777" w:rsidR="00FE3AA8" w:rsidRDefault="0077687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17CC16EA" w14:textId="77777777" w:rsidR="00FE3AA8" w:rsidRDefault="0077687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B97D1C6" w14:textId="77777777" w:rsidR="00FE3AA8" w:rsidRDefault="0077687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5A574656" w14:textId="77777777" w:rsidR="00FE3AA8" w:rsidRDefault="0077687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61322DED" w14:textId="77777777" w:rsidR="00FE3AA8" w:rsidRDefault="0077687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5D18D163" w14:textId="77777777" w:rsidR="00FE3AA8" w:rsidRDefault="0077687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1C259936" w14:textId="77777777" w:rsidR="00FE3AA8" w:rsidRDefault="0077687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97362B7" w14:textId="77777777" w:rsidR="00FE3AA8" w:rsidRDefault="0077687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A9EE5DE" w14:textId="77777777" w:rsidR="00FE3AA8" w:rsidRDefault="0077687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0CE531E5" w14:textId="77777777" w:rsidR="00FE3AA8" w:rsidRDefault="0077687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4FB7D32A" w14:textId="77777777" w:rsidR="00FE3AA8" w:rsidRDefault="00776873">
      <w:pPr>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5A2CDC35" w14:textId="77777777" w:rsidR="00FE3AA8" w:rsidRDefault="00776873">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es importante referir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deberá seguir el procedimiento legal establecido para su clasificación, esto es, que su Comité de Transparencia emita un Acuerdo de Clasificación que cumpla con las formalidades previstas, antes citadas</w:t>
      </w:r>
      <w:r>
        <w:rPr>
          <w:rFonts w:ascii="Palatino Linotype" w:eastAsia="Palatino Linotype" w:hAnsi="Palatino Linotype" w:cs="Palatino Linotype"/>
          <w:b/>
        </w:rPr>
        <w:t xml:space="preserve"> </w:t>
      </w:r>
      <w:r>
        <w:rPr>
          <w:rFonts w:ascii="Palatino Linotype" w:eastAsia="Palatino Linotype" w:hAnsi="Palatino Linotype" w:cs="Palatino Linotype"/>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608B0F4" w14:textId="77777777" w:rsidR="00FE3AA8" w:rsidRDefault="00776873">
      <w:pPr>
        <w:widowControl w:val="0"/>
        <w:spacing w:before="120" w:after="12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sentido, debe observarse lo señalado en los artículos 3 fracciones IX, XXI y XXIII y 143 fracción I y penúltimo párrafo de la Ley de Transparencia y Acceso a la Información Pública del Estado de México y Municipios y 4 fracción XI de la Ley de Protección de Datos Personales en Posesión de Sujetos Obligados del Estado de México y Municipios</w:t>
      </w:r>
    </w:p>
    <w:p w14:paraId="16793000" w14:textId="77777777" w:rsidR="00FE3AA8" w:rsidRDefault="00776873">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Ley de Transparencia y Acceso a la Información Pública del Estado de México y Municipios</w:t>
      </w:r>
    </w:p>
    <w:p w14:paraId="42331BAF" w14:textId="77777777" w:rsidR="00FE3AA8" w:rsidRDefault="00776873">
      <w:pPr>
        <w:ind w:left="709"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b/>
          <w:i/>
          <w:sz w:val="22"/>
          <w:szCs w:val="22"/>
          <w:u w:val="single"/>
        </w:rPr>
        <w:t>Para los efectos de la presente Ley se entenderá por</w:t>
      </w:r>
      <w:r>
        <w:rPr>
          <w:rFonts w:ascii="Palatino Linotype" w:eastAsia="Palatino Linotype" w:hAnsi="Palatino Linotype" w:cs="Palatino Linotype"/>
          <w:i/>
          <w:sz w:val="22"/>
          <w:szCs w:val="22"/>
        </w:rPr>
        <w:t>:</w:t>
      </w:r>
    </w:p>
    <w:p w14:paraId="3DB9DE71" w14:textId="77777777" w:rsidR="00FE3AA8" w:rsidRDefault="0077687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E977509" w14:textId="77777777" w:rsidR="00FE3AA8" w:rsidRDefault="00776873">
      <w:pPr>
        <w:ind w:left="709"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IX.</w:t>
      </w:r>
      <w:r>
        <w:rPr>
          <w:rFonts w:ascii="Palatino Linotype" w:eastAsia="Palatino Linotype" w:hAnsi="Palatino Linotype" w:cs="Palatino Linotype"/>
          <w:b/>
          <w:i/>
          <w:sz w:val="22"/>
          <w:szCs w:val="22"/>
        </w:rPr>
        <w:tab/>
        <w:t xml:space="preserve">Datos personales: </w:t>
      </w:r>
      <w:r>
        <w:rPr>
          <w:rFonts w:ascii="Palatino Linotype" w:eastAsia="Palatino Linotype" w:hAnsi="Palatino Linotype" w:cs="Palatino Linotype"/>
          <w:b/>
          <w:i/>
          <w:sz w:val="22"/>
          <w:szCs w:val="22"/>
          <w:u w:val="single"/>
        </w:rPr>
        <w:t>La información concerniente a una persona, identificada o identificable</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según lo dispuesto por la Ley de Protección de Datos Personales del Estado de México;</w:t>
      </w:r>
    </w:p>
    <w:p w14:paraId="3371A7E5" w14:textId="77777777" w:rsidR="00FE3AA8" w:rsidRDefault="0077687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A42DCED" w14:textId="77777777" w:rsidR="00FE3AA8" w:rsidRDefault="0077687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w:t>
      </w:r>
      <w:r>
        <w:rPr>
          <w:rFonts w:ascii="Palatino Linotype" w:eastAsia="Palatino Linotype" w:hAnsi="Palatino Linotype" w:cs="Palatino Linotype"/>
          <w:i/>
          <w:sz w:val="22"/>
          <w:szCs w:val="22"/>
        </w:rPr>
        <w:tab/>
      </w:r>
      <w:r>
        <w:rPr>
          <w:rFonts w:ascii="Palatino Linotype" w:eastAsia="Palatino Linotype" w:hAnsi="Palatino Linotype" w:cs="Palatino Linotype"/>
          <w:b/>
          <w:i/>
          <w:sz w:val="22"/>
          <w:szCs w:val="22"/>
          <w:u w:val="single"/>
        </w:rPr>
        <w:t>Información confidencial</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Se considera como información confidencial</w:t>
      </w:r>
      <w:r>
        <w:rPr>
          <w:rFonts w:ascii="Palatino Linotype" w:eastAsia="Palatino Linotype" w:hAnsi="Palatino Linotype" w:cs="Palatino Linotype"/>
          <w:i/>
          <w:sz w:val="22"/>
          <w:szCs w:val="22"/>
        </w:rPr>
        <w:t xml:space="preserve"> los secretos bancario, fiduciario, industrial, comercial, fiscal, bursátil y postal, </w:t>
      </w:r>
      <w:r>
        <w:rPr>
          <w:rFonts w:ascii="Palatino Linotype" w:eastAsia="Palatino Linotype" w:hAnsi="Palatino Linotype" w:cs="Palatino Linotype"/>
          <w:b/>
          <w:i/>
          <w:sz w:val="22"/>
          <w:szCs w:val="22"/>
          <w:u w:val="single"/>
        </w:rPr>
        <w:t>cuya titularidad corresponda a particulares</w:t>
      </w:r>
      <w:r>
        <w:rPr>
          <w:rFonts w:ascii="Palatino Linotype" w:eastAsia="Palatino Linotype" w:hAnsi="Palatino Linotype" w:cs="Palatino Linotype"/>
          <w:i/>
          <w:sz w:val="22"/>
          <w:szCs w:val="22"/>
        </w:rPr>
        <w:t xml:space="preserve">, sujetos de derecho internacional o a sujetos obligados </w:t>
      </w:r>
      <w:r>
        <w:rPr>
          <w:rFonts w:ascii="Palatino Linotype" w:eastAsia="Palatino Linotype" w:hAnsi="Palatino Linotype" w:cs="Palatino Linotype"/>
          <w:b/>
          <w:i/>
          <w:sz w:val="22"/>
          <w:szCs w:val="22"/>
          <w:u w:val="single"/>
        </w:rPr>
        <w:t>cuando no involucren el ejercicio de recursos públicos</w:t>
      </w:r>
      <w:r>
        <w:rPr>
          <w:rFonts w:ascii="Palatino Linotype" w:eastAsia="Palatino Linotype" w:hAnsi="Palatino Linotype" w:cs="Palatino Linotype"/>
          <w:i/>
          <w:sz w:val="22"/>
          <w:szCs w:val="22"/>
        </w:rPr>
        <w:t>;</w:t>
      </w:r>
    </w:p>
    <w:p w14:paraId="622236AE" w14:textId="77777777" w:rsidR="00FE3AA8" w:rsidRDefault="0077687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5988F18" w14:textId="77777777" w:rsidR="00FE3AA8" w:rsidRDefault="0077687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XXIII. Información privada</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La contenida en documentos públicos</w:t>
      </w:r>
      <w:r>
        <w:rPr>
          <w:rFonts w:ascii="Palatino Linotype" w:eastAsia="Palatino Linotype" w:hAnsi="Palatino Linotype" w:cs="Palatino Linotype"/>
          <w:i/>
          <w:sz w:val="22"/>
          <w:szCs w:val="22"/>
        </w:rPr>
        <w:t xml:space="preserve"> o privados </w:t>
      </w:r>
      <w:r>
        <w:rPr>
          <w:rFonts w:ascii="Palatino Linotype" w:eastAsia="Palatino Linotype" w:hAnsi="Palatino Linotype" w:cs="Palatino Linotype"/>
          <w:b/>
          <w:i/>
          <w:sz w:val="22"/>
          <w:szCs w:val="22"/>
          <w:u w:val="single"/>
        </w:rPr>
        <w:t>que refiera a la vida privada y/o los datos personales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que no son de acceso público</w:t>
      </w:r>
      <w:r>
        <w:rPr>
          <w:rFonts w:ascii="Palatino Linotype" w:eastAsia="Palatino Linotype" w:hAnsi="Palatino Linotype" w:cs="Palatino Linotype"/>
          <w:i/>
          <w:sz w:val="22"/>
          <w:szCs w:val="22"/>
        </w:rPr>
        <w:t>;</w:t>
      </w:r>
    </w:p>
    <w:p w14:paraId="58B67C69" w14:textId="77777777" w:rsidR="00FE3AA8" w:rsidRDefault="0077687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Para los efectos de esta Ley se considera información confidencial</w:t>
      </w:r>
      <w:r>
        <w:rPr>
          <w:rFonts w:ascii="Palatino Linotype" w:eastAsia="Palatino Linotype" w:hAnsi="Palatino Linotype" w:cs="Palatino Linotype"/>
          <w:i/>
          <w:sz w:val="22"/>
          <w:szCs w:val="22"/>
        </w:rPr>
        <w:t xml:space="preserve">, la clasificada como tal, </w:t>
      </w:r>
      <w:r>
        <w:rPr>
          <w:rFonts w:ascii="Palatino Linotype" w:eastAsia="Palatino Linotype" w:hAnsi="Palatino Linotype" w:cs="Palatino Linotype"/>
          <w:b/>
          <w:i/>
          <w:sz w:val="22"/>
          <w:szCs w:val="22"/>
          <w:u w:val="single"/>
        </w:rPr>
        <w:t>de manera permanente, por su naturaleza, cuando</w:t>
      </w:r>
      <w:r>
        <w:rPr>
          <w:rFonts w:ascii="Palatino Linotype" w:eastAsia="Palatino Linotype" w:hAnsi="Palatino Linotype" w:cs="Palatino Linotype"/>
          <w:i/>
          <w:sz w:val="22"/>
          <w:szCs w:val="22"/>
        </w:rPr>
        <w:t xml:space="preserve">: </w:t>
      </w:r>
    </w:p>
    <w:p w14:paraId="6BCFA92D" w14:textId="77777777" w:rsidR="00FE3AA8" w:rsidRDefault="0077687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Se refiera a la información privada</w:t>
      </w:r>
      <w:r>
        <w:rPr>
          <w:rFonts w:ascii="Palatino Linotype" w:eastAsia="Palatino Linotype" w:hAnsi="Palatino Linotype" w:cs="Palatino Linotype"/>
          <w:i/>
          <w:sz w:val="22"/>
          <w:szCs w:val="22"/>
        </w:rPr>
        <w:t xml:space="preserve"> y los datos personales c</w:t>
      </w:r>
      <w:r>
        <w:rPr>
          <w:rFonts w:ascii="Palatino Linotype" w:eastAsia="Palatino Linotype" w:hAnsi="Palatino Linotype" w:cs="Palatino Linotype"/>
          <w:b/>
          <w:i/>
          <w:sz w:val="22"/>
          <w:szCs w:val="22"/>
          <w:u w:val="single"/>
        </w:rPr>
        <w:t xml:space="preserve">oncernientes a una persona física </w:t>
      </w:r>
      <w:r>
        <w:rPr>
          <w:rFonts w:ascii="Palatino Linotype" w:eastAsia="Palatino Linotype" w:hAnsi="Palatino Linotype" w:cs="Palatino Linotype"/>
          <w:i/>
          <w:sz w:val="22"/>
          <w:szCs w:val="22"/>
        </w:rPr>
        <w:t xml:space="preserve">o </w:t>
      </w:r>
      <w:proofErr w:type="gramStart"/>
      <w:r>
        <w:rPr>
          <w:rFonts w:ascii="Palatino Linotype" w:eastAsia="Palatino Linotype" w:hAnsi="Palatino Linotype" w:cs="Palatino Linotype"/>
          <w:i/>
          <w:sz w:val="22"/>
          <w:szCs w:val="22"/>
        </w:rPr>
        <w:t>jurídico</w:t>
      </w:r>
      <w:proofErr w:type="gramEnd"/>
      <w:r>
        <w:rPr>
          <w:rFonts w:ascii="Palatino Linotype" w:eastAsia="Palatino Linotype" w:hAnsi="Palatino Linotype" w:cs="Palatino Linotype"/>
          <w:i/>
          <w:sz w:val="22"/>
          <w:szCs w:val="22"/>
        </w:rPr>
        <w:t xml:space="preserve"> colectiva </w:t>
      </w:r>
      <w:r>
        <w:rPr>
          <w:rFonts w:ascii="Palatino Linotype" w:eastAsia="Palatino Linotype" w:hAnsi="Palatino Linotype" w:cs="Palatino Linotype"/>
          <w:b/>
          <w:i/>
          <w:sz w:val="22"/>
          <w:szCs w:val="22"/>
          <w:u w:val="single"/>
        </w:rPr>
        <w:t>identificada o identificable</w:t>
      </w:r>
      <w:r>
        <w:rPr>
          <w:rFonts w:ascii="Palatino Linotype" w:eastAsia="Palatino Linotype" w:hAnsi="Palatino Linotype" w:cs="Palatino Linotype"/>
          <w:i/>
          <w:sz w:val="22"/>
          <w:szCs w:val="22"/>
        </w:rPr>
        <w:t xml:space="preserve">; </w:t>
      </w:r>
    </w:p>
    <w:p w14:paraId="189A05CE" w14:textId="77777777" w:rsidR="00FE3AA8" w:rsidRDefault="0077687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w:t>
      </w:r>
      <w:proofErr w:type="gramStart"/>
      <w:r>
        <w:rPr>
          <w:rFonts w:ascii="Palatino Linotype" w:eastAsia="Palatino Linotype" w:hAnsi="Palatino Linotype" w:cs="Palatino Linotype"/>
          <w:i/>
          <w:sz w:val="22"/>
          <w:szCs w:val="22"/>
        </w:rPr>
        <w:t>. …</w:t>
      </w:r>
      <w:proofErr w:type="gramEnd"/>
      <w:r>
        <w:rPr>
          <w:rFonts w:ascii="Palatino Linotype" w:eastAsia="Palatino Linotype" w:hAnsi="Palatino Linotype" w:cs="Palatino Linotype"/>
          <w:i/>
          <w:sz w:val="22"/>
          <w:szCs w:val="22"/>
        </w:rPr>
        <w:t xml:space="preserve"> </w:t>
      </w:r>
    </w:p>
    <w:p w14:paraId="67DD7D62" w14:textId="77777777" w:rsidR="00FE3AA8" w:rsidRDefault="0077687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w:t>
      </w:r>
      <w:proofErr w:type="gramStart"/>
      <w:r>
        <w:rPr>
          <w:rFonts w:ascii="Palatino Linotype" w:eastAsia="Palatino Linotype" w:hAnsi="Palatino Linotype" w:cs="Palatino Linotype"/>
          <w:i/>
          <w:sz w:val="22"/>
          <w:szCs w:val="22"/>
        </w:rPr>
        <w:t>. …</w:t>
      </w:r>
      <w:proofErr w:type="gramEnd"/>
      <w:r>
        <w:rPr>
          <w:rFonts w:ascii="Palatino Linotype" w:eastAsia="Palatino Linotype" w:hAnsi="Palatino Linotype" w:cs="Palatino Linotype"/>
          <w:i/>
          <w:sz w:val="22"/>
          <w:szCs w:val="22"/>
        </w:rPr>
        <w:t xml:space="preserve"> </w:t>
      </w:r>
    </w:p>
    <w:p w14:paraId="372018BB" w14:textId="77777777" w:rsidR="00FE3AA8" w:rsidRDefault="0077687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La información confidencial</w:t>
      </w:r>
      <w:r>
        <w:rPr>
          <w:rFonts w:ascii="Palatino Linotype" w:eastAsia="Palatino Linotype" w:hAnsi="Palatino Linotype" w:cs="Palatino Linotype"/>
          <w:i/>
          <w:sz w:val="22"/>
          <w:szCs w:val="22"/>
        </w:rPr>
        <w:t xml:space="preserve"> no estará sujeta a temporalidad alguna y </w:t>
      </w:r>
      <w:r>
        <w:rPr>
          <w:rFonts w:ascii="Palatino Linotype" w:eastAsia="Palatino Linotype" w:hAnsi="Palatino Linotype" w:cs="Palatino Linotype"/>
          <w:b/>
          <w:i/>
          <w:sz w:val="22"/>
          <w:szCs w:val="22"/>
          <w:u w:val="single"/>
        </w:rPr>
        <w:t>sólo podrán tener acceso a ella los titulares de la misma, sus representantes y los servidores públicos facultados para ello</w:t>
      </w:r>
      <w:r>
        <w:rPr>
          <w:rFonts w:ascii="Palatino Linotype" w:eastAsia="Palatino Linotype" w:hAnsi="Palatino Linotype" w:cs="Palatino Linotype"/>
          <w:i/>
          <w:sz w:val="22"/>
          <w:szCs w:val="22"/>
        </w:rPr>
        <w:t xml:space="preserve">. </w:t>
      </w:r>
    </w:p>
    <w:p w14:paraId="656188A3" w14:textId="77777777" w:rsidR="00FE3AA8" w:rsidRDefault="0077687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9C3B2B9" w14:textId="77777777" w:rsidR="00FE3AA8" w:rsidRDefault="00776873">
      <w:pPr>
        <w:ind w:left="709" w:right="709"/>
        <w:jc w:val="center"/>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Ley de Protección de Datos Personales en Posesión de Sujetos Obligados del Estado de México y Municipios</w:t>
      </w:r>
    </w:p>
    <w:p w14:paraId="13AC576D" w14:textId="77777777" w:rsidR="00FE3AA8" w:rsidRDefault="0077687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Para los efectos de esta Ley se entenderá por</w:t>
      </w:r>
      <w:r>
        <w:rPr>
          <w:rFonts w:ascii="Palatino Linotype" w:eastAsia="Palatino Linotype" w:hAnsi="Palatino Linotype" w:cs="Palatino Linotype"/>
          <w:i/>
          <w:sz w:val="22"/>
          <w:szCs w:val="22"/>
        </w:rPr>
        <w:t>:</w:t>
      </w:r>
    </w:p>
    <w:p w14:paraId="55A29982" w14:textId="77777777" w:rsidR="00FE3AA8" w:rsidRDefault="0077687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9E7F0CF" w14:textId="77777777" w:rsidR="00FE3AA8" w:rsidRDefault="00776873">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XI. </w:t>
      </w:r>
      <w:r>
        <w:rPr>
          <w:rFonts w:ascii="Palatino Linotype" w:eastAsia="Palatino Linotype" w:hAnsi="Palatino Linotype" w:cs="Palatino Linotype"/>
          <w:b/>
          <w:i/>
          <w:sz w:val="22"/>
          <w:szCs w:val="22"/>
          <w:u w:val="single"/>
        </w:rPr>
        <w:t>Datos personales</w:t>
      </w:r>
      <w:r>
        <w:rPr>
          <w:rFonts w:ascii="Palatino Linotype" w:eastAsia="Palatino Linotype" w:hAnsi="Palatino Linotype" w:cs="Palatino Linotype"/>
          <w:i/>
          <w:sz w:val="22"/>
          <w:szCs w:val="22"/>
        </w:rPr>
        <w:t xml:space="preserve">: a </w:t>
      </w:r>
      <w:r>
        <w:rPr>
          <w:rFonts w:ascii="Palatino Linotype" w:eastAsia="Palatino Linotype" w:hAnsi="Palatino Linotype" w:cs="Palatino Linotype"/>
          <w:b/>
          <w:i/>
          <w:sz w:val="22"/>
          <w:szCs w:val="22"/>
          <w:u w:val="single"/>
        </w:rPr>
        <w:t>la información concerniente a una persona física o jurídica colectiva identificada o identificable</w:t>
      </w:r>
      <w:r>
        <w:rPr>
          <w:rFonts w:ascii="Palatino Linotype" w:eastAsia="Palatino Linotype" w:hAnsi="Palatino Linotype" w:cs="Palatino Linotype"/>
          <w:i/>
          <w:sz w:val="22"/>
          <w:szCs w:val="22"/>
        </w:rPr>
        <w:t xml:space="preserve">, establecida en cualquier formato o modalidad, y que esté almacenada en los sistemas y bases de datos, </w:t>
      </w:r>
      <w:r>
        <w:rPr>
          <w:rFonts w:ascii="Palatino Linotype" w:eastAsia="Palatino Linotype" w:hAnsi="Palatino Linotype" w:cs="Palatino Linotype"/>
          <w:b/>
          <w:i/>
          <w:sz w:val="22"/>
          <w:szCs w:val="22"/>
          <w:u w:val="single"/>
        </w:rPr>
        <w:t>se considerará que una persona es identificable cuando su identidad pueda determinarse directa o indirectamente</w:t>
      </w:r>
      <w:r>
        <w:rPr>
          <w:rFonts w:ascii="Palatino Linotype" w:eastAsia="Palatino Linotype" w:hAnsi="Palatino Linotype" w:cs="Palatino Linotype"/>
          <w:i/>
          <w:sz w:val="22"/>
          <w:szCs w:val="22"/>
        </w:rPr>
        <w:t xml:space="preserve"> a través de cualquier documento informativo físico o electrónico.”</w:t>
      </w:r>
    </w:p>
    <w:p w14:paraId="320E1436" w14:textId="77777777" w:rsidR="00FE3AA8" w:rsidRDefault="00776873">
      <w:pPr>
        <w:ind w:left="709" w:right="70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612A1B61" w14:textId="77777777" w:rsidR="00FE3AA8" w:rsidRDefault="00776873">
      <w:pPr>
        <w:widowControl w:val="0"/>
        <w:spacing w:before="200" w:after="20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una interpretación armónica y sistemática de dichos preceptos jurídicos, podemos advertir que la información privada es aquella contenida en documentos de orden público que se refiera o contenga, a su vez, datos personales, los cuales no serán de acceso </w:t>
      </w:r>
      <w:r>
        <w:rPr>
          <w:rFonts w:ascii="Palatino Linotype" w:eastAsia="Palatino Linotype" w:hAnsi="Palatino Linotype" w:cs="Palatino Linotype"/>
        </w:rPr>
        <w:lastRenderedPageBreak/>
        <w:t xml:space="preserve">público. En ese mismo sentido, los datos personales son aquellos que conciernen a una persona, ya sea física o jurídica colectiva, que </w:t>
      </w:r>
      <w:r>
        <w:rPr>
          <w:rFonts w:ascii="Palatino Linotype" w:eastAsia="Palatino Linotype" w:hAnsi="Palatino Linotype" w:cs="Palatino Linotype"/>
          <w:b/>
          <w:u w:val="single"/>
        </w:rPr>
        <w:t>la hacen identificada o identificable</w:t>
      </w:r>
      <w:r>
        <w:rPr>
          <w:rFonts w:ascii="Palatino Linotype" w:eastAsia="Palatino Linotype" w:hAnsi="Palatino Linotype" w:cs="Palatino Linotype"/>
        </w:rPr>
        <w:t>; lo anterior, siempre que no involucren el ejercicio de recursos públicos.</w:t>
      </w:r>
    </w:p>
    <w:p w14:paraId="2769482F" w14:textId="77777777" w:rsidR="00FE3AA8" w:rsidRDefault="00776873">
      <w:pPr>
        <w:widowControl w:val="0"/>
        <w:tabs>
          <w:tab w:val="left" w:pos="1276"/>
        </w:tabs>
        <w:spacing w:before="24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en razón a los argumentos expuestos a lo largo del presente estudio se determina </w:t>
      </w:r>
      <w:r>
        <w:rPr>
          <w:rFonts w:ascii="Palatino Linotype" w:eastAsia="Palatino Linotype" w:hAnsi="Palatino Linotype" w:cs="Palatino Linotype"/>
          <w:b/>
        </w:rPr>
        <w:t xml:space="preserve">Modificar </w:t>
      </w:r>
      <w:r>
        <w:rPr>
          <w:rFonts w:ascii="Palatino Linotype" w:eastAsia="Palatino Linotype" w:hAnsi="Palatino Linotype" w:cs="Palatino Linotype"/>
        </w:rPr>
        <w:t xml:space="preserve">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y ordenar la entrega de la información en los términos descritos en el cuerpo de la resolución del recurso de revisión que nos ocupa.</w:t>
      </w:r>
    </w:p>
    <w:p w14:paraId="0D02F4CA" w14:textId="77777777" w:rsidR="00FE3AA8" w:rsidRDefault="0077687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4575A853" w14:textId="77777777" w:rsidR="00FE3AA8" w:rsidRDefault="00776873">
      <w:pPr>
        <w:spacing w:before="280" w:after="28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R E S U E L V E</w:t>
      </w:r>
    </w:p>
    <w:p w14:paraId="4DC741CE" w14:textId="77777777" w:rsidR="00FE3AA8" w:rsidRDefault="00776873">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PRIMERO</w:t>
      </w:r>
      <w:r>
        <w:rPr>
          <w:rFonts w:ascii="Palatino Linotype" w:eastAsia="Palatino Linotype" w:hAnsi="Palatino Linotype" w:cs="Palatino Linotype"/>
        </w:rPr>
        <w:t xml:space="preserve">. Resultan </w:t>
      </w:r>
      <w:r>
        <w:rPr>
          <w:rFonts w:ascii="Palatino Linotype" w:eastAsia="Palatino Linotype" w:hAnsi="Palatino Linotype" w:cs="Palatino Linotype"/>
          <w:b/>
        </w:rPr>
        <w:t>fundadas</w:t>
      </w:r>
      <w:r>
        <w:rPr>
          <w:rFonts w:ascii="Palatino Linotype" w:eastAsia="Palatino Linotype" w:hAnsi="Palatino Linotype" w:cs="Palatino Linotype"/>
        </w:rPr>
        <w:t xml:space="preserve"> las razones o motivos de inconformidad planteadas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términos del Considerando </w:t>
      </w:r>
      <w:r>
        <w:rPr>
          <w:rFonts w:ascii="Palatino Linotype" w:eastAsia="Palatino Linotype" w:hAnsi="Palatino Linotype" w:cs="Palatino Linotype"/>
          <w:b/>
        </w:rPr>
        <w:t>QUINTO</w:t>
      </w:r>
      <w:r>
        <w:rPr>
          <w:rFonts w:ascii="Palatino Linotype" w:eastAsia="Palatino Linotype" w:hAnsi="Palatino Linotype" w:cs="Palatino Linotype"/>
        </w:rPr>
        <w:t xml:space="preserve"> de la presente resolución.</w:t>
      </w:r>
    </w:p>
    <w:p w14:paraId="70346AE1" w14:textId="77777777" w:rsidR="00FE3AA8" w:rsidRDefault="0077687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SEGUNDO</w:t>
      </w:r>
      <w:r>
        <w:rPr>
          <w:rFonts w:ascii="Palatino Linotype" w:eastAsia="Palatino Linotype" w:hAnsi="Palatino Linotype" w:cs="Palatino Linotype"/>
        </w:rPr>
        <w:t xml:space="preserve">. 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 xml:space="preserve">la respuesta otorgada por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a la solicitud de información que dio origen al recurso de revisión </w:t>
      </w:r>
      <w:r>
        <w:rPr>
          <w:rFonts w:ascii="Palatino Linotype" w:eastAsia="Palatino Linotype" w:hAnsi="Palatino Linotype" w:cs="Palatino Linotype"/>
          <w:b/>
        </w:rPr>
        <w:t>05677/INFOEM/IP/RR/2021</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rPr>
        <w:t xml:space="preserve">y se le ordena en términos del Considerando </w:t>
      </w:r>
      <w:r>
        <w:rPr>
          <w:rFonts w:ascii="Palatino Linotype" w:eastAsia="Palatino Linotype" w:hAnsi="Palatino Linotype" w:cs="Palatino Linotype"/>
          <w:b/>
        </w:rPr>
        <w:t>QUINTO</w:t>
      </w:r>
      <w:r>
        <w:rPr>
          <w:rFonts w:ascii="Palatino Linotype" w:eastAsia="Palatino Linotype" w:hAnsi="Palatino Linotype" w:cs="Palatino Linotype"/>
        </w:rPr>
        <w:t xml:space="preserve"> de la presente resolución, entregue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vía </w:t>
      </w:r>
      <w:r>
        <w:rPr>
          <w:rFonts w:ascii="Palatino Linotype" w:eastAsia="Palatino Linotype" w:hAnsi="Palatino Linotype" w:cs="Palatino Linotype"/>
          <w:b/>
        </w:rPr>
        <w:t>SAIMEX</w:t>
      </w:r>
      <w:r>
        <w:rPr>
          <w:rFonts w:ascii="Palatino Linotype" w:eastAsia="Palatino Linotype" w:hAnsi="Palatino Linotype" w:cs="Palatino Linotype"/>
        </w:rPr>
        <w:t xml:space="preserve">, de ser procedente en </w:t>
      </w:r>
      <w:r>
        <w:rPr>
          <w:rFonts w:ascii="Palatino Linotype" w:eastAsia="Palatino Linotype" w:hAnsi="Palatino Linotype" w:cs="Palatino Linotype"/>
          <w:b/>
        </w:rPr>
        <w:t>versión pública</w:t>
      </w:r>
      <w:r>
        <w:rPr>
          <w:rFonts w:ascii="Palatino Linotype" w:eastAsia="Palatino Linotype" w:hAnsi="Palatino Linotype" w:cs="Palatino Linotype"/>
        </w:rPr>
        <w:t xml:space="preserve"> de lo siguiente:</w:t>
      </w:r>
    </w:p>
    <w:p w14:paraId="25F51AEC" w14:textId="77777777" w:rsidR="00FE3AA8" w:rsidRDefault="00FE3AA8">
      <w:pPr>
        <w:spacing w:line="360" w:lineRule="auto"/>
        <w:jc w:val="both"/>
        <w:rPr>
          <w:rFonts w:ascii="Palatino Linotype" w:eastAsia="Palatino Linotype" w:hAnsi="Palatino Linotype" w:cs="Palatino Linotype"/>
          <w:sz w:val="12"/>
          <w:szCs w:val="12"/>
        </w:rPr>
      </w:pPr>
    </w:p>
    <w:p w14:paraId="0F01F8B0" w14:textId="413F3CE3" w:rsidR="0034137C" w:rsidRDefault="00776873" w:rsidP="0034137C">
      <w:pPr>
        <w:pStyle w:val="Prrafodelista"/>
        <w:numPr>
          <w:ilvl w:val="0"/>
          <w:numId w:val="3"/>
        </w:numPr>
        <w:ind w:right="902"/>
        <w:jc w:val="both"/>
        <w:rPr>
          <w:rFonts w:ascii="Palatino Linotype" w:eastAsia="Palatino Linotype" w:hAnsi="Palatino Linotype"/>
          <w:i/>
        </w:rPr>
      </w:pPr>
      <w:r w:rsidRPr="0034137C">
        <w:rPr>
          <w:rFonts w:ascii="Palatino Linotype" w:eastAsia="Palatino Linotype" w:hAnsi="Palatino Linotype"/>
          <w:i/>
        </w:rPr>
        <w:lastRenderedPageBreak/>
        <w:t>El soporte documental donde conste el equipamiento, ubicación, medidas, colindancias y planos para cada uno d</w:t>
      </w:r>
      <w:r w:rsidR="002C4A78">
        <w:rPr>
          <w:rFonts w:ascii="Palatino Linotype" w:eastAsia="Palatino Linotype" w:hAnsi="Palatino Linotype"/>
          <w:i/>
        </w:rPr>
        <w:t>e los parques del municipio al 9</w:t>
      </w:r>
      <w:r w:rsidRPr="0034137C">
        <w:rPr>
          <w:rFonts w:ascii="Palatino Linotype" w:eastAsia="Palatino Linotype" w:hAnsi="Palatino Linotype"/>
          <w:i/>
        </w:rPr>
        <w:t xml:space="preserve"> de octubre de 2021</w:t>
      </w:r>
    </w:p>
    <w:p w14:paraId="1777E4FD" w14:textId="1BB7FE86" w:rsidR="0034137C" w:rsidRDefault="00776873" w:rsidP="0034137C">
      <w:pPr>
        <w:pStyle w:val="Prrafodelista"/>
        <w:numPr>
          <w:ilvl w:val="0"/>
          <w:numId w:val="3"/>
        </w:numPr>
        <w:ind w:right="902"/>
        <w:jc w:val="both"/>
        <w:rPr>
          <w:rFonts w:ascii="Palatino Linotype" w:eastAsia="Palatino Linotype" w:hAnsi="Palatino Linotype"/>
          <w:i/>
        </w:rPr>
      </w:pPr>
      <w:r w:rsidRPr="0034137C">
        <w:rPr>
          <w:rFonts w:ascii="Palatino Linotype" w:eastAsia="Palatino Linotype" w:hAnsi="Palatino Linotype"/>
          <w:i/>
        </w:rPr>
        <w:t>El soporte documental donde conste la lista de asistencia de las y los regidores, síndicos, secretario del ayuntamiento y presidente o presidenta municipal a las comisiones edili</w:t>
      </w:r>
      <w:r w:rsidR="002C4A78">
        <w:rPr>
          <w:rFonts w:ascii="Palatino Linotype" w:eastAsia="Palatino Linotype" w:hAnsi="Palatino Linotype"/>
          <w:i/>
        </w:rPr>
        <w:t>cias del 1 de enero de 2021 al 9</w:t>
      </w:r>
      <w:r w:rsidRPr="0034137C">
        <w:rPr>
          <w:rFonts w:ascii="Palatino Linotype" w:eastAsia="Palatino Linotype" w:hAnsi="Palatino Linotype"/>
          <w:i/>
        </w:rPr>
        <w:t xml:space="preserve"> de octubre de 2021.</w:t>
      </w:r>
    </w:p>
    <w:p w14:paraId="6406D807" w14:textId="77777777" w:rsidR="0034137C" w:rsidRDefault="0034137C" w:rsidP="0034137C">
      <w:pPr>
        <w:ind w:left="902" w:right="902"/>
        <w:jc w:val="both"/>
        <w:rPr>
          <w:rFonts w:ascii="Palatino Linotype" w:eastAsia="Palatino Linotype" w:hAnsi="Palatino Linotype" w:cs="Palatino Linotype"/>
          <w:i/>
          <w:color w:val="000000"/>
          <w:sz w:val="22"/>
          <w:szCs w:val="22"/>
        </w:rPr>
      </w:pPr>
    </w:p>
    <w:p w14:paraId="61A898E3" w14:textId="20F4A266" w:rsidR="00FE3AA8" w:rsidRPr="0034137C" w:rsidRDefault="00776873" w:rsidP="0034137C">
      <w:pPr>
        <w:ind w:left="902" w:right="902"/>
        <w:jc w:val="both"/>
        <w:rPr>
          <w:rFonts w:ascii="Palatino Linotype" w:eastAsia="Palatino Linotype" w:hAnsi="Palatino Linotype"/>
          <w:i/>
        </w:rPr>
      </w:pPr>
      <w:r w:rsidRPr="0034137C">
        <w:rPr>
          <w:rFonts w:ascii="Palatino Linotype" w:eastAsia="Palatino Linotype" w:hAnsi="Palatino Linotype" w:cs="Palatino Linotype"/>
          <w:i/>
          <w:color w:val="000000"/>
          <w:sz w:val="22"/>
          <w:szCs w:val="22"/>
        </w:rPr>
        <w:t xml:space="preserve">Debiendo notificar al </w:t>
      </w:r>
      <w:r w:rsidRPr="0034137C">
        <w:rPr>
          <w:rFonts w:ascii="Palatino Linotype" w:eastAsia="Palatino Linotype" w:hAnsi="Palatino Linotype" w:cs="Palatino Linotype"/>
          <w:b/>
          <w:i/>
          <w:color w:val="000000"/>
          <w:sz w:val="22"/>
          <w:szCs w:val="22"/>
        </w:rPr>
        <w:t>RECURRENTE</w:t>
      </w:r>
      <w:r w:rsidRPr="0034137C">
        <w:rPr>
          <w:rFonts w:ascii="Palatino Linotype" w:eastAsia="Palatino Linotype" w:hAnsi="Palatino Linotype" w:cs="Palatino Linotype"/>
          <w:i/>
          <w:color w:val="000000"/>
          <w:sz w:val="22"/>
          <w:szCs w:val="22"/>
        </w:rPr>
        <w:t xml:space="preserve"> el Acuerdo de Clasificación de la información que emita el Comité de Transparencia con motivo de la versión pública de ser procedente.</w:t>
      </w:r>
    </w:p>
    <w:p w14:paraId="1BFE3939" w14:textId="77777777" w:rsidR="00FE3AA8" w:rsidRDefault="00FE3AA8">
      <w:pPr>
        <w:pBdr>
          <w:top w:val="nil"/>
          <w:left w:val="nil"/>
          <w:bottom w:val="nil"/>
          <w:right w:val="nil"/>
          <w:between w:val="nil"/>
        </w:pBdr>
        <w:ind w:left="851" w:right="899"/>
        <w:jc w:val="both"/>
        <w:rPr>
          <w:rFonts w:ascii="Palatino Linotype" w:eastAsia="Palatino Linotype" w:hAnsi="Palatino Linotype" w:cs="Palatino Linotype"/>
          <w:i/>
        </w:rPr>
      </w:pPr>
    </w:p>
    <w:p w14:paraId="02E603BF" w14:textId="77777777" w:rsidR="00FE3AA8" w:rsidRDefault="00776873">
      <w:pPr>
        <w:pBdr>
          <w:top w:val="nil"/>
          <w:left w:val="nil"/>
          <w:bottom w:val="nil"/>
          <w:right w:val="nil"/>
          <w:between w:val="nil"/>
        </w:pBdr>
        <w:ind w:left="851" w:right="899"/>
        <w:jc w:val="both"/>
        <w:rPr>
          <w:rFonts w:ascii="Palatino Linotype" w:eastAsia="Palatino Linotype" w:hAnsi="Palatino Linotype" w:cs="Palatino Linotype"/>
          <w:i/>
          <w:color w:val="000000"/>
        </w:rPr>
      </w:pPr>
      <w:r>
        <w:rPr>
          <w:rFonts w:ascii="Palatino Linotype" w:eastAsia="Palatino Linotype" w:hAnsi="Palatino Linotype" w:cs="Palatino Linotype"/>
          <w:i/>
          <w:sz w:val="22"/>
          <w:szCs w:val="22"/>
        </w:rPr>
        <w:t xml:space="preserve">Para el caso de no contar con la información que se ordena en el inciso B), </w:t>
      </w:r>
      <w:r>
        <w:rPr>
          <w:rFonts w:ascii="Palatino Linotype" w:eastAsia="Palatino Linotype" w:hAnsi="Palatino Linotype" w:cs="Palatino Linotype"/>
          <w:b/>
          <w:i/>
          <w:sz w:val="22"/>
          <w:szCs w:val="22"/>
        </w:rPr>
        <w:t>EL SUJETO OBLIGADO</w:t>
      </w:r>
      <w:r>
        <w:rPr>
          <w:rFonts w:ascii="Palatino Linotype" w:eastAsia="Palatino Linotype" w:hAnsi="Palatino Linotype" w:cs="Palatino Linotype"/>
          <w:i/>
          <w:sz w:val="22"/>
          <w:szCs w:val="22"/>
        </w:rPr>
        <w:t xml:space="preserve"> deberá entregar el acuerdo de inexistencia que emita el Comité de Transparencia de conformidad con los artículos 19, 169 y 170 de la Ley de Transparencia y Acceso a la Información Pública del Estado de México y Municipios</w:t>
      </w:r>
    </w:p>
    <w:p w14:paraId="4D2A672A" w14:textId="77777777" w:rsidR="00FE3AA8" w:rsidRDefault="00FE3AA8">
      <w:pPr>
        <w:pBdr>
          <w:top w:val="nil"/>
          <w:left w:val="nil"/>
          <w:bottom w:val="nil"/>
          <w:right w:val="nil"/>
          <w:between w:val="nil"/>
        </w:pBdr>
        <w:ind w:left="851" w:right="899"/>
        <w:jc w:val="both"/>
        <w:rPr>
          <w:rFonts w:ascii="Palatino Linotype" w:eastAsia="Palatino Linotype" w:hAnsi="Palatino Linotype" w:cs="Palatino Linotype"/>
          <w:i/>
          <w:color w:val="000000"/>
          <w:sz w:val="12"/>
          <w:szCs w:val="12"/>
        </w:rPr>
      </w:pPr>
    </w:p>
    <w:p w14:paraId="6EC4999D" w14:textId="77777777" w:rsidR="00FE3AA8" w:rsidRDefault="00776873">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8"/>
          <w:szCs w:val="28"/>
        </w:rPr>
        <w:t>TERCERO</w:t>
      </w:r>
      <w:r>
        <w:rPr>
          <w:rFonts w:ascii="Palatino Linotype" w:eastAsia="Palatino Linotype" w:hAnsi="Palatino Linotype" w:cs="Palatino Linotype"/>
        </w:rPr>
        <w:t xml:space="preserve">. </w:t>
      </w:r>
      <w:r>
        <w:rPr>
          <w:rFonts w:ascii="Palatino Linotype" w:eastAsia="Palatino Linotype" w:hAnsi="Palatino Linotype" w:cs="Palatino Linotype"/>
          <w:b/>
        </w:rPr>
        <w:t>Notifíquese</w:t>
      </w:r>
      <w:r>
        <w:rPr>
          <w:rFonts w:ascii="Palatino Linotype" w:eastAsia="Palatino Linotype" w:hAnsi="Palatino Linotype" w:cs="Palatino Linotype"/>
        </w:rPr>
        <w:t xml:space="preserve"> al Titular de la Unidad de Transparencia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vía Sistema de Acceso a la Información Mexiquense,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7460756" w14:textId="77777777" w:rsidR="00FE3AA8" w:rsidRDefault="00776873">
      <w:pPr>
        <w:widowControl w:val="0"/>
        <w:pBdr>
          <w:top w:val="nil"/>
          <w:left w:val="nil"/>
          <w:bottom w:val="nil"/>
          <w:right w:val="nil"/>
          <w:between w:val="nil"/>
        </w:pBdr>
        <w:tabs>
          <w:tab w:val="left" w:pos="1701"/>
        </w:tabs>
        <w:spacing w:before="24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CUARTO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Notifíquese</w:t>
      </w:r>
      <w:r>
        <w:rPr>
          <w:rFonts w:ascii="Palatino Linotype" w:eastAsia="Palatino Linotype" w:hAnsi="Palatino Linotype" w:cs="Palatino Linotype"/>
          <w:color w:val="000000"/>
        </w:rPr>
        <w:t xml:space="preserve"> al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vía Sistema de Acceso a la Información Mexiquense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la presente resolución.</w:t>
      </w:r>
    </w:p>
    <w:p w14:paraId="249425EA" w14:textId="77777777" w:rsidR="00FE3AA8" w:rsidRDefault="00776873">
      <w:pPr>
        <w:widowControl w:val="0"/>
        <w:pBdr>
          <w:top w:val="nil"/>
          <w:left w:val="nil"/>
          <w:bottom w:val="nil"/>
          <w:right w:val="nil"/>
          <w:between w:val="nil"/>
        </w:pBdr>
        <w:tabs>
          <w:tab w:val="left" w:pos="1701"/>
        </w:tabs>
        <w:spacing w:before="24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sz w:val="28"/>
          <w:szCs w:val="28"/>
        </w:rPr>
        <w:t>QUINTO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Hágase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del conocimiento</w:t>
      </w:r>
      <w:r>
        <w:rPr>
          <w:rFonts w:ascii="Palatino Linotype" w:eastAsia="Palatino Linotype" w:hAnsi="Palatino Linotype" w:cs="Palatino Linotype"/>
          <w:color w:val="000000"/>
        </w:rPr>
        <w:t xml:space="preserve"> del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que, de conformidad con lo establecido en el artículo 196 de la Ley de Transparencia y Acceso a la Información </w:t>
      </w:r>
      <w:r>
        <w:rPr>
          <w:rFonts w:ascii="Palatino Linotype" w:eastAsia="Palatino Linotype" w:hAnsi="Palatino Linotype" w:cs="Palatino Linotype"/>
          <w:color w:val="000000"/>
        </w:rPr>
        <w:lastRenderedPageBreak/>
        <w:t>Pública del Estado de México y Municipios, podrá impugnarla vía Juicio de Amparo en los términos de las leyes aplicables.</w:t>
      </w:r>
    </w:p>
    <w:p w14:paraId="627F5A46" w14:textId="77777777" w:rsidR="00FE3AA8" w:rsidRDefault="00776873">
      <w:pPr>
        <w:widowControl w:val="0"/>
        <w:pBdr>
          <w:top w:val="nil"/>
          <w:left w:val="nil"/>
          <w:bottom w:val="nil"/>
          <w:right w:val="nil"/>
          <w:between w:val="nil"/>
        </w:pBdr>
        <w:tabs>
          <w:tab w:val="left" w:pos="1701"/>
        </w:tabs>
        <w:spacing w:before="240" w:after="240" w:line="360" w:lineRule="auto"/>
        <w:ind w:right="49"/>
        <w:jc w:val="both"/>
        <w:rPr>
          <w:rFonts w:ascii="Palatino Linotype" w:eastAsia="Palatino Linotype" w:hAnsi="Palatino Linotype" w:cs="Palatino Linotype"/>
          <w:color w:val="222222"/>
        </w:rPr>
      </w:pPr>
      <w:r>
        <w:rPr>
          <w:rFonts w:ascii="Palatino Linotype" w:eastAsia="Palatino Linotype" w:hAnsi="Palatino Linotype" w:cs="Palatino Linotype"/>
          <w:b/>
          <w:color w:val="000000"/>
          <w:sz w:val="28"/>
          <w:szCs w:val="28"/>
        </w:rPr>
        <w:t>SEXTO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222222"/>
        </w:rPr>
        <w:t xml:space="preserve">De conformidad con el artículo 198 de la Ley de Transparencia y Acceso a la Información Pública del Estado de México y Municipios, de considerarlo procedente, </w:t>
      </w:r>
      <w:r>
        <w:rPr>
          <w:rFonts w:ascii="Palatino Linotype" w:eastAsia="Palatino Linotype" w:hAnsi="Palatino Linotype" w:cs="Palatino Linotype"/>
          <w:b/>
          <w:color w:val="222222"/>
        </w:rPr>
        <w:t>EL SUJETO OBLIGADO</w:t>
      </w:r>
      <w:r>
        <w:rPr>
          <w:rFonts w:ascii="Palatino Linotype" w:eastAsia="Palatino Linotype" w:hAnsi="Palatino Linotype" w:cs="Palatino Linotype"/>
          <w:color w:val="222222"/>
        </w:rPr>
        <w:t xml:space="preserve"> de manera fundada y motivada, podrá solicitar una ampliación de plazo para el cumplimiento de la presente resolución.</w:t>
      </w:r>
    </w:p>
    <w:p w14:paraId="4AB70838" w14:textId="77777777" w:rsidR="00FE3AA8" w:rsidRDefault="00FE3AA8">
      <w:pPr>
        <w:spacing w:line="360" w:lineRule="auto"/>
        <w:jc w:val="both"/>
        <w:rPr>
          <w:rFonts w:ascii="Palatino Linotype" w:eastAsia="Palatino Linotype" w:hAnsi="Palatino Linotype" w:cs="Palatino Linotype"/>
          <w:color w:val="000000"/>
          <w:sz w:val="28"/>
          <w:szCs w:val="28"/>
        </w:rPr>
      </w:pPr>
    </w:p>
    <w:p w14:paraId="6AC32F8C" w14:textId="3BE4D5DD" w:rsidR="00FE3AA8" w:rsidRDefault="00776873">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LO RESUELVE, POR</w:t>
      </w:r>
      <w:r>
        <w:rPr>
          <w:rFonts w:ascii="Palatino Linotype" w:eastAsia="Palatino Linotype" w:hAnsi="Palatino Linotype" w:cs="Palatino Linotype"/>
        </w:rPr>
        <w:t xml:space="preserve"> UNANIMIDAD </w:t>
      </w:r>
      <w:r>
        <w:rPr>
          <w:rFonts w:ascii="Palatino Linotype" w:eastAsia="Palatino Linotype" w:hAnsi="Palatino Linotype" w:cs="Palatino Linotype"/>
          <w:color w:val="000000"/>
        </w:rPr>
        <w:t>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w:t>
      </w:r>
      <w:r>
        <w:rPr>
          <w:rFonts w:ascii="Palatino Linotype" w:eastAsia="Palatino Linotype" w:hAnsi="Palatino Linotype" w:cs="Palatino Linotype"/>
        </w:rPr>
        <w:t xml:space="preserve"> CUARTA </w:t>
      </w:r>
      <w:r>
        <w:rPr>
          <w:rFonts w:ascii="Palatino Linotype" w:eastAsia="Palatino Linotype" w:hAnsi="Palatino Linotype" w:cs="Palatino Linotype"/>
          <w:color w:val="000000"/>
        </w:rPr>
        <w:t>SESIÓN ORDINARIA CELEBRADA EL</w:t>
      </w:r>
      <w:r>
        <w:rPr>
          <w:rFonts w:ascii="Palatino Linotype" w:eastAsia="Palatino Linotype" w:hAnsi="Palatino Linotype" w:cs="Palatino Linotype"/>
        </w:rPr>
        <w:t xml:space="preserve"> </w:t>
      </w:r>
      <w:r w:rsidR="0034137C">
        <w:rPr>
          <w:rFonts w:ascii="Palatino Linotype" w:eastAsia="Palatino Linotype" w:hAnsi="Palatino Linotype" w:cs="Palatino Linotype"/>
        </w:rPr>
        <w:t>CUATRO</w:t>
      </w:r>
      <w:r>
        <w:rPr>
          <w:rFonts w:ascii="Palatino Linotype" w:eastAsia="Palatino Linotype" w:hAnsi="Palatino Linotype" w:cs="Palatino Linotype"/>
        </w:rPr>
        <w:t xml:space="preserve"> DE FEBRERO </w:t>
      </w:r>
      <w:r>
        <w:rPr>
          <w:rFonts w:ascii="Palatino Linotype" w:eastAsia="Palatino Linotype" w:hAnsi="Palatino Linotype" w:cs="Palatino Linotype"/>
          <w:color w:val="000000"/>
        </w:rPr>
        <w:t xml:space="preserve">DE DOS MIL </w:t>
      </w:r>
      <w:r>
        <w:rPr>
          <w:rFonts w:ascii="Palatino Linotype" w:eastAsia="Palatino Linotype" w:hAnsi="Palatino Linotype" w:cs="Palatino Linotype"/>
        </w:rPr>
        <w:t>VEINTIDÓS</w:t>
      </w:r>
      <w:r>
        <w:rPr>
          <w:rFonts w:ascii="Palatino Linotype" w:eastAsia="Palatino Linotype" w:hAnsi="Palatino Linotype" w:cs="Palatino Linotype"/>
          <w:color w:val="000000"/>
        </w:rPr>
        <w:t>, ANTE EL SECRETARIO TÉCNICO DEL PLENO, ALEXIS TAPIA RAMÍREZ.</w:t>
      </w:r>
    </w:p>
    <w:p w14:paraId="5D03FA94" w14:textId="77777777" w:rsidR="00FE3AA8" w:rsidRDefault="00776873">
      <w:pPr>
        <w:jc w:val="both"/>
        <w:rPr>
          <w:rFonts w:ascii="Palatino Linotype" w:eastAsia="Palatino Linotype" w:hAnsi="Palatino Linotype" w:cs="Palatino Linotype"/>
          <w:color w:val="000000"/>
          <w:sz w:val="20"/>
          <w:szCs w:val="20"/>
        </w:rPr>
      </w:pPr>
      <w:r>
        <w:rPr>
          <w:rFonts w:ascii="Palatino Linotype" w:eastAsia="Palatino Linotype" w:hAnsi="Palatino Linotype" w:cs="Palatino Linotype"/>
          <w:sz w:val="20"/>
          <w:szCs w:val="20"/>
        </w:rPr>
        <w:t>JMV/CCR/</w:t>
      </w:r>
      <w:r>
        <w:rPr>
          <w:rFonts w:ascii="Palatino Linotype" w:eastAsia="Palatino Linotype" w:hAnsi="Palatino Linotype" w:cs="Palatino Linotype"/>
          <w:color w:val="000000"/>
          <w:sz w:val="20"/>
          <w:szCs w:val="20"/>
        </w:rPr>
        <w:t>BLA/DEMF/</w:t>
      </w:r>
      <w:r>
        <w:rPr>
          <w:rFonts w:ascii="Palatino Linotype" w:eastAsia="Palatino Linotype" w:hAnsi="Palatino Linotype" w:cs="Palatino Linotype"/>
          <w:sz w:val="20"/>
          <w:szCs w:val="20"/>
        </w:rPr>
        <w:t>PMRE</w:t>
      </w:r>
    </w:p>
    <w:p w14:paraId="7CB0EF1B" w14:textId="77777777" w:rsidR="00FE3AA8" w:rsidRDefault="00776873">
      <w:pPr>
        <w:rPr>
          <w:rFonts w:ascii="Palatino Linotype" w:eastAsia="Palatino Linotype" w:hAnsi="Palatino Linotype" w:cs="Palatino Linotype"/>
          <w:color w:val="000000"/>
          <w:sz w:val="20"/>
          <w:szCs w:val="20"/>
        </w:rPr>
      </w:pPr>
      <w:r>
        <w:br w:type="page"/>
      </w:r>
    </w:p>
    <w:p w14:paraId="2AD1DBDE" w14:textId="77777777" w:rsidR="00FE3AA8" w:rsidRDefault="00FE3AA8">
      <w:pPr>
        <w:jc w:val="both"/>
        <w:rPr>
          <w:rFonts w:ascii="Palatino Linotype" w:eastAsia="Palatino Linotype" w:hAnsi="Palatino Linotype" w:cs="Palatino Linotype"/>
          <w:color w:val="000000"/>
          <w:sz w:val="20"/>
          <w:szCs w:val="20"/>
        </w:rPr>
      </w:pPr>
    </w:p>
    <w:sectPr w:rsidR="00FE3AA8">
      <w:headerReference w:type="even" r:id="rId18"/>
      <w:headerReference w:type="default" r:id="rId19"/>
      <w:footerReference w:type="default" r:id="rId20"/>
      <w:headerReference w:type="first" r:id="rId21"/>
      <w:footerReference w:type="first" r:id="rId22"/>
      <w:pgSz w:w="12240" w:h="15840"/>
      <w:pgMar w:top="1418" w:right="1190" w:bottom="1276" w:left="1700"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2FE829" w14:textId="77777777" w:rsidR="00110BC1" w:rsidRDefault="00110BC1">
      <w:r>
        <w:separator/>
      </w:r>
    </w:p>
  </w:endnote>
  <w:endnote w:type="continuationSeparator" w:id="0">
    <w:p w14:paraId="78DCAC2B" w14:textId="77777777" w:rsidR="00110BC1" w:rsidRDefault="00110B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4D"/>
    <w:family w:val="auto"/>
    <w:pitch w:val="variable"/>
    <w:sig w:usb0="A00002FF" w:usb1="7800205A" w:usb2="14600000" w:usb3="00000000" w:csb0="00000193"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36E63" w14:textId="77777777" w:rsidR="00FE3AA8" w:rsidRDefault="0077687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9179AB">
      <w:rPr>
        <w:rFonts w:ascii="Palatino Linotype" w:eastAsia="Palatino Linotype" w:hAnsi="Palatino Linotype" w:cs="Palatino Linotype"/>
        <w:noProof/>
        <w:color w:val="000000"/>
        <w:sz w:val="22"/>
        <w:szCs w:val="22"/>
      </w:rPr>
      <w:t>45</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9179AB">
      <w:rPr>
        <w:rFonts w:ascii="Palatino Linotype" w:eastAsia="Palatino Linotype" w:hAnsi="Palatino Linotype" w:cs="Palatino Linotype"/>
        <w:noProof/>
        <w:color w:val="000000"/>
        <w:sz w:val="22"/>
        <w:szCs w:val="22"/>
      </w:rPr>
      <w:t>47</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F6F28" w14:textId="77777777" w:rsidR="00FE3AA8" w:rsidRDefault="00776873">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0610E0">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0610E0">
      <w:rPr>
        <w:rFonts w:ascii="Palatino Linotype" w:eastAsia="Palatino Linotype" w:hAnsi="Palatino Linotype" w:cs="Palatino Linotype"/>
        <w:noProof/>
        <w:color w:val="000000"/>
        <w:sz w:val="22"/>
        <w:szCs w:val="22"/>
      </w:rPr>
      <w:t>47</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D84B70" w14:textId="77777777" w:rsidR="00110BC1" w:rsidRDefault="00110BC1">
      <w:r>
        <w:separator/>
      </w:r>
    </w:p>
  </w:footnote>
  <w:footnote w:type="continuationSeparator" w:id="0">
    <w:p w14:paraId="5A318016" w14:textId="77777777" w:rsidR="00110BC1" w:rsidRDefault="00110BC1">
      <w:r>
        <w:continuationSeparator/>
      </w:r>
    </w:p>
  </w:footnote>
  <w:footnote w:id="1">
    <w:p w14:paraId="67A213DD" w14:textId="77777777" w:rsidR="00FE3AA8" w:rsidRDefault="00776873">
      <w:pPr>
        <w:rPr>
          <w:sz w:val="20"/>
          <w:szCs w:val="20"/>
        </w:rPr>
      </w:pPr>
      <w:r>
        <w:rPr>
          <w:vertAlign w:val="superscript"/>
        </w:rPr>
        <w:footnoteRef/>
      </w:r>
      <w:r>
        <w:rPr>
          <w:sz w:val="20"/>
          <w:szCs w:val="20"/>
        </w:rPr>
        <w:t xml:space="preserve"> Información Pública de Oficio Mexiquense. </w:t>
      </w:r>
    </w:p>
  </w:footnote>
  <w:footnote w:id="2">
    <w:p w14:paraId="4FE0F41A" w14:textId="77777777" w:rsidR="00FE3AA8" w:rsidRDefault="00776873">
      <w:pPr>
        <w:rPr>
          <w:sz w:val="20"/>
          <w:szCs w:val="20"/>
        </w:rPr>
      </w:pPr>
      <w:r>
        <w:rPr>
          <w:vertAlign w:val="superscript"/>
        </w:rPr>
        <w:footnoteRef/>
      </w:r>
      <w:r>
        <w:rPr>
          <w:sz w:val="20"/>
          <w:szCs w:val="20"/>
        </w:rPr>
        <w:t xml:space="preserve"> Información Pública de Oficio Mexiquense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E50C43" w14:textId="77777777" w:rsidR="00FE3AA8" w:rsidRDefault="009179AB">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339FBB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RESOLUCIÓN" style="position:absolute;margin-left:0;margin-top:0;width:540pt;height:10in;z-index:-251657728;mso-position-horizontal:center;mso-position-horizontal-relative:margin;mso-position-vertical:center;mso-position-vertical-relative:margin">
          <v:imagedata r:id="rId1" o:title="image6"/>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60C0E" w14:textId="77777777" w:rsidR="00FE3AA8" w:rsidRDefault="009179AB">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11E0B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RESOLUCIÓN" style="position:absolute;margin-left:0;margin-top:0;width:540pt;height:10in;z-index:-251659776;mso-position-horizontal:center;mso-position-horizontal-relative:margin;mso-position-vertical:center;mso-position-vertical-relative:margin">
          <v:imagedata r:id="rId1" o:title="image6"/>
          <w10:wrap anchorx="margin" anchory="margin"/>
        </v:shape>
      </w:pict>
    </w:r>
  </w:p>
  <w:tbl>
    <w:tblPr>
      <w:tblStyle w:val="a1"/>
      <w:tblW w:w="9356" w:type="dxa"/>
      <w:tblInd w:w="-142" w:type="dxa"/>
      <w:tblLayout w:type="fixed"/>
      <w:tblLook w:val="0400" w:firstRow="0" w:lastRow="0" w:firstColumn="0" w:lastColumn="0" w:noHBand="0" w:noVBand="1"/>
    </w:tblPr>
    <w:tblGrid>
      <w:gridCol w:w="3261"/>
      <w:gridCol w:w="2551"/>
      <w:gridCol w:w="3544"/>
    </w:tblGrid>
    <w:tr w:rsidR="00FE3AA8" w14:paraId="63BD9149" w14:textId="77777777">
      <w:tc>
        <w:tcPr>
          <w:tcW w:w="3261" w:type="dxa"/>
          <w:vMerge w:val="restart"/>
        </w:tcPr>
        <w:p w14:paraId="7E493E5D" w14:textId="77777777" w:rsidR="00FE3AA8" w:rsidRDefault="00776873">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14:anchorId="74287C1E" wp14:editId="502E8A47">
                <wp:extent cx="1692162" cy="852673"/>
                <wp:effectExtent l="0" t="0" r="0" b="0"/>
                <wp:docPr id="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5AEA6859" w14:textId="77777777" w:rsidR="00FE3AA8" w:rsidRDefault="0077687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4" w:type="dxa"/>
          <w:shd w:val="clear" w:color="auto" w:fill="auto"/>
        </w:tcPr>
        <w:p w14:paraId="6DB21431" w14:textId="77777777" w:rsidR="00FE3AA8" w:rsidRDefault="0077687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05677/INFOEM/IP/RR/2021</w:t>
          </w:r>
        </w:p>
      </w:tc>
    </w:tr>
    <w:tr w:rsidR="00FE3AA8" w14:paraId="3CB28491" w14:textId="77777777">
      <w:tc>
        <w:tcPr>
          <w:tcW w:w="3261" w:type="dxa"/>
          <w:vMerge/>
        </w:tcPr>
        <w:p w14:paraId="7A7B9687" w14:textId="77777777" w:rsidR="00FE3AA8" w:rsidRDefault="00FE3AA8">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724AA04B" w14:textId="77777777" w:rsidR="00FE3AA8" w:rsidRDefault="0077687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4" w:type="dxa"/>
          <w:shd w:val="clear" w:color="auto" w:fill="auto"/>
        </w:tcPr>
        <w:p w14:paraId="33F442C6" w14:textId="77777777" w:rsidR="00FE3AA8" w:rsidRDefault="0077687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Chicoloapan</w:t>
          </w:r>
        </w:p>
      </w:tc>
    </w:tr>
    <w:tr w:rsidR="00FE3AA8" w14:paraId="7ACCB924" w14:textId="77777777">
      <w:trPr>
        <w:trHeight w:val="228"/>
      </w:trPr>
      <w:tc>
        <w:tcPr>
          <w:tcW w:w="3261" w:type="dxa"/>
          <w:vMerge/>
        </w:tcPr>
        <w:p w14:paraId="279471F7" w14:textId="77777777" w:rsidR="00FE3AA8" w:rsidRDefault="00FE3AA8">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04E4C88E" w14:textId="77777777" w:rsidR="00FE3AA8" w:rsidRDefault="0077687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3544" w:type="dxa"/>
          <w:shd w:val="clear" w:color="auto" w:fill="auto"/>
        </w:tcPr>
        <w:p w14:paraId="57EEAF6C" w14:textId="77777777" w:rsidR="00FE3AA8" w:rsidRDefault="0077687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José Martínez Vilchis</w:t>
          </w:r>
        </w:p>
      </w:tc>
    </w:tr>
  </w:tbl>
  <w:p w14:paraId="1AE7A466" w14:textId="77777777" w:rsidR="00FE3AA8" w:rsidRDefault="00FE3AA8">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66EB2" w14:textId="77777777" w:rsidR="00FE3AA8" w:rsidRDefault="00FE3AA8">
    <w:pPr>
      <w:rPr>
        <w:rFonts w:ascii="Palatino Linotype" w:eastAsia="Palatino Linotype" w:hAnsi="Palatino Linotype" w:cs="Palatino Linotype"/>
        <w:sz w:val="28"/>
        <w:szCs w:val="28"/>
      </w:rPr>
    </w:pPr>
  </w:p>
  <w:tbl>
    <w:tblPr>
      <w:tblStyle w:val="a2"/>
      <w:tblW w:w="9214" w:type="dxa"/>
      <w:tblInd w:w="0" w:type="dxa"/>
      <w:tblLayout w:type="fixed"/>
      <w:tblLook w:val="0400" w:firstRow="0" w:lastRow="0" w:firstColumn="0" w:lastColumn="0" w:noHBand="0" w:noVBand="1"/>
    </w:tblPr>
    <w:tblGrid>
      <w:gridCol w:w="3402"/>
      <w:gridCol w:w="2552"/>
      <w:gridCol w:w="3260"/>
    </w:tblGrid>
    <w:tr w:rsidR="00FE3AA8" w14:paraId="7C4A7E4C" w14:textId="77777777">
      <w:tc>
        <w:tcPr>
          <w:tcW w:w="3402" w:type="dxa"/>
          <w:vMerge w:val="restart"/>
          <w:shd w:val="clear" w:color="auto" w:fill="auto"/>
        </w:tcPr>
        <w:p w14:paraId="3B31A0C5" w14:textId="77777777" w:rsidR="00FE3AA8" w:rsidRDefault="00776873">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14:anchorId="247B978B" wp14:editId="3471697E">
                <wp:extent cx="1692162" cy="852673"/>
                <wp:effectExtent l="0" t="0" r="0" b="0"/>
                <wp:docPr id="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92162" cy="852673"/>
                        </a:xfrm>
                        <a:prstGeom prst="rect">
                          <a:avLst/>
                        </a:prstGeom>
                        <a:ln/>
                      </pic:spPr>
                    </pic:pic>
                  </a:graphicData>
                </a:graphic>
              </wp:inline>
            </w:drawing>
          </w:r>
        </w:p>
      </w:tc>
      <w:tc>
        <w:tcPr>
          <w:tcW w:w="2552" w:type="dxa"/>
          <w:shd w:val="clear" w:color="auto" w:fill="auto"/>
        </w:tcPr>
        <w:p w14:paraId="79F17403" w14:textId="77777777" w:rsidR="00FE3AA8" w:rsidRDefault="0077687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60" w:type="dxa"/>
          <w:shd w:val="clear" w:color="auto" w:fill="auto"/>
          <w:vAlign w:val="center"/>
        </w:tcPr>
        <w:p w14:paraId="3EFC9E1C" w14:textId="77777777" w:rsidR="00FE3AA8" w:rsidRDefault="0077687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05677/INFOEM/IP/RR/2021</w:t>
          </w:r>
        </w:p>
      </w:tc>
    </w:tr>
    <w:tr w:rsidR="00FE3AA8" w14:paraId="32716472" w14:textId="77777777">
      <w:tc>
        <w:tcPr>
          <w:tcW w:w="3402" w:type="dxa"/>
          <w:vMerge/>
          <w:shd w:val="clear" w:color="auto" w:fill="auto"/>
        </w:tcPr>
        <w:p w14:paraId="50DC198D" w14:textId="77777777" w:rsidR="00FE3AA8" w:rsidRDefault="00FE3AA8">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26CD1E73" w14:textId="77777777" w:rsidR="00FE3AA8" w:rsidRDefault="0077687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260" w:type="dxa"/>
          <w:shd w:val="clear" w:color="auto" w:fill="auto"/>
          <w:vAlign w:val="center"/>
        </w:tcPr>
        <w:p w14:paraId="2615EEA8" w14:textId="5BA72617" w:rsidR="00FE3AA8" w:rsidRDefault="000610E0" w:rsidP="000610E0">
          <w:pPr>
            <w:jc w:val="both"/>
            <w:rPr>
              <w:rFonts w:ascii="Palatino Linotype" w:eastAsia="Palatino Linotype" w:hAnsi="Palatino Linotype" w:cs="Palatino Linotype"/>
              <w:b/>
              <w:sz w:val="22"/>
              <w:szCs w:val="22"/>
            </w:rPr>
          </w:pPr>
          <w:proofErr w:type="spellStart"/>
          <w:r>
            <w:rPr>
              <w:rFonts w:ascii="Palatino Linotype" w:eastAsia="Palatino Linotype" w:hAnsi="Palatino Linotype" w:cs="Palatino Linotype"/>
              <w:b/>
              <w:sz w:val="22"/>
              <w:szCs w:val="22"/>
            </w:rPr>
            <w:t>xxxxxxxxxxxxxxxxxxxxxxxxxx</w:t>
          </w:r>
          <w:proofErr w:type="spellEnd"/>
          <w:r w:rsidR="00776873">
            <w:rPr>
              <w:rFonts w:ascii="Palatino Linotype" w:eastAsia="Palatino Linotype" w:hAnsi="Palatino Linotype" w:cs="Palatino Linotype"/>
              <w:b/>
              <w:sz w:val="22"/>
              <w:szCs w:val="22"/>
            </w:rPr>
            <w:t xml:space="preserve"> </w:t>
          </w:r>
          <w:proofErr w:type="spellStart"/>
          <w:r>
            <w:rPr>
              <w:rFonts w:ascii="Palatino Linotype" w:eastAsia="Palatino Linotype" w:hAnsi="Palatino Linotype" w:cs="Palatino Linotype"/>
              <w:b/>
              <w:sz w:val="22"/>
              <w:szCs w:val="22"/>
            </w:rPr>
            <w:t>xxxxxxxxxxxxxxxx</w:t>
          </w:r>
          <w:proofErr w:type="spellEnd"/>
        </w:p>
      </w:tc>
    </w:tr>
    <w:tr w:rsidR="00FE3AA8" w14:paraId="7AC6B776" w14:textId="77777777">
      <w:trPr>
        <w:trHeight w:val="228"/>
      </w:trPr>
      <w:tc>
        <w:tcPr>
          <w:tcW w:w="3402" w:type="dxa"/>
          <w:vMerge/>
          <w:shd w:val="clear" w:color="auto" w:fill="auto"/>
        </w:tcPr>
        <w:p w14:paraId="432732D8" w14:textId="77777777" w:rsidR="00FE3AA8" w:rsidRDefault="00FE3AA8">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51D6629B" w14:textId="77777777" w:rsidR="00FE3AA8" w:rsidRDefault="0077687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60" w:type="dxa"/>
          <w:shd w:val="clear" w:color="auto" w:fill="auto"/>
          <w:vAlign w:val="center"/>
        </w:tcPr>
        <w:p w14:paraId="2891C1DB" w14:textId="77777777" w:rsidR="00FE3AA8" w:rsidRDefault="00776873">
          <w:pPr>
            <w:ind w:right="-10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Chicoloapan</w:t>
          </w:r>
        </w:p>
      </w:tc>
    </w:tr>
    <w:tr w:rsidR="00FE3AA8" w14:paraId="4D00D294" w14:textId="77777777">
      <w:tc>
        <w:tcPr>
          <w:tcW w:w="3402" w:type="dxa"/>
          <w:vMerge/>
          <w:shd w:val="clear" w:color="auto" w:fill="auto"/>
        </w:tcPr>
        <w:p w14:paraId="34791FF5" w14:textId="77777777" w:rsidR="00FE3AA8" w:rsidRDefault="00FE3AA8">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25CBB7AC" w14:textId="77777777" w:rsidR="00FE3AA8" w:rsidRDefault="0077687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3260" w:type="dxa"/>
          <w:shd w:val="clear" w:color="auto" w:fill="auto"/>
        </w:tcPr>
        <w:p w14:paraId="135207C5" w14:textId="77777777" w:rsidR="00FE3AA8" w:rsidRDefault="0077687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José Martínez Vilchis</w:t>
          </w:r>
        </w:p>
      </w:tc>
    </w:tr>
  </w:tbl>
  <w:p w14:paraId="339B5294" w14:textId="77777777" w:rsidR="00FE3AA8" w:rsidRDefault="009179AB">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7DE8D0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RESOLUCIÓN" style="position:absolute;margin-left:-56.8pt;margin-top:13.2pt;width:540pt;height:10in;z-index:-251658752;mso-position-horizontal:absolute;mso-position-horizontal-relative:margin;mso-position-vertical:absolute;mso-position-vertical-relative:margin">
          <v:imagedata r:id="rId2" o:title="image6"/>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0D49D4"/>
    <w:multiLevelType w:val="multilevel"/>
    <w:tmpl w:val="26D2880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nsid w:val="24E80D43"/>
    <w:multiLevelType w:val="hybridMultilevel"/>
    <w:tmpl w:val="53AC5916"/>
    <w:lvl w:ilvl="0" w:tplc="2ACC4BB2">
      <w:start w:val="1"/>
      <w:numFmt w:val="upperLetter"/>
      <w:lvlText w:val="%1)"/>
      <w:lvlJc w:val="left"/>
      <w:pPr>
        <w:ind w:left="1262" w:hanging="360"/>
      </w:pPr>
      <w:rPr>
        <w:rFonts w:hint="default"/>
      </w:rPr>
    </w:lvl>
    <w:lvl w:ilvl="1" w:tplc="080A0019" w:tentative="1">
      <w:start w:val="1"/>
      <w:numFmt w:val="lowerLetter"/>
      <w:lvlText w:val="%2."/>
      <w:lvlJc w:val="left"/>
      <w:pPr>
        <w:ind w:left="1982" w:hanging="360"/>
      </w:pPr>
    </w:lvl>
    <w:lvl w:ilvl="2" w:tplc="080A001B" w:tentative="1">
      <w:start w:val="1"/>
      <w:numFmt w:val="lowerRoman"/>
      <w:lvlText w:val="%3."/>
      <w:lvlJc w:val="right"/>
      <w:pPr>
        <w:ind w:left="2702" w:hanging="180"/>
      </w:pPr>
    </w:lvl>
    <w:lvl w:ilvl="3" w:tplc="080A000F" w:tentative="1">
      <w:start w:val="1"/>
      <w:numFmt w:val="decimal"/>
      <w:lvlText w:val="%4."/>
      <w:lvlJc w:val="left"/>
      <w:pPr>
        <w:ind w:left="3422" w:hanging="360"/>
      </w:pPr>
    </w:lvl>
    <w:lvl w:ilvl="4" w:tplc="080A0019" w:tentative="1">
      <w:start w:val="1"/>
      <w:numFmt w:val="lowerLetter"/>
      <w:lvlText w:val="%5."/>
      <w:lvlJc w:val="left"/>
      <w:pPr>
        <w:ind w:left="4142" w:hanging="360"/>
      </w:pPr>
    </w:lvl>
    <w:lvl w:ilvl="5" w:tplc="080A001B" w:tentative="1">
      <w:start w:val="1"/>
      <w:numFmt w:val="lowerRoman"/>
      <w:lvlText w:val="%6."/>
      <w:lvlJc w:val="right"/>
      <w:pPr>
        <w:ind w:left="4862" w:hanging="180"/>
      </w:pPr>
    </w:lvl>
    <w:lvl w:ilvl="6" w:tplc="080A000F" w:tentative="1">
      <w:start w:val="1"/>
      <w:numFmt w:val="decimal"/>
      <w:lvlText w:val="%7."/>
      <w:lvlJc w:val="left"/>
      <w:pPr>
        <w:ind w:left="5582" w:hanging="360"/>
      </w:pPr>
    </w:lvl>
    <w:lvl w:ilvl="7" w:tplc="080A0019" w:tentative="1">
      <w:start w:val="1"/>
      <w:numFmt w:val="lowerLetter"/>
      <w:lvlText w:val="%8."/>
      <w:lvlJc w:val="left"/>
      <w:pPr>
        <w:ind w:left="6302" w:hanging="360"/>
      </w:pPr>
    </w:lvl>
    <w:lvl w:ilvl="8" w:tplc="080A001B" w:tentative="1">
      <w:start w:val="1"/>
      <w:numFmt w:val="lowerRoman"/>
      <w:lvlText w:val="%9."/>
      <w:lvlJc w:val="right"/>
      <w:pPr>
        <w:ind w:left="7022" w:hanging="180"/>
      </w:pPr>
    </w:lvl>
  </w:abstractNum>
  <w:abstractNum w:abstractNumId="2">
    <w:nsid w:val="513471BE"/>
    <w:multiLevelType w:val="multilevel"/>
    <w:tmpl w:val="CB64721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AA8"/>
    <w:rsid w:val="000610E0"/>
    <w:rsid w:val="00110BC1"/>
    <w:rsid w:val="00153A30"/>
    <w:rsid w:val="002C2F08"/>
    <w:rsid w:val="002C4A78"/>
    <w:rsid w:val="0034137C"/>
    <w:rsid w:val="005145CF"/>
    <w:rsid w:val="00572DF4"/>
    <w:rsid w:val="00776873"/>
    <w:rsid w:val="008B6B5E"/>
    <w:rsid w:val="009179AB"/>
    <w:rsid w:val="00FE3A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BA5001"/>
  <w15:docId w15:val="{DBFF1204-097A-400F-9D92-F0DFB2429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7EE0"/>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qFormat/>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qFormat/>
    <w:rsid w:val="00C80F8C"/>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qFormat/>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qFormat/>
    <w:rsid w:val="009776B8"/>
    <w:pPr>
      <w:spacing w:after="120" w:line="480" w:lineRule="auto"/>
    </w:p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paragraph" w:customStyle="1" w:styleId="Default">
    <w:name w:val="Default"/>
    <w:qForma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qFormat/>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qFormat/>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qFormat/>
    <w:rsid w:val="0015349A"/>
    <w:rPr>
      <w:rFonts w:ascii="Courier New" w:hAnsi="Courier New"/>
      <w:sz w:val="20"/>
      <w:szCs w:val="20"/>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paragraph" w:customStyle="1" w:styleId="Standard">
    <w:name w:val="Standard"/>
    <w:uiPriority w:val="99"/>
    <w:qFormat/>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qFormat/>
    <w:rsid w:val="0015349A"/>
    <w:rPr>
      <w:rFonts w:ascii="Arial" w:hAnsi="Arial" w:cs="Arial" w:hint="default"/>
      <w:b/>
      <w:bCs/>
      <w:sz w:val="18"/>
      <w:szCs w:val="18"/>
    </w:rPr>
  </w:style>
  <w:style w:type="paragraph" w:customStyle="1" w:styleId="Pa2">
    <w:name w:val="Pa2"/>
    <w:basedOn w:val="Normal"/>
    <w:next w:val="Normal"/>
    <w:uiPriority w:val="99"/>
    <w:qFormat/>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qFormat/>
    <w:rsid w:val="0015349A"/>
  </w:style>
  <w:style w:type="paragraph" w:customStyle="1" w:styleId="q">
    <w:name w:val="q"/>
    <w:basedOn w:val="Normal"/>
    <w:uiPriority w:val="99"/>
    <w:qFormat/>
    <w:rsid w:val="0015349A"/>
    <w:pPr>
      <w:spacing w:before="100" w:beforeAutospacing="1" w:after="100" w:afterAutospacing="1"/>
    </w:pPr>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qFormat/>
    <w:rsid w:val="003D3A0C"/>
    <w:pPr>
      <w:spacing w:before="101" w:after="101"/>
      <w:jc w:val="center"/>
    </w:pPr>
    <w:rPr>
      <w:b/>
      <w:sz w:val="18"/>
      <w:szCs w:val="18"/>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paragraph" w:customStyle="1" w:styleId="Cuerpo">
    <w:name w:val="Cuerpo"/>
    <w:qFormat/>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qFormat/>
    <w:rsid w:val="008677B6"/>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qFormat/>
    <w:rsid w:val="00CC7BDB"/>
  </w:style>
  <w:style w:type="character" w:customStyle="1" w:styleId="normaltextrun">
    <w:name w:val="normaltextrun"/>
    <w:basedOn w:val="Fuentedeprrafopredeter"/>
    <w:qFormat/>
    <w:rsid w:val="00641BB8"/>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uiPriority w:val="99"/>
    <w:qFormat/>
    <w:rsid w:val="001C4E80"/>
    <w:pPr>
      <w:spacing w:before="100" w:beforeAutospacing="1" w:after="100" w:afterAutospacing="1"/>
    </w:pPr>
  </w:style>
  <w:style w:type="paragraph" w:customStyle="1" w:styleId="j">
    <w:name w:val="j"/>
    <w:basedOn w:val="Normal"/>
    <w:uiPriority w:val="99"/>
    <w:qFormat/>
    <w:rsid w:val="001C4E80"/>
    <w:pPr>
      <w:spacing w:before="100" w:beforeAutospacing="1" w:after="100" w:afterAutospacing="1"/>
    </w:pPr>
  </w:style>
  <w:style w:type="character" w:customStyle="1" w:styleId="nacep">
    <w:name w:val="n_acep"/>
    <w:basedOn w:val="Fuentedeprrafopredeter"/>
    <w:qFormat/>
    <w:rsid w:val="001C4E80"/>
  </w:style>
  <w:style w:type="paragraph" w:customStyle="1" w:styleId="m5212863947045306324gmail-msonormal">
    <w:name w:val="m_5212863947045306324gmail-msonormal"/>
    <w:basedOn w:val="Normal"/>
    <w:qFormat/>
    <w:rsid w:val="003A73F9"/>
    <w:pPr>
      <w:spacing w:before="100" w:beforeAutospacing="1" w:after="100" w:afterAutospacing="1"/>
    </w:pPr>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qForma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qFormat/>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qFormat/>
    <w:rsid w:val="00504CF6"/>
  </w:style>
  <w:style w:type="character" w:customStyle="1" w:styleId="EnlacedeInternet">
    <w:name w:val="Enlace de Internet"/>
    <w:uiPriority w:val="99"/>
    <w:unhideWhenUsed/>
    <w:rsid w:val="00504CF6"/>
    <w:rPr>
      <w:strike w:val="0"/>
      <w:dstrike w:val="0"/>
      <w:color w:val="035899"/>
      <w:u w:val="none"/>
      <w:effect w:val="none"/>
    </w:rPr>
  </w:style>
  <w:style w:type="character" w:customStyle="1" w:styleId="EnlacedeInternetvisitado">
    <w:name w:val="Enlace de Internet visitado"/>
    <w:basedOn w:val="Fuentedeprrafopredeter"/>
    <w:uiPriority w:val="99"/>
    <w:semiHidden/>
    <w:unhideWhenUsed/>
    <w:rsid w:val="00504CF6"/>
    <w:rPr>
      <w:color w:val="954F72"/>
      <w:u w:val="single"/>
    </w:rPr>
  </w:style>
  <w:style w:type="character" w:customStyle="1" w:styleId="Ancladenotaalpie">
    <w:name w:val="Ancla de nota al pie"/>
    <w:rsid w:val="00504CF6"/>
    <w:rPr>
      <w:vertAlign w:val="superscript"/>
    </w:rPr>
  </w:style>
  <w:style w:type="character" w:customStyle="1" w:styleId="FootnoteCharacters">
    <w:name w:val="Footnote Characters"/>
    <w:basedOn w:val="Fuentedeprrafopredeter"/>
    <w:uiPriority w:val="99"/>
    <w:unhideWhenUsed/>
    <w:qFormat/>
    <w:rsid w:val="00504CF6"/>
    <w:rPr>
      <w:vertAlign w:val="superscript"/>
    </w:rPr>
  </w:style>
  <w:style w:type="character" w:customStyle="1" w:styleId="Destacado">
    <w:name w:val="Destacado"/>
    <w:basedOn w:val="Fuentedeprrafopredeter"/>
    <w:uiPriority w:val="20"/>
    <w:qFormat/>
    <w:rsid w:val="00504CF6"/>
    <w:rPr>
      <w:i/>
      <w:iCs/>
    </w:rPr>
  </w:style>
  <w:style w:type="character" w:customStyle="1" w:styleId="Textoindependiente3Car">
    <w:name w:val="Texto independiente 3 Car"/>
    <w:basedOn w:val="Fuentedeprrafopredeter"/>
    <w:link w:val="Textoindependiente3"/>
    <w:uiPriority w:val="99"/>
    <w:semiHidden/>
    <w:qFormat/>
    <w:rsid w:val="00504CF6"/>
    <w:rPr>
      <w:rFonts w:ascii="Times New Roman" w:eastAsia="Times New Roman" w:hAnsi="Times New Roman" w:cs="Times New Roman"/>
      <w:sz w:val="16"/>
      <w:szCs w:val="16"/>
    </w:rPr>
  </w:style>
  <w:style w:type="character" w:customStyle="1" w:styleId="eop">
    <w:name w:val="eop"/>
    <w:basedOn w:val="Fuentedeprrafopredeter"/>
    <w:qFormat/>
    <w:rsid w:val="00504CF6"/>
  </w:style>
  <w:style w:type="paragraph" w:customStyle="1" w:styleId="Ttulo10">
    <w:name w:val="Título1"/>
    <w:basedOn w:val="Normal"/>
    <w:next w:val="Textoindependiente"/>
    <w:qFormat/>
    <w:rsid w:val="00504CF6"/>
    <w:pPr>
      <w:keepNext/>
      <w:suppressAutoHyphens/>
      <w:spacing w:before="240" w:after="120"/>
    </w:pPr>
    <w:rPr>
      <w:rFonts w:ascii="Liberation Sans" w:eastAsia="Noto Sans CJK SC" w:hAnsi="Liberation Sans" w:cs="Lohit Devanagari"/>
      <w:sz w:val="28"/>
      <w:szCs w:val="28"/>
    </w:rPr>
  </w:style>
  <w:style w:type="character" w:customStyle="1" w:styleId="TextoindependienteCar1">
    <w:name w:val="Texto independiente Car1"/>
    <w:basedOn w:val="Fuentedeprrafopredeter"/>
    <w:uiPriority w:val="99"/>
    <w:semiHidden/>
    <w:rsid w:val="00504CF6"/>
    <w:rPr>
      <w:rFonts w:ascii="Times New Roman" w:eastAsia="Times New Roman" w:hAnsi="Times New Roman" w:cs="Times New Roman"/>
      <w:sz w:val="24"/>
      <w:szCs w:val="24"/>
      <w:lang w:eastAsia="es-ES"/>
    </w:rPr>
  </w:style>
  <w:style w:type="paragraph" w:styleId="Descripcin">
    <w:name w:val="caption"/>
    <w:basedOn w:val="Normal"/>
    <w:qFormat/>
    <w:rsid w:val="00504CF6"/>
    <w:pPr>
      <w:suppressLineNumbers/>
      <w:suppressAutoHyphens/>
      <w:spacing w:before="120" w:after="120"/>
    </w:pPr>
    <w:rPr>
      <w:rFonts w:cs="Lohit Devanagari"/>
      <w:i/>
      <w:iCs/>
    </w:rPr>
  </w:style>
  <w:style w:type="paragraph" w:customStyle="1" w:styleId="ndice">
    <w:name w:val="Índice"/>
    <w:basedOn w:val="Normal"/>
    <w:qFormat/>
    <w:rsid w:val="00504CF6"/>
    <w:pPr>
      <w:suppressLineNumbers/>
      <w:suppressAutoHyphens/>
    </w:pPr>
    <w:rPr>
      <w:rFonts w:cs="Lohit Devanagari"/>
    </w:rPr>
  </w:style>
  <w:style w:type="paragraph" w:customStyle="1" w:styleId="Cabeceraypie">
    <w:name w:val="Cabecera y pie"/>
    <w:basedOn w:val="Normal"/>
    <w:qFormat/>
    <w:rsid w:val="00504CF6"/>
    <w:pPr>
      <w:suppressAutoHyphens/>
    </w:pPr>
  </w:style>
  <w:style w:type="character" w:customStyle="1" w:styleId="EncabezadoCar1">
    <w:name w:val="Encabezado Car1"/>
    <w:basedOn w:val="Fuentedeprrafopredeter"/>
    <w:uiPriority w:val="99"/>
    <w:semiHidden/>
    <w:rsid w:val="00504CF6"/>
    <w:rPr>
      <w:rFonts w:ascii="Times New Roman" w:eastAsia="Times New Roman" w:hAnsi="Times New Roman" w:cs="Times New Roman"/>
      <w:sz w:val="24"/>
      <w:szCs w:val="24"/>
      <w:lang w:eastAsia="es-ES"/>
    </w:rPr>
  </w:style>
  <w:style w:type="character" w:customStyle="1" w:styleId="PiedepginaCar1">
    <w:name w:val="Pie de página Car1"/>
    <w:basedOn w:val="Fuentedeprrafopredeter"/>
    <w:uiPriority w:val="99"/>
    <w:semiHidden/>
    <w:rsid w:val="00504CF6"/>
    <w:rPr>
      <w:rFonts w:ascii="Times New Roman" w:eastAsia="Times New Roman" w:hAnsi="Times New Roman" w:cs="Times New Roman"/>
      <w:sz w:val="24"/>
      <w:szCs w:val="24"/>
      <w:lang w:eastAsia="es-ES"/>
    </w:rPr>
  </w:style>
  <w:style w:type="character" w:customStyle="1" w:styleId="TextodegloboCar1">
    <w:name w:val="Texto de globo Car1"/>
    <w:basedOn w:val="Fuentedeprrafopredeter"/>
    <w:uiPriority w:val="99"/>
    <w:semiHidden/>
    <w:rsid w:val="00504CF6"/>
    <w:rPr>
      <w:rFonts w:ascii="Segoe UI" w:eastAsia="Times New Roman" w:hAnsi="Segoe UI" w:cs="Segoe UI"/>
      <w:sz w:val="18"/>
      <w:szCs w:val="18"/>
      <w:lang w:eastAsia="es-ES"/>
    </w:rPr>
  </w:style>
  <w:style w:type="character" w:customStyle="1" w:styleId="Textoindependiente2Car1">
    <w:name w:val="Texto independiente 2 Car1"/>
    <w:basedOn w:val="Fuentedeprrafopredeter"/>
    <w:uiPriority w:val="99"/>
    <w:semiHidden/>
    <w:rsid w:val="00504CF6"/>
    <w:rPr>
      <w:rFonts w:ascii="Times New Roman" w:eastAsia="Times New Roman" w:hAnsi="Times New Roman" w:cs="Times New Roman"/>
      <w:sz w:val="24"/>
      <w:szCs w:val="24"/>
      <w:lang w:eastAsia="es-ES"/>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semiHidden/>
    <w:rsid w:val="00504CF6"/>
    <w:rPr>
      <w:rFonts w:ascii="Times New Roman" w:eastAsia="Times New Roman" w:hAnsi="Times New Roman" w:cs="Times New Roman"/>
      <w:sz w:val="20"/>
      <w:szCs w:val="20"/>
      <w:lang w:eastAsia="es-ES"/>
    </w:rPr>
  </w:style>
  <w:style w:type="character" w:customStyle="1" w:styleId="TextosinformatoCar1">
    <w:name w:val="Texto sin formato Car1"/>
    <w:basedOn w:val="Fuentedeprrafopredeter"/>
    <w:uiPriority w:val="99"/>
    <w:semiHidden/>
    <w:rsid w:val="00504CF6"/>
    <w:rPr>
      <w:rFonts w:ascii="Consolas" w:eastAsia="Times New Roman" w:hAnsi="Consolas" w:cs="Consolas"/>
      <w:sz w:val="21"/>
      <w:szCs w:val="21"/>
      <w:lang w:eastAsia="es-ES"/>
    </w:rPr>
  </w:style>
  <w:style w:type="character" w:customStyle="1" w:styleId="TextocomentarioCar1">
    <w:name w:val="Texto comentario Car1"/>
    <w:basedOn w:val="Fuentedeprrafopredeter"/>
    <w:uiPriority w:val="99"/>
    <w:semiHidden/>
    <w:rsid w:val="00504CF6"/>
    <w:rPr>
      <w:rFonts w:ascii="Times New Roman" w:eastAsia="Times New Roman" w:hAnsi="Times New Roman" w:cs="Times New Roman"/>
      <w:sz w:val="20"/>
      <w:szCs w:val="20"/>
      <w:lang w:eastAsia="es-ES"/>
    </w:rPr>
  </w:style>
  <w:style w:type="character" w:customStyle="1" w:styleId="AsuntodelcomentarioCar1">
    <w:name w:val="Asunto del comentario Car1"/>
    <w:basedOn w:val="TextocomentarioCar1"/>
    <w:uiPriority w:val="99"/>
    <w:semiHidden/>
    <w:rsid w:val="00504CF6"/>
    <w:rPr>
      <w:rFonts w:ascii="Times New Roman" w:eastAsia="Times New Roman" w:hAnsi="Times New Roman" w:cs="Times New Roman"/>
      <w:b/>
      <w:bCs/>
      <w:sz w:val="20"/>
      <w:szCs w:val="20"/>
      <w:lang w:eastAsia="es-ES"/>
    </w:rPr>
  </w:style>
  <w:style w:type="paragraph" w:styleId="Listaconvietas3">
    <w:name w:val="List Bullet 3"/>
    <w:basedOn w:val="Normal"/>
    <w:uiPriority w:val="99"/>
    <w:unhideWhenUsed/>
    <w:qFormat/>
    <w:rsid w:val="00504CF6"/>
    <w:pPr>
      <w:suppressAutoHyphens/>
      <w:ind w:left="566" w:hanging="283"/>
      <w:contextualSpacing/>
    </w:pPr>
    <w:rPr>
      <w:lang w:val="es-ES"/>
    </w:rPr>
  </w:style>
  <w:style w:type="paragraph" w:styleId="Listaconvietas4">
    <w:name w:val="List Bullet 4"/>
    <w:basedOn w:val="Normal"/>
    <w:uiPriority w:val="99"/>
    <w:unhideWhenUsed/>
    <w:qFormat/>
    <w:rsid w:val="00504CF6"/>
    <w:pPr>
      <w:suppressAutoHyphens/>
      <w:ind w:left="849" w:hanging="283"/>
      <w:contextualSpacing/>
    </w:pPr>
    <w:rPr>
      <w:lang w:val="es-ES"/>
    </w:rPr>
  </w:style>
  <w:style w:type="character" w:customStyle="1" w:styleId="SangradetextonormalCar1">
    <w:name w:val="Sangría de texto normal Car1"/>
    <w:basedOn w:val="Fuentedeprrafopredeter"/>
    <w:uiPriority w:val="99"/>
    <w:semiHidden/>
    <w:rsid w:val="00504CF6"/>
    <w:rPr>
      <w:rFonts w:ascii="Times New Roman" w:eastAsia="Times New Roman" w:hAnsi="Times New Roman" w:cs="Times New Roman"/>
      <w:sz w:val="24"/>
      <w:szCs w:val="24"/>
      <w:lang w:eastAsia="es-ES"/>
    </w:rPr>
  </w:style>
  <w:style w:type="character" w:customStyle="1" w:styleId="Textoindependienteprimerasangra2Car1">
    <w:name w:val="Texto independiente primera sangría 2 Car1"/>
    <w:basedOn w:val="SangradetextonormalCar1"/>
    <w:uiPriority w:val="99"/>
    <w:semiHidden/>
    <w:rsid w:val="00504CF6"/>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qFormat/>
    <w:rsid w:val="00504CF6"/>
    <w:pPr>
      <w:suppressAutoHyphens/>
      <w:spacing w:after="120"/>
    </w:pPr>
    <w:rPr>
      <w:sz w:val="16"/>
      <w:szCs w:val="16"/>
      <w:lang w:val="es-ES_tradnl"/>
    </w:rPr>
  </w:style>
  <w:style w:type="character" w:customStyle="1" w:styleId="Textoindependiente3Car1">
    <w:name w:val="Texto independiente 3 Car1"/>
    <w:basedOn w:val="Fuentedeprrafopredeter"/>
    <w:uiPriority w:val="99"/>
    <w:semiHidden/>
    <w:rsid w:val="00504CF6"/>
    <w:rPr>
      <w:rFonts w:ascii="Times New Roman" w:eastAsia="Times New Roman" w:hAnsi="Times New Roman" w:cs="Times New Roman"/>
      <w:sz w:val="16"/>
      <w:szCs w:val="16"/>
      <w:lang w:val="es-MX"/>
    </w:rPr>
  </w:style>
  <w:style w:type="paragraph" w:customStyle="1" w:styleId="xmsonormal">
    <w:name w:val="x_msonormal"/>
    <w:basedOn w:val="Normal"/>
    <w:qFormat/>
    <w:rsid w:val="00504CF6"/>
    <w:pPr>
      <w:suppressAutoHyphens/>
      <w:spacing w:beforeAutospacing="1" w:afterAutospacing="1"/>
    </w:pPr>
  </w:style>
  <w:style w:type="numbering" w:customStyle="1" w:styleId="Estiloimportado21">
    <w:name w:val="Estilo importado 21"/>
    <w:qFormat/>
    <w:rsid w:val="00504CF6"/>
  </w:style>
  <w:style w:type="numbering" w:customStyle="1" w:styleId="Estiloimportado11">
    <w:name w:val="Estilo importado 11"/>
    <w:qFormat/>
    <w:rsid w:val="00504CF6"/>
  </w:style>
  <w:style w:type="numbering" w:customStyle="1" w:styleId="Sinlista11">
    <w:name w:val="Sin lista11"/>
    <w:uiPriority w:val="99"/>
    <w:semiHidden/>
    <w:unhideWhenUsed/>
    <w:qFormat/>
    <w:rsid w:val="00504CF6"/>
  </w:style>
  <w:style w:type="numbering" w:customStyle="1" w:styleId="Sinlista111">
    <w:name w:val="Sin lista111"/>
    <w:uiPriority w:val="99"/>
    <w:semiHidden/>
    <w:unhideWhenUsed/>
    <w:qFormat/>
    <w:rsid w:val="00504CF6"/>
  </w:style>
  <w:style w:type="numbering" w:customStyle="1" w:styleId="Sinlista1111">
    <w:name w:val="Sin lista1111"/>
    <w:uiPriority w:val="99"/>
    <w:semiHidden/>
    <w:unhideWhenUsed/>
    <w:qFormat/>
    <w:rsid w:val="00504CF6"/>
  </w:style>
  <w:style w:type="numbering" w:customStyle="1" w:styleId="Sinlista2">
    <w:name w:val="Sin lista2"/>
    <w:uiPriority w:val="99"/>
    <w:semiHidden/>
    <w:unhideWhenUsed/>
    <w:qFormat/>
    <w:rsid w:val="00504CF6"/>
  </w:style>
  <w:style w:type="numbering" w:customStyle="1" w:styleId="Sinlista3">
    <w:name w:val="Sin lista3"/>
    <w:uiPriority w:val="99"/>
    <w:semiHidden/>
    <w:unhideWhenUsed/>
    <w:qFormat/>
    <w:rsid w:val="00504CF6"/>
  </w:style>
  <w:style w:type="numbering" w:customStyle="1" w:styleId="Sinlista4">
    <w:name w:val="Sin lista4"/>
    <w:uiPriority w:val="99"/>
    <w:semiHidden/>
    <w:unhideWhenUsed/>
    <w:qFormat/>
    <w:rsid w:val="00504CF6"/>
  </w:style>
  <w:style w:type="numbering" w:customStyle="1" w:styleId="Sinlista5">
    <w:name w:val="Sin lista5"/>
    <w:uiPriority w:val="99"/>
    <w:semiHidden/>
    <w:unhideWhenUsed/>
    <w:qFormat/>
    <w:rsid w:val="00504CF6"/>
  </w:style>
  <w:style w:type="numbering" w:customStyle="1" w:styleId="Sinlista6">
    <w:name w:val="Sin lista6"/>
    <w:uiPriority w:val="99"/>
    <w:semiHidden/>
    <w:unhideWhenUsed/>
    <w:qFormat/>
    <w:rsid w:val="00504CF6"/>
  </w:style>
  <w:style w:type="table" w:customStyle="1" w:styleId="Tablaconcuadrcula3">
    <w:name w:val="Tabla con cuadrícula3"/>
    <w:basedOn w:val="Tablanormal"/>
    <w:next w:val="Tablaconcuadrcula"/>
    <w:uiPriority w:val="39"/>
    <w:rsid w:val="00504CF6"/>
    <w:pPr>
      <w:suppressAutoHyphens/>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504CF6"/>
    <w:pPr>
      <w:suppressAutoHyphens/>
    </w:pPr>
    <w:rPr>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504CF6"/>
    <w:pPr>
      <w:suppressAutoHyphens/>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39"/>
    <w:rsid w:val="00504CF6"/>
    <w:pPr>
      <w:suppressAutoHyphens/>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504CF6"/>
    <w:pPr>
      <w:suppressAutoHyphens/>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504CF6"/>
    <w:pPr>
      <w:suppressAutoHyphens/>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504CF6"/>
    <w:pPr>
      <w:suppressAutoHyphens/>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504CF6"/>
  </w:style>
  <w:style w:type="table" w:customStyle="1" w:styleId="Tablaconcuadrcula211">
    <w:name w:val="Tabla con cuadrícula211"/>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504CF6"/>
  </w:style>
  <w:style w:type="numbering" w:customStyle="1" w:styleId="Sinlista31">
    <w:name w:val="Sin lista31"/>
    <w:next w:val="Sinlista"/>
    <w:uiPriority w:val="99"/>
    <w:semiHidden/>
    <w:unhideWhenUsed/>
    <w:rsid w:val="00504CF6"/>
  </w:style>
  <w:style w:type="table" w:customStyle="1" w:styleId="Tablaconcuadrcula31">
    <w:name w:val="Tabla con cuadrícula31"/>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504CF6"/>
  </w:style>
  <w:style w:type="table" w:customStyle="1" w:styleId="Tablaconcuadrcula41">
    <w:name w:val="Tabla con cuadrícula41"/>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39"/>
    <w:rsid w:val="00504CF6"/>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
    <w:name w:val="Estilo importado 211"/>
    <w:rsid w:val="00504CF6"/>
  </w:style>
  <w:style w:type="numbering" w:customStyle="1" w:styleId="Estiloimportado111">
    <w:name w:val="Estilo importado 111"/>
    <w:rsid w:val="00504CF6"/>
  </w:style>
  <w:style w:type="numbering" w:customStyle="1" w:styleId="Sinlista11111">
    <w:name w:val="Sin lista11111"/>
    <w:next w:val="Sinlista"/>
    <w:uiPriority w:val="99"/>
    <w:semiHidden/>
    <w:unhideWhenUsed/>
    <w:rsid w:val="00504CF6"/>
  </w:style>
  <w:style w:type="table" w:customStyle="1" w:styleId="Tablaconcuadrcula113">
    <w:name w:val="Tabla con cuadrícula113"/>
    <w:basedOn w:val="Tablanormal"/>
    <w:next w:val="Tablaconcuadrcula"/>
    <w:uiPriority w:val="39"/>
    <w:rsid w:val="00504CF6"/>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504CF6"/>
  </w:style>
  <w:style w:type="table" w:customStyle="1" w:styleId="Tablaconcuadrcula7">
    <w:name w:val="Tabla con cuadrícula7"/>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504CF6"/>
  </w:style>
  <w:style w:type="table" w:customStyle="1" w:styleId="Tablaconcuadrcula13">
    <w:name w:val="Tabla con cuadrícula13"/>
    <w:basedOn w:val="Tablanormal"/>
    <w:next w:val="Tablaconcuadrcula"/>
    <w:uiPriority w:val="5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504CF6"/>
  </w:style>
  <w:style w:type="table" w:customStyle="1" w:styleId="Tablaconcuadrcula22">
    <w:name w:val="Tabla con cuadrícula22"/>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504CF6"/>
  </w:style>
  <w:style w:type="table" w:customStyle="1" w:styleId="Tablaconcuadrcula32">
    <w:name w:val="Tabla con cuadrícula32"/>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
    <w:name w:val="Sin lista42"/>
    <w:next w:val="Sinlista"/>
    <w:uiPriority w:val="99"/>
    <w:semiHidden/>
    <w:unhideWhenUsed/>
    <w:rsid w:val="00504CF6"/>
  </w:style>
  <w:style w:type="table" w:customStyle="1" w:styleId="Tablaconcuadrcula42">
    <w:name w:val="Tabla con cuadrícula42"/>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504CF6"/>
  </w:style>
  <w:style w:type="table" w:customStyle="1" w:styleId="Tablaconcuadrcula51">
    <w:name w:val="Tabla con cuadrícula51"/>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504CF6"/>
  </w:style>
  <w:style w:type="table" w:customStyle="1" w:styleId="Tablaconcuadrcula61">
    <w:name w:val="Tabla con cuadrícula61"/>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
    <w:name w:val="Estilo importado 22"/>
    <w:rsid w:val="00504CF6"/>
  </w:style>
  <w:style w:type="numbering" w:customStyle="1" w:styleId="Estiloimportado12">
    <w:name w:val="Estilo importado 12"/>
    <w:rsid w:val="00504CF6"/>
  </w:style>
  <w:style w:type="table" w:customStyle="1" w:styleId="Tablaconcuadrcula121">
    <w:name w:val="Tabla con cuadrícula121"/>
    <w:basedOn w:val="Tablanormal"/>
    <w:next w:val="Tablaconcuadrcula"/>
    <w:uiPriority w:val="5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unhideWhenUsed/>
    <w:rsid w:val="00504CF6"/>
  </w:style>
  <w:style w:type="numbering" w:customStyle="1" w:styleId="Sinlista1112">
    <w:name w:val="Sin lista1112"/>
    <w:next w:val="Sinlista"/>
    <w:uiPriority w:val="99"/>
    <w:semiHidden/>
    <w:unhideWhenUsed/>
    <w:rsid w:val="00504CF6"/>
  </w:style>
  <w:style w:type="numbering" w:customStyle="1" w:styleId="Sinlista211">
    <w:name w:val="Sin lista211"/>
    <w:next w:val="Sinlista"/>
    <w:uiPriority w:val="99"/>
    <w:semiHidden/>
    <w:unhideWhenUsed/>
    <w:rsid w:val="00504CF6"/>
  </w:style>
  <w:style w:type="numbering" w:customStyle="1" w:styleId="Sinlista311">
    <w:name w:val="Sin lista311"/>
    <w:next w:val="Sinlista"/>
    <w:uiPriority w:val="99"/>
    <w:semiHidden/>
    <w:unhideWhenUsed/>
    <w:rsid w:val="00504CF6"/>
  </w:style>
  <w:style w:type="table" w:customStyle="1" w:styleId="Tablaconcuadrcula311">
    <w:name w:val="Tabla con cuadrícula311"/>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504CF6"/>
  </w:style>
  <w:style w:type="table" w:customStyle="1" w:styleId="Tablaconcuadrcula411">
    <w:name w:val="Tabla con cuadrícula411"/>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504CF6"/>
  </w:style>
  <w:style w:type="numbering" w:customStyle="1" w:styleId="Sinlista121">
    <w:name w:val="Sin lista121"/>
    <w:next w:val="Sinlista"/>
    <w:uiPriority w:val="99"/>
    <w:semiHidden/>
    <w:unhideWhenUsed/>
    <w:rsid w:val="00504CF6"/>
  </w:style>
  <w:style w:type="numbering" w:customStyle="1" w:styleId="Sinlista111111">
    <w:name w:val="Sin lista111111"/>
    <w:next w:val="Sinlista"/>
    <w:uiPriority w:val="99"/>
    <w:semiHidden/>
    <w:unhideWhenUsed/>
    <w:rsid w:val="00504CF6"/>
  </w:style>
  <w:style w:type="numbering" w:customStyle="1" w:styleId="Sinlista2111">
    <w:name w:val="Sin lista2111"/>
    <w:next w:val="Sinlista"/>
    <w:uiPriority w:val="99"/>
    <w:semiHidden/>
    <w:unhideWhenUsed/>
    <w:rsid w:val="00504CF6"/>
  </w:style>
  <w:style w:type="numbering" w:customStyle="1" w:styleId="Sinlista3111">
    <w:name w:val="Sin lista3111"/>
    <w:next w:val="Sinlista"/>
    <w:uiPriority w:val="99"/>
    <w:semiHidden/>
    <w:unhideWhenUsed/>
    <w:rsid w:val="00504CF6"/>
  </w:style>
  <w:style w:type="numbering" w:customStyle="1" w:styleId="Sinlista4111">
    <w:name w:val="Sin lista4111"/>
    <w:next w:val="Sinlista"/>
    <w:uiPriority w:val="99"/>
    <w:semiHidden/>
    <w:unhideWhenUsed/>
    <w:rsid w:val="00504CF6"/>
  </w:style>
  <w:style w:type="numbering" w:customStyle="1" w:styleId="Sinlista71">
    <w:name w:val="Sin lista71"/>
    <w:next w:val="Sinlista"/>
    <w:uiPriority w:val="99"/>
    <w:semiHidden/>
    <w:unhideWhenUsed/>
    <w:rsid w:val="00504CF6"/>
  </w:style>
  <w:style w:type="table" w:customStyle="1" w:styleId="Tablaconcuadrcula8">
    <w:name w:val="Tabla con cuadrícula8"/>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1">
    <w:name w:val="Estilo importado 2111"/>
    <w:rsid w:val="00504CF6"/>
  </w:style>
  <w:style w:type="numbering" w:customStyle="1" w:styleId="Estiloimportado1111">
    <w:name w:val="Estilo importado 1111"/>
    <w:rsid w:val="00504CF6"/>
  </w:style>
  <w:style w:type="numbering" w:customStyle="1" w:styleId="Sinlista131">
    <w:name w:val="Sin lista131"/>
    <w:next w:val="Sinlista"/>
    <w:uiPriority w:val="99"/>
    <w:semiHidden/>
    <w:unhideWhenUsed/>
    <w:rsid w:val="00504CF6"/>
  </w:style>
  <w:style w:type="numbering" w:customStyle="1" w:styleId="Sinlista1121">
    <w:name w:val="Sin lista1121"/>
    <w:next w:val="Sinlista"/>
    <w:uiPriority w:val="99"/>
    <w:semiHidden/>
    <w:unhideWhenUsed/>
    <w:rsid w:val="00504CF6"/>
  </w:style>
  <w:style w:type="table" w:customStyle="1" w:styleId="Tablaconcuadrcula1121">
    <w:name w:val="Tabla con cuadrícula1121"/>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1">
    <w:name w:val="Sin lista221"/>
    <w:next w:val="Sinlista"/>
    <w:uiPriority w:val="99"/>
    <w:semiHidden/>
    <w:unhideWhenUsed/>
    <w:rsid w:val="00504CF6"/>
  </w:style>
  <w:style w:type="numbering" w:customStyle="1" w:styleId="Sinlista321">
    <w:name w:val="Sin lista321"/>
    <w:next w:val="Sinlista"/>
    <w:uiPriority w:val="99"/>
    <w:semiHidden/>
    <w:unhideWhenUsed/>
    <w:rsid w:val="00504CF6"/>
  </w:style>
  <w:style w:type="numbering" w:customStyle="1" w:styleId="Sinlista421">
    <w:name w:val="Sin lista421"/>
    <w:next w:val="Sinlista"/>
    <w:uiPriority w:val="99"/>
    <w:semiHidden/>
    <w:unhideWhenUsed/>
    <w:rsid w:val="00504CF6"/>
  </w:style>
  <w:style w:type="numbering" w:customStyle="1" w:styleId="Estiloimportado23">
    <w:name w:val="Estilo importado 23"/>
    <w:rsid w:val="00504CF6"/>
  </w:style>
  <w:style w:type="numbering" w:customStyle="1" w:styleId="Estiloimportado13">
    <w:name w:val="Estilo importado 13"/>
    <w:rsid w:val="00504CF6"/>
  </w:style>
  <w:style w:type="numbering" w:customStyle="1" w:styleId="Estiloimportado212">
    <w:name w:val="Estilo importado 212"/>
    <w:rsid w:val="00504CF6"/>
  </w:style>
  <w:style w:type="numbering" w:customStyle="1" w:styleId="Estiloimportado112">
    <w:name w:val="Estilo importado 112"/>
    <w:rsid w:val="00504CF6"/>
  </w:style>
  <w:style w:type="table" w:customStyle="1" w:styleId="Tablaconcuadrcula1122">
    <w:name w:val="Tabla con cuadrícula1122"/>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504CF6"/>
  </w:style>
  <w:style w:type="table" w:customStyle="1" w:styleId="Tablaconcuadrcula9">
    <w:name w:val="Tabla con cuadrícula9"/>
    <w:basedOn w:val="Tablanormal"/>
    <w:next w:val="Tablaconcuadrcula"/>
    <w:uiPriority w:val="5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504CF6"/>
  </w:style>
  <w:style w:type="table" w:customStyle="1" w:styleId="Tablaconcuadrcula14">
    <w:name w:val="Tabla con cuadrícula14"/>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504CF6"/>
  </w:style>
  <w:style w:type="table" w:customStyle="1" w:styleId="Tablaconcuadrcula23">
    <w:name w:val="Tabla con cuadrícula23"/>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504CF6"/>
  </w:style>
  <w:style w:type="table" w:customStyle="1" w:styleId="Tablaconcuadrcula33">
    <w:name w:val="Tabla con cuadrícula33"/>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
    <w:name w:val="Sin lista43"/>
    <w:next w:val="Sinlista"/>
    <w:uiPriority w:val="99"/>
    <w:semiHidden/>
    <w:unhideWhenUsed/>
    <w:rsid w:val="00504CF6"/>
  </w:style>
  <w:style w:type="table" w:customStyle="1" w:styleId="Tablaconcuadrcula43">
    <w:name w:val="Tabla con cuadrícula43"/>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
    <w:name w:val="Sin lista52"/>
    <w:next w:val="Sinlista"/>
    <w:uiPriority w:val="99"/>
    <w:semiHidden/>
    <w:unhideWhenUsed/>
    <w:rsid w:val="00504CF6"/>
  </w:style>
  <w:style w:type="table" w:customStyle="1" w:styleId="Tablaconcuadrcula52">
    <w:name w:val="Tabla con cuadrícula52"/>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
    <w:name w:val="Sin lista62"/>
    <w:next w:val="Sinlista"/>
    <w:uiPriority w:val="99"/>
    <w:semiHidden/>
    <w:unhideWhenUsed/>
    <w:rsid w:val="00504CF6"/>
  </w:style>
  <w:style w:type="table" w:customStyle="1" w:styleId="Tablaconcuadrcula62">
    <w:name w:val="Tabla con cuadrícula62"/>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4">
    <w:name w:val="Estilo importado 24"/>
    <w:rsid w:val="00504CF6"/>
  </w:style>
  <w:style w:type="numbering" w:customStyle="1" w:styleId="Estiloimportado14">
    <w:name w:val="Estilo importado 14"/>
    <w:rsid w:val="00504CF6"/>
  </w:style>
  <w:style w:type="table" w:customStyle="1" w:styleId="Tablaconcuadrcula122">
    <w:name w:val="Tabla con cuadrícula122"/>
    <w:basedOn w:val="Tablanormal"/>
    <w:next w:val="Tablaconcuadrcula"/>
    <w:uiPriority w:val="5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
    <w:name w:val="Sin lista113"/>
    <w:next w:val="Sinlista"/>
    <w:uiPriority w:val="99"/>
    <w:semiHidden/>
    <w:unhideWhenUsed/>
    <w:rsid w:val="00504CF6"/>
  </w:style>
  <w:style w:type="table" w:customStyle="1" w:styleId="Tablaconcuadrcula212">
    <w:name w:val="Tabla con cuadrícula212"/>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504CF6"/>
  </w:style>
  <w:style w:type="table" w:customStyle="1" w:styleId="Tablaconcuadrcula1112">
    <w:name w:val="Tabla con cuadrícula1112"/>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504CF6"/>
  </w:style>
  <w:style w:type="numbering" w:customStyle="1" w:styleId="Sinlista312">
    <w:name w:val="Sin lista312"/>
    <w:next w:val="Sinlista"/>
    <w:uiPriority w:val="99"/>
    <w:semiHidden/>
    <w:unhideWhenUsed/>
    <w:rsid w:val="00504CF6"/>
  </w:style>
  <w:style w:type="table" w:customStyle="1" w:styleId="Tablaconcuadrcula312">
    <w:name w:val="Tabla con cuadrícula312"/>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504CF6"/>
  </w:style>
  <w:style w:type="table" w:customStyle="1" w:styleId="Tablaconcuadrcula412">
    <w:name w:val="Tabla con cuadrícula412"/>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504CF6"/>
  </w:style>
  <w:style w:type="table" w:customStyle="1" w:styleId="Tablaconcuadrcula511">
    <w:name w:val="Tabla con cuadrícula511"/>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504CF6"/>
  </w:style>
  <w:style w:type="numbering" w:customStyle="1" w:styleId="Sinlista11112">
    <w:name w:val="Sin lista11112"/>
    <w:next w:val="Sinlista"/>
    <w:uiPriority w:val="99"/>
    <w:semiHidden/>
    <w:unhideWhenUsed/>
    <w:rsid w:val="00504CF6"/>
  </w:style>
  <w:style w:type="numbering" w:customStyle="1" w:styleId="Sinlista2112">
    <w:name w:val="Sin lista2112"/>
    <w:next w:val="Sinlista"/>
    <w:uiPriority w:val="99"/>
    <w:semiHidden/>
    <w:unhideWhenUsed/>
    <w:rsid w:val="00504CF6"/>
  </w:style>
  <w:style w:type="numbering" w:customStyle="1" w:styleId="Sinlista3112">
    <w:name w:val="Sin lista3112"/>
    <w:next w:val="Sinlista"/>
    <w:uiPriority w:val="99"/>
    <w:semiHidden/>
    <w:unhideWhenUsed/>
    <w:rsid w:val="00504CF6"/>
  </w:style>
  <w:style w:type="numbering" w:customStyle="1" w:styleId="Sinlista4112">
    <w:name w:val="Sin lista4112"/>
    <w:next w:val="Sinlista"/>
    <w:uiPriority w:val="99"/>
    <w:semiHidden/>
    <w:unhideWhenUsed/>
    <w:rsid w:val="00504CF6"/>
  </w:style>
  <w:style w:type="numbering" w:customStyle="1" w:styleId="Sinlista72">
    <w:name w:val="Sin lista72"/>
    <w:next w:val="Sinlista"/>
    <w:uiPriority w:val="99"/>
    <w:semiHidden/>
    <w:unhideWhenUsed/>
    <w:rsid w:val="00504CF6"/>
  </w:style>
  <w:style w:type="table" w:customStyle="1" w:styleId="Tablaconcuadrcula81">
    <w:name w:val="Tabla con cuadrícula81"/>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3">
    <w:name w:val="Estilo importado 213"/>
    <w:rsid w:val="00504CF6"/>
  </w:style>
  <w:style w:type="numbering" w:customStyle="1" w:styleId="Estiloimportado113">
    <w:name w:val="Estilo importado 113"/>
    <w:rsid w:val="00504CF6"/>
  </w:style>
  <w:style w:type="table" w:customStyle="1" w:styleId="Tablaconcuadrcula131">
    <w:name w:val="Tabla con cuadrícula131"/>
    <w:basedOn w:val="Tablanormal"/>
    <w:next w:val="Tablaconcuadrcula"/>
    <w:uiPriority w:val="5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2">
    <w:name w:val="Sin lista132"/>
    <w:next w:val="Sinlista"/>
    <w:uiPriority w:val="99"/>
    <w:semiHidden/>
    <w:unhideWhenUsed/>
    <w:rsid w:val="00504CF6"/>
  </w:style>
  <w:style w:type="table" w:customStyle="1" w:styleId="Tablaconcuadrcula221">
    <w:name w:val="Tabla con cuadrícula221"/>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uiPriority w:val="99"/>
    <w:semiHidden/>
    <w:unhideWhenUsed/>
    <w:rsid w:val="00504CF6"/>
  </w:style>
  <w:style w:type="table" w:customStyle="1" w:styleId="Tablaconcuadrcula1123">
    <w:name w:val="Tabla con cuadrícula1123"/>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2">
    <w:name w:val="Sin lista222"/>
    <w:next w:val="Sinlista"/>
    <w:uiPriority w:val="99"/>
    <w:semiHidden/>
    <w:unhideWhenUsed/>
    <w:rsid w:val="00504CF6"/>
  </w:style>
  <w:style w:type="numbering" w:customStyle="1" w:styleId="Sinlista322">
    <w:name w:val="Sin lista322"/>
    <w:next w:val="Sinlista"/>
    <w:uiPriority w:val="99"/>
    <w:semiHidden/>
    <w:unhideWhenUsed/>
    <w:rsid w:val="00504CF6"/>
  </w:style>
  <w:style w:type="table" w:customStyle="1" w:styleId="Tablaconcuadrcula321">
    <w:name w:val="Tabla con cuadrícula321"/>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504CF6"/>
  </w:style>
  <w:style w:type="table" w:customStyle="1" w:styleId="Tablaconcuadrcula421">
    <w:name w:val="Tabla con cuadrícula421"/>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504CF6"/>
  </w:style>
  <w:style w:type="table" w:customStyle="1" w:styleId="Tablaconcuadrcula10">
    <w:name w:val="Tabla con cuadrícula10"/>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uiPriority w:val="99"/>
    <w:semiHidden/>
    <w:unhideWhenUsed/>
    <w:rsid w:val="00504CF6"/>
  </w:style>
  <w:style w:type="table" w:customStyle="1" w:styleId="Tablaconcuadrcula24">
    <w:name w:val="Tabla con cuadrícula24"/>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
    <w:name w:val="Sin lista114"/>
    <w:next w:val="Sinlista"/>
    <w:uiPriority w:val="99"/>
    <w:semiHidden/>
    <w:unhideWhenUsed/>
    <w:rsid w:val="00504CF6"/>
  </w:style>
  <w:style w:type="table" w:customStyle="1" w:styleId="Tablaconcuadrcula116">
    <w:name w:val="Tabla con cuadrícula116"/>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504CF6"/>
  </w:style>
  <w:style w:type="numbering" w:customStyle="1" w:styleId="Sinlista34">
    <w:name w:val="Sin lista34"/>
    <w:next w:val="Sinlista"/>
    <w:uiPriority w:val="99"/>
    <w:semiHidden/>
    <w:unhideWhenUsed/>
    <w:rsid w:val="00504CF6"/>
  </w:style>
  <w:style w:type="table" w:customStyle="1" w:styleId="Tablaconcuadrcula34">
    <w:name w:val="Tabla con cuadrícula34"/>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
    <w:name w:val="Sin lista44"/>
    <w:next w:val="Sinlista"/>
    <w:uiPriority w:val="99"/>
    <w:semiHidden/>
    <w:unhideWhenUsed/>
    <w:rsid w:val="00504CF6"/>
  </w:style>
  <w:style w:type="table" w:customStyle="1" w:styleId="Tablaconcuadrcula44">
    <w:name w:val="Tabla con cuadrícula44"/>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
    <w:name w:val="Sin lista53"/>
    <w:next w:val="Sinlista"/>
    <w:uiPriority w:val="99"/>
    <w:semiHidden/>
    <w:unhideWhenUsed/>
    <w:rsid w:val="00504CF6"/>
  </w:style>
  <w:style w:type="table" w:customStyle="1" w:styleId="Tablaconcuadrcula53">
    <w:name w:val="Tabla con cuadrícula53"/>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5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504CF6"/>
  </w:style>
  <w:style w:type="table" w:customStyle="1" w:styleId="Tablaconcuadrcula213">
    <w:name w:val="Tabla con cuadrícula213"/>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
    <w:name w:val="Sin lista1114"/>
    <w:next w:val="Sinlista"/>
    <w:uiPriority w:val="99"/>
    <w:semiHidden/>
    <w:unhideWhenUsed/>
    <w:rsid w:val="00504CF6"/>
  </w:style>
  <w:style w:type="table" w:customStyle="1" w:styleId="Tablaconcuadrcula1113">
    <w:name w:val="Tabla con cuadrícula1113"/>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3">
    <w:name w:val="Sin lista213"/>
    <w:next w:val="Sinlista"/>
    <w:uiPriority w:val="99"/>
    <w:semiHidden/>
    <w:unhideWhenUsed/>
    <w:rsid w:val="00504CF6"/>
  </w:style>
  <w:style w:type="numbering" w:customStyle="1" w:styleId="Sinlista313">
    <w:name w:val="Sin lista313"/>
    <w:next w:val="Sinlista"/>
    <w:uiPriority w:val="99"/>
    <w:semiHidden/>
    <w:unhideWhenUsed/>
    <w:rsid w:val="00504CF6"/>
  </w:style>
  <w:style w:type="table" w:customStyle="1" w:styleId="Tablaconcuadrcula313">
    <w:name w:val="Tabla con cuadrícula313"/>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504CF6"/>
  </w:style>
  <w:style w:type="table" w:customStyle="1" w:styleId="Tablaconcuadrcula413">
    <w:name w:val="Tabla con cuadrícula413"/>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next w:val="Tablaconcuadrcula"/>
    <w:uiPriority w:val="39"/>
    <w:rsid w:val="00504CF6"/>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4">
    <w:name w:val="Estilo importado 214"/>
    <w:rsid w:val="00504CF6"/>
  </w:style>
  <w:style w:type="numbering" w:customStyle="1" w:styleId="Estiloimportado114">
    <w:name w:val="Estilo importado 114"/>
    <w:rsid w:val="00504CF6"/>
  </w:style>
  <w:style w:type="numbering" w:customStyle="1" w:styleId="Sinlista11113">
    <w:name w:val="Sin lista11113"/>
    <w:next w:val="Sinlista"/>
    <w:uiPriority w:val="99"/>
    <w:semiHidden/>
    <w:unhideWhenUsed/>
    <w:rsid w:val="00504CF6"/>
  </w:style>
  <w:style w:type="numbering" w:customStyle="1" w:styleId="Sinlista63">
    <w:name w:val="Sin lista63"/>
    <w:next w:val="Sinlista"/>
    <w:uiPriority w:val="99"/>
    <w:semiHidden/>
    <w:unhideWhenUsed/>
    <w:rsid w:val="00504CF6"/>
  </w:style>
  <w:style w:type="table" w:customStyle="1" w:styleId="Tablaconcuadrcula63">
    <w:name w:val="Tabla con cuadrícula63"/>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ancesa">
    <w:name w:val="francesa"/>
    <w:basedOn w:val="Normal"/>
    <w:rsid w:val="00504CF6"/>
    <w:pPr>
      <w:spacing w:before="100" w:beforeAutospacing="1" w:after="100" w:afterAutospacing="1"/>
    </w:pPr>
  </w:style>
  <w:style w:type="table" w:customStyle="1" w:styleId="Tablaconcuadrcula117">
    <w:name w:val="Tabla con cuadrícula117"/>
    <w:basedOn w:val="Tablanormal"/>
    <w:next w:val="Tablaconcuadrcula"/>
    <w:uiPriority w:val="39"/>
    <w:rsid w:val="00504CF6"/>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504CF6"/>
  </w:style>
  <w:style w:type="table" w:customStyle="1" w:styleId="Tablaconcuadrcula16">
    <w:name w:val="Tabla con cuadrícula16"/>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5">
    <w:name w:val="Estilo importado 25"/>
    <w:rsid w:val="00504CF6"/>
  </w:style>
  <w:style w:type="numbering" w:customStyle="1" w:styleId="Estiloimportado15">
    <w:name w:val="Estilo importado 15"/>
    <w:rsid w:val="00504CF6"/>
  </w:style>
  <w:style w:type="table" w:customStyle="1" w:styleId="Tablaconcuadrcula1114">
    <w:name w:val="Tabla con cuadrícula1114"/>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504CF6"/>
  </w:style>
  <w:style w:type="table" w:customStyle="1" w:styleId="Tablaconcuadrcula17">
    <w:name w:val="Tabla con cuadrícula17"/>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next w:val="Tablaconcuadrcula"/>
    <w:uiPriority w:val="39"/>
    <w:rsid w:val="00504CF6"/>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
    <w:name w:val="Sin lista115"/>
    <w:next w:val="Sinlista"/>
    <w:uiPriority w:val="99"/>
    <w:semiHidden/>
    <w:unhideWhenUsed/>
    <w:rsid w:val="00504CF6"/>
  </w:style>
  <w:style w:type="numbering" w:customStyle="1" w:styleId="Sinlista25">
    <w:name w:val="Sin lista25"/>
    <w:next w:val="Sinlista"/>
    <w:uiPriority w:val="99"/>
    <w:semiHidden/>
    <w:unhideWhenUsed/>
    <w:rsid w:val="00504CF6"/>
  </w:style>
  <w:style w:type="numbering" w:customStyle="1" w:styleId="Sinlista35">
    <w:name w:val="Sin lista35"/>
    <w:next w:val="Sinlista"/>
    <w:uiPriority w:val="99"/>
    <w:semiHidden/>
    <w:unhideWhenUsed/>
    <w:rsid w:val="00504CF6"/>
  </w:style>
  <w:style w:type="table" w:customStyle="1" w:styleId="Tablaconcuadrcula35">
    <w:name w:val="Tabla con cuadrícula35"/>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
    <w:name w:val="Sin lista45"/>
    <w:next w:val="Sinlista"/>
    <w:uiPriority w:val="99"/>
    <w:semiHidden/>
    <w:unhideWhenUsed/>
    <w:rsid w:val="00504CF6"/>
  </w:style>
  <w:style w:type="table" w:customStyle="1" w:styleId="Tablaconcuadrcula45">
    <w:name w:val="Tabla con cuadrícula45"/>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
    <w:name w:val="Sin lista54"/>
    <w:next w:val="Sinlista"/>
    <w:uiPriority w:val="99"/>
    <w:semiHidden/>
    <w:unhideWhenUsed/>
    <w:rsid w:val="00504CF6"/>
  </w:style>
  <w:style w:type="table" w:customStyle="1" w:styleId="Tablaconcuadrcula54">
    <w:name w:val="Tabla con cuadrícula54"/>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next w:val="Tablaconcuadrcula"/>
    <w:uiPriority w:val="5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
    <w:name w:val="Sin lista124"/>
    <w:next w:val="Sinlista"/>
    <w:uiPriority w:val="99"/>
    <w:semiHidden/>
    <w:unhideWhenUsed/>
    <w:rsid w:val="00504CF6"/>
  </w:style>
  <w:style w:type="table" w:customStyle="1" w:styleId="Tablaconcuadrcula214">
    <w:name w:val="Tabla con cuadrícula214"/>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5">
    <w:name w:val="Sin lista1115"/>
    <w:next w:val="Sinlista"/>
    <w:uiPriority w:val="99"/>
    <w:semiHidden/>
    <w:unhideWhenUsed/>
    <w:rsid w:val="00504CF6"/>
  </w:style>
  <w:style w:type="numbering" w:customStyle="1" w:styleId="Sinlista214">
    <w:name w:val="Sin lista214"/>
    <w:next w:val="Sinlista"/>
    <w:uiPriority w:val="99"/>
    <w:semiHidden/>
    <w:unhideWhenUsed/>
    <w:rsid w:val="00504CF6"/>
  </w:style>
  <w:style w:type="numbering" w:customStyle="1" w:styleId="Sinlista314">
    <w:name w:val="Sin lista314"/>
    <w:next w:val="Sinlista"/>
    <w:uiPriority w:val="99"/>
    <w:semiHidden/>
    <w:unhideWhenUsed/>
    <w:rsid w:val="00504CF6"/>
  </w:style>
  <w:style w:type="table" w:customStyle="1" w:styleId="Tablaconcuadrcula314">
    <w:name w:val="Tabla con cuadrícula314"/>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504CF6"/>
  </w:style>
  <w:style w:type="table" w:customStyle="1" w:styleId="Tablaconcuadrcula414">
    <w:name w:val="Tabla con cuadrícula414"/>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5">
    <w:name w:val="Estilo importado 215"/>
    <w:rsid w:val="00504CF6"/>
  </w:style>
  <w:style w:type="numbering" w:customStyle="1" w:styleId="Estiloimportado115">
    <w:name w:val="Estilo importado 115"/>
    <w:rsid w:val="00504CF6"/>
  </w:style>
  <w:style w:type="numbering" w:customStyle="1" w:styleId="Sinlista64">
    <w:name w:val="Sin lista64"/>
    <w:next w:val="Sinlista"/>
    <w:uiPriority w:val="99"/>
    <w:semiHidden/>
    <w:unhideWhenUsed/>
    <w:rsid w:val="00504CF6"/>
  </w:style>
  <w:style w:type="table" w:customStyle="1" w:styleId="Tablaconcuadrcula64">
    <w:name w:val="Tabla con cuadrícula64"/>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
    <w:name w:val="Sin lista73"/>
    <w:next w:val="Sinlista"/>
    <w:uiPriority w:val="99"/>
    <w:semiHidden/>
    <w:unhideWhenUsed/>
    <w:rsid w:val="00504CF6"/>
  </w:style>
  <w:style w:type="table" w:customStyle="1" w:styleId="Tablaconcuadrcula72">
    <w:name w:val="Tabla con cuadrícula72"/>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1">
    <w:name w:val="Estilo importado 221"/>
    <w:rsid w:val="00504CF6"/>
  </w:style>
  <w:style w:type="numbering" w:customStyle="1" w:styleId="Estiloimportado121">
    <w:name w:val="Estilo importado 121"/>
    <w:rsid w:val="00504CF6"/>
  </w:style>
  <w:style w:type="table" w:customStyle="1" w:styleId="Tablaconcuadrcula11121">
    <w:name w:val="Tabla con cuadrícula11121"/>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3">
    <w:name w:val="Sin lista133"/>
    <w:next w:val="Sinlista"/>
    <w:uiPriority w:val="99"/>
    <w:semiHidden/>
    <w:unhideWhenUsed/>
    <w:rsid w:val="00504CF6"/>
  </w:style>
  <w:style w:type="table" w:customStyle="1" w:styleId="Tablaconcuadrcula132">
    <w:name w:val="Tabla con cuadrícula132"/>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next w:val="Tablaconcuadrcula"/>
    <w:uiPriority w:val="39"/>
    <w:rsid w:val="00504CF6"/>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
    <w:name w:val="Sin lista1123"/>
    <w:next w:val="Sinlista"/>
    <w:uiPriority w:val="99"/>
    <w:semiHidden/>
    <w:unhideWhenUsed/>
    <w:rsid w:val="00504CF6"/>
  </w:style>
  <w:style w:type="numbering" w:customStyle="1" w:styleId="Sinlista223">
    <w:name w:val="Sin lista223"/>
    <w:next w:val="Sinlista"/>
    <w:uiPriority w:val="99"/>
    <w:semiHidden/>
    <w:unhideWhenUsed/>
    <w:rsid w:val="00504CF6"/>
  </w:style>
  <w:style w:type="numbering" w:customStyle="1" w:styleId="Sinlista323">
    <w:name w:val="Sin lista323"/>
    <w:next w:val="Sinlista"/>
    <w:uiPriority w:val="99"/>
    <w:semiHidden/>
    <w:unhideWhenUsed/>
    <w:rsid w:val="00504CF6"/>
  </w:style>
  <w:style w:type="table" w:customStyle="1" w:styleId="Tablaconcuadrcula322">
    <w:name w:val="Tabla con cuadrícula322"/>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504CF6"/>
  </w:style>
  <w:style w:type="table" w:customStyle="1" w:styleId="Tablaconcuadrcula422">
    <w:name w:val="Tabla con cuadrícula422"/>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504CF6"/>
  </w:style>
  <w:style w:type="table" w:customStyle="1" w:styleId="Tablaconcuadrcula512">
    <w:name w:val="Tabla con cuadrícula512"/>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next w:val="Tablaconcuadrcula"/>
    <w:uiPriority w:val="5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504CF6"/>
  </w:style>
  <w:style w:type="table" w:customStyle="1" w:styleId="Tablaconcuadrcula2111">
    <w:name w:val="Tabla con cuadrícula2111"/>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504CF6"/>
  </w:style>
  <w:style w:type="numbering" w:customStyle="1" w:styleId="Sinlista2113">
    <w:name w:val="Sin lista2113"/>
    <w:next w:val="Sinlista"/>
    <w:uiPriority w:val="99"/>
    <w:semiHidden/>
    <w:unhideWhenUsed/>
    <w:rsid w:val="00504CF6"/>
  </w:style>
  <w:style w:type="numbering" w:customStyle="1" w:styleId="Sinlista3113">
    <w:name w:val="Sin lista3113"/>
    <w:next w:val="Sinlista"/>
    <w:uiPriority w:val="99"/>
    <w:semiHidden/>
    <w:unhideWhenUsed/>
    <w:rsid w:val="00504CF6"/>
  </w:style>
  <w:style w:type="table" w:customStyle="1" w:styleId="Tablaconcuadrcula3111">
    <w:name w:val="Tabla con cuadrícula3111"/>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504CF6"/>
  </w:style>
  <w:style w:type="table" w:customStyle="1" w:styleId="Tablaconcuadrcula4111">
    <w:name w:val="Tabla con cuadrícula4111"/>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11">
    <w:name w:val="Estilo importado 21111"/>
    <w:rsid w:val="00504CF6"/>
  </w:style>
  <w:style w:type="numbering" w:customStyle="1" w:styleId="Estiloimportado11111">
    <w:name w:val="Estilo importado 11111"/>
    <w:rsid w:val="00504CF6"/>
  </w:style>
  <w:style w:type="numbering" w:customStyle="1" w:styleId="Sinlista611">
    <w:name w:val="Sin lista611"/>
    <w:next w:val="Sinlista"/>
    <w:uiPriority w:val="99"/>
    <w:semiHidden/>
    <w:unhideWhenUsed/>
    <w:rsid w:val="00504CF6"/>
  </w:style>
  <w:style w:type="table" w:customStyle="1" w:styleId="Tablaconcuadrcula611">
    <w:name w:val="Tabla con cuadrícula611"/>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39"/>
    <w:rsid w:val="00504CF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31">
    <w:name w:val="Estilo importado 231"/>
    <w:rsid w:val="00504CF6"/>
  </w:style>
  <w:style w:type="numbering" w:customStyle="1" w:styleId="Estiloimportado131">
    <w:name w:val="Estilo importado 131"/>
    <w:rsid w:val="00504CF6"/>
  </w:style>
  <w:style w:type="table" w:customStyle="1" w:styleId="Tablaconcuadrcula11221">
    <w:name w:val="Tabla con cuadrícula11221"/>
    <w:basedOn w:val="Tablanormal"/>
    <w:next w:val="Tablaconcuadrcula"/>
    <w:uiPriority w:val="39"/>
    <w:rsid w:val="00504CF6"/>
    <w:rPr>
      <w:rFonts w:ascii="Cambria" w:eastAsia="Calibri"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504CF6"/>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504CF6"/>
    <w:rPr>
      <w:rFonts w:eastAsia="Calibri"/>
      <w:sz w:val="22"/>
      <w:szCs w:val="22"/>
      <w:lang w:eastAsia="en-US"/>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1clara-nfasis11">
    <w:name w:val="Tabla de cuadrícula 1 clara - Énfasis 11"/>
    <w:basedOn w:val="Tablanormal"/>
    <w:next w:val="Tabladecuadrcula1clara-nfasis1"/>
    <w:uiPriority w:val="46"/>
    <w:rsid w:val="00504CF6"/>
    <w:rPr>
      <w:rFonts w:eastAsia="Calibri"/>
      <w:sz w:val="22"/>
      <w:szCs w:val="22"/>
      <w:lang w:eastAsia="en-US"/>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504CF6"/>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extonotaalfinal">
    <w:name w:val="endnote text"/>
    <w:basedOn w:val="Normal"/>
    <w:link w:val="TextonotaalfinalCar"/>
    <w:uiPriority w:val="99"/>
    <w:semiHidden/>
    <w:unhideWhenUsed/>
    <w:rsid w:val="006B2C93"/>
    <w:rPr>
      <w:sz w:val="20"/>
      <w:szCs w:val="20"/>
    </w:rPr>
  </w:style>
  <w:style w:type="character" w:customStyle="1" w:styleId="TextonotaalfinalCar">
    <w:name w:val="Texto nota al final Car"/>
    <w:basedOn w:val="Fuentedeprrafopredeter"/>
    <w:link w:val="Textonotaalfinal"/>
    <w:uiPriority w:val="99"/>
    <w:semiHidden/>
    <w:rsid w:val="006B2C93"/>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6B2C93"/>
    <w:rPr>
      <w:vertAlign w:val="superscript"/>
    </w:rPr>
  </w:style>
  <w:style w:type="table" w:customStyle="1" w:styleId="Tablaconcuadrcula19">
    <w:name w:val="Tabla con cuadrícula19"/>
    <w:basedOn w:val="Tablanormal"/>
    <w:next w:val="Tablaconcuadrcula"/>
    <w:uiPriority w:val="59"/>
    <w:rsid w:val="00FF05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5vvC28ITd5eC/JYdjkV9Y2RHqw==">AMUW2mV2D3DPjSpkiNGCzZbwg7JLyQ2avq8ZfzCesE7bKpESvtWm/hz7x4F2m8PvUKQrP4nTMmA4XCAaIH9em3+zbkjqbnAtu8gZx/kA6MocfiHhjA82ZSRx6DYJjNQf0zyjRkQm1+9A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47</Pages>
  <Words>12192</Words>
  <Characters>67056</Characters>
  <Application>Microsoft Office Word</Application>
  <DocSecurity>0</DocSecurity>
  <Lines>558</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USUARIO-INFOEM</cp:lastModifiedBy>
  <cp:revision>3</cp:revision>
  <dcterms:created xsi:type="dcterms:W3CDTF">2022-02-04T20:58:00Z</dcterms:created>
  <dcterms:modified xsi:type="dcterms:W3CDTF">2022-03-03T19:52:00Z</dcterms:modified>
</cp:coreProperties>
</file>