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66F9AB" w14:textId="77777777" w:rsidR="00F84F73" w:rsidRDefault="0025525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Pr>
          <w:rFonts w:ascii="Palatino Linotype" w:eastAsia="Palatino Linotype" w:hAnsi="Palatino Linotype" w:cs="Palatino Linotype"/>
          <w:b/>
        </w:rPr>
        <w:t>veintiuno de junio del dos mil veintidós</w:t>
      </w:r>
      <w:r>
        <w:rPr>
          <w:rFonts w:ascii="Palatino Linotype" w:eastAsia="Palatino Linotype" w:hAnsi="Palatino Linotype" w:cs="Palatino Linotype"/>
        </w:rPr>
        <w:t>.</w:t>
      </w:r>
    </w:p>
    <w:p w14:paraId="5684D58F" w14:textId="37D84B97" w:rsidR="00F84F73" w:rsidRDefault="0025525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rPr>
        <w:t xml:space="preserve">el expediente relativo al recurso de revisión </w:t>
      </w:r>
      <w:r>
        <w:rPr>
          <w:rFonts w:ascii="Palatino Linotype" w:eastAsia="Palatino Linotype" w:hAnsi="Palatino Linotype" w:cs="Palatino Linotype"/>
          <w:b/>
        </w:rPr>
        <w:t>03739/INFOEM/IP/RR/2022</w:t>
      </w:r>
      <w:r>
        <w:rPr>
          <w:rFonts w:ascii="Palatino Linotype" w:eastAsia="Palatino Linotype" w:hAnsi="Palatino Linotype" w:cs="Palatino Linotype"/>
        </w:rPr>
        <w:t xml:space="preserve">, interpuesto por </w:t>
      </w:r>
      <w:r w:rsidR="009D6320" w:rsidRPr="009D6320">
        <w:rPr>
          <w:rFonts w:ascii="Palatino Linotype" w:eastAsia="Palatino Linotype" w:hAnsi="Palatino Linotype" w:cs="Palatino Linotype"/>
          <w:b/>
        </w:rPr>
        <w:t>XXXXX XXXX XXX</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a quien en lo sucesivo se le denominará </w:t>
      </w:r>
      <w:r>
        <w:rPr>
          <w:rFonts w:ascii="Palatino Linotype" w:eastAsia="Palatino Linotype" w:hAnsi="Palatino Linotype" w:cs="Palatino Linotype"/>
          <w:b/>
        </w:rPr>
        <w:t>el Recurrente</w:t>
      </w:r>
      <w:r>
        <w:rPr>
          <w:rFonts w:ascii="Palatino Linotype" w:eastAsia="Palatino Linotype" w:hAnsi="Palatino Linotype" w:cs="Palatino Linotype"/>
          <w:b/>
          <w:i/>
        </w:rPr>
        <w:t xml:space="preserve"> </w:t>
      </w:r>
      <w:r>
        <w:rPr>
          <w:rFonts w:ascii="Palatino Linotype" w:eastAsia="Palatino Linotype" w:hAnsi="Palatino Linotype" w:cs="Palatino Linotype"/>
        </w:rPr>
        <w:t xml:space="preserve">en contra de la respuesta a la solicitud de información con número de folio </w:t>
      </w:r>
      <w:r>
        <w:rPr>
          <w:rFonts w:ascii="Palatino Linotype" w:eastAsia="Palatino Linotype" w:hAnsi="Palatino Linotype" w:cs="Palatino Linotype"/>
          <w:b/>
        </w:rPr>
        <w:t>00030/OASNAUCAL/IP/2022</w:t>
      </w:r>
      <w:r>
        <w:rPr>
          <w:rFonts w:ascii="Palatino Linotype" w:eastAsia="Palatino Linotype" w:hAnsi="Palatino Linotype" w:cs="Palatino Linotype"/>
        </w:rPr>
        <w:t xml:space="preserve">, del </w:t>
      </w:r>
      <w:r>
        <w:rPr>
          <w:rFonts w:ascii="Palatino Linotype" w:eastAsia="Palatino Linotype" w:hAnsi="Palatino Linotype" w:cs="Palatino Linotype"/>
          <w:b/>
        </w:rPr>
        <w:t xml:space="preserve">Organismo Público Descentralizado para la Prestación de </w:t>
      </w:r>
      <w:r w:rsidR="00223212">
        <w:rPr>
          <w:rFonts w:ascii="Palatino Linotype" w:eastAsia="Palatino Linotype" w:hAnsi="Palatino Linotype" w:cs="Palatino Linotype"/>
          <w:b/>
        </w:rPr>
        <w:t>l</w:t>
      </w:r>
      <w:r>
        <w:rPr>
          <w:rFonts w:ascii="Palatino Linotype" w:eastAsia="Palatino Linotype" w:hAnsi="Palatino Linotype" w:cs="Palatino Linotype"/>
          <w:b/>
        </w:rPr>
        <w:t>os Servicios de Agua Potable Alcantarillado y Saneamiento del Municipio de Naucalpan de Juárez</w:t>
      </w:r>
      <w:r>
        <w:rPr>
          <w:rFonts w:ascii="Palatino Linotype" w:eastAsia="Palatino Linotype" w:hAnsi="Palatino Linotype" w:cs="Palatino Linotype"/>
        </w:rPr>
        <w:t xml:space="preserve">, en lo sucesivo </w:t>
      </w:r>
      <w:r>
        <w:rPr>
          <w:rFonts w:ascii="Palatino Linotype" w:eastAsia="Palatino Linotype" w:hAnsi="Palatino Linotype" w:cs="Palatino Linotype"/>
          <w:b/>
        </w:rPr>
        <w:t>el</w:t>
      </w:r>
      <w:r>
        <w:rPr>
          <w:rFonts w:ascii="Palatino Linotype" w:eastAsia="Palatino Linotype" w:hAnsi="Palatino Linotype" w:cs="Palatino Linotype"/>
        </w:rPr>
        <w:t xml:space="preserve"> </w:t>
      </w:r>
      <w:r>
        <w:rPr>
          <w:rFonts w:ascii="Palatino Linotype" w:eastAsia="Palatino Linotype" w:hAnsi="Palatino Linotype" w:cs="Palatino Linotype"/>
          <w:b/>
        </w:rPr>
        <w:t>Sujeto Obligado</w:t>
      </w:r>
      <w:r>
        <w:rPr>
          <w:rFonts w:ascii="Palatino Linotype" w:eastAsia="Palatino Linotype" w:hAnsi="Palatino Linotype" w:cs="Palatino Linotype"/>
        </w:rPr>
        <w:t>;</w:t>
      </w:r>
      <w:r>
        <w:rPr>
          <w:rFonts w:ascii="Palatino Linotype" w:eastAsia="Palatino Linotype" w:hAnsi="Palatino Linotype" w:cs="Palatino Linotype"/>
          <w:b/>
        </w:rPr>
        <w:t xml:space="preserve"> </w:t>
      </w:r>
      <w:r>
        <w:rPr>
          <w:rFonts w:ascii="Palatino Linotype" w:eastAsia="Palatino Linotype" w:hAnsi="Palatino Linotype" w:cs="Palatino Linotype"/>
        </w:rPr>
        <w:t>se procede a dictar la presente resolución, con base en lo siguiente.</w:t>
      </w:r>
    </w:p>
    <w:p w14:paraId="4101B0E1" w14:textId="77777777" w:rsidR="00F84F73" w:rsidRDefault="0025525C">
      <w:pPr>
        <w:pStyle w:val="Ttulo2"/>
        <w:ind w:left="-284"/>
        <w:jc w:val="center"/>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 xml:space="preserve">I.  </w:t>
      </w:r>
      <w:r>
        <w:rPr>
          <w:rFonts w:ascii="Palatino Linotype" w:eastAsia="Palatino Linotype" w:hAnsi="Palatino Linotype" w:cs="Palatino Linotype"/>
          <w:b/>
          <w:color w:val="000000"/>
          <w:sz w:val="24"/>
          <w:szCs w:val="24"/>
        </w:rPr>
        <w:tab/>
        <w:t>A N T E C E D E N T E S</w:t>
      </w:r>
    </w:p>
    <w:p w14:paraId="78EB9116" w14:textId="77777777" w:rsidR="00F84F73" w:rsidRDefault="0025525C">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1</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b/>
        </w:rPr>
        <w:t>Solicitud de acceso a la información.</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 xml:space="preserve">Con fecha </w:t>
      </w:r>
      <w:r>
        <w:rPr>
          <w:rFonts w:ascii="Palatino Linotype" w:eastAsia="Palatino Linotype" w:hAnsi="Palatino Linotype" w:cs="Palatino Linotype"/>
          <w:b/>
        </w:rPr>
        <w:t>uno de febrero de dos mil veintidós</w:t>
      </w:r>
      <w:r>
        <w:rPr>
          <w:rFonts w:ascii="Palatino Linotype" w:eastAsia="Palatino Linotype" w:hAnsi="Palatino Linotype" w:cs="Palatino Linotype"/>
        </w:rPr>
        <w:t xml:space="preserve">,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formuló solicitud de acceso a la información pública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del Sistema de Acceso a la Información Mexiquense, en adelante </w:t>
      </w:r>
      <w:r>
        <w:rPr>
          <w:rFonts w:ascii="Palatino Linotype" w:eastAsia="Palatino Linotype" w:hAnsi="Palatino Linotype" w:cs="Palatino Linotype"/>
          <w:b/>
        </w:rPr>
        <w:t>SAIMEX,</w:t>
      </w:r>
      <w:r>
        <w:rPr>
          <w:rFonts w:ascii="Palatino Linotype" w:eastAsia="Palatino Linotype" w:hAnsi="Palatino Linotype" w:cs="Palatino Linotype"/>
        </w:rPr>
        <w:t xml:space="preserve"> requiriendo lo siguiente:</w:t>
      </w:r>
    </w:p>
    <w:p w14:paraId="0029E1AC" w14:textId="77777777" w:rsidR="00F84F73" w:rsidRDefault="0025525C">
      <w:pPr>
        <w:tabs>
          <w:tab w:val="right" w:pos="8222"/>
        </w:tabs>
        <w:spacing w:before="240" w:after="240" w:line="360" w:lineRule="auto"/>
        <w:ind w:left="567" w:right="616"/>
        <w:jc w:val="both"/>
        <w:rPr>
          <w:rFonts w:ascii="Palatino Linotype" w:eastAsia="Palatino Linotype" w:hAnsi="Palatino Linotype" w:cs="Palatino Linotype"/>
        </w:rPr>
      </w:pPr>
      <w:r>
        <w:rPr>
          <w:rFonts w:ascii="Palatino Linotype" w:eastAsia="Palatino Linotype" w:hAnsi="Palatino Linotype" w:cs="Palatino Linotype"/>
          <w:i/>
          <w:color w:val="000000"/>
          <w:sz w:val="22"/>
          <w:szCs w:val="22"/>
        </w:rPr>
        <w:t xml:space="preserve">“QUIERO </w:t>
      </w:r>
      <w:r>
        <w:rPr>
          <w:rFonts w:ascii="Palatino Linotype" w:eastAsia="Palatino Linotype" w:hAnsi="Palatino Linotype" w:cs="Palatino Linotype"/>
          <w:b/>
          <w:i/>
          <w:color w:val="000000"/>
          <w:sz w:val="22"/>
          <w:szCs w:val="22"/>
        </w:rPr>
        <w:t>EN VERSIÓN PÚBLICA LA ACTA FINAL O DE CONCLUSIÓN QUE RECIBIO LA DIRECTORA DE ADMINISTRACIÓN Y FINANZAS</w:t>
      </w:r>
      <w:r>
        <w:rPr>
          <w:rFonts w:ascii="Palatino Linotype" w:eastAsia="Palatino Linotype" w:hAnsi="Palatino Linotype" w:cs="Palatino Linotype"/>
          <w:i/>
          <w:color w:val="000000"/>
          <w:sz w:val="22"/>
          <w:szCs w:val="22"/>
        </w:rPr>
        <w:t>” (sic)</w:t>
      </w:r>
      <w:r>
        <w:rPr>
          <w:rFonts w:ascii="Palatino Linotype" w:eastAsia="Palatino Linotype" w:hAnsi="Palatino Linotype" w:cs="Palatino Linotype"/>
        </w:rPr>
        <w:t xml:space="preserve"> </w:t>
      </w:r>
      <w:r>
        <w:rPr>
          <w:rFonts w:ascii="Palatino Linotype" w:eastAsia="Palatino Linotype" w:hAnsi="Palatino Linotype" w:cs="Palatino Linotype"/>
          <w:i/>
          <w:sz w:val="22"/>
          <w:szCs w:val="22"/>
        </w:rPr>
        <w:t>(Énfasis añadido)</w:t>
      </w:r>
    </w:p>
    <w:p w14:paraId="61C32D84" w14:textId="77777777" w:rsidR="00F84F73" w:rsidRDefault="0025525C">
      <w:pPr>
        <w:tabs>
          <w:tab w:val="right" w:pos="8838"/>
        </w:tabs>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lastRenderedPageBreak/>
        <w:t>Modalidad de entrega de la información</w:t>
      </w:r>
      <w:r>
        <w:rPr>
          <w:rFonts w:ascii="Palatino Linotype" w:eastAsia="Palatino Linotype" w:hAnsi="Palatino Linotype" w:cs="Palatino Linotype"/>
        </w:rPr>
        <w:t>: A través del</w:t>
      </w:r>
      <w:r>
        <w:rPr>
          <w:rFonts w:ascii="Palatino Linotype" w:eastAsia="Palatino Linotype" w:hAnsi="Palatino Linotype" w:cs="Palatino Linotype"/>
          <w:b/>
        </w:rPr>
        <w:t xml:space="preserve"> SAIMEX.</w:t>
      </w:r>
      <w:r>
        <w:rPr>
          <w:rFonts w:ascii="Palatino Linotype" w:eastAsia="Palatino Linotype" w:hAnsi="Palatino Linotype" w:cs="Palatino Linotype"/>
          <w:b/>
        </w:rPr>
        <w:tab/>
      </w:r>
    </w:p>
    <w:p w14:paraId="17B61D57" w14:textId="77777777" w:rsidR="00F84F73" w:rsidRDefault="0025525C">
      <w:pPr>
        <w:tabs>
          <w:tab w:val="right" w:pos="8838"/>
        </w:tabs>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rPr>
        <w:t xml:space="preserve">2. Solicitud de Aclaración. </w:t>
      </w:r>
      <w:r>
        <w:rPr>
          <w:rFonts w:ascii="Palatino Linotype" w:eastAsia="Palatino Linotype" w:hAnsi="Palatino Linotype" w:cs="Palatino Linotype"/>
          <w:sz w:val="22"/>
          <w:szCs w:val="22"/>
        </w:rPr>
        <w:t xml:space="preserve">En fecha </w:t>
      </w:r>
      <w:r>
        <w:rPr>
          <w:rFonts w:ascii="Palatino Linotype" w:eastAsia="Palatino Linotype" w:hAnsi="Palatino Linotype" w:cs="Palatino Linotype"/>
          <w:b/>
          <w:sz w:val="22"/>
          <w:szCs w:val="22"/>
        </w:rPr>
        <w:t>nueve de febrero del año dos mil veintidós,</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sz w:val="22"/>
          <w:szCs w:val="22"/>
        </w:rPr>
        <w:t>el Sujeto Obligado</w:t>
      </w:r>
      <w:r>
        <w:rPr>
          <w:rFonts w:ascii="Palatino Linotype" w:eastAsia="Palatino Linotype" w:hAnsi="Palatino Linotype" w:cs="Palatino Linotype"/>
          <w:sz w:val="22"/>
          <w:szCs w:val="22"/>
        </w:rPr>
        <w:t xml:space="preserve">, solicitó al particular la aclaración a su solicitud, medularmente en los siguientes términos: </w:t>
      </w:r>
    </w:p>
    <w:p w14:paraId="4090422F" w14:textId="77777777" w:rsidR="00F84F73" w:rsidRDefault="0025525C">
      <w:pPr>
        <w:tabs>
          <w:tab w:val="right" w:pos="8505"/>
        </w:tabs>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“Con fundamento en el </w:t>
      </w:r>
      <w:proofErr w:type="spellStart"/>
      <w:r>
        <w:rPr>
          <w:rFonts w:ascii="Palatino Linotype" w:eastAsia="Palatino Linotype" w:hAnsi="Palatino Linotype" w:cs="Palatino Linotype"/>
          <w:i/>
          <w:sz w:val="22"/>
          <w:szCs w:val="22"/>
        </w:rPr>
        <w:t>articulo</w:t>
      </w:r>
      <w:proofErr w:type="spellEnd"/>
      <w:r>
        <w:rPr>
          <w:rFonts w:ascii="Palatino Linotype" w:eastAsia="Palatino Linotype" w:hAnsi="Palatino Linotype" w:cs="Palatino Linotype"/>
          <w:i/>
          <w:sz w:val="22"/>
          <w:szCs w:val="22"/>
        </w:rPr>
        <w:t xml:space="preserve"> 159 de la Ley de Transparencia y Acceso a la Información Pública del Estado de México y Municipios, se le requiere para que dentro del plazo de diez días hábiles realice lo siguiente:</w:t>
      </w:r>
    </w:p>
    <w:p w14:paraId="7947EC06" w14:textId="77777777" w:rsidR="00F84F73" w:rsidRDefault="0025525C">
      <w:pPr>
        <w:tabs>
          <w:tab w:val="right" w:pos="8505"/>
        </w:tabs>
        <w:spacing w:before="240" w:after="240" w:line="276" w:lineRule="auto"/>
        <w:ind w:left="567"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Distinguido Ciudadano: Mediante oficio DAF/104/2022, la Dirección de Administración y Finanzas solicita aclaración de la información requerida, de conformidad con lo dispuesto en el artículo 159 de la Ley de Transparencia y Acceso a la Información Pública del Estado de México y Municipios, lo que se hace del conocimiento del peticionario, para los efectos legales conducentes. 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5736920C" w14:textId="77777777" w:rsidR="00F84F73" w:rsidRDefault="0025525C">
      <w:pPr>
        <w:tabs>
          <w:tab w:val="right" w:pos="8505"/>
        </w:tabs>
        <w:spacing w:before="240" w:after="240" w:line="276" w:lineRule="auto"/>
        <w:ind w:left="567"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638DB78A" w14:textId="77777777" w:rsidR="00F84F73" w:rsidRDefault="0025525C">
      <w:pPr>
        <w:tabs>
          <w:tab w:val="right" w:pos="8505"/>
        </w:tabs>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ATENTAMENTE</w:t>
      </w:r>
    </w:p>
    <w:p w14:paraId="4EC71986" w14:textId="77777777" w:rsidR="00F84F73" w:rsidRDefault="0025525C">
      <w:pPr>
        <w:tabs>
          <w:tab w:val="right" w:pos="8505"/>
        </w:tabs>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LIC. EN DERECHO LIDIA SHIMASAKI MARTINEZ” (Sic) (Énfasis añadido)</w:t>
      </w:r>
    </w:p>
    <w:p w14:paraId="472B1534" w14:textId="77777777" w:rsidR="00F84F73" w:rsidRDefault="0025525C">
      <w:pPr>
        <w:tabs>
          <w:tab w:val="right" w:pos="8838"/>
        </w:tabs>
        <w:spacing w:before="240" w:after="240" w:line="360" w:lineRule="auto"/>
        <w:ind w:left="56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lastRenderedPageBreak/>
        <w:t xml:space="preserve">Archivos adjuntos: </w:t>
      </w:r>
    </w:p>
    <w:p w14:paraId="5AD93877" w14:textId="77777777" w:rsidR="00F84F73" w:rsidRDefault="0025525C">
      <w:pPr>
        <w:tabs>
          <w:tab w:val="right" w:pos="8838"/>
        </w:tabs>
        <w:spacing w:before="240" w:after="240" w:line="360" w:lineRule="auto"/>
        <w:ind w:left="567"/>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 xml:space="preserve">“DAF 104 2022.pdf”: </w:t>
      </w:r>
      <w:r>
        <w:rPr>
          <w:rFonts w:ascii="Palatino Linotype" w:eastAsia="Palatino Linotype" w:hAnsi="Palatino Linotype" w:cs="Palatino Linotype"/>
          <w:sz w:val="22"/>
          <w:szCs w:val="22"/>
        </w:rPr>
        <w:t xml:space="preserve">Oficio signado por la Directora de Administración y Finanzas, mediante el cual solicita a la Titular de la Unidad de Transparencia, se aclare el requerimiento de información. </w:t>
      </w:r>
    </w:p>
    <w:p w14:paraId="5A581F7F" w14:textId="77777777" w:rsidR="00F84F73" w:rsidRDefault="0025525C">
      <w:pPr>
        <w:tabs>
          <w:tab w:val="right" w:pos="8838"/>
        </w:tabs>
        <w:spacing w:before="240" w:after="240" w:line="360" w:lineRule="auto"/>
        <w:ind w:left="567"/>
        <w:jc w:val="center"/>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lang w:val="es-MX"/>
        </w:rPr>
        <w:drawing>
          <wp:inline distT="0" distB="0" distL="0" distR="0" wp14:anchorId="094FF864" wp14:editId="5BF8BDFD">
            <wp:extent cx="3408981" cy="4248203"/>
            <wp:effectExtent l="0" t="0" r="0" b="0"/>
            <wp:docPr id="4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3408981" cy="4248203"/>
                    </a:xfrm>
                    <a:prstGeom prst="rect">
                      <a:avLst/>
                    </a:prstGeom>
                    <a:ln/>
                  </pic:spPr>
                </pic:pic>
              </a:graphicData>
            </a:graphic>
          </wp:inline>
        </w:drawing>
      </w:r>
    </w:p>
    <w:p w14:paraId="01BD250E" w14:textId="77777777" w:rsidR="00F84F73" w:rsidRDefault="0025525C">
      <w:pPr>
        <w:tabs>
          <w:tab w:val="right" w:pos="8838"/>
        </w:tabs>
        <w:spacing w:before="240" w:after="240" w:line="360" w:lineRule="auto"/>
        <w:ind w:left="567"/>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lastRenderedPageBreak/>
        <w:t>“Observaciones sol. 30</w:t>
      </w:r>
      <w:proofErr w:type="gramStart"/>
      <w:r>
        <w:rPr>
          <w:rFonts w:ascii="Palatino Linotype" w:eastAsia="Palatino Linotype" w:hAnsi="Palatino Linotype" w:cs="Palatino Linotype"/>
          <w:b/>
          <w:i/>
          <w:sz w:val="22"/>
          <w:szCs w:val="22"/>
        </w:rPr>
        <w:t>.pdf</w:t>
      </w:r>
      <w:proofErr w:type="gramEnd"/>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sz w:val="22"/>
          <w:szCs w:val="22"/>
        </w:rPr>
        <w:t xml:space="preserve"> Captura de pantalla del Sistema SAIMEX, mediante la cual, la Directora de Administración solicita la aclaración. </w:t>
      </w:r>
    </w:p>
    <w:p w14:paraId="50433C5D" w14:textId="77777777" w:rsidR="00F84F73" w:rsidRDefault="0025525C">
      <w:pPr>
        <w:tabs>
          <w:tab w:val="right" w:pos="8838"/>
        </w:tabs>
        <w:spacing w:before="240" w:after="240" w:line="360" w:lineRule="auto"/>
        <w:ind w:left="567"/>
        <w:jc w:val="both"/>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lang w:val="es-MX"/>
        </w:rPr>
        <w:drawing>
          <wp:inline distT="0" distB="0" distL="0" distR="0" wp14:anchorId="709D6C72" wp14:editId="625653F0">
            <wp:extent cx="5610225" cy="2171700"/>
            <wp:effectExtent l="0" t="0" r="0" b="0"/>
            <wp:docPr id="4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5610225" cy="2171700"/>
                    </a:xfrm>
                    <a:prstGeom prst="rect">
                      <a:avLst/>
                    </a:prstGeom>
                    <a:ln/>
                  </pic:spPr>
                </pic:pic>
              </a:graphicData>
            </a:graphic>
          </wp:inline>
        </w:drawing>
      </w:r>
    </w:p>
    <w:p w14:paraId="3E6F910E" w14:textId="77777777" w:rsidR="00F84F73" w:rsidRDefault="0025525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3. Aclaración</w:t>
      </w:r>
      <w:r>
        <w:rPr>
          <w:rFonts w:ascii="Palatino Linotype" w:eastAsia="Palatino Linotype" w:hAnsi="Palatino Linotype" w:cs="Palatino Linotype"/>
        </w:rPr>
        <w:t xml:space="preserve">. De la revisión al expediente electrónico se desprende que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presentó respuesta a la aclaración solicitada por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en fecha </w:t>
      </w:r>
      <w:r>
        <w:rPr>
          <w:rFonts w:ascii="Palatino Linotype" w:eastAsia="Palatino Linotype" w:hAnsi="Palatino Linotype" w:cs="Palatino Linotype"/>
          <w:b/>
        </w:rPr>
        <w:t>nueve de febrero de dos mil veintiuno</w:t>
      </w:r>
      <w:r>
        <w:rPr>
          <w:rFonts w:ascii="Palatino Linotype" w:eastAsia="Palatino Linotype" w:hAnsi="Palatino Linotype" w:cs="Palatino Linotype"/>
        </w:rPr>
        <w:t xml:space="preserv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manifestando lo siguiente: </w:t>
      </w:r>
    </w:p>
    <w:p w14:paraId="591CABB0" w14:textId="77777777" w:rsidR="00F84F73" w:rsidRDefault="0025525C">
      <w:pPr>
        <w:spacing w:before="240" w:after="240" w:line="276" w:lineRule="auto"/>
        <w:ind w:left="567" w:right="900"/>
        <w:jc w:val="both"/>
        <w:rPr>
          <w:rFonts w:ascii="Palatino Linotype" w:eastAsia="Palatino Linotype" w:hAnsi="Palatino Linotype" w:cs="Palatino Linotype"/>
          <w:i/>
        </w:rPr>
      </w:pPr>
      <w:r>
        <w:rPr>
          <w:rFonts w:ascii="Palatino Linotype" w:eastAsia="Palatino Linotype" w:hAnsi="Palatino Linotype" w:cs="Palatino Linotype"/>
          <w:i/>
        </w:rPr>
        <w:t>“No se detalla su aclaración refieren un oficio el cual no es agregado a la solicitud” (Sic)</w:t>
      </w:r>
    </w:p>
    <w:p w14:paraId="3BF36477" w14:textId="77777777" w:rsidR="00F84F73" w:rsidRDefault="0025525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4.- Entrega de información. </w:t>
      </w:r>
      <w:r>
        <w:rPr>
          <w:rFonts w:ascii="Palatino Linotype" w:eastAsia="Palatino Linotype" w:hAnsi="Palatino Linotype" w:cs="Palatino Linotype"/>
        </w:rPr>
        <w:t xml:space="preserve">En fecha </w:t>
      </w:r>
      <w:r>
        <w:rPr>
          <w:rFonts w:ascii="Palatino Linotype" w:eastAsia="Palatino Linotype" w:hAnsi="Palatino Linotype" w:cs="Palatino Linotype"/>
          <w:b/>
        </w:rPr>
        <w:t>cuatro de marzo del dos mil veintidós,</w:t>
      </w:r>
      <w:r>
        <w:rPr>
          <w:rFonts w:ascii="Palatino Linotype" w:eastAsia="Palatino Linotype" w:hAnsi="Palatino Linotype" w:cs="Palatino Linotype"/>
        </w:rPr>
        <w:t xml:space="preserv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remitió la respuesta a la solicitud de información y la notificó al particular en los siguientes términos: </w:t>
      </w:r>
    </w:p>
    <w:p w14:paraId="036207CB" w14:textId="77777777" w:rsidR="00F84F73" w:rsidRDefault="0025525C">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“Distinguido Ciudadano: En atención a su solicitud Número: 00030/OASNAUCAL/IP/2022 de fecha 01 de febrero del año en curso, mediante la cual requiere lo siguiente: “QUIERO EN VERSIÓN PÚBLICA LA ACTA FINAL O DE CONCLUSIÓN QUE RECIBIO LA DIRECTORA DE ADMINISTRACIÓN Y FINANZAS” (sic). Al respecto me permito informarle que de conformidad con lo dispuesto en el artículo 159 de la Ley de Transparencia y Acceso a la Información Pública del Estado de México y Municipios, </w:t>
      </w:r>
      <w:r>
        <w:rPr>
          <w:rFonts w:ascii="Palatino Linotype" w:eastAsia="Palatino Linotype" w:hAnsi="Palatino Linotype" w:cs="Palatino Linotype"/>
          <w:b/>
          <w:i/>
          <w:sz w:val="22"/>
          <w:szCs w:val="22"/>
          <w:u w:val="single"/>
        </w:rPr>
        <w:t>toda vez que no fue desahogada la solicitud de aclaración de la información realizada por la Unidad de Transparencia de este Sujeto Obligado, de conformidad con el Acuerdo que se Adjunta al presente, se tiene por no presentada, quedando a salvo sus derechos para volver a presentar dicha solicitud si así lo desea.</w:t>
      </w:r>
      <w:r>
        <w:rPr>
          <w:rFonts w:ascii="Palatino Linotype" w:eastAsia="Palatino Linotype" w:hAnsi="Palatino Linotype" w:cs="Palatino Linotype"/>
          <w:i/>
          <w:sz w:val="22"/>
          <w:szCs w:val="22"/>
        </w:rPr>
        <w:t xml:space="preserve"> Lo anterior se hace de su conocimiento de conformidad con lo dispuesto en los artículos 50, 51, 52, 53 fracciones II, III IV, V VI XIV, 159, 162, 163 y demás relativos y aplicables de la Ley de Transparencia y Acceso a la Información Pública del Estado de México y Municipios. Sin otro particular quedo a sus órdenes para cualquier duda o aclaración, en las oficinas centrales de este Organismo ubicadas en Avenida San Luis Tlatilco número 19, Fraccionamiento Parque Industrial Naucalpan, Naucalpan de Juárez, Estado de México, C.P. 53489. </w:t>
      </w:r>
      <w:proofErr w:type="spellStart"/>
      <w:r>
        <w:rPr>
          <w:rFonts w:ascii="Palatino Linotype" w:eastAsia="Palatino Linotype" w:hAnsi="Palatino Linotype" w:cs="Palatino Linotype"/>
          <w:i/>
          <w:sz w:val="22"/>
          <w:szCs w:val="22"/>
        </w:rPr>
        <w:t>tel</w:t>
      </w:r>
      <w:proofErr w:type="spellEnd"/>
      <w:r>
        <w:rPr>
          <w:rFonts w:ascii="Palatino Linotype" w:eastAsia="Palatino Linotype" w:hAnsi="Palatino Linotype" w:cs="Palatino Linotype"/>
          <w:i/>
          <w:sz w:val="22"/>
          <w:szCs w:val="22"/>
        </w:rPr>
        <w:t>: 53711900 ext. 3015. ATENTAMENTE LIC. LIDIA SHIMASAKI MARTÍNEZ ENCARGADA DEL DESPACHO DE LA SUBGERENCIA DE TRANSPARENCIA Y OFICILÍA DE PARTES. Organismo Público Descentralizado para la Prestación de Los Servicios de Agua Potable Alcantarillado y Saneamiento del Municipio de Naucalpan de Juárez</w:t>
      </w:r>
    </w:p>
    <w:p w14:paraId="62D1B310" w14:textId="77777777" w:rsidR="00F84F73" w:rsidRDefault="0025525C">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ATENTAMENTE</w:t>
      </w:r>
    </w:p>
    <w:p w14:paraId="21CF4F1F" w14:textId="77777777" w:rsidR="00F84F73" w:rsidRDefault="0025525C">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LIC. EN DERECHO LIDIA SHIMASAKI MARTINEZ” (Sic) (Énfasis añadido)</w:t>
      </w:r>
    </w:p>
    <w:p w14:paraId="291B17BA" w14:textId="77777777" w:rsidR="00F84F73" w:rsidRDefault="00F84F73">
      <w:pPr>
        <w:spacing w:before="240" w:after="240" w:line="360" w:lineRule="auto"/>
        <w:jc w:val="center"/>
        <w:rPr>
          <w:rFonts w:ascii="Palatino Linotype" w:eastAsia="Palatino Linotype" w:hAnsi="Palatino Linotype" w:cs="Palatino Linotype"/>
          <w:b/>
        </w:rPr>
      </w:pPr>
    </w:p>
    <w:p w14:paraId="0F6A0EA5" w14:textId="77777777" w:rsidR="00F84F73" w:rsidRDefault="0025525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i/>
        </w:rPr>
        <w:lastRenderedPageBreak/>
        <w:t>“ACUERDO SOLIC. 30.pdf”</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Documento de tres fojas en el que medularmente se aprecia el acuerdo por el que se tuvo por no presentada la solicitud al no atender el requerimiento de aclaración. </w:t>
      </w:r>
    </w:p>
    <w:p w14:paraId="72C07BC6" w14:textId="2AA52ECD" w:rsidR="00F84F73" w:rsidRDefault="009D632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14:anchorId="0D4B0987" wp14:editId="1E83356C">
            <wp:extent cx="4724400" cy="46958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24400" cy="4695825"/>
                    </a:xfrm>
                    <a:prstGeom prst="rect">
                      <a:avLst/>
                    </a:prstGeom>
                    <a:noFill/>
                    <a:ln>
                      <a:noFill/>
                    </a:ln>
                  </pic:spPr>
                </pic:pic>
              </a:graphicData>
            </a:graphic>
          </wp:inline>
        </w:drawing>
      </w:r>
    </w:p>
    <w:p w14:paraId="5D593EBC" w14:textId="77777777" w:rsidR="00F84F73" w:rsidRDefault="0025525C">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lastRenderedPageBreak/>
        <w:t>5. Recurso de revisión</w:t>
      </w:r>
      <w:r>
        <w:rPr>
          <w:rFonts w:ascii="Palatino Linotype" w:eastAsia="Palatino Linotype" w:hAnsi="Palatino Linotype" w:cs="Palatino Linotype"/>
          <w:b/>
          <w:sz w:val="28"/>
          <w:szCs w:val="28"/>
        </w:rPr>
        <w:t>.</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A través del SAIMEX en fecha </w:t>
      </w:r>
      <w:r>
        <w:rPr>
          <w:rFonts w:ascii="Palatino Linotype" w:eastAsia="Palatino Linotype" w:hAnsi="Palatino Linotype" w:cs="Palatino Linotype"/>
          <w:b/>
        </w:rPr>
        <w:t>diez de marzo de dos mil veintidós</w:t>
      </w:r>
      <w:r>
        <w:rPr>
          <w:rFonts w:ascii="Palatino Linotype" w:eastAsia="Palatino Linotype" w:hAnsi="Palatino Linotype" w:cs="Palatino Linotype"/>
        </w:rPr>
        <w:t xml:space="preserve">,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interpuso el recurso de revisión en los siguientes términos:</w:t>
      </w:r>
    </w:p>
    <w:p w14:paraId="43C88A0A" w14:textId="77777777" w:rsidR="00F84F73" w:rsidRDefault="0025525C">
      <w:pPr>
        <w:spacing w:before="240" w:after="240" w:line="360" w:lineRule="auto"/>
        <w:ind w:left="567"/>
        <w:rPr>
          <w:rFonts w:ascii="Palatino Linotype" w:eastAsia="Palatino Linotype" w:hAnsi="Palatino Linotype" w:cs="Palatino Linotype"/>
          <w:b/>
        </w:rPr>
      </w:pPr>
      <w:r>
        <w:rPr>
          <w:rFonts w:ascii="Palatino Linotype" w:eastAsia="Palatino Linotype" w:hAnsi="Palatino Linotype" w:cs="Palatino Linotype"/>
          <w:b/>
        </w:rPr>
        <w:t>a) Acto impugnado.</w:t>
      </w:r>
    </w:p>
    <w:p w14:paraId="7F647001" w14:textId="77777777" w:rsidR="00F84F73" w:rsidRDefault="0025525C">
      <w:pPr>
        <w:spacing w:before="240" w:after="240" w:line="360" w:lineRule="auto"/>
        <w:ind w:left="567" w:right="1043"/>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“Jamás detallaron cuál era su duda” (sic)</w:t>
      </w:r>
    </w:p>
    <w:p w14:paraId="4B29D66A" w14:textId="77777777" w:rsidR="00F84F73" w:rsidRDefault="0025525C">
      <w:pPr>
        <w:spacing w:before="240" w:after="240" w:line="360" w:lineRule="auto"/>
        <w:ind w:left="567"/>
        <w:jc w:val="both"/>
        <w:rPr>
          <w:rFonts w:ascii="Palatino Linotype" w:eastAsia="Palatino Linotype" w:hAnsi="Palatino Linotype" w:cs="Palatino Linotype"/>
          <w:b/>
        </w:rPr>
      </w:pPr>
      <w:r>
        <w:rPr>
          <w:rFonts w:ascii="Palatino Linotype" w:eastAsia="Palatino Linotype" w:hAnsi="Palatino Linotype" w:cs="Palatino Linotype"/>
          <w:b/>
        </w:rPr>
        <w:t>b) Motivos de inconformidad.</w:t>
      </w:r>
    </w:p>
    <w:p w14:paraId="1F138AAF" w14:textId="77777777" w:rsidR="00F84F73" w:rsidRDefault="0025525C">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“Cuando hicieron la aclaración no había oficio cargado y un día después lo cargaron impidiendo que yo pudiera volver a contestar por qué el sistema quedó bloqueado” (sic)</w:t>
      </w:r>
    </w:p>
    <w:p w14:paraId="4BBC1DCF" w14:textId="77777777" w:rsidR="00F84F73" w:rsidRDefault="0025525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6. Turno.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envió electrónicamente al Instituto de Transparencia, Acceso a la Información Pública y Protección de Datos Personales del Estado de México y Municipios, que por razón de turno fue asignado a la </w:t>
      </w:r>
      <w:r>
        <w:rPr>
          <w:rFonts w:ascii="Palatino Linotype" w:eastAsia="Palatino Linotype" w:hAnsi="Palatino Linotype" w:cs="Palatino Linotype"/>
          <w:b/>
        </w:rPr>
        <w:t>Comisionada</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Guadalupe Ramírez Peña </w:t>
      </w:r>
      <w:r>
        <w:rPr>
          <w:rFonts w:ascii="Palatino Linotype" w:eastAsia="Palatino Linotype" w:hAnsi="Palatino Linotype" w:cs="Palatino Linotype"/>
        </w:rPr>
        <w:t>para su análisis, estudio, elaboración del proyecto y presentación ante el Pleno de este Instituto.</w:t>
      </w:r>
    </w:p>
    <w:p w14:paraId="0AD07DEC" w14:textId="77777777" w:rsidR="00F84F73" w:rsidRDefault="0025525C">
      <w:pPr>
        <w:spacing w:before="240" w:after="240" w:line="360" w:lineRule="auto"/>
        <w:jc w:val="both"/>
      </w:pPr>
      <w:r>
        <w:rPr>
          <w:rFonts w:ascii="Palatino Linotype" w:eastAsia="Palatino Linotype" w:hAnsi="Palatino Linotype" w:cs="Palatino Linotype"/>
          <w:b/>
        </w:rPr>
        <w:t xml:space="preserve">7. Admisión. </w:t>
      </w:r>
      <w:r>
        <w:rPr>
          <w:rFonts w:ascii="Palatino Linotype" w:eastAsia="Palatino Linotype" w:hAnsi="Palatino Linotype" w:cs="Palatino Linotype"/>
        </w:rPr>
        <w:t xml:space="preserve">Mediante auto de fecha </w:t>
      </w:r>
      <w:r>
        <w:rPr>
          <w:rFonts w:ascii="Palatino Linotype" w:eastAsia="Palatino Linotype" w:hAnsi="Palatino Linotype" w:cs="Palatino Linotype"/>
          <w:b/>
        </w:rPr>
        <w:t>veinticuatro de marzo de dos mil veintidós</w:t>
      </w:r>
      <w:r>
        <w:rPr>
          <w:rFonts w:ascii="Palatino Linotype" w:eastAsia="Palatino Linotype" w:hAnsi="Palatino Linotype" w:cs="Palatino Linotype"/>
        </w:rPr>
        <w:t xml:space="preserve">, este Organismo Garante, admitió a trámite el recurso de revisión respectivo, poniéndose a disposición de las partes, para que un plazo no mayor a siete días </w:t>
      </w:r>
      <w:r>
        <w:rPr>
          <w:rFonts w:ascii="Palatino Linotype" w:eastAsia="Palatino Linotype" w:hAnsi="Palatino Linotype" w:cs="Palatino Linotype"/>
        </w:rPr>
        <w:lastRenderedPageBreak/>
        <w:t xml:space="preserve">hábiles manifestase lo que a su derecho corresponda, a efecto de ofrecer pruebas, informe justificado y alegatos, lo anterior con fundamento en el artículo 185 fracciones I, II y IV de la Ley de Transparencia y Acceso a la Información Pública del Estado de México y Municipios. </w:t>
      </w:r>
    </w:p>
    <w:p w14:paraId="7B7B738A" w14:textId="77777777" w:rsidR="00F84F73" w:rsidRDefault="0025525C">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8. Manifestaciones.</w:t>
      </w:r>
      <w:r>
        <w:rPr>
          <w:sz w:val="22"/>
          <w:szCs w:val="22"/>
        </w:rPr>
        <w:t xml:space="preserve"> </w:t>
      </w:r>
      <w:r>
        <w:rPr>
          <w:rFonts w:ascii="Palatino Linotype" w:eastAsia="Palatino Linotype" w:hAnsi="Palatino Linotype" w:cs="Palatino Linotype"/>
        </w:rPr>
        <w:t>De las constancias del expediente electrónico del</w:t>
      </w:r>
      <w:r>
        <w:rPr>
          <w:rFonts w:ascii="Palatino Linotype" w:eastAsia="Palatino Linotype" w:hAnsi="Palatino Linotype" w:cs="Palatino Linotype"/>
          <w:b/>
        </w:rPr>
        <w:t xml:space="preserve"> SAIMEX</w:t>
      </w:r>
      <w:r>
        <w:rPr>
          <w:rFonts w:ascii="Palatino Linotype" w:eastAsia="Palatino Linotype" w:hAnsi="Palatino Linotype" w:cs="Palatino Linotype"/>
        </w:rPr>
        <w:t xml:space="preserve">, se observa que,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en fecha </w:t>
      </w:r>
      <w:r>
        <w:rPr>
          <w:rFonts w:ascii="Palatino Linotype" w:eastAsia="Palatino Linotype" w:hAnsi="Palatino Linotype" w:cs="Palatino Linotype"/>
          <w:b/>
        </w:rPr>
        <w:t>veinticinco de marzo de dos mil veintidós</w:t>
      </w:r>
      <w:r>
        <w:rPr>
          <w:rFonts w:ascii="Palatino Linotype" w:eastAsia="Palatino Linotype" w:hAnsi="Palatino Linotype" w:cs="Palatino Linotype"/>
        </w:rPr>
        <w:t>, rindió informe justificado, a través de los siguientes archivos electrónicos:</w:t>
      </w:r>
      <w:r>
        <w:t xml:space="preserve"> </w:t>
      </w:r>
    </w:p>
    <w:p w14:paraId="4A0C66CC" w14:textId="77777777" w:rsidR="00F84F73" w:rsidRDefault="0025525C">
      <w:pPr>
        <w:spacing w:line="360" w:lineRule="auto"/>
        <w:ind w:left="567"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 xml:space="preserve">“2 DAF 104 2022.pdf”: </w:t>
      </w:r>
      <w:r>
        <w:rPr>
          <w:rFonts w:ascii="Palatino Linotype" w:eastAsia="Palatino Linotype" w:hAnsi="Palatino Linotype" w:cs="Palatino Linotype"/>
          <w:sz w:val="22"/>
          <w:szCs w:val="22"/>
        </w:rPr>
        <w:t xml:space="preserve">Oficio DAF/104/2022 signado por la Directora de Administración y Finanzas mediante el cual requiere a la Encargada de Despacho de la Subgerencia de Transparencia y Oficialía de Partes  que se solicite la aclaración al particular respecto de la información requerida. </w:t>
      </w:r>
    </w:p>
    <w:p w14:paraId="58D08F14" w14:textId="77777777" w:rsidR="00F84F73" w:rsidRDefault="0025525C">
      <w:pPr>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noProof/>
          <w:sz w:val="22"/>
          <w:szCs w:val="22"/>
          <w:lang w:val="es-MX"/>
        </w:rPr>
        <w:lastRenderedPageBreak/>
        <w:drawing>
          <wp:inline distT="0" distB="0" distL="0" distR="0" wp14:anchorId="21A4CDC1" wp14:editId="4A763789">
            <wp:extent cx="4608002" cy="6016220"/>
            <wp:effectExtent l="0" t="0" r="0" b="0"/>
            <wp:docPr id="4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4608002" cy="6016220"/>
                    </a:xfrm>
                    <a:prstGeom prst="rect">
                      <a:avLst/>
                    </a:prstGeom>
                    <a:ln/>
                  </pic:spPr>
                </pic:pic>
              </a:graphicData>
            </a:graphic>
          </wp:inline>
        </w:drawing>
      </w:r>
    </w:p>
    <w:p w14:paraId="540DCC7A" w14:textId="77777777" w:rsidR="00F84F73" w:rsidRDefault="00F84F73">
      <w:pPr>
        <w:jc w:val="both"/>
        <w:rPr>
          <w:rFonts w:ascii="Palatino Linotype" w:eastAsia="Palatino Linotype" w:hAnsi="Palatino Linotype" w:cs="Palatino Linotype"/>
          <w:b/>
          <w:i/>
          <w:sz w:val="22"/>
          <w:szCs w:val="22"/>
        </w:rPr>
      </w:pPr>
    </w:p>
    <w:p w14:paraId="306A58D6" w14:textId="77777777" w:rsidR="00F84F73" w:rsidRDefault="0025525C">
      <w:pPr>
        <w:spacing w:line="360" w:lineRule="auto"/>
        <w:ind w:left="567"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lastRenderedPageBreak/>
        <w:t>“INFORME JUSTIFICADO 3739 RR.pdf”:</w:t>
      </w:r>
      <w:r>
        <w:rPr>
          <w:rFonts w:ascii="Palatino Linotype" w:eastAsia="Palatino Linotype" w:hAnsi="Palatino Linotype" w:cs="Palatino Linotype"/>
          <w:sz w:val="22"/>
          <w:szCs w:val="22"/>
        </w:rPr>
        <w:t xml:space="preserve"> Documento que consta de seis fojas, mediante el cual, la Encargada de Despacho de la Subgerencia de Transparencia y Oficialía de Partes, ratifica su actuar al tener por no presentada la solicitud, esto en virtud de que no se desahogó la aclaración. </w:t>
      </w:r>
    </w:p>
    <w:p w14:paraId="7ADECE86" w14:textId="798BB6E5" w:rsidR="00F84F73" w:rsidRDefault="009D6320">
      <w:pPr>
        <w:spacing w:line="360" w:lineRule="auto"/>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noProof/>
          <w:sz w:val="22"/>
          <w:szCs w:val="22"/>
          <w:lang w:val="es-MX"/>
        </w:rPr>
        <w:drawing>
          <wp:inline distT="0" distB="0" distL="0" distR="0" wp14:anchorId="68D3FEAA" wp14:editId="607EBFAA">
            <wp:extent cx="3514725" cy="457200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14725" cy="4572000"/>
                    </a:xfrm>
                    <a:prstGeom prst="rect">
                      <a:avLst/>
                    </a:prstGeom>
                    <a:noFill/>
                    <a:ln>
                      <a:noFill/>
                    </a:ln>
                  </pic:spPr>
                </pic:pic>
              </a:graphicData>
            </a:graphic>
          </wp:inline>
        </w:drawing>
      </w:r>
    </w:p>
    <w:p w14:paraId="50A5E124" w14:textId="77777777" w:rsidR="00F84F73" w:rsidRDefault="0025525C">
      <w:pPr>
        <w:spacing w:line="360" w:lineRule="auto"/>
        <w:ind w:left="567"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lastRenderedPageBreak/>
        <w:t xml:space="preserve">“4 STOP M UT 049 2022.pdf”: </w:t>
      </w:r>
      <w:r>
        <w:rPr>
          <w:rFonts w:ascii="Palatino Linotype" w:eastAsia="Palatino Linotype" w:hAnsi="Palatino Linotype" w:cs="Palatino Linotype"/>
          <w:sz w:val="22"/>
          <w:szCs w:val="22"/>
        </w:rPr>
        <w:t xml:space="preserve">Archivo digital de tres fojas que contiene el oficio de turno para atención a la presente solicitud de información, suscrito por la Encargada de Despacho de la Subgerencia de Transparencia y Oficialía de Partes y el Oficio DAF/104/2022 referido con antelación. </w:t>
      </w:r>
    </w:p>
    <w:p w14:paraId="06BB02AA" w14:textId="77777777" w:rsidR="00F84F73" w:rsidRDefault="0025525C">
      <w:pPr>
        <w:spacing w:line="360" w:lineRule="auto"/>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noProof/>
          <w:sz w:val="22"/>
          <w:szCs w:val="22"/>
          <w:lang w:val="es-MX"/>
        </w:rPr>
        <w:drawing>
          <wp:inline distT="0" distB="0" distL="0" distR="0" wp14:anchorId="3844124B" wp14:editId="267E965F">
            <wp:extent cx="4000500" cy="4662568"/>
            <wp:effectExtent l="0" t="0" r="0" b="0"/>
            <wp:docPr id="4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a:stretch>
                      <a:fillRect/>
                    </a:stretch>
                  </pic:blipFill>
                  <pic:spPr>
                    <a:xfrm>
                      <a:off x="0" y="0"/>
                      <a:ext cx="4000500" cy="4662568"/>
                    </a:xfrm>
                    <a:prstGeom prst="rect">
                      <a:avLst/>
                    </a:prstGeom>
                    <a:ln/>
                  </pic:spPr>
                </pic:pic>
              </a:graphicData>
            </a:graphic>
          </wp:inline>
        </w:drawing>
      </w:r>
    </w:p>
    <w:p w14:paraId="4F61EC67" w14:textId="77777777" w:rsidR="00F84F73" w:rsidRDefault="00F84F73">
      <w:pPr>
        <w:jc w:val="both"/>
        <w:rPr>
          <w:rFonts w:ascii="Palatino Linotype" w:eastAsia="Palatino Linotype" w:hAnsi="Palatino Linotype" w:cs="Palatino Linotype"/>
          <w:b/>
          <w:i/>
          <w:sz w:val="22"/>
          <w:szCs w:val="22"/>
        </w:rPr>
      </w:pPr>
    </w:p>
    <w:p w14:paraId="7AB7118B" w14:textId="77777777" w:rsidR="00F84F73" w:rsidRDefault="0025525C">
      <w:pPr>
        <w:spacing w:line="360" w:lineRule="auto"/>
        <w:ind w:left="567" w:right="333"/>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lastRenderedPageBreak/>
        <w:t>“3 ACUERDO SOLIC. 30</w:t>
      </w:r>
      <w:proofErr w:type="gramStart"/>
      <w:r>
        <w:rPr>
          <w:rFonts w:ascii="Palatino Linotype" w:eastAsia="Palatino Linotype" w:hAnsi="Palatino Linotype" w:cs="Palatino Linotype"/>
          <w:b/>
          <w:i/>
          <w:sz w:val="22"/>
          <w:szCs w:val="22"/>
        </w:rPr>
        <w:t>.pdf</w:t>
      </w:r>
      <w:proofErr w:type="gramEnd"/>
      <w:r>
        <w:rPr>
          <w:rFonts w:ascii="Palatino Linotype" w:eastAsia="Palatino Linotype" w:hAnsi="Palatino Linotype" w:cs="Palatino Linotype"/>
          <w:b/>
          <w:i/>
          <w:sz w:val="22"/>
          <w:szCs w:val="22"/>
        </w:rPr>
        <w:t>”:</w:t>
      </w:r>
      <w:r>
        <w:rPr>
          <w:rFonts w:ascii="Palatino Linotype" w:eastAsia="Palatino Linotype" w:hAnsi="Palatino Linotype" w:cs="Palatino Linotype"/>
          <w:sz w:val="22"/>
          <w:szCs w:val="22"/>
        </w:rPr>
        <w:t xml:space="preserve">Documento de tres fojas en el que medularmente se aprecia el acuerdo por el que se tuvo por no presentada la solicitud al no atender el requerimiento de aclaración. </w:t>
      </w:r>
    </w:p>
    <w:p w14:paraId="5C28F170" w14:textId="55322CBF" w:rsidR="00F84F73" w:rsidRDefault="00F84F73">
      <w:pPr>
        <w:jc w:val="center"/>
        <w:rPr>
          <w:rFonts w:ascii="Palatino Linotype" w:eastAsia="Palatino Linotype" w:hAnsi="Palatino Linotype" w:cs="Palatino Linotype"/>
          <w:b/>
          <w:i/>
          <w:sz w:val="22"/>
          <w:szCs w:val="22"/>
        </w:rPr>
      </w:pPr>
    </w:p>
    <w:p w14:paraId="29C33DEA" w14:textId="42D17D61" w:rsidR="00F84F73" w:rsidRDefault="009D6320" w:rsidP="009D6320">
      <w:pPr>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noProof/>
          <w:sz w:val="22"/>
          <w:szCs w:val="22"/>
          <w:lang w:val="es-MX"/>
        </w:rPr>
        <w:drawing>
          <wp:inline distT="0" distB="0" distL="0" distR="0" wp14:anchorId="157B713B" wp14:editId="5B32B187">
            <wp:extent cx="3409950" cy="48291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09950" cy="4829175"/>
                    </a:xfrm>
                    <a:prstGeom prst="rect">
                      <a:avLst/>
                    </a:prstGeom>
                    <a:noFill/>
                    <a:ln>
                      <a:noFill/>
                    </a:ln>
                  </pic:spPr>
                </pic:pic>
              </a:graphicData>
            </a:graphic>
          </wp:inline>
        </w:drawing>
      </w:r>
      <w:bookmarkStart w:id="0" w:name="_GoBack"/>
      <w:bookmarkEnd w:id="0"/>
    </w:p>
    <w:p w14:paraId="422B06E2" w14:textId="77777777" w:rsidR="00F84F73" w:rsidRDefault="0025525C">
      <w:pPr>
        <w:spacing w:line="360" w:lineRule="auto"/>
        <w:ind w:left="567"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lastRenderedPageBreak/>
        <w:t xml:space="preserve">“6 Acuse de Requerimiento de Aclaración a la Solicitud.pdf”: </w:t>
      </w:r>
      <w:r>
        <w:rPr>
          <w:rFonts w:ascii="Palatino Linotype" w:eastAsia="Palatino Linotype" w:hAnsi="Palatino Linotype" w:cs="Palatino Linotype"/>
          <w:sz w:val="22"/>
          <w:szCs w:val="22"/>
        </w:rPr>
        <w:t xml:space="preserve">Documento de dos fojas en el que se visualiza el acuse de requerimiento de aclaración a la solicitud, generado por el SAIMEX. </w:t>
      </w:r>
    </w:p>
    <w:p w14:paraId="07B3F3E2" w14:textId="77777777" w:rsidR="00F84F73" w:rsidRDefault="0025525C">
      <w:pPr>
        <w:spacing w:line="360" w:lineRule="auto"/>
        <w:ind w:left="567"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lang w:val="es-MX"/>
        </w:rPr>
        <w:drawing>
          <wp:inline distT="0" distB="0" distL="0" distR="0" wp14:anchorId="7A00C408" wp14:editId="0A6D5DE5">
            <wp:extent cx="4988868" cy="1694013"/>
            <wp:effectExtent l="0" t="0" r="0" b="0"/>
            <wp:docPr id="4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
                    <a:srcRect/>
                    <a:stretch>
                      <a:fillRect/>
                    </a:stretch>
                  </pic:blipFill>
                  <pic:spPr>
                    <a:xfrm>
                      <a:off x="0" y="0"/>
                      <a:ext cx="4988868" cy="1694013"/>
                    </a:xfrm>
                    <a:prstGeom prst="rect">
                      <a:avLst/>
                    </a:prstGeom>
                    <a:ln/>
                  </pic:spPr>
                </pic:pic>
              </a:graphicData>
            </a:graphic>
          </wp:inline>
        </w:drawing>
      </w:r>
    </w:p>
    <w:p w14:paraId="1D9FC82C" w14:textId="77777777" w:rsidR="00F84F73" w:rsidRDefault="0025525C">
      <w:pPr>
        <w:spacing w:line="360" w:lineRule="auto"/>
        <w:ind w:left="567" w:right="900"/>
        <w:jc w:val="both"/>
        <w:rPr>
          <w:rFonts w:ascii="Palatino Linotype" w:eastAsia="Palatino Linotype" w:hAnsi="Palatino Linotype" w:cs="Palatino Linotype"/>
          <w:sz w:val="22"/>
          <w:szCs w:val="22"/>
          <w:highlight w:val="yellow"/>
        </w:rPr>
      </w:pPr>
      <w:r>
        <w:rPr>
          <w:rFonts w:ascii="Palatino Linotype" w:eastAsia="Palatino Linotype" w:hAnsi="Palatino Linotype" w:cs="Palatino Linotype"/>
          <w:b/>
          <w:i/>
          <w:sz w:val="22"/>
          <w:szCs w:val="22"/>
        </w:rPr>
        <w:t xml:space="preserve">“ACLARACIÓN PLATAFORMA.pdf”: </w:t>
      </w:r>
      <w:r>
        <w:rPr>
          <w:rFonts w:ascii="Palatino Linotype" w:eastAsia="Palatino Linotype" w:hAnsi="Palatino Linotype" w:cs="Palatino Linotype"/>
          <w:sz w:val="22"/>
          <w:szCs w:val="22"/>
        </w:rPr>
        <w:t>Notificación del requerimiento de aclaración</w:t>
      </w:r>
      <w:r>
        <w:rPr>
          <w:rFonts w:ascii="Palatino Linotype" w:eastAsia="Palatino Linotype" w:hAnsi="Palatino Linotype" w:cs="Palatino Linotype"/>
          <w:b/>
          <w:i/>
          <w:noProof/>
          <w:sz w:val="22"/>
          <w:szCs w:val="22"/>
          <w:lang w:val="es-MX"/>
        </w:rPr>
        <w:drawing>
          <wp:inline distT="0" distB="0" distL="0" distR="0" wp14:anchorId="20B7DEC1" wp14:editId="48E94D4E">
            <wp:extent cx="5610225" cy="2628900"/>
            <wp:effectExtent l="0" t="0" r="0" b="0"/>
            <wp:docPr id="4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5610225" cy="2628900"/>
                    </a:xfrm>
                    <a:prstGeom prst="rect">
                      <a:avLst/>
                    </a:prstGeom>
                    <a:ln/>
                  </pic:spPr>
                </pic:pic>
              </a:graphicData>
            </a:graphic>
          </wp:inline>
        </w:drawing>
      </w:r>
      <w:r>
        <w:rPr>
          <w:rFonts w:ascii="Palatino Linotype" w:eastAsia="Palatino Linotype" w:hAnsi="Palatino Linotype" w:cs="Palatino Linotype"/>
          <w:b/>
          <w:i/>
          <w:sz w:val="22"/>
          <w:szCs w:val="22"/>
        </w:rPr>
        <w:lastRenderedPageBreak/>
        <w:t xml:space="preserve">“5 Acuse de Requerimiento de Aclaración a la Solicitud 1.pdf”: </w:t>
      </w:r>
      <w:r>
        <w:rPr>
          <w:rFonts w:ascii="Palatino Linotype" w:eastAsia="Palatino Linotype" w:hAnsi="Palatino Linotype" w:cs="Palatino Linotype"/>
          <w:sz w:val="22"/>
          <w:szCs w:val="22"/>
        </w:rPr>
        <w:t xml:space="preserve">Notificación del acuse de requerimiento de aclaración a la solicitud. </w:t>
      </w:r>
    </w:p>
    <w:p w14:paraId="15CEF3C3" w14:textId="77777777" w:rsidR="00F84F73" w:rsidRDefault="00F84F73">
      <w:pPr>
        <w:jc w:val="both"/>
        <w:rPr>
          <w:rFonts w:ascii="Palatino Linotype" w:eastAsia="Palatino Linotype" w:hAnsi="Palatino Linotype" w:cs="Palatino Linotype"/>
          <w:b/>
          <w:i/>
          <w:sz w:val="22"/>
          <w:szCs w:val="22"/>
        </w:rPr>
      </w:pPr>
    </w:p>
    <w:p w14:paraId="3F6A4706" w14:textId="77777777" w:rsidR="00F84F73" w:rsidRDefault="0025525C">
      <w:pPr>
        <w:spacing w:line="360" w:lineRule="auto"/>
        <w:ind w:left="567" w:right="900"/>
        <w:jc w:val="both"/>
        <w:rPr>
          <w:rFonts w:ascii="Palatino Linotype" w:eastAsia="Palatino Linotype" w:hAnsi="Palatino Linotype" w:cs="Palatino Linotype"/>
        </w:rPr>
      </w:pPr>
      <w:r>
        <w:rPr>
          <w:rFonts w:ascii="Palatino Linotype" w:eastAsia="Palatino Linotype" w:hAnsi="Palatino Linotype" w:cs="Palatino Linotype"/>
          <w:b/>
          <w:i/>
        </w:rPr>
        <w:t xml:space="preserve">“1 NOMBRAMIENTO LIDIA SHIMASAKI MARTINEZ.pdf”: </w:t>
      </w:r>
      <w:r>
        <w:rPr>
          <w:rFonts w:ascii="Palatino Linotype" w:eastAsia="Palatino Linotype" w:hAnsi="Palatino Linotype" w:cs="Palatino Linotype"/>
        </w:rPr>
        <w:t xml:space="preserve">Nombramiento de la Subgerente de Transparencia, Lic. Lidia </w:t>
      </w:r>
      <w:proofErr w:type="spellStart"/>
      <w:r>
        <w:rPr>
          <w:rFonts w:ascii="Palatino Linotype" w:eastAsia="Palatino Linotype" w:hAnsi="Palatino Linotype" w:cs="Palatino Linotype"/>
        </w:rPr>
        <w:t>Shimasaki</w:t>
      </w:r>
      <w:proofErr w:type="spellEnd"/>
      <w:r>
        <w:rPr>
          <w:rFonts w:ascii="Palatino Linotype" w:eastAsia="Palatino Linotype" w:hAnsi="Palatino Linotype" w:cs="Palatino Linotype"/>
        </w:rPr>
        <w:t xml:space="preserve"> Martínez.</w:t>
      </w:r>
    </w:p>
    <w:p w14:paraId="6B337A15" w14:textId="77777777" w:rsidR="00F84F73" w:rsidRDefault="0025525C">
      <w:pPr>
        <w:spacing w:line="360" w:lineRule="auto"/>
        <w:ind w:left="567" w:right="900"/>
        <w:jc w:val="center"/>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14:anchorId="39479635" wp14:editId="0A5A462D">
            <wp:extent cx="4340209" cy="6275939"/>
            <wp:effectExtent l="0" t="0" r="0" b="0"/>
            <wp:docPr id="5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4340209" cy="6275939"/>
                    </a:xfrm>
                    <a:prstGeom prst="rect">
                      <a:avLst/>
                    </a:prstGeom>
                    <a:ln/>
                  </pic:spPr>
                </pic:pic>
              </a:graphicData>
            </a:graphic>
          </wp:inline>
        </w:drawing>
      </w:r>
    </w:p>
    <w:p w14:paraId="30DF6DB8" w14:textId="77777777" w:rsidR="00F84F73" w:rsidRDefault="0025525C">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Es de señalar que esta documentación se puso a la vista del particular mediante acuerdo emitido por la Comisionada Ponente, en fecha </w:t>
      </w:r>
      <w:r>
        <w:rPr>
          <w:rFonts w:ascii="Palatino Linotype" w:eastAsia="Palatino Linotype" w:hAnsi="Palatino Linotype" w:cs="Palatino Linotype"/>
          <w:b/>
        </w:rPr>
        <w:t>catorce de junio de dos mil veintidós</w:t>
      </w:r>
      <w:r>
        <w:rPr>
          <w:rFonts w:ascii="Palatino Linotype" w:eastAsia="Palatino Linotype" w:hAnsi="Palatino Linotype" w:cs="Palatino Linotype"/>
        </w:rPr>
        <w:t>, asimismo por cuanto hace a la parte Recurrente, se tiene que fue omisa en presentar manifestaciones, pruebas y/o alegatos en la etapa procedimental previamente reconocida en nuestra Ley de Transparencia, por lo cual se tiene por precluido su derecho.</w:t>
      </w:r>
    </w:p>
    <w:p w14:paraId="0680E983" w14:textId="77777777" w:rsidR="00F84F73" w:rsidRDefault="0025525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14:anchorId="4442D46F" wp14:editId="52DC86FB">
            <wp:extent cx="5610225" cy="1885950"/>
            <wp:effectExtent l="0" t="0" r="0" b="0"/>
            <wp:docPr id="5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5610225" cy="1885950"/>
                    </a:xfrm>
                    <a:prstGeom prst="rect">
                      <a:avLst/>
                    </a:prstGeom>
                    <a:ln/>
                  </pic:spPr>
                </pic:pic>
              </a:graphicData>
            </a:graphic>
          </wp:inline>
        </w:drawing>
      </w:r>
    </w:p>
    <w:p w14:paraId="1A8B0CE0" w14:textId="77777777" w:rsidR="00F84F73" w:rsidRDefault="0025525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9. Ampliación del plazo. </w:t>
      </w:r>
      <w:r>
        <w:rPr>
          <w:rFonts w:ascii="Palatino Linotype" w:eastAsia="Palatino Linotype" w:hAnsi="Palatino Linotype" w:cs="Palatino Linotype"/>
        </w:rPr>
        <w:t xml:space="preserve">En fecha </w:t>
      </w:r>
      <w:r>
        <w:rPr>
          <w:rFonts w:ascii="Palatino Linotype" w:eastAsia="Palatino Linotype" w:hAnsi="Palatino Linotype" w:cs="Palatino Linotype"/>
          <w:b/>
        </w:rPr>
        <w:t>catorce de junio de dos mil veintidós</w:t>
      </w:r>
      <w:r>
        <w:rPr>
          <w:rFonts w:ascii="Palatino Linotype" w:eastAsia="Palatino Linotype" w:hAnsi="Palatino Linotype" w:cs="Palatino Linotype"/>
        </w:rPr>
        <w:t xml:space="preserve">, se notificó a las partes el Acuerdo de Ampliación de Plazo para resolver el medio de impugnación que nos ocupa, en términos de lo dispuesto por el artículo 181, párrafo tercero de la Ley de Transparencia y Acceso a la Información Pública del Estado de México y Municipios.  </w:t>
      </w:r>
    </w:p>
    <w:p w14:paraId="6379AF63" w14:textId="77777777" w:rsidR="00F84F73" w:rsidRDefault="0025525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10. Cierre de Instrucción. </w:t>
      </w:r>
      <w:r>
        <w:rPr>
          <w:rFonts w:ascii="Palatino Linotype" w:eastAsia="Palatino Linotype" w:hAnsi="Palatino Linotype" w:cs="Palatino Linotype"/>
        </w:rPr>
        <w:t xml:space="preserve">Una vez transcurrido el plazo otorgado para que las partes manifestaran lo que a su derecho conviniera, y siguiendo los trámites correspondientes con fundamento en el artículo 185 fracción VI de la Ley de Transparencia y Acceso a la Información Pública del Estado de México y Municipios, el día </w:t>
      </w:r>
      <w:r>
        <w:rPr>
          <w:rFonts w:ascii="Palatino Linotype" w:eastAsia="Palatino Linotype" w:hAnsi="Palatino Linotype" w:cs="Palatino Linotype"/>
          <w:b/>
        </w:rPr>
        <w:t>veintiuno</w:t>
      </w:r>
      <w:r>
        <w:rPr>
          <w:rFonts w:ascii="Palatino Linotype" w:eastAsia="Palatino Linotype" w:hAnsi="Palatino Linotype" w:cs="Palatino Linotype"/>
          <w:b/>
          <w:color w:val="FF0000"/>
        </w:rPr>
        <w:t xml:space="preserve"> </w:t>
      </w:r>
      <w:r>
        <w:rPr>
          <w:rFonts w:ascii="Palatino Linotype" w:eastAsia="Palatino Linotype" w:hAnsi="Palatino Linotype" w:cs="Palatino Linotype"/>
          <w:b/>
        </w:rPr>
        <w:t>de junio de dos mil veintidós</w:t>
      </w:r>
      <w:r>
        <w:rPr>
          <w:rFonts w:ascii="Palatino Linotype" w:eastAsia="Palatino Linotype" w:hAnsi="Palatino Linotype" w:cs="Palatino Linotype"/>
        </w:rPr>
        <w:t>, se procedió a decretar el cierre de instrucción respectivo mismo que fuera notificado el mismo día, mes y año,  no existiendo diligencia pendiente de desahogo, se ordenó emitir la resolución que conforme a derecho proceda.</w:t>
      </w:r>
    </w:p>
    <w:p w14:paraId="4E4A43C7" w14:textId="77777777" w:rsidR="00F84F73" w:rsidRDefault="0025525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121708D4" w14:textId="77777777" w:rsidR="00F84F73" w:rsidRDefault="0025525C">
      <w:pPr>
        <w:pStyle w:val="Ttulo2"/>
        <w:jc w:val="center"/>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 xml:space="preserve">II. </w:t>
      </w:r>
      <w:r>
        <w:rPr>
          <w:rFonts w:ascii="Palatino Linotype" w:eastAsia="Palatino Linotype" w:hAnsi="Palatino Linotype" w:cs="Palatino Linotype"/>
          <w:b/>
          <w:color w:val="000000"/>
          <w:sz w:val="24"/>
          <w:szCs w:val="24"/>
        </w:rPr>
        <w:tab/>
        <w:t>C O N S I D E R A N D O S</w:t>
      </w:r>
    </w:p>
    <w:p w14:paraId="18BA7733" w14:textId="77777777" w:rsidR="00F84F73" w:rsidRDefault="00F84F73"/>
    <w:p w14:paraId="447B8C42" w14:textId="77777777" w:rsidR="00F84F73" w:rsidRDefault="00F84F73"/>
    <w:p w14:paraId="52C0AAAC" w14:textId="77777777" w:rsidR="00F84F73" w:rsidRDefault="0025525C">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Primero. Competencia. </w:t>
      </w:r>
      <w:r>
        <w:rPr>
          <w:rFonts w:ascii="Palatino Linotype" w:eastAsia="Palatino Linotype" w:hAnsi="Palatino Linotype" w:cs="Palatino Linotype"/>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w:t>
      </w:r>
      <w:r>
        <w:rPr>
          <w:rFonts w:ascii="Palatino Linotype" w:eastAsia="Palatino Linotype" w:hAnsi="Palatino Linotype" w:cs="Palatino Linotype"/>
        </w:rPr>
        <w:lastRenderedPageBreak/>
        <w:t>del Estado Libre y Soberano de México; 1, 2, fracción II; 13,  29, 36, fracciones I y II; 176, 178, 179, 181 párrafo 3 y 185 de la Ley Transparencia y Acceso a la Información Pública del Estado de México y Municipios; 9 fracciones I, XXIV y 11 del Reglamento Interior del Instituto de Transparencia, Acceso a la Información Pública y Protección de Datos Personales del Estado de México y Municipios.</w:t>
      </w:r>
    </w:p>
    <w:p w14:paraId="44607B80" w14:textId="77777777" w:rsidR="00F84F73" w:rsidRDefault="0025525C">
      <w:pPr>
        <w:spacing w:before="240" w:after="240" w:line="360" w:lineRule="auto"/>
        <w:jc w:val="both"/>
        <w:rPr>
          <w:rFonts w:ascii="Palatino Linotype" w:eastAsia="Palatino Linotype" w:hAnsi="Palatino Linotype" w:cs="Palatino Linotype"/>
          <w:highlight w:val="red"/>
        </w:rPr>
      </w:pPr>
      <w:r>
        <w:rPr>
          <w:rFonts w:ascii="Palatino Linotype" w:eastAsia="Palatino Linotype" w:hAnsi="Palatino Linotype" w:cs="Palatino Linotype"/>
          <w:b/>
        </w:rPr>
        <w:t xml:space="preserve">Segundo. Oportunidad y </w:t>
      </w:r>
      <w:proofErr w:type="spellStart"/>
      <w:r>
        <w:rPr>
          <w:rFonts w:ascii="Palatino Linotype" w:eastAsia="Palatino Linotype" w:hAnsi="Palatino Linotype" w:cs="Palatino Linotype"/>
          <w:b/>
        </w:rPr>
        <w:t>Procediblidad</w:t>
      </w:r>
      <w:proofErr w:type="spellEnd"/>
      <w:r>
        <w:rPr>
          <w:rFonts w:ascii="Palatino Linotype" w:eastAsia="Palatino Linotype" w:hAnsi="Palatino Linotype" w:cs="Palatino Linotype"/>
          <w:b/>
        </w:rPr>
        <w:t xml:space="preserve"> del Recurso de Revisión.</w:t>
      </w:r>
      <w:r>
        <w:rPr>
          <w:rFonts w:ascii="Palatino Linotype" w:eastAsia="Palatino Linotype" w:hAnsi="Palatino Linotype" w:cs="Palatino Linotype"/>
        </w:rPr>
        <w:t xml:space="preserve"> De conformidad con los requisitos de Oportunidad y Procedibilidad que debe reunir el recurso de revisión interpuesto,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emitió su respuesta a la solicitud planteada por el solicitante en fecha </w:t>
      </w:r>
      <w:r>
        <w:rPr>
          <w:rFonts w:ascii="Palatino Linotype" w:eastAsia="Palatino Linotype" w:hAnsi="Palatino Linotype" w:cs="Palatino Linotype"/>
          <w:b/>
        </w:rPr>
        <w:t>cuatro de marzo del año dos mil veintidós</w:t>
      </w:r>
      <w:r>
        <w:rPr>
          <w:rFonts w:ascii="Palatino Linotype" w:eastAsia="Palatino Linotype" w:hAnsi="Palatino Linotype" w:cs="Palatino Linotype"/>
        </w:rPr>
        <w:t xml:space="preserve"> y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presentó su recurso de revisión el </w:t>
      </w:r>
      <w:r>
        <w:rPr>
          <w:rFonts w:ascii="Palatino Linotype" w:eastAsia="Palatino Linotype" w:hAnsi="Palatino Linotype" w:cs="Palatino Linotype"/>
          <w:b/>
        </w:rPr>
        <w:t>diez de marzo de dos mil veintidós</w:t>
      </w:r>
      <w:r>
        <w:rPr>
          <w:rFonts w:ascii="Palatino Linotype" w:eastAsia="Palatino Linotype" w:hAnsi="Palatino Linotype" w:cs="Palatino Linotype"/>
        </w:rPr>
        <w:t>, esto es al cuarto día hábil en el que tuvo conocimiento de la respuesta.</w:t>
      </w:r>
    </w:p>
    <w:p w14:paraId="446EB05F" w14:textId="77777777" w:rsidR="00F84F73" w:rsidRDefault="0025525C">
      <w:pPr>
        <w:spacing w:before="240" w:after="240" w:line="360" w:lineRule="auto"/>
        <w:ind w:right="-9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Así las cosas, por cuanto hace a la procedibilidad del recurso de revisión, una vez realizado el análisis del formato de interposición del mismo, se concluye la acreditación plena de los elementos formales precisados por el artículo 180 de la Ley de Transparencia y Acceso a la Información Pública del Estado de México y </w:t>
      </w:r>
      <w:r>
        <w:rPr>
          <w:rFonts w:ascii="Palatino Linotype" w:eastAsia="Palatino Linotype" w:hAnsi="Palatino Linotype" w:cs="Palatino Linotype"/>
          <w:color w:val="000000"/>
        </w:rPr>
        <w:lastRenderedPageBreak/>
        <w:t>Municipios, en atención a que fue presentado mediante el formato visible en el SAIMEX.</w:t>
      </w:r>
    </w:p>
    <w:p w14:paraId="6571024D" w14:textId="77777777" w:rsidR="00F84F73" w:rsidRDefault="0025525C">
      <w:pPr>
        <w:spacing w:before="240" w:after="240" w:line="360" w:lineRule="auto"/>
        <w:jc w:val="both"/>
        <w:rPr>
          <w:rFonts w:ascii="Quattrocento Sans" w:eastAsia="Quattrocento Sans" w:hAnsi="Quattrocento Sans" w:cs="Quattrocento Sans"/>
        </w:rPr>
      </w:pPr>
      <w:r>
        <w:rPr>
          <w:rFonts w:ascii="Palatino Linotype" w:eastAsia="Palatino Linotype" w:hAnsi="Palatino Linotype" w:cs="Palatino Linotype"/>
        </w:rPr>
        <w:t>Así las cosas, se concluye la acreditación plena de todos y cada uno de los elementos formales exigidos por el artículo 180 de la Ley de Transparencia y Acceso a la Información Pública del Estado de México y Municipios, en atención a que fue presentado mediante el formato visible en el SAIMEX y, en consecuencia,  resulta conforme a derecho entrar al estudio de fondo y resolver el presente medio de impugnación, al actualizarse lo dispuesto en los artículos 176 y 179 fracción I del ordenamiento legal citado, que establecen los supuestos en que puede interponerse el recurso de revisión:</w:t>
      </w:r>
    </w:p>
    <w:p w14:paraId="3B72435A" w14:textId="77777777" w:rsidR="00F84F73" w:rsidRDefault="0025525C">
      <w:pPr>
        <w:spacing w:before="240" w:after="24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176. </w:t>
      </w:r>
      <w:r>
        <w:rPr>
          <w:rFonts w:ascii="Palatino Linotype" w:eastAsia="Palatino Linotype" w:hAnsi="Palatino Linotype" w:cs="Palatino Linotype"/>
          <w:i/>
          <w:sz w:val="22"/>
          <w:szCs w:val="22"/>
        </w:rPr>
        <w:t>El recurso de revisión  es la garantía secundaria mediante la cual se pretende reparar cualquier posible afectación al derecho de acceso a la información pública en términos del presente y siguiente Capítulo.</w:t>
      </w:r>
    </w:p>
    <w:p w14:paraId="298EA572" w14:textId="77777777" w:rsidR="00F84F73" w:rsidRDefault="0025525C">
      <w:pPr>
        <w:spacing w:before="240" w:after="24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179</w:t>
      </w:r>
      <w:r>
        <w:rPr>
          <w:rFonts w:ascii="Palatino Linotype" w:eastAsia="Palatino Linotype" w:hAnsi="Palatino Linotype" w:cs="Palatino Linotype"/>
          <w:b/>
          <w:sz w:val="22"/>
          <w:szCs w:val="22"/>
        </w:rPr>
        <w:t>.-</w:t>
      </w:r>
      <w:r>
        <w:rPr>
          <w:rFonts w:ascii="Bookman Old Style" w:eastAsia="Bookman Old Style" w:hAnsi="Bookman Old Style" w:cs="Bookman Old Style"/>
          <w:sz w:val="20"/>
          <w:szCs w:val="20"/>
        </w:rPr>
        <w:t xml:space="preserve"> </w:t>
      </w:r>
      <w:r>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606DC068" w14:textId="77777777" w:rsidR="00F84F73" w:rsidRDefault="0025525C">
      <w:pPr>
        <w:numPr>
          <w:ilvl w:val="0"/>
          <w:numId w:val="3"/>
        </w:numPr>
        <w:pBdr>
          <w:top w:val="nil"/>
          <w:left w:val="nil"/>
          <w:bottom w:val="nil"/>
          <w:right w:val="nil"/>
          <w:between w:val="nil"/>
        </w:pBdr>
        <w:spacing w:before="240" w:after="240" w:line="276" w:lineRule="auto"/>
        <w:ind w:left="567" w:right="900" w:hanging="141"/>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La negativa a la información solicitada; </w:t>
      </w:r>
    </w:p>
    <w:p w14:paraId="6D7B463F" w14:textId="77777777" w:rsidR="00F84F73" w:rsidRDefault="0025525C">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2D42D161" w14:textId="77777777" w:rsidR="00F84F73" w:rsidRDefault="0025525C">
      <w:pPr>
        <w:spacing w:before="240" w:after="240" w:line="360" w:lineRule="auto"/>
        <w:ind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(Sic) (Énfasis añadido)</w:t>
      </w:r>
    </w:p>
    <w:p w14:paraId="77673EB1" w14:textId="77777777" w:rsidR="00F84F73" w:rsidRDefault="0025525C">
      <w:pPr>
        <w:spacing w:before="240" w:after="240" w:line="360" w:lineRule="auto"/>
        <w:jc w:val="both"/>
        <w:rPr>
          <w:rFonts w:ascii="Palatino Linotype" w:eastAsia="Palatino Linotype" w:hAnsi="Palatino Linotype" w:cs="Palatino Linotype"/>
        </w:rPr>
      </w:pPr>
      <w:bookmarkStart w:id="1" w:name="_heading=h.gjdgxs" w:colFirst="0" w:colLast="0"/>
      <w:bookmarkEnd w:id="1"/>
      <w:r>
        <w:rPr>
          <w:rFonts w:ascii="Palatino Linotype" w:eastAsia="Palatino Linotype" w:hAnsi="Palatino Linotype" w:cs="Palatino Linotype"/>
          <w:b/>
        </w:rPr>
        <w:lastRenderedPageBreak/>
        <w:t xml:space="preserve">Tercero. Materia de la revisión. </w:t>
      </w:r>
      <w:r>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Pr>
          <w:rFonts w:ascii="Palatino Linotype" w:eastAsia="Palatino Linotype" w:hAnsi="Palatino Linotype" w:cs="Palatino Linotype"/>
        </w:rPr>
        <w:t>de la parte Recurrente, o en su defecto, en caso de ser procedente, ordenar la entrega de información oportuna.</w:t>
      </w:r>
    </w:p>
    <w:p w14:paraId="4EDCFEF1" w14:textId="77777777" w:rsidR="00F84F73" w:rsidRDefault="0025525C">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Cuarto. Estudio del asunto. </w:t>
      </w:r>
      <w:r>
        <w:rPr>
          <w:rFonts w:ascii="Palatino Linotype" w:eastAsia="Palatino Linotype" w:hAnsi="Palatino Linotype" w:cs="Palatino Linotype"/>
        </w:rPr>
        <w:t xml:space="preserve">Antes de entrar al análisis de los pronunciamientos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0F2D3A19" w14:textId="77777777" w:rsidR="00F84F73" w:rsidRDefault="0025525C">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551A7CB0" w14:textId="77777777" w:rsidR="00F84F73" w:rsidRDefault="0025525C">
      <w:pPr>
        <w:tabs>
          <w:tab w:val="left" w:pos="709"/>
        </w:tabs>
        <w:spacing w:before="240" w:after="240" w:line="276" w:lineRule="auto"/>
        <w:ind w:left="851" w:right="85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lastRenderedPageBreak/>
        <w:t>Las normas relativas a los derechos humanos se interpretarán de conformidad con esta Constitución y con los tratados internacionales de la materia favoreciendo en todo tiempo a las personas la protección más amplia.</w:t>
      </w:r>
    </w:p>
    <w:p w14:paraId="742E6133" w14:textId="77777777" w:rsidR="00F84F73" w:rsidRDefault="0025525C">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3253C5A2" w14:textId="77777777" w:rsidR="00F84F73" w:rsidRDefault="0025525C">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52D1A51A" w14:textId="77777777" w:rsidR="00F84F73" w:rsidRDefault="0025525C">
      <w:pPr>
        <w:spacing w:before="240" w:after="240" w:line="276" w:lineRule="auto"/>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6o.</w:t>
      </w:r>
    </w:p>
    <w:p w14:paraId="4FB7BAB3" w14:textId="77777777" w:rsidR="00F84F73" w:rsidRDefault="0025525C">
      <w:pPr>
        <w:spacing w:before="240" w:after="240" w:line="276" w:lineRule="auto"/>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56824037" w14:textId="77777777" w:rsidR="00F84F73" w:rsidRDefault="0025525C">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 Para el ejercicio del derecho de acceso a la información, la Federación y </w:t>
      </w:r>
      <w:r>
        <w:rPr>
          <w:rFonts w:ascii="Palatino Linotype" w:eastAsia="Palatino Linotype" w:hAnsi="Palatino Linotype" w:cs="Palatino Linotype"/>
          <w:b/>
          <w:i/>
          <w:sz w:val="22"/>
          <w:szCs w:val="22"/>
          <w:u w:val="single"/>
        </w:rPr>
        <w:t>las entidades federativas</w:t>
      </w: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 xml:space="preserve"> en el ámbito de sus respectivas competencias, se regirán por los siguientes principios y bases:</w:t>
      </w:r>
    </w:p>
    <w:p w14:paraId="5DE659FE" w14:textId="77777777" w:rsidR="00F84F73" w:rsidRDefault="0025525C">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I. </w:t>
      </w:r>
      <w:r>
        <w:rPr>
          <w:rFonts w:ascii="Palatino Linotype" w:eastAsia="Palatino Linotype" w:hAnsi="Palatino Linotype" w:cs="Palatino Linotype"/>
          <w:b/>
          <w:i/>
          <w:sz w:val="22"/>
          <w:szCs w:val="22"/>
          <w:u w:val="single"/>
        </w:rPr>
        <w:t>Toda la información en posesión de cualquier autoridad, entidad, órgano y organismo de los Poderes</w:t>
      </w:r>
      <w:r>
        <w:rPr>
          <w:rFonts w:ascii="Palatino Linotype" w:eastAsia="Palatino Linotype" w:hAnsi="Palatino Linotype" w:cs="Palatino Linotype"/>
          <w:i/>
          <w:sz w:val="22"/>
          <w:szCs w:val="22"/>
        </w:rPr>
        <w:t xml:space="preserve"> Ejecutivo, Legislativo </w:t>
      </w:r>
      <w:r>
        <w:rPr>
          <w:rFonts w:ascii="Palatino Linotype" w:eastAsia="Palatino Linotype" w:hAnsi="Palatino Linotype" w:cs="Palatino Linotype"/>
          <w:b/>
          <w:i/>
          <w:sz w:val="22"/>
          <w:szCs w:val="22"/>
          <w:u w:val="single"/>
        </w:rPr>
        <w:t>y Judicial</w:t>
      </w:r>
      <w:r>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Pr>
          <w:rFonts w:ascii="Palatino Linotype" w:eastAsia="Palatino Linotype" w:hAnsi="Palatino Linotype" w:cs="Palatino Linotype"/>
          <w:b/>
          <w:i/>
          <w:sz w:val="22"/>
          <w:szCs w:val="22"/>
        </w:rPr>
        <w:t>es pública y sólo podrá ser reservada temporalmente por razones de interés público y seguridad nacional,</w:t>
      </w:r>
      <w:r>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w:t>
      </w:r>
      <w:r>
        <w:rPr>
          <w:rFonts w:ascii="Palatino Linotype" w:eastAsia="Palatino Linotype" w:hAnsi="Palatino Linotype" w:cs="Palatino Linotype"/>
          <w:i/>
          <w:sz w:val="22"/>
          <w:szCs w:val="22"/>
        </w:rPr>
        <w:lastRenderedPageBreak/>
        <w:t>obligados deberán documentar todo acto que derive del ejercicio de sus facultades, competencias o funciones, la ley determinará los supuestos específicos bajo los cuales procederá la declaración de inexistencia de la información.</w:t>
      </w:r>
    </w:p>
    <w:p w14:paraId="69174135" w14:textId="77777777" w:rsidR="00F84F73" w:rsidRDefault="0025525C">
      <w:pPr>
        <w:spacing w:before="240" w:after="240" w:line="276" w:lineRule="auto"/>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3C2D8996" w14:textId="77777777" w:rsidR="00F84F73" w:rsidRDefault="0025525C">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III. </w:t>
      </w:r>
      <w:r>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Pr>
          <w:rFonts w:ascii="Palatino Linotype" w:eastAsia="Palatino Linotype" w:hAnsi="Palatino Linotype" w:cs="Palatino Linotype"/>
          <w:i/>
          <w:sz w:val="22"/>
          <w:szCs w:val="22"/>
        </w:rPr>
        <w:t xml:space="preserve"> a sus datos personales o a la rectificación de éstos.</w:t>
      </w:r>
    </w:p>
    <w:p w14:paraId="3A041895" w14:textId="77777777" w:rsidR="00F84F73" w:rsidRDefault="0025525C">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IV. </w:t>
      </w:r>
      <w:r>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4A2FE4D8" w14:textId="77777777" w:rsidR="00F84F73" w:rsidRDefault="0025525C">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 </w:t>
      </w:r>
      <w:r>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2A6B0EB5" w14:textId="77777777" w:rsidR="00F84F73" w:rsidRDefault="0025525C">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VI. </w:t>
      </w:r>
      <w:r>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6820003B" w14:textId="77777777" w:rsidR="00F84F73" w:rsidRDefault="0025525C">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VII. </w:t>
      </w:r>
      <w:r>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2EB5C667" w14:textId="77777777" w:rsidR="00F84F73" w:rsidRDefault="0025525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Esto es, que cualquier persona tiene el derecho al acceso de la información pública, información que consiste en aquella que sea generada, obtenida, adquirida, </w:t>
      </w:r>
      <w:r>
        <w:rPr>
          <w:rFonts w:ascii="Palatino Linotype" w:eastAsia="Palatino Linotype" w:hAnsi="Palatino Linotype" w:cs="Palatino Linotype"/>
        </w:rPr>
        <w:lastRenderedPageBreak/>
        <w:t>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0E8937A3" w14:textId="77777777" w:rsidR="00F84F73" w:rsidRDefault="0025525C">
      <w:pPr>
        <w:spacing w:before="240" w:after="240" w:line="276" w:lineRule="auto"/>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1281001" w14:textId="77777777" w:rsidR="00F84F73" w:rsidRDefault="0025525C">
      <w:pPr>
        <w:spacing w:before="240" w:after="240" w:line="276" w:lineRule="auto"/>
        <w:ind w:left="709" w:right="76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38FABB26" w14:textId="77777777" w:rsidR="00F84F73" w:rsidRDefault="0025525C">
      <w:pPr>
        <w:spacing w:before="240" w:after="240" w:line="276" w:lineRule="auto"/>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Los sujetos obligados deben poner en práctica, políticas y programas de acceso a la información que se apeguen a criterios de publicidad, veracidad, oportunidad, precisión y suficiencia en beneficio de los solicitantes.”(Sic)</w:t>
      </w:r>
    </w:p>
    <w:p w14:paraId="05EA70E8" w14:textId="77777777" w:rsidR="00F84F73" w:rsidRDefault="0025525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0DFA2E6E" w14:textId="77777777" w:rsidR="00F84F73" w:rsidRDefault="0025525C">
      <w:pPr>
        <w:spacing w:before="240" w:after="240" w:line="276" w:lineRule="auto"/>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51D3E3A3" w14:textId="77777777" w:rsidR="00F84F73" w:rsidRDefault="0025525C">
      <w:pPr>
        <w:spacing w:before="240" w:after="240" w:line="276" w:lineRule="auto"/>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48D0CE77" w14:textId="77777777" w:rsidR="00F84F73" w:rsidRDefault="0025525C">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Es decir, que el derecho de acceso a la información pública se satisface en aquellos casos en que se entregue documento en que conste la información requerida, toda vez que, los Sujetos Obligados</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no tienen el deber de generar, poseer o administrar la información pública con el grado de detalle solicitado; esto es, que no tienen el deber de generar un documento </w:t>
      </w:r>
      <w:r>
        <w:rPr>
          <w:rFonts w:ascii="Palatino Linotype" w:eastAsia="Palatino Linotype" w:hAnsi="Palatino Linotype" w:cs="Palatino Linotype"/>
          <w:i/>
          <w:color w:val="000000"/>
        </w:rPr>
        <w:t>ad hoc</w:t>
      </w:r>
      <w:r>
        <w:rPr>
          <w:rFonts w:ascii="Palatino Linotype" w:eastAsia="Palatino Linotype" w:hAnsi="Palatino Linotype" w:cs="Palatino Linotype"/>
          <w:color w:val="000000"/>
        </w:rPr>
        <w:t xml:space="preserve">, para satisfacer el derecho de acceso a la </w:t>
      </w:r>
      <w:r>
        <w:rPr>
          <w:rFonts w:ascii="Palatino Linotype" w:eastAsia="Palatino Linotype" w:hAnsi="Palatino Linotype" w:cs="Palatino Linotype"/>
          <w:color w:val="000000"/>
        </w:rPr>
        <w:lastRenderedPageBreak/>
        <w:t xml:space="preserve">información pública, </w:t>
      </w:r>
      <w:r>
        <w:rPr>
          <w:rFonts w:ascii="Palatino Linotype" w:eastAsia="Palatino Linotype" w:hAnsi="Palatino Linotype" w:cs="Palatino Linotype"/>
        </w:rPr>
        <w:t>como así lo establece el criterio 03/17 emitido por el Instituto Nacional de Transparencia, Acceso a la Información Pública y Protección de Datos Personales, el cual señala lo siguiente:</w:t>
      </w:r>
    </w:p>
    <w:p w14:paraId="0D8D7470" w14:textId="77777777" w:rsidR="00F84F73" w:rsidRDefault="0025525C">
      <w:pPr>
        <w:spacing w:before="240" w:after="240" w:line="276"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03/17</w:t>
      </w:r>
    </w:p>
    <w:p w14:paraId="06B8B1ED" w14:textId="77777777" w:rsidR="00F84F73" w:rsidRDefault="0025525C">
      <w:pPr>
        <w:spacing w:before="240" w:after="240" w:line="276"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“NO EXISTE OBLIGACIÓN DE ELABORAR DOCUMENTOS AD HOC PARA ATENDER LAS SOLICITUDES DE ACCESO A LA INFORMACIÓN.</w:t>
      </w:r>
    </w:p>
    <w:p w14:paraId="768E7E47" w14:textId="77777777" w:rsidR="00F84F73" w:rsidRDefault="0025525C">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538F57F0" w14:textId="77777777" w:rsidR="00F84F73" w:rsidRDefault="0025525C">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Por otra parte, y aunado a lo antepuesto, el último párrafo del artículo 24 de la Ley de la materia, dispone que los Sujetos Obligados </w:t>
      </w:r>
      <w:r>
        <w:rPr>
          <w:rFonts w:ascii="Palatino Linotype" w:eastAsia="Palatino Linotype" w:hAnsi="Palatino Linotype" w:cs="Palatino Linotype"/>
          <w:color w:val="000000"/>
        </w:rPr>
        <w:t xml:space="preserve">sólo proporcionarán la información pública que </w:t>
      </w:r>
      <w:r>
        <w:rPr>
          <w:rFonts w:ascii="Palatino Linotype" w:eastAsia="Palatino Linotype" w:hAnsi="Palatino Linotype" w:cs="Palatino Linotype"/>
        </w:rPr>
        <w:t>generen</w:t>
      </w:r>
      <w:r>
        <w:rPr>
          <w:rFonts w:ascii="Palatino Linotype" w:eastAsia="Palatino Linotype" w:hAnsi="Palatino Linotype" w:cs="Palatino Linotype"/>
          <w:color w:val="000000"/>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3D2D6CA0" w14:textId="77777777" w:rsidR="00F84F73" w:rsidRDefault="0025525C">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12AD192F" w14:textId="77777777" w:rsidR="00F84F73" w:rsidRDefault="0025525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15ABD880" w14:textId="77777777" w:rsidR="00F84F73" w:rsidRDefault="0025525C">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presente Ley se entenderá por:</w:t>
      </w:r>
    </w:p>
    <w:p w14:paraId="7C9D515B" w14:textId="77777777" w:rsidR="00F84F73" w:rsidRDefault="0025525C">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3A470C5E" w14:textId="77777777" w:rsidR="00F84F73" w:rsidRDefault="0025525C">
      <w:pPr>
        <w:spacing w:before="240" w:after="240"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lastRenderedPageBreak/>
        <w:t>XI. Documento:</w:t>
      </w:r>
      <w:r>
        <w:rPr>
          <w:rFonts w:ascii="Palatino Linotype" w:eastAsia="Palatino Linotype" w:hAnsi="Palatino Linotype" w:cs="Palatino Linotype"/>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(Sic)</w:t>
      </w:r>
    </w:p>
    <w:p w14:paraId="52B232D0" w14:textId="77777777" w:rsidR="00F84F73" w:rsidRDefault="0025525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1954260A" w14:textId="77777777" w:rsidR="00F84F73" w:rsidRDefault="0025525C">
      <w:pPr>
        <w:spacing w:before="240" w:after="240" w:line="276"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CRITERIO 0002-11</w:t>
      </w:r>
    </w:p>
    <w:p w14:paraId="4C440441" w14:textId="77777777" w:rsidR="00F84F73" w:rsidRDefault="0025525C">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8641B69" w14:textId="77777777" w:rsidR="00F84F73" w:rsidRDefault="0025525C">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637C7744" w14:textId="77777777" w:rsidR="00F84F73" w:rsidRDefault="0025525C">
      <w:pPr>
        <w:numPr>
          <w:ilvl w:val="0"/>
          <w:numId w:val="2"/>
        </w:numPr>
        <w:pBdr>
          <w:top w:val="nil"/>
          <w:left w:val="nil"/>
          <w:bottom w:val="nil"/>
          <w:right w:val="nil"/>
          <w:between w:val="nil"/>
        </w:pBdr>
        <w:spacing w:before="240" w:after="240"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Que se trate de información registrada en cualquier soporte documental, que en ejercicio de las atribuciones conferidas, sea generada por los Sujetos Obligados;</w:t>
      </w:r>
    </w:p>
    <w:p w14:paraId="38F849AA" w14:textId="77777777" w:rsidR="00F84F73" w:rsidRDefault="0025525C">
      <w:pPr>
        <w:numPr>
          <w:ilvl w:val="0"/>
          <w:numId w:val="2"/>
        </w:numPr>
        <w:pBdr>
          <w:top w:val="nil"/>
          <w:left w:val="nil"/>
          <w:bottom w:val="nil"/>
          <w:right w:val="nil"/>
          <w:between w:val="nil"/>
        </w:pBdr>
        <w:spacing w:before="240" w:after="240"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Que se trate de información registrada en cualquier soporte documental, que en ejercicio de las atribuciones conferidas, sea administrada por los Sujetos Obligados, y</w:t>
      </w:r>
    </w:p>
    <w:p w14:paraId="282ED00F" w14:textId="77777777" w:rsidR="00F84F73" w:rsidRDefault="0025525C">
      <w:pPr>
        <w:spacing w:before="240" w:after="240" w:line="276" w:lineRule="auto"/>
        <w:ind w:left="567" w:right="567" w:hanging="28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3) </w:t>
      </w:r>
      <w:r>
        <w:rPr>
          <w:rFonts w:ascii="Palatino Linotype" w:eastAsia="Palatino Linotype" w:hAnsi="Palatino Linotype" w:cs="Palatino Linotype"/>
          <w:b/>
          <w:i/>
          <w:sz w:val="22"/>
          <w:szCs w:val="22"/>
        </w:rPr>
        <w:t>Que se trate de información registrada en cualquier soporte documental, que en ejercicio de las atribuciones conferidas, se encuentre en posesión de los Sujetos Obligados.” (Sic)</w:t>
      </w:r>
    </w:p>
    <w:p w14:paraId="26F08600" w14:textId="77777777" w:rsidR="00F84F73" w:rsidRDefault="0025525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ahí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w:t>
      </w:r>
      <w:r>
        <w:rPr>
          <w:rFonts w:ascii="Palatino Linotype" w:eastAsia="Palatino Linotype" w:hAnsi="Palatino Linotype" w:cs="Palatino Linotype"/>
          <w:vertAlign w:val="superscript"/>
        </w:rPr>
        <w:footnoteReference w:id="1"/>
      </w:r>
      <w:r>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Pr>
          <w:rFonts w:ascii="Palatino Linotype" w:eastAsia="Palatino Linotype" w:hAnsi="Palatino Linotype" w:cs="Palatino Linotype"/>
          <w:vertAlign w:val="superscript"/>
        </w:rPr>
        <w:footnoteReference w:id="2"/>
      </w:r>
      <w:r>
        <w:rPr>
          <w:rFonts w:ascii="Palatino Linotype" w:eastAsia="Palatino Linotype" w:hAnsi="Palatino Linotype" w:cs="Palatino Linotype"/>
        </w:rPr>
        <w:t>.</w:t>
      </w:r>
    </w:p>
    <w:p w14:paraId="74516A77" w14:textId="77777777" w:rsidR="00F84F73" w:rsidRDefault="0025525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Ahora bien, para profundizar en el estudio del presente asunto, es conveniente recordar que la parte solicitante requirió al </w:t>
      </w:r>
      <w:r>
        <w:rPr>
          <w:rFonts w:ascii="Palatino Linotype" w:eastAsia="Palatino Linotype" w:hAnsi="Palatino Linotype" w:cs="Palatino Linotype"/>
          <w:b/>
        </w:rPr>
        <w:t>Sujeto Obligado</w:t>
      </w:r>
      <w:r>
        <w:rPr>
          <w:rFonts w:ascii="Palatino Linotype" w:eastAsia="Palatino Linotype" w:hAnsi="Palatino Linotype" w:cs="Palatino Linotype"/>
        </w:rPr>
        <w:t>, le proporcionara lo siguiente:</w:t>
      </w:r>
    </w:p>
    <w:p w14:paraId="726E4778" w14:textId="77777777" w:rsidR="00F84F73" w:rsidRDefault="0025525C">
      <w:pPr>
        <w:numPr>
          <w:ilvl w:val="0"/>
          <w:numId w:val="1"/>
        </w:numPr>
        <w:spacing w:before="240" w:after="240" w:line="360" w:lineRule="auto"/>
        <w:ind w:right="900"/>
        <w:jc w:val="both"/>
        <w:rPr>
          <w:rFonts w:ascii="Palatino Linotype" w:eastAsia="Palatino Linotype" w:hAnsi="Palatino Linotype" w:cs="Palatino Linotype"/>
          <w:b/>
        </w:rPr>
      </w:pPr>
      <w:r>
        <w:rPr>
          <w:rFonts w:ascii="Palatino Linotype" w:eastAsia="Palatino Linotype" w:hAnsi="Palatino Linotype" w:cs="Palatino Linotype"/>
          <w:b/>
        </w:rPr>
        <w:t>El Acta Final o de conclusión que recibió la Directora de Administración y Finanzas.</w:t>
      </w:r>
    </w:p>
    <w:p w14:paraId="0BB8CAB2" w14:textId="77777777" w:rsidR="00F84F73" w:rsidRDefault="0025525C">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 Sobre el particular, debe precisarse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w:t>
      </w:r>
      <w:r>
        <w:rPr>
          <w:rFonts w:ascii="Palatino Linotype" w:eastAsia="Palatino Linotype" w:hAnsi="Palatino Linotype" w:cs="Palatino Linotype"/>
          <w:color w:val="000000"/>
        </w:rPr>
        <w:t>requirió aclaración y al no tenerse por presentada, dio por concluida la solicitud</w:t>
      </w:r>
      <w:r>
        <w:rPr>
          <w:rFonts w:ascii="Palatino Linotype" w:eastAsia="Palatino Linotype" w:hAnsi="Palatino Linotype" w:cs="Palatino Linotype"/>
        </w:rPr>
        <w:t xml:space="preserve">, lo cual derivó en la interposición del recurso de revisión que nos ocupa. </w:t>
      </w:r>
    </w:p>
    <w:p w14:paraId="4B44CB21" w14:textId="77777777" w:rsidR="00F84F73" w:rsidRDefault="0025525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Una vez admitido el presente medio de impugnación, el </w:t>
      </w:r>
      <w:r>
        <w:rPr>
          <w:rFonts w:ascii="Palatino Linotype" w:eastAsia="Palatino Linotype" w:hAnsi="Palatino Linotype" w:cs="Palatino Linotype"/>
          <w:b/>
          <w:sz w:val="22"/>
          <w:szCs w:val="22"/>
        </w:rPr>
        <w:t>Organismo Público Descentralizado para la Prestación de Los Servicios de Agua Potable Alcantarillado y Saneamiento del Municipio de Naucalpan de Juárez</w:t>
      </w:r>
      <w:r>
        <w:rPr>
          <w:rFonts w:ascii="Palatino Linotype" w:eastAsia="Palatino Linotype" w:hAnsi="Palatino Linotype" w:cs="Palatino Linotype"/>
          <w:sz w:val="28"/>
          <w:szCs w:val="28"/>
        </w:rPr>
        <w:t xml:space="preserve"> </w:t>
      </w:r>
      <w:r>
        <w:rPr>
          <w:rFonts w:ascii="Palatino Linotype" w:eastAsia="Palatino Linotype" w:hAnsi="Palatino Linotype" w:cs="Palatino Linotype"/>
        </w:rPr>
        <w:t xml:space="preserve">en un acto posterior rindió su informe justificado, en el cual remitió diversos archivos, mismos que se describieron de manera puntual en líneas anteriores y que se pusieron a la vista del </w:t>
      </w:r>
      <w:r>
        <w:rPr>
          <w:rFonts w:ascii="Palatino Linotype" w:eastAsia="Palatino Linotype" w:hAnsi="Palatino Linotype" w:cs="Palatino Linotype"/>
          <w:b/>
        </w:rPr>
        <w:t xml:space="preserve">Recurrente. </w:t>
      </w:r>
    </w:p>
    <w:p w14:paraId="2931A13C" w14:textId="77777777" w:rsidR="00F84F73" w:rsidRDefault="0025525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el Derecho de Acceso a la Información Pública se define como: La igualdad de oportunidades para recibir, buscar e impartir información en posesión de cualquier autoridad, entidad, órgano y organismo de los poderes Ejecutivo, Legislativo y Judicial, órganos autónomos, partidos políticos, fideicomisos y fondos públicos, así como de cualquier persona física, moral o sindicato que reciba y ejerza </w:t>
      </w:r>
      <w:r>
        <w:rPr>
          <w:rFonts w:ascii="Palatino Linotype" w:eastAsia="Palatino Linotype" w:hAnsi="Palatino Linotype" w:cs="Palatino Linotype"/>
        </w:rPr>
        <w:lastRenderedPageBreak/>
        <w:t xml:space="preserve">recursos públicos o realice actos de autoridad en el ámbito federal, estatal y municipal, que se constituye como una herramienta fundamental para ejercer el control democrático de las gestiones estatales, de forma tal que puedan cuestionar, indagar y considerar si se está dando un adecuado cumplimiento a las funciones públicas, fomentando la transparencia de las actividades estatales y promoviendo la responsabilidad de los funcionarios sobre su gestión pública.  </w:t>
      </w:r>
    </w:p>
    <w:p w14:paraId="70033204" w14:textId="77777777" w:rsidR="00F84F73" w:rsidRDefault="0025525C">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45A2BEA3" w14:textId="77777777" w:rsidR="00F84F73" w:rsidRDefault="00F84F73">
      <w:pPr>
        <w:spacing w:line="360" w:lineRule="auto"/>
        <w:jc w:val="both"/>
        <w:rPr>
          <w:rFonts w:ascii="Palatino Linotype" w:eastAsia="Palatino Linotype" w:hAnsi="Palatino Linotype" w:cs="Palatino Linotype"/>
        </w:rPr>
      </w:pPr>
    </w:p>
    <w:p w14:paraId="0F783E5F" w14:textId="77777777" w:rsidR="00F84F73" w:rsidRDefault="0025525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el caso concreto que nos ocupa analizar, el particular requirió del </w:t>
      </w:r>
      <w:r>
        <w:rPr>
          <w:rFonts w:ascii="Palatino Linotype" w:eastAsia="Palatino Linotype" w:hAnsi="Palatino Linotype" w:cs="Palatino Linotype"/>
          <w:b/>
        </w:rPr>
        <w:t>Organismo Público Descentralizado para la Prestación de Los Servicios de Agua Potable Alcantarillado y Saneamiento del Municipio de Naucalpan de Juárez</w:t>
      </w:r>
      <w:r>
        <w:rPr>
          <w:rFonts w:ascii="Palatino Linotype" w:eastAsia="Palatino Linotype" w:hAnsi="Palatino Linotype" w:cs="Palatino Linotype"/>
        </w:rPr>
        <w:t xml:space="preserve">, el acta final o de conclusión que recibió la Directora de Administración y Finanzas; siendo importante señalar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 respondió satisfactoriamente a la solicitud presentada, pues refiere en el archivo </w:t>
      </w:r>
      <w:r>
        <w:rPr>
          <w:rFonts w:ascii="Palatino Linotype" w:eastAsia="Palatino Linotype" w:hAnsi="Palatino Linotype" w:cs="Palatino Linotype"/>
          <w:b/>
          <w:i/>
          <w:sz w:val="22"/>
          <w:szCs w:val="22"/>
        </w:rPr>
        <w:t>“3 ACUERDO SOLIC. 30</w:t>
      </w:r>
      <w:proofErr w:type="gramStart"/>
      <w:r>
        <w:rPr>
          <w:rFonts w:ascii="Palatino Linotype" w:eastAsia="Palatino Linotype" w:hAnsi="Palatino Linotype" w:cs="Palatino Linotype"/>
          <w:b/>
          <w:i/>
          <w:sz w:val="22"/>
          <w:szCs w:val="22"/>
        </w:rPr>
        <w:t>.pdf</w:t>
      </w:r>
      <w:proofErr w:type="gramEnd"/>
      <w:r>
        <w:rPr>
          <w:rFonts w:ascii="Palatino Linotype" w:eastAsia="Palatino Linotype" w:hAnsi="Palatino Linotype" w:cs="Palatino Linotype"/>
          <w:b/>
          <w:i/>
          <w:sz w:val="22"/>
          <w:szCs w:val="22"/>
        </w:rPr>
        <w:t>”</w:t>
      </w:r>
      <w:r>
        <w:rPr>
          <w:rFonts w:ascii="Palatino Linotype" w:eastAsia="Palatino Linotype" w:hAnsi="Palatino Linotype" w:cs="Palatino Linotype"/>
        </w:rPr>
        <w:t xml:space="preserve">que jurídicamente no existe un acta final o de conclusión que obre en sus archivos, lo que </w:t>
      </w:r>
      <w:r>
        <w:rPr>
          <w:rFonts w:ascii="Palatino Linotype" w:eastAsia="Palatino Linotype" w:hAnsi="Palatino Linotype" w:cs="Palatino Linotype"/>
        </w:rPr>
        <w:lastRenderedPageBreak/>
        <w:t xml:space="preserve">constituye una afectación indiscutible al derecho humano de acceso a la información pública. </w:t>
      </w:r>
    </w:p>
    <w:p w14:paraId="12FD7D1C" w14:textId="77777777" w:rsidR="00F84F73" w:rsidRDefault="00F84F73">
      <w:pPr>
        <w:spacing w:line="360" w:lineRule="auto"/>
        <w:jc w:val="both"/>
        <w:rPr>
          <w:rFonts w:ascii="Palatino Linotype" w:eastAsia="Palatino Linotype" w:hAnsi="Palatino Linotype" w:cs="Palatino Linotype"/>
        </w:rPr>
      </w:pPr>
    </w:p>
    <w:p w14:paraId="21B5504C" w14:textId="77777777" w:rsidR="00F84F73" w:rsidRDefault="0025525C">
      <w:pPr>
        <w:spacing w:line="360" w:lineRule="auto"/>
        <w:ind w:right="49"/>
        <w:jc w:val="both"/>
        <w:rPr>
          <w:rFonts w:ascii="Palatino Linotype" w:eastAsia="Palatino Linotype" w:hAnsi="Palatino Linotype" w:cs="Palatino Linotype"/>
          <w:i/>
        </w:rPr>
      </w:pPr>
      <w:r>
        <w:rPr>
          <w:rFonts w:ascii="Palatino Linotype" w:eastAsia="Palatino Linotype" w:hAnsi="Palatino Linotype" w:cs="Palatino Linotype"/>
        </w:rPr>
        <w:t xml:space="preserve">Ahora, previo a evaluar si las razones o motivos de inconformidad resultan fundados o no,  cabe hacer mención que si bien es cierto que en el formato mediante el cual se interpuso su solicitud de información expresó que: </w:t>
      </w:r>
      <w:r>
        <w:rPr>
          <w:rFonts w:ascii="Palatino Linotype" w:eastAsia="Palatino Linotype" w:hAnsi="Palatino Linotype" w:cs="Palatino Linotype"/>
          <w:i/>
        </w:rPr>
        <w:t xml:space="preserve">“QUIERO </w:t>
      </w:r>
      <w:r>
        <w:rPr>
          <w:rFonts w:ascii="Palatino Linotype" w:eastAsia="Palatino Linotype" w:hAnsi="Palatino Linotype" w:cs="Palatino Linotype"/>
          <w:b/>
          <w:i/>
        </w:rPr>
        <w:t>EN VERSIÓN PÚBLICA LA ACTA FINAL O DE CONCLUSIÓN QUE RECIBIO LA DIRECTORA DE ADMINISTRACIÓN Y FINANZAS</w:t>
      </w:r>
      <w:r>
        <w:rPr>
          <w:rFonts w:ascii="Palatino Linotype" w:eastAsia="Palatino Linotype" w:hAnsi="Palatino Linotype" w:cs="Palatino Linotype"/>
          <w:i/>
        </w:rPr>
        <w:t xml:space="preserve">” (sic) (Énfasis añadido), </w:t>
      </w:r>
      <w:r>
        <w:rPr>
          <w:rFonts w:ascii="Palatino Linotype" w:eastAsia="Palatino Linotype" w:hAnsi="Palatino Linotype" w:cs="Palatino Linotype"/>
        </w:rPr>
        <w:t>también lo es</w:t>
      </w:r>
      <w:r>
        <w:rPr>
          <w:rFonts w:ascii="Palatino Linotype" w:eastAsia="Palatino Linotype" w:hAnsi="Palatino Linotype" w:cs="Palatino Linotype"/>
          <w:i/>
        </w:rPr>
        <w:t xml:space="preserve"> </w:t>
      </w:r>
      <w:r>
        <w:rPr>
          <w:rFonts w:ascii="Palatino Linotype" w:eastAsia="Palatino Linotype" w:hAnsi="Palatino Linotype" w:cs="Palatino Linotype"/>
        </w:rPr>
        <w:t xml:space="preserve">que resulta procedente suplir la deficiencia de la queja en términos de la </w:t>
      </w:r>
      <w:r>
        <w:rPr>
          <w:rFonts w:ascii="Palatino Linotype" w:eastAsia="Palatino Linotype" w:hAnsi="Palatino Linotype" w:cs="Palatino Linotype"/>
          <w:b/>
        </w:rPr>
        <w:t>Ley de Transparencia y Acceso a la Información Pública del Estado de México y Municipios</w:t>
      </w:r>
      <w:r>
        <w:rPr>
          <w:rFonts w:ascii="Palatino Linotype" w:eastAsia="Palatino Linotype" w:hAnsi="Palatino Linotype" w:cs="Palatino Linotype"/>
        </w:rPr>
        <w:t>, concretamente en sus artículos 13 y 181, tercer párrafo, donde se señala el deber de este Instituto de suplir cualquier deficiencia para garantizar el derecho de acceso a la información a favor de los recurrentes sin cambiar los hechos expuestos; tal y como se lee a continuación:</w:t>
      </w:r>
    </w:p>
    <w:p w14:paraId="43D64522" w14:textId="77777777" w:rsidR="00F84F73" w:rsidRDefault="00F84F73">
      <w:pPr>
        <w:shd w:val="clear" w:color="auto" w:fill="FFFFFF"/>
        <w:spacing w:line="360" w:lineRule="auto"/>
        <w:jc w:val="both"/>
        <w:rPr>
          <w:rFonts w:ascii="Palatino Linotype" w:eastAsia="Palatino Linotype" w:hAnsi="Palatino Linotype" w:cs="Palatino Linotype"/>
          <w:color w:val="000000"/>
          <w:sz w:val="22"/>
          <w:szCs w:val="22"/>
        </w:rPr>
      </w:pPr>
    </w:p>
    <w:p w14:paraId="0E26F4CF" w14:textId="77777777" w:rsidR="00F84F73" w:rsidRDefault="0025525C">
      <w:pPr>
        <w:shd w:val="clear" w:color="auto" w:fill="FFFFFF"/>
        <w:spacing w:before="240" w:after="240"/>
        <w:ind w:left="567" w:right="567"/>
        <w:jc w:val="both"/>
        <w:rPr>
          <w:rFonts w:ascii="Palatino Linotype" w:eastAsia="Palatino Linotype" w:hAnsi="Palatino Linotype" w:cs="Palatino Linotype"/>
        </w:rPr>
      </w:pPr>
      <w:r>
        <w:rPr>
          <w:rFonts w:ascii="Palatino Linotype" w:eastAsia="Palatino Linotype" w:hAnsi="Palatino Linotype" w:cs="Palatino Linotype"/>
          <w:b/>
          <w:i/>
          <w:sz w:val="22"/>
          <w:szCs w:val="22"/>
        </w:rPr>
        <w:t>Artículo 13</w:t>
      </w:r>
      <w:r>
        <w:rPr>
          <w:rFonts w:ascii="Palatino Linotype" w:eastAsia="Palatino Linotype" w:hAnsi="Palatino Linotype" w:cs="Palatino Linotype"/>
          <w:i/>
          <w:sz w:val="22"/>
          <w:szCs w:val="22"/>
        </w:rPr>
        <w:t>. El Instituto, en el ámbito de sus atribuciones, deberá suplir cualquier deficiencia para garantizar el ejercicio del derecho de acceso a la información.</w:t>
      </w:r>
    </w:p>
    <w:p w14:paraId="078A594F" w14:textId="77777777" w:rsidR="00F84F73" w:rsidRDefault="0025525C">
      <w:pPr>
        <w:shd w:val="clear" w:color="auto" w:fill="FFFFFF"/>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181.</w:t>
      </w:r>
      <w:r>
        <w:rPr>
          <w:rFonts w:ascii="Palatino Linotype" w:eastAsia="Palatino Linotype" w:hAnsi="Palatino Linotype" w:cs="Palatino Linotype"/>
          <w:i/>
          <w:sz w:val="22"/>
          <w:szCs w:val="22"/>
        </w:rPr>
        <w:t> </w:t>
      </w:r>
    </w:p>
    <w:p w14:paraId="6190D056" w14:textId="77777777" w:rsidR="00F84F73" w:rsidRDefault="0025525C">
      <w:pPr>
        <w:shd w:val="clear" w:color="auto" w:fill="FFFFFF"/>
        <w:ind w:left="567" w:right="567"/>
        <w:jc w:val="both"/>
        <w:rPr>
          <w:rFonts w:ascii="Palatino Linotype" w:eastAsia="Palatino Linotype" w:hAnsi="Palatino Linotype" w:cs="Palatino Linotype"/>
        </w:rPr>
      </w:pPr>
      <w:r>
        <w:rPr>
          <w:rFonts w:ascii="Palatino Linotype" w:eastAsia="Palatino Linotype" w:hAnsi="Palatino Linotype" w:cs="Palatino Linotype"/>
          <w:i/>
          <w:sz w:val="22"/>
          <w:szCs w:val="22"/>
        </w:rPr>
        <w:t>(…)</w:t>
      </w:r>
    </w:p>
    <w:p w14:paraId="0B956CA1" w14:textId="77777777" w:rsidR="00F84F73" w:rsidRDefault="0025525C">
      <w:pPr>
        <w:shd w:val="clear" w:color="auto" w:fill="FFFFFF"/>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Durante el procedimiento deberá aplicarse la suplencia de la queja a favor del recurrente, sin cambiar los hechos expuestos, asegurándose de que las partes puedan presentar, de manera oral o escrita, los argumentos que funden y motiven sus pretensiones.</w:t>
      </w:r>
    </w:p>
    <w:p w14:paraId="7E7519DA" w14:textId="77777777" w:rsidR="00F84F73" w:rsidRDefault="00F84F73">
      <w:pPr>
        <w:shd w:val="clear" w:color="auto" w:fill="FFFFFF"/>
        <w:ind w:right="567"/>
        <w:jc w:val="both"/>
        <w:rPr>
          <w:rFonts w:ascii="Palatino Linotype" w:eastAsia="Palatino Linotype" w:hAnsi="Palatino Linotype" w:cs="Palatino Linotype"/>
          <w:i/>
          <w:sz w:val="22"/>
          <w:szCs w:val="22"/>
        </w:rPr>
      </w:pPr>
    </w:p>
    <w:p w14:paraId="6D6DB754" w14:textId="77777777" w:rsidR="00F84F73" w:rsidRDefault="0025525C">
      <w:pPr>
        <w:shd w:val="clear" w:color="auto" w:fill="FFFFFF"/>
        <w:spacing w:line="360" w:lineRule="auto"/>
        <w:jc w:val="both"/>
        <w:rPr>
          <w:rFonts w:ascii="Palatino Linotype" w:eastAsia="Palatino Linotype" w:hAnsi="Palatino Linotype" w:cs="Palatino Linotype"/>
          <w:i/>
          <w:sz w:val="22"/>
          <w:szCs w:val="22"/>
        </w:rPr>
      </w:pPr>
      <w:r>
        <w:rPr>
          <w:rFonts w:ascii="Palatino Linotype" w:eastAsia="Palatino Linotype" w:hAnsi="Palatino Linotype" w:cs="Palatino Linotype"/>
        </w:rPr>
        <w:t>Así también en armonía con lo señalado en la jurisprudencia y en la tesis aislada, emitida por la Suprema Corte de Justicia de la Nación, que llevan por rubro respectivamente; “</w:t>
      </w:r>
      <w:r>
        <w:rPr>
          <w:rFonts w:ascii="Palatino Linotype" w:eastAsia="Palatino Linotype" w:hAnsi="Palatino Linotype" w:cs="Palatino Linotype"/>
          <w:i/>
        </w:rPr>
        <w:t>SUPLENCIA DE LA QUEJA DEFICIENTE SU PROCEDENCIA EN OTRAS MATERIAS, AUN A FALTA DE CONCEPTO DE VIOLACIÓN O AGRAVIO, CUANDO SE ADVIERTA VIOLACIÓN GRAVE Y MANIFIESTA DE LA LEY”</w:t>
      </w:r>
      <w:r>
        <w:rPr>
          <w:rFonts w:ascii="Palatino Linotype" w:eastAsia="Palatino Linotype" w:hAnsi="Palatino Linotype" w:cs="Palatino Linotype"/>
          <w:i/>
          <w:vertAlign w:val="superscript"/>
        </w:rPr>
        <w:footnoteReference w:id="3"/>
      </w:r>
      <w:r>
        <w:rPr>
          <w:rFonts w:ascii="Palatino Linotype" w:eastAsia="Palatino Linotype" w:hAnsi="Palatino Linotype" w:cs="Palatino Linotype"/>
        </w:rPr>
        <w:t xml:space="preserve"> y </w:t>
      </w:r>
      <w:r>
        <w:rPr>
          <w:rFonts w:ascii="Palatino Linotype" w:eastAsia="Palatino Linotype" w:hAnsi="Palatino Linotype" w:cs="Palatino Linotype"/>
          <w:i/>
        </w:rPr>
        <w:t>“SUPLENCIA DE LA QUEJA DEFICIENTE EN MATERIAS CIVIL Y ADMINISTRATIVA (INTERPRETACIÓN DEL ARTÍCULO 79, FRACCIÓN VI, DE LA LEY DE AMPARO).”</w:t>
      </w:r>
      <w:r>
        <w:rPr>
          <w:rFonts w:ascii="Palatino Linotype" w:eastAsia="Palatino Linotype" w:hAnsi="Palatino Linotype" w:cs="Palatino Linotype"/>
          <w:i/>
          <w:vertAlign w:val="superscript"/>
        </w:rPr>
        <w:footnoteReference w:id="4"/>
      </w:r>
      <w:r>
        <w:rPr>
          <w:rFonts w:ascii="Palatino Linotype" w:eastAsia="Palatino Linotype" w:hAnsi="Palatino Linotype" w:cs="Palatino Linotype"/>
        </w:rPr>
        <w:t xml:space="preserve">, que indican esencialmente que es obligación del juzgador </w:t>
      </w:r>
      <w:r>
        <w:rPr>
          <w:rFonts w:ascii="Palatino Linotype" w:eastAsia="Palatino Linotype" w:hAnsi="Palatino Linotype" w:cs="Palatino Linotype"/>
        </w:rPr>
        <w:lastRenderedPageBreak/>
        <w:t>suplir la queja deficiente ante una violación evidente de la ley que haya dejado sin defensa al particular, aún ante la ausencia de concepto de violación con el fin de evitar el beneficio de una de las partes a costa de la indefensión de la otra.</w:t>
      </w:r>
    </w:p>
    <w:p w14:paraId="251F0A87" w14:textId="77777777" w:rsidR="00F84F73" w:rsidRDefault="0025525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highlight w:val="white"/>
        </w:rPr>
        <w:t xml:space="preserve">Lo anterior, se estima resulta aplicable en el caso concreto, derivado de que si bien es cierto la petición del particular consistió en acceder al </w:t>
      </w:r>
      <w:r>
        <w:rPr>
          <w:rFonts w:ascii="Palatino Linotype" w:eastAsia="Palatino Linotype" w:hAnsi="Palatino Linotype" w:cs="Palatino Linotype"/>
        </w:rPr>
        <w:t xml:space="preserve"> acta final o de conclusión de gestión municipal que recibió la Directora de Administración y Finanzas, bajo la óptica de esta autoridad se precisa que el particular requiere el acta de entrega recepción generada con motivo de la entrega de la Dirección de Administración y Finanzas a la actual titular. </w:t>
      </w:r>
    </w:p>
    <w:p w14:paraId="32E39E02" w14:textId="77777777" w:rsidR="00F84F73" w:rsidRDefault="0025525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mismo, resulta de importancia señalar que de la revisión al contenido del Reglamento Orgánico del Organismo Público Descentralizado para la Prestación de los Servicios de Agua Potable, Alcantarillado y Saneamiento del Municipio De </w:t>
      </w:r>
      <w:r>
        <w:rPr>
          <w:rFonts w:ascii="Palatino Linotype" w:eastAsia="Palatino Linotype" w:hAnsi="Palatino Linotype" w:cs="Palatino Linotype"/>
        </w:rPr>
        <w:lastRenderedPageBreak/>
        <w:t xml:space="preserve">Naucalpan de Juárez, en su artículo 23 se reconoce expresamente la existencia de la Dirección de Administración y Finanzas, sirve de ilustración la siguiente cita: </w:t>
      </w:r>
    </w:p>
    <w:p w14:paraId="613178B5" w14:textId="77777777" w:rsidR="00F84F73" w:rsidRDefault="00F84F73">
      <w:pPr>
        <w:spacing w:line="360" w:lineRule="auto"/>
        <w:jc w:val="both"/>
        <w:rPr>
          <w:rFonts w:ascii="Palatino Linotype" w:eastAsia="Palatino Linotype" w:hAnsi="Palatino Linotype" w:cs="Palatino Linotype"/>
        </w:rPr>
      </w:pPr>
    </w:p>
    <w:p w14:paraId="41F0AA9F" w14:textId="77777777" w:rsidR="00F84F73" w:rsidRDefault="0025525C">
      <w:pPr>
        <w:spacing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23.- Para el despacho de los asuntos de su competencia, el Organismo contará con las Unidades Administrativas siguientes:</w:t>
      </w:r>
    </w:p>
    <w:p w14:paraId="48CE5AB2" w14:textId="77777777" w:rsidR="00F84F73" w:rsidRDefault="0025525C">
      <w:pPr>
        <w:spacing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2F7A3CB3" w14:textId="77777777" w:rsidR="00F84F73" w:rsidRDefault="0025525C">
      <w:pPr>
        <w:spacing w:line="276" w:lineRule="auto"/>
        <w:ind w:left="567"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VII. Dirección de Administración y Finanzas: </w:t>
      </w:r>
    </w:p>
    <w:p w14:paraId="7F77774A" w14:textId="77777777" w:rsidR="00F84F73" w:rsidRDefault="0025525C">
      <w:pPr>
        <w:spacing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 Gerencia de Administración: </w:t>
      </w:r>
    </w:p>
    <w:p w14:paraId="2528510A" w14:textId="77777777" w:rsidR="00F84F73" w:rsidRDefault="0025525C">
      <w:pPr>
        <w:spacing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 Subgerencia de Recursos Humanos; </w:t>
      </w:r>
    </w:p>
    <w:p w14:paraId="16B9A98D" w14:textId="77777777" w:rsidR="00F84F73" w:rsidRDefault="0025525C">
      <w:pPr>
        <w:spacing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Subgerencia de Informática; </w:t>
      </w:r>
    </w:p>
    <w:p w14:paraId="6BAA538C" w14:textId="77777777" w:rsidR="00F84F73" w:rsidRDefault="0025525C">
      <w:pPr>
        <w:spacing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iii. Subgerencia de Recursos Materiales, y; </w:t>
      </w:r>
    </w:p>
    <w:p w14:paraId="00540D16" w14:textId="77777777" w:rsidR="00F84F73" w:rsidRDefault="0025525C">
      <w:pPr>
        <w:spacing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iv. Subgerencia de Patrimonio.”</w:t>
      </w:r>
    </w:p>
    <w:p w14:paraId="3386B5C6" w14:textId="77777777" w:rsidR="00F84F73" w:rsidRDefault="0025525C">
      <w:pPr>
        <w:spacing w:line="360" w:lineRule="auto"/>
        <w:jc w:val="both"/>
        <w:rPr>
          <w:rFonts w:ascii="Palatino Linotype" w:eastAsia="Palatino Linotype" w:hAnsi="Palatino Linotype" w:cs="Palatino Linotype"/>
          <w:sz w:val="22"/>
          <w:szCs w:val="22"/>
          <w:highlight w:val="white"/>
        </w:rPr>
      </w:pPr>
      <w:r>
        <w:rPr>
          <w:rFonts w:ascii="Palatino Linotype" w:eastAsia="Palatino Linotype" w:hAnsi="Palatino Linotype" w:cs="Palatino Linotype"/>
          <w:sz w:val="22"/>
          <w:szCs w:val="22"/>
        </w:rPr>
        <w:t xml:space="preserve"> </w:t>
      </w:r>
    </w:p>
    <w:p w14:paraId="51F829EC" w14:textId="77777777" w:rsidR="00F84F73" w:rsidRDefault="0025525C">
      <w:pPr>
        <w:tabs>
          <w:tab w:val="left" w:pos="0"/>
          <w:tab w:val="left" w:pos="426"/>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es necesario referir que el Órgano Superior de Fiscalización del Estado de México (OSFEM), con apego al artículo 19 de la Ley Orgánica Municipal, emite lineamientos, términos, instructivos, formatos, cédulas y demás documentación, con la finalidad de que los servidores públicos al concluir el periodo de su encargo, inicien con la entrega-recepción de manera ordenada, puntual, objetiva, transparente, ordenada y confiable, garantizando la continuidad en el servicio público, así como en los asuntos, proyectos y programas de los cuales se hará cargo la nueva administración. Información que es recabada por el Órgano Superior de</w:t>
      </w:r>
    </w:p>
    <w:p w14:paraId="386D256A" w14:textId="77777777" w:rsidR="00F84F73" w:rsidRDefault="00F84F73">
      <w:pPr>
        <w:tabs>
          <w:tab w:val="left" w:pos="0"/>
          <w:tab w:val="left" w:pos="426"/>
        </w:tabs>
        <w:spacing w:line="360" w:lineRule="auto"/>
        <w:jc w:val="both"/>
        <w:rPr>
          <w:rFonts w:ascii="Palatino Linotype" w:eastAsia="Palatino Linotype" w:hAnsi="Palatino Linotype" w:cs="Palatino Linotype"/>
          <w:i/>
        </w:rPr>
      </w:pPr>
    </w:p>
    <w:p w14:paraId="4E4135D0" w14:textId="77777777" w:rsidR="00F84F73" w:rsidRDefault="0025525C">
      <w:pPr>
        <w:tabs>
          <w:tab w:val="left" w:pos="0"/>
          <w:tab w:val="left" w:pos="426"/>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Luego entonces el Órgano Superior de Fiscalización del Estado de México emite los </w:t>
      </w:r>
      <w:r>
        <w:rPr>
          <w:rFonts w:ascii="Palatino Linotype" w:eastAsia="Palatino Linotype" w:hAnsi="Palatino Linotype" w:cs="Palatino Linotype"/>
          <w:color w:val="000000"/>
        </w:rPr>
        <w:t xml:space="preserve">LINEAMIENTOS QUE NORMAN LA </w:t>
      </w:r>
      <w:r>
        <w:rPr>
          <w:rFonts w:ascii="Palatino Linotype" w:eastAsia="Palatino Linotype" w:hAnsi="Palatino Linotype" w:cs="Palatino Linotype"/>
        </w:rPr>
        <w:t>ENTREGA RECEPCIÓN</w:t>
      </w:r>
      <w:r>
        <w:rPr>
          <w:rFonts w:ascii="Palatino Linotype" w:eastAsia="Palatino Linotype" w:hAnsi="Palatino Linotype" w:cs="Palatino Linotype"/>
          <w:color w:val="000000"/>
        </w:rPr>
        <w:t xml:space="preserve"> DE LOS AYUNTAMIENTOS, SUS DEPENDENCIAS Y ORGANISMOS DESCENTRALIZADOS MUNICIPALES DEL ESTADO DE MÉXICO</w:t>
      </w:r>
      <w:r>
        <w:rPr>
          <w:rFonts w:ascii="Palatino Linotype" w:eastAsia="Palatino Linotype" w:hAnsi="Palatino Linotype" w:cs="Palatino Linotype"/>
        </w:rPr>
        <w:t>, en la cual se deberá asentar información de la unidad administrativa que se entrega, en temas como: información de la oficina que se entrega, información de evaluación programática, administrativa, financiera, laboral, catastral, de obras públicas, general, patrimonial, entre otra.</w:t>
      </w:r>
    </w:p>
    <w:p w14:paraId="36BA5264" w14:textId="77777777" w:rsidR="00F84F73" w:rsidRDefault="0025525C">
      <w:pPr>
        <w:spacing w:before="240" w:after="240"/>
        <w:ind w:left="720" w:right="49"/>
        <w:jc w:val="both"/>
        <w:rPr>
          <w:rFonts w:ascii="Palatino Linotype" w:eastAsia="Palatino Linotype" w:hAnsi="Palatino Linotype" w:cs="Palatino Linotype"/>
          <w:i/>
        </w:rPr>
      </w:pPr>
      <w:r>
        <w:rPr>
          <w:rFonts w:ascii="Palatino Linotype" w:eastAsia="Palatino Linotype" w:hAnsi="Palatino Linotype" w:cs="Palatino Linotype"/>
          <w:i/>
        </w:rPr>
        <w:t>Artículo 2. Para los efectos de estos lineamientos se entenderá por</w:t>
      </w:r>
    </w:p>
    <w:p w14:paraId="24F79A66" w14:textId="77777777" w:rsidR="00F84F73" w:rsidRDefault="0025525C">
      <w:pPr>
        <w:spacing w:before="240" w:after="240"/>
        <w:ind w:left="720" w:right="49"/>
        <w:jc w:val="both"/>
        <w:rPr>
          <w:rFonts w:ascii="Palatino Linotype" w:eastAsia="Palatino Linotype" w:hAnsi="Palatino Linotype" w:cs="Palatino Linotype"/>
          <w:i/>
        </w:rPr>
      </w:pPr>
      <w:r>
        <w:rPr>
          <w:rFonts w:ascii="Palatino Linotype" w:eastAsia="Palatino Linotype" w:hAnsi="Palatino Linotype" w:cs="Palatino Linotype"/>
          <w:i/>
        </w:rPr>
        <w:t>…</w:t>
      </w:r>
    </w:p>
    <w:p w14:paraId="49EB0D40" w14:textId="77777777" w:rsidR="00F84F73" w:rsidRDefault="0025525C">
      <w:pPr>
        <w:spacing w:before="240" w:after="240"/>
        <w:ind w:left="720" w:right="49"/>
        <w:jc w:val="both"/>
        <w:rPr>
          <w:rFonts w:ascii="Palatino Linotype" w:eastAsia="Palatino Linotype" w:hAnsi="Palatino Linotype" w:cs="Palatino Linotype"/>
          <w:i/>
        </w:rPr>
      </w:pPr>
      <w:r>
        <w:rPr>
          <w:rFonts w:ascii="Palatino Linotype" w:eastAsia="Palatino Linotype" w:hAnsi="Palatino Linotype" w:cs="Palatino Linotype"/>
          <w:i/>
        </w:rPr>
        <w:t>III. Acta de entrega-recepción: Al instrumento jurídico que formaliza el acto de entrega-recepción, en el que se establecen los datos de los participantes, la relación de la información y el soporte documental de la gestión municipal, observaciones, firmas y anexos;</w:t>
      </w:r>
    </w:p>
    <w:p w14:paraId="5968340E" w14:textId="77777777" w:rsidR="00F84F73" w:rsidRDefault="0025525C">
      <w:pPr>
        <w:spacing w:before="240" w:after="240"/>
        <w:ind w:left="720" w:right="49"/>
        <w:jc w:val="both"/>
        <w:rPr>
          <w:rFonts w:ascii="Palatino Linotype" w:eastAsia="Palatino Linotype" w:hAnsi="Palatino Linotype" w:cs="Palatino Linotype"/>
          <w:i/>
        </w:rPr>
      </w:pPr>
      <w:r>
        <w:rPr>
          <w:rFonts w:ascii="Palatino Linotype" w:eastAsia="Palatino Linotype" w:hAnsi="Palatino Linotype" w:cs="Palatino Linotype"/>
          <w:i/>
        </w:rPr>
        <w:t>…</w:t>
      </w:r>
    </w:p>
    <w:p w14:paraId="0DA1D4D5" w14:textId="77777777" w:rsidR="00F84F73" w:rsidRDefault="0025525C">
      <w:pPr>
        <w:spacing w:before="240" w:after="240"/>
        <w:ind w:left="720" w:right="49"/>
        <w:jc w:val="both"/>
        <w:rPr>
          <w:rFonts w:ascii="Palatino Linotype" w:eastAsia="Palatino Linotype" w:hAnsi="Palatino Linotype" w:cs="Palatino Linotype"/>
          <w:i/>
        </w:rPr>
      </w:pPr>
      <w:r>
        <w:rPr>
          <w:rFonts w:ascii="Palatino Linotype" w:eastAsia="Palatino Linotype" w:hAnsi="Palatino Linotype" w:cs="Palatino Linotype"/>
          <w:i/>
        </w:rPr>
        <w:t>a. Acta final o de conclusión de gestión constitucional (AER-1): Instrumento jurídico que se debe utilizar por los servidores públicos al término de un empleo, cargo o comisión, cualquiera que sea el motivo; o la que deben efectuar los servidores públicos, dentro de los términos establecidos, posterior a la culminación del periodo constitucional municipal</w:t>
      </w:r>
    </w:p>
    <w:p w14:paraId="146E9765" w14:textId="77777777" w:rsidR="00F84F73" w:rsidRDefault="0025525C">
      <w:pPr>
        <w:spacing w:before="240" w:after="240"/>
        <w:ind w:left="720" w:right="49"/>
        <w:jc w:val="both"/>
        <w:rPr>
          <w:rFonts w:ascii="Palatino Linotype" w:eastAsia="Palatino Linotype" w:hAnsi="Palatino Linotype" w:cs="Palatino Linotype"/>
          <w:b/>
          <w:i/>
        </w:rPr>
      </w:pPr>
      <w:r>
        <w:rPr>
          <w:rFonts w:ascii="Palatino Linotype" w:eastAsia="Palatino Linotype" w:hAnsi="Palatino Linotype" w:cs="Palatino Linotype"/>
          <w:b/>
          <w:i/>
        </w:rPr>
        <w:t>…</w:t>
      </w:r>
    </w:p>
    <w:p w14:paraId="71B2B104" w14:textId="77777777" w:rsidR="00F84F73" w:rsidRDefault="0025525C">
      <w:pPr>
        <w:spacing w:before="240" w:after="240"/>
        <w:ind w:left="720" w:right="4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Artículo 4. Son sujetos de estos lineamientos los servidores públicos entrantes y salientes, de la Administración Pública Municipal, desde el Presidente Municipal, Síndicos y Regidores, titulares de dependencias y unidades administrativas, hasta el nivel jerárquico correspondiente a jefes de departamento o sus equivalentes, y a los demás servidores públicos que, por la naturaleza e importancia de sus funciones, deban realizar el acto de entrega-recepción.</w:t>
      </w:r>
    </w:p>
    <w:p w14:paraId="6F3DD08D" w14:textId="77777777" w:rsidR="00F84F73" w:rsidRDefault="0025525C">
      <w:pPr>
        <w:spacing w:before="240" w:after="240"/>
        <w:ind w:left="720" w:right="4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317692DB" w14:textId="77777777" w:rsidR="00F84F73" w:rsidRDefault="0025525C">
      <w:pPr>
        <w:spacing w:before="240" w:after="240"/>
        <w:ind w:left="720" w:right="4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11. Los servidores públicos que participan en el procedimiento administrativo de entrega-recepción son: </w:t>
      </w:r>
    </w:p>
    <w:p w14:paraId="2CECA91C" w14:textId="77777777" w:rsidR="00F84F73" w:rsidRDefault="0025525C">
      <w:pPr>
        <w:spacing w:before="240" w:after="240"/>
        <w:ind w:left="720" w:right="4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 El servidor público entrante; </w:t>
      </w:r>
    </w:p>
    <w:p w14:paraId="0E2070F0" w14:textId="77777777" w:rsidR="00F84F73" w:rsidRDefault="0025525C">
      <w:pPr>
        <w:spacing w:before="240" w:after="240"/>
        <w:ind w:left="720" w:right="4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 El servidor público saliente o el servidor público que presenta la información; III. La persona titular del Órgano Interno de Control o Síndico o, en su caso, Representante;</w:t>
      </w:r>
    </w:p>
    <w:p w14:paraId="0D9971E5" w14:textId="77777777" w:rsidR="00F84F73" w:rsidRDefault="0025525C">
      <w:pPr>
        <w:spacing w:before="240" w:after="240"/>
        <w:ind w:left="720" w:right="4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IV. El testigo del servidor público entrante, y </w:t>
      </w:r>
    </w:p>
    <w:p w14:paraId="52B31556" w14:textId="77777777" w:rsidR="00F84F73" w:rsidRDefault="0025525C">
      <w:pPr>
        <w:spacing w:before="240" w:after="240"/>
        <w:ind w:left="720" w:right="49"/>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V. El testigo del servidor público saliente o el testigo del servidor público que presenta la información.</w:t>
      </w:r>
    </w:p>
    <w:p w14:paraId="3B467875" w14:textId="77777777" w:rsidR="00F84F73" w:rsidRDefault="00F84F73">
      <w:pPr>
        <w:spacing w:before="240" w:after="240" w:line="360" w:lineRule="auto"/>
        <w:ind w:right="49"/>
        <w:jc w:val="both"/>
        <w:rPr>
          <w:rFonts w:ascii="Palatino Linotype" w:eastAsia="Palatino Linotype" w:hAnsi="Palatino Linotype" w:cs="Palatino Linotype"/>
          <w:b/>
        </w:rPr>
      </w:pPr>
    </w:p>
    <w:p w14:paraId="1987EFC8" w14:textId="77777777" w:rsidR="00F84F73" w:rsidRDefault="0025525C">
      <w:pPr>
        <w:spacing w:before="240" w:after="240"/>
        <w:ind w:left="720" w:right="4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12. Los participantes del acto de entrega-recepción deben exhibir en original y entregar en copia simple o certificada la documentación siguiente, la cual se agregará al acta de entrega-recepción correspondiente: </w:t>
      </w:r>
    </w:p>
    <w:p w14:paraId="0F0685E1" w14:textId="77777777" w:rsidR="00F84F73" w:rsidRDefault="0025525C">
      <w:pPr>
        <w:spacing w:before="240" w:after="240"/>
        <w:ind w:left="720" w:right="4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 Servidor público entrante: Documento que acredite el empleo, cargo o comisión indicando la fecha de inicio del mismo, que debe ser la misma o anterior al acto de entrega-recepción, pero de ninguna manera posterior; identificación oficial; comprobante de domicilio no mayor a dos meses de antigüedad; certificación de competencia laboral en los casos requeridos por las disposiciones legales aplicables, expedida por las instancias correspondientes; </w:t>
      </w:r>
    </w:p>
    <w:p w14:paraId="084AC163" w14:textId="77777777" w:rsidR="00F84F73" w:rsidRDefault="0025525C">
      <w:pPr>
        <w:spacing w:before="240" w:after="240"/>
        <w:ind w:left="720" w:right="4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II. Servidor público saliente: Documento que acredite el empleo, cargo o comisión, indicando la fecha de inicio del mismo; identificación oficial; comprobante de domicilio no mayor a dos meses de antigüedad; documento que avale la separación del empleo, cargo o comisión, y constancias de no adeudo; </w:t>
      </w:r>
    </w:p>
    <w:p w14:paraId="36E9B2BB" w14:textId="77777777" w:rsidR="00F84F73" w:rsidRDefault="0025525C">
      <w:pPr>
        <w:spacing w:before="240" w:after="240"/>
        <w:ind w:left="720" w:right="4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Servidor público que presenta la información: Documento que lo faculta para recabar y presentar la información en el acto de entrega-recepción; identificación oficial, y comprobante de domicilio no mayor a dos meses de antigüedad;</w:t>
      </w:r>
    </w:p>
    <w:p w14:paraId="3E7A7983" w14:textId="77777777" w:rsidR="00F84F73" w:rsidRDefault="0025525C">
      <w:pPr>
        <w:spacing w:before="240" w:after="240"/>
        <w:ind w:left="720" w:right="4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IV. Persona titular del Órgano Interno de Control o Síndico o su Representante, según sea el caso: Identificación oficial y, cuando aplique, oficio de acreditación del Representante, y </w:t>
      </w:r>
    </w:p>
    <w:p w14:paraId="7B947EA9" w14:textId="77777777" w:rsidR="00F84F73" w:rsidRDefault="0025525C">
      <w:pPr>
        <w:spacing w:before="240" w:after="240"/>
        <w:ind w:left="720" w:right="49"/>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V. Testigos: Identificación oficial.</w:t>
      </w:r>
    </w:p>
    <w:p w14:paraId="0ACC2510" w14:textId="77777777" w:rsidR="00F84F73" w:rsidRDefault="0025525C">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De lo transcrito, </w:t>
      </w:r>
      <w:r>
        <w:rPr>
          <w:rFonts w:ascii="Palatino Linotype" w:eastAsia="Palatino Linotype" w:hAnsi="Palatino Linotype" w:cs="Palatino Linotype"/>
        </w:rPr>
        <w:t>queda en evidencia que el acta de entrega-recepción es el instrumento jurídico que formaliza el acto de entrega-recepción, en el que se establecen los datos de los participantes, la relación de la información y el soporte documental de la gestión municipal, observaciones, firmas y anexos.</w:t>
      </w:r>
    </w:p>
    <w:p w14:paraId="54B6A077" w14:textId="77777777" w:rsidR="00F84F73" w:rsidRDefault="0025525C">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Además, también se precisa que </w:t>
      </w:r>
      <w:r>
        <w:rPr>
          <w:rFonts w:ascii="Palatino Linotype" w:eastAsia="Palatino Linotype" w:hAnsi="Palatino Linotype" w:cs="Palatino Linotype"/>
          <w:sz w:val="22"/>
          <w:szCs w:val="22"/>
        </w:rPr>
        <w:t>están obligados a observar esos lineamientos los servidores públicos entrantes y salientes, de la Administración Pública Municipal, desde el Presidente Municipal, Síndicos y Regidores, titulares de dependencias y unidades administrativas, hasta el nivel jerárquico correspondiente a jefes de departamento o sus equivalentes, y a los demás servidores públicos que, por la naturaleza e importancia de sus funciones, deban realizar el acto de entrega-recepción.</w:t>
      </w:r>
    </w:p>
    <w:p w14:paraId="7D36E445" w14:textId="77777777" w:rsidR="00F84F73" w:rsidRDefault="0025525C">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Por lo anterior, queda clara la obligación que le constriñe al SUJETO OBLIGADO de conocer de las documentales que el particular les está requiriendo; esto es, el acta de entrega recepción con motivo del cambio de administración de la </w:t>
      </w:r>
      <w:r>
        <w:rPr>
          <w:rFonts w:ascii="Palatino Linotype" w:eastAsia="Palatino Linotype" w:hAnsi="Palatino Linotype" w:cs="Palatino Linotype"/>
          <w:b/>
        </w:rPr>
        <w:t>Dirección de</w:t>
      </w:r>
      <w:r>
        <w:rPr>
          <w:rFonts w:ascii="Palatino Linotype" w:eastAsia="Palatino Linotype" w:hAnsi="Palatino Linotype" w:cs="Palatino Linotype"/>
          <w:b/>
          <w:i/>
        </w:rPr>
        <w:t xml:space="preserve"> </w:t>
      </w:r>
      <w:r>
        <w:rPr>
          <w:rFonts w:ascii="Palatino Linotype" w:eastAsia="Palatino Linotype" w:hAnsi="Palatino Linotype" w:cs="Palatino Linotype"/>
          <w:b/>
        </w:rPr>
        <w:t>Administración y Finanzas</w:t>
      </w:r>
      <w:r>
        <w:rPr>
          <w:rFonts w:ascii="Palatino Linotype" w:eastAsia="Palatino Linotype" w:hAnsi="Palatino Linotype" w:cs="Palatino Linotype"/>
        </w:rPr>
        <w:t xml:space="preserve">. </w:t>
      </w:r>
    </w:p>
    <w:p w14:paraId="3DE0329D" w14:textId="77777777" w:rsidR="00F84F73" w:rsidRDefault="0025525C">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Por ende, los motivos de inconformidad planteados por el Recurrente devienen fundados, ante la respuesta del Sujeto Obligado para atender la solicitud de información. </w:t>
      </w:r>
    </w:p>
    <w:p w14:paraId="5D027B23" w14:textId="77777777" w:rsidR="00F84F73" w:rsidRDefault="0025525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No escapa de la óptica de este Instituto, que se estima que en la descripción de la solicitud existen elementos que permiten identificar  la información requerida, por lo que no resulta procedente el requerimiento de información adicional formulado por el Sujeto Obligado y por lo tanto se tiene por no atendida la solicitud de información, lo anterior, en atención a lo que establece el penúltimo párrafo del artículo 159 de la Ley de Transparencia y Acceso a la Información Pública del Estado de México y Municipios, que a la letra señala:</w:t>
      </w:r>
    </w:p>
    <w:p w14:paraId="433AE035" w14:textId="77777777" w:rsidR="00F84F73" w:rsidRDefault="0025525C">
      <w:pPr>
        <w:spacing w:before="240" w:after="240" w:line="360" w:lineRule="auto"/>
        <w:ind w:left="567" w:right="900"/>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rPr>
        <w:t>“Artículo 159.</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 xml:space="preserve">Cuando los </w:t>
      </w:r>
      <w:r>
        <w:rPr>
          <w:rFonts w:ascii="Palatino Linotype" w:eastAsia="Palatino Linotype" w:hAnsi="Palatino Linotype" w:cs="Palatino Linotype"/>
          <w:b/>
          <w:i/>
          <w:sz w:val="22"/>
          <w:szCs w:val="22"/>
          <w:u w:val="single"/>
        </w:rPr>
        <w:t>detalles proporcionados para localizar los documentos resulten insuficientes, incompletos o sean erróneos</w:t>
      </w: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 xml:space="preserve"> la Unidad de Transparencia podrá requerir al solicitante, por una sola vez y dentro de un plazo que no podrá exceder de cinco días hábiles contados a partir de la presentación de la solicitud, para que, en un término de hasta diez días hábiles, indique otros elementos </w:t>
      </w:r>
      <w:r>
        <w:rPr>
          <w:rFonts w:ascii="Palatino Linotype" w:eastAsia="Palatino Linotype" w:hAnsi="Palatino Linotype" w:cs="Palatino Linotype"/>
          <w:b/>
          <w:i/>
          <w:sz w:val="22"/>
          <w:szCs w:val="22"/>
          <w:u w:val="single"/>
        </w:rPr>
        <w:lastRenderedPageBreak/>
        <w:t>que complementen, corrijan o amplíen los datos proporcionados o bien, precise uno o varios requerimientos de información.</w:t>
      </w:r>
    </w:p>
    <w:p w14:paraId="44B819B6" w14:textId="77777777" w:rsidR="00F84F73" w:rsidRDefault="0025525C">
      <w:pPr>
        <w:spacing w:before="240" w:after="240" w:line="360"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65BF2764" w14:textId="77777777" w:rsidR="00F84F73" w:rsidRDefault="0025525C">
      <w:pPr>
        <w:spacing w:before="240" w:after="240" w:line="360"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La solicitud se tendrá por no presentada cuando los solicitantes no atiendan el requerimiento de información adicional, </w:t>
      </w:r>
      <w:r>
        <w:rPr>
          <w:rFonts w:ascii="Palatino Linotype" w:eastAsia="Palatino Linotype" w:hAnsi="Palatino Linotype" w:cs="Palatino Linotype"/>
          <w:b/>
          <w:i/>
          <w:sz w:val="22"/>
          <w:szCs w:val="22"/>
          <w:u w:val="single"/>
        </w:rPr>
        <w:t>salvo que en la solicitud inicial se aprecien elementos que permitan identificar la información requerida</w:t>
      </w:r>
      <w:r>
        <w:rPr>
          <w:rFonts w:ascii="Palatino Linotype" w:eastAsia="Palatino Linotype" w:hAnsi="Palatino Linotype" w:cs="Palatino Linotype"/>
          <w:i/>
          <w:sz w:val="22"/>
          <w:szCs w:val="22"/>
        </w:rPr>
        <w:t>, quedando a salvo los derechos del particular para volver a presentar su solicitud.</w:t>
      </w:r>
    </w:p>
    <w:p w14:paraId="71572415" w14:textId="77777777" w:rsidR="00F84F73" w:rsidRDefault="0025525C">
      <w:pPr>
        <w:spacing w:before="240" w:after="240" w:line="360"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37102407" w14:textId="77777777" w:rsidR="00F84F73" w:rsidRDefault="0025525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 de reiterar que, al existir una salvedad en la que se aprecien los elementos que permitan identificar la información requerida, no se requería que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complementara, corrigiera o ampliara el requerimiento de información, luego entonces,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fue clara al señalar que solicitaba: </w:t>
      </w:r>
      <w:r>
        <w:rPr>
          <w:rFonts w:ascii="Palatino Linotype" w:eastAsia="Palatino Linotype" w:hAnsi="Palatino Linotype" w:cs="Palatino Linotype"/>
          <w:i/>
          <w:color w:val="000000"/>
        </w:rPr>
        <w:t xml:space="preserve">“QUIERO EN VERSIÓN PÚBLICA LA ACTA FINAL O DE CONCLUSIÓN QUE RECIBIO LA DIRECTORA DE ADMINISTRACIÓN Y FINANZAS” (sic), </w:t>
      </w:r>
      <w:r>
        <w:rPr>
          <w:rFonts w:ascii="Palatino Linotype" w:eastAsia="Palatino Linotype" w:hAnsi="Palatino Linotype" w:cs="Palatino Linotype"/>
          <w:color w:val="000000"/>
        </w:rPr>
        <w:t>quedando despejado el contenido de la solicitud, al destacar que requiere un acta que recibió la directora de administración y finanzas con motivo de la conclusión</w:t>
      </w:r>
      <w:r>
        <w:rPr>
          <w:rFonts w:ascii="Palatino Linotype" w:eastAsia="Palatino Linotype" w:hAnsi="Palatino Linotype" w:cs="Palatino Linotype"/>
          <w:b/>
          <w:color w:val="000000"/>
        </w:rPr>
        <w:t>,</w:t>
      </w:r>
      <w:r>
        <w:rPr>
          <w:rFonts w:ascii="Palatino Linotype" w:eastAsia="Palatino Linotype" w:hAnsi="Palatino Linotype" w:cs="Palatino Linotype"/>
        </w:rPr>
        <w:t xml:space="preserve"> por tanto se considera innecesaria la aclaración realizada.</w:t>
      </w:r>
    </w:p>
    <w:p w14:paraId="0142F7B0" w14:textId="77777777" w:rsidR="00F84F73" w:rsidRDefault="0025525C">
      <w:pPr>
        <w:shd w:val="clear" w:color="auto" w:fill="FFFFFF"/>
        <w:spacing w:before="240" w:after="36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Luego entonces </w:t>
      </w:r>
      <w:r>
        <w:rPr>
          <w:rFonts w:ascii="Palatino Linotype" w:eastAsia="Palatino Linotype" w:hAnsi="Palatino Linotype" w:cs="Palatino Linotype"/>
          <w:b/>
        </w:rPr>
        <w:t>el</w:t>
      </w:r>
      <w:r>
        <w:rPr>
          <w:rFonts w:ascii="Palatino Linotype" w:eastAsia="Palatino Linotype" w:hAnsi="Palatino Linotype" w:cs="Palatino Linotype"/>
        </w:rPr>
        <w:t xml:space="preserve">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pudo haber atendido el requerimiento con la entrega de la documentación fuente que obra en sus archivos, derivada del ejercicio de sus atribuciones y que respalde el contenido de lo solicitado, tal como quedó precisado en párrafos anteriores. </w:t>
      </w:r>
    </w:p>
    <w:p w14:paraId="0124D7EF" w14:textId="77777777" w:rsidR="00F84F73" w:rsidRDefault="0025525C">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Quinto. Versión Pública. </w:t>
      </w:r>
      <w:r>
        <w:rPr>
          <w:rFonts w:ascii="Palatino Linotype" w:eastAsia="Palatino Linotype" w:hAnsi="Palatino Linotype" w:cs="Palatino Linotype"/>
        </w:rPr>
        <w:t>Finalmente para la entrega de los soportes documentales que deberá proporcionar el SUJETO OBLIGADO para dar satisfacción de la derecho humano de acceso a la información del particular,  deberá considerar que ello no es absoluto, sino que encuentra como excepciones que la información sobre la cual se peticiona el acceso, contenga datos que deban ser clasificados en los términos que la misma Ley de la Materia señala, el SUJETO OBLIGADO tendrá que elaborar la versión pública de los documentos que vaya entregar para dar cumplimiento a esta resolución, a fin de satisfacer el derecho de acceso a la información pública del recurrente sin menoscabar el derecho a la protección de los datos personales de terceros.</w:t>
      </w:r>
    </w:p>
    <w:p w14:paraId="7D7C99C1" w14:textId="77777777" w:rsidR="00F84F73" w:rsidRDefault="0025525C">
      <w:pPr>
        <w:spacing w:before="240" w:after="240"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Lo anterior, de conformidad a lo que señalan los artículos 3 fracciones IX, XX, XXI y XLV, 91, 132 fracciones II y III, y 143 fracción I de la Ley de Transparencia y Acceso a la Información Pública del Estado de México y Municipios que establecen:</w:t>
      </w:r>
    </w:p>
    <w:p w14:paraId="302373B7" w14:textId="77777777" w:rsidR="00F84F73" w:rsidRDefault="0025525C">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3</w:t>
      </w:r>
      <w:r>
        <w:rPr>
          <w:rFonts w:ascii="Palatino Linotype" w:eastAsia="Palatino Linotype" w:hAnsi="Palatino Linotype" w:cs="Palatino Linotype"/>
          <w:i/>
          <w:sz w:val="22"/>
          <w:szCs w:val="22"/>
        </w:rPr>
        <w:t>. Para los efectos de la presente Ley se entenderá por:</w:t>
      </w:r>
    </w:p>
    <w:p w14:paraId="5B1B02AE" w14:textId="77777777" w:rsidR="00F84F73" w:rsidRDefault="0025525C">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p>
    <w:p w14:paraId="3642A6D3" w14:textId="77777777" w:rsidR="00F84F73" w:rsidRDefault="0025525C">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IX. Datos personales:</w:t>
      </w:r>
      <w:r>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3606CFC9" w14:textId="77777777" w:rsidR="00F84F73" w:rsidRDefault="0025525C">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 Información clasificada</w:t>
      </w:r>
      <w:r>
        <w:rPr>
          <w:rFonts w:ascii="Palatino Linotype" w:eastAsia="Palatino Linotype" w:hAnsi="Palatino Linotype" w:cs="Palatino Linotype"/>
          <w:i/>
          <w:sz w:val="22"/>
          <w:szCs w:val="22"/>
        </w:rPr>
        <w:t>: Aquella considerada por la presente Ley como reservada o confidencial;</w:t>
      </w:r>
    </w:p>
    <w:p w14:paraId="3E5E1169" w14:textId="77777777" w:rsidR="00F84F73" w:rsidRDefault="0025525C">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XXI. Información confidencial:</w:t>
      </w:r>
      <w:r>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39CEB63F" w14:textId="77777777" w:rsidR="00F84F73" w:rsidRDefault="0025525C">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XLV. Versión pública:</w:t>
      </w:r>
      <w:r>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4A326534" w14:textId="77777777" w:rsidR="00F84F73" w:rsidRDefault="0025525C">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0A615F53" w14:textId="77777777" w:rsidR="00F84F73" w:rsidRDefault="0025525C">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91. </w:t>
      </w:r>
      <w:r>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5492A80D" w14:textId="77777777" w:rsidR="00F84F73" w:rsidRDefault="0025525C">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132. </w:t>
      </w:r>
      <w:r>
        <w:rPr>
          <w:rFonts w:ascii="Palatino Linotype" w:eastAsia="Palatino Linotype" w:hAnsi="Palatino Linotype" w:cs="Palatino Linotype"/>
          <w:i/>
          <w:sz w:val="22"/>
          <w:szCs w:val="22"/>
        </w:rPr>
        <w:t>La clasificación de la información se llevará a cabo en el momento en que:</w:t>
      </w:r>
    </w:p>
    <w:p w14:paraId="1945DDB5" w14:textId="77777777" w:rsidR="00F84F73" w:rsidRDefault="0025525C">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Se reciba una solicitud de acceso a la información;</w:t>
      </w:r>
    </w:p>
    <w:p w14:paraId="28571A35" w14:textId="77777777" w:rsidR="00F84F73" w:rsidRDefault="0025525C">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Se determine mediante resolución de autoridad competente; o</w:t>
      </w:r>
    </w:p>
    <w:p w14:paraId="30953899" w14:textId="77777777" w:rsidR="00F84F73" w:rsidRDefault="0025525C">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Se generen versiones públicas para dar cumplimiento a las obligaciones de transparencia previstas en esta Ley.</w:t>
      </w:r>
    </w:p>
    <w:p w14:paraId="67A91B26" w14:textId="77777777" w:rsidR="00F84F73" w:rsidRDefault="0025525C">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5D836B47" w14:textId="77777777" w:rsidR="00F84F73" w:rsidRDefault="0025525C">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143</w:t>
      </w:r>
      <w:r>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15B760E8" w14:textId="77777777" w:rsidR="00F84F73" w:rsidRDefault="0025525C">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370D5D27" w14:textId="77777777" w:rsidR="00F84F73" w:rsidRDefault="0025525C">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II.</w:t>
      </w:r>
      <w:r>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16BB75D7" w14:textId="77777777" w:rsidR="00F84F73" w:rsidRDefault="0025525C">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14:paraId="30A47653" w14:textId="77777777" w:rsidR="00F84F73" w:rsidRDefault="0025525C">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305C10FD" w14:textId="77777777" w:rsidR="00F84F73" w:rsidRDefault="0025525C">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570494A6" w14:textId="77777777" w:rsidR="00F84F73" w:rsidRDefault="0025525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65C77CDE" w14:textId="77777777" w:rsidR="00F84F73" w:rsidRDefault="0025525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Entorno a lo que aquí nos interesa, los Lineamientos Quincuagésimo sexto, Quincuagésimo séptimo y Quincuagésimo octavo, establecen lo siguiente:</w:t>
      </w:r>
    </w:p>
    <w:p w14:paraId="310E4550" w14:textId="77777777" w:rsidR="00F84F73" w:rsidRDefault="0025525C">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r>
        <w:rPr>
          <w:rFonts w:ascii="Palatino Linotype" w:eastAsia="Palatino Linotype" w:hAnsi="Palatino Linotype" w:cs="Palatino Linotype"/>
          <w:b/>
          <w:i/>
          <w:sz w:val="22"/>
          <w:szCs w:val="22"/>
        </w:rPr>
        <w:t>Quincuagésimo sexto</w:t>
      </w:r>
      <w:r>
        <w:rPr>
          <w:rFonts w:ascii="Palatino Linotype" w:eastAsia="Palatino Linotype" w:hAnsi="Palatino Linotype" w:cs="Palatino Linotype"/>
          <w:i/>
          <w:sz w:val="22"/>
          <w:szCs w:val="22"/>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0B85E0C9" w14:textId="77777777" w:rsidR="00F84F73" w:rsidRDefault="0025525C">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Quincuagésimo séptimo</w:t>
      </w:r>
      <w:r>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2A0D46E1" w14:textId="77777777" w:rsidR="00F84F73" w:rsidRDefault="0025525C">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5A64E0A1" w14:textId="77777777" w:rsidR="00F84F73" w:rsidRDefault="0025525C">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El nombre de los servidores públicos en los documentos, y sus firmas autógrafas, cuando sean utilizados en el ejercicio de las facultades conferidas para el desempeño del servicio público, y </w:t>
      </w:r>
    </w:p>
    <w:p w14:paraId="6B0A77D9" w14:textId="77777777" w:rsidR="00F84F73" w:rsidRDefault="0025525C">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0BA4A73D" w14:textId="77777777" w:rsidR="00F84F73" w:rsidRDefault="0025525C">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internaciones suscritos por el Estado mexicano. </w:t>
      </w:r>
    </w:p>
    <w:p w14:paraId="46B075C0" w14:textId="77777777" w:rsidR="00F84F73" w:rsidRDefault="0025525C">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Quincuagésimo octavo</w:t>
      </w:r>
      <w:r>
        <w:rPr>
          <w:rFonts w:ascii="Palatino Linotype" w:eastAsia="Palatino Linotype" w:hAnsi="Palatino Linotype" w:cs="Palatino Linotype"/>
          <w:i/>
          <w:sz w:val="22"/>
          <w:szCs w:val="22"/>
        </w:rPr>
        <w:t>. Los sujetos obligados garantizarán que los sistemas o medios empleados para eliminar la información en las versiones públicas no permitan la recuperación o visualización de la misma.”</w:t>
      </w:r>
    </w:p>
    <w:p w14:paraId="7AA20F21" w14:textId="77777777" w:rsidR="00F84F73" w:rsidRDefault="0025525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w:t>
      </w:r>
      <w:r>
        <w:rPr>
          <w:rFonts w:ascii="Palatino Linotype" w:eastAsia="Palatino Linotype" w:hAnsi="Palatino Linotype" w:cs="Palatino Linotype"/>
        </w:rPr>
        <w:lastRenderedPageBreak/>
        <w:t>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362B50A9" w14:textId="77777777" w:rsidR="00F84F73" w:rsidRDefault="0025525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relación directa con ello, los Lineamientos en estudio establecen los formatos para la clasificación parcial y total de los documentos, que atienden a lo siguiente:</w:t>
      </w:r>
    </w:p>
    <w:tbl>
      <w:tblPr>
        <w:tblStyle w:val="a2"/>
        <w:tblW w:w="882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3119"/>
        <w:gridCol w:w="1129"/>
        <w:gridCol w:w="3446"/>
      </w:tblGrid>
      <w:tr w:rsidR="00F84F73" w14:paraId="66100FE3" w14:textId="77777777">
        <w:tc>
          <w:tcPr>
            <w:tcW w:w="4253" w:type="dxa"/>
            <w:gridSpan w:val="2"/>
            <w:tcBorders>
              <w:top w:val="nil"/>
              <w:left w:val="nil"/>
              <w:right w:val="nil"/>
            </w:tcBorders>
          </w:tcPr>
          <w:p w14:paraId="36C23DFC" w14:textId="77777777" w:rsidR="00F84F73" w:rsidRDefault="0025525C">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Parcial</w:t>
            </w:r>
          </w:p>
        </w:tc>
        <w:tc>
          <w:tcPr>
            <w:tcW w:w="4575" w:type="dxa"/>
            <w:gridSpan w:val="2"/>
            <w:tcBorders>
              <w:top w:val="nil"/>
              <w:left w:val="nil"/>
              <w:right w:val="nil"/>
            </w:tcBorders>
          </w:tcPr>
          <w:p w14:paraId="54D0B72D" w14:textId="77777777" w:rsidR="00F84F73" w:rsidRDefault="0025525C">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Total</w:t>
            </w:r>
          </w:p>
        </w:tc>
      </w:tr>
      <w:tr w:rsidR="00F84F73" w14:paraId="7161788E" w14:textId="77777777">
        <w:tc>
          <w:tcPr>
            <w:tcW w:w="1134" w:type="dxa"/>
          </w:tcPr>
          <w:p w14:paraId="113E6FCE" w14:textId="77777777" w:rsidR="00F84F73" w:rsidRDefault="0025525C">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Concepto</w:t>
            </w:r>
          </w:p>
        </w:tc>
        <w:tc>
          <w:tcPr>
            <w:tcW w:w="3119" w:type="dxa"/>
          </w:tcPr>
          <w:p w14:paraId="2353DA60" w14:textId="77777777" w:rsidR="00F84F73" w:rsidRDefault="0025525C">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Dónde</w:t>
            </w:r>
          </w:p>
        </w:tc>
        <w:tc>
          <w:tcPr>
            <w:tcW w:w="1129" w:type="dxa"/>
          </w:tcPr>
          <w:p w14:paraId="62ED529D" w14:textId="77777777" w:rsidR="00F84F73" w:rsidRDefault="0025525C">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Concepto</w:t>
            </w:r>
          </w:p>
        </w:tc>
        <w:tc>
          <w:tcPr>
            <w:tcW w:w="3446" w:type="dxa"/>
          </w:tcPr>
          <w:p w14:paraId="458744A6" w14:textId="77777777" w:rsidR="00F84F73" w:rsidRDefault="0025525C">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Dónde</w:t>
            </w:r>
          </w:p>
        </w:tc>
      </w:tr>
      <w:tr w:rsidR="00F84F73" w14:paraId="107BD7CE" w14:textId="77777777">
        <w:tc>
          <w:tcPr>
            <w:tcW w:w="8828" w:type="dxa"/>
            <w:gridSpan w:val="4"/>
          </w:tcPr>
          <w:p w14:paraId="435AE123" w14:textId="77777777" w:rsidR="00F84F73" w:rsidRDefault="0025525C">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Sello oficial o logotipo del sujeto obligado</w:t>
            </w:r>
          </w:p>
        </w:tc>
      </w:tr>
      <w:tr w:rsidR="00F84F73" w14:paraId="2F9B32B3" w14:textId="77777777">
        <w:tc>
          <w:tcPr>
            <w:tcW w:w="1134" w:type="dxa"/>
          </w:tcPr>
          <w:p w14:paraId="7A12B660" w14:textId="77777777" w:rsidR="00F84F73" w:rsidRDefault="0025525C">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clasificación</w:t>
            </w:r>
          </w:p>
        </w:tc>
        <w:tc>
          <w:tcPr>
            <w:tcW w:w="3119" w:type="dxa"/>
          </w:tcPr>
          <w:p w14:paraId="3AEB7816" w14:textId="77777777" w:rsidR="00F84F73" w:rsidRDefault="0025525C">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1129" w:type="dxa"/>
          </w:tcPr>
          <w:p w14:paraId="766ABD87" w14:textId="77777777" w:rsidR="00F84F73" w:rsidRDefault="0025525C">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clasificación</w:t>
            </w:r>
          </w:p>
        </w:tc>
        <w:tc>
          <w:tcPr>
            <w:tcW w:w="3446" w:type="dxa"/>
          </w:tcPr>
          <w:p w14:paraId="77F5E691" w14:textId="77777777" w:rsidR="00F84F73" w:rsidRDefault="0025525C">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F84F73" w14:paraId="5081F826" w14:textId="77777777">
        <w:tc>
          <w:tcPr>
            <w:tcW w:w="1134" w:type="dxa"/>
          </w:tcPr>
          <w:p w14:paraId="6FF4D7C3" w14:textId="77777777" w:rsidR="00F84F73" w:rsidRDefault="0025525C">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Área</w:t>
            </w:r>
          </w:p>
        </w:tc>
        <w:tc>
          <w:tcPr>
            <w:tcW w:w="3119" w:type="dxa"/>
          </w:tcPr>
          <w:p w14:paraId="1F0652C5" w14:textId="77777777" w:rsidR="00F84F73" w:rsidRDefault="0025525C">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área del cual es titular quien clasifica.</w:t>
            </w:r>
          </w:p>
        </w:tc>
        <w:tc>
          <w:tcPr>
            <w:tcW w:w="1129" w:type="dxa"/>
          </w:tcPr>
          <w:p w14:paraId="50A21E04" w14:textId="77777777" w:rsidR="00F84F73" w:rsidRDefault="0025525C">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Área</w:t>
            </w:r>
          </w:p>
        </w:tc>
        <w:tc>
          <w:tcPr>
            <w:tcW w:w="3446" w:type="dxa"/>
          </w:tcPr>
          <w:p w14:paraId="7666601C" w14:textId="77777777" w:rsidR="00F84F73" w:rsidRDefault="0025525C">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área de la cual es el titular quien clasifica.</w:t>
            </w:r>
          </w:p>
        </w:tc>
      </w:tr>
      <w:tr w:rsidR="00F84F73" w14:paraId="5356D5FE" w14:textId="77777777">
        <w:tc>
          <w:tcPr>
            <w:tcW w:w="1134" w:type="dxa"/>
          </w:tcPr>
          <w:p w14:paraId="2519ABE3" w14:textId="77777777" w:rsidR="00F84F73" w:rsidRDefault="0025525C">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Información reservada</w:t>
            </w:r>
          </w:p>
        </w:tc>
        <w:tc>
          <w:tcPr>
            <w:tcW w:w="3119" w:type="dxa"/>
          </w:tcPr>
          <w:p w14:paraId="64E3F463" w14:textId="77777777" w:rsidR="00F84F73" w:rsidRDefault="0025525C">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1129" w:type="dxa"/>
          </w:tcPr>
          <w:p w14:paraId="18235A66" w14:textId="77777777" w:rsidR="00F84F73" w:rsidRDefault="0025525C">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Reservado</w:t>
            </w:r>
          </w:p>
        </w:tc>
        <w:tc>
          <w:tcPr>
            <w:tcW w:w="3446" w:type="dxa"/>
          </w:tcPr>
          <w:p w14:paraId="1F4FCC21" w14:textId="77777777" w:rsidR="00F84F73" w:rsidRDefault="0025525C">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Leyenda de información RESERVADA.</w:t>
            </w:r>
          </w:p>
        </w:tc>
      </w:tr>
      <w:tr w:rsidR="00F84F73" w14:paraId="6E161089" w14:textId="77777777">
        <w:tc>
          <w:tcPr>
            <w:tcW w:w="1134" w:type="dxa"/>
          </w:tcPr>
          <w:p w14:paraId="455C6078" w14:textId="77777777" w:rsidR="00F84F73" w:rsidRDefault="0025525C">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119" w:type="dxa"/>
          </w:tcPr>
          <w:p w14:paraId="03EDA45A" w14:textId="77777777" w:rsidR="00F84F73" w:rsidRDefault="0025525C">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1129" w:type="dxa"/>
          </w:tcPr>
          <w:p w14:paraId="4EC6D27B" w14:textId="77777777" w:rsidR="00F84F73" w:rsidRDefault="0025525C">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Periodo de reserva</w:t>
            </w:r>
          </w:p>
        </w:tc>
        <w:tc>
          <w:tcPr>
            <w:tcW w:w="3446" w:type="dxa"/>
          </w:tcPr>
          <w:p w14:paraId="3C85A4F5" w14:textId="77777777" w:rsidR="00F84F73" w:rsidRDefault="0025525C">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F84F73" w14:paraId="4CC62D88" w14:textId="77777777">
        <w:tc>
          <w:tcPr>
            <w:tcW w:w="1134" w:type="dxa"/>
          </w:tcPr>
          <w:p w14:paraId="5F854730" w14:textId="77777777" w:rsidR="00F84F73" w:rsidRDefault="0025525C">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Ampliación del periodo de reserva</w:t>
            </w:r>
          </w:p>
        </w:tc>
        <w:tc>
          <w:tcPr>
            <w:tcW w:w="3119" w:type="dxa"/>
          </w:tcPr>
          <w:p w14:paraId="1708DA2D" w14:textId="77777777" w:rsidR="00F84F73" w:rsidRDefault="0025525C">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1129" w:type="dxa"/>
          </w:tcPr>
          <w:p w14:paraId="49A6ACBD" w14:textId="77777777" w:rsidR="00F84F73" w:rsidRDefault="0025525C">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446" w:type="dxa"/>
          </w:tcPr>
          <w:p w14:paraId="1A3DB7F0" w14:textId="77777777" w:rsidR="00F84F73" w:rsidRDefault="0025525C">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F84F73" w14:paraId="69F31C90" w14:textId="77777777">
        <w:tc>
          <w:tcPr>
            <w:tcW w:w="1134" w:type="dxa"/>
          </w:tcPr>
          <w:p w14:paraId="69CD8ED9" w14:textId="77777777" w:rsidR="00F84F73" w:rsidRDefault="0025525C">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Confidencial</w:t>
            </w:r>
          </w:p>
        </w:tc>
        <w:tc>
          <w:tcPr>
            <w:tcW w:w="3119" w:type="dxa"/>
          </w:tcPr>
          <w:p w14:paraId="0DEE0FE0" w14:textId="77777777" w:rsidR="00F84F73" w:rsidRDefault="0025525C">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1129" w:type="dxa"/>
          </w:tcPr>
          <w:p w14:paraId="00E3AD37" w14:textId="77777777" w:rsidR="00F84F73" w:rsidRDefault="0025525C">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Ampliación del periodo de reserva</w:t>
            </w:r>
          </w:p>
        </w:tc>
        <w:tc>
          <w:tcPr>
            <w:tcW w:w="3446" w:type="dxa"/>
          </w:tcPr>
          <w:p w14:paraId="3978CA3B" w14:textId="77777777" w:rsidR="00F84F73" w:rsidRDefault="0025525C">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F84F73" w14:paraId="5CC954AA" w14:textId="77777777">
        <w:tc>
          <w:tcPr>
            <w:tcW w:w="1134" w:type="dxa"/>
          </w:tcPr>
          <w:p w14:paraId="2E9BB188" w14:textId="77777777" w:rsidR="00F84F73" w:rsidRDefault="0025525C">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119" w:type="dxa"/>
          </w:tcPr>
          <w:p w14:paraId="25F6737E" w14:textId="77777777" w:rsidR="00F84F73" w:rsidRDefault="0025525C">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1129" w:type="dxa"/>
          </w:tcPr>
          <w:p w14:paraId="7AB96E61" w14:textId="77777777" w:rsidR="00F84F73" w:rsidRDefault="0025525C">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Confidencial</w:t>
            </w:r>
          </w:p>
        </w:tc>
        <w:tc>
          <w:tcPr>
            <w:tcW w:w="3446" w:type="dxa"/>
          </w:tcPr>
          <w:p w14:paraId="36CC75A0" w14:textId="77777777" w:rsidR="00F84F73" w:rsidRDefault="0025525C">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Leyenda de información CONFIDENCIAL.</w:t>
            </w:r>
          </w:p>
        </w:tc>
      </w:tr>
      <w:tr w:rsidR="00F84F73" w14:paraId="736DF61E" w14:textId="77777777">
        <w:tc>
          <w:tcPr>
            <w:tcW w:w="1134" w:type="dxa"/>
          </w:tcPr>
          <w:p w14:paraId="32C1D9EC" w14:textId="77777777" w:rsidR="00F84F73" w:rsidRDefault="0025525C">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del titular del área</w:t>
            </w:r>
          </w:p>
        </w:tc>
        <w:tc>
          <w:tcPr>
            <w:tcW w:w="3119" w:type="dxa"/>
          </w:tcPr>
          <w:p w14:paraId="51D1F63E" w14:textId="77777777" w:rsidR="00F84F73" w:rsidRDefault="0025525C">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clasifica.</w:t>
            </w:r>
          </w:p>
        </w:tc>
        <w:tc>
          <w:tcPr>
            <w:tcW w:w="1129" w:type="dxa"/>
          </w:tcPr>
          <w:p w14:paraId="7EE09B9C" w14:textId="77777777" w:rsidR="00F84F73" w:rsidRDefault="0025525C">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446" w:type="dxa"/>
          </w:tcPr>
          <w:p w14:paraId="09BEAFE1" w14:textId="77777777" w:rsidR="00F84F73" w:rsidRDefault="0025525C">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F84F73" w14:paraId="3CB7186F" w14:textId="77777777">
        <w:tc>
          <w:tcPr>
            <w:tcW w:w="1134" w:type="dxa"/>
          </w:tcPr>
          <w:p w14:paraId="5C87E39E" w14:textId="77777777" w:rsidR="00F84F73" w:rsidRDefault="0025525C">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lastRenderedPageBreak/>
              <w:t>Fecha de desclasificación</w:t>
            </w:r>
          </w:p>
        </w:tc>
        <w:tc>
          <w:tcPr>
            <w:tcW w:w="3119" w:type="dxa"/>
          </w:tcPr>
          <w:p w14:paraId="64341504" w14:textId="77777777" w:rsidR="00F84F73" w:rsidRDefault="0025525C">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que se desclasifica el documento.</w:t>
            </w:r>
          </w:p>
        </w:tc>
        <w:tc>
          <w:tcPr>
            <w:tcW w:w="1129" w:type="dxa"/>
          </w:tcPr>
          <w:p w14:paraId="3D171484" w14:textId="77777777" w:rsidR="00F84F73" w:rsidRDefault="0025525C">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del titular del área</w:t>
            </w:r>
          </w:p>
        </w:tc>
        <w:tc>
          <w:tcPr>
            <w:tcW w:w="3446" w:type="dxa"/>
          </w:tcPr>
          <w:p w14:paraId="397AF288" w14:textId="77777777" w:rsidR="00F84F73" w:rsidRDefault="0025525C">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clasifica.</w:t>
            </w:r>
          </w:p>
        </w:tc>
      </w:tr>
      <w:tr w:rsidR="00F84F73" w14:paraId="05C70355" w14:textId="77777777">
        <w:tc>
          <w:tcPr>
            <w:tcW w:w="1134" w:type="dxa"/>
          </w:tcPr>
          <w:p w14:paraId="573129AC" w14:textId="77777777" w:rsidR="00F84F73" w:rsidRDefault="0025525C">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y cargo del servidor público</w:t>
            </w:r>
          </w:p>
        </w:tc>
        <w:tc>
          <w:tcPr>
            <w:tcW w:w="3119" w:type="dxa"/>
          </w:tcPr>
          <w:p w14:paraId="1418930A" w14:textId="77777777" w:rsidR="00F84F73" w:rsidRDefault="0025525C">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desclasifica.</w:t>
            </w:r>
          </w:p>
        </w:tc>
        <w:tc>
          <w:tcPr>
            <w:tcW w:w="1129" w:type="dxa"/>
          </w:tcPr>
          <w:p w14:paraId="0DCD9B29" w14:textId="77777777" w:rsidR="00F84F73" w:rsidRDefault="0025525C">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desclasificación</w:t>
            </w:r>
          </w:p>
        </w:tc>
        <w:tc>
          <w:tcPr>
            <w:tcW w:w="3446" w:type="dxa"/>
          </w:tcPr>
          <w:p w14:paraId="23C63409" w14:textId="77777777" w:rsidR="00F84F73" w:rsidRDefault="0025525C">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que se desclasifica.</w:t>
            </w:r>
          </w:p>
        </w:tc>
      </w:tr>
      <w:tr w:rsidR="00F84F73" w14:paraId="1337EAB4" w14:textId="77777777">
        <w:tc>
          <w:tcPr>
            <w:tcW w:w="1134" w:type="dxa"/>
          </w:tcPr>
          <w:p w14:paraId="3ED780FC" w14:textId="77777777" w:rsidR="00F84F73" w:rsidRDefault="00F84F73">
            <w:pPr>
              <w:jc w:val="both"/>
              <w:rPr>
                <w:rFonts w:ascii="Palatino Linotype" w:eastAsia="Palatino Linotype" w:hAnsi="Palatino Linotype" w:cs="Palatino Linotype"/>
                <w:b/>
                <w:sz w:val="12"/>
                <w:szCs w:val="12"/>
              </w:rPr>
            </w:pPr>
          </w:p>
        </w:tc>
        <w:tc>
          <w:tcPr>
            <w:tcW w:w="3119" w:type="dxa"/>
          </w:tcPr>
          <w:p w14:paraId="6C7C2AB9" w14:textId="77777777" w:rsidR="00F84F73" w:rsidRDefault="00F84F73">
            <w:pPr>
              <w:jc w:val="both"/>
              <w:rPr>
                <w:rFonts w:ascii="Palatino Linotype" w:eastAsia="Palatino Linotype" w:hAnsi="Palatino Linotype" w:cs="Palatino Linotype"/>
                <w:sz w:val="12"/>
                <w:szCs w:val="12"/>
              </w:rPr>
            </w:pPr>
          </w:p>
        </w:tc>
        <w:tc>
          <w:tcPr>
            <w:tcW w:w="1129" w:type="dxa"/>
          </w:tcPr>
          <w:p w14:paraId="727FD99D" w14:textId="77777777" w:rsidR="00F84F73" w:rsidRDefault="0025525C">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Partes o secciones reservadas o confidenciales</w:t>
            </w:r>
          </w:p>
        </w:tc>
        <w:tc>
          <w:tcPr>
            <w:tcW w:w="3446" w:type="dxa"/>
          </w:tcPr>
          <w:p w14:paraId="2DCC5725" w14:textId="77777777" w:rsidR="00F84F73" w:rsidRDefault="0025525C">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 xml:space="preserve">En caso que una vez desclasificado el expediente, </w:t>
            </w:r>
            <w:proofErr w:type="spellStart"/>
            <w:r>
              <w:rPr>
                <w:rFonts w:ascii="Palatino Linotype" w:eastAsia="Palatino Linotype" w:hAnsi="Palatino Linotype" w:cs="Palatino Linotype"/>
                <w:sz w:val="12"/>
                <w:szCs w:val="12"/>
              </w:rPr>
              <w:t>subsistanpartes</w:t>
            </w:r>
            <w:proofErr w:type="spellEnd"/>
            <w:r>
              <w:rPr>
                <w:rFonts w:ascii="Palatino Linotype" w:eastAsia="Palatino Linotype" w:hAnsi="Palatino Linotype" w:cs="Palatino Linotype"/>
                <w:sz w:val="12"/>
                <w:szCs w:val="12"/>
              </w:rPr>
              <w:t xml:space="preserve"> o secciones del mismo reservadas o confidenciales, se señalará este hecho.</w:t>
            </w:r>
          </w:p>
        </w:tc>
      </w:tr>
      <w:tr w:rsidR="00F84F73" w14:paraId="4E4DD29B" w14:textId="77777777">
        <w:tc>
          <w:tcPr>
            <w:tcW w:w="1134" w:type="dxa"/>
          </w:tcPr>
          <w:p w14:paraId="6333C112" w14:textId="77777777" w:rsidR="00F84F73" w:rsidRDefault="00F84F73">
            <w:pPr>
              <w:jc w:val="both"/>
              <w:rPr>
                <w:rFonts w:ascii="Palatino Linotype" w:eastAsia="Palatino Linotype" w:hAnsi="Palatino Linotype" w:cs="Palatino Linotype"/>
                <w:b/>
                <w:sz w:val="12"/>
                <w:szCs w:val="12"/>
              </w:rPr>
            </w:pPr>
          </w:p>
        </w:tc>
        <w:tc>
          <w:tcPr>
            <w:tcW w:w="3119" w:type="dxa"/>
          </w:tcPr>
          <w:p w14:paraId="5382CCE5" w14:textId="77777777" w:rsidR="00F84F73" w:rsidRDefault="00F84F73">
            <w:pPr>
              <w:jc w:val="both"/>
              <w:rPr>
                <w:rFonts w:ascii="Palatino Linotype" w:eastAsia="Palatino Linotype" w:hAnsi="Palatino Linotype" w:cs="Palatino Linotype"/>
                <w:sz w:val="12"/>
                <w:szCs w:val="12"/>
              </w:rPr>
            </w:pPr>
          </w:p>
        </w:tc>
        <w:tc>
          <w:tcPr>
            <w:tcW w:w="1129" w:type="dxa"/>
          </w:tcPr>
          <w:p w14:paraId="5BFB429C" w14:textId="77777777" w:rsidR="00F84F73" w:rsidRDefault="0025525C">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y cargo del servidor público</w:t>
            </w:r>
          </w:p>
        </w:tc>
        <w:tc>
          <w:tcPr>
            <w:tcW w:w="3446" w:type="dxa"/>
          </w:tcPr>
          <w:p w14:paraId="51373735" w14:textId="77777777" w:rsidR="00F84F73" w:rsidRDefault="0025525C">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desclasifica.</w:t>
            </w:r>
          </w:p>
        </w:tc>
      </w:tr>
    </w:tbl>
    <w:p w14:paraId="1A9562CC" w14:textId="77777777" w:rsidR="00F84F73" w:rsidRDefault="00F84F73">
      <w:pPr>
        <w:spacing w:line="360" w:lineRule="auto"/>
        <w:ind w:right="-93"/>
        <w:jc w:val="both"/>
        <w:rPr>
          <w:rFonts w:ascii="Palatino Linotype" w:eastAsia="Palatino Linotype" w:hAnsi="Palatino Linotype" w:cs="Palatino Linotype"/>
          <w:b/>
        </w:rPr>
      </w:pPr>
    </w:p>
    <w:p w14:paraId="6FFBE175" w14:textId="77777777" w:rsidR="00F84F73" w:rsidRDefault="0025525C">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b/>
        </w:rPr>
        <w:t>Respecto al Registro Federal de Contribuyentes</w:t>
      </w:r>
      <w:r>
        <w:rPr>
          <w:rFonts w:ascii="Palatino Linotype" w:eastAsia="Palatino Linotype" w:hAnsi="Palatino Linotype" w:cs="Palatino Linotype"/>
        </w:rPr>
        <w:t xml:space="preserve"> (RFC)  tenemos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2D052BEF" w14:textId="77777777" w:rsidR="00F84F73" w:rsidRDefault="00F84F73">
      <w:pPr>
        <w:spacing w:line="360" w:lineRule="auto"/>
        <w:ind w:right="-93"/>
        <w:jc w:val="both"/>
        <w:rPr>
          <w:rFonts w:ascii="Palatino Linotype" w:eastAsia="Palatino Linotype" w:hAnsi="Palatino Linotype" w:cs="Palatino Linotype"/>
        </w:rPr>
      </w:pPr>
    </w:p>
    <w:p w14:paraId="3A732EFD" w14:textId="77777777" w:rsidR="00F84F73" w:rsidRDefault="0025525C">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 xml:space="preserve">De acuerdo a lo establecido en el artículo en comento, esta clave se compone de trece caracteres alfanuméricos, con datos obtenidos de los apellidos, nombre (s), fecha de nacimiento del titular, más una </w:t>
      </w:r>
      <w:proofErr w:type="spellStart"/>
      <w:r>
        <w:rPr>
          <w:rFonts w:ascii="Palatino Linotype" w:eastAsia="Palatino Linotype" w:hAnsi="Palatino Linotype" w:cs="Palatino Linotype"/>
        </w:rPr>
        <w:t>homoclave</w:t>
      </w:r>
      <w:proofErr w:type="spellEnd"/>
      <w:r>
        <w:rPr>
          <w:rFonts w:ascii="Palatino Linotype" w:eastAsia="Palatino Linotype" w:hAnsi="Palatino Linotype" w:cs="Palatino Linotype"/>
        </w:rPr>
        <w:t xml:space="preserve"> que establece el sistema automático del Servicio de Administración Tributaria.</w:t>
      </w:r>
    </w:p>
    <w:p w14:paraId="6FDE7E78" w14:textId="77777777" w:rsidR="00F84F73" w:rsidRDefault="00F84F73">
      <w:pPr>
        <w:spacing w:line="360" w:lineRule="auto"/>
        <w:ind w:right="-93"/>
        <w:jc w:val="both"/>
        <w:rPr>
          <w:rFonts w:ascii="Palatino Linotype" w:eastAsia="Palatino Linotype" w:hAnsi="Palatino Linotype" w:cs="Palatino Linotype"/>
          <w:color w:val="FF0000"/>
        </w:rPr>
      </w:pPr>
    </w:p>
    <w:p w14:paraId="45A6A446" w14:textId="77777777" w:rsidR="00F84F73" w:rsidRDefault="0025525C">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la clave del Registro Federal de Contribuyentes, es el medio de control que tiene la Secretaría de Hacienda y Crédito Público, a través del Servicio de </w:t>
      </w:r>
      <w:r>
        <w:rPr>
          <w:rFonts w:ascii="Palatino Linotype" w:eastAsia="Palatino Linotype" w:hAnsi="Palatino Linotype" w:cs="Palatino Linotype"/>
        </w:rPr>
        <w:lastRenderedPageBreak/>
        <w:t>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24F8F3D0" w14:textId="77777777" w:rsidR="00F84F73" w:rsidRDefault="00F84F73">
      <w:pPr>
        <w:spacing w:line="360" w:lineRule="auto"/>
        <w:ind w:right="-93"/>
        <w:jc w:val="both"/>
        <w:rPr>
          <w:rFonts w:ascii="Palatino Linotype" w:eastAsia="Palatino Linotype" w:hAnsi="Palatino Linotype" w:cs="Palatino Linotype"/>
        </w:rPr>
      </w:pPr>
    </w:p>
    <w:p w14:paraId="7DAE38FE" w14:textId="77777777" w:rsidR="00F84F73" w:rsidRDefault="0025525C">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 xml:space="preserve">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únicamente para los involucrados, en el pago de estos, en el presente caso, del pago del Impuesto Sobre el Producto del Trabajo. </w:t>
      </w:r>
    </w:p>
    <w:p w14:paraId="1FCD5E96" w14:textId="77777777" w:rsidR="00F84F73" w:rsidRDefault="0025525C">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Lo anterior, resulta congruente con el Criterio 19/17 emitido por el Instituto Nacional de Transparencia, Acceso a la Información y Protección de Datos Personales, en el cual se señala lo siguiente:</w:t>
      </w:r>
    </w:p>
    <w:p w14:paraId="24B27324" w14:textId="77777777" w:rsidR="00F84F73" w:rsidRDefault="0025525C">
      <w:pPr>
        <w:ind w:left="720" w:right="539"/>
        <w:jc w:val="both"/>
        <w:rPr>
          <w:rFonts w:ascii="Palatino Linotype" w:eastAsia="Palatino Linotype" w:hAnsi="Palatino Linotype" w:cs="Palatino Linotype"/>
        </w:rPr>
      </w:pPr>
      <w:r>
        <w:rPr>
          <w:rFonts w:ascii="Palatino Linotype" w:eastAsia="Palatino Linotype" w:hAnsi="Palatino Linotype" w:cs="Palatino Linotype"/>
        </w:rPr>
        <w:t>“</w:t>
      </w:r>
      <w:r>
        <w:rPr>
          <w:rFonts w:ascii="Palatino Linotype" w:eastAsia="Palatino Linotype" w:hAnsi="Palatino Linotype" w:cs="Palatino Linotype"/>
          <w:b/>
          <w:i/>
        </w:rPr>
        <w:t>Registro Federal de Contribuyentes (RFC) de personas físicas</w:t>
      </w:r>
      <w:r>
        <w:rPr>
          <w:rFonts w:ascii="Palatino Linotype" w:eastAsia="Palatino Linotype" w:hAnsi="Palatino Linotype" w:cs="Palatino Linotype"/>
          <w:i/>
        </w:rPr>
        <w:t>. El RFC es una clave de carácter fiscal, única e irrepetible, que permite identificar al titular, su edad y fecha de nacimiento, por lo que es un dato personal de carácter confidencial.”</w:t>
      </w:r>
    </w:p>
    <w:p w14:paraId="6CF7ECF7" w14:textId="77777777" w:rsidR="00F84F73" w:rsidRDefault="00F84F73">
      <w:pPr>
        <w:spacing w:line="360" w:lineRule="auto"/>
        <w:ind w:right="-93"/>
        <w:jc w:val="both"/>
        <w:rPr>
          <w:rFonts w:ascii="Palatino Linotype" w:eastAsia="Palatino Linotype" w:hAnsi="Palatino Linotype" w:cs="Palatino Linotype"/>
          <w:color w:val="FF0000"/>
        </w:rPr>
      </w:pPr>
    </w:p>
    <w:p w14:paraId="7E4AA51B" w14:textId="77777777" w:rsidR="00F84F73" w:rsidRDefault="0025525C">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 xml:space="preserve">De tal suerte, el Registro Federal de Contribuyentes de los servidores públicos no guarda relación con la transparencia de los recursos públicos, así como tampoco con </w:t>
      </w:r>
      <w:r>
        <w:rPr>
          <w:rFonts w:ascii="Palatino Linotype" w:eastAsia="Palatino Linotype" w:hAnsi="Palatino Linotype" w:cs="Palatino Linotype"/>
        </w:rPr>
        <w:lastRenderedPageBreak/>
        <w:t>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10ACF3DF" w14:textId="77777777" w:rsidR="00F84F73" w:rsidRDefault="0025525C">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 xml:space="preserve">Ahora, en cuanto a la </w:t>
      </w:r>
      <w:r>
        <w:rPr>
          <w:rFonts w:ascii="Palatino Linotype" w:eastAsia="Palatino Linotype" w:hAnsi="Palatino Linotype" w:cs="Palatino Linotype"/>
          <w:b/>
        </w:rPr>
        <w:t xml:space="preserve">Clave </w:t>
      </w:r>
      <w:r>
        <w:rPr>
          <w:rFonts w:ascii="Palatino Linotype" w:eastAsia="Palatino Linotype" w:hAnsi="Palatino Linotype" w:cs="Palatino Linotype"/>
          <w:b/>
          <w:smallCaps/>
        </w:rPr>
        <w:t>Ú</w:t>
      </w:r>
      <w:r>
        <w:rPr>
          <w:rFonts w:ascii="Palatino Linotype" w:eastAsia="Palatino Linotype" w:hAnsi="Palatino Linotype" w:cs="Palatino Linotype"/>
          <w:b/>
        </w:rPr>
        <w:t xml:space="preserve">nica de Registro de Población, </w:t>
      </w:r>
      <w:r>
        <w:rPr>
          <w:rFonts w:ascii="Palatino Linotype" w:eastAsia="Palatino Linotype" w:hAnsi="Palatino Linotype" w:cs="Palatino Linotype"/>
        </w:rPr>
        <w:t xml:space="preserve">el artículo 36 de la Constitución Política de los Estados Unidos Mexicanos, dispone la obligación de los ciudadanos de inscribirse en el Registro Nacional de Ciudadanos. </w:t>
      </w:r>
    </w:p>
    <w:p w14:paraId="56147D9D" w14:textId="77777777" w:rsidR="00F84F73" w:rsidRDefault="0025525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El artículo 85 de la Ley General de Población, prevé que corresponde a la  Secretaría de Gobernación el registro y acreditación de la identidad de todas las personas residentes en el país y de los nacionales que residan en el extranjero.</w:t>
      </w:r>
    </w:p>
    <w:p w14:paraId="6B23D470" w14:textId="77777777" w:rsidR="00F84F73" w:rsidRDefault="0025525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5899B5D0" w14:textId="77777777" w:rsidR="00F84F73" w:rsidRDefault="0025525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conformidad con lo precisado por la propia Secretaría de Gobernación en la dirección </w:t>
      </w:r>
      <w:hyperlink r:id="rId19">
        <w:r>
          <w:rPr>
            <w:rFonts w:ascii="Palatino Linotype" w:eastAsia="Palatino Linotype" w:hAnsi="Palatino Linotype" w:cs="Palatino Linotype"/>
            <w:color w:val="0000FF"/>
            <w:u w:val="single"/>
          </w:rPr>
          <w:t>https://consultas.curp.gob.mx/CurpSP/html/informacionecurpPS.html</w:t>
        </w:r>
      </w:hyperlink>
      <w:r>
        <w:rPr>
          <w:rFonts w:ascii="Palatino Linotype" w:eastAsia="Palatino Linotype" w:hAnsi="Palatino Linotype" w:cs="Palatino Linotype"/>
        </w:rPr>
        <w:t xml:space="preserve">, la Clave Única del Registro de Población –CURP-, es un instrumento de registro que se asigna a todas las personas que viven en el territorio nacional, así como a los mexicanos que residen en el extranjero y se compone de dieciocho elementos, </w:t>
      </w:r>
      <w:r>
        <w:rPr>
          <w:rFonts w:ascii="Palatino Linotype" w:eastAsia="Palatino Linotype" w:hAnsi="Palatino Linotype" w:cs="Palatino Linotype"/>
        </w:rPr>
        <w:lastRenderedPageBreak/>
        <w:t xml:space="preserve">representados por letras y números, que </w:t>
      </w:r>
      <w:r>
        <w:rPr>
          <w:rFonts w:ascii="Palatino Linotype" w:eastAsia="Palatino Linotype" w:hAnsi="Palatino Linotype" w:cs="Palatino Linotype"/>
          <w:b/>
        </w:rPr>
        <w:t xml:space="preserve">se generan a partir de los datos contenidos en el documento probatorio de la identidad del interesado </w:t>
      </w:r>
      <w:r>
        <w:rPr>
          <w:rFonts w:ascii="Palatino Linotype" w:eastAsia="Palatino Linotype" w:hAnsi="Palatino Linotype" w:cs="Palatino Linotype"/>
        </w:rPr>
        <w:t>(acta de nacimiento, carta de naturalización o documento migratorio) de la siguiente forma:</w:t>
      </w:r>
    </w:p>
    <w:p w14:paraId="1BE0C069" w14:textId="77777777" w:rsidR="00F84F73" w:rsidRDefault="0025525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 El primero y segundo apellidos, así como al nombre de pila.</w:t>
      </w:r>
    </w:p>
    <w:p w14:paraId="18423970" w14:textId="77777777" w:rsidR="00F84F73" w:rsidRDefault="0025525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 La fecha de nacimiento.</w:t>
      </w:r>
    </w:p>
    <w:p w14:paraId="3FA2477E" w14:textId="77777777" w:rsidR="00F84F73" w:rsidRDefault="0025525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 El sexo.</w:t>
      </w:r>
    </w:p>
    <w:p w14:paraId="4F9D8364" w14:textId="77777777" w:rsidR="00F84F73" w:rsidRDefault="0025525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 La entidad federativa de nacimiento.</w:t>
      </w:r>
    </w:p>
    <w:p w14:paraId="68C66C44" w14:textId="77777777" w:rsidR="00F84F73" w:rsidRDefault="00F84F73">
      <w:pPr>
        <w:spacing w:line="360" w:lineRule="auto"/>
        <w:jc w:val="both"/>
        <w:rPr>
          <w:rFonts w:ascii="Palatino Linotype" w:eastAsia="Palatino Linotype" w:hAnsi="Palatino Linotype" w:cs="Palatino Linotype"/>
        </w:rPr>
      </w:pPr>
    </w:p>
    <w:p w14:paraId="1F345DD9" w14:textId="77777777" w:rsidR="00F84F73" w:rsidRDefault="0025525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Los dos últimos elementos de la CURP evitan la duplicidad de la Clave y garantizan su correcta integración.</w:t>
      </w:r>
    </w:p>
    <w:p w14:paraId="37010BF3" w14:textId="77777777" w:rsidR="00F84F73" w:rsidRDefault="00F84F73">
      <w:pPr>
        <w:spacing w:line="360" w:lineRule="auto"/>
        <w:jc w:val="both"/>
        <w:rPr>
          <w:rFonts w:ascii="Palatino Linotype" w:eastAsia="Palatino Linotype" w:hAnsi="Palatino Linotype" w:cs="Palatino Linotype"/>
        </w:rPr>
      </w:pPr>
    </w:p>
    <w:p w14:paraId="3E343302" w14:textId="77777777" w:rsidR="00F84F73" w:rsidRDefault="0025525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Como se desprende de lo anterior, la CURP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7395A35F" w14:textId="77777777" w:rsidR="00F84F73" w:rsidRDefault="0025525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Resulta aplicable en la especie, como argumento orientador, el Criterio 3/10, emitido por el INAI.</w:t>
      </w:r>
    </w:p>
    <w:p w14:paraId="4EA976EF" w14:textId="77777777" w:rsidR="00F84F73" w:rsidRDefault="00F84F73">
      <w:pPr>
        <w:spacing w:line="360" w:lineRule="auto"/>
        <w:jc w:val="both"/>
        <w:rPr>
          <w:rFonts w:ascii="Palatino Linotype" w:eastAsia="Palatino Linotype" w:hAnsi="Palatino Linotype" w:cs="Palatino Linotype"/>
        </w:rPr>
      </w:pPr>
    </w:p>
    <w:p w14:paraId="56449FBD" w14:textId="77777777" w:rsidR="00F84F73" w:rsidRDefault="0025525C">
      <w:pPr>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lastRenderedPageBreak/>
        <w:t xml:space="preserve">Clave Única de Registro de Población (CURP) es un dato personal confidencial. </w:t>
      </w:r>
      <w:r>
        <w:rPr>
          <w:rFonts w:ascii="Palatino Linotype" w:eastAsia="Palatino Linotype" w:hAnsi="Palatino Linotype" w:cs="Palatino Linotype"/>
          <w:i/>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 </w:t>
      </w:r>
    </w:p>
    <w:p w14:paraId="21B10B99" w14:textId="77777777" w:rsidR="00F84F73" w:rsidRDefault="0025525C">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Por lo expuesto, con fundamento en el artículo 186 fracción III de la Ley de Transparencia y Acceso a la Información Pública del Estado de México y Municipios, este Organismo Garante considera procedente</w:t>
      </w:r>
      <w:r>
        <w:rPr>
          <w:rFonts w:ascii="Palatino Linotype" w:eastAsia="Palatino Linotype" w:hAnsi="Palatino Linotype" w:cs="Palatino Linotype"/>
          <w:b/>
        </w:rPr>
        <w:t xml:space="preserve"> ordenar </w:t>
      </w:r>
      <w:r>
        <w:rPr>
          <w:rFonts w:ascii="Palatino Linotype" w:eastAsia="Palatino Linotype" w:hAnsi="Palatino Linotype" w:cs="Palatino Linotype"/>
        </w:rPr>
        <w:t>la entrega de la información, en versión pública.</w:t>
      </w:r>
    </w:p>
    <w:p w14:paraId="2016C2AD" w14:textId="77777777" w:rsidR="00F84F73" w:rsidRDefault="0025525C">
      <w:pPr>
        <w:shd w:val="clear" w:color="auto" w:fill="FFFFFF"/>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fracciones IV y V; 2, fracción II; 29, 36 fracciones I y II; 176, 178, 179, fracción I, 181, 185 de la Ley de Transparencia y Acceso a la Información Pública del Estado de México y Municipios, este Pleno:</w:t>
      </w:r>
    </w:p>
    <w:p w14:paraId="24373560" w14:textId="77777777" w:rsidR="0025525C" w:rsidRDefault="0025525C">
      <w:pPr>
        <w:shd w:val="clear" w:color="auto" w:fill="FFFFFF"/>
        <w:spacing w:before="240" w:after="240" w:line="360" w:lineRule="auto"/>
        <w:jc w:val="both"/>
        <w:rPr>
          <w:rFonts w:ascii="Palatino Linotype" w:eastAsia="Palatino Linotype" w:hAnsi="Palatino Linotype" w:cs="Palatino Linotype"/>
        </w:rPr>
      </w:pPr>
    </w:p>
    <w:p w14:paraId="75076522" w14:textId="77777777" w:rsidR="00F84F73" w:rsidRDefault="0025525C" w:rsidP="0025525C">
      <w:pPr>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lastRenderedPageBreak/>
        <w:t>R E S U E L V E</w:t>
      </w:r>
    </w:p>
    <w:p w14:paraId="37BFD192" w14:textId="77777777" w:rsidR="00F84F73" w:rsidRDefault="0025525C">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Primero. </w:t>
      </w:r>
      <w:r>
        <w:rPr>
          <w:rFonts w:ascii="Palatino Linotype" w:eastAsia="Palatino Linotype" w:hAnsi="Palatino Linotype" w:cs="Palatino Linotype"/>
        </w:rPr>
        <w:t>Resultan</w:t>
      </w:r>
      <w:r>
        <w:rPr>
          <w:rFonts w:ascii="Palatino Linotype" w:eastAsia="Palatino Linotype" w:hAnsi="Palatino Linotype" w:cs="Palatino Linotype"/>
          <w:b/>
        </w:rPr>
        <w:t xml:space="preserve"> fundados </w:t>
      </w:r>
      <w:r>
        <w:rPr>
          <w:rFonts w:ascii="Palatino Linotype" w:eastAsia="Palatino Linotype" w:hAnsi="Palatino Linotype" w:cs="Palatino Linotype"/>
        </w:rPr>
        <w:t xml:space="preserve">los motivos de inconformidad hechos valer por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en el recurso de revisión</w:t>
      </w:r>
      <w:r>
        <w:rPr>
          <w:rFonts w:ascii="Palatino Linotype" w:eastAsia="Palatino Linotype" w:hAnsi="Palatino Linotype" w:cs="Palatino Linotype"/>
          <w:b/>
        </w:rPr>
        <w:t xml:space="preserve"> 03739/INFOEM/IP/RR/2022, </w:t>
      </w:r>
      <w:r>
        <w:rPr>
          <w:rFonts w:ascii="Palatino Linotype" w:eastAsia="Palatino Linotype" w:hAnsi="Palatino Linotype" w:cs="Palatino Linotype"/>
        </w:rPr>
        <w:t>por lo que, en términos del</w:t>
      </w:r>
      <w:r>
        <w:rPr>
          <w:rFonts w:ascii="Palatino Linotype" w:eastAsia="Palatino Linotype" w:hAnsi="Palatino Linotype" w:cs="Palatino Linotype"/>
          <w:b/>
        </w:rPr>
        <w:t xml:space="preserve"> Considerando Cuarto </w:t>
      </w:r>
      <w:r>
        <w:rPr>
          <w:rFonts w:ascii="Palatino Linotype" w:eastAsia="Palatino Linotype" w:hAnsi="Palatino Linotype" w:cs="Palatino Linotype"/>
        </w:rPr>
        <w:t xml:space="preserve">de la presente resolución, se </w:t>
      </w:r>
      <w:r>
        <w:rPr>
          <w:rFonts w:ascii="Palatino Linotype" w:eastAsia="Palatino Linotype" w:hAnsi="Palatino Linotype" w:cs="Palatino Linotype"/>
          <w:b/>
        </w:rPr>
        <w:t xml:space="preserve">REVOCA </w:t>
      </w:r>
      <w:r>
        <w:rPr>
          <w:rFonts w:ascii="Palatino Linotype" w:eastAsia="Palatino Linotype" w:hAnsi="Palatino Linotype" w:cs="Palatino Linotype"/>
        </w:rPr>
        <w:t>la respuesta emitida por el</w:t>
      </w:r>
      <w:r>
        <w:rPr>
          <w:rFonts w:ascii="Palatino Linotype" w:eastAsia="Palatino Linotype" w:hAnsi="Palatino Linotype" w:cs="Palatino Linotype"/>
          <w:b/>
        </w:rPr>
        <w:t xml:space="preserve"> Sujeto Obligado.</w:t>
      </w:r>
    </w:p>
    <w:p w14:paraId="54D7B092" w14:textId="77777777" w:rsidR="00F84F73" w:rsidRDefault="0025525C">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Segundo. </w:t>
      </w:r>
      <w:r>
        <w:rPr>
          <w:rFonts w:ascii="Palatino Linotype" w:eastAsia="Palatino Linotype" w:hAnsi="Palatino Linotype" w:cs="Palatino Linotype"/>
        </w:rPr>
        <w:t xml:space="preserve">Se Ordena al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que haga entrega</w:t>
      </w:r>
      <w:r>
        <w:rPr>
          <w:rFonts w:ascii="Palatino Linotype" w:eastAsia="Palatino Linotype" w:hAnsi="Palatino Linotype" w:cs="Palatino Linotype"/>
          <w:b/>
        </w:rPr>
        <w:t xml:space="preserve"> vía SAIMEX, </w:t>
      </w:r>
      <w:r>
        <w:rPr>
          <w:rFonts w:ascii="Palatino Linotype" w:eastAsia="Palatino Linotype" w:hAnsi="Palatino Linotype" w:cs="Palatino Linotype"/>
        </w:rPr>
        <w:t xml:space="preserve">en términos de los </w:t>
      </w:r>
      <w:r>
        <w:rPr>
          <w:rFonts w:ascii="Palatino Linotype" w:eastAsia="Palatino Linotype" w:hAnsi="Palatino Linotype" w:cs="Palatino Linotype"/>
          <w:b/>
        </w:rPr>
        <w:t xml:space="preserve">Considerandos Cuarto y Quinto </w:t>
      </w:r>
      <w:r>
        <w:rPr>
          <w:rFonts w:ascii="Palatino Linotype" w:eastAsia="Palatino Linotype" w:hAnsi="Palatino Linotype" w:cs="Palatino Linotype"/>
        </w:rPr>
        <w:t xml:space="preserve">de esta resolución al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previa búsqueda exhaustiva y razonable, </w:t>
      </w:r>
      <w:r>
        <w:rPr>
          <w:rFonts w:ascii="Palatino Linotype" w:eastAsia="Palatino Linotype" w:hAnsi="Palatino Linotype" w:cs="Palatino Linotype"/>
          <w:b/>
        </w:rPr>
        <w:t>en versión pública de ser procedente</w:t>
      </w:r>
      <w:r>
        <w:rPr>
          <w:rFonts w:ascii="Palatino Linotype" w:eastAsia="Palatino Linotype" w:hAnsi="Palatino Linotype" w:cs="Palatino Linotype"/>
        </w:rPr>
        <w:t>, de lo siguiente:</w:t>
      </w:r>
      <w:r>
        <w:rPr>
          <w:rFonts w:ascii="Palatino Linotype" w:eastAsia="Palatino Linotype" w:hAnsi="Palatino Linotype" w:cs="Palatino Linotype"/>
          <w:b/>
        </w:rPr>
        <w:t xml:space="preserve"> </w:t>
      </w:r>
    </w:p>
    <w:p w14:paraId="719DA568" w14:textId="77777777" w:rsidR="00F84F73" w:rsidRDefault="0025525C">
      <w:pPr>
        <w:pBdr>
          <w:top w:val="nil"/>
          <w:left w:val="nil"/>
          <w:bottom w:val="nil"/>
          <w:right w:val="nil"/>
          <w:between w:val="nil"/>
        </w:pBdr>
        <w:ind w:left="567" w:right="900"/>
        <w:jc w:val="both"/>
        <w:rPr>
          <w:b/>
          <w:i/>
          <w:color w:val="000000"/>
          <w:sz w:val="22"/>
          <w:szCs w:val="22"/>
        </w:rPr>
      </w:pPr>
      <w:r>
        <w:rPr>
          <w:rFonts w:ascii="Palatino Linotype" w:eastAsia="Palatino Linotype" w:hAnsi="Palatino Linotype" w:cs="Palatino Linotype"/>
          <w:b/>
          <w:i/>
          <w:color w:val="000000"/>
          <w:sz w:val="22"/>
          <w:szCs w:val="22"/>
        </w:rPr>
        <w:t xml:space="preserve">El Acta de entrega recepción generada con motivo del nombramiento de la titular de la Dirección de Administración y Finanzas, en funciones al 01 de febrero del 2022. </w:t>
      </w:r>
    </w:p>
    <w:p w14:paraId="47DF74DA" w14:textId="77777777" w:rsidR="00F84F73" w:rsidRDefault="00F84F73">
      <w:pPr>
        <w:pBdr>
          <w:top w:val="nil"/>
          <w:left w:val="nil"/>
          <w:bottom w:val="nil"/>
          <w:right w:val="nil"/>
          <w:between w:val="nil"/>
        </w:pBdr>
        <w:ind w:left="567" w:right="900"/>
        <w:jc w:val="both"/>
        <w:rPr>
          <w:rFonts w:ascii="Palatino Linotype" w:eastAsia="Palatino Linotype" w:hAnsi="Palatino Linotype" w:cs="Palatino Linotype"/>
          <w:i/>
          <w:sz w:val="22"/>
          <w:szCs w:val="22"/>
        </w:rPr>
      </w:pPr>
    </w:p>
    <w:p w14:paraId="6292A297" w14:textId="77777777" w:rsidR="00F84F73" w:rsidRDefault="0025525C">
      <w:pPr>
        <w:pBdr>
          <w:top w:val="nil"/>
          <w:left w:val="nil"/>
          <w:bottom w:val="nil"/>
          <w:right w:val="nil"/>
          <w:between w:val="nil"/>
        </w:pBdr>
        <w:ind w:left="567"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i/>
          <w:color w:val="000000"/>
          <w:sz w:val="22"/>
          <w:szCs w:val="22"/>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del  </w:t>
      </w:r>
      <w:r>
        <w:rPr>
          <w:rFonts w:ascii="Palatino Linotype" w:eastAsia="Palatino Linotype" w:hAnsi="Palatino Linotype" w:cs="Palatino Linotype"/>
          <w:b/>
          <w:i/>
          <w:color w:val="000000"/>
          <w:sz w:val="22"/>
          <w:szCs w:val="22"/>
        </w:rPr>
        <w:t>Recurrente</w:t>
      </w:r>
      <w:r>
        <w:rPr>
          <w:rFonts w:ascii="Palatino Linotype" w:eastAsia="Palatino Linotype" w:hAnsi="Palatino Linotype" w:cs="Palatino Linotype"/>
          <w:i/>
          <w:color w:val="000000"/>
          <w:sz w:val="22"/>
          <w:szCs w:val="22"/>
        </w:rPr>
        <w:t>.</w:t>
      </w:r>
    </w:p>
    <w:p w14:paraId="2E745B11" w14:textId="77777777" w:rsidR="00F84F73" w:rsidRDefault="0025525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w:t>
      </w:r>
      <w:r>
        <w:rPr>
          <w:rFonts w:ascii="Palatino Linotype" w:eastAsia="Palatino Linotype" w:hAnsi="Palatino Linotype" w:cs="Palatino Linotype"/>
        </w:rPr>
        <w:t>Notifíquese vía</w:t>
      </w:r>
      <w:r>
        <w:rPr>
          <w:rFonts w:ascii="Palatino Linotype" w:eastAsia="Palatino Linotype" w:hAnsi="Palatino Linotype" w:cs="Palatino Linotype"/>
          <w:b/>
        </w:rPr>
        <w:t xml:space="preserve"> Sistema de Acceso a la Información Mexiquense (SAIMEX), </w:t>
      </w:r>
      <w:r>
        <w:rPr>
          <w:rFonts w:ascii="Palatino Linotype" w:eastAsia="Palatino Linotype" w:hAnsi="Palatino Linotype" w:cs="Palatino Linotype"/>
        </w:rPr>
        <w:t xml:space="preserve">al Responsable de la Unidad de Transparencia del Sujeto Obligado la presente resolución, para que conforme a los artículo 186, último párrafo y 189, párrafo segundo de la Ley de Transparencia y Acceso a la Información Pública del </w:t>
      </w:r>
      <w:r>
        <w:rPr>
          <w:rFonts w:ascii="Palatino Linotype" w:eastAsia="Palatino Linotype" w:hAnsi="Palatino Linotype" w:cs="Palatino Linotype"/>
        </w:rPr>
        <w:lastRenderedPageBreak/>
        <w:t>Estado de México y Municipios dé cumplimiento a lo ordenado dentro del plazo de diez días hábiles, debiendo informar a este Instituto en un plazo de tres días hábiles siguientes sobre el cumplimiento dado a la misma.</w:t>
      </w:r>
    </w:p>
    <w:p w14:paraId="40D65758" w14:textId="77777777" w:rsidR="00F84F73" w:rsidRDefault="0025525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w:t>
      </w:r>
      <w:r>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9E19F56" w14:textId="77777777" w:rsidR="00F84F73" w:rsidRDefault="0025525C">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Quinto.  Notifíquese, al recurrente vía Sistema de Acceso a la Información Mexiquense (SAIMEX), </w:t>
      </w:r>
      <w:r>
        <w:rPr>
          <w:rFonts w:ascii="Palatino Linotype" w:eastAsia="Palatino Linotype" w:hAnsi="Palatino Linotype" w:cs="Palatino Linotype"/>
        </w:rPr>
        <w:t>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r>
        <w:rPr>
          <w:rFonts w:ascii="Palatino Linotype" w:eastAsia="Palatino Linotype" w:hAnsi="Palatino Linotype" w:cs="Palatino Linotype"/>
          <w:b/>
        </w:rPr>
        <w:t>.</w:t>
      </w:r>
    </w:p>
    <w:p w14:paraId="5FAA944F" w14:textId="77777777" w:rsidR="00F84F73" w:rsidRDefault="0025525C">
      <w:pPr>
        <w:pBdr>
          <w:top w:val="nil"/>
          <w:left w:val="nil"/>
          <w:bottom w:val="nil"/>
          <w:right w:val="nil"/>
          <w:between w:val="nil"/>
        </w:pBdr>
        <w:spacing w:before="240" w:after="240" w:line="360" w:lineRule="auto"/>
        <w:jc w:val="both"/>
        <w:rPr>
          <w:color w:val="000000"/>
        </w:rPr>
        <w:sectPr w:rsidR="00F84F73">
          <w:headerReference w:type="default" r:id="rId20"/>
          <w:footerReference w:type="default" r:id="rId21"/>
          <w:headerReference w:type="first" r:id="rId22"/>
          <w:footerReference w:type="first" r:id="rId23"/>
          <w:pgSz w:w="12240" w:h="15840"/>
          <w:pgMar w:top="1417" w:right="1701" w:bottom="1417" w:left="1701" w:header="708" w:footer="708" w:gutter="0"/>
          <w:pgNumType w:start="1"/>
          <w:cols w:space="720"/>
          <w:titlePg/>
        </w:sectPr>
      </w:pPr>
      <w:bookmarkStart w:id="2" w:name="_heading=h.30j0zll" w:colFirst="0" w:colLast="0"/>
      <w:bookmarkEnd w:id="2"/>
      <w:r>
        <w:rPr>
          <w:rFonts w:ascii="Palatino Linotype" w:eastAsia="Palatino Linotype" w:hAnsi="Palatino Linotype" w:cs="Palatino Linotype"/>
          <w:color w:val="00000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w:t>
      </w:r>
      <w:r>
        <w:rPr>
          <w:rFonts w:ascii="Palatino Linotype" w:eastAsia="Palatino Linotype" w:hAnsi="Palatino Linotype" w:cs="Palatino Linotype"/>
          <w:color w:val="000000"/>
        </w:rPr>
        <w:lastRenderedPageBreak/>
        <w:t xml:space="preserve">MORALES MARTÍNEZ; LUIS GUSTAVO PARRA NORIEGA Y GUADALUPE RAMÍREZ PEÑA; EN LA VIGÉSIMA TERCERA SESIÓN ORDINARIA CELEBRADA EL VEINTIUNO DE JUNIO DEL DOS MIL VEINTIDÓS, ANTE EL </w:t>
      </w:r>
      <w:r>
        <w:rPr>
          <w:rFonts w:ascii="Palatino Linotype" w:eastAsia="Palatino Linotype" w:hAnsi="Palatino Linotype" w:cs="Palatino Linotype"/>
          <w:noProof/>
          <w:color w:val="000000"/>
          <w:lang w:val="es-MX"/>
        </w:rPr>
        <mc:AlternateContent>
          <mc:Choice Requires="wps">
            <w:drawing>
              <wp:anchor distT="0" distB="0" distL="114300" distR="114300" simplePos="0" relativeHeight="251659264" behindDoc="0" locked="0" layoutInCell="1" allowOverlap="1" wp14:anchorId="71333129" wp14:editId="53F1D3E6">
                <wp:simplePos x="0" y="0"/>
                <wp:positionH relativeFrom="column">
                  <wp:posOffset>62864</wp:posOffset>
                </wp:positionH>
                <wp:positionV relativeFrom="paragraph">
                  <wp:posOffset>1151254</wp:posOffset>
                </wp:positionV>
                <wp:extent cx="5248275" cy="4981575"/>
                <wp:effectExtent l="0" t="0" r="28575" b="28575"/>
                <wp:wrapNone/>
                <wp:docPr id="1" name="Conector recto 1"/>
                <wp:cNvGraphicFramePr/>
                <a:graphic xmlns:a="http://schemas.openxmlformats.org/drawingml/2006/main">
                  <a:graphicData uri="http://schemas.microsoft.com/office/word/2010/wordprocessingShape">
                    <wps:wsp>
                      <wps:cNvCnPr/>
                      <wps:spPr>
                        <a:xfrm>
                          <a:off x="0" y="0"/>
                          <a:ext cx="5248275" cy="4981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709ED4D"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95pt,90.65pt" to="418.2pt,4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" strokecolor="black [3040]"/>
            </w:pict>
          </mc:Fallback>
        </mc:AlternateContent>
      </w:r>
      <w:r>
        <w:rPr>
          <w:rFonts w:ascii="Palatino Linotype" w:eastAsia="Palatino Linotype" w:hAnsi="Palatino Linotype" w:cs="Palatino Linotype"/>
          <w:color w:val="000000"/>
        </w:rPr>
        <w:t>SECRETARIO TÉCNICO DEL PLENO, ALEXIS TAPIA RAMÍREZ.</w:t>
      </w:r>
    </w:p>
    <w:p w14:paraId="2E089476" w14:textId="77777777" w:rsidR="00F84F73" w:rsidRDefault="00F84F73"/>
    <w:p w14:paraId="1A342CB7" w14:textId="77777777" w:rsidR="00F84F73" w:rsidRDefault="00F84F73"/>
    <w:p w14:paraId="5EA424A5" w14:textId="77777777" w:rsidR="00F84F73" w:rsidRDefault="00F84F73"/>
    <w:p w14:paraId="5A1EC8AC" w14:textId="77777777" w:rsidR="00F84F73" w:rsidRDefault="00F84F73"/>
    <w:p w14:paraId="6A055C8D" w14:textId="77777777" w:rsidR="00F84F73" w:rsidRDefault="00F84F73"/>
    <w:p w14:paraId="6ABC86E7" w14:textId="77777777" w:rsidR="00F84F73" w:rsidRDefault="00F84F73"/>
    <w:p w14:paraId="5D904B85" w14:textId="77777777" w:rsidR="00F84F73" w:rsidRDefault="00F84F73"/>
    <w:p w14:paraId="03AE13F9" w14:textId="77777777" w:rsidR="00F84F73" w:rsidRDefault="00F84F73"/>
    <w:p w14:paraId="4840E517" w14:textId="77777777" w:rsidR="00F84F73" w:rsidRDefault="00F84F73"/>
    <w:p w14:paraId="7CA16E95" w14:textId="77777777" w:rsidR="00F84F73" w:rsidRDefault="00F84F73"/>
    <w:p w14:paraId="581C320E" w14:textId="77777777" w:rsidR="00F84F73" w:rsidRDefault="00F84F73"/>
    <w:p w14:paraId="4CB91A87" w14:textId="77777777" w:rsidR="00F84F73" w:rsidRDefault="00F84F73"/>
    <w:p w14:paraId="743B85E8" w14:textId="77777777" w:rsidR="00F84F73" w:rsidRDefault="00F84F73"/>
    <w:p w14:paraId="2A8CFF75" w14:textId="77777777" w:rsidR="00F84F73" w:rsidRDefault="00F84F73"/>
    <w:p w14:paraId="7E30EDD0" w14:textId="77777777" w:rsidR="00F84F73" w:rsidRDefault="00F84F73"/>
    <w:p w14:paraId="36203B40" w14:textId="77777777" w:rsidR="00F84F73" w:rsidRDefault="00F84F73"/>
    <w:p w14:paraId="0D8DD54E" w14:textId="77777777" w:rsidR="00F84F73" w:rsidRDefault="00F84F73"/>
    <w:p w14:paraId="153CB6A7" w14:textId="77777777" w:rsidR="00F84F73" w:rsidRDefault="00F84F73"/>
    <w:p w14:paraId="5537E9AD" w14:textId="77777777" w:rsidR="00F84F73" w:rsidRDefault="00F84F73"/>
    <w:p w14:paraId="5D0C76D9" w14:textId="77777777" w:rsidR="00F84F73" w:rsidRDefault="00F84F73"/>
    <w:p w14:paraId="42385D57" w14:textId="77777777" w:rsidR="00F84F73" w:rsidRDefault="00F84F73"/>
    <w:p w14:paraId="0761ABC6" w14:textId="77777777" w:rsidR="00F84F73" w:rsidRDefault="00F84F73"/>
    <w:p w14:paraId="49078440" w14:textId="77777777" w:rsidR="00F84F73" w:rsidRDefault="00F84F73"/>
    <w:p w14:paraId="4069635E" w14:textId="77777777" w:rsidR="00F84F73" w:rsidRDefault="00F84F73"/>
    <w:p w14:paraId="2615D801" w14:textId="77777777" w:rsidR="00F84F73" w:rsidRDefault="00F84F73"/>
    <w:p w14:paraId="2F0C6373" w14:textId="77777777" w:rsidR="00F84F73" w:rsidRDefault="00F84F73">
      <w:pPr>
        <w:jc w:val="center"/>
      </w:pPr>
    </w:p>
    <w:sectPr w:rsidR="00F84F73">
      <w:headerReference w:type="first" r:id="rId24"/>
      <w:pgSz w:w="12240" w:h="15840"/>
      <w:pgMar w:top="1417" w:right="1701" w:bottom="1417" w:left="1701" w:header="708" w:footer="708"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ADD266" w14:textId="77777777" w:rsidR="004B36F6" w:rsidRDefault="004B36F6">
      <w:r>
        <w:separator/>
      </w:r>
    </w:p>
  </w:endnote>
  <w:endnote w:type="continuationSeparator" w:id="0">
    <w:p w14:paraId="43144915" w14:textId="77777777" w:rsidR="004B36F6" w:rsidRDefault="004B36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Sitka Smal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Quattrocento Sans">
    <w:altName w:val="Calibri"/>
    <w:charset w:val="00"/>
    <w:family w:val="auto"/>
    <w:pitch w:val="default"/>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C2A81F" w14:textId="77777777" w:rsidR="00F84F73" w:rsidRDefault="0025525C">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9D6320">
      <w:rPr>
        <w:rFonts w:ascii="Arial" w:eastAsia="Arial" w:hAnsi="Arial" w:cs="Arial"/>
        <w:b/>
        <w:noProof/>
        <w:color w:val="000000"/>
        <w:sz w:val="20"/>
        <w:szCs w:val="20"/>
      </w:rPr>
      <w:t>41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9D6320">
      <w:rPr>
        <w:rFonts w:ascii="Arial" w:eastAsia="Arial" w:hAnsi="Arial" w:cs="Arial"/>
        <w:b/>
        <w:noProof/>
        <w:color w:val="000000"/>
        <w:sz w:val="20"/>
        <w:szCs w:val="20"/>
      </w:rPr>
      <w:t>53</w:t>
    </w:r>
    <w:r>
      <w:rPr>
        <w:rFonts w:ascii="Arial" w:eastAsia="Arial" w:hAnsi="Arial" w:cs="Arial"/>
        <w:b/>
        <w:color w:val="000000"/>
        <w:sz w:val="20"/>
        <w:szCs w:val="20"/>
      </w:rPr>
      <w:fldChar w:fldCharType="end"/>
    </w:r>
  </w:p>
  <w:p w14:paraId="16B87532" w14:textId="77777777" w:rsidR="00F84F73" w:rsidRDefault="00F84F73">
    <w:pPr>
      <w:pBdr>
        <w:top w:val="nil"/>
        <w:left w:val="nil"/>
        <w:bottom w:val="nil"/>
        <w:right w:val="nil"/>
        <w:between w:val="nil"/>
      </w:pBdr>
      <w:tabs>
        <w:tab w:val="center" w:pos="4252"/>
        <w:tab w:val="right" w:pos="8504"/>
      </w:tabs>
      <w:rPr>
        <w:color w:val="000000"/>
      </w:rPr>
    </w:pPr>
  </w:p>
  <w:p w14:paraId="3D74C107" w14:textId="77777777" w:rsidR="00F84F73" w:rsidRDefault="00F84F73">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B69687" w14:textId="77777777" w:rsidR="00F84F73" w:rsidRDefault="0025525C">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9D6320">
      <w:rPr>
        <w:rFonts w:ascii="Arial" w:eastAsia="Arial" w:hAnsi="Arial" w:cs="Arial"/>
        <w:b/>
        <w:noProof/>
        <w:color w:val="000000"/>
        <w:sz w:val="20"/>
        <w:szCs w:val="20"/>
      </w:rPr>
      <w:t>53</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9D6320">
      <w:rPr>
        <w:rFonts w:ascii="Arial" w:eastAsia="Arial" w:hAnsi="Arial" w:cs="Arial"/>
        <w:b/>
        <w:noProof/>
        <w:color w:val="000000"/>
        <w:sz w:val="20"/>
        <w:szCs w:val="20"/>
      </w:rPr>
      <w:t>53</w:t>
    </w:r>
    <w:r>
      <w:rPr>
        <w:rFonts w:ascii="Arial" w:eastAsia="Arial" w:hAnsi="Arial" w:cs="Arial"/>
        <w:b/>
        <w:color w:val="000000"/>
        <w:sz w:val="20"/>
        <w:szCs w:val="20"/>
      </w:rPr>
      <w:fldChar w:fldCharType="end"/>
    </w:r>
  </w:p>
  <w:p w14:paraId="5BB97A3B" w14:textId="77777777" w:rsidR="00F84F73" w:rsidRDefault="00F84F73">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CAD9BA" w14:textId="77777777" w:rsidR="004B36F6" w:rsidRDefault="004B36F6">
      <w:r>
        <w:separator/>
      </w:r>
    </w:p>
  </w:footnote>
  <w:footnote w:type="continuationSeparator" w:id="0">
    <w:p w14:paraId="78C97280" w14:textId="77777777" w:rsidR="004B36F6" w:rsidRDefault="004B36F6">
      <w:r>
        <w:continuationSeparator/>
      </w:r>
    </w:p>
  </w:footnote>
  <w:footnote w:id="1">
    <w:p w14:paraId="055FAC84" w14:textId="77777777" w:rsidR="00F84F73" w:rsidRDefault="0025525C">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4269F2A2" w14:textId="77777777" w:rsidR="00F84F73" w:rsidRDefault="0025525C">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758E10E8" w14:textId="77777777" w:rsidR="00F84F73" w:rsidRDefault="0025525C">
      <w:pPr>
        <w:pBdr>
          <w:top w:val="nil"/>
          <w:left w:val="nil"/>
          <w:bottom w:val="nil"/>
          <w:right w:val="nil"/>
          <w:between w:val="nil"/>
        </w:pBdr>
        <w:jc w:val="both"/>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Cambria" w:eastAsia="Cambria" w:hAnsi="Cambria" w:cs="Cambria"/>
          <w:color w:val="000000"/>
          <w:sz w:val="20"/>
          <w:szCs w:val="20"/>
          <w:highlight w:val="white"/>
        </w:rPr>
        <w:t>Jurisprudencia publicada en el Semanario Judicial de la Federación número 2a./J.120/2015, de la Décima Época, Tomo I, Libro 22, Septiembre 2015, cuyo texto es el siguiente: “La regulación establecida en el artículo </w:t>
      </w:r>
      <w:r>
        <w:rPr>
          <w:rFonts w:ascii="Cambria" w:eastAsia="Cambria" w:hAnsi="Cambria" w:cs="Cambria"/>
          <w:color w:val="000000"/>
          <w:sz w:val="20"/>
          <w:szCs w:val="20"/>
        </w:rPr>
        <w:t>79, fracción VI, de la Ley de Amparo</w:t>
      </w:r>
      <w:r>
        <w:rPr>
          <w:rFonts w:ascii="Cambria" w:eastAsia="Cambria" w:hAnsi="Cambria" w:cs="Cambria"/>
          <w:color w:val="000000"/>
          <w:sz w:val="20"/>
          <w:szCs w:val="20"/>
          <w:highlight w:val="white"/>
        </w:rPr>
        <w:t> faculta al juzgador de amparo para suplir la deficiencia de la queja en materias diversas a las que el propio numeral prevé, ante una irregularidad procesal grave y manifiesta en la controversia del amparo, no resuelta en el procedimiento de origen, que afecte al quejoso o recurrente, aun ante la ausencia de concepto de violación o agravio al respecto, ya que revela la intención del legislador de no permitir que una de las partes se beneficie a costa de la indefensión de su contraria, como consecuencia de una actuación ilegal de la autoridad, permitiendo al Juez ejercer un discernimiento en cada caso concreto, en atención a la materia y sujeto de que se trate, lo cual es congruente con el artículo </w:t>
      </w:r>
      <w:r>
        <w:rPr>
          <w:rFonts w:ascii="Cambria" w:eastAsia="Cambria" w:hAnsi="Cambria" w:cs="Cambria"/>
          <w:color w:val="000000"/>
          <w:sz w:val="20"/>
          <w:szCs w:val="20"/>
        </w:rPr>
        <w:t>107, fracción II, antepenúltimo párrafo, de la Constitución Política de los Estados Unidos Mexicanos</w:t>
      </w:r>
      <w:r>
        <w:rPr>
          <w:rFonts w:ascii="Cambria" w:eastAsia="Cambria" w:hAnsi="Cambria" w:cs="Cambria"/>
          <w:color w:val="000000"/>
          <w:sz w:val="20"/>
          <w:szCs w:val="20"/>
          <w:highlight w:val="white"/>
        </w:rPr>
        <w:t>.”</w:t>
      </w:r>
    </w:p>
  </w:footnote>
  <w:footnote w:id="4">
    <w:p w14:paraId="662B8F3D" w14:textId="77777777" w:rsidR="00F84F73" w:rsidRDefault="0025525C">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Cambria" w:eastAsia="Cambria" w:hAnsi="Cambria" w:cs="Cambria"/>
          <w:color w:val="000000"/>
          <w:sz w:val="20"/>
          <w:szCs w:val="20"/>
        </w:rPr>
        <w:t xml:space="preserve"> </w:t>
      </w:r>
      <w:r>
        <w:rPr>
          <w:rFonts w:ascii="Cambria" w:eastAsia="Cambria" w:hAnsi="Cambria" w:cs="Cambria"/>
          <w:color w:val="000000"/>
          <w:sz w:val="20"/>
          <w:szCs w:val="20"/>
          <w:highlight w:val="white"/>
        </w:rPr>
        <w:t>Tesis aislada publicada en el Semanario Judicial de la Federación número 1a. LXXIII/2015, de la Décima Época, Tomo II, Libro 15, Febrero 2015, cuyo texto es el siguiente: “Del precepto citado deriva que la suplencia de la queja deficiente operará en las materias civil y administrativa cuando el tribunal de amparo advierta que ha habido contra el quejoso o recurrente una violación evidente de la ley que lo haya dejado sin defensa, por afectar sus derechos humanos reconocidos en la Constitución Política de los Estados Unidos Mexicanos y en los tratados internacionales de que el Estado Mexicano sea parte. Ahora bien, el Pleno de la Suprema Corte de Justicia de la Nación, al pronunciarse sobre el artículo 76 Bis de la Ley de Amparo abrogada, de redacción similar al 79 de la vigente, estimó que la frase "lo haya dejado sin defensa" no debe interpretarse literalmente,</w:t>
      </w:r>
      <w:r>
        <w:rPr>
          <w:rFonts w:ascii="Palatino Linotype" w:eastAsia="Palatino Linotype" w:hAnsi="Palatino Linotype" w:cs="Palatino Linotype"/>
          <w:color w:val="000000"/>
          <w:sz w:val="16"/>
          <w:szCs w:val="16"/>
          <w:highlight w:val="white"/>
        </w:rPr>
        <w:t xml:space="preserve"> </w:t>
      </w:r>
      <w:r>
        <w:rPr>
          <w:rFonts w:ascii="Cambria" w:eastAsia="Cambria" w:hAnsi="Cambria" w:cs="Cambria"/>
          <w:color w:val="000000"/>
          <w:sz w:val="20"/>
          <w:szCs w:val="20"/>
          <w:highlight w:val="white"/>
        </w:rPr>
        <w:t>sino que debe entenderse en el sentido de que la autoridad responsable infringió determinadas normas, de forma que afectó sustancialmente al quejoso en su defensa. Asimismo, sostuvo que una "violación manifiesta de la ley" es la que se advierte obvia, que es innegable e indiscutible, y cuya existencia no puede derivarse de una serie de razonamientos y planteamientos cuestionables. Por otra parte, esta Primera Sala sostuvo que por "violación manifiesta de la ley que deje sin defensa", se entiende aquella actuación que haga notoria e indiscutible la vulneración a los derechos del quejoso, ya sea en forma directa, o bien, indirecta, mediante la transgresión a las normas procedimentales y sustantivas, y que rigen el acto reclamado; de ahí que dicha interpretación es aplicable al artículo 79 de la Ley de Amparo, ya que no se le opone, sino que es concordante. Conforme a lo anterior, los tribunales de amparo sólo están obligados a suplir la queja deficiente en las materias civil y administrativa cuando adviertan una violación evidente, esto es, clara, innegable, que afecte sustancialmente al quejoso en su defensa.”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FCDF78" w14:textId="77777777" w:rsidR="00F84F73" w:rsidRDefault="00F84F73">
    <w:pPr>
      <w:widowControl w:val="0"/>
      <w:pBdr>
        <w:top w:val="nil"/>
        <w:left w:val="nil"/>
        <w:bottom w:val="nil"/>
        <w:right w:val="nil"/>
        <w:between w:val="nil"/>
      </w:pBdr>
      <w:spacing w:line="276" w:lineRule="auto"/>
      <w:rPr>
        <w:rFonts w:ascii="Cambria" w:eastAsia="Cambria" w:hAnsi="Cambria" w:cs="Cambria"/>
        <w:color w:val="000000"/>
      </w:rPr>
    </w:pPr>
  </w:p>
  <w:tbl>
    <w:tblPr>
      <w:tblStyle w:val="a4"/>
      <w:tblW w:w="6240" w:type="dxa"/>
      <w:tblInd w:w="3746" w:type="dxa"/>
      <w:tblLayout w:type="fixed"/>
      <w:tblLook w:val="0400" w:firstRow="0" w:lastRow="0" w:firstColumn="0" w:lastColumn="0" w:noHBand="0" w:noVBand="1"/>
    </w:tblPr>
    <w:tblGrid>
      <w:gridCol w:w="2553"/>
      <w:gridCol w:w="3687"/>
    </w:tblGrid>
    <w:tr w:rsidR="00F84F73" w14:paraId="0EC2A474" w14:textId="77777777">
      <w:tc>
        <w:tcPr>
          <w:tcW w:w="2553" w:type="dxa"/>
          <w:vAlign w:val="center"/>
        </w:tcPr>
        <w:p w14:paraId="6015F85A" w14:textId="77777777" w:rsidR="00F84F73" w:rsidRDefault="0025525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14:paraId="45E574E7" w14:textId="77777777" w:rsidR="00F84F73" w:rsidRDefault="0025525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03739/INFOEM/IP/RR/2022</w:t>
          </w:r>
        </w:p>
      </w:tc>
    </w:tr>
    <w:tr w:rsidR="00F84F73" w14:paraId="21242DEA" w14:textId="77777777">
      <w:trPr>
        <w:trHeight w:val="228"/>
      </w:trPr>
      <w:tc>
        <w:tcPr>
          <w:tcW w:w="2553" w:type="dxa"/>
          <w:vAlign w:val="center"/>
        </w:tcPr>
        <w:p w14:paraId="5C2BA425" w14:textId="77777777" w:rsidR="00F84F73" w:rsidRDefault="0025525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14:paraId="11450D84" w14:textId="465387C4" w:rsidR="00F84F73" w:rsidRDefault="0025525C">
          <w:pPr>
            <w:ind w:right="80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Organismo Público Descentralizado para la Prestación de </w:t>
          </w:r>
          <w:r w:rsidR="00664F5F">
            <w:rPr>
              <w:rFonts w:ascii="Palatino Linotype" w:eastAsia="Palatino Linotype" w:hAnsi="Palatino Linotype" w:cs="Palatino Linotype"/>
              <w:b/>
              <w:sz w:val="22"/>
              <w:szCs w:val="22"/>
            </w:rPr>
            <w:t>l</w:t>
          </w:r>
          <w:r>
            <w:rPr>
              <w:rFonts w:ascii="Palatino Linotype" w:eastAsia="Palatino Linotype" w:hAnsi="Palatino Linotype" w:cs="Palatino Linotype"/>
              <w:b/>
              <w:sz w:val="22"/>
              <w:szCs w:val="22"/>
            </w:rPr>
            <w:t>os Servicios de Agua Potable Alcantarillado y Saneamiento del Municipio de Naucalpan de Juárez</w:t>
          </w:r>
        </w:p>
      </w:tc>
    </w:tr>
    <w:tr w:rsidR="00F84F73" w14:paraId="0492F01D" w14:textId="77777777">
      <w:tc>
        <w:tcPr>
          <w:tcW w:w="2553" w:type="dxa"/>
          <w:vAlign w:val="center"/>
        </w:tcPr>
        <w:p w14:paraId="04021CE3" w14:textId="77777777" w:rsidR="00F84F73" w:rsidRDefault="0025525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14:paraId="601AF0C0" w14:textId="77777777" w:rsidR="00F84F73" w:rsidRDefault="0025525C">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4122D67" w14:textId="77777777" w:rsidR="00F84F73" w:rsidRDefault="0025525C">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r>
      <w:rPr>
        <w:noProof/>
        <w:lang w:val="es-MX"/>
      </w:rPr>
      <w:drawing>
        <wp:anchor distT="0" distB="0" distL="0" distR="0" simplePos="0" relativeHeight="251658240" behindDoc="1" locked="0" layoutInCell="1" hidden="0" allowOverlap="1" wp14:anchorId="22090D80" wp14:editId="5057BC3E">
          <wp:simplePos x="0" y="0"/>
          <wp:positionH relativeFrom="column">
            <wp:posOffset>-1184908</wp:posOffset>
          </wp:positionH>
          <wp:positionV relativeFrom="paragraph">
            <wp:posOffset>-2212338</wp:posOffset>
          </wp:positionV>
          <wp:extent cx="7635600" cy="9943200"/>
          <wp:effectExtent l="0" t="0" r="0" b="0"/>
          <wp:wrapNone/>
          <wp:docPr id="3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p w14:paraId="186489FC" w14:textId="77777777" w:rsidR="00F84F73" w:rsidRDefault="00F84F73">
    <w:pPr>
      <w:pBdr>
        <w:top w:val="nil"/>
        <w:left w:val="nil"/>
        <w:bottom w:val="nil"/>
        <w:right w:val="nil"/>
        <w:between w:val="nil"/>
      </w:pBdr>
      <w:tabs>
        <w:tab w:val="center" w:pos="4252"/>
        <w:tab w:val="right" w:pos="8504"/>
        <w:tab w:val="left" w:pos="2326"/>
      </w:tabs>
      <w:rPr>
        <w:rFonts w:ascii="Cambria" w:eastAsia="Cambria" w:hAnsi="Cambria" w:cs="Cambria"/>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834EA5" w14:textId="77777777" w:rsidR="00F84F73" w:rsidRDefault="0025525C">
    <w:pPr>
      <w:pBdr>
        <w:top w:val="nil"/>
        <w:left w:val="nil"/>
        <w:bottom w:val="nil"/>
        <w:right w:val="nil"/>
        <w:between w:val="nil"/>
      </w:pBdr>
      <w:tabs>
        <w:tab w:val="center" w:pos="4252"/>
        <w:tab w:val="right" w:pos="8504"/>
      </w:tabs>
      <w:jc w:val="both"/>
      <w:rPr>
        <w:rFonts w:ascii="Cambria" w:eastAsia="Cambria" w:hAnsi="Cambria" w:cs="Cambria"/>
        <w:color w:val="000000"/>
      </w:rPr>
    </w:pPr>
    <w:r>
      <w:rPr>
        <w:rFonts w:ascii="Cambria" w:eastAsia="Cambria" w:hAnsi="Cambria" w:cs="Cambria"/>
        <w:color w:val="000000"/>
      </w:rPr>
      <w:t xml:space="preserve">                                  </w:t>
    </w:r>
    <w:r>
      <w:rPr>
        <w:noProof/>
        <w:lang w:val="es-MX"/>
      </w:rPr>
      <w:drawing>
        <wp:anchor distT="0" distB="0" distL="0" distR="0" simplePos="0" relativeHeight="251659264" behindDoc="1" locked="0" layoutInCell="1" hidden="0" allowOverlap="1" wp14:anchorId="50DD8112" wp14:editId="5CAD749E">
          <wp:simplePos x="0" y="0"/>
          <wp:positionH relativeFrom="column">
            <wp:posOffset>-1080133</wp:posOffset>
          </wp:positionH>
          <wp:positionV relativeFrom="paragraph">
            <wp:posOffset>-343533</wp:posOffset>
          </wp:positionV>
          <wp:extent cx="7635600" cy="9943200"/>
          <wp:effectExtent l="0" t="0" r="0" b="0"/>
          <wp:wrapNone/>
          <wp:docPr id="4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3"/>
      <w:tblW w:w="5529" w:type="dxa"/>
      <w:tblInd w:w="3685" w:type="dxa"/>
      <w:tblLayout w:type="fixed"/>
      <w:tblLook w:val="0400" w:firstRow="0" w:lastRow="0" w:firstColumn="0" w:lastColumn="0" w:noHBand="0" w:noVBand="1"/>
    </w:tblPr>
    <w:tblGrid>
      <w:gridCol w:w="2553"/>
      <w:gridCol w:w="2976"/>
    </w:tblGrid>
    <w:tr w:rsidR="00F84F73" w14:paraId="51BFF4DE" w14:textId="77777777">
      <w:tc>
        <w:tcPr>
          <w:tcW w:w="2553" w:type="dxa"/>
          <w:vAlign w:val="center"/>
        </w:tcPr>
        <w:p w14:paraId="1B6CFFBD" w14:textId="77777777" w:rsidR="00F84F73" w:rsidRDefault="0025525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6" w:type="dxa"/>
          <w:vAlign w:val="center"/>
        </w:tcPr>
        <w:p w14:paraId="3F9BA970" w14:textId="77777777" w:rsidR="00F84F73" w:rsidRDefault="0025525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03739/INFOEM/IP/RR/2022</w:t>
          </w:r>
        </w:p>
      </w:tc>
    </w:tr>
    <w:tr w:rsidR="00F84F73" w14:paraId="47D9D6BF" w14:textId="77777777">
      <w:tc>
        <w:tcPr>
          <w:tcW w:w="2553" w:type="dxa"/>
          <w:vAlign w:val="center"/>
        </w:tcPr>
        <w:p w14:paraId="4C21D7EB" w14:textId="77777777" w:rsidR="00F84F73" w:rsidRDefault="0025525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2976" w:type="dxa"/>
          <w:vAlign w:val="center"/>
        </w:tcPr>
        <w:p w14:paraId="49652218" w14:textId="7BA70632" w:rsidR="00F84F73" w:rsidRDefault="009D632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 XXXX XXX</w:t>
          </w:r>
        </w:p>
      </w:tc>
    </w:tr>
    <w:tr w:rsidR="00F84F73" w14:paraId="73A58DF7" w14:textId="77777777">
      <w:trPr>
        <w:trHeight w:val="228"/>
      </w:trPr>
      <w:tc>
        <w:tcPr>
          <w:tcW w:w="2553" w:type="dxa"/>
          <w:vAlign w:val="center"/>
        </w:tcPr>
        <w:p w14:paraId="0B104A09" w14:textId="77777777" w:rsidR="00F84F73" w:rsidRDefault="0025525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6" w:type="dxa"/>
          <w:vAlign w:val="center"/>
        </w:tcPr>
        <w:p w14:paraId="0AF4FD49" w14:textId="2F5A5A12" w:rsidR="00F84F73" w:rsidRDefault="0025525C">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Organismo Público Descentralizado para la Prestación de </w:t>
          </w:r>
          <w:r w:rsidR="00664F5F">
            <w:rPr>
              <w:rFonts w:ascii="Palatino Linotype" w:eastAsia="Palatino Linotype" w:hAnsi="Palatino Linotype" w:cs="Palatino Linotype"/>
              <w:b/>
              <w:sz w:val="22"/>
              <w:szCs w:val="22"/>
            </w:rPr>
            <w:t>l</w:t>
          </w:r>
          <w:r>
            <w:rPr>
              <w:rFonts w:ascii="Palatino Linotype" w:eastAsia="Palatino Linotype" w:hAnsi="Palatino Linotype" w:cs="Palatino Linotype"/>
              <w:b/>
              <w:sz w:val="22"/>
              <w:szCs w:val="22"/>
            </w:rPr>
            <w:t>os Servicios de Agua Potable Alcantarillado y Saneamiento del Municipio de Naucalpan de Juárez</w:t>
          </w:r>
        </w:p>
      </w:tc>
    </w:tr>
    <w:tr w:rsidR="00F84F73" w14:paraId="43A02716" w14:textId="77777777">
      <w:tc>
        <w:tcPr>
          <w:tcW w:w="2553" w:type="dxa"/>
          <w:vAlign w:val="center"/>
        </w:tcPr>
        <w:p w14:paraId="314442A1" w14:textId="77777777" w:rsidR="00F84F73" w:rsidRDefault="0025525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Comisionado ponente:</w:t>
          </w:r>
        </w:p>
      </w:tc>
      <w:tc>
        <w:tcPr>
          <w:tcW w:w="2976" w:type="dxa"/>
          <w:vAlign w:val="center"/>
        </w:tcPr>
        <w:p w14:paraId="22BCE4BF" w14:textId="77777777" w:rsidR="00F84F73" w:rsidRDefault="0025525C">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2085D91" w14:textId="77777777" w:rsidR="00F84F73" w:rsidRDefault="00F84F73">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19A44B" w14:textId="77777777" w:rsidR="00F84F73" w:rsidRDefault="0025525C">
    <w:pPr>
      <w:pBdr>
        <w:top w:val="nil"/>
        <w:left w:val="nil"/>
        <w:bottom w:val="nil"/>
        <w:right w:val="nil"/>
        <w:between w:val="nil"/>
      </w:pBdr>
      <w:tabs>
        <w:tab w:val="center" w:pos="4252"/>
        <w:tab w:val="right" w:pos="8504"/>
      </w:tabs>
      <w:jc w:val="both"/>
      <w:rPr>
        <w:rFonts w:ascii="Cambria" w:eastAsia="Cambria" w:hAnsi="Cambria" w:cs="Cambria"/>
        <w:color w:val="000000"/>
      </w:rPr>
    </w:pPr>
    <w:r>
      <w:rPr>
        <w:rFonts w:ascii="Cambria" w:eastAsia="Cambria" w:hAnsi="Cambria" w:cs="Cambria"/>
        <w:color w:val="000000"/>
      </w:rPr>
      <w:t xml:space="preserve">                                  </w:t>
    </w:r>
  </w:p>
  <w:p w14:paraId="06C0974F" w14:textId="77777777" w:rsidR="00F84F73" w:rsidRDefault="00F84F73">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F656DC"/>
    <w:multiLevelType w:val="multilevel"/>
    <w:tmpl w:val="1A9E63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1A35ACB"/>
    <w:multiLevelType w:val="multilevel"/>
    <w:tmpl w:val="F2FC3AF8"/>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2" w15:restartNumberingAfterBreak="0">
    <w:nsid w:val="62DF3E22"/>
    <w:multiLevelType w:val="multilevel"/>
    <w:tmpl w:val="E3442A36"/>
    <w:lvl w:ilvl="0">
      <w:start w:val="1"/>
      <w:numFmt w:val="upperRoman"/>
      <w:lvlText w:val="%1."/>
      <w:lvlJc w:val="left"/>
      <w:pPr>
        <w:ind w:left="1287" w:hanging="72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4F73"/>
    <w:rsid w:val="00223212"/>
    <w:rsid w:val="0025525C"/>
    <w:rsid w:val="00454139"/>
    <w:rsid w:val="004B36F6"/>
    <w:rsid w:val="00664F5F"/>
    <w:rsid w:val="009D6320"/>
    <w:rsid w:val="00A1546F"/>
    <w:rsid w:val="00B052DE"/>
    <w:rsid w:val="00C05860"/>
    <w:rsid w:val="00F84F7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A47DB9"/>
  <w15:docId w15:val="{E435E1DC-4CB2-49B8-9450-239F9B8C81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A776B4"/>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rPr>
  </w:style>
  <w:style w:type="character" w:customStyle="1" w:styleId="eop">
    <w:name w:val="eop"/>
    <w:basedOn w:val="Fuentedeprrafopredeter"/>
    <w:rsid w:val="00355B75"/>
  </w:style>
  <w:style w:type="character" w:styleId="Hipervnculo">
    <w:name w:val="Hyperlink"/>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INAI"/>
    <w:link w:val="SinespaciadoCar"/>
    <w:uiPriority w:val="1"/>
    <w:qFormat/>
    <w:rsid w:val="00932CFF"/>
    <w:rPr>
      <w:lang w:val="es-MX"/>
    </w:rPr>
  </w:style>
  <w:style w:type="character" w:styleId="Textoennegrita">
    <w:name w:val="Strong"/>
    <w:uiPriority w:val="22"/>
    <w:qFormat/>
    <w:rsid w:val="00932CFF"/>
    <w:rPr>
      <w:b/>
      <w:bCs/>
    </w:rPr>
  </w:style>
  <w:style w:type="character" w:customStyle="1" w:styleId="SinespaciadoCar">
    <w:name w:val="Sin espaciado Car"/>
    <w:aliases w:val="Francesa Car,INAI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unhideWhenUsed/>
    <w:rsid w:val="00444919"/>
    <w:pPr>
      <w:spacing w:before="100" w:beforeAutospacing="1" w:after="100" w:afterAutospacing="1"/>
    </w:pPr>
    <w:rPr>
      <w:lang w:val="es-MX"/>
    </w:rPr>
  </w:style>
  <w:style w:type="character" w:customStyle="1" w:styleId="Ttulo3Car">
    <w:name w:val="Título 3 Car"/>
    <w:basedOn w:val="Fuentedeprrafopredeter"/>
    <w:link w:val="Ttulo3"/>
    <w:uiPriority w:val="9"/>
    <w:rsid w:val="00A776B4"/>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A776B4"/>
    <w:pPr>
      <w:ind w:left="283" w:hanging="283"/>
      <w:contextualSpacing/>
    </w:pPr>
  </w:style>
  <w:style w:type="paragraph" w:styleId="Lista2">
    <w:name w:val="List 2"/>
    <w:basedOn w:val="Normal"/>
    <w:uiPriority w:val="99"/>
    <w:unhideWhenUsed/>
    <w:rsid w:val="00A776B4"/>
    <w:pPr>
      <w:ind w:left="566" w:hanging="283"/>
      <w:contextualSpacing/>
    </w:pPr>
  </w:style>
  <w:style w:type="paragraph" w:styleId="Lista3">
    <w:name w:val="List 3"/>
    <w:basedOn w:val="Normal"/>
    <w:uiPriority w:val="99"/>
    <w:unhideWhenUsed/>
    <w:rsid w:val="00A776B4"/>
    <w:pPr>
      <w:ind w:left="849" w:hanging="283"/>
      <w:contextualSpacing/>
    </w:pPr>
  </w:style>
  <w:style w:type="paragraph" w:styleId="Textoindependiente">
    <w:name w:val="Body Text"/>
    <w:basedOn w:val="Normal"/>
    <w:link w:val="TextoindependienteCar"/>
    <w:uiPriority w:val="99"/>
    <w:unhideWhenUsed/>
    <w:rsid w:val="00A776B4"/>
    <w:pPr>
      <w:spacing w:after="120"/>
    </w:pPr>
  </w:style>
  <w:style w:type="character" w:customStyle="1" w:styleId="TextoindependienteCar">
    <w:name w:val="Texto independiente Car"/>
    <w:basedOn w:val="Fuentedeprrafopredeter"/>
    <w:link w:val="Textoindependiente"/>
    <w:uiPriority w:val="99"/>
    <w:rsid w:val="00A776B4"/>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A776B4"/>
    <w:pPr>
      <w:spacing w:after="120"/>
      <w:ind w:left="283"/>
    </w:pPr>
  </w:style>
  <w:style w:type="character" w:customStyle="1" w:styleId="SangradetextonormalCar">
    <w:name w:val="Sangría de texto normal Car"/>
    <w:basedOn w:val="Fuentedeprrafopredeter"/>
    <w:link w:val="Sangradetextonormal"/>
    <w:uiPriority w:val="99"/>
    <w:rsid w:val="00A776B4"/>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A776B4"/>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A776B4"/>
    <w:rPr>
      <w:rFonts w:ascii="Times New Roman" w:eastAsia="Times New Roman" w:hAnsi="Times New Roman" w:cs="Times New Roman"/>
      <w:lang w:val="es-ES"/>
    </w:rPr>
  </w:style>
  <w:style w:type="paragraph" w:styleId="Textosinformato">
    <w:name w:val="Plain Text"/>
    <w:basedOn w:val="Normal"/>
    <w:link w:val="TextosinformatoCar"/>
    <w:rsid w:val="00B67939"/>
    <w:rPr>
      <w:rFonts w:ascii="Courier New" w:hAnsi="Courier New"/>
      <w:sz w:val="20"/>
      <w:szCs w:val="20"/>
    </w:rPr>
  </w:style>
  <w:style w:type="character" w:customStyle="1" w:styleId="TextosinformatoCar">
    <w:name w:val="Texto sin formato Car"/>
    <w:basedOn w:val="Fuentedeprrafopredeter"/>
    <w:link w:val="Textosinformato"/>
    <w:rsid w:val="00B67939"/>
    <w:rPr>
      <w:rFonts w:ascii="Courier New" w:eastAsia="Times New Roman" w:hAnsi="Courier New" w:cs="Times New Roman"/>
      <w:sz w:val="20"/>
      <w:szCs w:val="20"/>
      <w:lang w:val="es-ES"/>
    </w:rPr>
  </w:style>
  <w:style w:type="paragraph" w:customStyle="1" w:styleId="j">
    <w:name w:val="j"/>
    <w:basedOn w:val="Normal"/>
    <w:rsid w:val="00226723"/>
    <w:pPr>
      <w:spacing w:before="100" w:beforeAutospacing="1" w:after="100" w:afterAutospacing="1"/>
    </w:pPr>
    <w:rPr>
      <w:lang w:val="es-MX"/>
    </w:rPr>
  </w:style>
  <w:style w:type="table" w:styleId="Tabladelista1clara-nfasis1">
    <w:name w:val="List Table 1 Light Accent 1"/>
    <w:basedOn w:val="Tablanormal"/>
    <w:uiPriority w:val="46"/>
    <w:rsid w:val="008E6246"/>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2871584667633129156gmail-msofootnotereference">
    <w:name w:val="m_2871584667633129156gmail-msofootnotereference"/>
    <w:basedOn w:val="Fuentedeprrafopredeter"/>
    <w:rsid w:val="00C12849"/>
  </w:style>
  <w:style w:type="character" w:customStyle="1" w:styleId="h">
    <w:name w:val="h"/>
    <w:basedOn w:val="Fuentedeprrafopredeter"/>
    <w:rsid w:val="007F685F"/>
  </w:style>
  <w:style w:type="character" w:styleId="Refdecomentario">
    <w:name w:val="annotation reference"/>
    <w:basedOn w:val="Fuentedeprrafopredeter"/>
    <w:uiPriority w:val="99"/>
    <w:semiHidden/>
    <w:unhideWhenUsed/>
    <w:rsid w:val="0081575A"/>
    <w:rPr>
      <w:sz w:val="16"/>
      <w:szCs w:val="16"/>
    </w:rPr>
  </w:style>
  <w:style w:type="paragraph" w:styleId="Textocomentario">
    <w:name w:val="annotation text"/>
    <w:basedOn w:val="Normal"/>
    <w:link w:val="TextocomentarioCar"/>
    <w:uiPriority w:val="99"/>
    <w:semiHidden/>
    <w:unhideWhenUsed/>
    <w:rsid w:val="0081575A"/>
    <w:rPr>
      <w:sz w:val="20"/>
      <w:szCs w:val="20"/>
    </w:rPr>
  </w:style>
  <w:style w:type="character" w:customStyle="1" w:styleId="TextocomentarioCar">
    <w:name w:val="Texto comentario Car"/>
    <w:basedOn w:val="Fuentedeprrafopredeter"/>
    <w:link w:val="Textocomentario"/>
    <w:uiPriority w:val="99"/>
    <w:semiHidden/>
    <w:rsid w:val="0081575A"/>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1952D7"/>
    <w:rPr>
      <w:b/>
      <w:bCs/>
    </w:rPr>
  </w:style>
  <w:style w:type="character" w:customStyle="1" w:styleId="AsuntodelcomentarioCar">
    <w:name w:val="Asunto del comentario Car"/>
    <w:basedOn w:val="TextocomentarioCar"/>
    <w:link w:val="Asuntodelcomentario"/>
    <w:uiPriority w:val="99"/>
    <w:semiHidden/>
    <w:rsid w:val="001952D7"/>
    <w:rPr>
      <w:rFonts w:ascii="Times New Roman" w:eastAsia="Times New Roman" w:hAnsi="Times New Roman" w:cs="Times New Roman"/>
      <w:b/>
      <w:bCs/>
      <w:sz w:val="20"/>
      <w:szCs w:val="20"/>
      <w:lang w:val="es-ES"/>
    </w:rPr>
  </w:style>
  <w:style w:type="character" w:customStyle="1" w:styleId="m2871584667633129156gmail-apple-converted-space">
    <w:name w:val="m_2871584667633129156gmail-apple-converted-space"/>
    <w:basedOn w:val="Fuentedeprrafopredeter"/>
    <w:rsid w:val="00F92590"/>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consultas.curp.gob.mx/CurpSP/html/informacionecurpPS.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_rels/header2.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6UxkR0VnDW6F02ASB0B7s+EjPsg==">AMUW2mWOOvcLZnYZDRi8KeRlK3epRWmHCO2yeVgdNOiYdWG4FjdBvuGqj38MLBgxT5C6DBmoDC2C/O3IFni784nXGtUTWuOT6wj5+yLJl2fN4gvDyeXcPBXYcJfn5b/KNwxz5A0YPmg1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53</Pages>
  <Words>9202</Words>
  <Characters>50613</Characters>
  <Application>Microsoft Office Word</Application>
  <DocSecurity>0</DocSecurity>
  <Lines>421</Lines>
  <Paragraphs>119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59696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7</cp:revision>
  <cp:lastPrinted>2022-06-22T17:04:00Z</cp:lastPrinted>
  <dcterms:created xsi:type="dcterms:W3CDTF">2022-06-21T21:35:00Z</dcterms:created>
  <dcterms:modified xsi:type="dcterms:W3CDTF">2022-07-06T23:11:00Z</dcterms:modified>
</cp:coreProperties>
</file>