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DD435D" w14:textId="1E5EC904" w:rsidR="00B433C9" w:rsidRDefault="00B433C9" w:rsidP="00B433C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5860C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241D86">
        <w:rPr>
          <w:rFonts w:ascii="Palatino Linotype" w:eastAsia="Times New Roman" w:hAnsi="Palatino Linotype" w:cs="Arial"/>
          <w:color w:val="000000"/>
          <w:sz w:val="24"/>
          <w:szCs w:val="24"/>
          <w:lang w:eastAsia="es-MX"/>
        </w:rPr>
        <w:t>catorce</w:t>
      </w:r>
      <w:r w:rsidR="00F1199D">
        <w:rPr>
          <w:rFonts w:ascii="Palatino Linotype" w:eastAsia="Times New Roman" w:hAnsi="Palatino Linotype" w:cs="Arial"/>
          <w:color w:val="000000"/>
          <w:sz w:val="24"/>
          <w:szCs w:val="24"/>
          <w:lang w:eastAsia="es-MX"/>
        </w:rPr>
        <w:t xml:space="preserve"> de septiembre de dos mil veintidós. </w:t>
      </w:r>
      <w:r w:rsidR="00675390">
        <w:rPr>
          <w:rFonts w:ascii="Palatino Linotype" w:eastAsia="Times New Roman" w:hAnsi="Palatino Linotype" w:cs="Arial"/>
          <w:color w:val="000000"/>
          <w:sz w:val="24"/>
          <w:szCs w:val="24"/>
          <w:lang w:eastAsia="es-MX"/>
        </w:rPr>
        <w:t xml:space="preserve"> </w:t>
      </w:r>
      <w:r w:rsidR="008B1AD9">
        <w:rPr>
          <w:rFonts w:ascii="Palatino Linotype" w:eastAsia="Times New Roman" w:hAnsi="Palatino Linotype" w:cs="Arial"/>
          <w:color w:val="000000"/>
          <w:sz w:val="24"/>
          <w:szCs w:val="24"/>
          <w:lang w:eastAsia="es-MX"/>
        </w:rPr>
        <w:t xml:space="preserve"> </w:t>
      </w:r>
      <w:r w:rsidR="003E78B7">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3444AEE1" w14:textId="7D831B9C" w:rsidR="00DD77C6" w:rsidRPr="00DD77C6" w:rsidRDefault="00B433C9" w:rsidP="00B433C9">
      <w:pPr>
        <w:tabs>
          <w:tab w:val="left" w:pos="1701"/>
        </w:tabs>
        <w:spacing w:before="240" w:line="360" w:lineRule="auto"/>
        <w:jc w:val="both"/>
        <w:rPr>
          <w:rFonts w:ascii="Palatino Linotype" w:hAnsi="Palatino Linotype" w:cs="Arial"/>
          <w:sz w:val="24"/>
          <w:szCs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DD77C6">
        <w:rPr>
          <w:rFonts w:ascii="Palatino Linotype" w:hAnsi="Palatino Linotype" w:cs="Arial"/>
          <w:b/>
          <w:bCs/>
          <w:sz w:val="24"/>
          <w:lang w:eastAsia="es-MX"/>
        </w:rPr>
        <w:t>13275</w:t>
      </w:r>
      <w:r w:rsidR="00675390">
        <w:rPr>
          <w:rFonts w:ascii="Palatino Linotype" w:hAnsi="Palatino Linotype" w:cs="Arial"/>
          <w:b/>
          <w:bCs/>
          <w:sz w:val="24"/>
          <w:lang w:eastAsia="es-MX"/>
        </w:rPr>
        <w:t>/INFOEM/IP/RR/202</w:t>
      </w:r>
      <w:r w:rsidR="00DD77C6">
        <w:rPr>
          <w:rFonts w:ascii="Palatino Linotype" w:hAnsi="Palatino Linotype" w:cs="Arial"/>
          <w:b/>
          <w:bCs/>
          <w:sz w:val="24"/>
          <w:lang w:eastAsia="es-MX"/>
        </w:rPr>
        <w:t>2</w:t>
      </w:r>
      <w:r w:rsidRPr="00F403EA">
        <w:rPr>
          <w:rFonts w:ascii="Palatino Linotype" w:hAnsi="Palatino Linotype" w:cs="Arial"/>
          <w:sz w:val="24"/>
        </w:rPr>
        <w:t xml:space="preserve">, </w:t>
      </w:r>
      <w:r w:rsidRPr="00F403EA">
        <w:rPr>
          <w:rFonts w:ascii="Palatino Linotype" w:hAnsi="Palatino Linotype" w:cs="Arial"/>
          <w:sz w:val="24"/>
          <w:szCs w:val="24"/>
        </w:rPr>
        <w:t xml:space="preserve">interpuesto por </w:t>
      </w:r>
      <w:r w:rsidR="00DD77C6">
        <w:rPr>
          <w:rFonts w:ascii="Palatino Linotype" w:hAnsi="Palatino Linotype" w:cs="Arial"/>
          <w:sz w:val="24"/>
          <w:szCs w:val="24"/>
        </w:rPr>
        <w:t xml:space="preserve">el </w:t>
      </w:r>
      <w:r w:rsidR="00255E93">
        <w:rPr>
          <w:rFonts w:ascii="Palatino Linotype" w:hAnsi="Palatino Linotype" w:cs="Arial"/>
          <w:b/>
          <w:bCs/>
          <w:sz w:val="24"/>
          <w:szCs w:val="24"/>
        </w:rPr>
        <w:t>XXXXXXXXXXXXXXXX</w:t>
      </w:r>
      <w:r w:rsidR="00DD77C6">
        <w:rPr>
          <w:rFonts w:ascii="Palatino Linotype" w:hAnsi="Palatino Linotype" w:cs="Arial"/>
          <w:b/>
          <w:bCs/>
          <w:sz w:val="24"/>
          <w:szCs w:val="24"/>
        </w:rPr>
        <w:t xml:space="preserve">, </w:t>
      </w:r>
      <w:r w:rsidR="00DD77C6">
        <w:rPr>
          <w:rFonts w:ascii="Palatino Linotype" w:hAnsi="Palatino Linotype" w:cs="Arial"/>
          <w:sz w:val="24"/>
          <w:szCs w:val="24"/>
        </w:rPr>
        <w:t xml:space="preserve">en lo sucesivo </w:t>
      </w:r>
      <w:r w:rsidR="00DD77C6">
        <w:rPr>
          <w:rFonts w:ascii="Palatino Linotype" w:hAnsi="Palatino Linotype" w:cs="Arial"/>
          <w:b/>
          <w:bCs/>
          <w:sz w:val="24"/>
          <w:szCs w:val="24"/>
        </w:rPr>
        <w:t xml:space="preserve">El Recurrente, </w:t>
      </w:r>
      <w:r w:rsidR="00DD77C6">
        <w:rPr>
          <w:rFonts w:ascii="Palatino Linotype" w:hAnsi="Palatino Linotype" w:cs="Arial"/>
          <w:sz w:val="24"/>
          <w:szCs w:val="24"/>
        </w:rPr>
        <w:t xml:space="preserve">en contra de la respuesta del </w:t>
      </w:r>
      <w:r w:rsidR="00DD77C6">
        <w:rPr>
          <w:rFonts w:ascii="Palatino Linotype" w:hAnsi="Palatino Linotype" w:cs="Arial"/>
          <w:b/>
          <w:bCs/>
          <w:sz w:val="24"/>
          <w:szCs w:val="24"/>
        </w:rPr>
        <w:t xml:space="preserve">Instituto de Seguridad Social del Estado de México y Municipios, </w:t>
      </w:r>
      <w:r w:rsidR="00DD77C6">
        <w:rPr>
          <w:rFonts w:ascii="Palatino Linotype" w:hAnsi="Palatino Linotype" w:cs="Arial"/>
          <w:sz w:val="24"/>
          <w:szCs w:val="24"/>
        </w:rPr>
        <w:t xml:space="preserve">en lo subsecuente </w:t>
      </w:r>
      <w:r w:rsidR="00DD77C6">
        <w:rPr>
          <w:rFonts w:ascii="Palatino Linotype" w:hAnsi="Palatino Linotype" w:cs="Arial"/>
          <w:b/>
          <w:bCs/>
          <w:sz w:val="24"/>
          <w:szCs w:val="24"/>
        </w:rPr>
        <w:t xml:space="preserve">El Sujeto Obligado, </w:t>
      </w:r>
      <w:r w:rsidR="00DD77C6">
        <w:rPr>
          <w:rFonts w:ascii="Palatino Linotype" w:hAnsi="Palatino Linotype" w:cs="Arial"/>
          <w:sz w:val="24"/>
          <w:szCs w:val="24"/>
        </w:rPr>
        <w:t xml:space="preserve">se procede a dictar la presente resolución. </w:t>
      </w:r>
    </w:p>
    <w:p w14:paraId="710F6760" w14:textId="77777777" w:rsidR="00DD77C6" w:rsidRDefault="00DD77C6" w:rsidP="00B433C9">
      <w:pPr>
        <w:tabs>
          <w:tab w:val="left" w:pos="1701"/>
        </w:tabs>
        <w:spacing w:before="240" w:line="360" w:lineRule="auto"/>
        <w:jc w:val="both"/>
        <w:rPr>
          <w:rFonts w:ascii="Palatino Linotype" w:hAnsi="Palatino Linotype" w:cs="Arial"/>
          <w:sz w:val="24"/>
          <w:szCs w:val="24"/>
        </w:rPr>
      </w:pPr>
    </w:p>
    <w:p w14:paraId="3FF7C969" w14:textId="77777777" w:rsidR="00B433C9" w:rsidRPr="00F205B9" w:rsidRDefault="00B433C9" w:rsidP="00B433C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1FF691B2" w14:textId="77777777" w:rsidR="00B433C9" w:rsidRDefault="00B433C9" w:rsidP="00B433C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7C244538" w14:textId="67075F1F" w:rsidR="00DD77C6" w:rsidRDefault="00B433C9" w:rsidP="00B433C9">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DD77C6">
        <w:rPr>
          <w:rFonts w:ascii="Palatino Linotype" w:hAnsi="Palatino Linotype" w:cs="Arial"/>
          <w:sz w:val="24"/>
        </w:rPr>
        <w:t xml:space="preserve">treinta de junio de dos mil veintidós, </w:t>
      </w:r>
      <w:r w:rsidR="00DD77C6">
        <w:rPr>
          <w:rFonts w:ascii="Palatino Linotype" w:hAnsi="Palatino Linotype" w:cs="Arial"/>
          <w:b/>
          <w:bCs/>
          <w:sz w:val="24"/>
        </w:rPr>
        <w:t xml:space="preserve">El Recurrente, </w:t>
      </w:r>
      <w:r w:rsidR="00DD77C6">
        <w:rPr>
          <w:rFonts w:ascii="Palatino Linotype" w:hAnsi="Palatino Linotype" w:cs="Arial"/>
          <w:sz w:val="24"/>
        </w:rPr>
        <w:t>presentó a través del Sistema de Acceso a la Información Mexiquense (</w:t>
      </w:r>
      <w:r w:rsidR="00DD77C6">
        <w:rPr>
          <w:rFonts w:ascii="Palatino Linotype" w:hAnsi="Palatino Linotype" w:cs="Arial"/>
          <w:b/>
          <w:sz w:val="24"/>
        </w:rPr>
        <w:t>SAIMEX)</w:t>
      </w:r>
      <w:r w:rsidR="00DD77C6">
        <w:rPr>
          <w:rFonts w:ascii="Palatino Linotype" w:hAnsi="Palatino Linotype" w:cs="Arial"/>
          <w:sz w:val="24"/>
        </w:rPr>
        <w:t xml:space="preserve"> ante </w:t>
      </w:r>
      <w:r w:rsidR="00DD77C6">
        <w:rPr>
          <w:rFonts w:ascii="Palatino Linotype" w:hAnsi="Palatino Linotype" w:cs="Arial"/>
          <w:b/>
          <w:sz w:val="24"/>
        </w:rPr>
        <w:t>El Sujeto Obligado</w:t>
      </w:r>
      <w:r w:rsidR="00DD77C6">
        <w:rPr>
          <w:rFonts w:ascii="Palatino Linotype" w:hAnsi="Palatino Linotype" w:cs="Arial"/>
          <w:sz w:val="24"/>
        </w:rPr>
        <w:t xml:space="preserve">, solicitud de acceso a la información pública, registrada bajo el número de expediente </w:t>
      </w:r>
      <w:r w:rsidR="00DD77C6">
        <w:rPr>
          <w:rFonts w:ascii="Palatino Linotype" w:hAnsi="Palatino Linotype" w:cs="Arial"/>
          <w:b/>
          <w:bCs/>
          <w:sz w:val="24"/>
        </w:rPr>
        <w:t xml:space="preserve">00573/ISSEMYM/IP/2022, </w:t>
      </w:r>
      <w:r w:rsidR="00DD77C6">
        <w:rPr>
          <w:rFonts w:ascii="Palatino Linotype" w:hAnsi="Palatino Linotype" w:cs="Arial"/>
          <w:sz w:val="24"/>
        </w:rPr>
        <w:t>mediante la cual solicitó información en el tenor siguiente:</w:t>
      </w:r>
    </w:p>
    <w:p w14:paraId="1ACEB0D9" w14:textId="776C2835" w:rsidR="00DD77C6" w:rsidRPr="00DD77C6" w:rsidRDefault="00DD77C6" w:rsidP="00DD77C6">
      <w:pPr>
        <w:pStyle w:val="Citas"/>
        <w:rPr>
          <w:sz w:val="24"/>
        </w:rPr>
      </w:pPr>
      <w:r>
        <w:t xml:space="preserve">“Solicito conocer el nombre de los médicos con base y contrato que se encuentran trabajando en el centro </w:t>
      </w:r>
      <w:proofErr w:type="spellStart"/>
      <w:r>
        <w:t>concologio</w:t>
      </w:r>
      <w:proofErr w:type="spellEnd"/>
      <w:r>
        <w:t xml:space="preserve"> José Luis barrera Franco. Así como el salario que perciben de manera mensual de los mismos” </w:t>
      </w:r>
      <w:r>
        <w:rPr>
          <w:b/>
          <w:bCs/>
        </w:rPr>
        <w:t>(Sic)</w:t>
      </w:r>
    </w:p>
    <w:p w14:paraId="13D04962" w14:textId="77777777" w:rsidR="008B1AD9" w:rsidRDefault="008B1AD9" w:rsidP="00B433C9">
      <w:pPr>
        <w:spacing w:before="240" w:line="360" w:lineRule="auto"/>
        <w:jc w:val="both"/>
        <w:rPr>
          <w:rFonts w:ascii="Palatino Linotype" w:hAnsi="Palatino Linotype" w:cs="Arial"/>
          <w:sz w:val="24"/>
        </w:rPr>
      </w:pPr>
      <w:r>
        <w:rPr>
          <w:rFonts w:ascii="Palatino Linotype" w:hAnsi="Palatino Linotype" w:cs="Arial"/>
          <w:b/>
          <w:sz w:val="24"/>
        </w:rPr>
        <w:t xml:space="preserve">Modalidad de entrega: </w:t>
      </w:r>
      <w:r>
        <w:rPr>
          <w:rFonts w:ascii="Palatino Linotype" w:hAnsi="Palatino Linotype" w:cs="Arial"/>
          <w:sz w:val="24"/>
        </w:rPr>
        <w:t xml:space="preserve">A través del SAIMEX. </w:t>
      </w:r>
    </w:p>
    <w:p w14:paraId="3E95E499" w14:textId="5C739249" w:rsidR="00B433C9" w:rsidRDefault="00DD77C6" w:rsidP="00B433C9">
      <w:pPr>
        <w:spacing w:before="240" w:line="360" w:lineRule="auto"/>
        <w:jc w:val="both"/>
        <w:rPr>
          <w:rFonts w:ascii="Palatino Linotype" w:hAnsi="Palatino Linotype" w:cs="Arial"/>
          <w:b/>
          <w:sz w:val="28"/>
        </w:rPr>
      </w:pPr>
      <w:r>
        <w:rPr>
          <w:rFonts w:ascii="Palatino Linotype" w:hAnsi="Palatino Linotype" w:cs="Arial"/>
          <w:b/>
          <w:sz w:val="28"/>
        </w:rPr>
        <w:lastRenderedPageBreak/>
        <w:t>SEGUNDO</w:t>
      </w:r>
      <w:r w:rsidR="00B433C9">
        <w:rPr>
          <w:rFonts w:ascii="Palatino Linotype" w:hAnsi="Palatino Linotype" w:cs="Arial"/>
          <w:b/>
          <w:sz w:val="28"/>
        </w:rPr>
        <w:t xml:space="preserve">. </w:t>
      </w:r>
      <w:r w:rsidR="00B433C9" w:rsidRPr="00165D6E">
        <w:rPr>
          <w:rFonts w:ascii="Palatino Linotype" w:hAnsi="Palatino Linotype" w:cs="Arial"/>
          <w:b/>
          <w:sz w:val="28"/>
          <w:szCs w:val="20"/>
        </w:rPr>
        <w:t xml:space="preserve">De la respuesta </w:t>
      </w:r>
      <w:r w:rsidR="00B433C9">
        <w:rPr>
          <w:rFonts w:ascii="Palatino Linotype" w:hAnsi="Palatino Linotype" w:cs="Arial"/>
          <w:b/>
          <w:sz w:val="28"/>
          <w:szCs w:val="20"/>
        </w:rPr>
        <w:t>del Sujeto Obligado</w:t>
      </w:r>
      <w:r w:rsidR="00B433C9" w:rsidRPr="00165D6E">
        <w:rPr>
          <w:rFonts w:ascii="Palatino Linotype" w:hAnsi="Palatino Linotype" w:cs="Arial"/>
          <w:b/>
          <w:sz w:val="28"/>
          <w:szCs w:val="20"/>
        </w:rPr>
        <w:t>.</w:t>
      </w:r>
    </w:p>
    <w:p w14:paraId="5253DE51" w14:textId="7563F9B7" w:rsidR="00DD77C6" w:rsidRDefault="00B433C9" w:rsidP="00B433C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w:t>
      </w:r>
      <w:r w:rsidR="008B1AD9">
        <w:rPr>
          <w:rFonts w:ascii="Palatino Linotype" w:hAnsi="Palatino Linotype" w:cs="Arial"/>
          <w:sz w:val="24"/>
          <w:szCs w:val="24"/>
        </w:rPr>
        <w:t xml:space="preserve">el día </w:t>
      </w:r>
      <w:r w:rsidR="00DD77C6">
        <w:rPr>
          <w:rFonts w:ascii="Palatino Linotype" w:hAnsi="Palatino Linotype" w:cs="Arial"/>
          <w:sz w:val="24"/>
          <w:szCs w:val="24"/>
        </w:rPr>
        <w:t xml:space="preserve">dos de agosto de los corrientes, </w:t>
      </w:r>
      <w:r w:rsidR="00DD77C6">
        <w:rPr>
          <w:rFonts w:ascii="Palatino Linotype" w:hAnsi="Palatino Linotype" w:cs="Arial"/>
          <w:b/>
          <w:bCs/>
          <w:sz w:val="24"/>
          <w:szCs w:val="24"/>
        </w:rPr>
        <w:t xml:space="preserve">El Sujeto Obligado </w:t>
      </w:r>
      <w:r w:rsidR="00DD77C6">
        <w:rPr>
          <w:rFonts w:ascii="Palatino Linotype" w:hAnsi="Palatino Linotype" w:cs="Arial"/>
          <w:sz w:val="24"/>
          <w:szCs w:val="24"/>
        </w:rPr>
        <w:t xml:space="preserve">dio respuesta a la solicitud de información en los siguientes términos: </w:t>
      </w:r>
    </w:p>
    <w:p w14:paraId="176FE0B6" w14:textId="6DA78D0F" w:rsidR="00D36624" w:rsidRPr="00D36624" w:rsidRDefault="00D36624" w:rsidP="00D36624">
      <w:pPr>
        <w:pStyle w:val="Citas"/>
      </w:pPr>
      <w:r w:rsidRPr="00D36624">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14:paraId="4FDB65C5" w14:textId="057E129C" w:rsidR="00D36624" w:rsidRPr="00D36624" w:rsidRDefault="00D36624" w:rsidP="00D36624">
      <w:pPr>
        <w:pStyle w:val="Citas"/>
        <w:rPr>
          <w:b/>
          <w:bCs/>
        </w:rPr>
      </w:pPr>
      <w:r w:rsidRPr="00D36624">
        <w:t xml:space="preserve">Como archivo adjunto, encontrará el oficio que dará respuesta a su solicitud de información. Para cualquier duda o aclaración respecto a la presente respuesta, nos ponemos a sus órdenes en el teléfono (01722) 2261900 extensiones 1434072 y 1434073. MUY IMPORTANTE: Se hace de su conocimiento que, hasta nuevo aviso, por la contingencia sanitaria el horario para trámites en el Módulo de Transparencia es de 9:00 a 15:00 horas. Es indispensable que al presentarse lo realice con </w:t>
      </w:r>
      <w:proofErr w:type="spellStart"/>
      <w:r w:rsidRPr="00D36624">
        <w:t>cubrebocas</w:t>
      </w:r>
      <w:proofErr w:type="spellEnd"/>
      <w:r w:rsidRPr="00D36624">
        <w:t xml:space="preserve"> y pluma o bolígrafo personal, como medidas de seguridad sanitaria</w:t>
      </w:r>
      <w:r>
        <w:t xml:space="preserve">” </w:t>
      </w:r>
      <w:r>
        <w:rPr>
          <w:b/>
          <w:bCs/>
        </w:rPr>
        <w:t>(Sic)</w:t>
      </w:r>
    </w:p>
    <w:p w14:paraId="4FDDB37D" w14:textId="54A6F6E8" w:rsidR="00D36624" w:rsidRDefault="00576D51" w:rsidP="00B433C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 mayor abundamiento,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adjuntó </w:t>
      </w:r>
      <w:r w:rsidR="00D36624">
        <w:rPr>
          <w:rFonts w:ascii="Palatino Linotype" w:hAnsi="Palatino Linotype" w:cs="Arial"/>
          <w:sz w:val="24"/>
          <w:szCs w:val="24"/>
        </w:rPr>
        <w:t>los</w:t>
      </w:r>
      <w:r w:rsidR="007A00E9">
        <w:rPr>
          <w:rFonts w:ascii="Palatino Linotype" w:hAnsi="Palatino Linotype" w:cs="Arial"/>
          <w:sz w:val="24"/>
          <w:szCs w:val="24"/>
        </w:rPr>
        <w:t xml:space="preserve"> documento</w:t>
      </w:r>
      <w:r w:rsidR="00D36624">
        <w:rPr>
          <w:rFonts w:ascii="Palatino Linotype" w:hAnsi="Palatino Linotype" w:cs="Arial"/>
          <w:sz w:val="24"/>
          <w:szCs w:val="24"/>
        </w:rPr>
        <w:t>s</w:t>
      </w:r>
      <w:r w:rsidR="007A00E9">
        <w:rPr>
          <w:rFonts w:ascii="Palatino Linotype" w:hAnsi="Palatino Linotype" w:cs="Arial"/>
          <w:sz w:val="24"/>
          <w:szCs w:val="24"/>
        </w:rPr>
        <w:t xml:space="preserve"> electrónico</w:t>
      </w:r>
      <w:r w:rsidR="00D36624">
        <w:rPr>
          <w:rFonts w:ascii="Palatino Linotype" w:hAnsi="Palatino Linotype" w:cs="Arial"/>
          <w:sz w:val="24"/>
          <w:szCs w:val="24"/>
        </w:rPr>
        <w:t xml:space="preserve">s </w:t>
      </w:r>
      <w:r w:rsidR="00D36624">
        <w:rPr>
          <w:rFonts w:ascii="Palatino Linotype" w:hAnsi="Palatino Linotype" w:cs="Arial"/>
          <w:b/>
          <w:bCs/>
          <w:sz w:val="24"/>
          <w:szCs w:val="24"/>
        </w:rPr>
        <w:t>“573 IP07-22-2022-102032.pdf”</w:t>
      </w:r>
      <w:r w:rsidR="00D36624">
        <w:rPr>
          <w:rFonts w:ascii="Palatino Linotype" w:hAnsi="Palatino Linotype" w:cs="Arial"/>
          <w:sz w:val="24"/>
          <w:szCs w:val="24"/>
        </w:rPr>
        <w:t xml:space="preserve"> y </w:t>
      </w:r>
      <w:r w:rsidR="00D36624">
        <w:rPr>
          <w:rFonts w:ascii="Palatino Linotype" w:hAnsi="Palatino Linotype" w:cs="Arial"/>
          <w:b/>
          <w:bCs/>
          <w:sz w:val="24"/>
          <w:szCs w:val="24"/>
        </w:rPr>
        <w:t xml:space="preserve">“573 IP CON ANEXOS.pdf”, </w:t>
      </w:r>
      <w:r w:rsidR="00D36624">
        <w:rPr>
          <w:rFonts w:ascii="Palatino Linotype" w:hAnsi="Palatino Linotype" w:cs="Arial"/>
          <w:sz w:val="24"/>
          <w:szCs w:val="24"/>
        </w:rPr>
        <w:t xml:space="preserve">mismos que se tienen por reproducidos en virtud de que serán materia de análisis en el considerando respectivo. </w:t>
      </w:r>
    </w:p>
    <w:p w14:paraId="15CEEA73" w14:textId="77777777" w:rsidR="00D36624" w:rsidRDefault="00D36624" w:rsidP="00B433C9">
      <w:pPr>
        <w:spacing w:before="240" w:line="360" w:lineRule="auto"/>
        <w:jc w:val="both"/>
        <w:rPr>
          <w:rFonts w:ascii="Palatino Linotype" w:hAnsi="Palatino Linotype" w:cs="Arial"/>
          <w:sz w:val="24"/>
          <w:szCs w:val="24"/>
        </w:rPr>
      </w:pPr>
    </w:p>
    <w:p w14:paraId="082A08AA" w14:textId="557669E1" w:rsidR="00B433C9" w:rsidRDefault="00D36624" w:rsidP="00B433C9">
      <w:pPr>
        <w:spacing w:before="240" w:line="360" w:lineRule="auto"/>
        <w:jc w:val="both"/>
        <w:rPr>
          <w:rFonts w:ascii="Palatino Linotype" w:hAnsi="Palatino Linotype" w:cs="Arial"/>
          <w:b/>
          <w:sz w:val="28"/>
        </w:rPr>
      </w:pPr>
      <w:r>
        <w:rPr>
          <w:rFonts w:ascii="Palatino Linotype" w:hAnsi="Palatino Linotype" w:cs="Arial"/>
          <w:b/>
          <w:sz w:val="28"/>
        </w:rPr>
        <w:t>TERCERO</w:t>
      </w:r>
      <w:r w:rsidR="00B433C9">
        <w:rPr>
          <w:rFonts w:ascii="Palatino Linotype" w:hAnsi="Palatino Linotype" w:cs="Arial"/>
          <w:b/>
          <w:sz w:val="28"/>
        </w:rPr>
        <w:t xml:space="preserve">. </w:t>
      </w:r>
      <w:r w:rsidR="00B433C9">
        <w:rPr>
          <w:rFonts w:ascii="Palatino Linotype" w:hAnsi="Palatino Linotype"/>
          <w:b/>
          <w:sz w:val="28"/>
        </w:rPr>
        <w:t>Del recurso de revisión.</w:t>
      </w:r>
    </w:p>
    <w:p w14:paraId="305B30E6" w14:textId="52580B47" w:rsidR="0074759E" w:rsidRPr="0074759E" w:rsidRDefault="00B433C9" w:rsidP="00B433C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lastRenderedPageBreak/>
        <w:t>Inconforme c</w:t>
      </w:r>
      <w:r>
        <w:rPr>
          <w:rFonts w:ascii="Palatino Linotype" w:hAnsi="Palatino Linotype" w:cs="Arial"/>
          <w:sz w:val="24"/>
          <w:szCs w:val="24"/>
        </w:rPr>
        <w:t xml:space="preserve">on la respuesta por </w:t>
      </w:r>
      <w:r w:rsidR="00712E3A">
        <w:rPr>
          <w:rFonts w:ascii="Palatino Linotype" w:hAnsi="Palatino Linotype" w:cs="Arial"/>
          <w:b/>
          <w:sz w:val="24"/>
          <w:szCs w:val="24"/>
        </w:rPr>
        <w:t xml:space="preserve">El Sujeto Obligado, </w:t>
      </w:r>
      <w:r w:rsidR="00D36624">
        <w:rPr>
          <w:rFonts w:ascii="Palatino Linotype" w:hAnsi="Palatino Linotype" w:cs="Arial"/>
          <w:b/>
          <w:sz w:val="24"/>
          <w:szCs w:val="24"/>
        </w:rPr>
        <w:t>El</w:t>
      </w:r>
      <w:r>
        <w:rPr>
          <w:rFonts w:ascii="Palatino Linotype" w:hAnsi="Palatino Linotype" w:cs="Arial"/>
          <w:b/>
          <w:sz w:val="24"/>
          <w:szCs w:val="24"/>
        </w:rPr>
        <w:t xml:space="preserve"> Recurrente </w:t>
      </w:r>
      <w:r>
        <w:rPr>
          <w:rFonts w:ascii="Palatino Linotype" w:hAnsi="Palatino Linotype" w:cs="Arial"/>
          <w:sz w:val="24"/>
          <w:szCs w:val="24"/>
        </w:rPr>
        <w:t xml:space="preserve">interpuso recurso de revisión, en fecha </w:t>
      </w:r>
      <w:r w:rsidR="0074759E">
        <w:rPr>
          <w:rFonts w:ascii="Palatino Linotype" w:hAnsi="Palatino Linotype" w:cs="Arial"/>
          <w:sz w:val="24"/>
          <w:szCs w:val="24"/>
        </w:rPr>
        <w:t xml:space="preserve">doce de agosto del presente, el cual fue registrado en el sistema electrónico con el expediente número </w:t>
      </w:r>
      <w:r w:rsidR="0074759E">
        <w:rPr>
          <w:rFonts w:ascii="Palatino Linotype" w:hAnsi="Palatino Linotype" w:cs="Arial"/>
          <w:b/>
          <w:bCs/>
          <w:sz w:val="24"/>
          <w:szCs w:val="24"/>
        </w:rPr>
        <w:t xml:space="preserve">13275/INFOEM/IP/RR/2022, </w:t>
      </w:r>
      <w:r w:rsidR="0074759E">
        <w:rPr>
          <w:rFonts w:ascii="Palatino Linotype" w:hAnsi="Palatino Linotype" w:cs="Arial"/>
          <w:sz w:val="24"/>
          <w:szCs w:val="24"/>
        </w:rPr>
        <w:t xml:space="preserve">en el cual arguye las siguientes manifestaciones: </w:t>
      </w:r>
    </w:p>
    <w:p w14:paraId="5F1B887E" w14:textId="77777777" w:rsidR="00B433C9" w:rsidRDefault="00B433C9" w:rsidP="00B433C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3E504422" w14:textId="00F99F70" w:rsidR="00B433C9" w:rsidRPr="00712E3A" w:rsidRDefault="00B433C9" w:rsidP="0074759E">
      <w:pPr>
        <w:pStyle w:val="Citas"/>
        <w:rPr>
          <w:b/>
        </w:rPr>
      </w:pPr>
      <w:r w:rsidRPr="00712E3A">
        <w:t>“</w:t>
      </w:r>
      <w:r w:rsidR="0074759E">
        <w:t>Requiero se especifique cual es el Total y la descripción de los apartados</w:t>
      </w:r>
      <w:r w:rsidRPr="00712E3A">
        <w:t xml:space="preserve">” </w:t>
      </w:r>
      <w:r w:rsidRPr="00712E3A">
        <w:rPr>
          <w:b/>
        </w:rPr>
        <w:t>[Sic]</w:t>
      </w:r>
    </w:p>
    <w:p w14:paraId="28529795" w14:textId="77777777" w:rsidR="003A6975" w:rsidRPr="003E78B7" w:rsidRDefault="003A6975" w:rsidP="003E78B7">
      <w:pPr>
        <w:spacing w:before="240" w:line="360" w:lineRule="auto"/>
        <w:ind w:left="851" w:right="851"/>
        <w:jc w:val="both"/>
        <w:rPr>
          <w:rFonts w:ascii="Palatino Linotype" w:hAnsi="Palatino Linotype" w:cs="Arial"/>
          <w:b/>
          <w:i/>
        </w:rPr>
      </w:pPr>
    </w:p>
    <w:p w14:paraId="038DF0B2" w14:textId="77777777" w:rsidR="00B433C9" w:rsidRDefault="00B433C9" w:rsidP="00B433C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77578DAA" w14:textId="0F59624F" w:rsidR="00B433C9" w:rsidRPr="00712E3A" w:rsidRDefault="00B433C9" w:rsidP="0074759E">
      <w:pPr>
        <w:pStyle w:val="Citas"/>
      </w:pPr>
      <w:r w:rsidRPr="00712E3A">
        <w:t>“</w:t>
      </w:r>
      <w:r w:rsidR="0074759E">
        <w:t xml:space="preserve">No me quedo claro. </w:t>
      </w:r>
      <w:proofErr w:type="spellStart"/>
      <w:r w:rsidR="0074759E">
        <w:t>Cyal</w:t>
      </w:r>
      <w:proofErr w:type="spellEnd"/>
      <w:r w:rsidR="0074759E">
        <w:t xml:space="preserve"> es el total</w:t>
      </w:r>
      <w:r w:rsidRPr="00712E3A">
        <w:t xml:space="preserve">” </w:t>
      </w:r>
      <w:r w:rsidRPr="00576D51">
        <w:rPr>
          <w:b/>
        </w:rPr>
        <w:t>[Sic]</w:t>
      </w:r>
    </w:p>
    <w:p w14:paraId="74E2AB04" w14:textId="77777777" w:rsidR="00B433C9" w:rsidRDefault="00B433C9" w:rsidP="00B433C9">
      <w:pPr>
        <w:spacing w:line="360" w:lineRule="auto"/>
        <w:ind w:left="851" w:right="851"/>
        <w:jc w:val="both"/>
        <w:rPr>
          <w:rFonts w:ascii="Palatino Linotype" w:hAnsi="Palatino Linotype" w:cs="Arial"/>
          <w:i/>
        </w:rPr>
      </w:pPr>
    </w:p>
    <w:p w14:paraId="36C7A6D3" w14:textId="135F1D09" w:rsidR="00B433C9" w:rsidRDefault="0074759E" w:rsidP="00B433C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B433C9" w:rsidRPr="008551ED">
        <w:rPr>
          <w:rFonts w:ascii="Palatino Linotype" w:hAnsi="Palatino Linotype" w:cs="Arial"/>
          <w:b/>
          <w:sz w:val="24"/>
          <w:szCs w:val="24"/>
        </w:rPr>
        <w:t xml:space="preserve">. </w:t>
      </w:r>
      <w:r w:rsidR="00B433C9" w:rsidRPr="0087163A">
        <w:rPr>
          <w:rFonts w:ascii="Palatino Linotype" w:hAnsi="Palatino Linotype" w:cs="Arial"/>
          <w:b/>
          <w:sz w:val="28"/>
          <w:szCs w:val="28"/>
        </w:rPr>
        <w:t>Del turno del recurso de revisión.</w:t>
      </w:r>
    </w:p>
    <w:p w14:paraId="2457B58F" w14:textId="4025D8FE" w:rsidR="00712E3A" w:rsidRDefault="00B433C9" w:rsidP="00712E3A">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w:t>
      </w:r>
      <w:r w:rsidR="0074759E">
        <w:rPr>
          <w:rFonts w:ascii="Palatino Linotype" w:hAnsi="Palatino Linotype" w:cs="Arial"/>
          <w:sz w:val="24"/>
          <w:szCs w:val="24"/>
        </w:rPr>
        <w:t xml:space="preserve">al Comisionado Presidente </w:t>
      </w:r>
      <w:r w:rsidR="0074759E">
        <w:rPr>
          <w:rFonts w:ascii="Palatino Linotype" w:hAnsi="Palatino Linotype" w:cs="Arial"/>
          <w:b/>
          <w:bCs/>
          <w:sz w:val="24"/>
          <w:szCs w:val="24"/>
        </w:rPr>
        <w:t xml:space="preserve">José Martínez Vilchis, </w:t>
      </w:r>
      <w:r w:rsidR="0074759E">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74759E">
        <w:rPr>
          <w:rFonts w:ascii="Palatino Linotype" w:hAnsi="Palatino Linotype" w:cs="Arial"/>
          <w:b/>
          <w:bCs/>
          <w:sz w:val="24"/>
          <w:szCs w:val="24"/>
        </w:rPr>
        <w:t xml:space="preserve">dieciséis de agosto de los corrientes, </w:t>
      </w:r>
      <w:r w:rsidR="00712E3A">
        <w:rPr>
          <w:rFonts w:ascii="Palatino Linotype" w:hAnsi="Palatino Linotype" w:cs="Arial"/>
          <w:sz w:val="24"/>
          <w:szCs w:val="24"/>
        </w:rPr>
        <w:t>determinándose en él, un plazo de siete días para que las partes manifestaran lo que a su derecho corresponda en términos del numeral ya citado.</w:t>
      </w:r>
    </w:p>
    <w:p w14:paraId="53DCFEAC" w14:textId="77777777" w:rsidR="00712E3A" w:rsidRDefault="00712E3A" w:rsidP="00B433C9">
      <w:pPr>
        <w:spacing w:before="240" w:line="360" w:lineRule="auto"/>
        <w:jc w:val="both"/>
        <w:rPr>
          <w:rFonts w:ascii="Palatino Linotype" w:hAnsi="Palatino Linotype" w:cs="Arial"/>
          <w:sz w:val="24"/>
          <w:szCs w:val="24"/>
        </w:rPr>
      </w:pPr>
    </w:p>
    <w:p w14:paraId="6022F083" w14:textId="625FAE48" w:rsidR="00B433C9" w:rsidRDefault="0074759E" w:rsidP="00B433C9">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00B433C9" w:rsidRPr="00AC0CCC">
        <w:rPr>
          <w:rFonts w:ascii="Palatino Linotype" w:hAnsi="Palatino Linotype" w:cs="Arial"/>
          <w:b/>
          <w:sz w:val="28"/>
          <w:szCs w:val="28"/>
        </w:rPr>
        <w:t xml:space="preserve">. </w:t>
      </w:r>
      <w:r w:rsidR="00B433C9" w:rsidRPr="0087163A">
        <w:rPr>
          <w:rFonts w:ascii="Palatino Linotype" w:hAnsi="Palatino Linotype" w:cs="Arial"/>
          <w:b/>
          <w:sz w:val="28"/>
          <w:szCs w:val="28"/>
        </w:rPr>
        <w:t>De la etapa de instrucción.</w:t>
      </w:r>
    </w:p>
    <w:p w14:paraId="2B0BF538" w14:textId="51690E58" w:rsidR="0074759E" w:rsidRPr="0074759E" w:rsidRDefault="00712E3A" w:rsidP="00712E3A">
      <w:pPr>
        <w:spacing w:before="240" w:line="360" w:lineRule="auto"/>
        <w:jc w:val="both"/>
        <w:rPr>
          <w:rFonts w:ascii="Palatino Linotype" w:hAnsi="Palatino Linotype" w:cs="Arial"/>
          <w:sz w:val="24"/>
          <w:szCs w:val="24"/>
        </w:rPr>
      </w:pPr>
      <w:r w:rsidRPr="00523CF0">
        <w:rPr>
          <w:rFonts w:ascii="Palatino Linotype" w:hAnsi="Palatino Linotype" w:cs="Arial"/>
          <w:sz w:val="24"/>
          <w:szCs w:val="24"/>
        </w:rPr>
        <w:lastRenderedPageBreak/>
        <w:t xml:space="preserve">Así, en la etapa de instrucción, </w:t>
      </w:r>
      <w:r>
        <w:rPr>
          <w:rFonts w:ascii="Palatino Linotype" w:hAnsi="Palatino Linotype" w:cs="Arial"/>
          <w:sz w:val="24"/>
          <w:szCs w:val="24"/>
        </w:rPr>
        <w:t xml:space="preserve">de las constancias que obran en el expediente electrónico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rindió su informe justificado en fecha </w:t>
      </w:r>
      <w:r w:rsidR="0074759E">
        <w:rPr>
          <w:rFonts w:ascii="Palatino Linotype" w:hAnsi="Palatino Linotype" w:cs="Arial"/>
          <w:sz w:val="24"/>
          <w:szCs w:val="24"/>
        </w:rPr>
        <w:t xml:space="preserve">veintiséis de agosto del presente, mismo que se puso a la vista del </w:t>
      </w:r>
      <w:r w:rsidR="0074759E">
        <w:rPr>
          <w:rFonts w:ascii="Palatino Linotype" w:hAnsi="Palatino Linotype" w:cs="Arial"/>
          <w:b/>
          <w:bCs/>
          <w:sz w:val="24"/>
          <w:szCs w:val="24"/>
        </w:rPr>
        <w:t xml:space="preserve">Recurrente </w:t>
      </w:r>
      <w:r w:rsidR="0074759E">
        <w:rPr>
          <w:rFonts w:ascii="Palatino Linotype" w:hAnsi="Palatino Linotype" w:cs="Arial"/>
          <w:sz w:val="24"/>
          <w:szCs w:val="24"/>
        </w:rPr>
        <w:t xml:space="preserve">el treinta de agosto del año en curso. </w:t>
      </w:r>
    </w:p>
    <w:p w14:paraId="37B57B4A" w14:textId="151F42BD" w:rsidR="0074759E" w:rsidRDefault="0074759E" w:rsidP="0074759E">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cual se decretó el cierre de instrucción con fecha </w:t>
      </w:r>
      <w:r w:rsidR="00BA05BD">
        <w:rPr>
          <w:rFonts w:ascii="Palatino Linotype" w:hAnsi="Palatino Linotype" w:cs="Arial"/>
          <w:b/>
          <w:bCs/>
          <w:sz w:val="24"/>
          <w:szCs w:val="24"/>
        </w:rPr>
        <w:t>ocho</w:t>
      </w:r>
      <w:r>
        <w:rPr>
          <w:rFonts w:ascii="Palatino Linotype" w:hAnsi="Palatino Linotype" w:cs="Arial"/>
          <w:b/>
          <w:bCs/>
          <w:sz w:val="24"/>
          <w:szCs w:val="24"/>
        </w:rPr>
        <w:t xml:space="preserve"> de septiembre del presente, </w:t>
      </w:r>
      <w:r>
        <w:rPr>
          <w:rFonts w:ascii="Palatino Linotype" w:hAnsi="Palatino Linotype" w:cs="Arial"/>
          <w:sz w:val="24"/>
          <w:szCs w:val="24"/>
        </w:rPr>
        <w:t xml:space="preserve">en </w:t>
      </w:r>
      <w:r w:rsidRPr="00D05C83">
        <w:rPr>
          <w:rFonts w:ascii="Palatino Linotype" w:hAnsi="Palatino Linotype" w:cs="Arial"/>
          <w:sz w:val="24"/>
          <w:szCs w:val="24"/>
        </w:rPr>
        <w:t>términos del artículo 185 Fracción VI de la Ley de Transparencia y Acceso a la Información Pública del Estado de México y Municipios, iniciando el término legal para dictar resolución definitiva del asunto.</w:t>
      </w:r>
      <w:r>
        <w:rPr>
          <w:rFonts w:ascii="Palatino Linotype" w:hAnsi="Palatino Linotype" w:cs="Arial"/>
          <w:sz w:val="24"/>
          <w:szCs w:val="24"/>
        </w:rPr>
        <w:t xml:space="preserve"> </w:t>
      </w:r>
    </w:p>
    <w:p w14:paraId="1A86EB3B" w14:textId="7DAABAAE" w:rsidR="00712E3A" w:rsidRDefault="00FC16E9" w:rsidP="0074759E">
      <w:pPr>
        <w:spacing w:before="240" w:line="360" w:lineRule="auto"/>
        <w:jc w:val="both"/>
        <w:rPr>
          <w:rFonts w:ascii="Palatino Linotype" w:hAnsi="Palatino Linotype" w:cs="Arial"/>
          <w:sz w:val="24"/>
          <w:szCs w:val="24"/>
        </w:rPr>
      </w:pPr>
      <w:r>
        <w:rPr>
          <w:rFonts w:ascii="Palatino Linotype" w:hAnsi="Palatino Linotype" w:cs="Arial"/>
          <w:sz w:val="24"/>
          <w:szCs w:val="24"/>
        </w:rPr>
        <w:t>.</w:t>
      </w:r>
    </w:p>
    <w:p w14:paraId="44FAF6A6" w14:textId="77777777" w:rsidR="007E4FA1" w:rsidRPr="005D0901" w:rsidRDefault="007E4FA1" w:rsidP="007E4FA1">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AD50B54" w14:textId="77777777" w:rsidR="007E4FA1" w:rsidRDefault="007E4FA1" w:rsidP="007E4FA1">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243672E7" w14:textId="77777777" w:rsidR="00B74E97" w:rsidRDefault="00B74E97" w:rsidP="00B74E97">
      <w:pPr>
        <w:spacing w:before="240" w:line="360" w:lineRule="auto"/>
        <w:jc w:val="both"/>
        <w:rPr>
          <w:rFonts w:ascii="Palatino Linotype" w:eastAsia="Calibri" w:hAnsi="Palatino Linotype" w:cs="Arial"/>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lastRenderedPageBreak/>
        <w:t>Reglamento Interior del Instituto de Transparencia, Acceso a la Información Pública y Protección de Datos Personales del Estado de México y Municipios.</w:t>
      </w:r>
    </w:p>
    <w:p w14:paraId="57E2D578" w14:textId="77777777" w:rsidR="00B74E97" w:rsidRDefault="00B74E97" w:rsidP="00B74E97">
      <w:pPr>
        <w:pStyle w:val="Prrafodelista"/>
        <w:autoSpaceDE w:val="0"/>
        <w:autoSpaceDN w:val="0"/>
        <w:adjustRightInd w:val="0"/>
        <w:spacing w:before="240" w:after="160" w:line="360" w:lineRule="auto"/>
        <w:ind w:left="0"/>
        <w:jc w:val="both"/>
        <w:rPr>
          <w:rFonts w:ascii="Palatino Linotype" w:hAnsi="Palatino Linotype" w:cs="Arial"/>
          <w:b/>
          <w:sz w:val="28"/>
        </w:rPr>
      </w:pPr>
    </w:p>
    <w:p w14:paraId="3424365C" w14:textId="77777777" w:rsidR="00B74E97" w:rsidRDefault="00B74E97" w:rsidP="00B74E97">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6C46321F" w14:textId="77777777" w:rsidR="00B74E97" w:rsidRDefault="00B74E97" w:rsidP="00B74E97">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55BBE985" w14:textId="53D5DE3C" w:rsidR="007E4FA1" w:rsidRDefault="007E4FA1" w:rsidP="003A6975">
      <w:pPr>
        <w:spacing w:before="240" w:line="360" w:lineRule="auto"/>
        <w:jc w:val="both"/>
        <w:rPr>
          <w:rFonts w:ascii="Palatino Linotype" w:hAnsi="Palatino Linotype" w:cs="Arial"/>
          <w:sz w:val="24"/>
          <w:szCs w:val="24"/>
          <w:lang w:val="es-ES"/>
        </w:rPr>
      </w:pPr>
    </w:p>
    <w:p w14:paraId="09F50636" w14:textId="77777777" w:rsidR="00B74E97" w:rsidRDefault="00B74E97" w:rsidP="00B74E97">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9510B5">
        <w:rPr>
          <w:rFonts w:ascii="Palatino Linotype" w:hAnsi="Palatino Linotype" w:cs="Arial"/>
          <w:b/>
        </w:rPr>
        <w:t xml:space="preserve">. </w:t>
      </w:r>
      <w:r w:rsidRPr="009510B5">
        <w:rPr>
          <w:rFonts w:ascii="Palatino Linotype" w:hAnsi="Palatino Linotype" w:cs="Arial"/>
          <w:b/>
          <w:sz w:val="28"/>
          <w:szCs w:val="28"/>
        </w:rPr>
        <w:t>Del estudio de las causas de improcedencia y sobreseimiento</w:t>
      </w:r>
    </w:p>
    <w:p w14:paraId="17FBE970" w14:textId="77777777" w:rsidR="00B74E97" w:rsidRDefault="00B74E97" w:rsidP="00B74E97">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 menester resaltar que en el procedimiento de acceso a la información pública y de los medios de impugnación de la materia, se advierten diversos supuestos de </w:t>
      </w:r>
      <w:proofErr w:type="spellStart"/>
      <w:r>
        <w:rPr>
          <w:rFonts w:ascii="Palatino Linotype" w:hAnsi="Palatino Linotype" w:cs="Arial"/>
        </w:rPr>
        <w:t>procedibilidad</w:t>
      </w:r>
      <w:proofErr w:type="spellEnd"/>
      <w:r>
        <w:rPr>
          <w:rFonts w:ascii="Palatino Linotype" w:hAnsi="Palatino Linotype" w:cs="Arial"/>
        </w:rPr>
        <w:t xml:space="preserve"> que deben estudiarse con la finalidad de dar cumplimiento a los principios de legalidad y objetividad inmersos en el artículo 9 de </w:t>
      </w:r>
      <w:r w:rsidRPr="00025A37">
        <w:rPr>
          <w:rFonts w:ascii="Palatino Linotype" w:hAnsi="Palatino Linotype" w:cs="Arial"/>
        </w:rPr>
        <w:t xml:space="preserve">Ley de Transparencia </w:t>
      </w:r>
      <w:r w:rsidRPr="00025A37">
        <w:rPr>
          <w:rFonts w:ascii="Palatino Linotype" w:hAnsi="Palatino Linotype" w:cs="Arial"/>
        </w:rPr>
        <w:lastRenderedPageBreak/>
        <w:t>y Acceso a la Información Pública del Estado de México y Municipios</w:t>
      </w:r>
      <w:r>
        <w:rPr>
          <w:rFonts w:ascii="Palatino Linotype" w:hAnsi="Palatino Linotype" w:cs="Arial"/>
        </w:rPr>
        <w:t>, en correlación con la seguridad jurídica que debe generar lo actuado ante este Organismo garante.</w:t>
      </w:r>
    </w:p>
    <w:p w14:paraId="36371A6C" w14:textId="77777777" w:rsidR="00B74E97" w:rsidRDefault="00B74E97" w:rsidP="00B74E97">
      <w:pPr>
        <w:pStyle w:val="Prrafodelista"/>
        <w:autoSpaceDE w:val="0"/>
        <w:autoSpaceDN w:val="0"/>
        <w:adjustRightInd w:val="0"/>
        <w:spacing w:line="360" w:lineRule="auto"/>
        <w:ind w:left="0"/>
        <w:jc w:val="both"/>
        <w:rPr>
          <w:rFonts w:ascii="Palatino Linotype" w:hAnsi="Palatino Linotype" w:cs="Arial"/>
        </w:rPr>
      </w:pPr>
    </w:p>
    <w:p w14:paraId="7AFD6591" w14:textId="77777777" w:rsidR="00B74E97" w:rsidRDefault="00B74E97" w:rsidP="00B74E97">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una facultad legal entrar al estudio de las causas de improcedencia que hagan valer las partes o que se adviertan de oficio por este </w:t>
      </w:r>
      <w:proofErr w:type="spellStart"/>
      <w:r>
        <w:rPr>
          <w:rFonts w:ascii="Palatino Linotype" w:hAnsi="Palatino Linotype" w:cs="Arial"/>
        </w:rPr>
        <w:t>Resolutor</w:t>
      </w:r>
      <w:proofErr w:type="spellEnd"/>
      <w:r>
        <w:rPr>
          <w:rFonts w:ascii="Palatino Linotype" w:hAnsi="Palatino Linotype" w:cs="Arial"/>
        </w:rPr>
        <w:t xml:space="preserve">; presupuestos procesales de inicio o trámite de un proceso que dotan de seguridad jurídica la resolución emitida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w:t>
      </w:r>
      <w:r w:rsidRPr="00FC0BF5">
        <w:rPr>
          <w:rFonts w:ascii="Palatino Linotype" w:hAnsi="Palatino Linotype" w:cs="Arial"/>
        </w:rPr>
        <w:t>Estudio de causales de</w:t>
      </w:r>
      <w:r>
        <w:rPr>
          <w:rFonts w:ascii="Palatino Linotype" w:hAnsi="Palatino Linotype" w:cs="Arial"/>
        </w:rPr>
        <w:t xml:space="preserve"> improcedencia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662E5EB0" w14:textId="77777777" w:rsidR="00B74E97" w:rsidRDefault="00B74E97" w:rsidP="00B74E97">
      <w:pPr>
        <w:autoSpaceDE w:val="0"/>
        <w:autoSpaceDN w:val="0"/>
        <w:adjustRightInd w:val="0"/>
        <w:spacing w:line="360" w:lineRule="auto"/>
        <w:jc w:val="both"/>
        <w:rPr>
          <w:rFonts w:ascii="Palatino Linotype" w:hAnsi="Palatino Linotype" w:cs="Arial"/>
          <w:sz w:val="24"/>
          <w:szCs w:val="24"/>
        </w:rPr>
      </w:pPr>
      <w:r w:rsidRPr="00552846">
        <w:rPr>
          <w:rFonts w:ascii="Palatino Linotype" w:hAnsi="Palatino Linotype" w:cs="Arial"/>
          <w:sz w:val="24"/>
          <w:szCs w:val="24"/>
        </w:rPr>
        <w:t>En primer término es necesario hacer alusión a la solicitud de información ya q</w:t>
      </w:r>
      <w:r>
        <w:rPr>
          <w:rFonts w:ascii="Palatino Linotype" w:hAnsi="Palatino Linotype" w:cs="Arial"/>
          <w:sz w:val="24"/>
          <w:szCs w:val="24"/>
        </w:rPr>
        <w:t>ue de ella deriva por un lado e</w:t>
      </w:r>
      <w:r w:rsidRPr="00552846">
        <w:rPr>
          <w:rFonts w:ascii="Palatino Linotype" w:hAnsi="Palatino Linotype" w:cs="Arial"/>
          <w:sz w:val="24"/>
          <w:szCs w:val="24"/>
        </w:rPr>
        <w:t xml:space="preserve">l procedimiento de acceso a la información ante </w:t>
      </w:r>
      <w:r w:rsidRPr="00FE69D7">
        <w:rPr>
          <w:rFonts w:ascii="Palatino Linotype" w:hAnsi="Palatino Linotype" w:cs="Arial"/>
          <w:b/>
          <w:sz w:val="24"/>
          <w:szCs w:val="24"/>
        </w:rPr>
        <w:t xml:space="preserve">El Sujeto </w:t>
      </w:r>
      <w:r w:rsidRPr="00FE69D7">
        <w:rPr>
          <w:rFonts w:ascii="Palatino Linotype" w:hAnsi="Palatino Linotype" w:cs="Arial"/>
          <w:b/>
          <w:sz w:val="24"/>
          <w:szCs w:val="24"/>
        </w:rPr>
        <w:lastRenderedPageBreak/>
        <w:t>Obligado</w:t>
      </w:r>
      <w:r w:rsidRPr="00552846">
        <w:rPr>
          <w:rFonts w:ascii="Palatino Linotype" w:hAnsi="Palatino Linotype" w:cs="Arial"/>
          <w:sz w:val="24"/>
          <w:szCs w:val="24"/>
        </w:rPr>
        <w:t>, y por otro lado la materia sobre la que versara el recurso de</w:t>
      </w:r>
      <w:r>
        <w:rPr>
          <w:rFonts w:ascii="Palatino Linotype" w:hAnsi="Palatino Linotype" w:cs="Arial"/>
          <w:sz w:val="24"/>
          <w:szCs w:val="24"/>
        </w:rPr>
        <w:t xml:space="preserve"> </w:t>
      </w:r>
      <w:r w:rsidRPr="00552846">
        <w:rPr>
          <w:rFonts w:ascii="Palatino Linotype" w:hAnsi="Palatino Linotype" w:cs="Arial"/>
          <w:sz w:val="24"/>
          <w:szCs w:val="24"/>
        </w:rPr>
        <w:t>revisión ante este Órgano Garante; se resalta la innegable necesidad de</w:t>
      </w:r>
      <w:r>
        <w:rPr>
          <w:rFonts w:ascii="Palatino Linotype" w:hAnsi="Palatino Linotype" w:cs="Arial"/>
          <w:sz w:val="24"/>
          <w:szCs w:val="24"/>
        </w:rPr>
        <w:t xml:space="preserve"> </w:t>
      </w:r>
      <w:r w:rsidRPr="00552846">
        <w:rPr>
          <w:rFonts w:ascii="Palatino Linotype" w:hAnsi="Palatino Linotype" w:cs="Arial"/>
          <w:sz w:val="24"/>
          <w:szCs w:val="24"/>
        </w:rPr>
        <w:t>interpretar el texto de las solicitud, porque no se podría entender el derecho de</w:t>
      </w:r>
      <w:r>
        <w:rPr>
          <w:rFonts w:ascii="Palatino Linotype" w:hAnsi="Palatino Linotype" w:cs="Arial"/>
          <w:sz w:val="24"/>
          <w:szCs w:val="24"/>
        </w:rPr>
        <w:t xml:space="preserve"> </w:t>
      </w:r>
      <w:r w:rsidRPr="00552846">
        <w:rPr>
          <w:rFonts w:ascii="Palatino Linotype" w:hAnsi="Palatino Linotype" w:cs="Arial"/>
          <w:sz w:val="24"/>
          <w:szCs w:val="24"/>
        </w:rPr>
        <w:t>acceso a la información sin la existencia de solicitudes de información a la luz de</w:t>
      </w:r>
      <w:r>
        <w:rPr>
          <w:rFonts w:ascii="Palatino Linotype" w:hAnsi="Palatino Linotype" w:cs="Arial"/>
          <w:sz w:val="24"/>
          <w:szCs w:val="24"/>
        </w:rPr>
        <w:t xml:space="preserve"> </w:t>
      </w:r>
      <w:r w:rsidRPr="00552846">
        <w:rPr>
          <w:rFonts w:ascii="Palatino Linotype" w:hAnsi="Palatino Linotype" w:cs="Arial"/>
          <w:sz w:val="24"/>
          <w:szCs w:val="24"/>
        </w:rPr>
        <w:t>su interpretación ya que ésta es la fuente de la materia objeto de la transparencia</w:t>
      </w:r>
      <w:r>
        <w:rPr>
          <w:rFonts w:ascii="Palatino Linotype" w:hAnsi="Palatino Linotype" w:cs="Arial"/>
          <w:sz w:val="24"/>
          <w:szCs w:val="24"/>
        </w:rPr>
        <w:t xml:space="preserve"> </w:t>
      </w:r>
      <w:r w:rsidRPr="00552846">
        <w:rPr>
          <w:rFonts w:ascii="Palatino Linotype" w:hAnsi="Palatino Linotype" w:cs="Arial"/>
          <w:sz w:val="24"/>
          <w:szCs w:val="24"/>
        </w:rPr>
        <w:t>específica en cada recurso de revisión; es decir, no podemos establecer una</w:t>
      </w:r>
      <w:r>
        <w:rPr>
          <w:rFonts w:ascii="Palatino Linotype" w:hAnsi="Palatino Linotype" w:cs="Arial"/>
          <w:sz w:val="24"/>
          <w:szCs w:val="24"/>
        </w:rPr>
        <w:t xml:space="preserve"> </w:t>
      </w:r>
      <w:r w:rsidRPr="00552846">
        <w:rPr>
          <w:rFonts w:ascii="Palatino Linotype" w:hAnsi="Palatino Linotype" w:cs="Arial"/>
          <w:sz w:val="24"/>
          <w:szCs w:val="24"/>
        </w:rPr>
        <w:t>materia o un tema como objeto de derecho de acceso a la información, si de la</w:t>
      </w:r>
      <w:r>
        <w:rPr>
          <w:rFonts w:ascii="Palatino Linotype" w:hAnsi="Palatino Linotype" w:cs="Arial"/>
          <w:sz w:val="24"/>
          <w:szCs w:val="24"/>
        </w:rPr>
        <w:t xml:space="preserve"> </w:t>
      </w:r>
      <w:r w:rsidRPr="00552846">
        <w:rPr>
          <w:rFonts w:ascii="Palatino Linotype" w:hAnsi="Palatino Linotype" w:cs="Arial"/>
          <w:sz w:val="24"/>
          <w:szCs w:val="24"/>
        </w:rPr>
        <w:t>solicitud no se entiende o no se precisan temas o materias objetivas; por ello es</w:t>
      </w:r>
      <w:r>
        <w:rPr>
          <w:rFonts w:ascii="Palatino Linotype" w:hAnsi="Palatino Linotype" w:cs="Arial"/>
          <w:sz w:val="24"/>
          <w:szCs w:val="24"/>
        </w:rPr>
        <w:t xml:space="preserve"> </w:t>
      </w:r>
      <w:r w:rsidRPr="00552846">
        <w:rPr>
          <w:rFonts w:ascii="Palatino Linotype" w:hAnsi="Palatino Linotype" w:cs="Arial"/>
          <w:sz w:val="24"/>
          <w:szCs w:val="24"/>
        </w:rPr>
        <w:t>de notoria importancia el trabajo de interpretación que se le dé a las solicitudes de</w:t>
      </w:r>
      <w:r>
        <w:rPr>
          <w:rFonts w:ascii="Palatino Linotype" w:hAnsi="Palatino Linotype" w:cs="Arial"/>
          <w:sz w:val="24"/>
          <w:szCs w:val="24"/>
        </w:rPr>
        <w:t xml:space="preserve"> </w:t>
      </w:r>
      <w:r w:rsidRPr="00552846">
        <w:rPr>
          <w:rFonts w:ascii="Palatino Linotype" w:hAnsi="Palatino Linotype" w:cs="Arial"/>
          <w:sz w:val="24"/>
          <w:szCs w:val="24"/>
        </w:rPr>
        <w:t>información, ya que el sujeto obligado puede considerar una circunstancia en</w:t>
      </w:r>
      <w:r>
        <w:rPr>
          <w:rFonts w:ascii="Palatino Linotype" w:hAnsi="Palatino Linotype" w:cs="Arial"/>
          <w:sz w:val="24"/>
          <w:szCs w:val="24"/>
        </w:rPr>
        <w:t xml:space="preserve"> </w:t>
      </w:r>
      <w:r w:rsidRPr="00552846">
        <w:rPr>
          <w:rFonts w:ascii="Palatino Linotype" w:hAnsi="Palatino Linotype" w:cs="Arial"/>
          <w:sz w:val="24"/>
          <w:szCs w:val="24"/>
        </w:rPr>
        <w:t>particular diversa a la que el particular objetivamente requiere.</w:t>
      </w:r>
    </w:p>
    <w:p w14:paraId="1BF37F40" w14:textId="77777777" w:rsidR="00B74E97" w:rsidRDefault="00B74E97" w:rsidP="00B74E97">
      <w:pPr>
        <w:autoSpaceDE w:val="0"/>
        <w:autoSpaceDN w:val="0"/>
        <w:adjustRightInd w:val="0"/>
        <w:spacing w:line="360" w:lineRule="auto"/>
        <w:jc w:val="both"/>
        <w:rPr>
          <w:rFonts w:ascii="Palatino Linotype" w:hAnsi="Palatino Linotype" w:cs="Arial"/>
          <w:sz w:val="24"/>
          <w:szCs w:val="24"/>
        </w:rPr>
      </w:pPr>
      <w:r w:rsidRPr="004B3753">
        <w:rPr>
          <w:rFonts w:ascii="Palatino Linotype" w:hAnsi="Palatino Linotype" w:cs="Arial"/>
          <w:sz w:val="24"/>
          <w:szCs w:val="24"/>
        </w:rPr>
        <w:t>Ya que el planteamiento del problema es de toral importancia, a efecto de determinar la intención o voluntad de</w:t>
      </w:r>
      <w:r>
        <w:rPr>
          <w:rFonts w:ascii="Palatino Linotype" w:hAnsi="Palatino Linotype" w:cs="Arial"/>
          <w:sz w:val="24"/>
          <w:szCs w:val="24"/>
        </w:rPr>
        <w:t>l</w:t>
      </w:r>
      <w:r>
        <w:rPr>
          <w:rFonts w:ascii="Palatino Linotype" w:hAnsi="Palatino Linotype" w:cs="Arial"/>
          <w:b/>
          <w:sz w:val="24"/>
          <w:szCs w:val="24"/>
        </w:rPr>
        <w:t xml:space="preserve"> </w:t>
      </w:r>
      <w:r w:rsidRPr="004B3753">
        <w:rPr>
          <w:rFonts w:ascii="Palatino Linotype" w:hAnsi="Palatino Linotype" w:cs="Arial"/>
          <w:b/>
          <w:sz w:val="24"/>
          <w:szCs w:val="24"/>
        </w:rPr>
        <w:t>Recurrente</w:t>
      </w:r>
      <w:r w:rsidRPr="004B3753">
        <w:rPr>
          <w:rFonts w:ascii="Palatino Linotype" w:hAnsi="Palatino Linotype" w:cs="Arial"/>
          <w:sz w:val="24"/>
          <w:szCs w:val="24"/>
        </w:rPr>
        <w:t xml:space="preserve"> a la</w:t>
      </w:r>
      <w:r>
        <w:rPr>
          <w:rFonts w:ascii="Palatino Linotype" w:hAnsi="Palatino Linotype" w:cs="Arial"/>
          <w:sz w:val="24"/>
          <w:szCs w:val="24"/>
        </w:rPr>
        <w:t xml:space="preserve"> luz de la interpretación de la solicitud</w:t>
      </w:r>
      <w:r w:rsidRPr="004B3753">
        <w:rPr>
          <w:rFonts w:ascii="Palatino Linotype" w:hAnsi="Palatino Linotype" w:cs="Arial"/>
          <w:sz w:val="24"/>
          <w:szCs w:val="24"/>
        </w:rPr>
        <w:t xml:space="preserve"> de información, y que puede genera</w:t>
      </w:r>
      <w:r>
        <w:rPr>
          <w:rFonts w:ascii="Palatino Linotype" w:hAnsi="Palatino Linotype" w:cs="Arial"/>
          <w:sz w:val="24"/>
          <w:szCs w:val="24"/>
        </w:rPr>
        <w:t xml:space="preserve">r de forma objetiva y material </w:t>
      </w:r>
      <w:r w:rsidRPr="009A18AC">
        <w:rPr>
          <w:rFonts w:ascii="Palatino Linotype" w:hAnsi="Palatino Linotype" w:cs="Arial"/>
          <w:b/>
          <w:sz w:val="24"/>
          <w:szCs w:val="24"/>
        </w:rPr>
        <w:t>El Sujeto Obligado</w:t>
      </w:r>
      <w:r w:rsidRPr="004B3753">
        <w:rPr>
          <w:rFonts w:ascii="Palatino Linotype" w:hAnsi="Palatino Linotype" w:cs="Arial"/>
          <w:sz w:val="24"/>
          <w:szCs w:val="24"/>
        </w:rPr>
        <w:t xml:space="preserve"> que se relacione con esa intención, respecto del presente asunto se realiza a continuación.</w:t>
      </w:r>
    </w:p>
    <w:p w14:paraId="21853643" w14:textId="27FAD28B" w:rsidR="00B74E97" w:rsidRDefault="00B74E97" w:rsidP="00B74E97">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Una vez sentado lo anterior, es preciso señalar que mediante la solicitud de información </w:t>
      </w:r>
      <w:r w:rsidR="00740A6E">
        <w:rPr>
          <w:rFonts w:ascii="Palatino Linotype" w:hAnsi="Palatino Linotype"/>
          <w:b/>
          <w:bCs/>
          <w:color w:val="000000"/>
          <w:sz w:val="24"/>
          <w:szCs w:val="24"/>
        </w:rPr>
        <w:t xml:space="preserve">00573/ISSEMYM/IP/2022 </w:t>
      </w:r>
      <w:r w:rsidR="00740A6E">
        <w:rPr>
          <w:rFonts w:ascii="Palatino Linotype" w:hAnsi="Palatino Linotype"/>
          <w:color w:val="000000"/>
          <w:sz w:val="24"/>
          <w:szCs w:val="24"/>
        </w:rPr>
        <w:t xml:space="preserve">fueron formulados </w:t>
      </w:r>
      <w:r w:rsidR="00740A6E">
        <w:rPr>
          <w:rFonts w:ascii="Palatino Linotype" w:hAnsi="Palatino Linotype"/>
          <w:b/>
          <w:bCs/>
          <w:color w:val="000000"/>
          <w:sz w:val="24"/>
          <w:szCs w:val="24"/>
        </w:rPr>
        <w:t xml:space="preserve">2 -dos- </w:t>
      </w:r>
      <w:r w:rsidR="00740A6E">
        <w:rPr>
          <w:rFonts w:ascii="Palatino Linotype" w:hAnsi="Palatino Linotype"/>
          <w:color w:val="000000"/>
          <w:sz w:val="24"/>
          <w:szCs w:val="24"/>
        </w:rPr>
        <w:t>requerimientos, respecto de los cuales se desprenden las siguientes consideraciones:</w:t>
      </w:r>
    </w:p>
    <w:p w14:paraId="5C6BEC45" w14:textId="509964E1" w:rsidR="00740A6E" w:rsidRDefault="00740A6E" w:rsidP="006C6696">
      <w:pPr>
        <w:pStyle w:val="Prrafodelista"/>
        <w:numPr>
          <w:ilvl w:val="0"/>
          <w:numId w:val="7"/>
        </w:numPr>
        <w:spacing w:line="360" w:lineRule="auto"/>
        <w:jc w:val="both"/>
        <w:rPr>
          <w:rFonts w:ascii="Palatino Linotype" w:hAnsi="Palatino Linotype"/>
          <w:color w:val="000000"/>
        </w:rPr>
      </w:pPr>
      <w:r>
        <w:rPr>
          <w:rFonts w:ascii="Palatino Linotype" w:hAnsi="Palatino Linotype"/>
          <w:color w:val="000000"/>
        </w:rPr>
        <w:t xml:space="preserve">Que </w:t>
      </w:r>
      <w:r w:rsidR="006C6696">
        <w:rPr>
          <w:rFonts w:ascii="Palatino Linotype" w:hAnsi="Palatino Linotype"/>
          <w:color w:val="000000"/>
        </w:rPr>
        <w:t xml:space="preserve">con relación al numeral </w:t>
      </w:r>
      <w:r w:rsidR="006C6696">
        <w:rPr>
          <w:rFonts w:ascii="Palatino Linotype" w:hAnsi="Palatino Linotype"/>
          <w:b/>
          <w:bCs/>
          <w:color w:val="000000"/>
        </w:rPr>
        <w:t xml:space="preserve">1 -uno- </w:t>
      </w:r>
      <w:r w:rsidR="006C6696">
        <w:rPr>
          <w:rFonts w:ascii="Palatino Linotype" w:hAnsi="Palatino Linotype"/>
          <w:color w:val="000000"/>
        </w:rPr>
        <w:t xml:space="preserve">el particular fue omiso en delimitar elemento temporal, debiendo de ser fijado al treinta de junio del presente, al corresponder a la fecha en que se ejerció el derecho de acceso a la información. </w:t>
      </w:r>
    </w:p>
    <w:p w14:paraId="27BFE5CE" w14:textId="294AC484" w:rsidR="00533C5F" w:rsidRDefault="00533C5F" w:rsidP="006C6696">
      <w:pPr>
        <w:pStyle w:val="Prrafodelista"/>
        <w:numPr>
          <w:ilvl w:val="0"/>
          <w:numId w:val="7"/>
        </w:numPr>
        <w:spacing w:line="360" w:lineRule="auto"/>
        <w:jc w:val="both"/>
        <w:rPr>
          <w:rFonts w:ascii="Palatino Linotype" w:hAnsi="Palatino Linotype"/>
          <w:color w:val="000000"/>
        </w:rPr>
      </w:pPr>
      <w:r>
        <w:rPr>
          <w:rFonts w:ascii="Palatino Linotype" w:hAnsi="Palatino Linotype"/>
          <w:color w:val="000000"/>
        </w:rPr>
        <w:t xml:space="preserve">Que en referencia al numeral </w:t>
      </w:r>
      <w:r>
        <w:rPr>
          <w:rFonts w:ascii="Palatino Linotype" w:hAnsi="Palatino Linotype"/>
          <w:b/>
          <w:bCs/>
          <w:color w:val="000000"/>
        </w:rPr>
        <w:t xml:space="preserve">2 -dos-, </w:t>
      </w:r>
      <w:r>
        <w:rPr>
          <w:rFonts w:ascii="Palatino Linotype" w:hAnsi="Palatino Linotype"/>
          <w:color w:val="000000"/>
        </w:rPr>
        <w:t xml:space="preserve">el ciudadano señaló como temporalidad </w:t>
      </w:r>
      <w:r>
        <w:rPr>
          <w:rFonts w:ascii="Palatino Linotype" w:hAnsi="Palatino Linotype"/>
          <w:i/>
          <w:iCs/>
          <w:color w:val="000000"/>
        </w:rPr>
        <w:t>“</w:t>
      </w:r>
      <w:r w:rsidR="000D033B">
        <w:rPr>
          <w:rFonts w:ascii="Palatino Linotype" w:hAnsi="Palatino Linotype"/>
          <w:i/>
          <w:iCs/>
          <w:color w:val="000000"/>
        </w:rPr>
        <w:t xml:space="preserve">de manera mensual”. </w:t>
      </w:r>
      <w:r w:rsidR="000D033B">
        <w:rPr>
          <w:rFonts w:ascii="Palatino Linotype" w:hAnsi="Palatino Linotype"/>
          <w:color w:val="000000"/>
        </w:rPr>
        <w:t xml:space="preserve">Bajo este contexto, el elemento temporal corresponde al </w:t>
      </w:r>
      <w:r w:rsidR="000D033B">
        <w:rPr>
          <w:rFonts w:ascii="Palatino Linotype" w:hAnsi="Palatino Linotype"/>
          <w:color w:val="000000"/>
        </w:rPr>
        <w:lastRenderedPageBreak/>
        <w:t xml:space="preserve">mes de junio de dos mil veintidós, al corresponder al ulterior mes transcurrido al momento de ejercer el derecho de acceso a la información pública. </w:t>
      </w:r>
    </w:p>
    <w:p w14:paraId="3461D485" w14:textId="712C1684" w:rsidR="008D1B5C" w:rsidRDefault="008D1B5C" w:rsidP="008D1B5C">
      <w:pPr>
        <w:spacing w:line="360" w:lineRule="auto"/>
        <w:jc w:val="both"/>
        <w:rPr>
          <w:rFonts w:ascii="Palatino Linotype" w:hAnsi="Palatino Linotype"/>
          <w:color w:val="000000"/>
        </w:rPr>
      </w:pPr>
    </w:p>
    <w:p w14:paraId="0ED7E6FC" w14:textId="167A22E0" w:rsidR="008D1B5C" w:rsidRPr="0051062B" w:rsidRDefault="008D1B5C" w:rsidP="008D1B5C">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t xml:space="preserve">Dichas precisiones, </w:t>
      </w:r>
      <w:r w:rsidRPr="0051062B">
        <w:rPr>
          <w:rFonts w:ascii="Palatino Linotype" w:hAnsi="Palatino Linotype"/>
          <w:sz w:val="24"/>
          <w:szCs w:val="24"/>
        </w:rPr>
        <w:t xml:space="preserve">con fundamento en los artículos 13 y 181 cuarto párrafo de la Ley en materia, los cuales a la letra rezan: </w:t>
      </w:r>
    </w:p>
    <w:p w14:paraId="0BC50720" w14:textId="77777777" w:rsidR="008D1B5C" w:rsidRPr="0051062B" w:rsidRDefault="008D1B5C" w:rsidP="008D1B5C">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20AF053C" w14:textId="77777777" w:rsidR="008D1B5C" w:rsidRPr="0051062B" w:rsidRDefault="008D1B5C" w:rsidP="008D1B5C">
      <w:pPr>
        <w:pStyle w:val="Citas"/>
        <w:rPr>
          <w:b/>
        </w:rPr>
      </w:pPr>
      <w:r w:rsidRPr="0051062B">
        <w:rPr>
          <w:b/>
        </w:rPr>
        <w:t xml:space="preserve">Artículo 181. … </w:t>
      </w:r>
    </w:p>
    <w:p w14:paraId="75688185" w14:textId="77777777" w:rsidR="008D1B5C" w:rsidRPr="0051062B" w:rsidRDefault="008D1B5C" w:rsidP="008D1B5C">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4368C03C" w14:textId="3AB86D36" w:rsidR="008D1B5C" w:rsidRDefault="008D1B5C" w:rsidP="008D1B5C">
      <w:pPr>
        <w:spacing w:line="360" w:lineRule="auto"/>
        <w:jc w:val="both"/>
        <w:rPr>
          <w:rFonts w:ascii="Palatino Linotype" w:hAnsi="Palatino Linotype"/>
          <w:color w:val="000000"/>
        </w:rPr>
      </w:pPr>
    </w:p>
    <w:p w14:paraId="08BDC004" w14:textId="77777777" w:rsidR="005317B6" w:rsidRDefault="005317B6" w:rsidP="005317B6">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el ahora </w:t>
      </w:r>
      <w:r>
        <w:rPr>
          <w:rFonts w:ascii="Palatino Linotype" w:hAnsi="Palatino Linotype"/>
          <w:b/>
          <w:sz w:val="24"/>
          <w:szCs w:val="24"/>
        </w:rPr>
        <w:t xml:space="preserve">Recurrente, </w:t>
      </w:r>
      <w:r>
        <w:rPr>
          <w:rFonts w:ascii="Palatino Linotype" w:hAnsi="Palatino Linotype"/>
          <w:sz w:val="24"/>
          <w:szCs w:val="24"/>
        </w:rPr>
        <w:t>de manera objetiva se precisa que versa en conocer, la siguiente información:</w:t>
      </w:r>
    </w:p>
    <w:p w14:paraId="2C6E3FB4" w14:textId="65986CB7" w:rsidR="008D1B5C" w:rsidRDefault="005317B6" w:rsidP="005317B6">
      <w:pPr>
        <w:pStyle w:val="Prrafodelista"/>
        <w:numPr>
          <w:ilvl w:val="0"/>
          <w:numId w:val="9"/>
        </w:numPr>
        <w:spacing w:line="360" w:lineRule="auto"/>
        <w:jc w:val="both"/>
        <w:rPr>
          <w:rFonts w:ascii="Palatino Linotype" w:hAnsi="Palatino Linotype"/>
          <w:color w:val="000000"/>
        </w:rPr>
      </w:pPr>
      <w:r>
        <w:rPr>
          <w:rFonts w:ascii="Palatino Linotype" w:hAnsi="Palatino Linotype"/>
          <w:color w:val="000000"/>
        </w:rPr>
        <w:t xml:space="preserve">El o los documentos donde conste el nombre del personal </w:t>
      </w:r>
      <w:proofErr w:type="spellStart"/>
      <w:r>
        <w:rPr>
          <w:rFonts w:ascii="Palatino Linotype" w:hAnsi="Palatino Linotype"/>
          <w:color w:val="000000"/>
        </w:rPr>
        <w:t>medico</w:t>
      </w:r>
      <w:proofErr w:type="spellEnd"/>
      <w:r>
        <w:rPr>
          <w:rFonts w:ascii="Palatino Linotype" w:hAnsi="Palatino Linotype"/>
          <w:color w:val="000000"/>
        </w:rPr>
        <w:t xml:space="preserve"> </w:t>
      </w:r>
      <w:r w:rsidR="00D315FD">
        <w:rPr>
          <w:rFonts w:ascii="Palatino Linotype" w:hAnsi="Palatino Linotype"/>
          <w:color w:val="000000"/>
        </w:rPr>
        <w:t>de</w:t>
      </w:r>
      <w:r>
        <w:rPr>
          <w:rFonts w:ascii="Palatino Linotype" w:hAnsi="Palatino Linotype"/>
          <w:color w:val="000000"/>
        </w:rPr>
        <w:t xml:space="preserve"> base y contrato adscrito al Centro Oncológico José Luis Barrera Franco, al treinta de junio de dos mil veintidós. </w:t>
      </w:r>
    </w:p>
    <w:p w14:paraId="1EDFE14B" w14:textId="74518BDE" w:rsidR="005317B6" w:rsidRPr="005317B6" w:rsidRDefault="00D315FD" w:rsidP="005317B6">
      <w:pPr>
        <w:pStyle w:val="Prrafodelista"/>
        <w:numPr>
          <w:ilvl w:val="0"/>
          <w:numId w:val="9"/>
        </w:numPr>
        <w:spacing w:line="360" w:lineRule="auto"/>
        <w:jc w:val="both"/>
        <w:rPr>
          <w:rFonts w:ascii="Palatino Linotype" w:hAnsi="Palatino Linotype"/>
          <w:color w:val="000000"/>
        </w:rPr>
      </w:pPr>
      <w:r>
        <w:rPr>
          <w:rFonts w:ascii="Palatino Linotype" w:hAnsi="Palatino Linotype"/>
          <w:color w:val="000000"/>
        </w:rPr>
        <w:lastRenderedPageBreak/>
        <w:t xml:space="preserve">El o los documentos donde conste el salario mensual del personal </w:t>
      </w:r>
      <w:proofErr w:type="spellStart"/>
      <w:r>
        <w:rPr>
          <w:rFonts w:ascii="Palatino Linotype" w:hAnsi="Palatino Linotype"/>
          <w:color w:val="000000"/>
        </w:rPr>
        <w:t>medico</w:t>
      </w:r>
      <w:proofErr w:type="spellEnd"/>
      <w:r>
        <w:rPr>
          <w:rFonts w:ascii="Palatino Linotype" w:hAnsi="Palatino Linotype"/>
          <w:color w:val="000000"/>
        </w:rPr>
        <w:t xml:space="preserve"> de base y contrato adscrito al Centro Oncológico José Luis Barrera Franco, correspondientes al mes de junio de dos mil veintidós.  </w:t>
      </w:r>
    </w:p>
    <w:p w14:paraId="25C19759" w14:textId="77777777" w:rsidR="008D1B5C" w:rsidRPr="008D1B5C" w:rsidRDefault="008D1B5C" w:rsidP="008D1B5C">
      <w:pPr>
        <w:spacing w:line="360" w:lineRule="auto"/>
        <w:jc w:val="both"/>
        <w:rPr>
          <w:rFonts w:ascii="Palatino Linotype" w:hAnsi="Palatino Linotype"/>
          <w:color w:val="000000"/>
        </w:rPr>
      </w:pPr>
    </w:p>
    <w:p w14:paraId="469E3D18" w14:textId="528F75D5" w:rsidR="007E4FA1" w:rsidRDefault="009062EB" w:rsidP="00266AE6">
      <w:pPr>
        <w:pStyle w:val="Sinespaciado"/>
        <w:spacing w:line="360" w:lineRule="auto"/>
        <w:jc w:val="both"/>
        <w:rPr>
          <w:rFonts w:ascii="Palatino Linotype" w:hAnsi="Palatino Linotype"/>
          <w:b/>
          <w:bCs/>
        </w:rPr>
      </w:pPr>
      <w:r>
        <w:rPr>
          <w:rFonts w:ascii="Palatino Linotype" w:hAnsi="Palatino Linotype"/>
        </w:rPr>
        <w:t>En virtud de lo anterior</w:t>
      </w:r>
      <w:r w:rsidR="00FC5F74">
        <w:rPr>
          <w:rFonts w:ascii="Palatino Linotype" w:hAnsi="Palatino Linotype"/>
        </w:rPr>
        <w:t xml:space="preserve">, a efecto de identificar a las unidades administrativas competentes para atender la solicitud de información </w:t>
      </w:r>
      <w:r w:rsidR="00FC5F74">
        <w:rPr>
          <w:rFonts w:ascii="Palatino Linotype" w:hAnsi="Palatino Linotype"/>
          <w:b/>
          <w:bCs/>
        </w:rPr>
        <w:t xml:space="preserve">00573/ISSEMYM/IP/2022 </w:t>
      </w:r>
      <w:r w:rsidR="00FC5F74">
        <w:rPr>
          <w:rFonts w:ascii="Palatino Linotype" w:hAnsi="Palatino Linotype"/>
        </w:rPr>
        <w:t xml:space="preserve">resulta oportuno traer a colación las siguientes imágenes ilustrativas correspondientes al organigrama del </w:t>
      </w:r>
      <w:r w:rsidR="00FC5F74">
        <w:rPr>
          <w:rFonts w:ascii="Palatino Linotype" w:hAnsi="Palatino Linotype"/>
          <w:b/>
          <w:bCs/>
        </w:rPr>
        <w:t xml:space="preserve">Sujeto Obligado: </w:t>
      </w:r>
    </w:p>
    <w:p w14:paraId="21DFD7F4" w14:textId="4F3B3D97" w:rsidR="00FC5F74" w:rsidRDefault="00FC5F74" w:rsidP="00266AE6">
      <w:pPr>
        <w:pStyle w:val="Sinespaciado"/>
        <w:spacing w:line="360" w:lineRule="auto"/>
        <w:jc w:val="both"/>
        <w:rPr>
          <w:rFonts w:ascii="Palatino Linotype" w:hAnsi="Palatino Linotype"/>
          <w:b/>
          <w:bCs/>
        </w:rPr>
      </w:pPr>
    </w:p>
    <w:p w14:paraId="0FD77015" w14:textId="4800C8AB" w:rsidR="00FC5F74" w:rsidRDefault="00957771" w:rsidP="00266AE6">
      <w:pPr>
        <w:pStyle w:val="Sinespaciado"/>
        <w:spacing w:line="360" w:lineRule="auto"/>
        <w:jc w:val="both"/>
        <w:rPr>
          <w:rFonts w:ascii="Palatino Linotype" w:hAnsi="Palatino Linotype"/>
          <w:b/>
          <w:bCs/>
        </w:rPr>
      </w:pPr>
      <w:r>
        <w:rPr>
          <w:rFonts w:ascii="Palatino Linotype" w:hAnsi="Palatino Linotype"/>
          <w:b/>
          <w:bCs/>
          <w:noProof/>
          <w:lang w:eastAsia="es-MX"/>
        </w:rPr>
        <w:drawing>
          <wp:anchor distT="0" distB="0" distL="114300" distR="114300" simplePos="0" relativeHeight="251760640" behindDoc="0" locked="0" layoutInCell="1" allowOverlap="1" wp14:anchorId="1C154024" wp14:editId="611F360A">
            <wp:simplePos x="0" y="0"/>
            <wp:positionH relativeFrom="column">
              <wp:posOffset>22225</wp:posOffset>
            </wp:positionH>
            <wp:positionV relativeFrom="paragraph">
              <wp:posOffset>404495</wp:posOffset>
            </wp:positionV>
            <wp:extent cx="5748655" cy="3495675"/>
            <wp:effectExtent l="19050" t="19050" r="23495" b="28575"/>
            <wp:wrapThrough wrapText="bothSides">
              <wp:wrapPolygon edited="0">
                <wp:start x="-72" y="-118"/>
                <wp:lineTo x="-72" y="21659"/>
                <wp:lineTo x="21617" y="21659"/>
                <wp:lineTo x="21617" y="-118"/>
                <wp:lineTo x="-72" y="-118"/>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8655" cy="34956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860FCA9" w14:textId="1BC9BF28" w:rsidR="00FC5F74" w:rsidRDefault="00FC5F74" w:rsidP="00266AE6">
      <w:pPr>
        <w:pStyle w:val="Sinespaciado"/>
        <w:spacing w:line="360" w:lineRule="auto"/>
        <w:jc w:val="both"/>
        <w:rPr>
          <w:rFonts w:ascii="Palatino Linotype" w:hAnsi="Palatino Linotype"/>
          <w:b/>
          <w:bCs/>
        </w:rPr>
      </w:pPr>
    </w:p>
    <w:p w14:paraId="25B71A41" w14:textId="4C79B16B" w:rsidR="00FC5F74" w:rsidRDefault="009062EB" w:rsidP="00266AE6">
      <w:pPr>
        <w:pStyle w:val="Sinespaciado"/>
        <w:spacing w:line="360" w:lineRule="auto"/>
        <w:jc w:val="both"/>
        <w:rPr>
          <w:rFonts w:ascii="Palatino Linotype" w:hAnsi="Palatino Linotype"/>
          <w:b/>
          <w:bCs/>
        </w:rPr>
      </w:pPr>
      <w:r>
        <w:rPr>
          <w:rFonts w:ascii="Palatino Linotype" w:hAnsi="Palatino Linotype"/>
          <w:b/>
          <w:bCs/>
          <w:noProof/>
          <w:lang w:eastAsia="es-MX"/>
        </w:rPr>
        <w:lastRenderedPageBreak/>
        <w:drawing>
          <wp:anchor distT="0" distB="0" distL="114300" distR="114300" simplePos="0" relativeHeight="251743228" behindDoc="0" locked="0" layoutInCell="1" allowOverlap="1" wp14:anchorId="103261D9" wp14:editId="73982A8A">
            <wp:simplePos x="0" y="0"/>
            <wp:positionH relativeFrom="column">
              <wp:posOffset>22225</wp:posOffset>
            </wp:positionH>
            <wp:positionV relativeFrom="paragraph">
              <wp:posOffset>22225</wp:posOffset>
            </wp:positionV>
            <wp:extent cx="5757545" cy="3493135"/>
            <wp:effectExtent l="19050" t="19050" r="14605" b="12065"/>
            <wp:wrapThrough wrapText="bothSides">
              <wp:wrapPolygon edited="0">
                <wp:start x="-71" y="-118"/>
                <wp:lineTo x="-71" y="21557"/>
                <wp:lineTo x="21583" y="21557"/>
                <wp:lineTo x="21583" y="-118"/>
                <wp:lineTo x="-71" y="-118"/>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7545" cy="34931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F039178" w14:textId="5F76FD9C" w:rsidR="00D315FD" w:rsidRDefault="009062EB" w:rsidP="00266AE6">
      <w:pPr>
        <w:pStyle w:val="Sinespaciado"/>
        <w:spacing w:line="360" w:lineRule="auto"/>
        <w:jc w:val="both"/>
        <w:rPr>
          <w:rFonts w:ascii="Palatino Linotype" w:hAnsi="Palatino Linotype" w:cs="Arial"/>
        </w:rPr>
      </w:pPr>
      <w:r>
        <w:rPr>
          <w:rFonts w:ascii="Palatino Linotype" w:hAnsi="Palatino Linotype" w:cs="Arial"/>
        </w:rPr>
        <w:t xml:space="preserve">Bajo este contexto, para delimitar las esferas competenciales de las unidades administrativas en cita, </w:t>
      </w:r>
      <w:r w:rsidR="007B2E78" w:rsidRPr="0066552A">
        <w:rPr>
          <w:rFonts w:ascii="Palatino Linotype" w:hAnsi="Palatino Linotype" w:cs="Arial"/>
        </w:rPr>
        <w:t xml:space="preserve"> resulta de nuestro más amplio interés </w:t>
      </w:r>
      <w:r w:rsidR="0066552A" w:rsidRPr="0066552A">
        <w:rPr>
          <w:rFonts w:ascii="Palatino Linotype" w:hAnsi="Palatino Linotype" w:cs="Arial"/>
        </w:rPr>
        <w:t xml:space="preserve">los apartados </w:t>
      </w:r>
      <w:r w:rsidR="0066552A" w:rsidRPr="0066552A">
        <w:rPr>
          <w:rFonts w:ascii="Palatino Linotype" w:hAnsi="Palatino Linotype"/>
          <w:b/>
          <w:bCs/>
        </w:rPr>
        <w:t xml:space="preserve">207C0401700000L </w:t>
      </w:r>
      <w:r w:rsidR="0066552A" w:rsidRPr="0066552A">
        <w:rPr>
          <w:rFonts w:ascii="Palatino Linotype" w:hAnsi="Palatino Linotype"/>
        </w:rPr>
        <w:t xml:space="preserve">Coordinación de Administración y Finanzas; </w:t>
      </w:r>
      <w:r w:rsidR="0066552A" w:rsidRPr="0066552A">
        <w:rPr>
          <w:rFonts w:ascii="Palatino Linotype" w:hAnsi="Palatino Linotype"/>
          <w:b/>
          <w:bCs/>
        </w:rPr>
        <w:t>207C0401700001S</w:t>
      </w:r>
      <w:r w:rsidR="0066552A" w:rsidRPr="0066552A">
        <w:rPr>
          <w:rFonts w:ascii="Palatino Linotype" w:hAnsi="Palatino Linotype"/>
        </w:rPr>
        <w:t xml:space="preserve"> Delegación Administrativa; </w:t>
      </w:r>
      <w:r w:rsidR="0066552A" w:rsidRPr="0066552A">
        <w:rPr>
          <w:rFonts w:ascii="Palatino Linotype" w:hAnsi="Palatino Linotype"/>
          <w:b/>
          <w:bCs/>
        </w:rPr>
        <w:t>207C0401740000L</w:t>
      </w:r>
      <w:r w:rsidR="0066552A">
        <w:rPr>
          <w:rFonts w:ascii="Palatino Linotype" w:hAnsi="Palatino Linotype"/>
          <w:b/>
          <w:bCs/>
        </w:rPr>
        <w:t xml:space="preserve"> </w:t>
      </w:r>
      <w:r w:rsidR="0066552A">
        <w:rPr>
          <w:rFonts w:ascii="Palatino Linotype" w:hAnsi="Palatino Linotype"/>
        </w:rPr>
        <w:t xml:space="preserve">Dirección de Administración y Desarrollo de Personal; </w:t>
      </w:r>
      <w:r w:rsidR="0066552A" w:rsidRPr="0066552A">
        <w:rPr>
          <w:rFonts w:ascii="Palatino Linotype" w:hAnsi="Palatino Linotype" w:cs="Arial"/>
          <w:b/>
          <w:bCs/>
        </w:rPr>
        <w:t>207C0401740101L</w:t>
      </w:r>
      <w:r w:rsidR="0066552A">
        <w:rPr>
          <w:rFonts w:ascii="Palatino Linotype" w:hAnsi="Palatino Linotype" w:cs="Arial"/>
          <w:b/>
          <w:bCs/>
        </w:rPr>
        <w:t xml:space="preserve"> </w:t>
      </w:r>
      <w:r w:rsidR="0066552A">
        <w:rPr>
          <w:rFonts w:ascii="Palatino Linotype" w:hAnsi="Palatino Linotype" w:cs="Arial"/>
        </w:rPr>
        <w:t>Departamento de Administración de Personal</w:t>
      </w:r>
      <w:r w:rsidR="00FC5F74">
        <w:rPr>
          <w:rFonts w:ascii="Palatino Linotype" w:hAnsi="Palatino Linotype" w:cs="Arial"/>
        </w:rPr>
        <w:t>; todos ellos del Manual General de Organización del Instituto de Seguridad Social del Estado de México y Municipios, porciones normativas que disponen a la literalidad lo siguiente:</w:t>
      </w:r>
    </w:p>
    <w:p w14:paraId="57200558" w14:textId="4A2F1FDF" w:rsidR="00656450" w:rsidRPr="00FC5F74" w:rsidRDefault="00FC5F74" w:rsidP="00FC5F74">
      <w:pPr>
        <w:pStyle w:val="Citas"/>
        <w:rPr>
          <w:b/>
          <w:bCs/>
        </w:rPr>
      </w:pPr>
      <w:r>
        <w:rPr>
          <w:b/>
          <w:bCs/>
        </w:rPr>
        <w:t>“</w:t>
      </w:r>
      <w:r w:rsidR="00656450" w:rsidRPr="00FC5F74">
        <w:rPr>
          <w:b/>
          <w:bCs/>
        </w:rPr>
        <w:t xml:space="preserve">207C0401700000L COORDINACIÓN DE ADMINISTRACIÓN Y FINANZAS </w:t>
      </w:r>
    </w:p>
    <w:p w14:paraId="1950176A" w14:textId="77777777" w:rsidR="00656450" w:rsidRDefault="00656450" w:rsidP="00FC5F74">
      <w:pPr>
        <w:pStyle w:val="Citas"/>
      </w:pPr>
      <w:r w:rsidRPr="00FC5F74">
        <w:rPr>
          <w:b/>
          <w:bCs/>
        </w:rPr>
        <w:lastRenderedPageBreak/>
        <w:t>OBJETIVO:</w:t>
      </w:r>
      <w:r>
        <w:t xml:space="preserve"> Planear, organizar, dirigir, controlar y evaluar las acciones necesarias para proporcionar a las unidades médico-administrativas del Instituto, los recursos humanos, materiales, presupuestales, financieros, control de bienes muebles e inmuebles, así como de los servicios generales que requieran para el desarrollo de sus funciones, estableciendo las políticas, normas y lineamientos internos para su ejecución. </w:t>
      </w:r>
    </w:p>
    <w:p w14:paraId="18353B1F" w14:textId="309F03A5" w:rsidR="00D315FD" w:rsidRPr="00FC5F74" w:rsidRDefault="00656450" w:rsidP="00FC5F74">
      <w:pPr>
        <w:pStyle w:val="Citas"/>
        <w:rPr>
          <w:b/>
          <w:bCs/>
        </w:rPr>
      </w:pPr>
      <w:r w:rsidRPr="00FC5F74">
        <w:rPr>
          <w:b/>
          <w:bCs/>
        </w:rPr>
        <w:t>FUNCIONES:</w:t>
      </w:r>
    </w:p>
    <w:p w14:paraId="5F5B9C05" w14:textId="16D51609" w:rsidR="00656450" w:rsidRPr="00FC5F74" w:rsidRDefault="00656450" w:rsidP="00FC5F74">
      <w:pPr>
        <w:pStyle w:val="Citas"/>
        <w:rPr>
          <w:b/>
          <w:bCs/>
        </w:rPr>
      </w:pPr>
      <w:r w:rsidRPr="00FC5F74">
        <w:rPr>
          <w:b/>
          <w:bCs/>
        </w:rPr>
        <w:t>(…)</w:t>
      </w:r>
    </w:p>
    <w:p w14:paraId="2E37026F" w14:textId="77777777" w:rsidR="00656450" w:rsidRPr="00F2126F" w:rsidRDefault="00656450" w:rsidP="00FC5F74">
      <w:pPr>
        <w:pStyle w:val="Citas"/>
        <w:rPr>
          <w:b/>
          <w:bCs/>
          <w:u w:val="single"/>
        </w:rPr>
      </w:pPr>
      <w:r w:rsidRPr="00F2126F">
        <w:rPr>
          <w:b/>
          <w:bCs/>
          <w:u w:val="single"/>
        </w:rPr>
        <w:t xml:space="preserve">Definir las políticas internas en materia de reclutamiento, selección, desarrollo y administración de personal que habrán de observarse en el Instituto, conforme a la disposición laboral vigente en la materia. </w:t>
      </w:r>
    </w:p>
    <w:p w14:paraId="07BB1EAE" w14:textId="09FDEC2A" w:rsidR="00656450" w:rsidRDefault="00656450" w:rsidP="00FC5F74">
      <w:pPr>
        <w:pStyle w:val="Citas"/>
      </w:pPr>
      <w:r>
        <w:t>Establecer, coordinar y controlar los sistemas de administración de recursos humanos del Instituto, así como vigilar el cumplimiento de las normas y procedimientos vigentes en materia de su competencia</w:t>
      </w:r>
    </w:p>
    <w:p w14:paraId="55FD598C" w14:textId="10713262" w:rsidR="00D315FD" w:rsidRPr="00FC5F74" w:rsidRDefault="00656450" w:rsidP="00FC5F74">
      <w:pPr>
        <w:pStyle w:val="Citas"/>
        <w:rPr>
          <w:b/>
          <w:bCs/>
        </w:rPr>
      </w:pPr>
      <w:r w:rsidRPr="00FC5F74">
        <w:rPr>
          <w:b/>
          <w:bCs/>
        </w:rPr>
        <w:t>(…)</w:t>
      </w:r>
    </w:p>
    <w:p w14:paraId="4260B688" w14:textId="77777777" w:rsidR="00656450" w:rsidRPr="00FC5F74" w:rsidRDefault="00656450" w:rsidP="00FC5F74">
      <w:pPr>
        <w:pStyle w:val="Citas"/>
        <w:rPr>
          <w:b/>
          <w:bCs/>
        </w:rPr>
      </w:pPr>
      <w:r w:rsidRPr="00FC5F74">
        <w:rPr>
          <w:b/>
          <w:bCs/>
        </w:rPr>
        <w:t xml:space="preserve">207C0401700001S DELEGACIÓN ADMINISTRATIVA </w:t>
      </w:r>
    </w:p>
    <w:p w14:paraId="33D5B072" w14:textId="77777777" w:rsidR="00656450" w:rsidRDefault="00656450" w:rsidP="00FC5F74">
      <w:pPr>
        <w:pStyle w:val="Citas"/>
      </w:pPr>
      <w:r w:rsidRPr="00FC5F74">
        <w:rPr>
          <w:b/>
          <w:bCs/>
        </w:rPr>
        <w:t>OBJETIVO:</w:t>
      </w:r>
      <w:r>
        <w:t xml:space="preserve"> Contribuir al cumplimiento de las funciones de la Coordinación de Administración y Finanzas, mediante la administración de los recursos humanos, financieros, materiales y servicios generales, de acuerdo a la normatividad vigente en la materia. </w:t>
      </w:r>
    </w:p>
    <w:p w14:paraId="61A69278" w14:textId="27DEE254" w:rsidR="00656450" w:rsidRPr="00FC5F74" w:rsidRDefault="00656450" w:rsidP="00FC5F74">
      <w:pPr>
        <w:pStyle w:val="Citas"/>
        <w:rPr>
          <w:b/>
          <w:bCs/>
        </w:rPr>
      </w:pPr>
      <w:r w:rsidRPr="00FC5F74">
        <w:rPr>
          <w:b/>
          <w:bCs/>
        </w:rPr>
        <w:t>FUNCIONES:</w:t>
      </w:r>
    </w:p>
    <w:p w14:paraId="2C9D6CFC" w14:textId="3D2122A5" w:rsidR="00656450" w:rsidRPr="00FC5F74" w:rsidRDefault="00F4667E" w:rsidP="00FC5F74">
      <w:pPr>
        <w:pStyle w:val="Citas"/>
        <w:rPr>
          <w:b/>
          <w:bCs/>
        </w:rPr>
      </w:pPr>
      <w:r w:rsidRPr="00FC5F74">
        <w:rPr>
          <w:b/>
          <w:bCs/>
        </w:rPr>
        <w:lastRenderedPageBreak/>
        <w:t>(…)</w:t>
      </w:r>
    </w:p>
    <w:p w14:paraId="6C8D7DC2" w14:textId="77777777" w:rsidR="00F4667E" w:rsidRDefault="00F4667E" w:rsidP="00FC5F74">
      <w:pPr>
        <w:pStyle w:val="Citas"/>
      </w:pPr>
      <w:r>
        <w:t xml:space="preserve">Gestionar, ante las instancias correspondientes, el suministro de los recursos humanos y servicios generales para el funcionamiento de las unidades administrativas que conforman la Coordinación, así como supervisar el uso racional de los mismos. </w:t>
      </w:r>
    </w:p>
    <w:p w14:paraId="3B3AE53D" w14:textId="0B1E7E28" w:rsidR="00F4667E" w:rsidRPr="00F2126F" w:rsidRDefault="00F4667E" w:rsidP="00FC5F74">
      <w:pPr>
        <w:pStyle w:val="Citas"/>
        <w:rPr>
          <w:b/>
          <w:bCs/>
          <w:u w:val="single"/>
        </w:rPr>
      </w:pPr>
      <w:r w:rsidRPr="00F2126F">
        <w:rPr>
          <w:b/>
          <w:bCs/>
          <w:u w:val="single"/>
        </w:rPr>
        <w:t>Tramitar los movimientos de altas, bajas, cambios, promociones, licencias, pago de remuneraciones y demás incidencias del personal adscrito a la Coordinación, con objeto de dar cumplimiento a la normatividad establecida en materia de recursos humanos.</w:t>
      </w:r>
    </w:p>
    <w:p w14:paraId="2BDA6F9E" w14:textId="7D442DDE" w:rsidR="00F4667E" w:rsidRPr="00FC5F74" w:rsidRDefault="00F4667E" w:rsidP="00FC5F74">
      <w:pPr>
        <w:pStyle w:val="Citas"/>
      </w:pPr>
      <w:r w:rsidRPr="00FC5F74">
        <w:t>(…)</w:t>
      </w:r>
    </w:p>
    <w:p w14:paraId="4BFAF6F0" w14:textId="77777777" w:rsidR="00F4667E" w:rsidRPr="00FC5F74" w:rsidRDefault="00F4667E" w:rsidP="00FC5F74">
      <w:pPr>
        <w:pStyle w:val="Citas"/>
        <w:rPr>
          <w:b/>
          <w:bCs/>
        </w:rPr>
      </w:pPr>
      <w:r w:rsidRPr="00FC5F74">
        <w:rPr>
          <w:b/>
          <w:bCs/>
        </w:rPr>
        <w:t xml:space="preserve">207C0401740000L DIRECCIÓN DE ADMINISTRACIÓN Y DESARROLLO DE PERSONAL </w:t>
      </w:r>
    </w:p>
    <w:p w14:paraId="3BA08A85" w14:textId="75E03B50" w:rsidR="00F4667E" w:rsidRDefault="00F4667E" w:rsidP="00FC5F74">
      <w:pPr>
        <w:pStyle w:val="Citas"/>
      </w:pPr>
      <w:r w:rsidRPr="00FC5F74">
        <w:rPr>
          <w:b/>
          <w:bCs/>
        </w:rPr>
        <w:t>OBJETIVO:</w:t>
      </w:r>
      <w:r>
        <w:t xml:space="preserve"> Administrar y controlar el capital humano del Instituto, mediante la implantación y operación de sistemas organizacionales y procesos administrativos que permitan su desarrollo y aprovechamiento, con estricto apego a los lineamientos normativos y reglamentarios establecidos en la materia.</w:t>
      </w:r>
    </w:p>
    <w:p w14:paraId="36505C02" w14:textId="26D17CFC" w:rsidR="00F4667E" w:rsidRPr="00FC5F74" w:rsidRDefault="00F4667E" w:rsidP="00FC5F74">
      <w:pPr>
        <w:pStyle w:val="Citas"/>
        <w:rPr>
          <w:b/>
          <w:bCs/>
        </w:rPr>
      </w:pPr>
      <w:r w:rsidRPr="00FC5F74">
        <w:rPr>
          <w:b/>
          <w:bCs/>
        </w:rPr>
        <w:t>FUNCIONES:</w:t>
      </w:r>
    </w:p>
    <w:p w14:paraId="4DB49621" w14:textId="0580A0BB" w:rsidR="00F4667E" w:rsidRDefault="0066552A" w:rsidP="00FC5F74">
      <w:pPr>
        <w:pStyle w:val="Citas"/>
      </w:pPr>
      <w:r>
        <w:t>(…)</w:t>
      </w:r>
    </w:p>
    <w:p w14:paraId="3F6AA85B" w14:textId="28C4B44B" w:rsidR="0066552A" w:rsidRDefault="0066552A" w:rsidP="00FC5F74">
      <w:pPr>
        <w:pStyle w:val="Citas"/>
      </w:pPr>
      <w:r>
        <w:t xml:space="preserve">Definir, establecer y evaluar políticas y procedimientos para el reclutamiento, selección y contratación de personal. </w:t>
      </w:r>
    </w:p>
    <w:p w14:paraId="32A2CC26" w14:textId="0D8FCCAB" w:rsidR="0066552A" w:rsidRDefault="0066552A" w:rsidP="00FC5F74">
      <w:pPr>
        <w:pStyle w:val="Citas"/>
      </w:pPr>
      <w:r>
        <w:lastRenderedPageBreak/>
        <w:t>Autorizar los movimientos de altas, bajas y promociones de las y los servidores públicos del Instituto, de conformidad con las disposiciones legales en la materia.</w:t>
      </w:r>
    </w:p>
    <w:p w14:paraId="44D517EA" w14:textId="235D3A4A" w:rsidR="0066552A" w:rsidRDefault="0066552A" w:rsidP="00FC5F74">
      <w:pPr>
        <w:pStyle w:val="Citas"/>
      </w:pPr>
      <w:r>
        <w:t>(…)</w:t>
      </w:r>
    </w:p>
    <w:p w14:paraId="4A91EA72" w14:textId="2BD3D308" w:rsidR="0066552A" w:rsidRPr="00F2126F" w:rsidRDefault="0066552A" w:rsidP="00FC5F74">
      <w:pPr>
        <w:pStyle w:val="Citas"/>
        <w:rPr>
          <w:b/>
          <w:bCs/>
          <w:u w:val="single"/>
        </w:rPr>
      </w:pPr>
      <w:r w:rsidRPr="00F2126F">
        <w:rPr>
          <w:b/>
          <w:bCs/>
          <w:u w:val="single"/>
        </w:rPr>
        <w:t>Vigilar el proceso de integración y elaboración de la nómina de personal del Instituto.</w:t>
      </w:r>
    </w:p>
    <w:p w14:paraId="5B6B26AD" w14:textId="353129C9" w:rsidR="00F4667E" w:rsidRDefault="0066552A" w:rsidP="00FC5F74">
      <w:pPr>
        <w:pStyle w:val="Citas"/>
      </w:pPr>
      <w:r>
        <w:t>(…)</w:t>
      </w:r>
    </w:p>
    <w:p w14:paraId="3C07105F" w14:textId="77777777" w:rsidR="00FC5F74" w:rsidRPr="00FC5F74" w:rsidRDefault="00F4667E" w:rsidP="00FC5F74">
      <w:pPr>
        <w:pStyle w:val="Citas"/>
        <w:rPr>
          <w:b/>
          <w:bCs/>
        </w:rPr>
      </w:pPr>
      <w:r w:rsidRPr="00FC5F74">
        <w:rPr>
          <w:b/>
          <w:bCs/>
        </w:rPr>
        <w:t xml:space="preserve">207C0401740101L DEPARTAMENTO DE ADMINISTRACIÓN DE PERSONAL </w:t>
      </w:r>
    </w:p>
    <w:p w14:paraId="42A4CFF4" w14:textId="77777777" w:rsidR="00FC5F74" w:rsidRDefault="00F4667E" w:rsidP="00FC5F74">
      <w:pPr>
        <w:pStyle w:val="Citas"/>
      </w:pPr>
      <w:r w:rsidRPr="00FC5F74">
        <w:rPr>
          <w:b/>
          <w:bCs/>
        </w:rPr>
        <w:t>OBJETIVO:</w:t>
      </w:r>
      <w:r>
        <w:t xml:space="preserve"> Gestionar, ejecutar y controlar los movimientos de reclutamiento, selección, contratación, registro, control y pago al personal del Instituto, conforme a la normatividad aplicable en la materia. </w:t>
      </w:r>
    </w:p>
    <w:p w14:paraId="13E1C0D4" w14:textId="760BED8A" w:rsidR="00F4667E" w:rsidRPr="00FC5F74" w:rsidRDefault="00F4667E" w:rsidP="00FC5F74">
      <w:pPr>
        <w:pStyle w:val="Citas"/>
        <w:rPr>
          <w:b/>
          <w:bCs/>
        </w:rPr>
      </w:pPr>
      <w:r w:rsidRPr="00FC5F74">
        <w:rPr>
          <w:b/>
          <w:bCs/>
        </w:rPr>
        <w:t xml:space="preserve">FUNCIONES: </w:t>
      </w:r>
    </w:p>
    <w:p w14:paraId="358D6890" w14:textId="4130DE91" w:rsidR="00F4667E" w:rsidRDefault="00F4667E" w:rsidP="00FC5F74">
      <w:pPr>
        <w:pStyle w:val="Citas"/>
      </w:pPr>
      <w:r>
        <w:t>Efectuar los movimientos de altas, bajas, cambios de adscripción, promociones, demociones, incidencias, vacaciones, trámite de pago, entre otros del personal que labora en el Instituto.</w:t>
      </w:r>
    </w:p>
    <w:p w14:paraId="1B36AA06" w14:textId="6F93836D" w:rsidR="00F4667E" w:rsidRDefault="00F4667E" w:rsidP="00FC5F74">
      <w:pPr>
        <w:pStyle w:val="Citas"/>
      </w:pPr>
      <w:r>
        <w:t>(…)</w:t>
      </w:r>
    </w:p>
    <w:p w14:paraId="0925E396" w14:textId="0CE68FE0" w:rsidR="00F4667E" w:rsidRDefault="00F4667E" w:rsidP="00FC5F74">
      <w:pPr>
        <w:pStyle w:val="Citas"/>
        <w:rPr>
          <w:b/>
          <w:bCs/>
          <w:u w:val="single"/>
        </w:rPr>
      </w:pPr>
      <w:r w:rsidRPr="00F4667E">
        <w:rPr>
          <w:b/>
          <w:bCs/>
          <w:u w:val="single"/>
        </w:rPr>
        <w:t>Integrar y mantener actualizada la plantilla de personal que labora en el Instituto, así como elaborar y revisar la nómina de pago, de manera calendarizada, aplicando las sanciones económicas que correspondan.</w:t>
      </w:r>
    </w:p>
    <w:p w14:paraId="042A3109" w14:textId="0EE4B9CF" w:rsidR="00FC5F74" w:rsidRPr="00FC5F74" w:rsidRDefault="00FC5F74" w:rsidP="00FC5F74">
      <w:pPr>
        <w:pStyle w:val="Citas"/>
        <w:rPr>
          <w:b/>
          <w:bCs/>
        </w:rPr>
      </w:pPr>
      <w:r w:rsidRPr="00FC5F74">
        <w:t>(…)</w:t>
      </w:r>
      <w:r>
        <w:t xml:space="preserve">” </w:t>
      </w:r>
      <w:r>
        <w:rPr>
          <w:b/>
          <w:bCs/>
        </w:rPr>
        <w:t>(Sic)</w:t>
      </w:r>
    </w:p>
    <w:p w14:paraId="4A331758" w14:textId="7A1A5394" w:rsidR="00656450" w:rsidRDefault="009062EB" w:rsidP="00266AE6">
      <w:pPr>
        <w:pStyle w:val="Sinespaciado"/>
        <w:spacing w:line="360" w:lineRule="auto"/>
        <w:jc w:val="both"/>
        <w:rPr>
          <w:rFonts w:ascii="Palatino Linotype" w:hAnsi="Palatino Linotype" w:cs="Arial"/>
        </w:rPr>
      </w:pPr>
      <w:r>
        <w:rPr>
          <w:rFonts w:ascii="Palatino Linotype" w:hAnsi="Palatino Linotype" w:cs="Arial"/>
        </w:rPr>
        <w:lastRenderedPageBreak/>
        <w:t xml:space="preserve">Del análisis sistemático y armónico de la normatividad previamente plasmada se desprende que la información requerida a toda luz obra en los archivos del </w:t>
      </w:r>
      <w:r>
        <w:rPr>
          <w:rFonts w:ascii="Palatino Linotype" w:hAnsi="Palatino Linotype" w:cs="Arial"/>
          <w:b/>
          <w:bCs/>
        </w:rPr>
        <w:t xml:space="preserve">Sujeto Obligado, </w:t>
      </w:r>
      <w:r>
        <w:rPr>
          <w:rFonts w:ascii="Palatino Linotype" w:hAnsi="Palatino Linotype" w:cs="Arial"/>
        </w:rPr>
        <w:t xml:space="preserve">al tratarse de soportes documentales generados, poseídos y administrados. </w:t>
      </w:r>
    </w:p>
    <w:p w14:paraId="5F053C8A" w14:textId="66F06A00" w:rsidR="009062EB" w:rsidRDefault="009062EB" w:rsidP="00266AE6">
      <w:pPr>
        <w:pStyle w:val="Sinespaciado"/>
        <w:spacing w:line="360" w:lineRule="auto"/>
        <w:jc w:val="both"/>
        <w:rPr>
          <w:rFonts w:ascii="Palatino Linotype" w:hAnsi="Palatino Linotype" w:cs="Arial"/>
        </w:rPr>
      </w:pPr>
    </w:p>
    <w:p w14:paraId="3FACFE4B" w14:textId="4F5F3F4C" w:rsidR="00E81D64" w:rsidRDefault="009062EB" w:rsidP="009062EB">
      <w:pPr>
        <w:pStyle w:val="Sinespaciado"/>
        <w:spacing w:line="360" w:lineRule="auto"/>
        <w:jc w:val="both"/>
        <w:rPr>
          <w:rFonts w:ascii="Palatino Linotype" w:hAnsi="Palatino Linotype"/>
          <w:bCs/>
        </w:rPr>
      </w:pPr>
      <w:r>
        <w:rPr>
          <w:rFonts w:ascii="Palatino Linotype" w:hAnsi="Palatino Linotype" w:cs="Arial"/>
        </w:rPr>
        <w:t xml:space="preserve">Así las cosas, es óbice mencionar que la información requerida estriba </w:t>
      </w:r>
      <w:r w:rsidRPr="00842697">
        <w:rPr>
          <w:rFonts w:ascii="Palatino Linotype" w:hAnsi="Palatino Linotype"/>
          <w:bCs/>
        </w:rPr>
        <w:t xml:space="preserve">en el interés general y el alcance público, lo anterior con fundamento en el artículo 24, fracción XII, 92, </w:t>
      </w:r>
      <w:r>
        <w:rPr>
          <w:rFonts w:ascii="Palatino Linotype" w:hAnsi="Palatino Linotype"/>
          <w:bCs/>
        </w:rPr>
        <w:t xml:space="preserve">fracciones </w:t>
      </w:r>
      <w:r w:rsidR="00E81D64">
        <w:rPr>
          <w:rFonts w:ascii="Palatino Linotype" w:hAnsi="Palatino Linotype"/>
          <w:bCs/>
        </w:rPr>
        <w:t xml:space="preserve">VII y VIII de la Ley de Transparencia y Acceso a la Información Pública del Estado de México y Municipios, normatividad invocada cuyo contenido literal es el siguiente: </w:t>
      </w:r>
    </w:p>
    <w:p w14:paraId="4D3D2ADB" w14:textId="77777777" w:rsidR="00E81D64" w:rsidRPr="00E66BD3" w:rsidRDefault="00E81D64" w:rsidP="00E81D64">
      <w:pPr>
        <w:spacing w:before="240" w:line="360" w:lineRule="auto"/>
        <w:ind w:left="851" w:right="851"/>
        <w:jc w:val="both"/>
        <w:rPr>
          <w:rFonts w:ascii="Palatino Linotype" w:hAnsi="Palatino Linotype"/>
          <w:i/>
        </w:rPr>
      </w:pPr>
      <w:r w:rsidRPr="00E66BD3">
        <w:rPr>
          <w:rFonts w:ascii="Palatino Linotype" w:hAnsi="Palatino Linotype"/>
          <w:i/>
        </w:rPr>
        <w:t>“Artículo 24. Para el cumplimiento de los objetivos de esta Ley, los sujetos obligados deberán cumplir con las siguientes obligaciones, según corresponda, de acuerdo a su naturaleza:</w:t>
      </w:r>
    </w:p>
    <w:p w14:paraId="3EA1E322" w14:textId="77777777" w:rsidR="00E81D64" w:rsidRPr="00E66BD3" w:rsidRDefault="00E81D64" w:rsidP="00E81D64">
      <w:pPr>
        <w:spacing w:before="240" w:line="360" w:lineRule="auto"/>
        <w:ind w:left="851" w:right="851"/>
        <w:jc w:val="both"/>
        <w:rPr>
          <w:rFonts w:ascii="Palatino Linotype" w:hAnsi="Palatino Linotype"/>
          <w:b/>
          <w:i/>
          <w:u w:val="single"/>
        </w:rPr>
      </w:pPr>
      <w:r w:rsidRPr="00E66BD3">
        <w:rPr>
          <w:rFonts w:ascii="Palatino Linotype" w:hAnsi="Palatino Linotype"/>
          <w:b/>
          <w:i/>
          <w:u w:val="single"/>
        </w:rPr>
        <w:t>XII. Publicar y mantener actualizada la información relativa a las obligaciones generales de transparencia previstas en la presente Ley o determinadas así por el Instituto, y en general aquella que sea de interés público;</w:t>
      </w:r>
    </w:p>
    <w:p w14:paraId="63936571" w14:textId="77777777" w:rsidR="00E81D64" w:rsidRPr="00E66BD3" w:rsidRDefault="00E81D64" w:rsidP="00E81D64">
      <w:pPr>
        <w:spacing w:before="240" w:line="360" w:lineRule="auto"/>
        <w:ind w:left="851" w:right="851"/>
        <w:jc w:val="both"/>
        <w:rPr>
          <w:rFonts w:ascii="Palatino Linotype" w:hAnsi="Palatino Linotype"/>
          <w:i/>
        </w:rPr>
      </w:pPr>
      <w:r w:rsidRPr="00E66BD3">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8A794F1" w14:textId="46B66754" w:rsidR="00E81D64" w:rsidRDefault="00E81D64" w:rsidP="00E81D64">
      <w:pPr>
        <w:pStyle w:val="Citas"/>
      </w:pPr>
      <w:r>
        <w:t>(…)</w:t>
      </w:r>
    </w:p>
    <w:p w14:paraId="68CB9802" w14:textId="77777777" w:rsidR="00E81D64" w:rsidRDefault="00E81D64" w:rsidP="00E81D64">
      <w:pPr>
        <w:pStyle w:val="Citas"/>
      </w:pPr>
      <w:r>
        <w:lastRenderedPageBreak/>
        <w:t xml:space="preserve">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14:paraId="6840BB97" w14:textId="166982CC" w:rsidR="00E81D64" w:rsidRDefault="00E81D64" w:rsidP="00E81D64">
      <w:pPr>
        <w:pStyle w:val="Citas"/>
      </w:pPr>
      <w:r>
        <w:t xml:space="preserve">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 </w:t>
      </w:r>
    </w:p>
    <w:p w14:paraId="5EA6D50F" w14:textId="4725A1BC" w:rsidR="00E81D64" w:rsidRDefault="00E81D64" w:rsidP="00E81D64">
      <w:pPr>
        <w:pStyle w:val="Citas"/>
      </w:pPr>
      <w: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09BA89BC" w14:textId="01E5144E" w:rsidR="00E81D64" w:rsidRDefault="00E81D64" w:rsidP="00E81D64">
      <w:pPr>
        <w:pStyle w:val="Citas"/>
        <w:rPr>
          <w:b/>
          <w:bCs/>
        </w:rPr>
      </w:pPr>
      <w:r>
        <w:t xml:space="preserve">(…)” </w:t>
      </w:r>
      <w:r>
        <w:rPr>
          <w:b/>
          <w:bCs/>
        </w:rPr>
        <w:t>(Sic)</w:t>
      </w:r>
    </w:p>
    <w:p w14:paraId="4A7424C0" w14:textId="64B2AECB" w:rsidR="00E81D64" w:rsidRDefault="00E81D64" w:rsidP="00E81D64">
      <w:pPr>
        <w:pStyle w:val="Citas"/>
        <w:ind w:left="0"/>
        <w:rPr>
          <w:b/>
          <w:bCs/>
        </w:rPr>
      </w:pPr>
    </w:p>
    <w:p w14:paraId="3028DA55" w14:textId="77777777" w:rsidR="00E81D64" w:rsidRPr="00303BAD" w:rsidRDefault="00E81D64" w:rsidP="00E81D64">
      <w:pPr>
        <w:pStyle w:val="infoemcitas"/>
        <w:tabs>
          <w:tab w:val="left" w:pos="7655"/>
        </w:tabs>
        <w:ind w:left="0" w:right="0"/>
        <w:rPr>
          <w:i w:val="0"/>
          <w:sz w:val="24"/>
          <w:szCs w:val="24"/>
        </w:rPr>
      </w:pPr>
      <w:r w:rsidRPr="00303BAD">
        <w:rPr>
          <w:i w:val="0"/>
          <w:sz w:val="24"/>
          <w:szCs w:val="24"/>
        </w:rPr>
        <w:t xml:space="preserve">Robustece lo anterior, las siguientes imágenes ilustrativas, correspondientes a la tabla de aplicabilidad del </w:t>
      </w:r>
      <w:r w:rsidRPr="00303BAD">
        <w:rPr>
          <w:b/>
          <w:i w:val="0"/>
          <w:sz w:val="24"/>
          <w:szCs w:val="24"/>
        </w:rPr>
        <w:t xml:space="preserve">Sujeto Obligado, </w:t>
      </w:r>
      <w:r w:rsidRPr="00303BAD">
        <w:rPr>
          <w:i w:val="0"/>
          <w:sz w:val="24"/>
          <w:szCs w:val="24"/>
        </w:rPr>
        <w:t xml:space="preserve">misma que puede ser consultada en la siguiente dirección electrónica: </w:t>
      </w:r>
    </w:p>
    <w:p w14:paraId="2A4CC7D2" w14:textId="77777777" w:rsidR="00E81D64" w:rsidRPr="00E81D64" w:rsidRDefault="000F69BD" w:rsidP="00E81D64">
      <w:pPr>
        <w:spacing w:after="0" w:line="360" w:lineRule="auto"/>
        <w:jc w:val="both"/>
        <w:rPr>
          <w:rFonts w:ascii="Palatino Linotype" w:hAnsi="Palatino Linotype"/>
          <w:sz w:val="24"/>
          <w:szCs w:val="24"/>
        </w:rPr>
      </w:pPr>
      <w:hyperlink r:id="rId10" w:history="1">
        <w:r w:rsidR="00E81D64" w:rsidRPr="00E81D64">
          <w:rPr>
            <w:rStyle w:val="Hipervnculo"/>
            <w:rFonts w:ascii="Palatino Linotype" w:hAnsi="Palatino Linotype"/>
            <w:bCs/>
            <w:sz w:val="24"/>
            <w:szCs w:val="24"/>
          </w:rPr>
          <w:t>https://www.infoem.org.mx/es/contenido/transparencia/directorio-de-sujetos-obligados</w:t>
        </w:r>
      </w:hyperlink>
    </w:p>
    <w:p w14:paraId="35E881CE" w14:textId="77777777" w:rsidR="00E81D64" w:rsidRPr="00E81D64" w:rsidRDefault="00E81D64" w:rsidP="00E81D64">
      <w:pPr>
        <w:pStyle w:val="Citas"/>
        <w:ind w:left="0"/>
        <w:rPr>
          <w:i w:val="0"/>
          <w:iCs/>
          <w:sz w:val="24"/>
          <w:szCs w:val="24"/>
        </w:rPr>
      </w:pPr>
    </w:p>
    <w:p w14:paraId="46588314" w14:textId="01A53A42" w:rsidR="009062EB" w:rsidRPr="009062EB" w:rsidRDefault="00E81D64" w:rsidP="00266AE6">
      <w:pPr>
        <w:pStyle w:val="Sinespaciado"/>
        <w:spacing w:line="360" w:lineRule="auto"/>
        <w:jc w:val="both"/>
      </w:pPr>
      <w:r>
        <w:rPr>
          <w:rFonts w:ascii="Palatino Linotype" w:hAnsi="Palatino Linotype" w:cs="Arial"/>
          <w:noProof/>
          <w:lang w:eastAsia="es-MX"/>
        </w:rPr>
        <w:lastRenderedPageBreak/>
        <w:drawing>
          <wp:anchor distT="0" distB="0" distL="114300" distR="114300" simplePos="0" relativeHeight="251762688" behindDoc="0" locked="0" layoutInCell="1" allowOverlap="1" wp14:anchorId="118E15FE" wp14:editId="3AB89479">
            <wp:simplePos x="0" y="0"/>
            <wp:positionH relativeFrom="column">
              <wp:posOffset>22225</wp:posOffset>
            </wp:positionH>
            <wp:positionV relativeFrom="paragraph">
              <wp:posOffset>3780155</wp:posOffset>
            </wp:positionV>
            <wp:extent cx="5757545" cy="3499485"/>
            <wp:effectExtent l="19050" t="19050" r="14605" b="24765"/>
            <wp:wrapThrough wrapText="bothSides">
              <wp:wrapPolygon edited="0">
                <wp:start x="-71" y="-118"/>
                <wp:lineTo x="-71" y="21635"/>
                <wp:lineTo x="21583" y="21635"/>
                <wp:lineTo x="21583" y="-118"/>
                <wp:lineTo x="-71" y="-118"/>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7545" cy="34994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61664" behindDoc="0" locked="0" layoutInCell="1" allowOverlap="1" wp14:anchorId="0FE208E3" wp14:editId="56D38208">
            <wp:simplePos x="0" y="0"/>
            <wp:positionH relativeFrom="column">
              <wp:posOffset>22225</wp:posOffset>
            </wp:positionH>
            <wp:positionV relativeFrom="paragraph">
              <wp:posOffset>22225</wp:posOffset>
            </wp:positionV>
            <wp:extent cx="5757545" cy="3490595"/>
            <wp:effectExtent l="19050" t="19050" r="14605" b="14605"/>
            <wp:wrapThrough wrapText="bothSides">
              <wp:wrapPolygon edited="0">
                <wp:start x="-71" y="-118"/>
                <wp:lineTo x="-71" y="21572"/>
                <wp:lineTo x="21583" y="21572"/>
                <wp:lineTo x="21583" y="-118"/>
                <wp:lineTo x="-71" y="-118"/>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7545" cy="34905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B23F51C" w14:textId="05B9FB48" w:rsidR="00E81D64" w:rsidRPr="000B0B8F" w:rsidRDefault="00E81D64" w:rsidP="00E81D64">
      <w:pPr>
        <w:pStyle w:val="Prrafodelista"/>
        <w:tabs>
          <w:tab w:val="left" w:pos="2460"/>
        </w:tabs>
        <w:autoSpaceDE w:val="0"/>
        <w:autoSpaceDN w:val="0"/>
        <w:adjustRightInd w:val="0"/>
        <w:spacing w:before="240" w:after="160" w:line="360" w:lineRule="auto"/>
        <w:ind w:left="0"/>
        <w:jc w:val="both"/>
        <w:rPr>
          <w:rFonts w:ascii="Palatino Linotype" w:hAnsi="Palatino Linotype"/>
          <w:bCs/>
        </w:rPr>
      </w:pPr>
      <w:r w:rsidRPr="00E17B3E">
        <w:rPr>
          <w:rFonts w:ascii="Palatino Linotype" w:hAnsi="Palatino Linotype"/>
          <w:bCs/>
        </w:rPr>
        <w:lastRenderedPageBreak/>
        <w:t xml:space="preserve">Con base en lo anteriormente expuesto, se arriba a la conclusión de que la </w:t>
      </w:r>
      <w:r>
        <w:rPr>
          <w:rFonts w:ascii="Palatino Linotype" w:hAnsi="Palatino Linotype"/>
          <w:bCs/>
        </w:rPr>
        <w:t xml:space="preserve">información requerida </w:t>
      </w:r>
      <w:r w:rsidR="003F2D47">
        <w:rPr>
          <w:rFonts w:ascii="Palatino Linotype" w:hAnsi="Palatino Linotype"/>
          <w:bCs/>
        </w:rPr>
        <w:t xml:space="preserve">encuadra dentro de las fronteras conceptuales de las obligaciones de transparencia común. </w:t>
      </w:r>
      <w:r>
        <w:rPr>
          <w:rFonts w:ascii="Palatino Linotype" w:hAnsi="Palatino Linotype"/>
          <w:bCs/>
        </w:rPr>
        <w:t xml:space="preserve"> </w:t>
      </w:r>
    </w:p>
    <w:p w14:paraId="58AE8008" w14:textId="1B5FE196" w:rsidR="003F2D47" w:rsidRDefault="003F2D47" w:rsidP="003F2D47">
      <w:pPr>
        <w:pStyle w:val="Prrafodelista"/>
        <w:autoSpaceDE w:val="0"/>
        <w:autoSpaceDN w:val="0"/>
        <w:adjustRightInd w:val="0"/>
        <w:spacing w:before="240" w:after="160" w:line="360" w:lineRule="auto"/>
        <w:ind w:left="0"/>
        <w:jc w:val="both"/>
        <w:rPr>
          <w:rFonts w:ascii="Palatino Linotype" w:hAnsi="Palatino Linotype" w:cs="Arial"/>
          <w:bCs/>
          <w:lang w:eastAsia="es-MX"/>
        </w:rPr>
      </w:pPr>
      <w:r w:rsidRPr="00E17B3E">
        <w:rPr>
          <w:rFonts w:ascii="Palatino Linotype" w:hAnsi="Palatino Linotype" w:cs="Arial"/>
          <w:lang w:eastAsia="es-MX"/>
        </w:rPr>
        <w:t xml:space="preserve">Una vez sentado lo anterior, como se mencionó en el antecedente </w:t>
      </w:r>
      <w:r>
        <w:rPr>
          <w:rFonts w:ascii="Palatino Linotype" w:hAnsi="Palatino Linotype" w:cs="Arial"/>
          <w:lang w:eastAsia="es-MX"/>
        </w:rPr>
        <w:t>segundo</w:t>
      </w:r>
      <w:r w:rsidRPr="00E17B3E">
        <w:rPr>
          <w:rFonts w:ascii="Palatino Linotype" w:hAnsi="Palatino Linotype" w:cs="Arial"/>
          <w:lang w:eastAsia="es-MX"/>
        </w:rPr>
        <w:t xml:space="preserve"> </w:t>
      </w:r>
      <w:r w:rsidRPr="00E17B3E">
        <w:rPr>
          <w:rFonts w:ascii="Palatino Linotype" w:hAnsi="Palatino Linotype" w:cs="Arial"/>
          <w:b/>
          <w:bCs/>
          <w:lang w:eastAsia="es-MX"/>
        </w:rPr>
        <w:t>El Sujeto Obligado</w:t>
      </w:r>
      <w:r>
        <w:rPr>
          <w:rFonts w:ascii="Palatino Linotype" w:hAnsi="Palatino Linotype" w:cs="Arial"/>
          <w:b/>
          <w:bCs/>
          <w:lang w:eastAsia="es-MX"/>
        </w:rPr>
        <w:t xml:space="preserve"> </w:t>
      </w:r>
      <w:r>
        <w:rPr>
          <w:rFonts w:ascii="Palatino Linotype" w:hAnsi="Palatino Linotype" w:cs="Arial"/>
          <w:bCs/>
          <w:lang w:eastAsia="es-MX"/>
        </w:rPr>
        <w:t>rindió su respuesta en fecha dos de agosto del presente, adjuntando para tal efecto lo siguiente:</w:t>
      </w:r>
    </w:p>
    <w:p w14:paraId="485DF71B" w14:textId="3308CDA3" w:rsidR="003F2D47" w:rsidRDefault="003F2D47" w:rsidP="003F2D47">
      <w:pPr>
        <w:pStyle w:val="Prrafodelista"/>
        <w:numPr>
          <w:ilvl w:val="0"/>
          <w:numId w:val="10"/>
        </w:numPr>
        <w:autoSpaceDE w:val="0"/>
        <w:autoSpaceDN w:val="0"/>
        <w:adjustRightInd w:val="0"/>
        <w:spacing w:before="240" w:after="160" w:line="360" w:lineRule="auto"/>
        <w:jc w:val="both"/>
        <w:rPr>
          <w:rFonts w:ascii="Palatino Linotype" w:hAnsi="Palatino Linotype" w:cs="Arial"/>
          <w:b/>
          <w:lang w:eastAsia="es-MX"/>
        </w:rPr>
      </w:pPr>
      <w:r>
        <w:rPr>
          <w:rFonts w:ascii="Palatino Linotype" w:hAnsi="Palatino Linotype" w:cs="Arial"/>
          <w:b/>
          <w:lang w:eastAsia="es-MX"/>
        </w:rPr>
        <w:t>“</w:t>
      </w:r>
      <w:r w:rsidR="006E0CE2">
        <w:rPr>
          <w:rFonts w:ascii="Palatino Linotype" w:hAnsi="Palatino Linotype" w:cs="Arial"/>
          <w:b/>
          <w:lang w:eastAsia="es-MX"/>
        </w:rPr>
        <w:t xml:space="preserve">573 IP CON ANEXOS.pdf”: </w:t>
      </w:r>
      <w:r w:rsidR="006E0CE2">
        <w:rPr>
          <w:rFonts w:ascii="Palatino Linotype" w:hAnsi="Palatino Linotype" w:cs="Arial"/>
          <w:bCs/>
          <w:lang w:eastAsia="es-MX"/>
        </w:rPr>
        <w:t xml:space="preserve">Oficio número </w:t>
      </w:r>
      <w:r w:rsidR="006E0CE2">
        <w:rPr>
          <w:rFonts w:ascii="Palatino Linotype" w:hAnsi="Palatino Linotype" w:cs="Arial"/>
          <w:b/>
          <w:lang w:eastAsia="es-MX"/>
        </w:rPr>
        <w:t>207C 040</w:t>
      </w:r>
      <w:r w:rsidR="00A42E66">
        <w:rPr>
          <w:rFonts w:ascii="Palatino Linotype" w:hAnsi="Palatino Linotype" w:cs="Arial"/>
          <w:b/>
          <w:lang w:eastAsia="es-MX"/>
        </w:rPr>
        <w:t xml:space="preserve">1210001S-UT-1232/2022 </w:t>
      </w:r>
      <w:r w:rsidR="00A42E66">
        <w:rPr>
          <w:rFonts w:ascii="Palatino Linotype" w:hAnsi="Palatino Linotype" w:cs="Arial"/>
          <w:bCs/>
          <w:lang w:eastAsia="es-MX"/>
        </w:rPr>
        <w:t xml:space="preserve">signado por el </w:t>
      </w:r>
      <w:r w:rsidR="00F2126F">
        <w:rPr>
          <w:rFonts w:ascii="Palatino Linotype" w:hAnsi="Palatino Linotype" w:cs="Arial"/>
          <w:bCs/>
          <w:lang w:eastAsia="es-MX"/>
        </w:rPr>
        <w:t>responsable</w:t>
      </w:r>
      <w:r w:rsidR="00A42E66">
        <w:rPr>
          <w:rFonts w:ascii="Palatino Linotype" w:hAnsi="Palatino Linotype" w:cs="Arial"/>
          <w:bCs/>
          <w:lang w:eastAsia="es-MX"/>
        </w:rPr>
        <w:t xml:space="preserve"> y Titular de la Unidad de Transparencia y dirigido al Solicitante, de fecha uno de agosto de dos mil veintidós, en lo medular refiere adjuntar anexo que refleja la relación de los médicos que laboran en el Centro Oncológico Estatal, así como el salario que perciben de manera mensual. </w:t>
      </w:r>
    </w:p>
    <w:p w14:paraId="3C929C2B" w14:textId="40F63910" w:rsidR="006E0CE2" w:rsidRPr="00A42E66" w:rsidRDefault="006E0CE2" w:rsidP="003F2D47">
      <w:pPr>
        <w:pStyle w:val="Prrafodelista"/>
        <w:numPr>
          <w:ilvl w:val="0"/>
          <w:numId w:val="10"/>
        </w:numPr>
        <w:autoSpaceDE w:val="0"/>
        <w:autoSpaceDN w:val="0"/>
        <w:adjustRightInd w:val="0"/>
        <w:spacing w:before="240" w:after="160" w:line="360" w:lineRule="auto"/>
        <w:jc w:val="both"/>
        <w:rPr>
          <w:rFonts w:ascii="Palatino Linotype" w:hAnsi="Palatino Linotype" w:cs="Arial"/>
          <w:b/>
          <w:lang w:val="es-MX" w:eastAsia="es-MX"/>
        </w:rPr>
      </w:pPr>
      <w:r w:rsidRPr="00A42E66">
        <w:rPr>
          <w:rFonts w:ascii="Palatino Linotype" w:hAnsi="Palatino Linotype" w:cs="Arial"/>
          <w:b/>
          <w:lang w:val="es-MX" w:eastAsia="es-MX"/>
        </w:rPr>
        <w:t xml:space="preserve">“573 IP07-22-2022-102032.pdf”: </w:t>
      </w:r>
      <w:r w:rsidR="00A42E66" w:rsidRPr="00A42E66">
        <w:rPr>
          <w:rFonts w:ascii="Palatino Linotype" w:hAnsi="Palatino Linotype" w:cs="Arial"/>
          <w:bCs/>
          <w:lang w:val="es-MX" w:eastAsia="es-MX"/>
        </w:rPr>
        <w:t>Documento ad hoc, refleja</w:t>
      </w:r>
      <w:r w:rsidR="00A42E66">
        <w:rPr>
          <w:rFonts w:ascii="Palatino Linotype" w:hAnsi="Palatino Linotype" w:cs="Arial"/>
          <w:bCs/>
          <w:lang w:val="es-MX" w:eastAsia="es-MX"/>
        </w:rPr>
        <w:t xml:space="preserve"> nombre, sueldo base, sueldo neto y total. </w:t>
      </w:r>
      <w:r w:rsidR="005C307A">
        <w:rPr>
          <w:rFonts w:ascii="Palatino Linotype" w:hAnsi="Palatino Linotype" w:cs="Arial"/>
          <w:bCs/>
          <w:lang w:val="es-MX" w:eastAsia="es-MX"/>
        </w:rPr>
        <w:t>A manera de ejemplo, sirve de sustento la siguiente imagen ilustrativa:</w:t>
      </w:r>
    </w:p>
    <w:p w14:paraId="7A1E3219" w14:textId="40F7E54B" w:rsidR="003F2D47" w:rsidRPr="00A42E66" w:rsidRDefault="005C307A" w:rsidP="003F2D47">
      <w:pPr>
        <w:pStyle w:val="Prrafodelista"/>
        <w:autoSpaceDE w:val="0"/>
        <w:autoSpaceDN w:val="0"/>
        <w:adjustRightInd w:val="0"/>
        <w:spacing w:before="240" w:after="160" w:line="360" w:lineRule="auto"/>
        <w:ind w:left="0"/>
        <w:jc w:val="both"/>
        <w:rPr>
          <w:rFonts w:ascii="Palatino Linotype" w:hAnsi="Palatino Linotype" w:cs="Arial"/>
          <w:bCs/>
          <w:lang w:val="es-MX" w:eastAsia="es-MX"/>
        </w:rPr>
      </w:pPr>
      <w:r>
        <w:rPr>
          <w:rFonts w:ascii="Palatino Linotype" w:hAnsi="Palatino Linotype" w:cs="Arial"/>
          <w:bCs/>
          <w:noProof/>
          <w:lang w:val="es-MX" w:eastAsia="es-MX"/>
        </w:rPr>
        <w:drawing>
          <wp:anchor distT="0" distB="0" distL="114300" distR="114300" simplePos="0" relativeHeight="251763712" behindDoc="0" locked="0" layoutInCell="1" allowOverlap="1" wp14:anchorId="1F2E606D" wp14:editId="1E222963">
            <wp:simplePos x="0" y="0"/>
            <wp:positionH relativeFrom="column">
              <wp:posOffset>62865</wp:posOffset>
            </wp:positionH>
            <wp:positionV relativeFrom="paragraph">
              <wp:posOffset>300355</wp:posOffset>
            </wp:positionV>
            <wp:extent cx="5759450" cy="1543050"/>
            <wp:effectExtent l="19050" t="19050" r="12700" b="19050"/>
            <wp:wrapThrough wrapText="bothSides">
              <wp:wrapPolygon edited="0">
                <wp:start x="-71" y="-267"/>
                <wp:lineTo x="-71" y="21600"/>
                <wp:lineTo x="21576" y="21600"/>
                <wp:lineTo x="21576" y="-267"/>
                <wp:lineTo x="-71" y="-267"/>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15430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82BFB92" w14:textId="3C039171" w:rsidR="003F2D47" w:rsidRPr="00A42E66" w:rsidRDefault="003F2D47" w:rsidP="003F2D47">
      <w:pPr>
        <w:pStyle w:val="Prrafodelista"/>
        <w:autoSpaceDE w:val="0"/>
        <w:autoSpaceDN w:val="0"/>
        <w:adjustRightInd w:val="0"/>
        <w:spacing w:before="240" w:after="160" w:line="360" w:lineRule="auto"/>
        <w:ind w:left="0"/>
        <w:jc w:val="both"/>
        <w:rPr>
          <w:rFonts w:ascii="Palatino Linotype" w:hAnsi="Palatino Linotype" w:cs="Arial"/>
          <w:bCs/>
          <w:lang w:val="es-MX" w:eastAsia="es-MX"/>
        </w:rPr>
      </w:pPr>
    </w:p>
    <w:p w14:paraId="3C418374" w14:textId="268CB050" w:rsidR="00A42E66" w:rsidRDefault="006C66E4" w:rsidP="007E319E">
      <w:pPr>
        <w:spacing w:line="360" w:lineRule="auto"/>
        <w:contextualSpacing/>
        <w:jc w:val="both"/>
        <w:rPr>
          <w:rFonts w:ascii="Palatino Linotype" w:eastAsia="MS Mincho" w:hAnsi="Palatino Linotype" w:cs="Times New Roman"/>
          <w:sz w:val="24"/>
          <w:szCs w:val="24"/>
        </w:rPr>
      </w:pPr>
      <w:r>
        <w:rPr>
          <w:rFonts w:ascii="Palatino Linotype" w:eastAsia="MS Mincho" w:hAnsi="Palatino Linotype" w:cs="Times New Roman"/>
          <w:sz w:val="24"/>
          <w:szCs w:val="24"/>
        </w:rPr>
        <w:lastRenderedPageBreak/>
        <w:t xml:space="preserve">Inconforme con la respuesta del </w:t>
      </w:r>
      <w:r>
        <w:rPr>
          <w:rFonts w:ascii="Palatino Linotype" w:eastAsia="MS Mincho" w:hAnsi="Palatino Linotype" w:cs="Times New Roman"/>
          <w:b/>
          <w:sz w:val="24"/>
          <w:szCs w:val="24"/>
        </w:rPr>
        <w:t xml:space="preserve">Sujeto Obligado, </w:t>
      </w:r>
      <w:r w:rsidR="00A42E66">
        <w:rPr>
          <w:rFonts w:ascii="Palatino Linotype" w:eastAsia="MS Mincho" w:hAnsi="Palatino Linotype" w:cs="Times New Roman"/>
          <w:b/>
          <w:sz w:val="24"/>
          <w:szCs w:val="24"/>
        </w:rPr>
        <w:t>El</w:t>
      </w:r>
      <w:r>
        <w:rPr>
          <w:rFonts w:ascii="Palatino Linotype" w:eastAsia="MS Mincho" w:hAnsi="Palatino Linotype" w:cs="Times New Roman"/>
          <w:b/>
          <w:sz w:val="24"/>
          <w:szCs w:val="24"/>
        </w:rPr>
        <w:t xml:space="preserve"> Recurrente </w:t>
      </w:r>
      <w:r>
        <w:rPr>
          <w:rFonts w:ascii="Palatino Linotype" w:eastAsia="MS Mincho" w:hAnsi="Palatino Linotype" w:cs="Times New Roman"/>
          <w:sz w:val="24"/>
          <w:szCs w:val="24"/>
        </w:rPr>
        <w:t xml:space="preserve">interpuso recurso de revisión en fecha </w:t>
      </w:r>
      <w:r w:rsidR="00A42E66">
        <w:rPr>
          <w:rFonts w:ascii="Palatino Linotype" w:eastAsia="MS Mincho" w:hAnsi="Palatino Linotype" w:cs="Times New Roman"/>
          <w:sz w:val="24"/>
          <w:szCs w:val="24"/>
        </w:rPr>
        <w:t>doce de agosto, admitiéndose el dieciséis de agosto, ambos de dos mil veintidós. Señalando como razones o motivos de inconformidad:</w:t>
      </w:r>
    </w:p>
    <w:p w14:paraId="21C74323" w14:textId="3726EDC2" w:rsidR="00A42E66" w:rsidRPr="00A42E66" w:rsidRDefault="00A42E66" w:rsidP="00A42E66">
      <w:pPr>
        <w:pStyle w:val="Citas"/>
        <w:rPr>
          <w:b/>
          <w:bCs/>
        </w:rPr>
      </w:pPr>
      <w:r>
        <w:t xml:space="preserve">“No me quedo claro. </w:t>
      </w:r>
      <w:proofErr w:type="spellStart"/>
      <w:r>
        <w:t>Cyal</w:t>
      </w:r>
      <w:proofErr w:type="spellEnd"/>
      <w:r>
        <w:t xml:space="preserve"> es el total” </w:t>
      </w:r>
      <w:r>
        <w:rPr>
          <w:b/>
          <w:bCs/>
        </w:rPr>
        <w:t>(Sic)</w:t>
      </w:r>
    </w:p>
    <w:p w14:paraId="3AA90060" w14:textId="5EE635C8" w:rsidR="00A42E66" w:rsidRDefault="00A42E66" w:rsidP="006C66E4">
      <w:pPr>
        <w:pStyle w:val="INFOEM"/>
      </w:pPr>
    </w:p>
    <w:p w14:paraId="1437757A" w14:textId="20CD3260" w:rsidR="003A2246" w:rsidRPr="00D32DE1" w:rsidRDefault="003A2246" w:rsidP="003A2246">
      <w:pPr>
        <w:spacing w:after="0" w:line="360" w:lineRule="auto"/>
        <w:jc w:val="both"/>
        <w:rPr>
          <w:rFonts w:ascii="Palatino Linotype" w:hAnsi="Palatino Linotype" w:cs="Arial"/>
          <w:color w:val="000000"/>
          <w:sz w:val="24"/>
          <w:lang w:val="es-ES_tradnl"/>
        </w:rPr>
      </w:pPr>
      <w:r w:rsidRPr="00D32DE1">
        <w:rPr>
          <w:rFonts w:ascii="Palatino Linotype" w:hAnsi="Palatino Linotype" w:cs="Arial"/>
          <w:color w:val="000000"/>
          <w:sz w:val="24"/>
          <w:lang w:val="es-ES_tradnl"/>
        </w:rPr>
        <w:t xml:space="preserve">Por otra parte, como fue mencionado en el antecedente quinto, </w:t>
      </w:r>
      <w:r w:rsidRPr="00D32DE1">
        <w:rPr>
          <w:rFonts w:ascii="Palatino Linotype" w:hAnsi="Palatino Linotype" w:cs="Arial"/>
          <w:b/>
          <w:color w:val="000000"/>
          <w:sz w:val="24"/>
          <w:lang w:val="es-ES_tradnl"/>
        </w:rPr>
        <w:t xml:space="preserve">El Sujeto Obligado </w:t>
      </w:r>
      <w:r w:rsidRPr="00D32DE1">
        <w:rPr>
          <w:rFonts w:ascii="Palatino Linotype" w:hAnsi="Palatino Linotype" w:cs="Arial"/>
          <w:color w:val="000000"/>
          <w:sz w:val="24"/>
          <w:lang w:val="es-ES_tradnl"/>
        </w:rPr>
        <w:t xml:space="preserve">rindió su informe justificado en los siguientes términos: </w:t>
      </w:r>
    </w:p>
    <w:p w14:paraId="55F7CADF" w14:textId="21439EB4" w:rsidR="00B14039" w:rsidRPr="00D32DE1" w:rsidRDefault="003A2246" w:rsidP="00A42E66">
      <w:pPr>
        <w:pStyle w:val="Prrafodelista"/>
        <w:numPr>
          <w:ilvl w:val="0"/>
          <w:numId w:val="3"/>
        </w:numPr>
        <w:spacing w:line="360" w:lineRule="auto"/>
        <w:contextualSpacing/>
        <w:jc w:val="both"/>
        <w:rPr>
          <w:rFonts w:ascii="Palatino Linotype" w:eastAsia="MS Mincho" w:hAnsi="Palatino Linotype"/>
          <w:b/>
        </w:rPr>
      </w:pPr>
      <w:r w:rsidRPr="00D32DE1">
        <w:rPr>
          <w:rFonts w:ascii="Palatino Linotype" w:eastAsia="MS Mincho" w:hAnsi="Palatino Linotype"/>
          <w:b/>
        </w:rPr>
        <w:t>“</w:t>
      </w:r>
      <w:r w:rsidR="00A42E66" w:rsidRPr="00D32DE1">
        <w:rPr>
          <w:rFonts w:ascii="Palatino Linotype" w:eastAsia="MS Mincho" w:hAnsi="Palatino Linotype"/>
          <w:b/>
        </w:rPr>
        <w:t>INFORME JUSTIFICADO 573.IP.pdf”</w:t>
      </w:r>
      <w:r w:rsidR="00F53708" w:rsidRPr="00D32DE1">
        <w:rPr>
          <w:rFonts w:ascii="Palatino Linotype" w:eastAsia="MS Mincho" w:hAnsi="Palatino Linotype"/>
          <w:b/>
        </w:rPr>
        <w:t xml:space="preserve">: </w:t>
      </w:r>
      <w:r w:rsidR="00F53708" w:rsidRPr="00D32DE1">
        <w:rPr>
          <w:rFonts w:ascii="Palatino Linotype" w:eastAsia="MS Mincho" w:hAnsi="Palatino Linotype"/>
          <w:bCs/>
        </w:rPr>
        <w:t xml:space="preserve">Oficio número </w:t>
      </w:r>
      <w:r w:rsidR="00F53708" w:rsidRPr="00D32DE1">
        <w:rPr>
          <w:rFonts w:ascii="Palatino Linotype" w:eastAsia="MS Mincho" w:hAnsi="Palatino Linotype"/>
          <w:b/>
        </w:rPr>
        <w:t xml:space="preserve">207C 0401210001S-UT-1440/2022 </w:t>
      </w:r>
      <w:r w:rsidR="00F53708" w:rsidRPr="00D32DE1">
        <w:rPr>
          <w:rFonts w:ascii="Palatino Linotype" w:eastAsia="MS Mincho" w:hAnsi="Palatino Linotype"/>
          <w:bCs/>
        </w:rPr>
        <w:t xml:space="preserve">signado por la Jefa del Departamento de Acceso a la Información Institucional y dirigido al Comisionado Ponente, de fecha veinticinco de agosto de dos mil veintidós, en </w:t>
      </w:r>
      <w:proofErr w:type="gramStart"/>
      <w:r w:rsidR="00F53708" w:rsidRPr="00D32DE1">
        <w:rPr>
          <w:rFonts w:ascii="Palatino Linotype" w:eastAsia="MS Mincho" w:hAnsi="Palatino Linotype"/>
          <w:bCs/>
        </w:rPr>
        <w:t>síntesis</w:t>
      </w:r>
      <w:proofErr w:type="gramEnd"/>
      <w:r w:rsidR="00F53708" w:rsidRPr="00D32DE1">
        <w:rPr>
          <w:rFonts w:ascii="Palatino Linotype" w:eastAsia="MS Mincho" w:hAnsi="Palatino Linotype"/>
          <w:bCs/>
        </w:rPr>
        <w:t xml:space="preserve"> refiere adjuntar relación de médicos que laboran en el Centro Oncológico Estatal, así como salario que perciben de manera mensual, en donde se detalla número, nombre, sueldo base, total de percepciones, sueldo neto pagado. </w:t>
      </w:r>
    </w:p>
    <w:p w14:paraId="5AAE64DE" w14:textId="4019AF67" w:rsidR="00A42E66" w:rsidRPr="00D32DE1" w:rsidRDefault="00A42E66" w:rsidP="00A42E66">
      <w:pPr>
        <w:pStyle w:val="Prrafodelista"/>
        <w:numPr>
          <w:ilvl w:val="0"/>
          <w:numId w:val="3"/>
        </w:numPr>
        <w:spacing w:line="360" w:lineRule="auto"/>
        <w:contextualSpacing/>
        <w:jc w:val="both"/>
        <w:rPr>
          <w:rFonts w:ascii="Palatino Linotype" w:eastAsia="MS Mincho" w:hAnsi="Palatino Linotype"/>
          <w:b/>
          <w:lang w:val="es-MX"/>
        </w:rPr>
      </w:pPr>
      <w:r w:rsidRPr="00D32DE1">
        <w:rPr>
          <w:rFonts w:ascii="Palatino Linotype" w:eastAsia="MS Mincho" w:hAnsi="Palatino Linotype"/>
          <w:b/>
          <w:lang w:val="es-MX"/>
        </w:rPr>
        <w:t xml:space="preserve">“ANEXO 573.IP.pdf”: </w:t>
      </w:r>
      <w:r w:rsidR="005C307A" w:rsidRPr="00D32DE1">
        <w:rPr>
          <w:rFonts w:ascii="Palatino Linotype" w:eastAsia="MS Mincho" w:hAnsi="Palatino Linotype"/>
          <w:bCs/>
          <w:lang w:val="es-MX"/>
        </w:rPr>
        <w:t xml:space="preserve">Documento ad hoc, refleja número progresivo, nombre, sueldo base, total de percepciones y sueldo neto pagado. </w:t>
      </w:r>
      <w:r w:rsidR="00D32DE1">
        <w:rPr>
          <w:rFonts w:ascii="Palatino Linotype" w:eastAsia="MS Mincho" w:hAnsi="Palatino Linotype"/>
          <w:bCs/>
          <w:lang w:val="es-MX"/>
        </w:rPr>
        <w:t>Sirven de sustento las siguientes imágenes ilustrativas:</w:t>
      </w:r>
    </w:p>
    <w:p w14:paraId="346AD810" w14:textId="6B01BA98" w:rsidR="00D32DE1" w:rsidRDefault="00D32DE1" w:rsidP="00D32DE1">
      <w:pPr>
        <w:spacing w:line="360" w:lineRule="auto"/>
        <w:contextualSpacing/>
        <w:jc w:val="both"/>
        <w:rPr>
          <w:rFonts w:ascii="Palatino Linotype" w:eastAsia="MS Mincho" w:hAnsi="Palatino Linotype"/>
          <w:b/>
        </w:rPr>
      </w:pPr>
      <w:r>
        <w:rPr>
          <w:rFonts w:ascii="Palatino Linotype" w:eastAsia="MS Mincho" w:hAnsi="Palatino Linotype"/>
          <w:b/>
          <w:noProof/>
          <w:lang w:eastAsia="es-MX"/>
        </w:rPr>
        <mc:AlternateContent>
          <mc:Choice Requires="wps">
            <w:drawing>
              <wp:anchor distT="0" distB="0" distL="114300" distR="114300" simplePos="0" relativeHeight="251764736" behindDoc="0" locked="0" layoutInCell="1" allowOverlap="1" wp14:anchorId="3C605500" wp14:editId="2B66211A">
                <wp:simplePos x="0" y="0"/>
                <wp:positionH relativeFrom="column">
                  <wp:posOffset>-81915</wp:posOffset>
                </wp:positionH>
                <wp:positionV relativeFrom="paragraph">
                  <wp:posOffset>147955</wp:posOffset>
                </wp:positionV>
                <wp:extent cx="5966460" cy="1722120"/>
                <wp:effectExtent l="0" t="0" r="34290" b="30480"/>
                <wp:wrapNone/>
                <wp:docPr id="3" name="Straight Connector 3"/>
                <wp:cNvGraphicFramePr/>
                <a:graphic xmlns:a="http://schemas.openxmlformats.org/drawingml/2006/main">
                  <a:graphicData uri="http://schemas.microsoft.com/office/word/2010/wordprocessingShape">
                    <wps:wsp>
                      <wps:cNvCnPr/>
                      <wps:spPr>
                        <a:xfrm>
                          <a:off x="0" y="0"/>
                          <a:ext cx="5966460" cy="17221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A46C892" id="Straight Connector 3"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6.45pt,11.65pt" to="463.35pt,1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" strokecolor="#5b9bd5 [3204]" strokeweight=".5pt">
                <v:stroke joinstyle="miter"/>
              </v:line>
            </w:pict>
          </mc:Fallback>
        </mc:AlternateContent>
      </w:r>
    </w:p>
    <w:p w14:paraId="5CC2F760" w14:textId="3E99128A" w:rsidR="00D32DE1" w:rsidRDefault="00D32DE1" w:rsidP="00D32DE1">
      <w:pPr>
        <w:spacing w:line="360" w:lineRule="auto"/>
        <w:contextualSpacing/>
        <w:jc w:val="both"/>
        <w:rPr>
          <w:rFonts w:ascii="Palatino Linotype" w:eastAsia="MS Mincho" w:hAnsi="Palatino Linotype"/>
          <w:b/>
        </w:rPr>
      </w:pPr>
    </w:p>
    <w:p w14:paraId="11690ADB" w14:textId="05D23B6B" w:rsidR="00D32DE1" w:rsidRDefault="00D32DE1" w:rsidP="00D32DE1">
      <w:pPr>
        <w:spacing w:line="360" w:lineRule="auto"/>
        <w:contextualSpacing/>
        <w:jc w:val="both"/>
        <w:rPr>
          <w:rFonts w:ascii="Palatino Linotype" w:eastAsia="MS Mincho" w:hAnsi="Palatino Linotype"/>
          <w:b/>
        </w:rPr>
      </w:pPr>
    </w:p>
    <w:p w14:paraId="6D3E32C3" w14:textId="062E5A34" w:rsidR="00D32DE1" w:rsidRDefault="00D32DE1" w:rsidP="00D32DE1">
      <w:pPr>
        <w:spacing w:line="360" w:lineRule="auto"/>
        <w:contextualSpacing/>
        <w:jc w:val="both"/>
        <w:rPr>
          <w:rFonts w:ascii="Palatino Linotype" w:eastAsia="MS Mincho" w:hAnsi="Palatino Linotype"/>
          <w:b/>
        </w:rPr>
      </w:pPr>
    </w:p>
    <w:p w14:paraId="3B473E01" w14:textId="37228049" w:rsidR="00D32DE1" w:rsidRDefault="00D32DE1" w:rsidP="00D32DE1">
      <w:pPr>
        <w:spacing w:line="360" w:lineRule="auto"/>
        <w:contextualSpacing/>
        <w:jc w:val="both"/>
        <w:rPr>
          <w:rFonts w:ascii="Palatino Linotype" w:eastAsia="MS Mincho" w:hAnsi="Palatino Linotype"/>
          <w:b/>
        </w:rPr>
      </w:pPr>
    </w:p>
    <w:p w14:paraId="41A034C8" w14:textId="77777777" w:rsidR="00D32DE1" w:rsidRPr="00D32DE1" w:rsidRDefault="00D32DE1" w:rsidP="00D32DE1">
      <w:pPr>
        <w:spacing w:line="360" w:lineRule="auto"/>
        <w:contextualSpacing/>
        <w:jc w:val="both"/>
        <w:rPr>
          <w:rFonts w:ascii="Palatino Linotype" w:eastAsia="MS Mincho" w:hAnsi="Palatino Linotype"/>
          <w:b/>
        </w:rPr>
      </w:pPr>
    </w:p>
    <w:p w14:paraId="1E2EB96F" w14:textId="4EAB4362" w:rsidR="00C77977" w:rsidRDefault="00D32DE1" w:rsidP="007E319E">
      <w:pPr>
        <w:spacing w:line="360" w:lineRule="auto"/>
        <w:contextualSpacing/>
        <w:jc w:val="both"/>
        <w:rPr>
          <w:rFonts w:ascii="Palatino Linotype" w:eastAsia="MS Mincho" w:hAnsi="Palatino Linotype" w:cs="Times New Roman"/>
          <w:sz w:val="24"/>
          <w:szCs w:val="24"/>
        </w:rPr>
      </w:pPr>
      <w:r>
        <w:rPr>
          <w:rFonts w:ascii="Palatino Linotype" w:eastAsia="MS Mincho" w:hAnsi="Palatino Linotype" w:cs="Times New Roman"/>
          <w:noProof/>
          <w:sz w:val="24"/>
          <w:szCs w:val="24"/>
          <w:lang w:eastAsia="es-MX"/>
        </w:rPr>
        <w:lastRenderedPageBreak/>
        <w:drawing>
          <wp:anchor distT="0" distB="0" distL="114300" distR="114300" simplePos="0" relativeHeight="251766784" behindDoc="0" locked="0" layoutInCell="1" allowOverlap="1" wp14:anchorId="0D0AAD78" wp14:editId="6078AEF5">
            <wp:simplePos x="0" y="0"/>
            <wp:positionH relativeFrom="column">
              <wp:posOffset>20955</wp:posOffset>
            </wp:positionH>
            <wp:positionV relativeFrom="paragraph">
              <wp:posOffset>3799205</wp:posOffset>
            </wp:positionV>
            <wp:extent cx="5753100" cy="3494405"/>
            <wp:effectExtent l="19050" t="19050" r="19050" b="10795"/>
            <wp:wrapThrough wrapText="bothSides">
              <wp:wrapPolygon edited="0">
                <wp:start x="-72" y="-118"/>
                <wp:lineTo x="-72" y="21549"/>
                <wp:lineTo x="21600" y="21549"/>
                <wp:lineTo x="21600" y="-118"/>
                <wp:lineTo x="-72" y="-118"/>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34944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eastAsia="MS Mincho" w:hAnsi="Palatino Linotype" w:cs="Times New Roman"/>
          <w:noProof/>
          <w:sz w:val="24"/>
          <w:szCs w:val="24"/>
          <w:lang w:eastAsia="es-MX"/>
        </w:rPr>
        <w:drawing>
          <wp:anchor distT="0" distB="0" distL="114300" distR="114300" simplePos="0" relativeHeight="251765760" behindDoc="0" locked="0" layoutInCell="1" allowOverlap="1" wp14:anchorId="78431818" wp14:editId="5C524BBF">
            <wp:simplePos x="0" y="0"/>
            <wp:positionH relativeFrom="column">
              <wp:posOffset>20955</wp:posOffset>
            </wp:positionH>
            <wp:positionV relativeFrom="paragraph">
              <wp:posOffset>19685</wp:posOffset>
            </wp:positionV>
            <wp:extent cx="5760720" cy="3494405"/>
            <wp:effectExtent l="19050" t="19050" r="11430" b="10795"/>
            <wp:wrapThrough wrapText="bothSides">
              <wp:wrapPolygon edited="0">
                <wp:start x="-71" y="-118"/>
                <wp:lineTo x="-71" y="21549"/>
                <wp:lineTo x="21571" y="21549"/>
                <wp:lineTo x="21571" y="-118"/>
                <wp:lineTo x="-71" y="-118"/>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4944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1373AAF" w14:textId="05AB3CA7" w:rsidR="00D32DE1" w:rsidRDefault="00D32DE1" w:rsidP="007E319E">
      <w:pPr>
        <w:spacing w:line="360" w:lineRule="auto"/>
        <w:contextualSpacing/>
        <w:jc w:val="both"/>
        <w:rPr>
          <w:rFonts w:ascii="Palatino Linotype" w:eastAsia="MS Mincho" w:hAnsi="Palatino Linotype" w:cs="Times New Roman"/>
          <w:sz w:val="24"/>
          <w:szCs w:val="24"/>
        </w:rPr>
      </w:pPr>
      <w:r>
        <w:rPr>
          <w:rFonts w:ascii="Palatino Linotype" w:eastAsia="MS Mincho" w:hAnsi="Palatino Linotype" w:cs="Times New Roman"/>
          <w:noProof/>
          <w:sz w:val="24"/>
          <w:szCs w:val="24"/>
          <w:lang w:eastAsia="es-MX"/>
        </w:rPr>
        <w:lastRenderedPageBreak/>
        <w:drawing>
          <wp:anchor distT="0" distB="0" distL="114300" distR="114300" simplePos="0" relativeHeight="251767808" behindDoc="0" locked="0" layoutInCell="1" allowOverlap="1" wp14:anchorId="1BFC0325" wp14:editId="4AAE8D05">
            <wp:simplePos x="0" y="0"/>
            <wp:positionH relativeFrom="column">
              <wp:posOffset>59055</wp:posOffset>
            </wp:positionH>
            <wp:positionV relativeFrom="paragraph">
              <wp:posOffset>19050</wp:posOffset>
            </wp:positionV>
            <wp:extent cx="5753100" cy="3494405"/>
            <wp:effectExtent l="19050" t="19050" r="19050" b="10795"/>
            <wp:wrapThrough wrapText="bothSides">
              <wp:wrapPolygon edited="0">
                <wp:start x="-72" y="-118"/>
                <wp:lineTo x="-72" y="21549"/>
                <wp:lineTo x="21600" y="21549"/>
                <wp:lineTo x="21600" y="-118"/>
                <wp:lineTo x="-72" y="-118"/>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34944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F392B47" w14:textId="01EC438B" w:rsidR="00D32DE1" w:rsidRDefault="00D32DE1" w:rsidP="007E319E">
      <w:pPr>
        <w:spacing w:line="360" w:lineRule="auto"/>
        <w:contextualSpacing/>
        <w:jc w:val="both"/>
        <w:rPr>
          <w:rFonts w:ascii="Palatino Linotype" w:eastAsia="MS Mincho" w:hAnsi="Palatino Linotype" w:cs="Times New Roman"/>
          <w:sz w:val="24"/>
          <w:szCs w:val="24"/>
        </w:rPr>
      </w:pPr>
    </w:p>
    <w:p w14:paraId="018CAACC" w14:textId="77777777" w:rsidR="00B14039" w:rsidRPr="008A7548" w:rsidRDefault="00B14039" w:rsidP="00B14039">
      <w:pPr>
        <w:spacing w:before="240" w:line="360" w:lineRule="auto"/>
        <w:jc w:val="both"/>
        <w:rPr>
          <w:rFonts w:ascii="Palatino Linotype" w:hAnsi="Palatino Linotype"/>
          <w:bCs/>
          <w:sz w:val="24"/>
          <w:szCs w:val="24"/>
        </w:rPr>
      </w:pPr>
      <w:r w:rsidRPr="008A7548">
        <w:rPr>
          <w:rFonts w:ascii="Palatino Linotype" w:hAnsi="Palatino Linotype"/>
          <w:bCs/>
          <w:sz w:val="24"/>
          <w:szCs w:val="24"/>
        </w:rPr>
        <w:t xml:space="preserve">De ahí que deba arribarse a las siguientes consideraciones: </w:t>
      </w:r>
    </w:p>
    <w:p w14:paraId="0C8114ED" w14:textId="695A8378" w:rsidR="00845083" w:rsidRPr="002647A6" w:rsidRDefault="00B14039" w:rsidP="0022494A">
      <w:pPr>
        <w:pStyle w:val="Prrafodelista"/>
        <w:numPr>
          <w:ilvl w:val="0"/>
          <w:numId w:val="4"/>
        </w:numPr>
        <w:spacing w:line="360" w:lineRule="auto"/>
        <w:contextualSpacing/>
        <w:jc w:val="both"/>
        <w:rPr>
          <w:rFonts w:ascii="Palatino Linotype" w:eastAsia="MS Mincho" w:hAnsi="Palatino Linotype"/>
        </w:rPr>
      </w:pPr>
      <w:r w:rsidRPr="008A7548">
        <w:rPr>
          <w:rFonts w:ascii="Palatino Linotype" w:hAnsi="Palatino Linotype"/>
          <w:bCs/>
        </w:rPr>
        <w:t>A través del derecho de acceso a la información pública fue</w:t>
      </w:r>
      <w:r w:rsidR="002647A6">
        <w:rPr>
          <w:rFonts w:ascii="Palatino Linotype" w:hAnsi="Palatino Linotype"/>
          <w:bCs/>
        </w:rPr>
        <w:t>ron requeridos:</w:t>
      </w:r>
    </w:p>
    <w:p w14:paraId="515A88A0" w14:textId="306397F7" w:rsidR="002647A6" w:rsidRDefault="002647A6" w:rsidP="002647A6">
      <w:pPr>
        <w:pStyle w:val="Prrafodelista"/>
        <w:numPr>
          <w:ilvl w:val="0"/>
          <w:numId w:val="11"/>
        </w:numPr>
        <w:spacing w:line="360" w:lineRule="auto"/>
        <w:jc w:val="both"/>
        <w:rPr>
          <w:rFonts w:ascii="Palatino Linotype" w:hAnsi="Palatino Linotype"/>
          <w:color w:val="000000"/>
        </w:rPr>
      </w:pPr>
      <w:r>
        <w:rPr>
          <w:rFonts w:ascii="Palatino Linotype" w:hAnsi="Palatino Linotype"/>
          <w:color w:val="000000"/>
        </w:rPr>
        <w:t xml:space="preserve">El o los documentos donde conste el nombre del personal médico de base y contrato adscrito al Centro Oncológico José Luis Barrera Franco, al treinta de junio de dos mil veintidós. </w:t>
      </w:r>
    </w:p>
    <w:p w14:paraId="193836CC" w14:textId="7E8F7259" w:rsidR="002647A6" w:rsidRPr="005317B6" w:rsidRDefault="002647A6" w:rsidP="002647A6">
      <w:pPr>
        <w:pStyle w:val="Prrafodelista"/>
        <w:numPr>
          <w:ilvl w:val="0"/>
          <w:numId w:val="11"/>
        </w:numPr>
        <w:spacing w:line="360" w:lineRule="auto"/>
        <w:jc w:val="both"/>
        <w:rPr>
          <w:rFonts w:ascii="Palatino Linotype" w:hAnsi="Palatino Linotype"/>
          <w:color w:val="000000"/>
        </w:rPr>
      </w:pPr>
      <w:r>
        <w:rPr>
          <w:rFonts w:ascii="Palatino Linotype" w:hAnsi="Palatino Linotype"/>
          <w:color w:val="000000"/>
        </w:rPr>
        <w:t>El o los documentos do</w:t>
      </w:r>
      <w:bookmarkStart w:id="0" w:name="_GoBack"/>
      <w:bookmarkEnd w:id="0"/>
      <w:r>
        <w:rPr>
          <w:rFonts w:ascii="Palatino Linotype" w:hAnsi="Palatino Linotype"/>
          <w:color w:val="000000"/>
        </w:rPr>
        <w:t xml:space="preserve">nde conste el salario mensual del personal médico de base y contrato adscrito al Centro Oncológico José Luis Barrera Franco, correspondientes al mes de junio de dos mil veintidós.  </w:t>
      </w:r>
    </w:p>
    <w:p w14:paraId="507270B4" w14:textId="77777777" w:rsidR="002647A6" w:rsidRPr="002647A6" w:rsidRDefault="002647A6" w:rsidP="002647A6">
      <w:pPr>
        <w:pStyle w:val="Prrafodelista"/>
        <w:spacing w:line="360" w:lineRule="auto"/>
        <w:ind w:left="720"/>
        <w:contextualSpacing/>
        <w:jc w:val="both"/>
        <w:rPr>
          <w:rFonts w:ascii="Palatino Linotype" w:eastAsia="MS Mincho" w:hAnsi="Palatino Linotype"/>
        </w:rPr>
      </w:pPr>
    </w:p>
    <w:p w14:paraId="4F0C8025" w14:textId="72B5BCA0" w:rsidR="00B14039" w:rsidRDefault="00B14039" w:rsidP="0022494A">
      <w:pPr>
        <w:pStyle w:val="Prrafodelista"/>
        <w:numPr>
          <w:ilvl w:val="0"/>
          <w:numId w:val="4"/>
        </w:numPr>
        <w:spacing w:line="360" w:lineRule="auto"/>
        <w:contextualSpacing/>
        <w:jc w:val="both"/>
        <w:rPr>
          <w:rFonts w:ascii="Palatino Linotype" w:eastAsia="MS Mincho" w:hAnsi="Palatino Linotype"/>
        </w:rPr>
      </w:pPr>
      <w:r w:rsidRPr="008A7548">
        <w:rPr>
          <w:rFonts w:ascii="Palatino Linotype" w:eastAsia="MS Mincho" w:hAnsi="Palatino Linotype"/>
        </w:rPr>
        <w:lastRenderedPageBreak/>
        <w:t xml:space="preserve">De una interpretación sistemática a los </w:t>
      </w:r>
      <w:r w:rsidR="002647A6">
        <w:rPr>
          <w:rFonts w:ascii="Palatino Linotype" w:eastAsia="MS Mincho" w:hAnsi="Palatino Linotype"/>
        </w:rPr>
        <w:t>apartados</w:t>
      </w:r>
      <w:r w:rsidR="002647A6" w:rsidRPr="0066552A">
        <w:rPr>
          <w:rFonts w:ascii="Palatino Linotype" w:hAnsi="Palatino Linotype"/>
          <w:b/>
          <w:bCs/>
        </w:rPr>
        <w:t>207C0401700000L</w:t>
      </w:r>
      <w:r w:rsidR="002647A6">
        <w:rPr>
          <w:rFonts w:ascii="Palatino Linotype" w:hAnsi="Palatino Linotype"/>
          <w:b/>
          <w:bCs/>
        </w:rPr>
        <w:t xml:space="preserve">, </w:t>
      </w:r>
      <w:r w:rsidR="002647A6" w:rsidRPr="0066552A">
        <w:rPr>
          <w:rFonts w:ascii="Palatino Linotype" w:hAnsi="Palatino Linotype"/>
          <w:b/>
          <w:bCs/>
        </w:rPr>
        <w:t>207C0401700001S</w:t>
      </w:r>
      <w:r w:rsidR="002647A6">
        <w:rPr>
          <w:rFonts w:ascii="Palatino Linotype" w:hAnsi="Palatino Linotype"/>
          <w:b/>
          <w:bCs/>
        </w:rPr>
        <w:t xml:space="preserve">, </w:t>
      </w:r>
      <w:r w:rsidR="002647A6" w:rsidRPr="0066552A">
        <w:rPr>
          <w:rFonts w:ascii="Palatino Linotype" w:hAnsi="Palatino Linotype"/>
          <w:b/>
          <w:bCs/>
        </w:rPr>
        <w:t>207C0401740000L</w:t>
      </w:r>
      <w:r w:rsidR="002647A6">
        <w:rPr>
          <w:rFonts w:ascii="Palatino Linotype" w:hAnsi="Palatino Linotype"/>
          <w:b/>
          <w:bCs/>
        </w:rPr>
        <w:t xml:space="preserve"> </w:t>
      </w:r>
      <w:r w:rsidR="002647A6" w:rsidRPr="002647A6">
        <w:rPr>
          <w:rFonts w:ascii="Palatino Linotype" w:hAnsi="Palatino Linotype"/>
        </w:rPr>
        <w:t>y</w:t>
      </w:r>
      <w:r w:rsidR="002647A6">
        <w:rPr>
          <w:rFonts w:ascii="Palatino Linotype" w:hAnsi="Palatino Linotype"/>
          <w:b/>
          <w:bCs/>
        </w:rPr>
        <w:t xml:space="preserve"> </w:t>
      </w:r>
      <w:r w:rsidR="002647A6" w:rsidRPr="0066552A">
        <w:rPr>
          <w:rFonts w:ascii="Palatino Linotype" w:hAnsi="Palatino Linotype" w:cs="Arial"/>
          <w:b/>
          <w:bCs/>
        </w:rPr>
        <w:t>207C0401740101L</w:t>
      </w:r>
      <w:r w:rsidR="002647A6">
        <w:rPr>
          <w:rFonts w:ascii="Palatino Linotype" w:hAnsi="Palatino Linotype" w:cs="Arial"/>
          <w:b/>
          <w:bCs/>
        </w:rPr>
        <w:t xml:space="preserve"> </w:t>
      </w:r>
      <w:r w:rsidR="002647A6">
        <w:rPr>
          <w:rFonts w:ascii="Palatino Linotype" w:hAnsi="Palatino Linotype" w:cs="Arial"/>
        </w:rPr>
        <w:t xml:space="preserve">se advierte que la </w:t>
      </w:r>
      <w:r w:rsidR="002647A6" w:rsidRPr="0066552A">
        <w:rPr>
          <w:rFonts w:ascii="Palatino Linotype" w:hAnsi="Palatino Linotype"/>
        </w:rPr>
        <w:t xml:space="preserve">Coordinación de Administración y Finanzas; Delegación Administrativa; </w:t>
      </w:r>
      <w:r w:rsidR="002647A6">
        <w:rPr>
          <w:rFonts w:ascii="Palatino Linotype" w:hAnsi="Palatino Linotype"/>
        </w:rPr>
        <w:t xml:space="preserve">Dirección de Administración y Desarrollo de Personal; </w:t>
      </w:r>
      <w:r w:rsidR="002647A6">
        <w:rPr>
          <w:rFonts w:ascii="Palatino Linotype" w:hAnsi="Palatino Linotype" w:cs="Arial"/>
        </w:rPr>
        <w:t xml:space="preserve">Departamento de Administración de Personal fungen como las unidades administrativas competentes para atender la solicitud de información </w:t>
      </w:r>
      <w:r w:rsidR="002647A6">
        <w:rPr>
          <w:rFonts w:ascii="Palatino Linotype" w:hAnsi="Palatino Linotype" w:cs="Arial"/>
          <w:b/>
          <w:bCs/>
        </w:rPr>
        <w:t xml:space="preserve">00573/ISSEMYM/IP/2022. </w:t>
      </w:r>
    </w:p>
    <w:p w14:paraId="4076443D" w14:textId="5E9A9A78" w:rsidR="002647A6" w:rsidRPr="0060680F" w:rsidRDefault="002647A6" w:rsidP="00AA65A9">
      <w:pPr>
        <w:pStyle w:val="Prrafodelista"/>
        <w:numPr>
          <w:ilvl w:val="0"/>
          <w:numId w:val="4"/>
        </w:numPr>
        <w:spacing w:line="360" w:lineRule="auto"/>
        <w:contextualSpacing/>
        <w:jc w:val="both"/>
        <w:rPr>
          <w:rFonts w:ascii="Palatino Linotype" w:eastAsia="MS Mincho" w:hAnsi="Palatino Linotype"/>
          <w:b/>
          <w:u w:val="single"/>
        </w:rPr>
      </w:pPr>
      <w:r>
        <w:rPr>
          <w:rFonts w:ascii="Palatino Linotype" w:hAnsi="Palatino Linotype" w:cs="Arial"/>
          <w:bCs/>
          <w:lang w:eastAsia="es-MX"/>
        </w:rPr>
        <w:t xml:space="preserve">Que de una interpretación </w:t>
      </w:r>
      <w:r w:rsidR="00520899">
        <w:rPr>
          <w:rFonts w:ascii="Palatino Linotype" w:hAnsi="Palatino Linotype" w:cs="Arial"/>
          <w:bCs/>
          <w:lang w:eastAsia="es-MX"/>
        </w:rPr>
        <w:t>literal al</w:t>
      </w:r>
      <w:r w:rsidR="0060680F" w:rsidRPr="008A7548">
        <w:rPr>
          <w:rFonts w:ascii="Palatino Linotype" w:eastAsia="MS Mincho" w:hAnsi="Palatino Linotype"/>
        </w:rPr>
        <w:t xml:space="preserve"> numeral 12 de la Ley de Transparencia local, los </w:t>
      </w:r>
      <w:r w:rsidR="0060680F" w:rsidRPr="008A7548">
        <w:rPr>
          <w:rFonts w:ascii="Palatino Linotype" w:eastAsia="MS Mincho" w:hAnsi="Palatino Linotype"/>
          <w:b/>
        </w:rPr>
        <w:t xml:space="preserve">Sujetos Obligados </w:t>
      </w:r>
      <w:r w:rsidR="0060680F" w:rsidRPr="008A7548">
        <w:rPr>
          <w:rFonts w:ascii="Palatino Linotype" w:eastAsia="MS Mincho" w:hAnsi="Palatino Linotype"/>
        </w:rPr>
        <w:t>se encuentran constreñidos a entregar la información pública que se les requiera y que obren en sus archivos. En sentido contrario, no se encuentran constreñidos a generar información</w:t>
      </w:r>
      <w:r w:rsidR="0060680F">
        <w:rPr>
          <w:rFonts w:ascii="Palatino Linotype" w:eastAsia="MS Mincho" w:hAnsi="Palatino Linotype"/>
        </w:rPr>
        <w:t xml:space="preserve"> para dar respuesta a las solicitudes de información formuladas por la ciudadanía. Hipótesis corroborada por el Órgano Garante Nacional mediante el </w:t>
      </w:r>
      <w:r w:rsidR="00520899">
        <w:rPr>
          <w:rFonts w:ascii="Palatino Linotype" w:eastAsia="MS Mincho" w:hAnsi="Palatino Linotype"/>
        </w:rPr>
        <w:t xml:space="preserve">criterio </w:t>
      </w:r>
      <w:r w:rsidR="0060680F" w:rsidRPr="0060680F">
        <w:rPr>
          <w:rFonts w:ascii="Palatino Linotype" w:eastAsia="MS Mincho" w:hAnsi="Palatino Linotype"/>
          <w:b/>
          <w:bCs/>
        </w:rPr>
        <w:t>01/2021</w:t>
      </w:r>
      <w:r w:rsidR="0060680F">
        <w:rPr>
          <w:rFonts w:ascii="Palatino Linotype" w:eastAsia="MS Mincho" w:hAnsi="Palatino Linotype"/>
          <w:b/>
          <w:bCs/>
        </w:rPr>
        <w:t xml:space="preserve"> </w:t>
      </w:r>
      <w:r w:rsidR="0060680F">
        <w:rPr>
          <w:rFonts w:ascii="Palatino Linotype" w:eastAsia="MS Mincho" w:hAnsi="Palatino Linotype"/>
        </w:rPr>
        <w:t>cuyo texto y rubro son los siguientes:</w:t>
      </w:r>
    </w:p>
    <w:p w14:paraId="557B80CA" w14:textId="63ED9DA3" w:rsidR="0060680F" w:rsidRDefault="00A565F5" w:rsidP="00A565F5">
      <w:pPr>
        <w:pStyle w:val="Citas"/>
        <w:ind w:right="-18"/>
        <w:rPr>
          <w:b/>
        </w:rPr>
      </w:pPr>
      <w:r>
        <w:rPr>
          <w:b/>
        </w:rPr>
        <w:t xml:space="preserve">“NO EXISTE OBLIGACIÓN DE ELABORAR DOCUMENTOS AD HOC PARA LA ATENCIÓN DE SOLICITUDES DE ACCESO A DATOS PERSONALES. </w:t>
      </w:r>
    </w:p>
    <w:p w14:paraId="26EDFAA9" w14:textId="21E47C26" w:rsidR="0060680F" w:rsidRDefault="0060680F" w:rsidP="00A565F5">
      <w:pPr>
        <w:pStyle w:val="Citas"/>
        <w:ind w:right="-18"/>
        <w:rPr>
          <w:color w:val="000000"/>
        </w:rPr>
      </w:pPr>
      <w:r>
        <w:t xml:space="preserve">Se tendrá por satisfecha la solicitud de acceso a datos personales cuando el sujeto obligado proporcione la expresión documental que los contenga en el formato en el que los mismos obren en sus archivos, sin necesidad de elaborar documentos ad hoc para la respuesta de las solicitudes. </w:t>
      </w:r>
    </w:p>
    <w:p w14:paraId="2902BA85" w14:textId="77777777" w:rsidR="0060680F" w:rsidRPr="001E0273" w:rsidRDefault="0060680F" w:rsidP="00A565F5">
      <w:pPr>
        <w:pStyle w:val="Citas"/>
        <w:ind w:right="-18"/>
        <w:rPr>
          <w:b/>
        </w:rPr>
      </w:pPr>
      <w:r>
        <w:rPr>
          <w:b/>
        </w:rPr>
        <w:t>Precedentes</w:t>
      </w:r>
      <w:r w:rsidRPr="001E0273">
        <w:rPr>
          <w:b/>
        </w:rPr>
        <w:t>:</w:t>
      </w:r>
    </w:p>
    <w:p w14:paraId="68BA4B18" w14:textId="77777777" w:rsidR="0060680F" w:rsidRPr="002B19F7" w:rsidRDefault="0060680F" w:rsidP="00A565F5">
      <w:pPr>
        <w:pStyle w:val="Citas"/>
        <w:ind w:right="-18"/>
        <w:rPr>
          <w:b/>
        </w:rPr>
      </w:pPr>
      <w:r w:rsidRPr="002B19F7">
        <w:lastRenderedPageBreak/>
        <w:t>Protección de datos personales. RRD 0164/20.</w:t>
      </w:r>
      <w:r w:rsidRPr="00E555D4">
        <w:t xml:space="preserve"> </w:t>
      </w:r>
      <w:r w:rsidRPr="002B19F7">
        <w:t xml:space="preserve">Sesión del 19 de febrero de 2020. Votación por mayoría. Con voto disidente de la Comisionada María Patricia </w:t>
      </w:r>
      <w:proofErr w:type="spellStart"/>
      <w:r w:rsidRPr="002B19F7">
        <w:t>Kurzczyn</w:t>
      </w:r>
      <w:proofErr w:type="spellEnd"/>
      <w:r w:rsidRPr="002B19F7">
        <w:t xml:space="preserve"> Villalobos.</w:t>
      </w:r>
      <w:r>
        <w:t xml:space="preserve"> Con votos particulares de la Comisionada Josefina Román Vergara y el Comisionado Oscar Mauricio Guerra Ford.</w:t>
      </w:r>
      <w:r w:rsidRPr="002B19F7">
        <w:t xml:space="preserve"> Comisión Federal de Electricidad. Comisionada Ponente Blanca Lilia Ibarra Cadena. </w:t>
      </w:r>
    </w:p>
    <w:p w14:paraId="4DDFBC32" w14:textId="77777777" w:rsidR="0060680F" w:rsidRPr="002B19F7" w:rsidRDefault="0060680F" w:rsidP="00A565F5">
      <w:pPr>
        <w:pStyle w:val="Citas"/>
        <w:ind w:right="-18"/>
        <w:rPr>
          <w:b/>
        </w:rPr>
      </w:pPr>
      <w:r w:rsidRPr="002B19F7">
        <w:t>Protección de datos personales. RRD 0153/20.</w:t>
      </w:r>
      <w:r w:rsidRPr="00E555D4">
        <w:t xml:space="preserve"> </w:t>
      </w:r>
      <w:r w:rsidRPr="002B19F7">
        <w:t xml:space="preserve">Sesión del 19 de febrero de 2020. Votación por mayoría. Con voto disidente de la Comisionada María Patricia </w:t>
      </w:r>
      <w:proofErr w:type="spellStart"/>
      <w:r w:rsidRPr="002B19F7">
        <w:t>Kurzczyn</w:t>
      </w:r>
      <w:proofErr w:type="spellEnd"/>
      <w:r w:rsidRPr="002B19F7">
        <w:t xml:space="preserve"> Villalobos.</w:t>
      </w:r>
      <w:r>
        <w:t xml:space="preserve"> Con votos particulares de la Comisionada Josefina Román Vergara y el Comisionado Oscar Mauricio Guerra Ford.</w:t>
      </w:r>
      <w:r w:rsidRPr="002B19F7">
        <w:t xml:space="preserve"> Comisión Federal de Electricidad. Comisionada Ponente Josefina Román Vergara.</w:t>
      </w:r>
    </w:p>
    <w:p w14:paraId="17611F44" w14:textId="3947E611" w:rsidR="0060680F" w:rsidRPr="00A565F5" w:rsidRDefault="0060680F" w:rsidP="00A565F5">
      <w:pPr>
        <w:pStyle w:val="Citas"/>
        <w:ind w:right="-18"/>
        <w:rPr>
          <w:rFonts w:eastAsia="MS Mincho"/>
          <w:b/>
          <w:bCs/>
          <w:u w:val="single"/>
        </w:rPr>
      </w:pPr>
      <w:r w:rsidRPr="002B19F7">
        <w:t>Protección de datos personales. RRD 0151/20.</w:t>
      </w:r>
      <w:r w:rsidRPr="00E555D4">
        <w:t xml:space="preserve"> </w:t>
      </w:r>
      <w:r w:rsidRPr="002B19F7">
        <w:t xml:space="preserve">Sesión del 20 de mayo de 2020. Votación por unanimidad. Con voto </w:t>
      </w:r>
      <w:r>
        <w:t>particular</w:t>
      </w:r>
      <w:r w:rsidRPr="002B19F7">
        <w:t xml:space="preserve"> de la Comisionada Josefina Román Vergara. Comisión Federal de Electricidad. Comisionado Ponente Francisco Javier Acuña Llamas</w:t>
      </w:r>
      <w:r w:rsidR="00A565F5">
        <w:t xml:space="preserve">” </w:t>
      </w:r>
      <w:r w:rsidR="00A565F5">
        <w:rPr>
          <w:b/>
          <w:bCs/>
        </w:rPr>
        <w:t>(Sic)</w:t>
      </w:r>
    </w:p>
    <w:p w14:paraId="2270242D" w14:textId="179686A9" w:rsidR="0060680F" w:rsidRDefault="0060680F" w:rsidP="0060680F">
      <w:pPr>
        <w:spacing w:line="360" w:lineRule="auto"/>
        <w:contextualSpacing/>
        <w:jc w:val="both"/>
        <w:rPr>
          <w:rFonts w:ascii="Palatino Linotype" w:eastAsia="MS Mincho" w:hAnsi="Palatino Linotype"/>
          <w:b/>
          <w:u w:val="single"/>
        </w:rPr>
      </w:pPr>
    </w:p>
    <w:p w14:paraId="4DAA51D5" w14:textId="77777777" w:rsidR="00A565F5" w:rsidRPr="002647A6" w:rsidRDefault="00A565F5" w:rsidP="00A565F5">
      <w:pPr>
        <w:pStyle w:val="Prrafodelista"/>
        <w:numPr>
          <w:ilvl w:val="0"/>
          <w:numId w:val="4"/>
        </w:numPr>
        <w:spacing w:line="360" w:lineRule="auto"/>
        <w:contextualSpacing/>
        <w:jc w:val="both"/>
        <w:rPr>
          <w:rFonts w:ascii="Palatino Linotype" w:eastAsia="MS Mincho" w:hAnsi="Palatino Linotype"/>
          <w:b/>
          <w:u w:val="single"/>
        </w:rPr>
      </w:pPr>
      <w:r w:rsidRPr="002647A6">
        <w:rPr>
          <w:rFonts w:ascii="Palatino Linotype" w:eastAsia="MS Mincho" w:hAnsi="Palatino Linotype"/>
        </w:rPr>
        <w:t xml:space="preserve">Mediante respuesta, </w:t>
      </w:r>
      <w:r w:rsidRPr="002647A6">
        <w:rPr>
          <w:rFonts w:ascii="Palatino Linotype" w:eastAsia="MS Mincho" w:hAnsi="Palatino Linotype"/>
          <w:b/>
        </w:rPr>
        <w:t xml:space="preserve">El Sujeto Obligado </w:t>
      </w:r>
      <w:r w:rsidRPr="002647A6">
        <w:rPr>
          <w:rFonts w:ascii="Palatino Linotype" w:eastAsia="MS Mincho" w:hAnsi="Palatino Linotype"/>
        </w:rPr>
        <w:t xml:space="preserve">remitió documento ad hoc que </w:t>
      </w:r>
      <w:r w:rsidRPr="002647A6">
        <w:rPr>
          <w:rFonts w:ascii="Palatino Linotype" w:hAnsi="Palatino Linotype" w:cs="Arial"/>
          <w:bCs/>
          <w:lang w:val="es-MX" w:eastAsia="es-MX"/>
        </w:rPr>
        <w:t>refleja nombre, sueldo base, sueldo neto y total.</w:t>
      </w:r>
    </w:p>
    <w:p w14:paraId="780A91CE" w14:textId="592BF266" w:rsidR="00EF697A" w:rsidRPr="008A7548" w:rsidRDefault="00520899" w:rsidP="0022494A">
      <w:pPr>
        <w:pStyle w:val="Prrafodelista"/>
        <w:numPr>
          <w:ilvl w:val="0"/>
          <w:numId w:val="4"/>
        </w:numPr>
        <w:spacing w:line="360" w:lineRule="auto"/>
        <w:contextualSpacing/>
        <w:jc w:val="both"/>
        <w:rPr>
          <w:rFonts w:ascii="Palatino Linotype" w:eastAsia="MS Mincho" w:hAnsi="Palatino Linotype"/>
        </w:rPr>
      </w:pPr>
      <w:r w:rsidRPr="008A7548">
        <w:rPr>
          <w:rFonts w:ascii="Palatino Linotype" w:eastAsia="MS Mincho" w:hAnsi="Palatino Linotype"/>
        </w:rPr>
        <w:t>Que,</w:t>
      </w:r>
      <w:r w:rsidR="00EF697A" w:rsidRPr="008A7548">
        <w:rPr>
          <w:rFonts w:ascii="Palatino Linotype" w:eastAsia="MS Mincho" w:hAnsi="Palatino Linotype"/>
        </w:rPr>
        <w:t xml:space="preserve"> de una interpretación literal</w:t>
      </w:r>
      <w:r w:rsidR="00A565F5">
        <w:rPr>
          <w:rFonts w:ascii="Palatino Linotype" w:eastAsia="MS Mincho" w:hAnsi="Palatino Linotype"/>
        </w:rPr>
        <w:t xml:space="preserve"> y gramatical </w:t>
      </w:r>
      <w:r>
        <w:rPr>
          <w:rFonts w:ascii="Palatino Linotype" w:eastAsia="MS Mincho" w:hAnsi="Palatino Linotype"/>
        </w:rPr>
        <w:t xml:space="preserve">al acto impugnado y </w:t>
      </w:r>
      <w:r w:rsidR="00A565F5">
        <w:rPr>
          <w:rFonts w:ascii="Palatino Linotype" w:eastAsia="MS Mincho" w:hAnsi="Palatino Linotype"/>
        </w:rPr>
        <w:t xml:space="preserve">motivos de inconformidad, se desprende que </w:t>
      </w:r>
      <w:r w:rsidR="00A565F5">
        <w:rPr>
          <w:rFonts w:ascii="Palatino Linotype" w:eastAsia="MS Mincho" w:hAnsi="Palatino Linotype"/>
          <w:b/>
          <w:bCs/>
        </w:rPr>
        <w:t>El Recurrente</w:t>
      </w:r>
      <w:r w:rsidR="00A565F5">
        <w:rPr>
          <w:rFonts w:ascii="Palatino Linotype" w:eastAsia="MS Mincho" w:hAnsi="Palatino Linotype"/>
        </w:rPr>
        <w:t xml:space="preserve"> </w:t>
      </w:r>
      <w:r>
        <w:rPr>
          <w:rFonts w:ascii="Palatino Linotype" w:eastAsia="MS Mincho" w:hAnsi="Palatino Linotype"/>
        </w:rPr>
        <w:t>interpuso</w:t>
      </w:r>
      <w:r w:rsidR="00A565F5">
        <w:rPr>
          <w:rFonts w:ascii="Palatino Linotype" w:eastAsia="MS Mincho" w:hAnsi="Palatino Linotype"/>
        </w:rPr>
        <w:t xml:space="preserve"> recurso de revisión, señalando que la información remitida se encuentra incompleta, luego entonces le resulta incomprensible. </w:t>
      </w:r>
    </w:p>
    <w:p w14:paraId="73D968E8" w14:textId="727F42D8" w:rsidR="00126F00" w:rsidRDefault="004C499C" w:rsidP="0022494A">
      <w:pPr>
        <w:pStyle w:val="Prrafodelista"/>
        <w:numPr>
          <w:ilvl w:val="0"/>
          <w:numId w:val="4"/>
        </w:numPr>
        <w:spacing w:line="360" w:lineRule="auto"/>
        <w:contextualSpacing/>
        <w:jc w:val="both"/>
        <w:rPr>
          <w:rFonts w:ascii="Palatino Linotype" w:eastAsia="MS Mincho" w:hAnsi="Palatino Linotype"/>
        </w:rPr>
      </w:pPr>
      <w:r w:rsidRPr="008A7548">
        <w:rPr>
          <w:rFonts w:ascii="Palatino Linotype" w:eastAsia="MS Mincho" w:hAnsi="Palatino Linotype"/>
        </w:rPr>
        <w:t>En contraste</w:t>
      </w:r>
      <w:r w:rsidR="001F71ED" w:rsidRPr="008A7548">
        <w:rPr>
          <w:rFonts w:ascii="Palatino Linotype" w:eastAsia="MS Mincho" w:hAnsi="Palatino Linotype"/>
        </w:rPr>
        <w:t xml:space="preserve">, en etapa de manifestaciones, </w:t>
      </w:r>
      <w:r w:rsidR="001F71ED" w:rsidRPr="008A7548">
        <w:rPr>
          <w:rFonts w:ascii="Palatino Linotype" w:eastAsia="MS Mincho" w:hAnsi="Palatino Linotype"/>
          <w:b/>
        </w:rPr>
        <w:t xml:space="preserve">El Sujeto Obligado </w:t>
      </w:r>
      <w:r w:rsidR="00126F00">
        <w:rPr>
          <w:rFonts w:ascii="Palatino Linotype" w:eastAsia="MS Mincho" w:hAnsi="Palatino Linotype"/>
        </w:rPr>
        <w:t xml:space="preserve">modificó su respuesta primigenia, al remitir nuevamente un documento ad hoc que refleja rubros novedosos, reflejando en su conjunto los relativos a </w:t>
      </w:r>
      <w:r w:rsidR="00126F00" w:rsidRPr="00D32DE1">
        <w:rPr>
          <w:rFonts w:ascii="Palatino Linotype" w:eastAsia="MS Mincho" w:hAnsi="Palatino Linotype"/>
          <w:bCs/>
          <w:lang w:val="es-MX"/>
        </w:rPr>
        <w:t xml:space="preserve">número progresivo, </w:t>
      </w:r>
      <w:r w:rsidR="00126F00" w:rsidRPr="00D32DE1">
        <w:rPr>
          <w:rFonts w:ascii="Palatino Linotype" w:eastAsia="MS Mincho" w:hAnsi="Palatino Linotype"/>
          <w:bCs/>
          <w:lang w:val="es-MX"/>
        </w:rPr>
        <w:lastRenderedPageBreak/>
        <w:t>nombre, sueldo base, total de percepciones</w:t>
      </w:r>
      <w:r w:rsidR="00126F00">
        <w:rPr>
          <w:rFonts w:ascii="Palatino Linotype" w:eastAsia="MS Mincho" w:hAnsi="Palatino Linotype"/>
          <w:bCs/>
          <w:lang w:val="es-MX"/>
        </w:rPr>
        <w:t xml:space="preserve"> (sueldo bruto) y sueldo neto pagado</w:t>
      </w:r>
      <w:r w:rsidR="001F726A">
        <w:rPr>
          <w:rFonts w:ascii="Palatino Linotype" w:eastAsia="MS Mincho" w:hAnsi="Palatino Linotype"/>
          <w:bCs/>
          <w:lang w:val="es-MX"/>
        </w:rPr>
        <w:t xml:space="preserve">, </w:t>
      </w:r>
      <w:r w:rsidR="001F726A" w:rsidRPr="001F726A">
        <w:rPr>
          <w:rFonts w:ascii="Palatino Linotype" w:eastAsia="MS Mincho" w:hAnsi="Palatino Linotype"/>
          <w:b/>
          <w:u w:val="single"/>
          <w:lang w:val="es-MX"/>
        </w:rPr>
        <w:t>es decir clarifica los conceptos aludidos.</w:t>
      </w:r>
      <w:r w:rsidR="00126F00">
        <w:rPr>
          <w:rFonts w:ascii="Palatino Linotype" w:eastAsia="MS Mincho" w:hAnsi="Palatino Linotype"/>
          <w:bCs/>
          <w:lang w:val="es-MX"/>
        </w:rPr>
        <w:t xml:space="preserve"> </w:t>
      </w:r>
      <w:r w:rsidR="00F827EF" w:rsidRPr="001F726A">
        <w:rPr>
          <w:rFonts w:ascii="Palatino Linotype" w:eastAsia="MS Mincho" w:hAnsi="Palatino Linotype"/>
          <w:b/>
          <w:u w:val="single"/>
          <w:lang w:val="es-MX"/>
        </w:rPr>
        <w:t xml:space="preserve">Asimismo, </w:t>
      </w:r>
      <w:r w:rsidR="001F726A" w:rsidRPr="001F726A">
        <w:rPr>
          <w:rFonts w:ascii="Palatino Linotype" w:eastAsia="MS Mincho" w:hAnsi="Palatino Linotype"/>
          <w:b/>
          <w:u w:val="single"/>
          <w:lang w:val="es-MX"/>
        </w:rPr>
        <w:t xml:space="preserve">como información novedosa </w:t>
      </w:r>
      <w:r w:rsidR="00F827EF" w:rsidRPr="001F726A">
        <w:rPr>
          <w:rFonts w:ascii="Palatino Linotype" w:eastAsia="MS Mincho" w:hAnsi="Palatino Linotype"/>
          <w:b/>
          <w:u w:val="single"/>
          <w:lang w:val="es-MX"/>
        </w:rPr>
        <w:t>precis</w:t>
      </w:r>
      <w:r w:rsidR="00520899" w:rsidRPr="001F726A">
        <w:rPr>
          <w:rFonts w:ascii="Palatino Linotype" w:eastAsia="MS Mincho" w:hAnsi="Palatino Linotype"/>
          <w:b/>
          <w:u w:val="single"/>
          <w:lang w:val="es-MX"/>
        </w:rPr>
        <w:t>ó</w:t>
      </w:r>
      <w:r w:rsidR="00F827EF" w:rsidRPr="001F726A">
        <w:rPr>
          <w:rFonts w:ascii="Palatino Linotype" w:eastAsia="MS Mincho" w:hAnsi="Palatino Linotype"/>
          <w:b/>
          <w:u w:val="single"/>
          <w:lang w:val="es-MX"/>
        </w:rPr>
        <w:t xml:space="preserve"> el número de médicos de base</w:t>
      </w:r>
      <w:r w:rsidR="00520899" w:rsidRPr="001F726A">
        <w:rPr>
          <w:rFonts w:ascii="Palatino Linotype" w:eastAsia="MS Mincho" w:hAnsi="Palatino Linotype"/>
          <w:b/>
          <w:u w:val="single"/>
          <w:lang w:val="es-MX"/>
        </w:rPr>
        <w:t xml:space="preserve"> 69 -sesenta y nueve-</w:t>
      </w:r>
      <w:r w:rsidR="00F827EF" w:rsidRPr="001F726A">
        <w:rPr>
          <w:rFonts w:ascii="Palatino Linotype" w:eastAsia="MS Mincho" w:hAnsi="Palatino Linotype"/>
          <w:b/>
          <w:u w:val="single"/>
          <w:lang w:val="es-MX"/>
        </w:rPr>
        <w:t xml:space="preserve"> y contrato </w:t>
      </w:r>
      <w:r w:rsidR="00520899" w:rsidRPr="001F726A">
        <w:rPr>
          <w:rFonts w:ascii="Palatino Linotype" w:eastAsia="MS Mincho" w:hAnsi="Palatino Linotype"/>
          <w:b/>
          <w:u w:val="single"/>
          <w:lang w:val="es-MX"/>
        </w:rPr>
        <w:t xml:space="preserve">0 -cero- </w:t>
      </w:r>
      <w:r w:rsidR="00F827EF" w:rsidRPr="001F726A">
        <w:rPr>
          <w:rFonts w:ascii="Palatino Linotype" w:eastAsia="MS Mincho" w:hAnsi="Palatino Linotype"/>
          <w:b/>
          <w:u w:val="single"/>
          <w:lang w:val="es-MX"/>
        </w:rPr>
        <w:t>adscritos a la multicitada unidad médica.</w:t>
      </w:r>
      <w:r w:rsidR="00F827EF">
        <w:rPr>
          <w:rFonts w:ascii="Palatino Linotype" w:eastAsia="MS Mincho" w:hAnsi="Palatino Linotype"/>
          <w:bCs/>
          <w:lang w:val="es-MX"/>
        </w:rPr>
        <w:t xml:space="preserve"> </w:t>
      </w:r>
    </w:p>
    <w:p w14:paraId="0EAB46BD" w14:textId="433415DC" w:rsidR="001F71ED" w:rsidRDefault="001F71ED" w:rsidP="001F71ED">
      <w:pPr>
        <w:spacing w:line="360" w:lineRule="auto"/>
        <w:contextualSpacing/>
        <w:jc w:val="both"/>
        <w:rPr>
          <w:rFonts w:ascii="Palatino Linotype" w:eastAsia="MS Mincho" w:hAnsi="Palatino Linotype"/>
        </w:rPr>
      </w:pPr>
    </w:p>
    <w:p w14:paraId="4718776F" w14:textId="77777777" w:rsidR="00F827EF" w:rsidRDefault="00F827EF" w:rsidP="00F827EF">
      <w:pPr>
        <w:tabs>
          <w:tab w:val="left" w:pos="709"/>
        </w:tabs>
        <w:spacing w:before="240" w:line="360" w:lineRule="auto"/>
        <w:ind w:right="51"/>
        <w:jc w:val="both"/>
        <w:rPr>
          <w:rFonts w:ascii="Palatino Linotype" w:hAnsi="Palatino Linotype" w:cs="Arial"/>
          <w:sz w:val="24"/>
          <w:szCs w:val="24"/>
        </w:rPr>
      </w:pPr>
      <w:r>
        <w:rPr>
          <w:rFonts w:ascii="Palatino Linotype" w:hAnsi="Palatino Linotype" w:cs="Arial"/>
          <w:sz w:val="24"/>
          <w:szCs w:val="24"/>
        </w:rPr>
        <w:t>En este sentido, por lo que hace a las causas de sobreseimiento contenidas en el artículo 192 de la Ley de Transparencia y Acceso a la Información Pública del Estado de México y Municipios, es oportuno señalar que estos requisitos privilegian la existencia de elementos de fondo, tales como el desistimiento o fallecimiento del</w:t>
      </w:r>
      <w:r>
        <w:rPr>
          <w:rFonts w:ascii="Palatino Linotype" w:hAnsi="Palatino Linotype" w:cs="Arial"/>
          <w:b/>
          <w:sz w:val="24"/>
          <w:szCs w:val="24"/>
        </w:rPr>
        <w:t xml:space="preserve"> Recurrente </w:t>
      </w:r>
      <w:r>
        <w:rPr>
          <w:rFonts w:ascii="Palatino Linotype" w:hAnsi="Palatino Linotype" w:cs="Arial"/>
          <w:sz w:val="24"/>
          <w:szCs w:val="24"/>
        </w:rPr>
        <w:t xml:space="preserve">o que el </w:t>
      </w:r>
      <w:r>
        <w:rPr>
          <w:rFonts w:ascii="Palatino Linotype" w:hAnsi="Palatino Linotype" w:cs="Arial"/>
          <w:b/>
          <w:sz w:val="24"/>
          <w:szCs w:val="24"/>
        </w:rPr>
        <w:t xml:space="preserve">Sujeto Obligado </w:t>
      </w:r>
      <w:r>
        <w:rPr>
          <w:rFonts w:ascii="Palatino Linotype" w:hAnsi="Palatino Linotype" w:cs="Arial"/>
          <w:b/>
          <w:sz w:val="24"/>
          <w:szCs w:val="24"/>
          <w:u w:val="single"/>
        </w:rPr>
        <w:t xml:space="preserve">modifique el acto; </w:t>
      </w:r>
      <w:r>
        <w:rPr>
          <w:rFonts w:ascii="Palatino Linotype" w:hAnsi="Palatino Linotype" w:cs="Arial"/>
          <w:sz w:val="24"/>
          <w:szCs w:val="24"/>
        </w:rPr>
        <w:t xml:space="preserve">de ahí que la actualización de alguno de éstos trae como consecuencia que el medio de impugnación se concluya sin que se analice el objeto de estudio planteado, es decir se sobresea. </w:t>
      </w:r>
    </w:p>
    <w:p w14:paraId="10AAC182" w14:textId="77777777" w:rsidR="00F827EF" w:rsidRDefault="00F827EF" w:rsidP="00F827EF">
      <w:pPr>
        <w:spacing w:line="360" w:lineRule="auto"/>
        <w:jc w:val="both"/>
        <w:rPr>
          <w:rFonts w:ascii="Palatino Linotype" w:hAnsi="Palatino Linotype" w:cs="Arial"/>
          <w:sz w:val="24"/>
          <w:szCs w:val="24"/>
        </w:rPr>
      </w:pPr>
      <w:r>
        <w:rPr>
          <w:rFonts w:ascii="Palatino Linotype" w:hAnsi="Palatino Linotype" w:cs="Arial"/>
          <w:sz w:val="24"/>
          <w:szCs w:val="24"/>
        </w:rPr>
        <w:t>Por otra parte, la doctrina del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01CE4616" w14:textId="77777777" w:rsidR="00F827EF" w:rsidRDefault="00F827EF" w:rsidP="00F827EF">
      <w:pPr>
        <w:spacing w:line="360" w:lineRule="auto"/>
        <w:ind w:left="851" w:right="851"/>
        <w:jc w:val="both"/>
        <w:rPr>
          <w:rFonts w:ascii="Palatino Linotype" w:hAnsi="Palatino Linotype" w:cs="Arial"/>
          <w:b/>
          <w:i/>
        </w:rPr>
      </w:pPr>
      <w:r>
        <w:rPr>
          <w:rFonts w:ascii="Palatino Linotype" w:hAnsi="Palatino Linotype" w:cs="Arial"/>
          <w:b/>
          <w:i/>
        </w:rPr>
        <w:t>“SOBRESEIMIENTO EN EL JUICIO DE AMPARO DIRECTO. IMPIDE EL ESTUDIO DE LAS VIOLACIONES PROCESALES PLANTEADAS EN LOS CONCEPTOS DE VIOLACIÓN.</w:t>
      </w:r>
    </w:p>
    <w:p w14:paraId="616373C3" w14:textId="77777777" w:rsidR="00F827EF" w:rsidRDefault="00F827EF" w:rsidP="00F827EF">
      <w:pPr>
        <w:spacing w:line="360" w:lineRule="auto"/>
        <w:ind w:left="851" w:right="851"/>
        <w:jc w:val="both"/>
        <w:rPr>
          <w:rFonts w:ascii="Palatino Linotype" w:hAnsi="Palatino Linotype"/>
          <w:i/>
          <w:color w:val="000000"/>
        </w:rPr>
      </w:pPr>
      <w:r>
        <w:rPr>
          <w:rFonts w:ascii="Palatino Linotype" w:hAnsi="Palatino Linotype" w:cs="Arial"/>
          <w:b/>
          <w:i/>
          <w:u w:val="single"/>
        </w:rPr>
        <w:t>El sobreseimiento</w:t>
      </w:r>
      <w:r>
        <w:rPr>
          <w:rFonts w:ascii="Palatino Linotype" w:hAnsi="Palatino Linotype" w:cs="Arial"/>
          <w:b/>
          <w:i/>
        </w:rPr>
        <w:t xml:space="preserve"> </w:t>
      </w:r>
      <w:r>
        <w:rPr>
          <w:rFonts w:ascii="Palatino Linotype" w:hAnsi="Palatino Linotype" w:cs="Arial"/>
          <w:i/>
        </w:rPr>
        <w:t xml:space="preserve">en el juicio de amparo directo </w:t>
      </w:r>
      <w:r>
        <w:rPr>
          <w:rFonts w:ascii="Palatino Linotype" w:hAnsi="Palatino Linotype" w:cs="Arial"/>
          <w:b/>
          <w:i/>
          <w:u w:val="single"/>
        </w:rPr>
        <w:t>provoca la terminación de la controversia planteada</w:t>
      </w:r>
      <w:r>
        <w:rPr>
          <w:rFonts w:ascii="Palatino Linotype" w:hAnsi="Palatino Linotype" w:cs="Arial"/>
          <w:b/>
          <w:i/>
        </w:rPr>
        <w:t xml:space="preserve"> </w:t>
      </w:r>
      <w:r>
        <w:rPr>
          <w:rFonts w:ascii="Palatino Linotype" w:hAnsi="Palatino Linotype" w:cs="Arial"/>
          <w:i/>
        </w:rPr>
        <w:t>por el quejoso en la demanda de amparo</w:t>
      </w:r>
      <w:r>
        <w:rPr>
          <w:rFonts w:ascii="Calibri" w:hAnsi="Calibri"/>
          <w:color w:val="000000"/>
          <w:sz w:val="26"/>
          <w:szCs w:val="26"/>
        </w:rPr>
        <w:t xml:space="preserve"> </w:t>
      </w:r>
      <w:r>
        <w:rPr>
          <w:rFonts w:ascii="Palatino Linotype" w:hAnsi="Palatino Linotype"/>
          <w:i/>
          <w:color w:val="000000"/>
        </w:rPr>
        <w:t xml:space="preserve">provoca la terminación de la controversia planteada por el quejoso en la demanda de </w:t>
      </w:r>
      <w:r>
        <w:rPr>
          <w:rFonts w:ascii="Palatino Linotype" w:hAnsi="Palatino Linotype"/>
          <w:b/>
          <w:i/>
          <w:color w:val="000000"/>
        </w:rPr>
        <w:t>amparo</w:t>
      </w:r>
      <w:r>
        <w:rPr>
          <w:rFonts w:ascii="Palatino Linotype" w:hAnsi="Palatino Linotype"/>
          <w:i/>
          <w:color w:val="000000"/>
        </w:rPr>
        <w:t xml:space="preserve">, </w:t>
      </w:r>
      <w:r>
        <w:rPr>
          <w:rFonts w:ascii="Palatino Linotype" w:hAnsi="Palatino Linotype"/>
          <w:i/>
          <w:color w:val="000000"/>
        </w:rPr>
        <w:lastRenderedPageBreak/>
        <w:t>sin hacer un pronunciamiento de fondo sobre la legalidad o ilegalidad de la sentencia reclamada. Por consiguiente, si al sobreseerse en el</w:t>
      </w:r>
      <w:r>
        <w:rPr>
          <w:rFonts w:ascii="Palatino Linotype" w:hAnsi="Palatino Linotype"/>
          <w:b/>
          <w:i/>
          <w:color w:val="000000"/>
        </w:rPr>
        <w:t xml:space="preserve"> juicio </w:t>
      </w:r>
      <w:r>
        <w:rPr>
          <w:rFonts w:ascii="Palatino Linotype" w:hAnsi="Palatino Linotype"/>
          <w:i/>
          <w:color w:val="000000"/>
        </w:rPr>
        <w:t xml:space="preserve">de </w:t>
      </w:r>
      <w:r>
        <w:rPr>
          <w:rFonts w:ascii="Palatino Linotype" w:hAnsi="Palatino Linotype"/>
          <w:b/>
          <w:i/>
          <w:color w:val="000000"/>
        </w:rPr>
        <w:t>amparo</w:t>
      </w:r>
      <w:r>
        <w:rPr>
          <w:rFonts w:ascii="Palatino Linotype" w:hAnsi="Palatino Linotype"/>
          <w:i/>
          <w:color w:val="000000"/>
        </w:rPr>
        <w:t xml:space="preserve"> no se pueden estudiar los planteamientos que se hacen valer en contra del fallo reclamado, tampoco se deben analizar las</w:t>
      </w:r>
      <w:r>
        <w:rPr>
          <w:rFonts w:ascii="Palatino Linotype" w:hAnsi="Palatino Linotype"/>
          <w:b/>
          <w:i/>
          <w:color w:val="000000"/>
        </w:rPr>
        <w:t xml:space="preserve"> violaciones procesales</w:t>
      </w:r>
      <w:r>
        <w:rPr>
          <w:rFonts w:ascii="Palatino Linotype" w:hAnsi="Palatino Linotype"/>
          <w:i/>
          <w:color w:val="000000"/>
        </w:rPr>
        <w:t xml:space="preserve"> propuestas en los </w:t>
      </w:r>
      <w:r>
        <w:rPr>
          <w:rFonts w:ascii="Palatino Linotype" w:hAnsi="Palatino Linotype"/>
          <w:b/>
          <w:i/>
          <w:color w:val="000000"/>
        </w:rPr>
        <w:t xml:space="preserve">conceptos </w:t>
      </w:r>
      <w:r>
        <w:rPr>
          <w:rFonts w:ascii="Palatino Linotype" w:hAnsi="Palatino Linotype"/>
          <w:i/>
          <w:color w:val="000000"/>
        </w:rPr>
        <w:t xml:space="preserve">de </w:t>
      </w:r>
      <w:r>
        <w:rPr>
          <w:rFonts w:ascii="Palatino Linotype" w:hAnsi="Palatino Linotype"/>
          <w:b/>
          <w:i/>
          <w:color w:val="000000"/>
        </w:rPr>
        <w:t>violación</w:t>
      </w:r>
      <w:r>
        <w:rPr>
          <w:rFonts w:ascii="Palatino Linotype" w:hAnsi="Palatino Linotype"/>
          <w:i/>
          <w:color w:val="000000"/>
        </w:rPr>
        <w:t xml:space="preserve">, dado que, la principal consecuencia del </w:t>
      </w:r>
      <w:r>
        <w:rPr>
          <w:rFonts w:ascii="Palatino Linotype" w:hAnsi="Palatino Linotype"/>
          <w:b/>
          <w:i/>
          <w:color w:val="000000"/>
        </w:rPr>
        <w:t>sobreseimiento</w:t>
      </w:r>
      <w:r>
        <w:rPr>
          <w:rFonts w:ascii="Palatino Linotype" w:hAnsi="Palatino Linotype"/>
          <w:i/>
          <w:color w:val="000000"/>
        </w:rPr>
        <w:t xml:space="preserve"> es poner fin al </w:t>
      </w:r>
      <w:r>
        <w:rPr>
          <w:rFonts w:ascii="Palatino Linotype" w:hAnsi="Palatino Linotype"/>
          <w:b/>
          <w:i/>
          <w:color w:val="000000"/>
        </w:rPr>
        <w:t xml:space="preserve">juicio </w:t>
      </w:r>
      <w:r>
        <w:rPr>
          <w:rFonts w:ascii="Palatino Linotype" w:hAnsi="Palatino Linotype"/>
          <w:i/>
          <w:color w:val="000000"/>
        </w:rPr>
        <w:t xml:space="preserve">de </w:t>
      </w:r>
      <w:r>
        <w:rPr>
          <w:rFonts w:ascii="Palatino Linotype" w:hAnsi="Palatino Linotype"/>
          <w:b/>
          <w:i/>
          <w:color w:val="000000"/>
        </w:rPr>
        <w:t xml:space="preserve">amparo </w:t>
      </w:r>
      <w:r>
        <w:rPr>
          <w:rFonts w:ascii="Palatino Linotype" w:hAnsi="Palatino Linotype"/>
          <w:i/>
          <w:color w:val="000000"/>
        </w:rPr>
        <w:t>sin resolver la controversia en sus méritos.  </w:t>
      </w:r>
    </w:p>
    <w:p w14:paraId="3F5CDB68" w14:textId="77777777" w:rsidR="00F827EF" w:rsidRDefault="00F827EF" w:rsidP="00F827EF">
      <w:pPr>
        <w:spacing w:line="360" w:lineRule="auto"/>
        <w:ind w:left="851" w:right="851"/>
        <w:jc w:val="both"/>
        <w:rPr>
          <w:rFonts w:ascii="Palatino Linotype" w:hAnsi="Palatino Linotype" w:cs="Arial"/>
          <w:b/>
          <w:i/>
        </w:rPr>
      </w:pPr>
      <w:r>
        <w:rPr>
          <w:rFonts w:ascii="Palatino Linotype" w:hAnsi="Palatino Linotype" w:cs="Arial"/>
          <w:b/>
          <w:i/>
        </w:rPr>
        <w:t>SÉPTIMO TRIBUNAL COLEGIADO EN MATERIA CIVIL DEL PRIMER CIRCUITO.</w:t>
      </w:r>
    </w:p>
    <w:p w14:paraId="6859EDE9" w14:textId="77777777" w:rsidR="00F827EF" w:rsidRDefault="00F827EF" w:rsidP="00F827EF">
      <w:pPr>
        <w:spacing w:line="360" w:lineRule="auto"/>
        <w:ind w:left="851" w:right="851"/>
        <w:jc w:val="both"/>
        <w:rPr>
          <w:rFonts w:ascii="Palatino Linotype" w:hAnsi="Palatino Linotype" w:cs="Arial"/>
          <w:i/>
        </w:rPr>
      </w:pPr>
      <w:r>
        <w:rPr>
          <w:rFonts w:ascii="Palatino Linotype" w:hAnsi="Palatino Linotype" w:cs="Arial"/>
          <w:i/>
        </w:rPr>
        <w:t xml:space="preserve">Amparo directo 699/2008. Mariana Leticia González </w:t>
      </w:r>
      <w:proofErr w:type="spellStart"/>
      <w:r>
        <w:rPr>
          <w:rFonts w:ascii="Palatino Linotype" w:hAnsi="Palatino Linotype" w:cs="Arial"/>
          <w:i/>
        </w:rPr>
        <w:t>Steele</w:t>
      </w:r>
      <w:proofErr w:type="spellEnd"/>
      <w:r>
        <w:rPr>
          <w:rFonts w:ascii="Palatino Linotype" w:hAnsi="Palatino Linotype" w:cs="Arial"/>
          <w:i/>
        </w:rPr>
        <w:t>. 13 de noviembre de 2008. Unanimidad de votos. Ponente: Sara Judith Montalvo Trejo. Secretario: Arnulfo Mateos García.”</w:t>
      </w:r>
      <w:r>
        <w:rPr>
          <w:rFonts w:ascii="Palatino Linotype" w:eastAsia="Times New Roman" w:hAnsi="Palatino Linotype" w:cs="Times New Roman"/>
          <w:b/>
          <w:i/>
          <w:lang w:val="es-ES_tradnl" w:eastAsia="es-ES"/>
        </w:rPr>
        <w:t xml:space="preserve"> [Sic]</w:t>
      </w:r>
    </w:p>
    <w:p w14:paraId="5D08E846" w14:textId="77777777" w:rsidR="00F827EF" w:rsidRDefault="00F827EF" w:rsidP="00F827EF">
      <w:pPr>
        <w:ind w:right="141"/>
        <w:jc w:val="both"/>
        <w:rPr>
          <w:rFonts w:ascii="Palatino Linotype" w:hAnsi="Palatino Linotype" w:cs="Arial"/>
        </w:rPr>
      </w:pPr>
    </w:p>
    <w:p w14:paraId="39C39D19" w14:textId="77777777" w:rsidR="00F827EF" w:rsidRDefault="00F827EF" w:rsidP="00F827EF">
      <w:pPr>
        <w:spacing w:line="360" w:lineRule="auto"/>
        <w:jc w:val="both"/>
        <w:rPr>
          <w:rFonts w:ascii="Palatino Linotype" w:hAnsi="Palatino Linotype" w:cs="Arial"/>
          <w:sz w:val="24"/>
          <w:szCs w:val="24"/>
        </w:rPr>
      </w:pPr>
      <w:r>
        <w:rPr>
          <w:rFonts w:ascii="Palatino Linotype" w:hAnsi="Palatino Linotype" w:cs="Arial"/>
          <w:sz w:val="24"/>
          <w:szCs w:val="24"/>
        </w:rPr>
        <w:t xml:space="preserve">De este modo, se puede deducir </w:t>
      </w:r>
      <w:proofErr w:type="gramStart"/>
      <w:r>
        <w:rPr>
          <w:rFonts w:ascii="Palatino Linotype" w:hAnsi="Palatino Linotype" w:cs="Arial"/>
          <w:sz w:val="24"/>
          <w:szCs w:val="24"/>
        </w:rPr>
        <w:t>que</w:t>
      </w:r>
      <w:proofErr w:type="gramEnd"/>
      <w:r>
        <w:rPr>
          <w:rFonts w:ascii="Palatino Linotype" w:hAnsi="Palatino Linotype" w:cs="Arial"/>
          <w:sz w:val="24"/>
          <w:szCs w:val="24"/>
        </w:rPr>
        <w:t xml:space="preserve"> en las resoluciones dictadas por el Pleno de este Instituto, en las que se decreta el sobreseimiento de un recurso de revisión por la actualización de alguno de los supuestos jurídicos contemplados en el </w:t>
      </w:r>
      <w:r>
        <w:rPr>
          <w:rFonts w:ascii="Palatino Linotype" w:hAnsi="Palatino Linotype" w:cs="Arial"/>
          <w:b/>
          <w:sz w:val="24"/>
          <w:szCs w:val="24"/>
        </w:rPr>
        <w:t xml:space="preserve">artículo 192 </w:t>
      </w:r>
      <w:r>
        <w:rPr>
          <w:rFonts w:ascii="Palatino Linotype" w:hAnsi="Palatino Linotype" w:cs="Arial"/>
          <w:sz w:val="24"/>
          <w:szCs w:val="24"/>
        </w:rPr>
        <w:t xml:space="preserve">de la </w:t>
      </w:r>
      <w:r>
        <w:rPr>
          <w:rFonts w:ascii="Palatino Linotype" w:hAnsi="Palatino Linotype" w:cs="Arial"/>
          <w:b/>
          <w:sz w:val="24"/>
          <w:szCs w:val="24"/>
        </w:rPr>
        <w:t xml:space="preserve">Ley de Transparencia y Acceso a la Información Pública del Estado de México y Municipios, </w:t>
      </w:r>
      <w:r>
        <w:rPr>
          <w:rFonts w:ascii="Palatino Linotype" w:hAnsi="Palatino Linotype" w:cs="Arial"/>
          <w:sz w:val="24"/>
          <w:szCs w:val="24"/>
        </w:rPr>
        <w:t xml:space="preserve">nos encontramos ante un sobreseimiento definitivo toda vez que pone fin al procedimiento sin entrar al estudio de fondo del mismo. </w:t>
      </w:r>
    </w:p>
    <w:p w14:paraId="206E8F7E" w14:textId="77777777" w:rsidR="00F827EF" w:rsidRDefault="00F827EF" w:rsidP="00F827EF">
      <w:pPr>
        <w:spacing w:line="360" w:lineRule="auto"/>
        <w:jc w:val="both"/>
        <w:rPr>
          <w:rFonts w:ascii="Palatino Linotype" w:hAnsi="Palatino Linotype" w:cs="Arial"/>
          <w:b/>
          <w:sz w:val="24"/>
          <w:szCs w:val="24"/>
        </w:rPr>
      </w:pPr>
      <w:r>
        <w:rPr>
          <w:rFonts w:ascii="Palatino Linotype" w:hAnsi="Palatino Linotype" w:cs="Arial"/>
          <w:sz w:val="24"/>
          <w:szCs w:val="24"/>
        </w:rPr>
        <w:t xml:space="preserve">Para los efectos de esta resolución, resulta oportuno precisar los alcances jurídicos de la </w:t>
      </w:r>
      <w:r>
        <w:rPr>
          <w:rFonts w:ascii="Palatino Linotype" w:hAnsi="Palatino Linotype" w:cs="Arial"/>
          <w:b/>
          <w:sz w:val="24"/>
          <w:szCs w:val="24"/>
        </w:rPr>
        <w:t xml:space="preserve">fracción III </w:t>
      </w:r>
      <w:r>
        <w:rPr>
          <w:rFonts w:ascii="Palatino Linotype" w:hAnsi="Palatino Linotype" w:cs="Arial"/>
          <w:sz w:val="24"/>
          <w:szCs w:val="24"/>
        </w:rPr>
        <w:t xml:space="preserve">de la disposición legal transcrita. Así, procede el sobreseimiento del recurso de revisión cuando el </w:t>
      </w:r>
      <w:r>
        <w:rPr>
          <w:rFonts w:ascii="Palatino Linotype" w:hAnsi="Palatino Linotype" w:cs="Arial"/>
          <w:b/>
          <w:sz w:val="24"/>
          <w:szCs w:val="24"/>
        </w:rPr>
        <w:t xml:space="preserve">Sujeto Obligado: </w:t>
      </w:r>
    </w:p>
    <w:p w14:paraId="4C838C38" w14:textId="77777777" w:rsidR="00F827EF" w:rsidRDefault="00F827EF" w:rsidP="00F827EF">
      <w:pPr>
        <w:pStyle w:val="Prrafodelista"/>
        <w:numPr>
          <w:ilvl w:val="0"/>
          <w:numId w:val="13"/>
        </w:numPr>
        <w:spacing w:line="360" w:lineRule="auto"/>
        <w:ind w:right="851"/>
        <w:jc w:val="both"/>
        <w:rPr>
          <w:rFonts w:ascii="Palatino Linotype" w:hAnsi="Palatino Linotype" w:cs="Arial"/>
          <w:b/>
        </w:rPr>
      </w:pPr>
      <w:r>
        <w:rPr>
          <w:rFonts w:ascii="Palatino Linotype" w:hAnsi="Palatino Linotype" w:cs="Arial"/>
          <w:b/>
        </w:rPr>
        <w:t xml:space="preserve">Modifique el acto impugnado: </w:t>
      </w:r>
      <w:r>
        <w:rPr>
          <w:rFonts w:ascii="Palatino Linotype" w:hAnsi="Palatino Linotype" w:cs="Arial"/>
        </w:rPr>
        <w:t xml:space="preserve">Se actualiza cuando el </w:t>
      </w:r>
      <w:r>
        <w:rPr>
          <w:rFonts w:ascii="Palatino Linotype" w:hAnsi="Palatino Linotype" w:cs="Arial"/>
          <w:b/>
        </w:rPr>
        <w:t xml:space="preserve">Sujeto Obligado </w:t>
      </w:r>
      <w:r>
        <w:rPr>
          <w:rFonts w:ascii="Palatino Linotype" w:hAnsi="Palatino Linotype" w:cs="Arial"/>
        </w:rPr>
        <w:t xml:space="preserve">después de haber otorgado una respuesta y hasta antes de dictada la </w:t>
      </w:r>
      <w:r>
        <w:rPr>
          <w:rFonts w:ascii="Palatino Linotype" w:hAnsi="Palatino Linotype" w:cs="Arial"/>
        </w:rPr>
        <w:lastRenderedPageBreak/>
        <w:t xml:space="preserve">resolución del recurso de revisión, emite una diversa en la que subsane las deficiencias que hubiere tenido. </w:t>
      </w:r>
    </w:p>
    <w:p w14:paraId="6DA72A11" w14:textId="77777777" w:rsidR="00F827EF" w:rsidRDefault="00F827EF" w:rsidP="00F827EF">
      <w:pPr>
        <w:pStyle w:val="Prrafodelista"/>
        <w:spacing w:line="360" w:lineRule="auto"/>
        <w:ind w:left="720" w:right="851"/>
        <w:jc w:val="both"/>
        <w:rPr>
          <w:rFonts w:ascii="Palatino Linotype" w:hAnsi="Palatino Linotype" w:cs="Arial"/>
          <w:b/>
        </w:rPr>
      </w:pPr>
    </w:p>
    <w:p w14:paraId="4105B354" w14:textId="77777777" w:rsidR="00F827EF" w:rsidRDefault="00F827EF" w:rsidP="00F827EF">
      <w:pPr>
        <w:spacing w:line="360" w:lineRule="auto"/>
        <w:jc w:val="both"/>
        <w:rPr>
          <w:rFonts w:ascii="Palatino Linotype" w:hAnsi="Palatino Linotype" w:cs="Arial"/>
          <w:sz w:val="24"/>
          <w:szCs w:val="24"/>
          <w:u w:val="single"/>
        </w:rPr>
      </w:pPr>
      <w:r>
        <w:rPr>
          <w:rFonts w:ascii="Palatino Linotype" w:hAnsi="Palatino Linotype" w:cs="Arial"/>
          <w:sz w:val="24"/>
          <w:szCs w:val="24"/>
        </w:rPr>
        <w:t xml:space="preserve">Las consecuencias jurídicas de esta modificación es que el recurso de revisión interpuesto quede sin efectos o sin materia y se procure la debida tutela del Derecho de Acceso a la Información Pública. Un acto impugnado queda sin efectos, cuando aun existiendo jurídicamente, no genera consecuencia legal alguna; queda sin materia, </w:t>
      </w:r>
      <w:r>
        <w:rPr>
          <w:rFonts w:ascii="Palatino Linotype" w:hAnsi="Palatino Linotype" w:cs="Arial"/>
          <w:b/>
          <w:sz w:val="24"/>
          <w:szCs w:val="24"/>
          <w:u w:val="single"/>
        </w:rPr>
        <w:t xml:space="preserve">cuando ha sido satisfecha la pretensión del particular, </w:t>
      </w:r>
      <w:r>
        <w:rPr>
          <w:rFonts w:ascii="Palatino Linotype" w:hAnsi="Palatino Linotype" w:cs="Arial"/>
          <w:sz w:val="24"/>
          <w:szCs w:val="24"/>
        </w:rPr>
        <w:t>ya sea porque se hizo la entrega de la información solicitada o porque se completó la misma.</w:t>
      </w:r>
      <w:r>
        <w:rPr>
          <w:rFonts w:ascii="Palatino Linotype" w:hAnsi="Palatino Linotype" w:cs="Arial"/>
          <w:sz w:val="24"/>
          <w:szCs w:val="24"/>
          <w:u w:val="single"/>
        </w:rPr>
        <w:t xml:space="preserve"> </w:t>
      </w:r>
    </w:p>
    <w:p w14:paraId="12BD7FC0" w14:textId="77777777" w:rsidR="00F827EF" w:rsidRDefault="00F827EF" w:rsidP="00F827EF">
      <w:pPr>
        <w:spacing w:line="360" w:lineRule="auto"/>
        <w:jc w:val="both"/>
        <w:rPr>
          <w:rFonts w:ascii="Palatino Linotype" w:hAnsi="Palatino Linotype" w:cs="Arial"/>
          <w:sz w:val="24"/>
          <w:szCs w:val="24"/>
        </w:rPr>
      </w:pPr>
      <w:r>
        <w:rPr>
          <w:rFonts w:ascii="Palatino Linotype" w:hAnsi="Palatino Linotype" w:cs="Arial"/>
          <w:sz w:val="24"/>
          <w:szCs w:val="24"/>
        </w:rPr>
        <w:t xml:space="preserve">En este tenor, se advierte que </w:t>
      </w:r>
      <w:r>
        <w:rPr>
          <w:rFonts w:ascii="Palatino Linotype" w:hAnsi="Palatino Linotype" w:cs="Arial"/>
          <w:b/>
          <w:sz w:val="24"/>
          <w:szCs w:val="24"/>
        </w:rPr>
        <w:t>El</w:t>
      </w:r>
      <w:r>
        <w:rPr>
          <w:rFonts w:ascii="Palatino Linotype" w:hAnsi="Palatino Linotype" w:cs="Arial"/>
          <w:sz w:val="24"/>
          <w:szCs w:val="24"/>
        </w:rPr>
        <w:t xml:space="preserve"> </w:t>
      </w:r>
      <w:r>
        <w:rPr>
          <w:rFonts w:ascii="Palatino Linotype" w:hAnsi="Palatino Linotype" w:cs="Arial"/>
          <w:b/>
          <w:sz w:val="24"/>
          <w:szCs w:val="24"/>
        </w:rPr>
        <w:t xml:space="preserve">Sujeto Obligado </w:t>
      </w:r>
      <w:r>
        <w:rPr>
          <w:rFonts w:ascii="Palatino Linotype" w:hAnsi="Palatino Linotype" w:cs="Arial"/>
          <w:sz w:val="24"/>
          <w:szCs w:val="24"/>
        </w:rPr>
        <w:t xml:space="preserve">con la información enviada a este Órgano Garante, </w:t>
      </w:r>
      <w:r>
        <w:rPr>
          <w:rFonts w:ascii="Palatino Linotype" w:hAnsi="Palatino Linotype" w:cs="Arial"/>
          <w:b/>
          <w:sz w:val="24"/>
          <w:szCs w:val="24"/>
        </w:rPr>
        <w:t xml:space="preserve">modifica </w:t>
      </w:r>
      <w:r>
        <w:rPr>
          <w:rFonts w:ascii="Palatino Linotype" w:hAnsi="Palatino Linotype" w:cs="Arial"/>
          <w:sz w:val="24"/>
          <w:szCs w:val="24"/>
        </w:rPr>
        <w:t xml:space="preserve">el acto que le dio origen al recurso de revisión, </w:t>
      </w:r>
      <w:r>
        <w:rPr>
          <w:rFonts w:ascii="Palatino Linotype" w:hAnsi="Palatino Linotype" w:cs="Arial"/>
          <w:b/>
          <w:sz w:val="24"/>
          <w:szCs w:val="24"/>
        </w:rPr>
        <w:t xml:space="preserve">por lo que trae como consecuencia que el mismo quede sin materia, </w:t>
      </w:r>
      <w:r>
        <w:rPr>
          <w:rFonts w:ascii="Palatino Linotype" w:hAnsi="Palatino Linotype" w:cs="Arial"/>
          <w:sz w:val="24"/>
          <w:szCs w:val="24"/>
        </w:rPr>
        <w:t xml:space="preserve">actualizándose de este modo, la hipótesis jurídica contenida en la fracción III del artículo 192. </w:t>
      </w:r>
    </w:p>
    <w:p w14:paraId="0ADAA140" w14:textId="77777777" w:rsidR="00F827EF" w:rsidRDefault="00F827EF" w:rsidP="00F827EF">
      <w:pPr>
        <w:spacing w:line="360" w:lineRule="auto"/>
        <w:jc w:val="both"/>
        <w:rPr>
          <w:rFonts w:ascii="Palatino Linotype" w:hAnsi="Palatino Linotype" w:cs="Arial"/>
          <w:sz w:val="24"/>
          <w:szCs w:val="24"/>
        </w:rPr>
      </w:pPr>
      <w:r>
        <w:rPr>
          <w:rFonts w:ascii="Palatino Linotype" w:hAnsi="Palatino Linotype" w:cs="Arial"/>
          <w:sz w:val="24"/>
          <w:szCs w:val="24"/>
        </w:rPr>
        <w:t xml:space="preserve">De este modo, cuando </w:t>
      </w:r>
      <w:r>
        <w:rPr>
          <w:rFonts w:ascii="Palatino Linotype" w:hAnsi="Palatino Linotype" w:cs="Arial"/>
          <w:b/>
          <w:sz w:val="24"/>
          <w:szCs w:val="24"/>
        </w:rPr>
        <w:t>El</w:t>
      </w:r>
      <w:r>
        <w:rPr>
          <w:rFonts w:ascii="Palatino Linotype" w:hAnsi="Palatino Linotype" w:cs="Arial"/>
          <w:sz w:val="24"/>
          <w:szCs w:val="24"/>
        </w:rPr>
        <w:t xml:space="preserve"> </w:t>
      </w:r>
      <w:r>
        <w:rPr>
          <w:rFonts w:ascii="Palatino Linotype" w:hAnsi="Palatino Linotype" w:cs="Arial"/>
          <w:b/>
          <w:sz w:val="24"/>
          <w:szCs w:val="24"/>
        </w:rPr>
        <w:t>Sujeto Obligado</w:t>
      </w:r>
      <w:r>
        <w:rPr>
          <w:rFonts w:ascii="Palatino Linotype" w:hAnsi="Palatino Linotype" w:cs="Arial"/>
          <w:sz w:val="24"/>
          <w:szCs w:val="24"/>
        </w:rPr>
        <w:t xml:space="preserve">, antes de que se dicte resolución definitiva, entrega la información solicitada o completa la respuesta que en un momento fue incompleta o no correspondió con lo solicitado; el recurso de revisión que al efecto se haya interpuesto queda sin materia lo que imposibilita el estudio de fondo de la </w:t>
      </w:r>
      <w:proofErr w:type="spellStart"/>
      <w:r>
        <w:rPr>
          <w:rFonts w:ascii="Palatino Linotype" w:hAnsi="Palatino Linotype" w:cs="Arial"/>
          <w:b/>
          <w:i/>
          <w:sz w:val="24"/>
          <w:szCs w:val="24"/>
        </w:rPr>
        <w:t>litis</w:t>
      </w:r>
      <w:proofErr w:type="spellEnd"/>
      <w:r>
        <w:rPr>
          <w:rFonts w:ascii="Palatino Linotype" w:hAnsi="Palatino Linotype" w:cs="Arial"/>
          <w:b/>
          <w:i/>
          <w:sz w:val="24"/>
          <w:szCs w:val="24"/>
        </w:rPr>
        <w:t xml:space="preserve"> </w:t>
      </w:r>
      <w:r>
        <w:rPr>
          <w:rFonts w:ascii="Palatino Linotype" w:hAnsi="Palatino Linotype" w:cs="Arial"/>
          <w:sz w:val="24"/>
          <w:szCs w:val="24"/>
        </w:rPr>
        <w:t xml:space="preserve">planteada, debido a que la afectación en su esfera de derechos fue restituida por la propia autoridad que emitió el acto de impugnación. </w:t>
      </w:r>
    </w:p>
    <w:p w14:paraId="0068C615" w14:textId="77777777" w:rsidR="00F827EF" w:rsidRDefault="00F827EF" w:rsidP="00F827EF">
      <w:pPr>
        <w:tabs>
          <w:tab w:val="left" w:pos="7797"/>
        </w:tabs>
        <w:spacing w:line="360" w:lineRule="auto"/>
        <w:jc w:val="both"/>
        <w:rPr>
          <w:rFonts w:ascii="Palatino Linotype" w:hAnsi="Palatino Linotype" w:cs="Arial"/>
          <w:sz w:val="24"/>
          <w:szCs w:val="24"/>
        </w:rPr>
      </w:pPr>
      <w:r>
        <w:rPr>
          <w:rFonts w:ascii="Palatino Linotype" w:hAnsi="Palatino Linotype" w:cs="Arial"/>
          <w:sz w:val="24"/>
          <w:szCs w:val="24"/>
        </w:rPr>
        <w:t xml:space="preserve">Por lo tanto, para que se actualice el sobreseimiento de un recurso de revisión, </w:t>
      </w:r>
      <w:r>
        <w:rPr>
          <w:rFonts w:ascii="Palatino Linotype" w:hAnsi="Palatino Linotype" w:cs="Arial"/>
          <w:b/>
          <w:sz w:val="24"/>
          <w:szCs w:val="24"/>
        </w:rPr>
        <w:t>El</w:t>
      </w:r>
      <w:r>
        <w:rPr>
          <w:rFonts w:ascii="Palatino Linotype" w:hAnsi="Palatino Linotype" w:cs="Arial"/>
          <w:sz w:val="24"/>
          <w:szCs w:val="24"/>
        </w:rPr>
        <w:t xml:space="preserve"> </w:t>
      </w:r>
      <w:r>
        <w:rPr>
          <w:rFonts w:ascii="Palatino Linotype" w:hAnsi="Palatino Linotype" w:cs="Arial"/>
          <w:b/>
          <w:sz w:val="24"/>
          <w:szCs w:val="24"/>
        </w:rPr>
        <w:t xml:space="preserve">Sujeto Obligado </w:t>
      </w:r>
      <w:r>
        <w:rPr>
          <w:rFonts w:ascii="Palatino Linotype" w:hAnsi="Palatino Linotype" w:cs="Arial"/>
          <w:sz w:val="24"/>
          <w:szCs w:val="24"/>
        </w:rPr>
        <w:t xml:space="preserve">puede entregar o completar la información al momento de rendir su </w:t>
      </w:r>
      <w:r>
        <w:rPr>
          <w:rFonts w:ascii="Palatino Linotype" w:hAnsi="Palatino Linotype" w:cs="Arial"/>
          <w:b/>
          <w:sz w:val="24"/>
          <w:szCs w:val="24"/>
          <w:u w:val="single"/>
        </w:rPr>
        <w:t>informe de justificación dentro de los siete días</w:t>
      </w:r>
      <w:r>
        <w:rPr>
          <w:rFonts w:ascii="Palatino Linotype" w:hAnsi="Palatino Linotype" w:cs="Arial"/>
          <w:b/>
          <w:sz w:val="24"/>
          <w:szCs w:val="24"/>
        </w:rPr>
        <w:t xml:space="preserve"> </w:t>
      </w:r>
      <w:r>
        <w:rPr>
          <w:rFonts w:ascii="Palatino Linotype" w:hAnsi="Palatino Linotype" w:cs="Arial"/>
          <w:sz w:val="24"/>
          <w:szCs w:val="24"/>
        </w:rPr>
        <w:t>previstos para manifestar lo que a su derecho convenga.</w:t>
      </w:r>
    </w:p>
    <w:p w14:paraId="4E83BF16" w14:textId="751CDE6D" w:rsidR="00F827EF" w:rsidRDefault="00F827EF" w:rsidP="00F827EF">
      <w:pPr>
        <w:tabs>
          <w:tab w:val="left" w:pos="8080"/>
        </w:tabs>
        <w:spacing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En mérito de lo expuesto en líneas anteriores, resultan fundados los motivos de inconformidad que arguye </w:t>
      </w:r>
      <w:r>
        <w:rPr>
          <w:rFonts w:ascii="Palatino Linotype" w:hAnsi="Palatino Linotype" w:cs="Arial"/>
          <w:b/>
          <w:sz w:val="24"/>
          <w:szCs w:val="24"/>
        </w:rPr>
        <w:t xml:space="preserve">El Recurrente </w:t>
      </w:r>
      <w:r>
        <w:rPr>
          <w:rFonts w:ascii="Palatino Linotype" w:hAnsi="Palatino Linotype" w:cs="Arial"/>
          <w:sz w:val="24"/>
          <w:szCs w:val="24"/>
        </w:rPr>
        <w:t xml:space="preserve">en su medio de impugnación que fue materia de estudio, por ello </w:t>
      </w:r>
      <w:r>
        <w:rPr>
          <w:rFonts w:ascii="Palatino Linotype" w:hAnsi="Palatino Linotype" w:cs="Arial"/>
          <w:b/>
          <w:sz w:val="24"/>
          <w:szCs w:val="24"/>
        </w:rPr>
        <w:t xml:space="preserve">con fundamento en el artículo 186 fracción I, en concordancia con el 192 fracción III de la Ley de Transparencia y Acceso a la Información Pública del Estado de México y Municipios, </w:t>
      </w:r>
      <w:r>
        <w:rPr>
          <w:rFonts w:ascii="Palatino Linotype" w:hAnsi="Palatino Linotype" w:cs="Arial"/>
          <w:sz w:val="24"/>
          <w:szCs w:val="24"/>
        </w:rPr>
        <w:t xml:space="preserve">se </w:t>
      </w:r>
      <w:r>
        <w:rPr>
          <w:rFonts w:ascii="Palatino Linotype" w:hAnsi="Palatino Linotype" w:cs="Arial"/>
          <w:b/>
          <w:sz w:val="24"/>
          <w:szCs w:val="24"/>
        </w:rPr>
        <w:t xml:space="preserve">SOBRESEE </w:t>
      </w:r>
      <w:r>
        <w:rPr>
          <w:rFonts w:ascii="Palatino Linotype" w:hAnsi="Palatino Linotype" w:cs="Arial"/>
          <w:sz w:val="24"/>
          <w:szCs w:val="24"/>
        </w:rPr>
        <w:t xml:space="preserve">el recurso de revisión </w:t>
      </w:r>
      <w:r>
        <w:rPr>
          <w:rFonts w:ascii="Palatino Linotype" w:hAnsi="Palatino Linotype" w:cs="Arial"/>
          <w:b/>
          <w:sz w:val="24"/>
          <w:szCs w:val="24"/>
        </w:rPr>
        <w:t>13275/INFOEM/IP/RR/2022</w:t>
      </w:r>
      <w:r>
        <w:rPr>
          <w:rFonts w:ascii="Palatino Linotype" w:hAnsi="Palatino Linotype" w:cs="Arial"/>
          <w:b/>
          <w:sz w:val="24"/>
          <w:szCs w:val="24"/>
          <w:lang w:val="es-ES_tradnl"/>
        </w:rPr>
        <w:t xml:space="preserve">, </w:t>
      </w:r>
      <w:r>
        <w:rPr>
          <w:rFonts w:ascii="Palatino Linotype" w:hAnsi="Palatino Linotype" w:cs="Arial"/>
          <w:sz w:val="24"/>
          <w:szCs w:val="24"/>
          <w:lang w:val="es-ES_tradnl"/>
        </w:rPr>
        <w:t xml:space="preserve">que ha sido materia del presente fallo. </w:t>
      </w:r>
    </w:p>
    <w:p w14:paraId="2F469652" w14:textId="77777777" w:rsidR="00F827EF" w:rsidRDefault="00F827EF" w:rsidP="00F827EF">
      <w:pPr>
        <w:tabs>
          <w:tab w:val="left" w:pos="8080"/>
        </w:tabs>
        <w:spacing w:line="360" w:lineRule="auto"/>
        <w:jc w:val="both"/>
        <w:rPr>
          <w:rFonts w:ascii="Palatino Linotype" w:hAnsi="Palatino Linotype" w:cs="Arial"/>
          <w:bCs/>
          <w:sz w:val="24"/>
          <w:szCs w:val="24"/>
        </w:rPr>
      </w:pPr>
      <w:r>
        <w:rPr>
          <w:rFonts w:ascii="Palatino Linotype" w:hAnsi="Palatino Linotype" w:cs="Arial"/>
          <w:bCs/>
          <w:sz w:val="24"/>
          <w:szCs w:val="24"/>
        </w:rPr>
        <w:t>Por lo antes expuesto y fundado es de resolverse y,</w:t>
      </w:r>
    </w:p>
    <w:p w14:paraId="42019C29" w14:textId="77777777" w:rsidR="00F827EF" w:rsidRPr="000A6768" w:rsidRDefault="00F827EF" w:rsidP="00F827EF">
      <w:pPr>
        <w:tabs>
          <w:tab w:val="left" w:pos="8080"/>
        </w:tabs>
        <w:spacing w:line="360" w:lineRule="auto"/>
        <w:jc w:val="both"/>
        <w:rPr>
          <w:rFonts w:ascii="Palatino Linotype" w:hAnsi="Palatino Linotype" w:cs="Arial"/>
          <w:bCs/>
          <w:sz w:val="24"/>
          <w:szCs w:val="24"/>
        </w:rPr>
      </w:pPr>
    </w:p>
    <w:p w14:paraId="52D0989A" w14:textId="77777777" w:rsidR="00F827EF" w:rsidRPr="00895C52" w:rsidRDefault="00F827EF" w:rsidP="00F827EF">
      <w:pPr>
        <w:spacing w:after="0" w:line="360" w:lineRule="auto"/>
        <w:jc w:val="center"/>
        <w:rPr>
          <w:rFonts w:ascii="Palatino Linotype" w:eastAsia="Times New Roman" w:hAnsi="Palatino Linotype" w:cs="Times New Roman"/>
          <w:b/>
          <w:bCs/>
          <w:spacing w:val="60"/>
          <w:sz w:val="28"/>
          <w:szCs w:val="24"/>
          <w:lang w:val="es-ES_tradnl" w:eastAsia="es-ES"/>
        </w:rPr>
      </w:pPr>
      <w:r w:rsidRPr="00895C52">
        <w:rPr>
          <w:rFonts w:ascii="Palatino Linotype" w:eastAsia="Times New Roman" w:hAnsi="Palatino Linotype" w:cs="Times New Roman"/>
          <w:b/>
          <w:bCs/>
          <w:spacing w:val="60"/>
          <w:sz w:val="28"/>
          <w:szCs w:val="24"/>
          <w:lang w:val="es-ES_tradnl" w:eastAsia="es-ES"/>
        </w:rPr>
        <w:t>SE    RESUELVE</w:t>
      </w:r>
    </w:p>
    <w:p w14:paraId="277B1F44" w14:textId="77777777" w:rsidR="00F827EF" w:rsidRPr="00895C52" w:rsidRDefault="00F827EF" w:rsidP="00F827EF">
      <w:pPr>
        <w:spacing w:after="0" w:line="360" w:lineRule="auto"/>
        <w:jc w:val="center"/>
        <w:rPr>
          <w:rFonts w:ascii="Palatino Linotype" w:eastAsia="Times New Roman" w:hAnsi="Palatino Linotype" w:cs="Times New Roman"/>
          <w:bCs/>
          <w:spacing w:val="60"/>
          <w:sz w:val="24"/>
          <w:szCs w:val="24"/>
          <w:lang w:val="es-ES_tradnl" w:eastAsia="es-ES"/>
        </w:rPr>
      </w:pPr>
    </w:p>
    <w:p w14:paraId="396B4CF2" w14:textId="7B558F43" w:rsidR="00F827EF" w:rsidRDefault="00F827EF" w:rsidP="00F827EF">
      <w:pPr>
        <w:tabs>
          <w:tab w:val="left" w:pos="8647"/>
        </w:tabs>
        <w:spacing w:after="0" w:line="360" w:lineRule="auto"/>
        <w:ind w:right="51"/>
        <w:jc w:val="both"/>
        <w:rPr>
          <w:rFonts w:ascii="Palatino Linotype" w:eastAsiaTheme="minorEastAsia" w:hAnsi="Palatino Linotype" w:cs="Arial"/>
          <w:sz w:val="24"/>
          <w:szCs w:val="24"/>
          <w:lang w:val="es-ES_tradnl" w:eastAsia="es-ES"/>
        </w:rPr>
      </w:pPr>
      <w:r w:rsidRPr="00895C52">
        <w:rPr>
          <w:rFonts w:ascii="Palatino Linotype" w:eastAsiaTheme="minorEastAsia" w:hAnsi="Palatino Linotype" w:cs="Arial"/>
          <w:b/>
          <w:sz w:val="28"/>
          <w:szCs w:val="24"/>
          <w:lang w:val="es-ES_tradnl" w:eastAsia="es-ES"/>
        </w:rPr>
        <w:t>PRIMERO.</w:t>
      </w:r>
      <w:r w:rsidRPr="00895C52">
        <w:rPr>
          <w:rFonts w:ascii="Palatino Linotype" w:eastAsiaTheme="minorEastAsia" w:hAnsi="Palatino Linotype" w:cs="Arial"/>
          <w:sz w:val="24"/>
          <w:szCs w:val="24"/>
          <w:lang w:val="es-ES_tradnl" w:eastAsia="es-ES"/>
        </w:rPr>
        <w:t xml:space="preserve"> </w:t>
      </w:r>
      <w:r w:rsidRPr="00C40C29">
        <w:rPr>
          <w:rFonts w:ascii="Palatino Linotype" w:eastAsiaTheme="minorEastAsia" w:hAnsi="Palatino Linotype" w:cs="Arial"/>
          <w:sz w:val="24"/>
          <w:szCs w:val="24"/>
          <w:lang w:val="es-ES_tradnl" w:eastAsia="es-ES"/>
        </w:rPr>
        <w:t xml:space="preserve">Se </w:t>
      </w:r>
      <w:r w:rsidRPr="00C40C29">
        <w:rPr>
          <w:rFonts w:ascii="Palatino Linotype" w:eastAsiaTheme="minorEastAsia" w:hAnsi="Palatino Linotype" w:cs="Arial"/>
          <w:b/>
          <w:sz w:val="24"/>
          <w:szCs w:val="24"/>
          <w:lang w:val="es-ES_tradnl" w:eastAsia="es-ES"/>
        </w:rPr>
        <w:t>SOBRESEE</w:t>
      </w:r>
      <w:r w:rsidRPr="00C40C29">
        <w:rPr>
          <w:rFonts w:ascii="Palatino Linotype" w:eastAsiaTheme="minorEastAsia" w:hAnsi="Palatino Linotype" w:cs="Arial"/>
          <w:sz w:val="24"/>
          <w:szCs w:val="24"/>
          <w:lang w:val="es-ES_tradnl" w:eastAsia="es-ES"/>
        </w:rPr>
        <w:t xml:space="preserve"> el recurso de revisión número </w:t>
      </w:r>
      <w:r>
        <w:rPr>
          <w:rFonts w:ascii="Palatino Linotype" w:hAnsi="Palatino Linotype" w:cs="Arial"/>
          <w:b/>
          <w:sz w:val="24"/>
          <w:szCs w:val="24"/>
        </w:rPr>
        <w:t>13275/INFOEM/IP/RR/2022</w:t>
      </w:r>
      <w:r w:rsidRPr="00C40C29">
        <w:rPr>
          <w:rFonts w:ascii="Palatino Linotype" w:eastAsiaTheme="minorEastAsia" w:hAnsi="Palatino Linotype" w:cs="Arial"/>
          <w:sz w:val="24"/>
          <w:szCs w:val="24"/>
          <w:lang w:val="es-ES_tradnl" w:eastAsia="es-ES"/>
        </w:rPr>
        <w:t>, por</w:t>
      </w:r>
      <w:r>
        <w:rPr>
          <w:rFonts w:ascii="Palatino Linotype" w:eastAsiaTheme="minorEastAsia" w:hAnsi="Palatino Linotype" w:cs="Arial"/>
          <w:sz w:val="24"/>
          <w:szCs w:val="24"/>
          <w:lang w:val="es-ES_tradnl" w:eastAsia="es-ES"/>
        </w:rPr>
        <w:t xml:space="preserve">que </w:t>
      </w:r>
      <w:r w:rsidRPr="00DB139B">
        <w:rPr>
          <w:rFonts w:ascii="Palatino Linotype" w:eastAsiaTheme="minorEastAsia" w:hAnsi="Palatino Linotype" w:cs="Arial"/>
          <w:b/>
          <w:bCs/>
          <w:sz w:val="24"/>
          <w:szCs w:val="24"/>
          <w:lang w:val="es-ES_tradnl" w:eastAsia="es-ES"/>
        </w:rPr>
        <w:t>EL SUJETO OBLIGADO</w:t>
      </w:r>
      <w:r>
        <w:rPr>
          <w:rFonts w:ascii="Palatino Linotype" w:eastAsiaTheme="minorEastAsia" w:hAnsi="Palatino Linotype" w:cs="Arial"/>
          <w:sz w:val="24"/>
          <w:szCs w:val="24"/>
          <w:lang w:val="es-ES_tradnl" w:eastAsia="es-ES"/>
        </w:rPr>
        <w:t xml:space="preserve"> al modificar su respuesta, el recurso de revisión quedó </w:t>
      </w:r>
      <w:r w:rsidRPr="00C40C29">
        <w:rPr>
          <w:rFonts w:ascii="Palatino Linotype" w:eastAsiaTheme="minorEastAsia" w:hAnsi="Palatino Linotype" w:cs="Arial"/>
          <w:sz w:val="24"/>
          <w:szCs w:val="24"/>
          <w:lang w:val="es-ES_tradnl" w:eastAsia="es-ES"/>
        </w:rPr>
        <w:t>sin materia</w:t>
      </w:r>
      <w:r>
        <w:rPr>
          <w:rFonts w:ascii="Palatino Linotype" w:eastAsiaTheme="minorEastAsia" w:hAnsi="Palatino Linotype" w:cs="Arial"/>
          <w:sz w:val="24"/>
          <w:szCs w:val="24"/>
          <w:lang w:val="es-ES_tradnl" w:eastAsia="es-ES"/>
        </w:rPr>
        <w:t xml:space="preserve">, en términos del </w:t>
      </w:r>
      <w:r w:rsidRPr="00C40C29">
        <w:rPr>
          <w:rFonts w:ascii="Palatino Linotype" w:eastAsiaTheme="minorEastAsia" w:hAnsi="Palatino Linotype" w:cs="Arial"/>
          <w:sz w:val="24"/>
          <w:szCs w:val="24"/>
          <w:lang w:val="es-ES_tradnl" w:eastAsia="es-ES"/>
        </w:rPr>
        <w:t xml:space="preserve">artículo 192 fracción III de la Ley de Transparencia y Acceso a la Información Pública del Estado de México y Municipios, en términos del Considerando </w:t>
      </w:r>
      <w:r>
        <w:rPr>
          <w:rFonts w:ascii="Palatino Linotype" w:eastAsiaTheme="minorEastAsia" w:hAnsi="Palatino Linotype" w:cs="Arial"/>
          <w:b/>
          <w:sz w:val="24"/>
          <w:szCs w:val="24"/>
          <w:lang w:val="es-ES_tradnl" w:eastAsia="es-ES"/>
        </w:rPr>
        <w:t>TERCERO</w:t>
      </w:r>
      <w:r w:rsidRPr="00C40C29">
        <w:rPr>
          <w:rFonts w:ascii="Palatino Linotype" w:eastAsiaTheme="minorEastAsia" w:hAnsi="Palatino Linotype" w:cs="Arial"/>
          <w:sz w:val="24"/>
          <w:szCs w:val="24"/>
          <w:lang w:val="es-ES_tradnl" w:eastAsia="es-ES"/>
        </w:rPr>
        <w:t xml:space="preserve"> de la presente resolución.</w:t>
      </w:r>
    </w:p>
    <w:p w14:paraId="6473A033" w14:textId="77777777" w:rsidR="00F827EF" w:rsidRPr="00895C52" w:rsidRDefault="00F827EF" w:rsidP="00F827EF">
      <w:pPr>
        <w:tabs>
          <w:tab w:val="left" w:pos="8647"/>
        </w:tabs>
        <w:spacing w:after="0" w:line="360" w:lineRule="auto"/>
        <w:ind w:right="51"/>
        <w:jc w:val="both"/>
        <w:rPr>
          <w:rFonts w:ascii="Palatino Linotype" w:eastAsiaTheme="minorEastAsia" w:hAnsi="Palatino Linotype" w:cs="Arial"/>
          <w:sz w:val="24"/>
          <w:szCs w:val="24"/>
          <w:lang w:eastAsia="es-ES"/>
        </w:rPr>
      </w:pPr>
    </w:p>
    <w:p w14:paraId="42D5BEE3" w14:textId="77777777" w:rsidR="00F827EF" w:rsidRDefault="00F827EF" w:rsidP="00F827EF">
      <w:pPr>
        <w:tabs>
          <w:tab w:val="left" w:pos="8647"/>
        </w:tabs>
        <w:spacing w:after="0" w:line="360" w:lineRule="auto"/>
        <w:ind w:right="51"/>
        <w:jc w:val="both"/>
        <w:rPr>
          <w:rFonts w:ascii="Palatino Linotype" w:eastAsiaTheme="minorEastAsia" w:hAnsi="Palatino Linotype" w:cs="Arial"/>
          <w:sz w:val="24"/>
          <w:szCs w:val="24"/>
          <w:lang w:val="es-ES_tradnl" w:eastAsia="es-ES"/>
        </w:rPr>
      </w:pPr>
      <w:r w:rsidRPr="00895C52">
        <w:rPr>
          <w:rFonts w:ascii="Palatino Linotype" w:eastAsiaTheme="minorEastAsia" w:hAnsi="Palatino Linotype" w:cs="Arial"/>
          <w:b/>
          <w:sz w:val="28"/>
          <w:szCs w:val="24"/>
          <w:lang w:val="es-ES_tradnl" w:eastAsia="es-ES"/>
        </w:rPr>
        <w:t>SEGUNDO</w:t>
      </w:r>
      <w:r w:rsidRPr="00895C52">
        <w:rPr>
          <w:rFonts w:ascii="Palatino Linotype" w:eastAsiaTheme="minorEastAsia" w:hAnsi="Palatino Linotype" w:cs="Arial"/>
          <w:b/>
          <w:sz w:val="24"/>
          <w:szCs w:val="24"/>
          <w:lang w:val="es-ES_tradnl" w:eastAsia="es-ES"/>
        </w:rPr>
        <w:t>.</w:t>
      </w:r>
      <w:r w:rsidRPr="00895C52">
        <w:rPr>
          <w:rFonts w:ascii="Palatino Linotype" w:eastAsiaTheme="minorEastAsia" w:hAnsi="Palatino Linotype" w:cs="Arial"/>
          <w:sz w:val="24"/>
          <w:szCs w:val="24"/>
          <w:lang w:val="es-ES_tradnl" w:eastAsia="es-ES"/>
        </w:rPr>
        <w:t xml:space="preserve"> </w:t>
      </w:r>
      <w:r w:rsidRPr="00895C52">
        <w:rPr>
          <w:rFonts w:ascii="Palatino Linotype" w:eastAsiaTheme="minorEastAsia" w:hAnsi="Palatino Linotype" w:cs="Arial"/>
          <w:b/>
          <w:sz w:val="24"/>
          <w:szCs w:val="24"/>
          <w:lang w:val="es-ES_tradnl" w:eastAsia="es-ES"/>
        </w:rPr>
        <w:t>NOTIFÍQUESE</w:t>
      </w:r>
      <w:r w:rsidRPr="00895C52">
        <w:rPr>
          <w:rFonts w:ascii="Palatino Linotype" w:eastAsiaTheme="minorEastAsia" w:hAnsi="Palatino Linotype" w:cs="Arial"/>
          <w:sz w:val="24"/>
          <w:szCs w:val="24"/>
          <w:lang w:val="es-ES_tradnl" w:eastAsia="es-ES"/>
        </w:rPr>
        <w:t xml:space="preserve"> vía </w:t>
      </w:r>
      <w:r w:rsidRPr="00895C52">
        <w:rPr>
          <w:rFonts w:ascii="Palatino Linotype" w:eastAsia="Times New Roman" w:hAnsi="Palatino Linotype" w:cs="Times New Roman"/>
          <w:sz w:val="24"/>
          <w:szCs w:val="24"/>
          <w:lang w:val="es-ES" w:eastAsia="es-ES"/>
        </w:rPr>
        <w:t>Sistema de Acceso a la Información Mexiquense</w:t>
      </w:r>
      <w:r w:rsidRPr="00DB139B">
        <w:rPr>
          <w:rFonts w:ascii="Palatino Linotype" w:eastAsiaTheme="minorEastAsia" w:hAnsi="Palatino Linotype" w:cs="Arial"/>
          <w:b/>
          <w:bCs/>
          <w:sz w:val="24"/>
          <w:szCs w:val="24"/>
          <w:lang w:val="es-ES_tradnl" w:eastAsia="es-ES"/>
        </w:rPr>
        <w:t xml:space="preserve"> </w:t>
      </w:r>
      <w:r>
        <w:rPr>
          <w:rFonts w:ascii="Palatino Linotype" w:eastAsiaTheme="minorEastAsia" w:hAnsi="Palatino Linotype" w:cs="Arial"/>
          <w:b/>
          <w:bCs/>
          <w:sz w:val="24"/>
          <w:szCs w:val="24"/>
          <w:lang w:val="es-ES_tradnl" w:eastAsia="es-ES"/>
        </w:rPr>
        <w:t>(</w:t>
      </w:r>
      <w:r w:rsidRPr="00DB139B">
        <w:rPr>
          <w:rFonts w:ascii="Palatino Linotype" w:eastAsiaTheme="minorEastAsia" w:hAnsi="Palatino Linotype" w:cs="Arial"/>
          <w:b/>
          <w:bCs/>
          <w:sz w:val="24"/>
          <w:szCs w:val="24"/>
          <w:lang w:val="es-ES_tradnl" w:eastAsia="es-ES"/>
        </w:rPr>
        <w:t>SAIMEX</w:t>
      </w:r>
      <w:r>
        <w:rPr>
          <w:rFonts w:ascii="Palatino Linotype" w:eastAsiaTheme="minorEastAsia" w:hAnsi="Palatino Linotype" w:cs="Arial"/>
          <w:b/>
          <w:bCs/>
          <w:sz w:val="24"/>
          <w:szCs w:val="24"/>
          <w:lang w:val="es-ES_tradnl" w:eastAsia="es-ES"/>
        </w:rPr>
        <w:t>)</w:t>
      </w:r>
      <w:r w:rsidRPr="00895C52">
        <w:rPr>
          <w:rFonts w:ascii="Palatino Linotype" w:eastAsiaTheme="minorEastAsia" w:hAnsi="Palatino Linotype" w:cs="Arial"/>
          <w:sz w:val="24"/>
          <w:szCs w:val="24"/>
          <w:lang w:val="es-ES_tradnl" w:eastAsia="es-ES"/>
        </w:rPr>
        <w:t xml:space="preserve"> la presente resolución al Titular de la Unidad de Transparencia del </w:t>
      </w:r>
      <w:r w:rsidRPr="00895C52">
        <w:rPr>
          <w:rFonts w:ascii="Palatino Linotype" w:eastAsiaTheme="minorEastAsia" w:hAnsi="Palatino Linotype" w:cs="Arial"/>
          <w:b/>
          <w:sz w:val="24"/>
          <w:szCs w:val="24"/>
          <w:lang w:val="es-ES_tradnl" w:eastAsia="es-ES"/>
        </w:rPr>
        <w:t>Sujeto Obligado</w:t>
      </w:r>
      <w:r w:rsidRPr="00895C52">
        <w:rPr>
          <w:rFonts w:ascii="Palatino Linotype" w:eastAsiaTheme="minorEastAsia" w:hAnsi="Palatino Linotype" w:cs="Arial"/>
          <w:sz w:val="24"/>
          <w:szCs w:val="24"/>
          <w:lang w:val="es-ES_tradnl" w:eastAsia="es-ES"/>
        </w:rPr>
        <w:t>.</w:t>
      </w:r>
    </w:p>
    <w:p w14:paraId="1D08D5B2" w14:textId="77777777" w:rsidR="00F827EF" w:rsidRPr="00895C52" w:rsidRDefault="00F827EF" w:rsidP="00F827EF">
      <w:pPr>
        <w:tabs>
          <w:tab w:val="left" w:pos="8647"/>
        </w:tabs>
        <w:spacing w:after="0" w:line="360" w:lineRule="auto"/>
        <w:ind w:right="51"/>
        <w:jc w:val="both"/>
        <w:rPr>
          <w:rFonts w:ascii="Palatino Linotype" w:eastAsiaTheme="minorEastAsia" w:hAnsi="Palatino Linotype" w:cs="Arial"/>
          <w:sz w:val="24"/>
          <w:szCs w:val="24"/>
          <w:lang w:val="es-ES_tradnl" w:eastAsia="es-ES"/>
        </w:rPr>
      </w:pPr>
    </w:p>
    <w:p w14:paraId="76FACF39" w14:textId="77777777" w:rsidR="00F827EF" w:rsidRPr="00895C52" w:rsidRDefault="00F827EF" w:rsidP="00F827EF">
      <w:pPr>
        <w:spacing w:after="0" w:line="360" w:lineRule="auto"/>
        <w:jc w:val="both"/>
        <w:rPr>
          <w:rFonts w:ascii="Palatino Linotype" w:eastAsia="Times New Roman" w:hAnsi="Palatino Linotype" w:cs="Arial"/>
          <w:sz w:val="24"/>
          <w:szCs w:val="24"/>
          <w:lang w:val="es-ES" w:eastAsia="es-ES"/>
        </w:rPr>
      </w:pPr>
      <w:r w:rsidRPr="00895C52">
        <w:rPr>
          <w:rFonts w:ascii="Palatino Linotype" w:eastAsia="Times New Roman" w:hAnsi="Palatino Linotype" w:cs="Arial"/>
          <w:b/>
          <w:sz w:val="28"/>
          <w:szCs w:val="24"/>
          <w:lang w:val="es-ES" w:eastAsia="es-ES"/>
        </w:rPr>
        <w:lastRenderedPageBreak/>
        <w:t>TERCERO</w:t>
      </w:r>
      <w:r w:rsidRPr="00895C52">
        <w:rPr>
          <w:rFonts w:ascii="Palatino Linotype" w:eastAsia="Times New Roman" w:hAnsi="Palatino Linotype" w:cs="Arial"/>
          <w:b/>
          <w:sz w:val="24"/>
          <w:szCs w:val="24"/>
          <w:lang w:val="es-ES" w:eastAsia="es-ES"/>
        </w:rPr>
        <w:t>.</w:t>
      </w:r>
      <w:r w:rsidRPr="00895C52">
        <w:rPr>
          <w:rFonts w:ascii="Palatino Linotype" w:eastAsia="Times New Roman" w:hAnsi="Palatino Linotype" w:cs="Arial"/>
          <w:sz w:val="24"/>
          <w:szCs w:val="24"/>
          <w:lang w:val="es-ES" w:eastAsia="es-ES"/>
        </w:rPr>
        <w:t xml:space="preserve"> </w:t>
      </w:r>
      <w:r w:rsidRPr="00895C52">
        <w:rPr>
          <w:rFonts w:ascii="Palatino Linotype" w:eastAsia="Times New Roman" w:hAnsi="Palatino Linotype" w:cs="Arial"/>
          <w:b/>
          <w:sz w:val="24"/>
          <w:szCs w:val="24"/>
          <w:lang w:val="es-ES" w:eastAsia="es-ES"/>
        </w:rPr>
        <w:t>NOTIFÍQUESE</w:t>
      </w:r>
      <w:r w:rsidRPr="00895C52">
        <w:rPr>
          <w:rFonts w:ascii="Palatino Linotype" w:eastAsia="Times New Roman" w:hAnsi="Palatino Linotype" w:cs="Arial"/>
          <w:sz w:val="24"/>
          <w:szCs w:val="24"/>
          <w:lang w:val="es-ES" w:eastAsia="es-ES"/>
        </w:rPr>
        <w:t xml:space="preserve"> a través del</w:t>
      </w:r>
      <w:r w:rsidRPr="00895C52">
        <w:rPr>
          <w:rFonts w:ascii="Palatino Linotype" w:eastAsia="Times New Roman" w:hAnsi="Palatino Linotype" w:cs="Times New Roman"/>
          <w:sz w:val="24"/>
          <w:szCs w:val="24"/>
          <w:lang w:val="es-ES" w:eastAsia="es-ES"/>
        </w:rPr>
        <w:t xml:space="preserve"> Sistema de Acceso a la Información Mexiquense </w:t>
      </w:r>
      <w:r w:rsidRPr="00DB139B">
        <w:rPr>
          <w:rFonts w:ascii="Palatino Linotype" w:eastAsia="Times New Roman" w:hAnsi="Palatino Linotype" w:cs="Times New Roman"/>
          <w:b/>
          <w:bCs/>
          <w:sz w:val="24"/>
          <w:szCs w:val="24"/>
          <w:lang w:val="es-ES" w:eastAsia="es-ES"/>
        </w:rPr>
        <w:t>(SAIMEX)</w:t>
      </w:r>
      <w:r w:rsidRPr="00DB139B">
        <w:rPr>
          <w:rFonts w:ascii="Palatino Linotype" w:eastAsia="Times New Roman" w:hAnsi="Palatino Linotype" w:cs="Arial"/>
          <w:b/>
          <w:bCs/>
          <w:sz w:val="24"/>
          <w:szCs w:val="24"/>
          <w:lang w:val="es-ES" w:eastAsia="es-ES"/>
        </w:rPr>
        <w:t>,</w:t>
      </w:r>
      <w:r w:rsidRPr="00895C52">
        <w:rPr>
          <w:rFonts w:ascii="Palatino Linotype" w:eastAsia="Times New Roman" w:hAnsi="Palatino Linotype" w:cs="Arial"/>
          <w:sz w:val="24"/>
          <w:szCs w:val="24"/>
          <w:lang w:val="es-ES" w:eastAsia="es-ES"/>
        </w:rPr>
        <w:t xml:space="preserve"> al </w:t>
      </w:r>
      <w:r w:rsidRPr="00895C52">
        <w:rPr>
          <w:rFonts w:ascii="Palatino Linotype" w:eastAsia="Times New Roman" w:hAnsi="Palatino Linotype" w:cs="Arial"/>
          <w:b/>
          <w:sz w:val="24"/>
          <w:szCs w:val="24"/>
          <w:lang w:val="es-ES" w:eastAsia="es-ES"/>
        </w:rPr>
        <w:t xml:space="preserve">RECURRENTE </w:t>
      </w:r>
      <w:r w:rsidRPr="00895C52">
        <w:rPr>
          <w:rFonts w:ascii="Palatino Linotype" w:eastAsia="Times New Roman" w:hAnsi="Palatino Linotype" w:cs="Arial"/>
          <w:sz w:val="24"/>
          <w:szCs w:val="24"/>
          <w:lang w:val="es-ES" w:eastAsia="es-ES"/>
        </w:rPr>
        <w:t>la presente resolución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0EECBB71" w14:textId="77777777" w:rsidR="00F827EF" w:rsidRDefault="00F827EF" w:rsidP="00F827EF">
      <w:pPr>
        <w:pStyle w:val="Citas"/>
        <w:ind w:left="0" w:right="0"/>
        <w:rPr>
          <w:i w:val="0"/>
          <w:iCs/>
          <w:sz w:val="24"/>
          <w:szCs w:val="24"/>
          <w:lang w:val="es-ES"/>
        </w:rPr>
      </w:pPr>
    </w:p>
    <w:p w14:paraId="2ADF89BC" w14:textId="4F72B6DA" w:rsidR="00F827EF" w:rsidRPr="009E4B6C" w:rsidRDefault="00F827EF" w:rsidP="00F827EF">
      <w:pPr>
        <w:pStyle w:val="Prrafodelista"/>
        <w:autoSpaceDE w:val="0"/>
        <w:autoSpaceDN w:val="0"/>
        <w:adjustRightInd w:val="0"/>
        <w:spacing w:before="240" w:after="160" w:line="360" w:lineRule="auto"/>
        <w:ind w:left="0"/>
        <w:jc w:val="both"/>
        <w:rPr>
          <w:rFonts w:ascii="Palatino Linotype" w:hAnsi="Palatino Linotype" w:cs="Arial"/>
          <w:sz w:val="22"/>
          <w:szCs w:val="22"/>
        </w:rPr>
      </w:pPr>
      <w:r w:rsidRPr="009E4B6C">
        <w:rPr>
          <w:rFonts w:ascii="Palatino Linotype" w:hAnsi="Palatino Linotype" w:cs="Arial"/>
          <w:sz w:val="22"/>
          <w:szCs w:val="22"/>
        </w:rPr>
        <w:t>ASÍ LO ACORDÓ, POR UNANIMIDAD DE VOTOS, EL PLENO DEL</w:t>
      </w:r>
      <w:r w:rsidRPr="009E4B6C">
        <w:rPr>
          <w:rFonts w:ascii="Palatino Linotype" w:eastAsia="Arial Unicode MS" w:hAnsi="Palatino Linotype" w:cs="Arial"/>
          <w:sz w:val="22"/>
          <w:szCs w:val="22"/>
        </w:rPr>
        <w:t xml:space="preserve"> INSTITUTO DE TRANSPARENCIA, ACCESO A LA INFORMACIÓN PÚBLICA Y PROTECCIÓN DE DATOS PERSONALES DEL ESTADO DE MÉXICO Y MUNICIPIOS</w:t>
      </w:r>
      <w:r w:rsidRPr="009E4B6C">
        <w:rPr>
          <w:rFonts w:ascii="Palatino Linotype" w:hAnsi="Palatino Linotype" w:cs="Arial"/>
          <w:sz w:val="22"/>
          <w:szCs w:val="22"/>
        </w:rPr>
        <w:t xml:space="preserve">, CONFORMADO POR LOS COMISIONADOS JOSÉ MARTÍNEZ VILCHIS, MARÍA DEL ROSARIO MEJÍA AYALA, SHARON CRISTINA MORALES MARTÍNEZ, LUIS GUSTAVO PARRA NORIEGA Y GUADALUPE RAMÍREZ PEÑA; EN LA TRIGÉSIMA </w:t>
      </w:r>
      <w:r w:rsidR="00333EC3">
        <w:rPr>
          <w:rFonts w:ascii="Palatino Linotype" w:hAnsi="Palatino Linotype" w:cs="Arial"/>
          <w:sz w:val="22"/>
          <w:szCs w:val="22"/>
        </w:rPr>
        <w:t>TERCERA</w:t>
      </w:r>
      <w:r>
        <w:rPr>
          <w:rFonts w:ascii="Palatino Linotype" w:hAnsi="Palatino Linotype" w:cs="Arial"/>
          <w:sz w:val="22"/>
          <w:szCs w:val="22"/>
        </w:rPr>
        <w:t xml:space="preserve"> SESIÓN ORDINARIA CELEBRADA EL CATORCE DE SEPTIEMBRE </w:t>
      </w:r>
      <w:r w:rsidRPr="009E4B6C">
        <w:rPr>
          <w:rFonts w:ascii="Palatino Linotype" w:hAnsi="Palatino Linotype" w:cs="Arial"/>
          <w:sz w:val="22"/>
          <w:szCs w:val="22"/>
        </w:rPr>
        <w:t xml:space="preserve">DE DOS MIL VEINTIDÓS, ANTE EL   SECRETARIO TÉCNICO DEL PLENO, ALEXIS TAPIA RAMÍREZ. </w:t>
      </w:r>
    </w:p>
    <w:p w14:paraId="5CB3C72A" w14:textId="4D0EE21B" w:rsidR="00F827EF" w:rsidRDefault="00F827EF" w:rsidP="00F827EF">
      <w:pPr>
        <w:pStyle w:val="Prrafodelista"/>
        <w:autoSpaceDE w:val="0"/>
        <w:autoSpaceDN w:val="0"/>
        <w:adjustRightInd w:val="0"/>
        <w:spacing w:before="240" w:after="160" w:line="360" w:lineRule="auto"/>
        <w:ind w:left="0"/>
        <w:jc w:val="both"/>
        <w:rPr>
          <w:rFonts w:ascii="Palatino Linotype" w:hAnsi="Palatino Linotype"/>
          <w:bCs/>
          <w:sz w:val="22"/>
          <w:szCs w:val="22"/>
        </w:rPr>
      </w:pPr>
      <w:r w:rsidRPr="009E4B6C">
        <w:rPr>
          <w:rFonts w:ascii="Palatino Linotype" w:hAnsi="Palatino Linotype"/>
          <w:bCs/>
          <w:sz w:val="22"/>
          <w:szCs w:val="22"/>
        </w:rPr>
        <w:t>CCR/JCMA</w:t>
      </w:r>
    </w:p>
    <w:p w14:paraId="4F0508A3" w14:textId="36084B0D" w:rsidR="00F827EF" w:rsidRDefault="00F827EF" w:rsidP="00F827EF">
      <w:pPr>
        <w:pStyle w:val="Prrafodelista"/>
        <w:autoSpaceDE w:val="0"/>
        <w:autoSpaceDN w:val="0"/>
        <w:adjustRightInd w:val="0"/>
        <w:spacing w:before="240" w:after="160" w:line="360" w:lineRule="auto"/>
        <w:ind w:left="0"/>
        <w:jc w:val="both"/>
        <w:rPr>
          <w:rFonts w:ascii="Palatino Linotype" w:hAnsi="Palatino Linotype"/>
          <w:bCs/>
          <w:sz w:val="22"/>
          <w:szCs w:val="22"/>
        </w:rPr>
      </w:pPr>
      <w:r>
        <w:rPr>
          <w:rFonts w:ascii="Palatino Linotype" w:hAnsi="Palatino Linotype"/>
          <w:bCs/>
          <w:noProof/>
          <w:sz w:val="22"/>
          <w:szCs w:val="22"/>
          <w:lang w:val="es-MX" w:eastAsia="es-MX"/>
        </w:rPr>
        <mc:AlternateContent>
          <mc:Choice Requires="wps">
            <w:drawing>
              <wp:anchor distT="0" distB="0" distL="114300" distR="114300" simplePos="0" relativeHeight="251768832" behindDoc="0" locked="0" layoutInCell="1" allowOverlap="1" wp14:anchorId="7734032B" wp14:editId="12A749B8">
                <wp:simplePos x="0" y="0"/>
                <wp:positionH relativeFrom="column">
                  <wp:posOffset>-127635</wp:posOffset>
                </wp:positionH>
                <wp:positionV relativeFrom="paragraph">
                  <wp:posOffset>127635</wp:posOffset>
                </wp:positionV>
                <wp:extent cx="5775960" cy="2004060"/>
                <wp:effectExtent l="0" t="0" r="34290" b="34290"/>
                <wp:wrapNone/>
                <wp:docPr id="10" name="Straight Connector 10"/>
                <wp:cNvGraphicFramePr/>
                <a:graphic xmlns:a="http://schemas.openxmlformats.org/drawingml/2006/main">
                  <a:graphicData uri="http://schemas.microsoft.com/office/word/2010/wordprocessingShape">
                    <wps:wsp>
                      <wps:cNvCnPr/>
                      <wps:spPr>
                        <a:xfrm>
                          <a:off x="0" y="0"/>
                          <a:ext cx="5775960" cy="20040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D397499" id="Straight Connector 10"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10.05pt,10.05pt" to="444.75pt,1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" strokecolor="#5b9bd5 [3204]" strokeweight=".5pt">
                <v:stroke joinstyle="miter"/>
              </v:line>
            </w:pict>
          </mc:Fallback>
        </mc:AlternateContent>
      </w:r>
    </w:p>
    <w:p w14:paraId="3D5A7717" w14:textId="5297822C" w:rsidR="00F827EF" w:rsidRDefault="00F827EF" w:rsidP="00F827EF">
      <w:pPr>
        <w:pStyle w:val="Prrafodelista"/>
        <w:autoSpaceDE w:val="0"/>
        <w:autoSpaceDN w:val="0"/>
        <w:adjustRightInd w:val="0"/>
        <w:spacing w:before="240" w:after="160" w:line="360" w:lineRule="auto"/>
        <w:ind w:left="0"/>
        <w:jc w:val="both"/>
        <w:rPr>
          <w:rFonts w:ascii="Palatino Linotype" w:hAnsi="Palatino Linotype"/>
          <w:bCs/>
          <w:sz w:val="22"/>
          <w:szCs w:val="22"/>
        </w:rPr>
      </w:pPr>
    </w:p>
    <w:p w14:paraId="1969C381" w14:textId="097DE676" w:rsidR="00F827EF" w:rsidRDefault="00F827EF" w:rsidP="00F827EF">
      <w:pPr>
        <w:pStyle w:val="Prrafodelista"/>
        <w:autoSpaceDE w:val="0"/>
        <w:autoSpaceDN w:val="0"/>
        <w:adjustRightInd w:val="0"/>
        <w:spacing w:before="240" w:after="160" w:line="360" w:lineRule="auto"/>
        <w:ind w:left="0"/>
        <w:jc w:val="both"/>
        <w:rPr>
          <w:rFonts w:ascii="Palatino Linotype" w:hAnsi="Palatino Linotype"/>
          <w:bCs/>
          <w:sz w:val="22"/>
          <w:szCs w:val="22"/>
        </w:rPr>
      </w:pPr>
    </w:p>
    <w:p w14:paraId="3DFEF1FE" w14:textId="78966ECB" w:rsidR="00F827EF" w:rsidRDefault="00F827EF" w:rsidP="00F827EF">
      <w:pPr>
        <w:pStyle w:val="Prrafodelista"/>
        <w:autoSpaceDE w:val="0"/>
        <w:autoSpaceDN w:val="0"/>
        <w:adjustRightInd w:val="0"/>
        <w:spacing w:before="240" w:after="160" w:line="360" w:lineRule="auto"/>
        <w:ind w:left="0"/>
        <w:jc w:val="both"/>
        <w:rPr>
          <w:rFonts w:ascii="Palatino Linotype" w:hAnsi="Palatino Linotype"/>
          <w:bCs/>
          <w:sz w:val="22"/>
          <w:szCs w:val="22"/>
        </w:rPr>
      </w:pPr>
    </w:p>
    <w:p w14:paraId="3E255390" w14:textId="390391DB" w:rsidR="00F827EF" w:rsidRDefault="00F827EF" w:rsidP="00F827EF">
      <w:pPr>
        <w:pStyle w:val="Prrafodelista"/>
        <w:autoSpaceDE w:val="0"/>
        <w:autoSpaceDN w:val="0"/>
        <w:adjustRightInd w:val="0"/>
        <w:spacing w:before="240" w:after="160" w:line="360" w:lineRule="auto"/>
        <w:ind w:left="0"/>
        <w:jc w:val="both"/>
        <w:rPr>
          <w:rFonts w:ascii="Palatino Linotype" w:hAnsi="Palatino Linotype"/>
          <w:bCs/>
          <w:sz w:val="22"/>
          <w:szCs w:val="22"/>
        </w:rPr>
      </w:pPr>
    </w:p>
    <w:p w14:paraId="58FF5087" w14:textId="55C1404E" w:rsidR="00F827EF" w:rsidRDefault="00F827EF" w:rsidP="00F827EF">
      <w:pPr>
        <w:pStyle w:val="Prrafodelista"/>
        <w:autoSpaceDE w:val="0"/>
        <w:autoSpaceDN w:val="0"/>
        <w:adjustRightInd w:val="0"/>
        <w:spacing w:before="240" w:after="160" w:line="360" w:lineRule="auto"/>
        <w:ind w:left="0"/>
        <w:jc w:val="both"/>
        <w:rPr>
          <w:rFonts w:ascii="Palatino Linotype" w:hAnsi="Palatino Linotype"/>
          <w:bCs/>
          <w:sz w:val="22"/>
          <w:szCs w:val="22"/>
        </w:rPr>
      </w:pPr>
    </w:p>
    <w:p w14:paraId="71CCD470" w14:textId="59FEC04D" w:rsidR="00F827EF" w:rsidRDefault="00F827EF" w:rsidP="00F827EF">
      <w:pPr>
        <w:pStyle w:val="Prrafodelista"/>
        <w:autoSpaceDE w:val="0"/>
        <w:autoSpaceDN w:val="0"/>
        <w:adjustRightInd w:val="0"/>
        <w:spacing w:before="240" w:after="160" w:line="360" w:lineRule="auto"/>
        <w:ind w:left="0"/>
        <w:jc w:val="both"/>
        <w:rPr>
          <w:rFonts w:ascii="Palatino Linotype" w:hAnsi="Palatino Linotype"/>
          <w:bCs/>
          <w:sz w:val="22"/>
          <w:szCs w:val="22"/>
        </w:rPr>
      </w:pPr>
    </w:p>
    <w:p w14:paraId="1D242E4E" w14:textId="77777777" w:rsidR="00F827EF" w:rsidRDefault="00F827EF" w:rsidP="00F827EF">
      <w:pPr>
        <w:pStyle w:val="Prrafodelista"/>
        <w:autoSpaceDE w:val="0"/>
        <w:autoSpaceDN w:val="0"/>
        <w:adjustRightInd w:val="0"/>
        <w:spacing w:before="240" w:after="160" w:line="360" w:lineRule="auto"/>
        <w:ind w:left="0"/>
        <w:jc w:val="both"/>
        <w:rPr>
          <w:rFonts w:ascii="Palatino Linotype" w:hAnsi="Palatino Linotype"/>
          <w:bCs/>
          <w:sz w:val="22"/>
          <w:szCs w:val="22"/>
        </w:rPr>
      </w:pPr>
    </w:p>
    <w:p w14:paraId="77EC763D" w14:textId="10112222" w:rsidR="00F827EF" w:rsidRDefault="00F827EF" w:rsidP="00F827EF">
      <w:pPr>
        <w:pStyle w:val="Prrafodelista"/>
        <w:autoSpaceDE w:val="0"/>
        <w:autoSpaceDN w:val="0"/>
        <w:adjustRightInd w:val="0"/>
        <w:spacing w:before="240" w:after="160" w:line="360" w:lineRule="auto"/>
        <w:ind w:left="0"/>
        <w:jc w:val="both"/>
        <w:rPr>
          <w:rFonts w:ascii="Palatino Linotype" w:hAnsi="Palatino Linotype"/>
          <w:bCs/>
          <w:sz w:val="22"/>
          <w:szCs w:val="22"/>
        </w:rPr>
      </w:pPr>
    </w:p>
    <w:p w14:paraId="40378199" w14:textId="77777777" w:rsidR="00F827EF" w:rsidRPr="008A7548" w:rsidRDefault="00F827EF" w:rsidP="001F71ED">
      <w:pPr>
        <w:spacing w:line="360" w:lineRule="auto"/>
        <w:contextualSpacing/>
        <w:jc w:val="both"/>
        <w:rPr>
          <w:rFonts w:ascii="Palatino Linotype" w:eastAsia="MS Mincho" w:hAnsi="Palatino Linotype"/>
        </w:rPr>
      </w:pPr>
    </w:p>
    <w:sectPr w:rsidR="00F827EF" w:rsidRPr="008A7548" w:rsidSect="00FB4AAD">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651C7E" w14:textId="77777777" w:rsidR="000F69BD" w:rsidRDefault="000F69BD" w:rsidP="006168E4">
      <w:pPr>
        <w:spacing w:after="0" w:line="240" w:lineRule="auto"/>
      </w:pPr>
      <w:r>
        <w:separator/>
      </w:r>
    </w:p>
  </w:endnote>
  <w:endnote w:type="continuationSeparator" w:id="0">
    <w:p w14:paraId="7C64C235" w14:textId="77777777" w:rsidR="000F69BD" w:rsidRDefault="000F69BD"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2B624" w14:textId="11903523" w:rsidR="001F71ED" w:rsidRPr="000B69FA" w:rsidRDefault="001F71ED"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55E93">
      <w:rPr>
        <w:rFonts w:ascii="Palatino Linotype" w:hAnsi="Palatino Linotype"/>
        <w:bCs/>
        <w:noProof/>
        <w:sz w:val="20"/>
      </w:rPr>
      <w:t>28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55E93">
      <w:rPr>
        <w:rFonts w:ascii="Palatino Linotype" w:hAnsi="Palatino Linotype"/>
        <w:bCs/>
        <w:noProof/>
        <w:sz w:val="20"/>
      </w:rPr>
      <w:t>28</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1A35F" w14:textId="12E45C06" w:rsidR="001F71ED" w:rsidRPr="000B69FA" w:rsidRDefault="001F71ED"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55E9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55E93">
      <w:rPr>
        <w:rFonts w:ascii="Palatino Linotype" w:hAnsi="Palatino Linotype"/>
        <w:bCs/>
        <w:noProof/>
        <w:sz w:val="20"/>
      </w:rPr>
      <w:t>28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967F43" w14:textId="77777777" w:rsidR="000F69BD" w:rsidRDefault="000F69BD" w:rsidP="006168E4">
      <w:pPr>
        <w:spacing w:after="0" w:line="240" w:lineRule="auto"/>
      </w:pPr>
      <w:r>
        <w:separator/>
      </w:r>
    </w:p>
  </w:footnote>
  <w:footnote w:type="continuationSeparator" w:id="0">
    <w:p w14:paraId="20C44EE4" w14:textId="77777777" w:rsidR="000F69BD" w:rsidRDefault="000F69BD" w:rsidP="006168E4">
      <w:pPr>
        <w:spacing w:after="0" w:line="240" w:lineRule="auto"/>
      </w:pPr>
      <w:r>
        <w:continuationSeparator/>
      </w:r>
    </w:p>
  </w:footnote>
  <w:footnote w:id="1">
    <w:p w14:paraId="399F6533" w14:textId="77777777" w:rsidR="00B74E97" w:rsidRPr="00911081" w:rsidRDefault="00B74E97" w:rsidP="00B74E97">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32FA27A6" w14:textId="77777777" w:rsidR="00B74E97" w:rsidRPr="00911081" w:rsidRDefault="00B74E97" w:rsidP="00B74E97">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A874E" w14:textId="77777777" w:rsidR="001F71ED" w:rsidRDefault="001F71ED">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01993DEB" wp14:editId="6EE91C3C">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1F71ED" w14:paraId="5595743A" w14:textId="77777777" w:rsidTr="00FB4AAD">
      <w:trPr>
        <w:trHeight w:val="227"/>
      </w:trPr>
      <w:tc>
        <w:tcPr>
          <w:tcW w:w="5529" w:type="dxa"/>
          <w:hideMark/>
        </w:tcPr>
        <w:p w14:paraId="23258358" w14:textId="77777777" w:rsidR="001F71ED" w:rsidRDefault="001F71ED"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12C8FCC" w14:textId="09BF64E8" w:rsidR="001F71ED" w:rsidRPr="00B4142F" w:rsidRDefault="00DD77C6"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13275</w:t>
          </w:r>
          <w:r w:rsidR="001F71ED">
            <w:rPr>
              <w:rFonts w:ascii="Palatino Linotype" w:hAnsi="Palatino Linotype" w:cs="Arial"/>
              <w:bCs/>
              <w:sz w:val="24"/>
              <w:lang w:eastAsia="es-MX"/>
            </w:rPr>
            <w:t>/INFOEM/IP/RR/202</w:t>
          </w:r>
          <w:r>
            <w:rPr>
              <w:rFonts w:ascii="Palatino Linotype" w:hAnsi="Palatino Linotype" w:cs="Arial"/>
              <w:bCs/>
              <w:sz w:val="24"/>
              <w:lang w:eastAsia="es-MX"/>
            </w:rPr>
            <w:t>2</w:t>
          </w:r>
          <w:r w:rsidR="001F71ED">
            <w:rPr>
              <w:rFonts w:ascii="Palatino Linotype" w:hAnsi="Palatino Linotype" w:cs="Arial"/>
              <w:bCs/>
              <w:sz w:val="24"/>
              <w:lang w:eastAsia="es-MX"/>
            </w:rPr>
            <w:t xml:space="preserve"> </w:t>
          </w:r>
        </w:p>
      </w:tc>
    </w:tr>
    <w:tr w:rsidR="001F71ED" w14:paraId="717E51D2" w14:textId="77777777" w:rsidTr="00FB4AAD">
      <w:trPr>
        <w:trHeight w:val="242"/>
      </w:trPr>
      <w:tc>
        <w:tcPr>
          <w:tcW w:w="5529" w:type="dxa"/>
          <w:hideMark/>
        </w:tcPr>
        <w:p w14:paraId="6198BD4B" w14:textId="77777777" w:rsidR="001F71ED" w:rsidRDefault="001F71ED"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BA2D97D" w14:textId="141C10D2" w:rsidR="001F71ED" w:rsidRPr="00F06FED" w:rsidRDefault="00DD77C6" w:rsidP="00C25084">
          <w:pPr>
            <w:spacing w:after="120" w:line="256" w:lineRule="auto"/>
            <w:ind w:left="639" w:right="214"/>
            <w:jc w:val="both"/>
            <w:rPr>
              <w:rFonts w:ascii="Palatino Linotype" w:hAnsi="Palatino Linotype" w:cs="Arial"/>
            </w:rPr>
          </w:pPr>
          <w:r>
            <w:rPr>
              <w:rFonts w:ascii="Palatino Linotype" w:hAnsi="Palatino Linotype" w:cs="Arial"/>
              <w:szCs w:val="20"/>
            </w:rPr>
            <w:t xml:space="preserve">Instituto de Seguridad Social del Estado de México y Municipios </w:t>
          </w:r>
        </w:p>
      </w:tc>
    </w:tr>
    <w:tr w:rsidR="001F71ED" w14:paraId="30392CC0" w14:textId="77777777" w:rsidTr="00FB4AAD">
      <w:trPr>
        <w:trHeight w:val="342"/>
      </w:trPr>
      <w:tc>
        <w:tcPr>
          <w:tcW w:w="5529" w:type="dxa"/>
          <w:hideMark/>
        </w:tcPr>
        <w:p w14:paraId="1615D516" w14:textId="77777777" w:rsidR="001F71ED" w:rsidRDefault="001F71ED"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E9C60C4" w14:textId="77777777" w:rsidR="001F71ED" w:rsidRDefault="001F71ED"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1C768AA8" w14:textId="77777777" w:rsidR="001F71ED" w:rsidRDefault="001F71ED">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1F71ED" w14:paraId="2F83FABD" w14:textId="77777777" w:rsidTr="00FB4AAD">
      <w:trPr>
        <w:trHeight w:val="227"/>
      </w:trPr>
      <w:tc>
        <w:tcPr>
          <w:tcW w:w="5529" w:type="dxa"/>
          <w:hideMark/>
        </w:tcPr>
        <w:p w14:paraId="2224F4BC" w14:textId="77777777" w:rsidR="001F71ED" w:rsidRDefault="001F71ED"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ECD92C1" w14:textId="05BCF6AA" w:rsidR="001F71ED" w:rsidRPr="00B4142F" w:rsidRDefault="00F1199D"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13275</w:t>
          </w:r>
          <w:r w:rsidR="001F71ED">
            <w:rPr>
              <w:rFonts w:ascii="Palatino Linotype" w:hAnsi="Palatino Linotype" w:cs="Arial"/>
              <w:bCs/>
              <w:sz w:val="24"/>
              <w:lang w:eastAsia="es-MX"/>
            </w:rPr>
            <w:t>/INFOEM/IP/RR/202</w:t>
          </w:r>
          <w:r>
            <w:rPr>
              <w:rFonts w:ascii="Palatino Linotype" w:hAnsi="Palatino Linotype" w:cs="Arial"/>
              <w:bCs/>
              <w:sz w:val="24"/>
              <w:lang w:eastAsia="es-MX"/>
            </w:rPr>
            <w:t>2</w:t>
          </w:r>
          <w:r w:rsidR="001F71ED">
            <w:rPr>
              <w:rFonts w:ascii="Palatino Linotype" w:hAnsi="Palatino Linotype" w:cs="Arial"/>
              <w:bCs/>
              <w:sz w:val="24"/>
              <w:lang w:eastAsia="es-MX"/>
            </w:rPr>
            <w:t xml:space="preserve"> </w:t>
          </w:r>
        </w:p>
      </w:tc>
    </w:tr>
    <w:tr w:rsidR="001F71ED" w14:paraId="4C16A313" w14:textId="77777777" w:rsidTr="00FB4AAD">
      <w:trPr>
        <w:trHeight w:val="196"/>
      </w:trPr>
      <w:tc>
        <w:tcPr>
          <w:tcW w:w="5529" w:type="dxa"/>
          <w:hideMark/>
        </w:tcPr>
        <w:p w14:paraId="7536EB9D" w14:textId="77777777" w:rsidR="001F71ED" w:rsidRDefault="001F71ED"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6F9E6C3" w14:textId="0D089FFC" w:rsidR="001F71ED" w:rsidRPr="00F06FED" w:rsidRDefault="00255E93" w:rsidP="00CC0C5F">
          <w:pPr>
            <w:spacing w:after="120" w:line="256" w:lineRule="auto"/>
            <w:ind w:left="639" w:right="214"/>
            <w:jc w:val="both"/>
            <w:rPr>
              <w:rFonts w:ascii="Palatino Linotype" w:hAnsi="Palatino Linotype" w:cs="Arial"/>
            </w:rPr>
          </w:pPr>
          <w:r>
            <w:rPr>
              <w:rFonts w:ascii="Palatino Linotype" w:hAnsi="Palatino Linotype" w:cs="Arial"/>
            </w:rPr>
            <w:t>XXXXXXXXXXXXXXXXXX</w:t>
          </w:r>
          <w:r w:rsidR="00DD77C6">
            <w:rPr>
              <w:rFonts w:ascii="Palatino Linotype" w:hAnsi="Palatino Linotype" w:cs="Arial"/>
            </w:rPr>
            <w:t xml:space="preserve"> </w:t>
          </w:r>
        </w:p>
      </w:tc>
    </w:tr>
    <w:tr w:rsidR="001F71ED" w14:paraId="011A557E" w14:textId="77777777" w:rsidTr="00FB4AAD">
      <w:trPr>
        <w:trHeight w:val="242"/>
      </w:trPr>
      <w:tc>
        <w:tcPr>
          <w:tcW w:w="5529" w:type="dxa"/>
          <w:hideMark/>
        </w:tcPr>
        <w:p w14:paraId="1B7B00BF" w14:textId="77777777" w:rsidR="001F71ED" w:rsidRDefault="001F71ED"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8D867FE" w14:textId="4218623F" w:rsidR="001F71ED" w:rsidRDefault="00DD77C6" w:rsidP="00C25084">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Instituto de Seguridad Social del Estado de México y Municipios </w:t>
          </w:r>
        </w:p>
      </w:tc>
    </w:tr>
    <w:tr w:rsidR="001F71ED" w14:paraId="019429A6" w14:textId="77777777" w:rsidTr="00FB4AAD">
      <w:trPr>
        <w:trHeight w:val="342"/>
      </w:trPr>
      <w:tc>
        <w:tcPr>
          <w:tcW w:w="5529" w:type="dxa"/>
          <w:hideMark/>
        </w:tcPr>
        <w:p w14:paraId="6A4E6A8F" w14:textId="77777777" w:rsidR="001F71ED" w:rsidRDefault="001F71ED"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D5ADB19" w14:textId="77777777" w:rsidR="001F71ED" w:rsidRDefault="001F71ED"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2C0E776F" w14:textId="77777777" w:rsidR="001F71ED" w:rsidRDefault="001F71ED">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7FED2F04" wp14:editId="4931B68C">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12581"/>
    <w:multiLevelType w:val="hybridMultilevel"/>
    <w:tmpl w:val="F72012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EE57EF4"/>
    <w:multiLevelType w:val="hybridMultilevel"/>
    <w:tmpl w:val="A55C4D5E"/>
    <w:lvl w:ilvl="0" w:tplc="0268948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3"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15:restartNumberingAfterBreak="0">
    <w:nsid w:val="4DBB497A"/>
    <w:multiLevelType w:val="hybridMultilevel"/>
    <w:tmpl w:val="083E9F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1FF5AD3"/>
    <w:multiLevelType w:val="hybridMultilevel"/>
    <w:tmpl w:val="0310FD4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AE67395"/>
    <w:multiLevelType w:val="hybridMultilevel"/>
    <w:tmpl w:val="6A908E2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F187574"/>
    <w:multiLevelType w:val="hybridMultilevel"/>
    <w:tmpl w:val="47060E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92A3A06"/>
    <w:multiLevelType w:val="hybridMultilevel"/>
    <w:tmpl w:val="881E8F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2B27908"/>
    <w:multiLevelType w:val="hybridMultilevel"/>
    <w:tmpl w:val="0F9AE9D8"/>
    <w:lvl w:ilvl="0" w:tplc="66BE16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20718F"/>
    <w:multiLevelType w:val="hybridMultilevel"/>
    <w:tmpl w:val="C58C0D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6D46267"/>
    <w:multiLevelType w:val="hybridMultilevel"/>
    <w:tmpl w:val="9C9C9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1"/>
  </w:num>
  <w:num w:numId="4">
    <w:abstractNumId w:val="8"/>
  </w:num>
  <w:num w:numId="5">
    <w:abstractNumId w:val="0"/>
  </w:num>
  <w:num w:numId="6">
    <w:abstractNumId w:val="7"/>
  </w:num>
  <w:num w:numId="7">
    <w:abstractNumId w:val="12"/>
  </w:num>
  <w:num w:numId="8">
    <w:abstractNumId w:val="3"/>
  </w:num>
  <w:num w:numId="9">
    <w:abstractNumId w:val="9"/>
  </w:num>
  <w:num w:numId="10">
    <w:abstractNumId w:val="10"/>
  </w:num>
  <w:num w:numId="11">
    <w:abstractNumId w:val="4"/>
  </w:num>
  <w:num w:numId="12">
    <w:abstractNumId w:val="1"/>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37E2"/>
    <w:rsid w:val="00010F2B"/>
    <w:rsid w:val="00012CCF"/>
    <w:rsid w:val="00020A70"/>
    <w:rsid w:val="00022604"/>
    <w:rsid w:val="0002766F"/>
    <w:rsid w:val="000306A7"/>
    <w:rsid w:val="00031C92"/>
    <w:rsid w:val="0004199A"/>
    <w:rsid w:val="00045379"/>
    <w:rsid w:val="000461DF"/>
    <w:rsid w:val="00055224"/>
    <w:rsid w:val="0005543E"/>
    <w:rsid w:val="0005622A"/>
    <w:rsid w:val="00061821"/>
    <w:rsid w:val="000623F9"/>
    <w:rsid w:val="00062482"/>
    <w:rsid w:val="00063A10"/>
    <w:rsid w:val="00063EFB"/>
    <w:rsid w:val="000662F8"/>
    <w:rsid w:val="00071C21"/>
    <w:rsid w:val="00073E78"/>
    <w:rsid w:val="00090AFC"/>
    <w:rsid w:val="00091552"/>
    <w:rsid w:val="00091C3A"/>
    <w:rsid w:val="000A2D37"/>
    <w:rsid w:val="000A3486"/>
    <w:rsid w:val="000A4DD1"/>
    <w:rsid w:val="000A70F8"/>
    <w:rsid w:val="000A79DA"/>
    <w:rsid w:val="000B4B51"/>
    <w:rsid w:val="000B7158"/>
    <w:rsid w:val="000C5B8B"/>
    <w:rsid w:val="000D033B"/>
    <w:rsid w:val="000D1B55"/>
    <w:rsid w:val="000D3C75"/>
    <w:rsid w:val="000E686B"/>
    <w:rsid w:val="000F3EE7"/>
    <w:rsid w:val="000F68B1"/>
    <w:rsid w:val="000F69BD"/>
    <w:rsid w:val="000F6F19"/>
    <w:rsid w:val="000F7AC2"/>
    <w:rsid w:val="00102D69"/>
    <w:rsid w:val="00110EDB"/>
    <w:rsid w:val="00111DCD"/>
    <w:rsid w:val="00114CF9"/>
    <w:rsid w:val="001167AA"/>
    <w:rsid w:val="00117157"/>
    <w:rsid w:val="00124855"/>
    <w:rsid w:val="001254F5"/>
    <w:rsid w:val="00126F00"/>
    <w:rsid w:val="001336D3"/>
    <w:rsid w:val="00136FAD"/>
    <w:rsid w:val="00144B4A"/>
    <w:rsid w:val="00146F0A"/>
    <w:rsid w:val="00147B36"/>
    <w:rsid w:val="00152124"/>
    <w:rsid w:val="00152C2B"/>
    <w:rsid w:val="00172661"/>
    <w:rsid w:val="001742A5"/>
    <w:rsid w:val="00174EE4"/>
    <w:rsid w:val="00175897"/>
    <w:rsid w:val="00175C56"/>
    <w:rsid w:val="00177D2C"/>
    <w:rsid w:val="001804C3"/>
    <w:rsid w:val="00180B9F"/>
    <w:rsid w:val="00181CC5"/>
    <w:rsid w:val="00191926"/>
    <w:rsid w:val="00193784"/>
    <w:rsid w:val="00193FB6"/>
    <w:rsid w:val="001942EE"/>
    <w:rsid w:val="001A02EC"/>
    <w:rsid w:val="001A22D7"/>
    <w:rsid w:val="001A577E"/>
    <w:rsid w:val="001A58DE"/>
    <w:rsid w:val="001A7C9B"/>
    <w:rsid w:val="001B05B9"/>
    <w:rsid w:val="001B1519"/>
    <w:rsid w:val="001B6218"/>
    <w:rsid w:val="001B7B88"/>
    <w:rsid w:val="001C7319"/>
    <w:rsid w:val="001C7D87"/>
    <w:rsid w:val="001D3E87"/>
    <w:rsid w:val="001D5F16"/>
    <w:rsid w:val="001D6FAB"/>
    <w:rsid w:val="001E1D18"/>
    <w:rsid w:val="001F0A4F"/>
    <w:rsid w:val="001F71ED"/>
    <w:rsid w:val="001F726A"/>
    <w:rsid w:val="00203D3A"/>
    <w:rsid w:val="00203FF3"/>
    <w:rsid w:val="002044B4"/>
    <w:rsid w:val="00207086"/>
    <w:rsid w:val="00211D60"/>
    <w:rsid w:val="002145AC"/>
    <w:rsid w:val="0021501E"/>
    <w:rsid w:val="002205C0"/>
    <w:rsid w:val="0022494A"/>
    <w:rsid w:val="00225507"/>
    <w:rsid w:val="0023373D"/>
    <w:rsid w:val="0023423C"/>
    <w:rsid w:val="0024112D"/>
    <w:rsid w:val="00241D86"/>
    <w:rsid w:val="00244177"/>
    <w:rsid w:val="00254477"/>
    <w:rsid w:val="00255E93"/>
    <w:rsid w:val="002577FE"/>
    <w:rsid w:val="0025780C"/>
    <w:rsid w:val="002647A6"/>
    <w:rsid w:val="00266AE6"/>
    <w:rsid w:val="00273D0E"/>
    <w:rsid w:val="00280B8B"/>
    <w:rsid w:val="00281077"/>
    <w:rsid w:val="00292350"/>
    <w:rsid w:val="00297EF9"/>
    <w:rsid w:val="002A2034"/>
    <w:rsid w:val="002A24F4"/>
    <w:rsid w:val="002A38BF"/>
    <w:rsid w:val="002A597E"/>
    <w:rsid w:val="002B0FB9"/>
    <w:rsid w:val="002B4382"/>
    <w:rsid w:val="002B5DBD"/>
    <w:rsid w:val="002B72F9"/>
    <w:rsid w:val="002C498D"/>
    <w:rsid w:val="002C4FE1"/>
    <w:rsid w:val="002C72D2"/>
    <w:rsid w:val="002D2F00"/>
    <w:rsid w:val="002D79E2"/>
    <w:rsid w:val="002D7A5D"/>
    <w:rsid w:val="002E0A4A"/>
    <w:rsid w:val="002E0BC4"/>
    <w:rsid w:val="002E21B4"/>
    <w:rsid w:val="002E2D7B"/>
    <w:rsid w:val="002E5E6A"/>
    <w:rsid w:val="002F22FA"/>
    <w:rsid w:val="002F37BE"/>
    <w:rsid w:val="002F41CA"/>
    <w:rsid w:val="002F4C6A"/>
    <w:rsid w:val="002F70F6"/>
    <w:rsid w:val="00300D0B"/>
    <w:rsid w:val="003043BE"/>
    <w:rsid w:val="00306096"/>
    <w:rsid w:val="00306974"/>
    <w:rsid w:val="00307014"/>
    <w:rsid w:val="0031645D"/>
    <w:rsid w:val="00320A67"/>
    <w:rsid w:val="003272FB"/>
    <w:rsid w:val="00331499"/>
    <w:rsid w:val="00333EC3"/>
    <w:rsid w:val="0033580E"/>
    <w:rsid w:val="00343D1E"/>
    <w:rsid w:val="00354258"/>
    <w:rsid w:val="00355593"/>
    <w:rsid w:val="00357E0E"/>
    <w:rsid w:val="00361B9C"/>
    <w:rsid w:val="003666DA"/>
    <w:rsid w:val="003672FB"/>
    <w:rsid w:val="00370797"/>
    <w:rsid w:val="003746C6"/>
    <w:rsid w:val="00375BEA"/>
    <w:rsid w:val="00376CEC"/>
    <w:rsid w:val="00380758"/>
    <w:rsid w:val="003815E5"/>
    <w:rsid w:val="00381E2B"/>
    <w:rsid w:val="00387929"/>
    <w:rsid w:val="00393D5B"/>
    <w:rsid w:val="0039460D"/>
    <w:rsid w:val="00394A1E"/>
    <w:rsid w:val="003968C7"/>
    <w:rsid w:val="003976E7"/>
    <w:rsid w:val="003A2246"/>
    <w:rsid w:val="003A61F9"/>
    <w:rsid w:val="003A6975"/>
    <w:rsid w:val="003B1E88"/>
    <w:rsid w:val="003C5243"/>
    <w:rsid w:val="003C53ED"/>
    <w:rsid w:val="003D0B7E"/>
    <w:rsid w:val="003D4E0F"/>
    <w:rsid w:val="003E16E1"/>
    <w:rsid w:val="003E1871"/>
    <w:rsid w:val="003E504D"/>
    <w:rsid w:val="003E656A"/>
    <w:rsid w:val="003E78B7"/>
    <w:rsid w:val="003F2D47"/>
    <w:rsid w:val="003F3016"/>
    <w:rsid w:val="003F76E5"/>
    <w:rsid w:val="004012CF"/>
    <w:rsid w:val="00402FF3"/>
    <w:rsid w:val="0040673A"/>
    <w:rsid w:val="004069EB"/>
    <w:rsid w:val="00410ACB"/>
    <w:rsid w:val="00412600"/>
    <w:rsid w:val="00422ED2"/>
    <w:rsid w:val="00423213"/>
    <w:rsid w:val="0042416D"/>
    <w:rsid w:val="00436802"/>
    <w:rsid w:val="00442E45"/>
    <w:rsid w:val="00443AD4"/>
    <w:rsid w:val="0044438E"/>
    <w:rsid w:val="00445C0F"/>
    <w:rsid w:val="00451448"/>
    <w:rsid w:val="004516EB"/>
    <w:rsid w:val="004529B6"/>
    <w:rsid w:val="00453DBD"/>
    <w:rsid w:val="00454CE6"/>
    <w:rsid w:val="00457305"/>
    <w:rsid w:val="00457955"/>
    <w:rsid w:val="00462881"/>
    <w:rsid w:val="004640F2"/>
    <w:rsid w:val="00467337"/>
    <w:rsid w:val="00475F48"/>
    <w:rsid w:val="00477CC2"/>
    <w:rsid w:val="00477D47"/>
    <w:rsid w:val="0048180A"/>
    <w:rsid w:val="00481C7A"/>
    <w:rsid w:val="00482101"/>
    <w:rsid w:val="00487DB5"/>
    <w:rsid w:val="004906C8"/>
    <w:rsid w:val="00492BC7"/>
    <w:rsid w:val="004967E2"/>
    <w:rsid w:val="004A290F"/>
    <w:rsid w:val="004A55D8"/>
    <w:rsid w:val="004A5FFD"/>
    <w:rsid w:val="004A7CE2"/>
    <w:rsid w:val="004B031A"/>
    <w:rsid w:val="004B234F"/>
    <w:rsid w:val="004B45C5"/>
    <w:rsid w:val="004B59BB"/>
    <w:rsid w:val="004B5CCC"/>
    <w:rsid w:val="004C2845"/>
    <w:rsid w:val="004C499C"/>
    <w:rsid w:val="004C7961"/>
    <w:rsid w:val="004D08EB"/>
    <w:rsid w:val="004D54E3"/>
    <w:rsid w:val="004E1A3D"/>
    <w:rsid w:val="004E2371"/>
    <w:rsid w:val="004E6BE9"/>
    <w:rsid w:val="004E754F"/>
    <w:rsid w:val="004F4F45"/>
    <w:rsid w:val="005001FE"/>
    <w:rsid w:val="005020E9"/>
    <w:rsid w:val="00503655"/>
    <w:rsid w:val="00504BE3"/>
    <w:rsid w:val="00514207"/>
    <w:rsid w:val="005149BE"/>
    <w:rsid w:val="00515090"/>
    <w:rsid w:val="005179E4"/>
    <w:rsid w:val="00520899"/>
    <w:rsid w:val="00521E57"/>
    <w:rsid w:val="005305EA"/>
    <w:rsid w:val="005317B6"/>
    <w:rsid w:val="00533C5F"/>
    <w:rsid w:val="0053652A"/>
    <w:rsid w:val="005371E7"/>
    <w:rsid w:val="00537E4B"/>
    <w:rsid w:val="00540538"/>
    <w:rsid w:val="00542664"/>
    <w:rsid w:val="00544CF2"/>
    <w:rsid w:val="00551E8B"/>
    <w:rsid w:val="005520FE"/>
    <w:rsid w:val="0055263C"/>
    <w:rsid w:val="0055472B"/>
    <w:rsid w:val="00555D9A"/>
    <w:rsid w:val="00556513"/>
    <w:rsid w:val="00557F13"/>
    <w:rsid w:val="00562653"/>
    <w:rsid w:val="005662E2"/>
    <w:rsid w:val="005733EB"/>
    <w:rsid w:val="005734C5"/>
    <w:rsid w:val="00576D51"/>
    <w:rsid w:val="00580802"/>
    <w:rsid w:val="00581A22"/>
    <w:rsid w:val="005860CB"/>
    <w:rsid w:val="00593E91"/>
    <w:rsid w:val="0059442D"/>
    <w:rsid w:val="00594D38"/>
    <w:rsid w:val="005A0B49"/>
    <w:rsid w:val="005A353A"/>
    <w:rsid w:val="005A6D57"/>
    <w:rsid w:val="005A71FD"/>
    <w:rsid w:val="005B5B70"/>
    <w:rsid w:val="005B5F05"/>
    <w:rsid w:val="005C17BF"/>
    <w:rsid w:val="005C307A"/>
    <w:rsid w:val="005C6982"/>
    <w:rsid w:val="005C6B74"/>
    <w:rsid w:val="005C7AEA"/>
    <w:rsid w:val="005D0E19"/>
    <w:rsid w:val="005D125D"/>
    <w:rsid w:val="005D2B59"/>
    <w:rsid w:val="005D362F"/>
    <w:rsid w:val="005D370F"/>
    <w:rsid w:val="005D44D1"/>
    <w:rsid w:val="005E265D"/>
    <w:rsid w:val="005E3D7D"/>
    <w:rsid w:val="005E4D7C"/>
    <w:rsid w:val="005F048E"/>
    <w:rsid w:val="005F57F0"/>
    <w:rsid w:val="00601010"/>
    <w:rsid w:val="006028C9"/>
    <w:rsid w:val="0060680F"/>
    <w:rsid w:val="0060721D"/>
    <w:rsid w:val="0061042F"/>
    <w:rsid w:val="006131EA"/>
    <w:rsid w:val="006168E4"/>
    <w:rsid w:val="00621F47"/>
    <w:rsid w:val="0062497C"/>
    <w:rsid w:val="00625200"/>
    <w:rsid w:val="006255AA"/>
    <w:rsid w:val="00631806"/>
    <w:rsid w:val="00637512"/>
    <w:rsid w:val="00640EE4"/>
    <w:rsid w:val="006466F5"/>
    <w:rsid w:val="00652BC5"/>
    <w:rsid w:val="00656450"/>
    <w:rsid w:val="00661753"/>
    <w:rsid w:val="0066216F"/>
    <w:rsid w:val="006654F6"/>
    <w:rsid w:val="0066552A"/>
    <w:rsid w:val="00675390"/>
    <w:rsid w:val="00676CAA"/>
    <w:rsid w:val="006848B7"/>
    <w:rsid w:val="006868A7"/>
    <w:rsid w:val="006915EA"/>
    <w:rsid w:val="00694828"/>
    <w:rsid w:val="006A3810"/>
    <w:rsid w:val="006A68B8"/>
    <w:rsid w:val="006A7CEB"/>
    <w:rsid w:val="006B1953"/>
    <w:rsid w:val="006B1BF1"/>
    <w:rsid w:val="006B20F0"/>
    <w:rsid w:val="006B26E3"/>
    <w:rsid w:val="006B3085"/>
    <w:rsid w:val="006B69CF"/>
    <w:rsid w:val="006B7444"/>
    <w:rsid w:val="006C28CA"/>
    <w:rsid w:val="006C350D"/>
    <w:rsid w:val="006C5E56"/>
    <w:rsid w:val="006C6696"/>
    <w:rsid w:val="006C66E4"/>
    <w:rsid w:val="006D23FC"/>
    <w:rsid w:val="006D643D"/>
    <w:rsid w:val="006E063C"/>
    <w:rsid w:val="006E0CE2"/>
    <w:rsid w:val="006E3851"/>
    <w:rsid w:val="006F1167"/>
    <w:rsid w:val="006F4044"/>
    <w:rsid w:val="006F46DC"/>
    <w:rsid w:val="00701033"/>
    <w:rsid w:val="00701A3F"/>
    <w:rsid w:val="00712E3A"/>
    <w:rsid w:val="00721506"/>
    <w:rsid w:val="007216DB"/>
    <w:rsid w:val="007246D3"/>
    <w:rsid w:val="00725F5A"/>
    <w:rsid w:val="007404D5"/>
    <w:rsid w:val="00740A6E"/>
    <w:rsid w:val="00744287"/>
    <w:rsid w:val="00744EEF"/>
    <w:rsid w:val="00745D76"/>
    <w:rsid w:val="00747487"/>
    <w:rsid w:val="0074759E"/>
    <w:rsid w:val="007505EB"/>
    <w:rsid w:val="00754CAE"/>
    <w:rsid w:val="00763EE7"/>
    <w:rsid w:val="0076623B"/>
    <w:rsid w:val="00767E4B"/>
    <w:rsid w:val="007718AD"/>
    <w:rsid w:val="007742A7"/>
    <w:rsid w:val="007851D5"/>
    <w:rsid w:val="0079486A"/>
    <w:rsid w:val="00794F80"/>
    <w:rsid w:val="007A00E9"/>
    <w:rsid w:val="007A0454"/>
    <w:rsid w:val="007A0E44"/>
    <w:rsid w:val="007A1C9E"/>
    <w:rsid w:val="007A4CA1"/>
    <w:rsid w:val="007A5DFD"/>
    <w:rsid w:val="007B0398"/>
    <w:rsid w:val="007B2C77"/>
    <w:rsid w:val="007B2E78"/>
    <w:rsid w:val="007B6549"/>
    <w:rsid w:val="007C3F2F"/>
    <w:rsid w:val="007D1A27"/>
    <w:rsid w:val="007D1B24"/>
    <w:rsid w:val="007D1F15"/>
    <w:rsid w:val="007D25B1"/>
    <w:rsid w:val="007D2878"/>
    <w:rsid w:val="007E319E"/>
    <w:rsid w:val="007E4FA1"/>
    <w:rsid w:val="007E7B07"/>
    <w:rsid w:val="007E7BAB"/>
    <w:rsid w:val="007E7DCE"/>
    <w:rsid w:val="007E7FA9"/>
    <w:rsid w:val="007F20AC"/>
    <w:rsid w:val="00802C56"/>
    <w:rsid w:val="00807750"/>
    <w:rsid w:val="00807E35"/>
    <w:rsid w:val="00811205"/>
    <w:rsid w:val="00812C48"/>
    <w:rsid w:val="008146F9"/>
    <w:rsid w:val="00821AEB"/>
    <w:rsid w:val="00824DCD"/>
    <w:rsid w:val="00833E8A"/>
    <w:rsid w:val="00844009"/>
    <w:rsid w:val="00844569"/>
    <w:rsid w:val="00844CDE"/>
    <w:rsid w:val="00845083"/>
    <w:rsid w:val="00847D23"/>
    <w:rsid w:val="008556FF"/>
    <w:rsid w:val="00857106"/>
    <w:rsid w:val="00857765"/>
    <w:rsid w:val="00863327"/>
    <w:rsid w:val="00863A40"/>
    <w:rsid w:val="00867F7E"/>
    <w:rsid w:val="00870F44"/>
    <w:rsid w:val="00872ECB"/>
    <w:rsid w:val="0087456A"/>
    <w:rsid w:val="00884054"/>
    <w:rsid w:val="00890B7A"/>
    <w:rsid w:val="00890C62"/>
    <w:rsid w:val="0089437B"/>
    <w:rsid w:val="00895089"/>
    <w:rsid w:val="008951ED"/>
    <w:rsid w:val="0089761E"/>
    <w:rsid w:val="008977EE"/>
    <w:rsid w:val="008A5928"/>
    <w:rsid w:val="008A7548"/>
    <w:rsid w:val="008A75BE"/>
    <w:rsid w:val="008B0D6E"/>
    <w:rsid w:val="008B1AD9"/>
    <w:rsid w:val="008B1D2E"/>
    <w:rsid w:val="008B4DF4"/>
    <w:rsid w:val="008C08BE"/>
    <w:rsid w:val="008C229F"/>
    <w:rsid w:val="008C32A8"/>
    <w:rsid w:val="008C3445"/>
    <w:rsid w:val="008C4E94"/>
    <w:rsid w:val="008C55A3"/>
    <w:rsid w:val="008C7368"/>
    <w:rsid w:val="008D1B5C"/>
    <w:rsid w:val="008E6375"/>
    <w:rsid w:val="008F17A1"/>
    <w:rsid w:val="008F38EE"/>
    <w:rsid w:val="008F4C65"/>
    <w:rsid w:val="008F7579"/>
    <w:rsid w:val="00902944"/>
    <w:rsid w:val="00905422"/>
    <w:rsid w:val="009062EB"/>
    <w:rsid w:val="00906BD5"/>
    <w:rsid w:val="009104D1"/>
    <w:rsid w:val="00913133"/>
    <w:rsid w:val="0091475B"/>
    <w:rsid w:val="00921DB9"/>
    <w:rsid w:val="0092403D"/>
    <w:rsid w:val="009402DB"/>
    <w:rsid w:val="00942E41"/>
    <w:rsid w:val="009440D8"/>
    <w:rsid w:val="009449B8"/>
    <w:rsid w:val="00944DC9"/>
    <w:rsid w:val="009454E7"/>
    <w:rsid w:val="0094603F"/>
    <w:rsid w:val="00951C9C"/>
    <w:rsid w:val="00957771"/>
    <w:rsid w:val="009611E0"/>
    <w:rsid w:val="00962383"/>
    <w:rsid w:val="00963120"/>
    <w:rsid w:val="00965FEE"/>
    <w:rsid w:val="0096643B"/>
    <w:rsid w:val="009706B5"/>
    <w:rsid w:val="00972BDF"/>
    <w:rsid w:val="00973F49"/>
    <w:rsid w:val="0098182D"/>
    <w:rsid w:val="00982A98"/>
    <w:rsid w:val="009855E2"/>
    <w:rsid w:val="00987C03"/>
    <w:rsid w:val="00992977"/>
    <w:rsid w:val="0099557F"/>
    <w:rsid w:val="009A3511"/>
    <w:rsid w:val="009A686F"/>
    <w:rsid w:val="009A7912"/>
    <w:rsid w:val="009B33A8"/>
    <w:rsid w:val="009B3487"/>
    <w:rsid w:val="009B7C61"/>
    <w:rsid w:val="009C3793"/>
    <w:rsid w:val="009C62BD"/>
    <w:rsid w:val="009D26AD"/>
    <w:rsid w:val="009D341C"/>
    <w:rsid w:val="009E1411"/>
    <w:rsid w:val="009E19FC"/>
    <w:rsid w:val="009E52F2"/>
    <w:rsid w:val="009F3C1F"/>
    <w:rsid w:val="009F614E"/>
    <w:rsid w:val="009F762B"/>
    <w:rsid w:val="009F76BA"/>
    <w:rsid w:val="009F7E09"/>
    <w:rsid w:val="00A02047"/>
    <w:rsid w:val="00A035C0"/>
    <w:rsid w:val="00A036BE"/>
    <w:rsid w:val="00A0575E"/>
    <w:rsid w:val="00A12205"/>
    <w:rsid w:val="00A139AF"/>
    <w:rsid w:val="00A20113"/>
    <w:rsid w:val="00A3248C"/>
    <w:rsid w:val="00A358E6"/>
    <w:rsid w:val="00A37C0F"/>
    <w:rsid w:val="00A422B7"/>
    <w:rsid w:val="00A42E66"/>
    <w:rsid w:val="00A44291"/>
    <w:rsid w:val="00A453DC"/>
    <w:rsid w:val="00A47E33"/>
    <w:rsid w:val="00A50182"/>
    <w:rsid w:val="00A51024"/>
    <w:rsid w:val="00A51109"/>
    <w:rsid w:val="00A544DC"/>
    <w:rsid w:val="00A55818"/>
    <w:rsid w:val="00A56556"/>
    <w:rsid w:val="00A565F5"/>
    <w:rsid w:val="00A625E2"/>
    <w:rsid w:val="00A63DC7"/>
    <w:rsid w:val="00A70289"/>
    <w:rsid w:val="00A72105"/>
    <w:rsid w:val="00A72465"/>
    <w:rsid w:val="00A80C92"/>
    <w:rsid w:val="00A82461"/>
    <w:rsid w:val="00A851D8"/>
    <w:rsid w:val="00A870C4"/>
    <w:rsid w:val="00A87326"/>
    <w:rsid w:val="00A953BA"/>
    <w:rsid w:val="00A96F9F"/>
    <w:rsid w:val="00AA0848"/>
    <w:rsid w:val="00AA0AAF"/>
    <w:rsid w:val="00AA3C06"/>
    <w:rsid w:val="00AA56F6"/>
    <w:rsid w:val="00AA5D62"/>
    <w:rsid w:val="00AB2BF2"/>
    <w:rsid w:val="00AB3710"/>
    <w:rsid w:val="00AB4B0F"/>
    <w:rsid w:val="00AB6C3B"/>
    <w:rsid w:val="00AB7F4A"/>
    <w:rsid w:val="00AC226E"/>
    <w:rsid w:val="00AC722C"/>
    <w:rsid w:val="00AC7906"/>
    <w:rsid w:val="00AD1291"/>
    <w:rsid w:val="00AD134F"/>
    <w:rsid w:val="00AD3428"/>
    <w:rsid w:val="00AD3AA2"/>
    <w:rsid w:val="00AD4B1A"/>
    <w:rsid w:val="00AE008F"/>
    <w:rsid w:val="00AF0161"/>
    <w:rsid w:val="00AF2A1F"/>
    <w:rsid w:val="00AF2D9B"/>
    <w:rsid w:val="00B0749B"/>
    <w:rsid w:val="00B10050"/>
    <w:rsid w:val="00B10A1E"/>
    <w:rsid w:val="00B11E08"/>
    <w:rsid w:val="00B14039"/>
    <w:rsid w:val="00B149FA"/>
    <w:rsid w:val="00B22242"/>
    <w:rsid w:val="00B2330D"/>
    <w:rsid w:val="00B32CD3"/>
    <w:rsid w:val="00B34CED"/>
    <w:rsid w:val="00B35A93"/>
    <w:rsid w:val="00B3672D"/>
    <w:rsid w:val="00B433C9"/>
    <w:rsid w:val="00B4745C"/>
    <w:rsid w:val="00B52D3E"/>
    <w:rsid w:val="00B57980"/>
    <w:rsid w:val="00B601D4"/>
    <w:rsid w:val="00B63BC9"/>
    <w:rsid w:val="00B653BB"/>
    <w:rsid w:val="00B66E86"/>
    <w:rsid w:val="00B67A20"/>
    <w:rsid w:val="00B724E8"/>
    <w:rsid w:val="00B74E97"/>
    <w:rsid w:val="00B87D50"/>
    <w:rsid w:val="00B9223B"/>
    <w:rsid w:val="00BA05BD"/>
    <w:rsid w:val="00BA4D1F"/>
    <w:rsid w:val="00BA7AD1"/>
    <w:rsid w:val="00BB2250"/>
    <w:rsid w:val="00BB721B"/>
    <w:rsid w:val="00BC0FDD"/>
    <w:rsid w:val="00BC22E0"/>
    <w:rsid w:val="00BC2A46"/>
    <w:rsid w:val="00BC3FA4"/>
    <w:rsid w:val="00BD004A"/>
    <w:rsid w:val="00BD352C"/>
    <w:rsid w:val="00BD5023"/>
    <w:rsid w:val="00BD58AB"/>
    <w:rsid w:val="00BE28ED"/>
    <w:rsid w:val="00C008B2"/>
    <w:rsid w:val="00C01F6B"/>
    <w:rsid w:val="00C12209"/>
    <w:rsid w:val="00C247E8"/>
    <w:rsid w:val="00C24A09"/>
    <w:rsid w:val="00C25084"/>
    <w:rsid w:val="00C357BE"/>
    <w:rsid w:val="00C56C44"/>
    <w:rsid w:val="00C6332C"/>
    <w:rsid w:val="00C71CD1"/>
    <w:rsid w:val="00C73143"/>
    <w:rsid w:val="00C77685"/>
    <w:rsid w:val="00C77815"/>
    <w:rsid w:val="00C77977"/>
    <w:rsid w:val="00C77ABA"/>
    <w:rsid w:val="00C85378"/>
    <w:rsid w:val="00C91B10"/>
    <w:rsid w:val="00C9297C"/>
    <w:rsid w:val="00CA5334"/>
    <w:rsid w:val="00CA6FDA"/>
    <w:rsid w:val="00CB3B6F"/>
    <w:rsid w:val="00CC0C5F"/>
    <w:rsid w:val="00CC2F3D"/>
    <w:rsid w:val="00CC5FF3"/>
    <w:rsid w:val="00CC6072"/>
    <w:rsid w:val="00CD365B"/>
    <w:rsid w:val="00CD4BFA"/>
    <w:rsid w:val="00CE0E72"/>
    <w:rsid w:val="00CE2ADF"/>
    <w:rsid w:val="00CF1C84"/>
    <w:rsid w:val="00CF1D7D"/>
    <w:rsid w:val="00CF45D3"/>
    <w:rsid w:val="00CF51F9"/>
    <w:rsid w:val="00CF6B6C"/>
    <w:rsid w:val="00CF7EA2"/>
    <w:rsid w:val="00D042BB"/>
    <w:rsid w:val="00D06CA0"/>
    <w:rsid w:val="00D115BB"/>
    <w:rsid w:val="00D11797"/>
    <w:rsid w:val="00D12C68"/>
    <w:rsid w:val="00D134FB"/>
    <w:rsid w:val="00D17789"/>
    <w:rsid w:val="00D21565"/>
    <w:rsid w:val="00D22F7D"/>
    <w:rsid w:val="00D25BEE"/>
    <w:rsid w:val="00D2737E"/>
    <w:rsid w:val="00D274A9"/>
    <w:rsid w:val="00D315FD"/>
    <w:rsid w:val="00D32644"/>
    <w:rsid w:val="00D32DE1"/>
    <w:rsid w:val="00D33619"/>
    <w:rsid w:val="00D36624"/>
    <w:rsid w:val="00D449AE"/>
    <w:rsid w:val="00D477C3"/>
    <w:rsid w:val="00D51B89"/>
    <w:rsid w:val="00D52AC7"/>
    <w:rsid w:val="00D54CA9"/>
    <w:rsid w:val="00D54D64"/>
    <w:rsid w:val="00D6340F"/>
    <w:rsid w:val="00D6535E"/>
    <w:rsid w:val="00D654EC"/>
    <w:rsid w:val="00D72D16"/>
    <w:rsid w:val="00D742B9"/>
    <w:rsid w:val="00D7492C"/>
    <w:rsid w:val="00D8195B"/>
    <w:rsid w:val="00D821F8"/>
    <w:rsid w:val="00D848F9"/>
    <w:rsid w:val="00D84DDC"/>
    <w:rsid w:val="00D85695"/>
    <w:rsid w:val="00D8619F"/>
    <w:rsid w:val="00D86764"/>
    <w:rsid w:val="00DA0DF2"/>
    <w:rsid w:val="00DA41D7"/>
    <w:rsid w:val="00DA494B"/>
    <w:rsid w:val="00DB5C0A"/>
    <w:rsid w:val="00DD13E2"/>
    <w:rsid w:val="00DD77C6"/>
    <w:rsid w:val="00DE47A1"/>
    <w:rsid w:val="00DF003C"/>
    <w:rsid w:val="00DF137F"/>
    <w:rsid w:val="00DF4501"/>
    <w:rsid w:val="00DF6971"/>
    <w:rsid w:val="00DF78AE"/>
    <w:rsid w:val="00E00E78"/>
    <w:rsid w:val="00E076C1"/>
    <w:rsid w:val="00E11E2E"/>
    <w:rsid w:val="00E132E1"/>
    <w:rsid w:val="00E13C83"/>
    <w:rsid w:val="00E15555"/>
    <w:rsid w:val="00E15B7D"/>
    <w:rsid w:val="00E2408E"/>
    <w:rsid w:val="00E371EC"/>
    <w:rsid w:val="00E43116"/>
    <w:rsid w:val="00E444DA"/>
    <w:rsid w:val="00E5486C"/>
    <w:rsid w:val="00E571F8"/>
    <w:rsid w:val="00E64F0A"/>
    <w:rsid w:val="00E67668"/>
    <w:rsid w:val="00E70AEE"/>
    <w:rsid w:val="00E7107E"/>
    <w:rsid w:val="00E71C93"/>
    <w:rsid w:val="00E72AE3"/>
    <w:rsid w:val="00E73B51"/>
    <w:rsid w:val="00E8151C"/>
    <w:rsid w:val="00E81D64"/>
    <w:rsid w:val="00E81E9C"/>
    <w:rsid w:val="00E82E15"/>
    <w:rsid w:val="00E936FF"/>
    <w:rsid w:val="00E939C8"/>
    <w:rsid w:val="00E93A33"/>
    <w:rsid w:val="00E93B6B"/>
    <w:rsid w:val="00EA1F89"/>
    <w:rsid w:val="00EB117B"/>
    <w:rsid w:val="00EB2BEB"/>
    <w:rsid w:val="00EB40D6"/>
    <w:rsid w:val="00EB4222"/>
    <w:rsid w:val="00EB5F75"/>
    <w:rsid w:val="00EB79CD"/>
    <w:rsid w:val="00EE0F2E"/>
    <w:rsid w:val="00EE2610"/>
    <w:rsid w:val="00EE2A41"/>
    <w:rsid w:val="00EE354B"/>
    <w:rsid w:val="00EE3C1D"/>
    <w:rsid w:val="00EE6EC2"/>
    <w:rsid w:val="00EF09FB"/>
    <w:rsid w:val="00EF102E"/>
    <w:rsid w:val="00EF697A"/>
    <w:rsid w:val="00F02923"/>
    <w:rsid w:val="00F0351B"/>
    <w:rsid w:val="00F06472"/>
    <w:rsid w:val="00F1199D"/>
    <w:rsid w:val="00F13254"/>
    <w:rsid w:val="00F1465C"/>
    <w:rsid w:val="00F177B1"/>
    <w:rsid w:val="00F2126F"/>
    <w:rsid w:val="00F22566"/>
    <w:rsid w:val="00F226DB"/>
    <w:rsid w:val="00F22963"/>
    <w:rsid w:val="00F232C2"/>
    <w:rsid w:val="00F24599"/>
    <w:rsid w:val="00F278FA"/>
    <w:rsid w:val="00F30F82"/>
    <w:rsid w:val="00F367F2"/>
    <w:rsid w:val="00F370A2"/>
    <w:rsid w:val="00F403EA"/>
    <w:rsid w:val="00F42753"/>
    <w:rsid w:val="00F42E10"/>
    <w:rsid w:val="00F44A7B"/>
    <w:rsid w:val="00F44FFA"/>
    <w:rsid w:val="00F45B6F"/>
    <w:rsid w:val="00F4667E"/>
    <w:rsid w:val="00F510DB"/>
    <w:rsid w:val="00F53708"/>
    <w:rsid w:val="00F5724D"/>
    <w:rsid w:val="00F60AB3"/>
    <w:rsid w:val="00F62329"/>
    <w:rsid w:val="00F65A74"/>
    <w:rsid w:val="00F727B0"/>
    <w:rsid w:val="00F76A74"/>
    <w:rsid w:val="00F827EF"/>
    <w:rsid w:val="00F858D5"/>
    <w:rsid w:val="00F91AEE"/>
    <w:rsid w:val="00FA047C"/>
    <w:rsid w:val="00FA2545"/>
    <w:rsid w:val="00FB4AAD"/>
    <w:rsid w:val="00FB4E3D"/>
    <w:rsid w:val="00FB5F2A"/>
    <w:rsid w:val="00FB6CF8"/>
    <w:rsid w:val="00FC16E9"/>
    <w:rsid w:val="00FC279C"/>
    <w:rsid w:val="00FC45DE"/>
    <w:rsid w:val="00FC48CB"/>
    <w:rsid w:val="00FC4F9B"/>
    <w:rsid w:val="00FC59F0"/>
    <w:rsid w:val="00FC5F74"/>
    <w:rsid w:val="00FD4599"/>
    <w:rsid w:val="00FD4784"/>
    <w:rsid w:val="00FD65FE"/>
    <w:rsid w:val="00FD74EB"/>
    <w:rsid w:val="00FE214F"/>
    <w:rsid w:val="00FF1082"/>
    <w:rsid w:val="00FF46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B2636C"/>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2559624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www.infoem.org.mx/es/contenido/transparencia/directorio-de-sujetos-obligados"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889333-454B-408D-A87D-41C02000E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28</Pages>
  <Words>4576</Words>
  <Characters>25170</Characters>
  <Application>Microsoft Office Word</Application>
  <DocSecurity>0</DocSecurity>
  <Lines>209</Lines>
  <Paragraphs>59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29687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libni</cp:lastModifiedBy>
  <cp:revision>15</cp:revision>
  <cp:lastPrinted>2019-11-07T00:56:00Z</cp:lastPrinted>
  <dcterms:created xsi:type="dcterms:W3CDTF">2022-08-31T02:01:00Z</dcterms:created>
  <dcterms:modified xsi:type="dcterms:W3CDTF">2022-10-03T00:53:00Z</dcterms:modified>
</cp:coreProperties>
</file>