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CC6C3" w14:textId="77777777" w:rsidR="00CE6C41" w:rsidRDefault="00626B72">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mayo de dos mil veintidós.</w:t>
      </w:r>
    </w:p>
    <w:p w14:paraId="11F2101E"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02494/INFOEM/IP/RR/2022</w:t>
      </w:r>
      <w:r>
        <w:rPr>
          <w:rFonts w:ascii="Palatino Linotype" w:eastAsia="Palatino Linotype" w:hAnsi="Palatino Linotype" w:cs="Palatino Linotype"/>
          <w:sz w:val="24"/>
          <w:szCs w:val="24"/>
        </w:rPr>
        <w:t xml:space="preserve">, interpuesto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00064/TEQUIXQU/IP/2022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w:t>
      </w:r>
      <w:proofErr w:type="gramStart"/>
      <w:r>
        <w:rPr>
          <w:rFonts w:ascii="Palatino Linotype" w:eastAsia="Palatino Linotype" w:hAnsi="Palatino Linotype" w:cs="Palatino Linotype"/>
          <w:sz w:val="24"/>
          <w:szCs w:val="24"/>
        </w:rPr>
        <w:t>del  Ayuntamiento</w:t>
      </w:r>
      <w:proofErr w:type="gramEnd"/>
      <w:r>
        <w:rPr>
          <w:rFonts w:ascii="Palatino Linotype" w:eastAsia="Palatino Linotype" w:hAnsi="Palatino Linotype" w:cs="Palatino Linotype"/>
          <w:sz w:val="24"/>
          <w:szCs w:val="24"/>
        </w:rPr>
        <w:t xml:space="preserve"> de Tequixquiac,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0E610A52" w14:textId="77777777" w:rsidR="00CE6C41" w:rsidRDefault="00626B72">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14:paraId="3BD5A0D7"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dieciséis de febrero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00064/TEQUIXQU/IP/2022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14:paraId="0D8822AA" w14:textId="77777777" w:rsidR="00CE6C41" w:rsidRDefault="00626B72">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u w:val="single"/>
        </w:rPr>
        <w:t xml:space="preserve">¿Cuáles son los motivos </w:t>
      </w:r>
      <w:r>
        <w:rPr>
          <w:rFonts w:ascii="Palatino Linotype" w:eastAsia="Palatino Linotype" w:hAnsi="Palatino Linotype" w:cs="Palatino Linotype"/>
          <w:i/>
          <w:color w:val="000000"/>
        </w:rPr>
        <w:t xml:space="preserve">por los cuales no se han transmitido en vivo o subido los cabildos a través de la </w:t>
      </w:r>
      <w:proofErr w:type="spellStart"/>
      <w:r>
        <w:rPr>
          <w:rFonts w:ascii="Palatino Linotype" w:eastAsia="Palatino Linotype" w:hAnsi="Palatino Linotype" w:cs="Palatino Linotype"/>
          <w:i/>
          <w:color w:val="000000"/>
        </w:rPr>
        <w:t>pagina</w:t>
      </w:r>
      <w:proofErr w:type="spellEnd"/>
      <w:r>
        <w:rPr>
          <w:rFonts w:ascii="Palatino Linotype" w:eastAsia="Palatino Linotype" w:hAnsi="Palatino Linotype" w:cs="Palatino Linotype"/>
          <w:i/>
          <w:color w:val="000000"/>
        </w:rPr>
        <w:t xml:space="preserve"> del ayuntamiento? “(Sic)</w:t>
      </w:r>
    </w:p>
    <w:p w14:paraId="3AA67CF8" w14:textId="77777777" w:rsidR="00CE6C41" w:rsidRDefault="00626B72">
      <w:pPr>
        <w:spacing w:line="360" w:lineRule="auto"/>
        <w:jc w:val="both"/>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20150C30" w14:textId="77777777" w:rsidR="00CE6C41" w:rsidRDefault="00626B72">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DE LA RESPUESTA DEL SUJETO OBLIGADO. </w:t>
      </w:r>
      <w:r>
        <w:rPr>
          <w:rFonts w:ascii="Palatino Linotype" w:eastAsia="Palatino Linotype" w:hAnsi="Palatino Linotype" w:cs="Palatino Linotype"/>
          <w:sz w:val="24"/>
          <w:szCs w:val="24"/>
        </w:rPr>
        <w:t xml:space="preserve">Con fecha primero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14:paraId="62815BF6" w14:textId="77777777" w:rsidR="00CE6C41" w:rsidRDefault="00626B72">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B1D3FF" w14:textId="77777777" w:rsidR="00CE6C41" w:rsidRDefault="00626B72">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De conformidad con los artículos 1, 2, 3, fracción XLIV, 41 12, 16, 23, fracción IV, 24, fracción XI y último párrafo, 50, 51, 53, fracciones I, IV, V y VI de la Ley de Transparencia y Acceso a la información Pública del Estado de México y Municipios en atención a la solicitud de información registrada con el folio número 00064/TEQUIXQU/IP/2022 presentada a través del Sistema de Acceso a la Información Mexiquense (</w:t>
      </w:r>
      <w:proofErr w:type="spellStart"/>
      <w:r>
        <w:rPr>
          <w:rFonts w:ascii="Palatino Linotype" w:eastAsia="Palatino Linotype" w:hAnsi="Palatino Linotype" w:cs="Palatino Linotype"/>
          <w:i/>
        </w:rPr>
        <w:t>Saimex</w:t>
      </w:r>
      <w:proofErr w:type="spellEnd"/>
      <w:r>
        <w:rPr>
          <w:rFonts w:ascii="Palatino Linotype" w:eastAsia="Palatino Linotype" w:hAnsi="Palatino Linotype" w:cs="Palatino Linotype"/>
          <w:i/>
        </w:rPr>
        <w:t>), comento lo siguiente:</w:t>
      </w:r>
    </w:p>
    <w:p w14:paraId="1C1E9922" w14:textId="77777777" w:rsidR="00CE6C41" w:rsidRDefault="00626B72">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5CE5695E" w14:textId="77777777" w:rsidR="00CE6C41" w:rsidRDefault="00626B72">
      <w:pPr>
        <w:spacing w:before="240" w:after="240" w:line="360"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rPr>
        <w:t>SERVIDOR PULICO JUAN CARLOS DELGADO MELENDEZ</w:t>
      </w:r>
      <w:r>
        <w:rPr>
          <w:rFonts w:ascii="Palatino Linotype" w:eastAsia="Palatino Linotype" w:hAnsi="Palatino Linotype" w:cs="Palatino Linotype"/>
          <w:i/>
          <w:color w:val="000000"/>
          <w:sz w:val="24"/>
          <w:szCs w:val="24"/>
        </w:rPr>
        <w:t xml:space="preserve"> </w:t>
      </w:r>
    </w:p>
    <w:p w14:paraId="680827F1" w14:textId="77777777" w:rsidR="00CE6C41" w:rsidRDefault="00626B72">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w:t>
      </w:r>
    </w:p>
    <w:p w14:paraId="1BF13EDD" w14:textId="77777777" w:rsidR="00CE6C41" w:rsidRDefault="00626B72">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Solicitud 64.pdf: </w:t>
      </w:r>
      <w:r>
        <w:rPr>
          <w:rFonts w:ascii="Palatino Linotype" w:eastAsia="Palatino Linotype" w:hAnsi="Palatino Linotype" w:cs="Palatino Linotype"/>
          <w:color w:val="000000"/>
          <w:sz w:val="24"/>
          <w:szCs w:val="24"/>
        </w:rPr>
        <w:t xml:space="preserve">El cual contiene el oficio SEC/TEC/INT/058/2022, de fecha veintiocho de febrero de dos mil veintidós, signado por el Lic. Oscar Eduardo Lozano Estrada, Encargado de Despacho de la Secretaria del Municipio de Tequixquiac, mediante el cual precisa el artículo 30 de la Ley Orgánica Municipal del Estado de México y el artículo 37 del Bando Municipal 2022, así mismo menciona </w:t>
      </w:r>
      <w:r>
        <w:rPr>
          <w:rFonts w:ascii="Palatino Linotype" w:eastAsia="Palatino Linotype" w:hAnsi="Palatino Linotype" w:cs="Palatino Linotype"/>
          <w:color w:val="000000"/>
          <w:sz w:val="24"/>
          <w:szCs w:val="24"/>
        </w:rPr>
        <w:lastRenderedPageBreak/>
        <w:t xml:space="preserve">que </w:t>
      </w:r>
      <w:r>
        <w:rPr>
          <w:rFonts w:ascii="Palatino Linotype" w:eastAsia="Palatino Linotype" w:hAnsi="Palatino Linotype" w:cs="Palatino Linotype"/>
          <w:b/>
          <w:i/>
          <w:color w:val="000000"/>
          <w:sz w:val="24"/>
          <w:szCs w:val="24"/>
          <w:u w:val="single"/>
        </w:rPr>
        <w:t xml:space="preserve">no se han podido establecer técnicas para poder transmitirlas, </w:t>
      </w:r>
      <w:r>
        <w:rPr>
          <w:rFonts w:ascii="Palatino Linotype" w:eastAsia="Palatino Linotype" w:hAnsi="Palatino Linotype" w:cs="Palatino Linotype"/>
          <w:color w:val="000000"/>
          <w:sz w:val="24"/>
          <w:szCs w:val="24"/>
        </w:rPr>
        <w:t xml:space="preserve">siendo el motivo por el cual no se han transmitido en la página del Ayuntamiento de Tequixquiac, como se aprecia a continuación: </w:t>
      </w:r>
    </w:p>
    <w:p w14:paraId="110576DC" w14:textId="77777777" w:rsidR="00CE6C41" w:rsidRDefault="00626B72">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14:anchorId="06B7650F" wp14:editId="44ACA13A">
            <wp:extent cx="5019675" cy="5991225"/>
            <wp:effectExtent l="0" t="0" r="9525" b="952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3605" t="18407" r="34487" b="10079"/>
                    <a:stretch>
                      <a:fillRect/>
                    </a:stretch>
                  </pic:blipFill>
                  <pic:spPr>
                    <a:xfrm>
                      <a:off x="0" y="0"/>
                      <a:ext cx="5020220" cy="5991875"/>
                    </a:xfrm>
                    <a:prstGeom prst="rect">
                      <a:avLst/>
                    </a:prstGeom>
                    <a:ln/>
                  </pic:spPr>
                </pic:pic>
              </a:graphicData>
            </a:graphic>
          </wp:inline>
        </w:drawing>
      </w:r>
    </w:p>
    <w:p w14:paraId="19AD8FD8" w14:textId="77777777" w:rsidR="00CE6C41" w:rsidRDefault="00626B72">
      <w:pPr>
        <w:spacing w:line="360" w:lineRule="auto"/>
        <w:jc w:val="both"/>
      </w:pPr>
      <w:r>
        <w:rPr>
          <w:noProof/>
        </w:rPr>
        <w:lastRenderedPageBreak/>
        <w:drawing>
          <wp:inline distT="0" distB="0" distL="0" distR="0" wp14:anchorId="2DB2116D" wp14:editId="235356E5">
            <wp:extent cx="5525992" cy="7205161"/>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114" t="20518" r="35166" b="8269"/>
                    <a:stretch>
                      <a:fillRect/>
                    </a:stretch>
                  </pic:blipFill>
                  <pic:spPr>
                    <a:xfrm>
                      <a:off x="0" y="0"/>
                      <a:ext cx="5525992" cy="7205161"/>
                    </a:xfrm>
                    <a:prstGeom prst="rect">
                      <a:avLst/>
                    </a:prstGeom>
                    <a:ln/>
                  </pic:spPr>
                </pic:pic>
              </a:graphicData>
            </a:graphic>
          </wp:inline>
        </w:drawing>
      </w:r>
    </w:p>
    <w:p w14:paraId="3274149B" w14:textId="77777777" w:rsidR="00CE6C41" w:rsidRDefault="00626B72">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primero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02494/INFOEM/IP/RR/2022</w:t>
      </w:r>
      <w:r>
        <w:rPr>
          <w:rFonts w:ascii="Palatino Linotype" w:eastAsia="Palatino Linotype" w:hAnsi="Palatino Linotype" w:cs="Palatino Linotype"/>
          <w:sz w:val="24"/>
          <w:szCs w:val="24"/>
        </w:rPr>
        <w:t>, en el cual manifiesta, lo siguiente:</w:t>
      </w:r>
    </w:p>
    <w:p w14:paraId="2A474E8F" w14:textId="77777777" w:rsidR="00CE6C41" w:rsidRDefault="00626B7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0C9D8C09" w14:textId="77777777" w:rsidR="00CE6C41" w:rsidRDefault="00626B72">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Número de Folio de la Solicitud: 00064/TEQUIXQU/IP/2022</w:t>
      </w:r>
      <w:r>
        <w:rPr>
          <w:rFonts w:ascii="Palatino Linotype" w:eastAsia="Palatino Linotype" w:hAnsi="Palatino Linotype" w:cs="Palatino Linotype"/>
          <w:i/>
        </w:rPr>
        <w:t>” [sic]</w:t>
      </w:r>
    </w:p>
    <w:p w14:paraId="1311DEB5" w14:textId="77777777" w:rsidR="00CE6C41" w:rsidRDefault="00626B7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2F998A64" w14:textId="77777777" w:rsidR="00CE6C41" w:rsidRDefault="00626B72">
      <w:pPr>
        <w:spacing w:line="360" w:lineRule="auto"/>
        <w:ind w:left="8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u w:val="single"/>
        </w:rPr>
        <w:t>No me dieron argumentos</w:t>
      </w:r>
      <w:r>
        <w:rPr>
          <w:rFonts w:ascii="Palatino Linotype" w:eastAsia="Palatino Linotype" w:hAnsi="Palatino Linotype" w:cs="Palatino Linotype"/>
          <w:i/>
          <w:color w:val="000000"/>
        </w:rPr>
        <w:t xml:space="preserve"> por los cuales no se están transmitiendo los cabildos en vivo ya que la ley orgánica estipula que deben hacerlo.” </w:t>
      </w:r>
      <w:r>
        <w:rPr>
          <w:rFonts w:ascii="Palatino Linotype" w:eastAsia="Palatino Linotype" w:hAnsi="Palatino Linotype" w:cs="Palatino Linotype"/>
          <w:i/>
        </w:rPr>
        <w:t>[sic]</w:t>
      </w:r>
    </w:p>
    <w:p w14:paraId="305EE07E"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42D70429"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siete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4DC7702F"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MANIFESTACIONES. </w:t>
      </w:r>
      <w:r>
        <w:rPr>
          <w:rFonts w:ascii="Palatino Linotype" w:eastAsia="Palatino Linotype" w:hAnsi="Palatino Linotype" w:cs="Palatino Linotype"/>
          <w:sz w:val="24"/>
          <w:szCs w:val="24"/>
        </w:rPr>
        <w:t xml:space="preserve">De las constancias que obran en los expedientes electrónicos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14:paraId="7727AC5D" w14:textId="77777777" w:rsidR="00CE6C41" w:rsidRDefault="00626B72">
      <w:pPr>
        <w:spacing w:line="360" w:lineRule="auto"/>
        <w:jc w:val="both"/>
        <w:rPr>
          <w:sz w:val="24"/>
          <w:szCs w:val="24"/>
        </w:rPr>
      </w:pPr>
      <w:r>
        <w:rPr>
          <w:noProof/>
        </w:rPr>
        <w:drawing>
          <wp:inline distT="0" distB="0" distL="0" distR="0" wp14:anchorId="4F394FEE" wp14:editId="64BC34E6">
            <wp:extent cx="5719031" cy="158732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9022" t="23536" r="29396" b="55944"/>
                    <a:stretch>
                      <a:fillRect/>
                    </a:stretch>
                  </pic:blipFill>
                  <pic:spPr>
                    <a:xfrm>
                      <a:off x="0" y="0"/>
                      <a:ext cx="5719031" cy="1587323"/>
                    </a:xfrm>
                    <a:prstGeom prst="rect">
                      <a:avLst/>
                    </a:prstGeom>
                    <a:ln/>
                  </pic:spPr>
                </pic:pic>
              </a:graphicData>
            </a:graphic>
          </wp:inline>
        </w:drawing>
      </w:r>
    </w:p>
    <w:p w14:paraId="480C5E33" w14:textId="77777777" w:rsidR="00CE6C41" w:rsidRDefault="00626B72">
      <w:pPr>
        <w:spacing w:line="360" w:lineRule="auto"/>
        <w:jc w:val="both"/>
        <w:rPr>
          <w:sz w:val="24"/>
          <w:szCs w:val="24"/>
        </w:rPr>
      </w:pPr>
      <w:r>
        <w:rPr>
          <w:rFonts w:ascii="Palatino Linotype" w:eastAsia="Palatino Linotype" w:hAnsi="Palatino Linotype" w:cs="Palatino Linotype"/>
          <w:b/>
          <w:sz w:val="24"/>
          <w:szCs w:val="24"/>
        </w:rPr>
        <w:t xml:space="preserve">7. CIERRE DE INSTRUCCIÓN. </w:t>
      </w:r>
      <w:r>
        <w:rPr>
          <w:rFonts w:ascii="Palatino Linotype" w:eastAsia="Palatino Linotype" w:hAnsi="Palatino Linotype" w:cs="Palatino Linotype"/>
          <w:color w:val="000000"/>
          <w:sz w:val="24"/>
          <w:szCs w:val="24"/>
        </w:rPr>
        <w:t>El diecisiete 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D86B275" w14:textId="77777777" w:rsidR="00CE6C41" w:rsidRDefault="00626B72">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fecha dieciocho de mayo de dos mil veintidós, se amplió el término para resolver el recurso de revisión en términos del artículo 181 párrafo tercero de la Ley de Transparencia y Acceso a la </w:t>
      </w:r>
      <w:r>
        <w:rPr>
          <w:rFonts w:ascii="Palatino Linotype" w:eastAsia="Palatino Linotype" w:hAnsi="Palatino Linotype" w:cs="Palatino Linotype"/>
          <w:sz w:val="24"/>
          <w:szCs w:val="24"/>
        </w:rPr>
        <w:lastRenderedPageBreak/>
        <w:t xml:space="preserve">Información Pública del Estado de México y Municipios por un plazo de quince días hábiles. </w:t>
      </w:r>
    </w:p>
    <w:p w14:paraId="5378E382" w14:textId="77777777" w:rsidR="00CE6C41" w:rsidRDefault="00626B72">
      <w:pPr>
        <w:spacing w:before="240" w:after="24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 O N S I D E R A N D O S</w:t>
      </w:r>
    </w:p>
    <w:p w14:paraId="5FBCC41F" w14:textId="77777777" w:rsidR="00CE6C41" w:rsidRDefault="00626B7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7BCC78E" w14:textId="77777777" w:rsidR="00CE6C41" w:rsidRDefault="00626B72">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0407ACF" w14:textId="77777777" w:rsidR="00CE6C41" w:rsidRDefault="00626B72">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primero de marzo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la misma fecha que se pronunció la respuesta, </w:t>
      </w:r>
      <w:r>
        <w:rPr>
          <w:rFonts w:ascii="Palatino Linotype" w:eastAsia="Palatino Linotype" w:hAnsi="Palatino Linotype" w:cs="Palatino Linotype"/>
          <w:color w:val="000000"/>
          <w:sz w:val="24"/>
          <w:szCs w:val="24"/>
        </w:rPr>
        <w:t>circunstancia que no es determinante para declararlos extemporáneos, toda vez que el tiempo concedido es para delimitar el término en que puede impugnarse la respuesta, lo cual no impide que se presente antes de iniciado el plazo previsto.</w:t>
      </w:r>
    </w:p>
    <w:p w14:paraId="54B44A70" w14:textId="77777777" w:rsidR="00CE6C41" w:rsidRDefault="00626B72">
      <w:pPr>
        <w:spacing w:before="240" w:after="240" w:line="360" w:lineRule="auto"/>
        <w:ind w:right="-23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Pr>
          <w:rFonts w:ascii="Palatino Linotype" w:eastAsia="Palatino Linotype" w:hAnsi="Palatino Linotype" w:cs="Palatino Linotype"/>
          <w:color w:val="000000"/>
          <w:sz w:val="24"/>
          <w:szCs w:val="24"/>
        </w:rPr>
        <w:t>la./</w:t>
      </w:r>
      <w:proofErr w:type="gramEnd"/>
      <w:r>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Pr>
          <w:rFonts w:ascii="Times New Roman" w:eastAsia="Times New Roman" w:hAnsi="Times New Roman" w:cs="Times New Roman"/>
          <w:i/>
          <w:color w:val="000000"/>
          <w:sz w:val="24"/>
          <w:szCs w:val="24"/>
        </w:rPr>
        <w:t> </w:t>
      </w:r>
    </w:p>
    <w:p w14:paraId="23989277" w14:textId="77777777" w:rsidR="00CE6C41" w:rsidRDefault="00626B72">
      <w:pPr>
        <w:shd w:val="clear" w:color="auto" w:fill="FFFFFF"/>
        <w:spacing w:before="240" w:after="240" w:line="276" w:lineRule="auto"/>
        <w:ind w:left="567" w:right="760"/>
        <w:jc w:val="both"/>
        <w:rPr>
          <w:rFonts w:ascii="Times New Roman" w:eastAsia="Times New Roman" w:hAnsi="Times New Roman" w:cs="Times New Roman"/>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RECURSO DE RECLAMACIÓN. SU INTERPOSICIÓN NO ES EXTEMPORÁNEA SI SE REALIZA ANTES DE QUE INICIE EL PLAZO PARA HACERLO.</w:t>
      </w:r>
    </w:p>
    <w:p w14:paraId="2F37A8A9" w14:textId="77777777" w:rsidR="00CE6C41" w:rsidRDefault="00626B72">
      <w:pPr>
        <w:shd w:val="clear" w:color="auto" w:fill="FFFFFF"/>
        <w:spacing w:before="240" w:after="240" w:line="276" w:lineRule="auto"/>
        <w:ind w:left="567" w:right="760"/>
        <w:jc w:val="both"/>
        <w:rPr>
          <w:rFonts w:ascii="Times New Roman" w:eastAsia="Times New Roman" w:hAnsi="Times New Roman" w:cs="Times New Roman"/>
          <w:color w:val="000000"/>
        </w:rPr>
      </w:pPr>
      <w:r>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054E358A" w14:textId="77777777" w:rsidR="00CE6C41" w:rsidRDefault="00626B72">
      <w:pPr>
        <w:shd w:val="clear" w:color="auto" w:fill="FFFFFF"/>
        <w:spacing w:before="240" w:after="240" w:line="276" w:lineRule="auto"/>
        <w:ind w:left="567" w:right="760"/>
        <w:jc w:val="both"/>
        <w:rPr>
          <w:rFonts w:ascii="Times New Roman" w:eastAsia="Times New Roman" w:hAnsi="Times New Roman" w:cs="Times New Roman"/>
          <w:color w:val="000000"/>
        </w:rPr>
      </w:pPr>
      <w:r>
        <w:rPr>
          <w:rFonts w:ascii="Palatino Linotype" w:eastAsia="Palatino Linotype" w:hAnsi="Palatino Linotype" w:cs="Palatino Linotype"/>
          <w:i/>
          <w:color w:val="000000"/>
        </w:rPr>
        <w:lastRenderedPageBreak/>
        <w:t xml:space="preserve">De ahí </w:t>
      </w:r>
      <w:proofErr w:type="gramStart"/>
      <w:r>
        <w:rPr>
          <w:rFonts w:ascii="Palatino Linotype" w:eastAsia="Palatino Linotype" w:hAnsi="Palatino Linotype" w:cs="Palatino Linotype"/>
          <w:i/>
          <w:color w:val="000000"/>
        </w:rPr>
        <w:t>que</w:t>
      </w:r>
      <w:proofErr w:type="gramEnd"/>
      <w:r>
        <w:rPr>
          <w:rFonts w:ascii="Palatino Linotype" w:eastAsia="Palatino Linotype" w:hAnsi="Palatino Linotype" w:cs="Palatino Linotype"/>
          <w:i/>
          <w:color w:val="000000"/>
        </w:rPr>
        <w:t xml:space="preserve"> si dicho recurso se interpone antes de que inicie el plazo para hacerlo, su presentación no es extemporánea…</w:t>
      </w:r>
      <w:r>
        <w:rPr>
          <w:rFonts w:ascii="Palatino Linotype" w:eastAsia="Palatino Linotype" w:hAnsi="Palatino Linotype" w:cs="Palatino Linotype"/>
          <w:color w:val="000000"/>
        </w:rPr>
        <w:t>"(Sic)</w:t>
      </w:r>
    </w:p>
    <w:p w14:paraId="24688FF4" w14:textId="77777777" w:rsidR="00CE6C41" w:rsidRDefault="00626B72">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674C8B" w14:textId="77777777" w:rsidR="00CE6C41" w:rsidRDefault="00626B72">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47F06695" w14:textId="77777777" w:rsidR="00CE6C41" w:rsidRDefault="00626B72">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6C9C4628" w14:textId="77777777" w:rsidR="00CE6C41" w:rsidRDefault="00626B7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resulta procedente la interposición del recurso, según lo aducido por el recurrente en sus razones o motivos de inconformidad, de acuerdo al artículo 179 fracción I de la Ley de Transparencia y Acceso a la Información Pública del Estado de México y Municipios; que a la letra dice:</w:t>
      </w:r>
    </w:p>
    <w:p w14:paraId="423C592D" w14:textId="77777777" w:rsidR="00CE6C41" w:rsidRDefault="00626B7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2035FBE0" w14:textId="77777777" w:rsidR="00CE6C41" w:rsidRDefault="00626B7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14:paraId="520C82C3" w14:textId="77777777" w:rsidR="00CE6C41" w:rsidRDefault="00626B72">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TERCERO. ANÁLISIS DE LAS CAUSALES DE SOBRESEIMIENTO. </w:t>
      </w:r>
      <w:r>
        <w:rPr>
          <w:rFonts w:ascii="Palatino Linotype" w:eastAsia="Palatino Linotype" w:hAnsi="Palatino Linotype" w:cs="Palatino Linotype"/>
          <w:sz w:val="24"/>
          <w:szCs w:val="24"/>
        </w:rPr>
        <w:t xml:space="preserve">Previo al análisis de las actuaciones que integran el expediente en el Sistema de Acceso a la Información Mexiquense, en importante primeramente enfatizar que el Derecho de Acceso a la Información Pública consiste en que la </w:t>
      </w:r>
      <w:r>
        <w:rPr>
          <w:rFonts w:ascii="Palatino Linotype" w:eastAsia="Palatino Linotype" w:hAnsi="Palatino Linotype" w:cs="Palatino Linotype"/>
          <w:b/>
          <w:sz w:val="24"/>
          <w:szCs w:val="24"/>
          <w:u w:val="single"/>
        </w:rPr>
        <w:t>información solicitada conste en un soporte documental</w:t>
      </w:r>
      <w:r>
        <w:rPr>
          <w:rFonts w:ascii="Palatino Linotype" w:eastAsia="Palatino Linotype" w:hAnsi="Palatino Linotype" w:cs="Palatino Linotype"/>
          <w:sz w:val="24"/>
          <w:szCs w:val="24"/>
        </w:rPr>
        <w:t xml:space="preserve"> en cualquiera de sus formas, a saber: expedientes, reportes, estudios, actas</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5014A22"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D85C547" w14:textId="77777777" w:rsidR="00CE6C41" w:rsidRDefault="00626B72">
      <w:pPr>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EE2735"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oficios, correspondencia, acuerdos, directivas, directrices, circulares, contratos, </w:t>
      </w:r>
    </w:p>
    <w:p w14:paraId="1E63041B"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7A1505B"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w:t>
      </w:r>
      <w:r>
        <w:rPr>
          <w:rFonts w:ascii="Palatino Linotype" w:eastAsia="Palatino Linotype" w:hAnsi="Palatino Linotype" w:cs="Palatino Linotype"/>
          <w:i/>
        </w:rPr>
        <w:t>”</w:t>
      </w:r>
    </w:p>
    <w:p w14:paraId="62949703"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797233C4" w14:textId="77777777" w:rsidR="00CE6C41" w:rsidRDefault="00CE6C41">
      <w:pPr>
        <w:spacing w:after="0" w:line="360" w:lineRule="auto"/>
        <w:ind w:left="851" w:right="850"/>
        <w:jc w:val="both"/>
        <w:rPr>
          <w:rFonts w:ascii="Palatino Linotype" w:eastAsia="Palatino Linotype" w:hAnsi="Palatino Linotype" w:cs="Palatino Linotype"/>
        </w:rPr>
      </w:pPr>
    </w:p>
    <w:p w14:paraId="2D38D2B3"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7F7F776" w14:textId="77777777" w:rsidR="00CE6C41" w:rsidRDefault="00CE6C41">
      <w:pPr>
        <w:ind w:left="851" w:right="850"/>
        <w:jc w:val="both"/>
        <w:rPr>
          <w:rFonts w:ascii="Palatino Linotype" w:eastAsia="Palatino Linotype" w:hAnsi="Palatino Linotype" w:cs="Palatino Linotype"/>
          <w:sz w:val="20"/>
          <w:szCs w:val="20"/>
        </w:rPr>
      </w:pPr>
    </w:p>
    <w:p w14:paraId="7EDD7348" w14:textId="77777777" w:rsidR="00CE6C41" w:rsidRDefault="00626B72">
      <w:pPr>
        <w:ind w:left="851" w:right="901"/>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109C9675"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44BF5F" w14:textId="77777777" w:rsidR="00CE6C41" w:rsidRDefault="00626B72">
      <w:pPr>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026E9A8C"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w:t>
      </w:r>
      <w:r>
        <w:rPr>
          <w:rFonts w:ascii="Palatino Linotype" w:eastAsia="Palatino Linotype" w:hAnsi="Palatino Linotype" w:cs="Palatino Linotype"/>
          <w:b/>
          <w:i/>
          <w:u w:val="single"/>
        </w:rPr>
        <w:t>registrada en cualquier soporte documental</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682BAA13"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w:t>
      </w:r>
      <w:r>
        <w:rPr>
          <w:rFonts w:ascii="Palatino Linotype" w:eastAsia="Palatino Linotype" w:hAnsi="Palatino Linotype" w:cs="Palatino Linotype"/>
          <w:b/>
          <w:i/>
          <w:u w:val="single"/>
        </w:rPr>
        <w:t>registrada en cualquier soporte documental</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6E28841A"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3) Que se trate de información </w:t>
      </w:r>
      <w:r>
        <w:rPr>
          <w:rFonts w:ascii="Palatino Linotype" w:eastAsia="Palatino Linotype" w:hAnsi="Palatino Linotype" w:cs="Palatino Linotype"/>
          <w:b/>
          <w:i/>
          <w:u w:val="single"/>
        </w:rPr>
        <w:t>registrada en cualquier soporte documental</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(Sic)</w:t>
      </w:r>
    </w:p>
    <w:p w14:paraId="2360CB30" w14:textId="77777777" w:rsidR="00CE6C41" w:rsidRDefault="00CE6C41">
      <w:pPr>
        <w:ind w:left="851" w:right="901"/>
        <w:jc w:val="both"/>
        <w:rPr>
          <w:rFonts w:ascii="Palatino Linotype" w:eastAsia="Palatino Linotype" w:hAnsi="Palatino Linotype" w:cs="Palatino Linotype"/>
          <w:i/>
        </w:rPr>
      </w:pPr>
    </w:p>
    <w:p w14:paraId="535FC016" w14:textId="77777777" w:rsidR="00CE6C41" w:rsidRDefault="00626B72">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1B58E90E" w14:textId="77777777" w:rsidR="00CE6C41" w:rsidRDefault="00CE6C41">
      <w:pPr>
        <w:spacing w:after="0" w:line="360" w:lineRule="auto"/>
        <w:jc w:val="both"/>
        <w:rPr>
          <w:rFonts w:ascii="Palatino Linotype" w:eastAsia="Palatino Linotype" w:hAnsi="Palatino Linotype" w:cs="Palatino Linotype"/>
        </w:rPr>
      </w:pPr>
    </w:p>
    <w:p w14:paraId="3CF1887E"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generó o porque como parte del ejercicio de sus funciones la recibió </w:t>
      </w:r>
      <w:proofErr w:type="gramStart"/>
      <w:r>
        <w:rPr>
          <w:rFonts w:ascii="Palatino Linotype" w:eastAsia="Palatino Linotype" w:hAnsi="Palatino Linotype" w:cs="Palatino Linotype"/>
          <w:sz w:val="24"/>
          <w:szCs w:val="24"/>
        </w:rPr>
        <w:t>y</w:t>
      </w:r>
      <w:proofErr w:type="gramEnd"/>
      <w:r>
        <w:rPr>
          <w:rFonts w:ascii="Palatino Linotype" w:eastAsia="Palatino Linotype" w:hAnsi="Palatino Linotype" w:cs="Palatino Linotype"/>
          <w:sz w:val="24"/>
          <w:szCs w:val="24"/>
        </w:rPr>
        <w:t xml:space="preserve"> por consiguiente, la administra y posee. </w:t>
      </w:r>
    </w:p>
    <w:p w14:paraId="190E0B6A" w14:textId="77777777" w:rsidR="00CE6C41" w:rsidRDefault="00CE6C41">
      <w:pPr>
        <w:spacing w:after="0" w:line="360" w:lineRule="auto"/>
        <w:jc w:val="both"/>
        <w:rPr>
          <w:rFonts w:ascii="Palatino Linotype" w:eastAsia="Palatino Linotype" w:hAnsi="Palatino Linotype" w:cs="Palatino Linotype"/>
          <w:sz w:val="24"/>
          <w:szCs w:val="24"/>
        </w:rPr>
      </w:pPr>
    </w:p>
    <w:p w14:paraId="4AD8997B" w14:textId="77777777" w:rsidR="00CE6C41" w:rsidRDefault="00626B72">
      <w:pPr>
        <w:spacing w:after="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orden de ideas, es pertinente recordar que de las constancias que integran el expediente de recurso de revisión al rubro indicado, el entonces solicitante requirió: </w:t>
      </w:r>
    </w:p>
    <w:p w14:paraId="7284D175" w14:textId="77777777" w:rsidR="00CE6C41" w:rsidRDefault="00CE6C41">
      <w:pPr>
        <w:spacing w:after="40" w:line="360" w:lineRule="auto"/>
        <w:jc w:val="both"/>
        <w:rPr>
          <w:rFonts w:ascii="Palatino Linotype" w:eastAsia="Palatino Linotype" w:hAnsi="Palatino Linotype" w:cs="Palatino Linotype"/>
          <w:sz w:val="24"/>
          <w:szCs w:val="24"/>
        </w:rPr>
      </w:pPr>
    </w:p>
    <w:p w14:paraId="6C64642C" w14:textId="77777777" w:rsidR="00CE6C41" w:rsidRDefault="00626B72">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gramStart"/>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color w:val="000000"/>
          <w:sz w:val="24"/>
          <w:szCs w:val="24"/>
          <w:u w:val="single"/>
        </w:rPr>
        <w:t>¿</w:t>
      </w:r>
      <w:proofErr w:type="gramEnd"/>
      <w:r>
        <w:rPr>
          <w:rFonts w:ascii="Palatino Linotype" w:eastAsia="Palatino Linotype" w:hAnsi="Palatino Linotype" w:cs="Palatino Linotype"/>
          <w:b/>
          <w:color w:val="000000"/>
          <w:sz w:val="24"/>
          <w:szCs w:val="24"/>
          <w:u w:val="single"/>
        </w:rPr>
        <w:t>Cuáles son los motivos</w:t>
      </w:r>
      <w:r>
        <w:rPr>
          <w:rFonts w:ascii="Palatino Linotype" w:eastAsia="Palatino Linotype" w:hAnsi="Palatino Linotype" w:cs="Palatino Linotype"/>
          <w:color w:val="000000"/>
          <w:sz w:val="24"/>
          <w:szCs w:val="24"/>
        </w:rPr>
        <w:t xml:space="preserve"> por los cuales no se han transmitido en vivo o subido los cabildos a través de la página del Ayuntamiento?</w:t>
      </w:r>
    </w:p>
    <w:p w14:paraId="6263D0C3" w14:textId="77777777" w:rsidR="00CE6C41" w:rsidRDefault="00CE6C41">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p>
    <w:p w14:paraId="2A4CAE85" w14:textId="77777777" w:rsidR="00CE6C41" w:rsidRDefault="00626B72">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adjunta el oficio </w:t>
      </w:r>
      <w:r>
        <w:rPr>
          <w:rFonts w:ascii="Palatino Linotype" w:eastAsia="Palatino Linotype" w:hAnsi="Palatino Linotype" w:cs="Palatino Linotype"/>
          <w:color w:val="000000"/>
          <w:sz w:val="24"/>
          <w:szCs w:val="24"/>
        </w:rPr>
        <w:t xml:space="preserve">SEC/TEC/INT/058/2022, de fecha veintiocho de febrero de dos mil veintidós, signado por el Lic. Oscar Eduardo Lozano Estrada, Encargado de Despacho de la Secretaria del Municipio de Tequixquiac, mediante el cual precisa el artículo 30 de la Ley Orgánica Municipal del Estado de México y el artículo 37 del Bando Municipal 2022, así mismo menciona </w:t>
      </w:r>
      <w:r>
        <w:rPr>
          <w:rFonts w:ascii="Palatino Linotype" w:eastAsia="Palatino Linotype" w:hAnsi="Palatino Linotype" w:cs="Palatino Linotype"/>
          <w:b/>
          <w:i/>
          <w:color w:val="000000"/>
          <w:sz w:val="24"/>
          <w:szCs w:val="24"/>
        </w:rPr>
        <w:lastRenderedPageBreak/>
        <w:t xml:space="preserve">que no se han podido establecer técnicas para poder transmitirlas, </w:t>
      </w:r>
      <w:r>
        <w:rPr>
          <w:rFonts w:ascii="Palatino Linotype" w:eastAsia="Palatino Linotype" w:hAnsi="Palatino Linotype" w:cs="Palatino Linotype"/>
          <w:color w:val="000000"/>
          <w:sz w:val="24"/>
          <w:szCs w:val="24"/>
        </w:rPr>
        <w:t>siendo el motivo por el cual no se han transmitido en la página del Ayuntamiento de Tequixquiac.</w:t>
      </w:r>
    </w:p>
    <w:p w14:paraId="5ACFEA73" w14:textId="77777777" w:rsidR="00CE6C41" w:rsidRDefault="00CE6C41">
      <w:pPr>
        <w:spacing w:after="0" w:line="360" w:lineRule="auto"/>
        <w:jc w:val="both"/>
        <w:rPr>
          <w:rFonts w:ascii="Palatino Linotype" w:eastAsia="Palatino Linotype" w:hAnsi="Palatino Linotype" w:cs="Palatino Linotype"/>
          <w:sz w:val="24"/>
          <w:szCs w:val="24"/>
        </w:rPr>
      </w:pPr>
    </w:p>
    <w:p w14:paraId="75621836" w14:textId="77777777" w:rsidR="00CE6C41" w:rsidRDefault="00626B72">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porque </w:t>
      </w:r>
      <w:r>
        <w:rPr>
          <w:rFonts w:ascii="Palatino Linotype" w:eastAsia="Palatino Linotype" w:hAnsi="Palatino Linotype" w:cs="Palatino Linotype"/>
          <w:color w:val="000000"/>
          <w:sz w:val="24"/>
          <w:szCs w:val="24"/>
        </w:rPr>
        <w:t>no le dieron argumentos por los cuales no se están transmitiendo los cabildos en vivo.</w:t>
      </w:r>
    </w:p>
    <w:p w14:paraId="4F47D909" w14:textId="77777777" w:rsidR="00CE6C41" w:rsidRDefault="00CE6C41">
      <w:pPr>
        <w:spacing w:after="0" w:line="360" w:lineRule="auto"/>
        <w:jc w:val="both"/>
        <w:rPr>
          <w:rFonts w:ascii="Palatino Linotype" w:eastAsia="Palatino Linotype" w:hAnsi="Palatino Linotype" w:cs="Palatino Linotype"/>
          <w:sz w:val="24"/>
          <w:szCs w:val="24"/>
        </w:rPr>
      </w:pPr>
    </w:p>
    <w:p w14:paraId="125E0D35" w14:textId="77777777" w:rsidR="00CE6C41" w:rsidRDefault="00626B72">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color w:val="000000"/>
          <w:sz w:val="24"/>
          <w:szCs w:val="24"/>
        </w:rPr>
        <w:t>durante la etapa de manifestaciones 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w:t>
      </w:r>
    </w:p>
    <w:p w14:paraId="3D2D630D" w14:textId="77777777" w:rsidR="00CE6C41" w:rsidRDefault="00CE6C41">
      <w:pPr>
        <w:spacing w:after="0" w:line="360" w:lineRule="auto"/>
        <w:jc w:val="both"/>
        <w:rPr>
          <w:rFonts w:ascii="Palatino Linotype" w:eastAsia="Palatino Linotype" w:hAnsi="Palatino Linotype" w:cs="Palatino Linotype"/>
          <w:sz w:val="24"/>
          <w:szCs w:val="24"/>
        </w:rPr>
      </w:pPr>
    </w:p>
    <w:p w14:paraId="113DB76D"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primera instancia, debe apuntarse que el particular planteó una cuestión con la que pretendió se le informara los motivos por los cuales no se han transmitido en vivo o subido los cabildos a través de la página del Ayuntamiento situación que conlleva a precisar que con tal pronunciamiento el particular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07B291F0" w14:textId="77777777" w:rsidR="00CE6C41" w:rsidRDefault="00CE6C41">
      <w:pPr>
        <w:spacing w:after="0" w:line="360" w:lineRule="auto"/>
        <w:jc w:val="both"/>
        <w:rPr>
          <w:rFonts w:ascii="Palatino Linotype" w:eastAsia="Palatino Linotype" w:hAnsi="Palatino Linotype" w:cs="Palatino Linotype"/>
          <w:sz w:val="24"/>
          <w:szCs w:val="24"/>
        </w:rPr>
      </w:pPr>
    </w:p>
    <w:p w14:paraId="689566A6"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lo anterior, del análisis realizado al expediente electrónico, se advierte que la solicitud no constituye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w:t>
      </w:r>
    </w:p>
    <w:p w14:paraId="468FCC90" w14:textId="77777777" w:rsidR="00CE6C41" w:rsidRDefault="00CE6C41">
      <w:pPr>
        <w:spacing w:after="0" w:line="360" w:lineRule="auto"/>
        <w:jc w:val="both"/>
        <w:rPr>
          <w:rFonts w:ascii="Palatino Linotype" w:eastAsia="Palatino Linotype" w:hAnsi="Palatino Linotype" w:cs="Palatino Linotype"/>
          <w:sz w:val="24"/>
          <w:szCs w:val="24"/>
        </w:rPr>
      </w:pPr>
    </w:p>
    <w:p w14:paraId="15A79D7C" w14:textId="77777777" w:rsidR="00CE6C41" w:rsidRDefault="00626B72">
      <w:p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 xml:space="preserve">A efecto de sustentar lo anterior, es preciso mencionar que David Cienfuegos Salgado, concibe al derecho de petición como </w:t>
      </w: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u w:val="single"/>
        </w:rPr>
        <w:t>el derecho de toda persona a ser escuchado por quienes ejercen el poder públic</w:t>
      </w:r>
      <w:r>
        <w:rPr>
          <w:rFonts w:ascii="Palatino Linotype" w:eastAsia="Palatino Linotype" w:hAnsi="Palatino Linotype" w:cs="Palatino Linotype"/>
          <w:i/>
          <w:sz w:val="24"/>
          <w:szCs w:val="24"/>
        </w:rPr>
        <w:t>o.</w:t>
      </w:r>
      <w:r>
        <w:rPr>
          <w:rFonts w:ascii="Palatino Linotype" w:eastAsia="Palatino Linotype" w:hAnsi="Palatino Linotype" w:cs="Palatino Linotype"/>
          <w:i/>
          <w:sz w:val="24"/>
          <w:szCs w:val="24"/>
          <w:vertAlign w:val="superscript"/>
        </w:rPr>
        <w:t xml:space="preserve"> </w:t>
      </w:r>
      <w:r>
        <w:rPr>
          <w:rFonts w:ascii="Palatino Linotype" w:eastAsia="Palatino Linotype" w:hAnsi="Palatino Linotype" w:cs="Palatino Linotype"/>
          <w:i/>
          <w:sz w:val="24"/>
          <w:szCs w:val="24"/>
          <w:vertAlign w:val="superscript"/>
        </w:rPr>
        <w:footnoteReference w:id="1"/>
      </w:r>
      <w:r>
        <w:rPr>
          <w:rFonts w:ascii="Palatino Linotype" w:eastAsia="Palatino Linotype" w:hAnsi="Palatino Linotype" w:cs="Palatino Linotype"/>
          <w:i/>
          <w:sz w:val="24"/>
          <w:szCs w:val="24"/>
        </w:rPr>
        <w:t xml:space="preserve">” (Sic) </w:t>
      </w:r>
    </w:p>
    <w:p w14:paraId="5A516A79" w14:textId="77777777" w:rsidR="00CE6C41" w:rsidRDefault="00CE6C41">
      <w:pPr>
        <w:spacing w:after="0" w:line="360" w:lineRule="auto"/>
        <w:jc w:val="both"/>
        <w:rPr>
          <w:rFonts w:ascii="Palatino Linotype" w:eastAsia="Palatino Linotype" w:hAnsi="Palatino Linotype" w:cs="Palatino Linotype"/>
          <w:i/>
          <w:sz w:val="24"/>
          <w:szCs w:val="24"/>
        </w:rPr>
      </w:pPr>
    </w:p>
    <w:p w14:paraId="006E884A"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w:t>
      </w:r>
      <w:r>
        <w:rPr>
          <w:rFonts w:ascii="Palatino Linotype" w:eastAsia="Palatino Linotype" w:hAnsi="Palatino Linotype" w:cs="Palatino Linotype"/>
          <w:sz w:val="24"/>
          <w:szCs w:val="24"/>
        </w:rPr>
        <w:lastRenderedPageBreak/>
        <w:t>demanda de lo que deseen expresar o solicitar y responder de dicha demanda por escrito, de forma congruente y en un plazo breve.</w:t>
      </w:r>
      <w:r>
        <w:rPr>
          <w:rFonts w:ascii="Palatino Linotype" w:eastAsia="Palatino Linotype" w:hAnsi="Palatino Linotype" w:cs="Palatino Linotype"/>
          <w:sz w:val="24"/>
          <w:szCs w:val="24"/>
          <w:vertAlign w:val="superscript"/>
        </w:rPr>
        <w:footnoteReference w:id="2"/>
      </w:r>
    </w:p>
    <w:p w14:paraId="2B6F3AAD" w14:textId="77777777" w:rsidR="00CE6C41" w:rsidRDefault="00CE6C41">
      <w:pPr>
        <w:spacing w:after="0" w:line="360" w:lineRule="auto"/>
        <w:jc w:val="both"/>
        <w:rPr>
          <w:rFonts w:ascii="Palatino Linotype" w:eastAsia="Palatino Linotype" w:hAnsi="Palatino Linotype" w:cs="Palatino Linotype"/>
          <w:sz w:val="24"/>
          <w:szCs w:val="24"/>
        </w:rPr>
      </w:pPr>
    </w:p>
    <w:p w14:paraId="652AD6BD"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el autor anteriormente citado, indica que el </w:t>
      </w:r>
      <w:r>
        <w:rPr>
          <w:rFonts w:ascii="Palatino Linotype" w:eastAsia="Palatino Linotype" w:hAnsi="Palatino Linotype" w:cs="Palatino Linotype"/>
          <w:b/>
          <w:sz w:val="24"/>
          <w:szCs w:val="24"/>
          <w:u w:val="single"/>
        </w:rPr>
        <w:t>derecho de acceso a la información pública</w:t>
      </w:r>
      <w:r>
        <w:rPr>
          <w:rFonts w:ascii="Palatino Linotype" w:eastAsia="Palatino Linotype" w:hAnsi="Palatino Linotype" w:cs="Palatino Linotype"/>
          <w:sz w:val="24"/>
          <w:szCs w:val="24"/>
        </w:rPr>
        <w:t xml:space="preserve"> es el derecho de conocer la </w:t>
      </w:r>
      <w:r>
        <w:rPr>
          <w:rFonts w:ascii="Palatino Linotype" w:eastAsia="Palatino Linotype" w:hAnsi="Palatino Linotype" w:cs="Palatino Linotype"/>
          <w:sz w:val="24"/>
          <w:szCs w:val="24"/>
          <w:u w:val="single"/>
        </w:rPr>
        <w:t>información de carácter público que se genera o está en posesión de los órganos del poder público</w:t>
      </w:r>
      <w:r>
        <w:rPr>
          <w:rFonts w:ascii="Palatino Linotype" w:eastAsia="Palatino Linotype" w:hAnsi="Palatino Linotype" w:cs="Palatino Linotype"/>
          <w:sz w:val="24"/>
          <w:szCs w:val="24"/>
        </w:rPr>
        <w:t xml:space="preserve"> o de los sujetos que utilizan o se benefician con recursos provenientes del Estado, es el derecho que tienen los ciudadanos para acceder a documentos y datos que obren en el poder del gobierno.</w:t>
      </w:r>
    </w:p>
    <w:p w14:paraId="377CF879" w14:textId="77777777" w:rsidR="00CE6C41" w:rsidRDefault="00CE6C41">
      <w:pPr>
        <w:spacing w:after="0" w:line="360" w:lineRule="auto"/>
        <w:jc w:val="both"/>
        <w:rPr>
          <w:rFonts w:ascii="Palatino Linotype" w:eastAsia="Palatino Linotype" w:hAnsi="Palatino Linotype" w:cs="Palatino Linotype"/>
          <w:sz w:val="24"/>
          <w:szCs w:val="24"/>
        </w:rPr>
      </w:pPr>
    </w:p>
    <w:p w14:paraId="50551A04" w14:textId="77777777" w:rsidR="00CE6C41" w:rsidRDefault="00626B72">
      <w:pPr>
        <w:pBdr>
          <w:top w:val="nil"/>
          <w:left w:val="nil"/>
          <w:bottom w:val="nil"/>
          <w:right w:val="nil"/>
          <w:between w:val="nil"/>
        </w:pBdr>
        <w:spacing w:after="0" w:line="360" w:lineRule="auto"/>
        <w:ind w:right="9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color w:val="000000"/>
          <w:sz w:val="24"/>
          <w:szCs w:val="24"/>
          <w:vertAlign w:val="superscript"/>
        </w:rPr>
        <w:footnoteReference w:id="3"/>
      </w:r>
    </w:p>
    <w:p w14:paraId="6BD3E00B" w14:textId="77777777" w:rsidR="00CE6C41" w:rsidRDefault="00CE6C41">
      <w:pPr>
        <w:pBdr>
          <w:top w:val="nil"/>
          <w:left w:val="nil"/>
          <w:bottom w:val="nil"/>
          <w:right w:val="nil"/>
          <w:between w:val="nil"/>
        </w:pBdr>
        <w:spacing w:after="0" w:line="360" w:lineRule="auto"/>
        <w:ind w:right="99"/>
        <w:jc w:val="both"/>
        <w:rPr>
          <w:rFonts w:ascii="Palatino Linotype" w:eastAsia="Palatino Linotype" w:hAnsi="Palatino Linotype" w:cs="Palatino Linotype"/>
          <w:color w:val="000000"/>
          <w:sz w:val="24"/>
          <w:szCs w:val="24"/>
        </w:rPr>
      </w:pPr>
    </w:p>
    <w:p w14:paraId="3A4708F9" w14:textId="77777777" w:rsidR="00CE6C41" w:rsidRDefault="00626B72">
      <w:pPr>
        <w:spacing w:after="0" w:line="360" w:lineRule="auto"/>
        <w:ind w:right="9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puede concluir que la distinción entre el </w:t>
      </w:r>
      <w:r>
        <w:rPr>
          <w:rFonts w:ascii="Palatino Linotype" w:eastAsia="Palatino Linotype" w:hAnsi="Palatino Linotype" w:cs="Palatino Linotype"/>
          <w:b/>
          <w:sz w:val="24"/>
          <w:szCs w:val="24"/>
        </w:rPr>
        <w:t>derecho de petición</w:t>
      </w:r>
      <w:r>
        <w:rPr>
          <w:rFonts w:ascii="Palatino Linotype" w:eastAsia="Palatino Linotype" w:hAnsi="Palatino Linotype" w:cs="Palatino Linotype"/>
          <w:sz w:val="24"/>
          <w:szCs w:val="24"/>
        </w:rPr>
        <w:t xml:space="preserve"> y el derecho de acceso a la información descansa, principalmente, en que </w:t>
      </w:r>
      <w:r>
        <w:rPr>
          <w:rFonts w:ascii="Palatino Linotype" w:eastAsia="Palatino Linotype" w:hAnsi="Palatino Linotype" w:cs="Palatino Linotype"/>
          <w:sz w:val="24"/>
          <w:szCs w:val="24"/>
          <w:u w:val="single"/>
        </w:rPr>
        <w:t xml:space="preserve">la pretensión del peticionario consiste generalmente en obligar a la autoridad responsable a que actúe </w:t>
      </w:r>
      <w:r>
        <w:rPr>
          <w:rFonts w:ascii="Palatino Linotype" w:eastAsia="Palatino Linotype" w:hAnsi="Palatino Linotype" w:cs="Palatino Linotype"/>
          <w:sz w:val="24"/>
          <w:szCs w:val="24"/>
        </w:rPr>
        <w:t xml:space="preserve">en el sentido de contestar lo solicitado, mientras que en el derecho de acceso </w:t>
      </w:r>
      <w:r>
        <w:rPr>
          <w:rFonts w:ascii="Palatino Linotype" w:eastAsia="Palatino Linotype" w:hAnsi="Palatino Linotype" w:cs="Palatino Linotype"/>
          <w:sz w:val="24"/>
          <w:szCs w:val="24"/>
        </w:rPr>
        <w:lastRenderedPageBreak/>
        <w:t>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522FFF6A" w14:textId="77777777" w:rsidR="00CE6C41" w:rsidRDefault="00CE6C41">
      <w:pPr>
        <w:spacing w:after="0" w:line="360" w:lineRule="auto"/>
        <w:ind w:right="99"/>
        <w:jc w:val="both"/>
        <w:rPr>
          <w:rFonts w:ascii="Palatino Linotype" w:eastAsia="Palatino Linotype" w:hAnsi="Palatino Linotype" w:cs="Palatino Linotype"/>
          <w:sz w:val="24"/>
          <w:szCs w:val="24"/>
        </w:rPr>
      </w:pPr>
    </w:p>
    <w:p w14:paraId="16665FE0"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a lo anterior, tenemos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 través de su solicitud requirió conocer los motivos por los cuales no se han transmitido en vivo o subido los cabildos a través de la página del Ayuntamiento,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Pr>
          <w:rFonts w:ascii="Palatino Linotype" w:eastAsia="Palatino Linotype" w:hAnsi="Palatino Linotype" w:cs="Palatino Linotype"/>
          <w:b/>
          <w:sz w:val="24"/>
          <w:szCs w:val="24"/>
          <w:u w:val="single"/>
        </w:rPr>
        <w:t>interrogantes, inquietudes, quejas y manifestaciones</w:t>
      </w:r>
      <w:r>
        <w:rPr>
          <w:rFonts w:ascii="Palatino Linotype" w:eastAsia="Palatino Linotype" w:hAnsi="Palatino Linotype" w:cs="Palatino Linotype"/>
          <w:sz w:val="24"/>
          <w:szCs w:val="24"/>
        </w:rPr>
        <w:t xml:space="preserve"> resultan estar encaminadas a ser satisfechas en ejercicio del derecho de petición.</w:t>
      </w:r>
    </w:p>
    <w:p w14:paraId="7078CA19" w14:textId="77777777" w:rsidR="00CE6C41" w:rsidRDefault="00CE6C41">
      <w:pPr>
        <w:spacing w:after="0" w:line="360" w:lineRule="auto"/>
        <w:jc w:val="both"/>
        <w:rPr>
          <w:rFonts w:ascii="Palatino Linotype" w:eastAsia="Palatino Linotype" w:hAnsi="Palatino Linotype" w:cs="Palatino Linotype"/>
          <w:sz w:val="24"/>
          <w:szCs w:val="24"/>
        </w:rPr>
      </w:pPr>
    </w:p>
    <w:p w14:paraId="64EE03FC"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declare incompetente para atender la solicitud de </w:t>
      </w:r>
      <w:r>
        <w:rPr>
          <w:rFonts w:ascii="Palatino Linotype" w:eastAsia="Palatino Linotype" w:hAnsi="Palatino Linotype" w:cs="Palatino Linotype"/>
          <w:sz w:val="24"/>
          <w:szCs w:val="24"/>
        </w:rPr>
        <w:lastRenderedPageBreak/>
        <w:t xml:space="preserve">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esencialmente en virtud de que se advierte que las mismas se tratan de aseveraciones que pudieran ser consideradas de carácter subjetivo hechas sin un soporte que las sustente; es decir, la solicitud del particular es tendente 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aclare o actué sobre una inquietud.</w:t>
      </w:r>
    </w:p>
    <w:p w14:paraId="1A1BD1C3" w14:textId="77777777" w:rsidR="00CE6C41" w:rsidRDefault="00CE6C41">
      <w:pPr>
        <w:spacing w:after="0" w:line="360" w:lineRule="auto"/>
        <w:jc w:val="both"/>
        <w:rPr>
          <w:rFonts w:ascii="Palatino Linotype" w:eastAsia="Palatino Linotype" w:hAnsi="Palatino Linotype" w:cs="Palatino Linotype"/>
          <w:color w:val="000000"/>
          <w:sz w:val="24"/>
          <w:szCs w:val="24"/>
        </w:rPr>
      </w:pPr>
    </w:p>
    <w:p w14:paraId="384AD8F1" w14:textId="77777777" w:rsidR="00CE6C41" w:rsidRDefault="00626B72">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base en lo anterior, tenemos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su solicitud de información requiere de una explicación o bien una razón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14:paraId="2A716ABF" w14:textId="77777777" w:rsidR="00CE6C41" w:rsidRDefault="00CE6C41">
      <w:pPr>
        <w:spacing w:after="0" w:line="360" w:lineRule="auto"/>
        <w:jc w:val="both"/>
        <w:rPr>
          <w:rFonts w:ascii="Palatino Linotype" w:eastAsia="Palatino Linotype" w:hAnsi="Palatino Linotype" w:cs="Palatino Linotype"/>
          <w:sz w:val="24"/>
          <w:szCs w:val="24"/>
        </w:rPr>
      </w:pPr>
    </w:p>
    <w:p w14:paraId="5C18E904" w14:textId="77777777" w:rsidR="00CE6C41" w:rsidRDefault="00626B72">
      <w:pPr>
        <w:spacing w:after="0" w:line="360" w:lineRule="auto"/>
        <w:jc w:val="both"/>
        <w:rPr>
          <w:rFonts w:ascii="Palatino Linotype" w:eastAsia="Palatino Linotype" w:hAnsi="Palatino Linotype" w:cs="Palatino Linotype"/>
          <w:color w:val="000000"/>
          <w:sz w:val="24"/>
          <w:szCs w:val="24"/>
        </w:rPr>
      </w:pPr>
      <w:bookmarkStart w:id="0" w:name="_heading=h.gjdgxs" w:colFirst="0" w:colLast="0"/>
      <w:bookmarkEnd w:id="0"/>
      <w:r>
        <w:rPr>
          <w:rFonts w:ascii="Palatino Linotype" w:eastAsia="Palatino Linotype" w:hAnsi="Palatino Linotype" w:cs="Palatino Linotype"/>
          <w:sz w:val="24"/>
          <w:szCs w:val="24"/>
        </w:rPr>
        <w:t xml:space="preserve">Sin embargo,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dio respuesta al particular contestando que </w:t>
      </w:r>
      <w:r>
        <w:rPr>
          <w:rFonts w:ascii="Palatino Linotype" w:eastAsia="Palatino Linotype" w:hAnsi="Palatino Linotype" w:cs="Palatino Linotype"/>
          <w:b/>
          <w:color w:val="000000"/>
          <w:sz w:val="24"/>
          <w:szCs w:val="24"/>
        </w:rPr>
        <w:t>no se han podido establecer técnicas para poder transmitirla</w:t>
      </w:r>
      <w:r>
        <w:rPr>
          <w:rFonts w:ascii="Palatino Linotype" w:eastAsia="Palatino Linotype" w:hAnsi="Palatino Linotype" w:cs="Palatino Linotype"/>
          <w:color w:val="000000"/>
          <w:sz w:val="24"/>
          <w:szCs w:val="24"/>
        </w:rPr>
        <w:t xml:space="preserve">s, siendo el motivo por el cual no se han transmitido en la página del Ayuntamiento de Tequixquiac, </w:t>
      </w:r>
      <w:r>
        <w:rPr>
          <w:rFonts w:ascii="Palatino Linotype" w:eastAsia="Palatino Linotype" w:hAnsi="Palatino Linotype" w:cs="Palatino Linotype"/>
          <w:sz w:val="24"/>
          <w:szCs w:val="24"/>
        </w:rPr>
        <w:t xml:space="preserve">respuesta fue emitida por el encargado de despacho de la Secretaría del </w:t>
      </w:r>
      <w:r>
        <w:rPr>
          <w:rFonts w:ascii="Palatino Linotype" w:eastAsia="Palatino Linotype" w:hAnsi="Palatino Linotype" w:cs="Palatino Linotype"/>
          <w:sz w:val="24"/>
          <w:szCs w:val="24"/>
        </w:rPr>
        <w:lastRenderedPageBreak/>
        <w:t>Ayuntamiento, siendo el competente para emitir pronunciamiento, teniendo como sustento la Ley Orgánica Municipal del Estado de México:</w:t>
      </w:r>
    </w:p>
    <w:p w14:paraId="42B0312B" w14:textId="77777777" w:rsidR="00CE6C41" w:rsidRDefault="00CE6C41">
      <w:pPr>
        <w:spacing w:after="0" w:line="360" w:lineRule="auto"/>
        <w:ind w:left="851" w:right="900"/>
        <w:jc w:val="both"/>
        <w:rPr>
          <w:rFonts w:ascii="Palatino Linotype" w:eastAsia="Palatino Linotype" w:hAnsi="Palatino Linotype" w:cs="Palatino Linotype"/>
          <w:i/>
        </w:rPr>
      </w:pPr>
    </w:p>
    <w:p w14:paraId="7C5B1BFA" w14:textId="77777777" w:rsidR="00CE6C41" w:rsidRDefault="00626B72">
      <w:pPr>
        <w:spacing w:after="0" w:line="360" w:lineRule="auto"/>
        <w:ind w:left="851" w:right="900"/>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Pr>
          <w:rFonts w:ascii="Palatino Linotype" w:eastAsia="Palatino Linotype" w:hAnsi="Palatino Linotype" w:cs="Palatino Linotype"/>
          <w:i/>
        </w:rPr>
        <w:t>tendrá</w:t>
      </w:r>
      <w:proofErr w:type="gramEnd"/>
      <w:r>
        <w:rPr>
          <w:rFonts w:ascii="Palatino Linotype" w:eastAsia="Palatino Linotype" w:hAnsi="Palatino Linotype" w:cs="Palatino Linotype"/>
          <w:i/>
        </w:rPr>
        <w:t xml:space="preserve">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videograbada que permita hacer las aclaraciones pertinentes, la cual formará parte del acta correspondiente. </w:t>
      </w:r>
      <w:r>
        <w:rPr>
          <w:rFonts w:ascii="Palatino Linotype" w:eastAsia="Palatino Linotype" w:hAnsi="Palatino Linotype" w:cs="Palatino Linotype"/>
          <w:i/>
          <w:u w:val="single"/>
        </w:rPr>
        <w:t>La versión estenográfica o videograbada deberá estar disponible en la página de internet del Ayuntamiento y en las oficinas de la Secretaría del Ayuntamiento</w:t>
      </w:r>
    </w:p>
    <w:p w14:paraId="4E4D5276" w14:textId="77777777" w:rsidR="00CE6C41" w:rsidRDefault="00626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lastRenderedPageBreak/>
        <w:t xml:space="preserve">De lo anterior se advierte que la propia Ley Orgánica establece la posibilidad de no contar con videograbaciones, estableciendo la opción de contar únicamente con versiones estenográficas de las mismas. </w:t>
      </w:r>
    </w:p>
    <w:p w14:paraId="07615076" w14:textId="77777777" w:rsidR="00CE6C41" w:rsidRDefault="00626B72">
      <w:pPr>
        <w:spacing w:before="240" w:after="240" w:line="360" w:lineRule="auto"/>
        <w:ind w:right="10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consiguiente, en relación al cuestionamiento que hizo el particular en su solicitud, resta solamente señalarle, que quedan a salvo sus derechos que considere ejercitables a través de las vías y autoridades que estime procedentes; máxime que este Instituto se encuentra impedido para pronunciarse sobre la veracidad o no de lo que señala en solicitud; así como, para ordenar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atienda o de solución a la inconformidad del particular. </w:t>
      </w:r>
    </w:p>
    <w:p w14:paraId="3B587F4E" w14:textId="77777777" w:rsidR="00CE6C41" w:rsidRDefault="00626B72">
      <w:pPr>
        <w:spacing w:after="0" w:line="360" w:lineRule="auto"/>
        <w:ind w:right="9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mismo tiempo, no se advierte que el recurso de revisión encuadre en alguno de los supuestos de procedencia que plantea la Ley de Transparencia y Acceso a la Información Pública del Estado de México y Municipios en su artículo 179, que es del tenor literal siguiente: </w:t>
      </w:r>
    </w:p>
    <w:p w14:paraId="4D18B544" w14:textId="77777777" w:rsidR="00CE6C41" w:rsidRDefault="00CE6C41">
      <w:pPr>
        <w:spacing w:after="0" w:line="360" w:lineRule="auto"/>
        <w:ind w:right="96"/>
        <w:jc w:val="both"/>
        <w:rPr>
          <w:rFonts w:ascii="Palatino Linotype" w:eastAsia="Palatino Linotype" w:hAnsi="Palatino Linotype" w:cs="Palatino Linotype"/>
          <w:sz w:val="24"/>
          <w:szCs w:val="24"/>
        </w:rPr>
      </w:pPr>
    </w:p>
    <w:p w14:paraId="47EEDB0D" w14:textId="77777777" w:rsidR="00CE6C41" w:rsidRDefault="00626B72">
      <w:pPr>
        <w:spacing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179. </w:t>
      </w:r>
      <w:r>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1566A66" w14:textId="77777777" w:rsidR="00CE6C41" w:rsidRDefault="00626B72">
      <w:pPr>
        <w:spacing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negativa a la información solicitada; </w:t>
      </w:r>
    </w:p>
    <w:p w14:paraId="5B3C9B60"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La clasificación de la información; </w:t>
      </w:r>
    </w:p>
    <w:p w14:paraId="3F21A74A"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declaración de inexistencia de la información;</w:t>
      </w:r>
    </w:p>
    <w:p w14:paraId="091B8D90"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La declaración de incompetencia por el sujeto obligado;</w:t>
      </w:r>
    </w:p>
    <w:p w14:paraId="01129253"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La entrega de información incompleta; </w:t>
      </w:r>
    </w:p>
    <w:p w14:paraId="408438CB"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La entrega de información que no corresponda con lo solicitado;</w:t>
      </w:r>
    </w:p>
    <w:p w14:paraId="2B8397E5"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VII</w:t>
      </w:r>
      <w:r>
        <w:rPr>
          <w:rFonts w:ascii="Palatino Linotype" w:eastAsia="Palatino Linotype" w:hAnsi="Palatino Linotype" w:cs="Palatino Linotype"/>
          <w:i/>
        </w:rPr>
        <w:t xml:space="preserve">. La falta de respuesta a una solicitud de acceso a la información; </w:t>
      </w:r>
    </w:p>
    <w:p w14:paraId="7266EA74"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La notificación, entrega o puesta a disposición de información en una modalidad o formato distinto al solicitado; </w:t>
      </w:r>
    </w:p>
    <w:p w14:paraId="713D622B"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La entrega o puesta a disposición de información en un formato incomprensible y/o no accesible para el solicitante; </w:t>
      </w:r>
    </w:p>
    <w:p w14:paraId="5AEBF98A"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 </w:t>
      </w:r>
      <w:r>
        <w:rPr>
          <w:rFonts w:ascii="Palatino Linotype" w:eastAsia="Palatino Linotype" w:hAnsi="Palatino Linotype" w:cs="Palatino Linotype"/>
          <w:i/>
        </w:rPr>
        <w:t xml:space="preserve">Los costos o tiempos de entrega de la información; </w:t>
      </w:r>
    </w:p>
    <w:p w14:paraId="29D10EF5"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La falta de trámite a una solicitud; </w:t>
      </w:r>
    </w:p>
    <w:p w14:paraId="54378F17"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xml:space="preserve">. La negativa a permitir la consulta directa de la información; </w:t>
      </w:r>
    </w:p>
    <w:p w14:paraId="72794722"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XIII</w:t>
      </w:r>
      <w:r>
        <w:rPr>
          <w:rFonts w:ascii="Palatino Linotype" w:eastAsia="Palatino Linotype" w:hAnsi="Palatino Linotype" w:cs="Palatino Linotype"/>
          <w:i/>
        </w:rPr>
        <w:t xml:space="preserve">. La falta, deficiencia o insuficiencia de la fundamentación y/o motivación en la respuesta; y </w:t>
      </w:r>
    </w:p>
    <w:p w14:paraId="31AAE521" w14:textId="77777777" w:rsidR="00CE6C41" w:rsidRDefault="00626B7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XIV.</w:t>
      </w:r>
      <w:r>
        <w:rPr>
          <w:rFonts w:ascii="Palatino Linotype" w:eastAsia="Palatino Linotype" w:hAnsi="Palatino Linotype" w:cs="Palatino Linotype"/>
          <w:i/>
        </w:rPr>
        <w:t xml:space="preserve"> La orientación a un trámite específico. </w:t>
      </w:r>
    </w:p>
    <w:p w14:paraId="0424ED8C" w14:textId="77777777" w:rsidR="00CE6C41" w:rsidRDefault="00626B72">
      <w:pP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br/>
      </w:r>
    </w:p>
    <w:p w14:paraId="17B9BD13" w14:textId="77777777" w:rsidR="00CE6C41" w:rsidRDefault="00626B72">
      <w:pPr>
        <w:spacing w:before="240" w:after="240" w:line="360" w:lineRule="auto"/>
        <w:ind w:right="9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14:paraId="4B9731A2" w14:textId="77777777" w:rsidR="00CE6C41" w:rsidRDefault="00626B72">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192.</w:t>
      </w:r>
      <w:r>
        <w:rPr>
          <w:rFonts w:ascii="Palatino Linotype" w:eastAsia="Palatino Linotype" w:hAnsi="Palatino Linotype" w:cs="Palatino Linotype"/>
          <w:i/>
        </w:rPr>
        <w:t xml:space="preserve"> El recurso será sobreseído, en todo o en parte, cuando una vez admitido, se actualicen alguno de los siguientes supuestos:</w:t>
      </w:r>
    </w:p>
    <w:p w14:paraId="0257E261" w14:textId="77777777" w:rsidR="00CE6C41" w:rsidRDefault="00626B72">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00946481" w14:textId="77777777" w:rsidR="00CE6C41" w:rsidRDefault="00626B72">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Admitido el recurso de revisión, </w:t>
      </w:r>
      <w:r>
        <w:rPr>
          <w:rFonts w:ascii="Palatino Linotype" w:eastAsia="Palatino Linotype" w:hAnsi="Palatino Linotype" w:cs="Palatino Linotype"/>
          <w:b/>
          <w:i/>
        </w:rPr>
        <w:t>aparezca alguna causal de improcedencia</w:t>
      </w:r>
      <w:r>
        <w:rPr>
          <w:rFonts w:ascii="Palatino Linotype" w:eastAsia="Palatino Linotype" w:hAnsi="Palatino Linotype" w:cs="Palatino Linotype"/>
          <w:i/>
        </w:rPr>
        <w:t xml:space="preserve"> en los términos de la presente Ley…</w:t>
      </w:r>
    </w:p>
    <w:p w14:paraId="57E0645C" w14:textId="77777777" w:rsidR="00CE6C41" w:rsidRDefault="00CE6C41">
      <w:pPr>
        <w:tabs>
          <w:tab w:val="left" w:pos="7938"/>
        </w:tabs>
        <w:spacing w:before="120" w:after="120"/>
        <w:ind w:left="851" w:right="902"/>
        <w:jc w:val="both"/>
        <w:rPr>
          <w:rFonts w:ascii="Palatino Linotype" w:eastAsia="Palatino Linotype" w:hAnsi="Palatino Linotype" w:cs="Palatino Linotype"/>
          <w:b/>
          <w:i/>
        </w:rPr>
      </w:pPr>
    </w:p>
    <w:p w14:paraId="5676F06F" w14:textId="77777777" w:rsidR="00CE6C41" w:rsidRDefault="00626B72">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191</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será </w:t>
      </w:r>
      <w:r>
        <w:rPr>
          <w:rFonts w:ascii="Palatino Linotype" w:eastAsia="Palatino Linotype" w:hAnsi="Palatino Linotype" w:cs="Palatino Linotype"/>
          <w:i/>
        </w:rPr>
        <w:t xml:space="preserve">desechado por </w:t>
      </w:r>
      <w:r>
        <w:rPr>
          <w:rFonts w:ascii="Palatino Linotype" w:eastAsia="Palatino Linotype" w:hAnsi="Palatino Linotype" w:cs="Palatino Linotype"/>
          <w:b/>
          <w:i/>
        </w:rPr>
        <w:t>improcedente cuando</w:t>
      </w:r>
      <w:r>
        <w:rPr>
          <w:rFonts w:ascii="Palatino Linotype" w:eastAsia="Palatino Linotype" w:hAnsi="Palatino Linotype" w:cs="Palatino Linotype"/>
          <w:i/>
        </w:rPr>
        <w:t>:</w:t>
      </w:r>
    </w:p>
    <w:p w14:paraId="2BF2C950" w14:textId="77777777" w:rsidR="00CE6C41" w:rsidRDefault="00626B72">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C21C6A0" w14:textId="77777777" w:rsidR="00CE6C41" w:rsidRDefault="00626B72">
      <w:pPr>
        <w:tabs>
          <w:tab w:val="left" w:pos="7938"/>
        </w:tabs>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No actualice alguno de los supuestos previstos en la presente Ley: “</w:t>
      </w:r>
    </w:p>
    <w:p w14:paraId="56CDA351" w14:textId="77777777" w:rsidR="00CE6C41" w:rsidRDefault="00CE6C41">
      <w:pPr>
        <w:spacing w:after="0" w:line="360" w:lineRule="auto"/>
        <w:jc w:val="both"/>
        <w:rPr>
          <w:rFonts w:ascii="Palatino Linotype" w:eastAsia="Palatino Linotype" w:hAnsi="Palatino Linotype" w:cs="Palatino Linotype"/>
          <w:sz w:val="24"/>
          <w:szCs w:val="24"/>
        </w:rPr>
      </w:pPr>
    </w:p>
    <w:p w14:paraId="29FF474C"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el </w:t>
      </w:r>
      <w:r>
        <w:rPr>
          <w:rFonts w:ascii="Palatino Linotype" w:eastAsia="Palatino Linotype" w:hAnsi="Palatino Linotype" w:cs="Palatino Linotype"/>
          <w:i/>
          <w:sz w:val="24"/>
          <w:szCs w:val="24"/>
        </w:rPr>
        <w:t>sobreseimiento</w:t>
      </w:r>
      <w:r>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415F0587" w14:textId="77777777" w:rsidR="00CE6C41" w:rsidRDefault="00626B72">
      <w:pPr>
        <w:spacing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SOBRESEIMIENTO, NO PERMITE ENTRAR AL ESTUDIO DE LAS CUESTIONES DE FONDO</w:t>
      </w:r>
    </w:p>
    <w:p w14:paraId="7563DA7D" w14:textId="77777777" w:rsidR="00CE6C41" w:rsidRDefault="00626B7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Localización: 213609. II.2o.183 K. Tribunales Colegiados de Circuito. Octava Época. Semanario Judicial de la Federación. Tomo XIII, </w:t>
      </w:r>
      <w:proofErr w:type="gramStart"/>
      <w:r>
        <w:rPr>
          <w:rFonts w:ascii="Palatino Linotype" w:eastAsia="Palatino Linotype" w:hAnsi="Palatino Linotype" w:cs="Palatino Linotype"/>
          <w:i/>
        </w:rPr>
        <w:t>Febrero</w:t>
      </w:r>
      <w:proofErr w:type="gramEnd"/>
      <w:r>
        <w:rPr>
          <w:rFonts w:ascii="Palatino Linotype" w:eastAsia="Palatino Linotype" w:hAnsi="Palatino Linotype" w:cs="Palatino Linotype"/>
          <w:i/>
        </w:rPr>
        <w:t xml:space="preserve"> de 1994, Pág. 420</w:t>
      </w:r>
    </w:p>
    <w:p w14:paraId="12C1F46F" w14:textId="77777777" w:rsidR="00CE6C41" w:rsidRDefault="00626B7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5CB0617" w14:textId="77777777" w:rsidR="00CE6C41" w:rsidRDefault="00626B72">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Cabe destacar que la decisión de este Organismo Garante de sobreseer el recurso de revisión no implica una limitación o negación a la justicia, según lo ha establecido el Poder Judicial Federal, en el criterio que es aplicable por analogía, con rubro:</w:t>
      </w:r>
    </w:p>
    <w:p w14:paraId="48B569EF" w14:textId="77777777" w:rsidR="00CE6C41" w:rsidRDefault="00626B72">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“DESECHAMIENTO O SOBRESEIMIENTO EN EL JUICIO DE AMPARO. NO IMPLICA DENEGACIÓN DE JUSTICIA NI GENERA INSEGURIDAD JURÍDICA”</w:t>
      </w:r>
    </w:p>
    <w:p w14:paraId="72ADDDE6" w14:textId="77777777" w:rsidR="00CE6C41" w:rsidRDefault="00626B7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Pr>
          <w:rFonts w:ascii="Palatino Linotype" w:eastAsia="Palatino Linotype" w:hAnsi="Palatino Linotype" w:cs="Palatino Linotype"/>
        </w:rPr>
        <w:tab/>
      </w:r>
    </w:p>
    <w:p w14:paraId="1326A5DC" w14:textId="77777777" w:rsidR="00CE6C41" w:rsidRDefault="00CE6C41">
      <w:pPr>
        <w:spacing w:after="0" w:line="360" w:lineRule="auto"/>
        <w:jc w:val="both"/>
        <w:rPr>
          <w:rFonts w:ascii="Palatino Linotype" w:eastAsia="Palatino Linotype" w:hAnsi="Palatino Linotype" w:cs="Palatino Linotype"/>
          <w:sz w:val="24"/>
          <w:szCs w:val="24"/>
        </w:rPr>
      </w:pPr>
    </w:p>
    <w:p w14:paraId="4CB5B293" w14:textId="77777777" w:rsidR="00CE6C41" w:rsidRDefault="00626B72">
      <w:pPr>
        <w:spacing w:after="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190A072" w14:textId="77777777" w:rsidR="00CE6C41" w:rsidRDefault="00626B72">
      <w:pPr>
        <w:spacing w:before="80" w:after="24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54681698"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highlight w:val="white"/>
        </w:rPr>
        <w:lastRenderedPageBreak/>
        <w:t>PRIMERO</w:t>
      </w:r>
      <w:r>
        <w:rPr>
          <w:rFonts w:ascii="Palatino Linotype" w:eastAsia="Palatino Linotype" w:hAnsi="Palatino Linotype" w:cs="Palatino Linotype"/>
          <w:sz w:val="24"/>
          <w:szCs w:val="24"/>
          <w:highlight w:val="white"/>
        </w:rPr>
        <w:t xml:space="preserve">.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Sobresee </w:t>
      </w:r>
      <w:r>
        <w:rPr>
          <w:rFonts w:ascii="Palatino Linotype" w:eastAsia="Palatino Linotype" w:hAnsi="Palatino Linotype" w:cs="Palatino Linotype"/>
          <w:sz w:val="24"/>
          <w:szCs w:val="24"/>
        </w:rPr>
        <w:t xml:space="preserve">el recurso de revisión número </w:t>
      </w:r>
      <w:r>
        <w:rPr>
          <w:rFonts w:ascii="Palatino Linotype" w:eastAsia="Palatino Linotype" w:hAnsi="Palatino Linotype" w:cs="Palatino Linotype"/>
          <w:b/>
          <w:sz w:val="24"/>
          <w:szCs w:val="24"/>
        </w:rPr>
        <w:t xml:space="preserve">02494/INFOEM/IP/RR/2022, </w:t>
      </w:r>
      <w:r>
        <w:rPr>
          <w:rFonts w:ascii="Palatino Linotype" w:eastAsia="Palatino Linotype" w:hAnsi="Palatino Linotype" w:cs="Palatino Linotype"/>
          <w:sz w:val="24"/>
          <w:szCs w:val="24"/>
        </w:rPr>
        <w:t>porque una vez admitido se actualizó la causal de improcedencia prevista en el artículo 192 fracción IV, en relación con la fracción III del artículo 191, de la Ley de Transparencia vigente en la entidad, que lo dejó sin materia en términos del Considerando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Tercero de la presente resolución.</w:t>
      </w:r>
    </w:p>
    <w:p w14:paraId="3837B5B0" w14:textId="77777777" w:rsidR="00CE6C41" w:rsidRDefault="00CE6C41">
      <w:pPr>
        <w:spacing w:after="0" w:line="360" w:lineRule="auto"/>
        <w:jc w:val="both"/>
        <w:rPr>
          <w:rFonts w:ascii="Palatino Linotype" w:eastAsia="Palatino Linotype" w:hAnsi="Palatino Linotype" w:cs="Palatino Linotype"/>
          <w:sz w:val="24"/>
          <w:szCs w:val="24"/>
        </w:rPr>
      </w:pPr>
    </w:p>
    <w:p w14:paraId="4C41ED10"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Notifíquese al Titular de la Unidad de Transparencia, vía Sistema de Acceso a la Información Mexiquense (SAIMEX), para su conocimiento.</w:t>
      </w:r>
    </w:p>
    <w:p w14:paraId="18306DA2" w14:textId="77777777" w:rsidR="00CE6C41" w:rsidRDefault="00CE6C41">
      <w:pPr>
        <w:spacing w:after="0" w:line="360" w:lineRule="auto"/>
        <w:jc w:val="both"/>
        <w:rPr>
          <w:rFonts w:ascii="Palatino Linotype" w:eastAsia="Palatino Linotype" w:hAnsi="Palatino Linotype" w:cs="Palatino Linotype"/>
          <w:sz w:val="24"/>
          <w:szCs w:val="24"/>
        </w:rPr>
      </w:pPr>
    </w:p>
    <w:p w14:paraId="14EAAC22" w14:textId="77777777" w:rsidR="00CE6C41" w:rsidRDefault="00626B7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highlight w:val="white"/>
        </w:rPr>
        <w:t xml:space="preserve">TERCERO. </w:t>
      </w:r>
      <w:r>
        <w:rPr>
          <w:rFonts w:ascii="Palatino Linotype" w:eastAsia="Palatino Linotype" w:hAnsi="Palatino Linotype" w:cs="Palatino Linotype"/>
          <w:b/>
          <w:sz w:val="24"/>
          <w:szCs w:val="24"/>
        </w:rPr>
        <w:t>Notifíquese vía Sistema de Acceso a la Información Mexiquense (SAIMEX)</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FF0000"/>
          <w:sz w:val="24"/>
          <w:szCs w:val="24"/>
        </w:rPr>
        <w:t xml:space="preserve"> </w:t>
      </w:r>
      <w:r>
        <w:rPr>
          <w:rFonts w:ascii="Palatino Linotype" w:eastAsia="Palatino Linotype" w:hAnsi="Palatino Linotype" w:cs="Palatino Linotype"/>
          <w:sz w:val="24"/>
          <w:szCs w:val="24"/>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sz w:val="24"/>
          <w:szCs w:val="24"/>
        </w:rPr>
        <w:t>Juicio de Amparo</w:t>
      </w:r>
      <w:r>
        <w:rPr>
          <w:rFonts w:ascii="Palatino Linotype" w:eastAsia="Palatino Linotype" w:hAnsi="Palatino Linotype" w:cs="Palatino Linotype"/>
          <w:sz w:val="24"/>
          <w:szCs w:val="24"/>
        </w:rPr>
        <w:t xml:space="preserve"> en los términos de las leyes aplicables.</w:t>
      </w:r>
    </w:p>
    <w:p w14:paraId="09DA4462" w14:textId="77777777" w:rsidR="00CE6C41" w:rsidRDefault="00CE6C41">
      <w:pPr>
        <w:spacing w:after="0" w:line="360" w:lineRule="auto"/>
        <w:jc w:val="both"/>
        <w:rPr>
          <w:rFonts w:ascii="Palatino Linotype" w:eastAsia="Palatino Linotype" w:hAnsi="Palatino Linotype" w:cs="Palatino Linotype"/>
          <w:sz w:val="24"/>
          <w:szCs w:val="24"/>
        </w:rPr>
      </w:pPr>
    </w:p>
    <w:p w14:paraId="157E27A4" w14:textId="32AC66C6" w:rsidR="00CE6C41" w:rsidRDefault="00626B72">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w:t>
      </w:r>
      <w:r>
        <w:rPr>
          <w:rFonts w:ascii="Palatino Linotype" w:eastAsia="Palatino Linotype" w:hAnsi="Palatino Linotype" w:cs="Palatino Linotype"/>
          <w:sz w:val="24"/>
          <w:szCs w:val="24"/>
        </w:rPr>
        <w:lastRenderedPageBreak/>
        <w:t>EL VEINTICINCO DE MAYO DE DOS MIL VEINTIDÓS, ANTE EL SECRETARIO TÉCNICO DEL PLENO ALEXIS TAPIA RAMÍREZ.</w:t>
      </w:r>
    </w:p>
    <w:p w14:paraId="23C36F5C" w14:textId="1AEF9472" w:rsidR="00CE6C41" w:rsidRDefault="0020233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358A1130" wp14:editId="09F8E297">
                <wp:simplePos x="0" y="0"/>
                <wp:positionH relativeFrom="column">
                  <wp:posOffset>78814</wp:posOffset>
                </wp:positionH>
                <wp:positionV relativeFrom="paragraph">
                  <wp:posOffset>360000</wp:posOffset>
                </wp:positionV>
                <wp:extent cx="5337485" cy="5752125"/>
                <wp:effectExtent l="0" t="0" r="34925" b="20320"/>
                <wp:wrapNone/>
                <wp:docPr id="1" name="Conector recto 1"/>
                <wp:cNvGraphicFramePr/>
                <a:graphic xmlns:a="http://schemas.openxmlformats.org/drawingml/2006/main">
                  <a:graphicData uri="http://schemas.microsoft.com/office/word/2010/wordprocessingShape">
                    <wps:wsp>
                      <wps:cNvCnPr/>
                      <wps:spPr>
                        <a:xfrm>
                          <a:off x="0" y="0"/>
                          <a:ext cx="5337485" cy="575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1DAAA"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28.35pt" to="426.45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" strokecolor="#5b9bd5 [3204]" strokeweight=".5pt">
                <v:stroke joinstyle="miter"/>
              </v:line>
            </w:pict>
          </mc:Fallback>
        </mc:AlternateContent>
      </w:r>
    </w:p>
    <w:p w14:paraId="1B93D96B" w14:textId="77777777" w:rsidR="00CE6C41" w:rsidRDefault="00CE6C41">
      <w:pPr>
        <w:spacing w:line="360" w:lineRule="auto"/>
        <w:jc w:val="both"/>
        <w:rPr>
          <w:rFonts w:ascii="Palatino Linotype" w:eastAsia="Palatino Linotype" w:hAnsi="Palatino Linotype" w:cs="Palatino Linotype"/>
          <w:sz w:val="24"/>
          <w:szCs w:val="24"/>
        </w:rPr>
      </w:pPr>
    </w:p>
    <w:p w14:paraId="12088BCE" w14:textId="77777777" w:rsidR="00CE6C41" w:rsidRDefault="00CE6C41">
      <w:pPr>
        <w:spacing w:line="360" w:lineRule="auto"/>
        <w:jc w:val="both"/>
        <w:rPr>
          <w:rFonts w:ascii="Palatino Linotype" w:eastAsia="Palatino Linotype" w:hAnsi="Palatino Linotype" w:cs="Palatino Linotype"/>
          <w:sz w:val="24"/>
          <w:szCs w:val="24"/>
        </w:rPr>
      </w:pPr>
    </w:p>
    <w:p w14:paraId="6CE81E92" w14:textId="77777777" w:rsidR="00CE6C41" w:rsidRDefault="00CE6C41">
      <w:pPr>
        <w:spacing w:line="360" w:lineRule="auto"/>
        <w:jc w:val="both"/>
        <w:rPr>
          <w:rFonts w:ascii="Palatino Linotype" w:eastAsia="Palatino Linotype" w:hAnsi="Palatino Linotype" w:cs="Palatino Linotype"/>
          <w:sz w:val="24"/>
          <w:szCs w:val="24"/>
        </w:rPr>
      </w:pPr>
    </w:p>
    <w:p w14:paraId="1FE9C4D9" w14:textId="77777777" w:rsidR="00CE6C41" w:rsidRDefault="00CE6C41">
      <w:pPr>
        <w:spacing w:line="360" w:lineRule="auto"/>
        <w:jc w:val="both"/>
        <w:rPr>
          <w:rFonts w:ascii="Palatino Linotype" w:eastAsia="Palatino Linotype" w:hAnsi="Palatino Linotype" w:cs="Palatino Linotype"/>
          <w:sz w:val="24"/>
          <w:szCs w:val="24"/>
        </w:rPr>
      </w:pPr>
    </w:p>
    <w:p w14:paraId="66316B68" w14:textId="77777777" w:rsidR="00CE6C41" w:rsidRDefault="00CE6C41">
      <w:pPr>
        <w:spacing w:line="360" w:lineRule="auto"/>
        <w:jc w:val="both"/>
        <w:rPr>
          <w:rFonts w:ascii="Palatino Linotype" w:eastAsia="Palatino Linotype" w:hAnsi="Palatino Linotype" w:cs="Palatino Linotype"/>
          <w:sz w:val="24"/>
          <w:szCs w:val="24"/>
        </w:rPr>
      </w:pPr>
    </w:p>
    <w:p w14:paraId="10F265ED" w14:textId="77777777" w:rsidR="00CE6C41" w:rsidRDefault="00CE6C41">
      <w:pPr>
        <w:spacing w:line="360" w:lineRule="auto"/>
        <w:jc w:val="both"/>
        <w:rPr>
          <w:rFonts w:ascii="Palatino Linotype" w:eastAsia="Palatino Linotype" w:hAnsi="Palatino Linotype" w:cs="Palatino Linotype"/>
          <w:sz w:val="24"/>
          <w:szCs w:val="24"/>
        </w:rPr>
      </w:pPr>
    </w:p>
    <w:p w14:paraId="3E3CF337" w14:textId="77777777" w:rsidR="00CE6C41" w:rsidRDefault="00CE6C41">
      <w:pPr>
        <w:spacing w:line="360" w:lineRule="auto"/>
        <w:jc w:val="both"/>
        <w:rPr>
          <w:rFonts w:ascii="Palatino Linotype" w:eastAsia="Palatino Linotype" w:hAnsi="Palatino Linotype" w:cs="Palatino Linotype"/>
          <w:sz w:val="24"/>
          <w:szCs w:val="24"/>
        </w:rPr>
      </w:pPr>
    </w:p>
    <w:p w14:paraId="434B4EB6" w14:textId="77777777" w:rsidR="00CE6C41" w:rsidRDefault="00CE6C41">
      <w:pPr>
        <w:spacing w:line="360" w:lineRule="auto"/>
        <w:jc w:val="both"/>
        <w:rPr>
          <w:rFonts w:ascii="Palatino Linotype" w:eastAsia="Palatino Linotype" w:hAnsi="Palatino Linotype" w:cs="Palatino Linotype"/>
          <w:sz w:val="24"/>
          <w:szCs w:val="24"/>
        </w:rPr>
      </w:pPr>
    </w:p>
    <w:p w14:paraId="3B176BC4" w14:textId="77777777" w:rsidR="00CE6C41" w:rsidRDefault="00CE6C41">
      <w:pPr>
        <w:spacing w:line="360" w:lineRule="auto"/>
        <w:jc w:val="both"/>
        <w:rPr>
          <w:rFonts w:ascii="Palatino Linotype" w:eastAsia="Palatino Linotype" w:hAnsi="Palatino Linotype" w:cs="Palatino Linotype"/>
          <w:sz w:val="24"/>
          <w:szCs w:val="24"/>
        </w:rPr>
      </w:pPr>
    </w:p>
    <w:p w14:paraId="0C8E1B44" w14:textId="77777777" w:rsidR="00CE6C41" w:rsidRDefault="00CE6C41">
      <w:pPr>
        <w:spacing w:line="360" w:lineRule="auto"/>
        <w:jc w:val="both"/>
        <w:rPr>
          <w:rFonts w:ascii="Palatino Linotype" w:eastAsia="Palatino Linotype" w:hAnsi="Palatino Linotype" w:cs="Palatino Linotype"/>
          <w:sz w:val="24"/>
          <w:szCs w:val="24"/>
        </w:rPr>
      </w:pPr>
    </w:p>
    <w:p w14:paraId="42B8CA1B" w14:textId="77777777" w:rsidR="00CE6C41" w:rsidRDefault="00CE6C41">
      <w:pPr>
        <w:spacing w:line="360" w:lineRule="auto"/>
        <w:jc w:val="both"/>
        <w:rPr>
          <w:rFonts w:ascii="Palatino Linotype" w:eastAsia="Palatino Linotype" w:hAnsi="Palatino Linotype" w:cs="Palatino Linotype"/>
          <w:sz w:val="24"/>
          <w:szCs w:val="24"/>
        </w:rPr>
      </w:pPr>
    </w:p>
    <w:p w14:paraId="462E55CF" w14:textId="77777777" w:rsidR="00CE6C41" w:rsidRDefault="00CE6C41">
      <w:pPr>
        <w:spacing w:line="360" w:lineRule="auto"/>
        <w:jc w:val="both"/>
        <w:rPr>
          <w:rFonts w:ascii="Palatino Linotype" w:eastAsia="Palatino Linotype" w:hAnsi="Palatino Linotype" w:cs="Palatino Linotype"/>
          <w:sz w:val="24"/>
          <w:szCs w:val="24"/>
        </w:rPr>
      </w:pPr>
    </w:p>
    <w:p w14:paraId="7A9EC488" w14:textId="77777777" w:rsidR="00CE6C41" w:rsidRDefault="00CE6C41">
      <w:pPr>
        <w:spacing w:line="360" w:lineRule="auto"/>
        <w:jc w:val="both"/>
        <w:rPr>
          <w:rFonts w:ascii="Palatino Linotype" w:eastAsia="Palatino Linotype" w:hAnsi="Palatino Linotype" w:cs="Palatino Linotype"/>
          <w:sz w:val="24"/>
          <w:szCs w:val="24"/>
        </w:rPr>
      </w:pPr>
    </w:p>
    <w:p w14:paraId="37E6898C" w14:textId="77777777" w:rsidR="00CE6C41" w:rsidRDefault="00CE6C41">
      <w:pPr>
        <w:spacing w:line="360" w:lineRule="auto"/>
        <w:jc w:val="both"/>
        <w:rPr>
          <w:rFonts w:ascii="Palatino Linotype" w:eastAsia="Palatino Linotype" w:hAnsi="Palatino Linotype" w:cs="Palatino Linotype"/>
          <w:sz w:val="24"/>
          <w:szCs w:val="24"/>
        </w:rPr>
      </w:pPr>
    </w:p>
    <w:p w14:paraId="22378851" w14:textId="77777777" w:rsidR="00CE6C41" w:rsidRDefault="00CE6C41">
      <w:pPr>
        <w:spacing w:line="360" w:lineRule="auto"/>
        <w:jc w:val="both"/>
        <w:rPr>
          <w:rFonts w:ascii="Palatino Linotype" w:eastAsia="Palatino Linotype" w:hAnsi="Palatino Linotype" w:cs="Palatino Linotype"/>
          <w:sz w:val="24"/>
          <w:szCs w:val="24"/>
        </w:rPr>
      </w:pPr>
    </w:p>
    <w:p w14:paraId="477557B4" w14:textId="77777777" w:rsidR="00CE6C41" w:rsidRDefault="00CE6C41">
      <w:pPr>
        <w:spacing w:line="360" w:lineRule="auto"/>
        <w:jc w:val="both"/>
        <w:rPr>
          <w:rFonts w:ascii="Palatino Linotype" w:eastAsia="Palatino Linotype" w:hAnsi="Palatino Linotype" w:cs="Palatino Linotype"/>
          <w:sz w:val="24"/>
          <w:szCs w:val="24"/>
        </w:rPr>
      </w:pPr>
    </w:p>
    <w:p w14:paraId="7BB26AC8" w14:textId="77777777" w:rsidR="00CE6C41" w:rsidRDefault="00CE6C41">
      <w:pPr>
        <w:spacing w:line="360" w:lineRule="auto"/>
        <w:jc w:val="both"/>
        <w:rPr>
          <w:rFonts w:ascii="Palatino Linotype" w:eastAsia="Palatino Linotype" w:hAnsi="Palatino Linotype" w:cs="Palatino Linotype"/>
          <w:sz w:val="24"/>
          <w:szCs w:val="24"/>
        </w:rPr>
      </w:pPr>
    </w:p>
    <w:sectPr w:rsidR="00CE6C41">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0A4ED" w14:textId="77777777" w:rsidR="00363B52" w:rsidRDefault="00363B52">
      <w:pPr>
        <w:spacing w:after="0" w:line="240" w:lineRule="auto"/>
      </w:pPr>
      <w:r>
        <w:separator/>
      </w:r>
    </w:p>
  </w:endnote>
  <w:endnote w:type="continuationSeparator" w:id="0">
    <w:p w14:paraId="4A3EF461" w14:textId="77777777" w:rsidR="00363B52" w:rsidRDefault="00363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B7AA" w14:textId="77777777" w:rsidR="00CE6C41" w:rsidRDefault="00626B72">
    <w:pP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2156">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2156">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4574CA2D" w14:textId="77777777" w:rsidR="00CE6C41" w:rsidRDefault="00CE6C41">
    <w:pPr>
      <w:tabs>
        <w:tab w:val="center" w:pos="4419"/>
        <w:tab w:val="right" w:pos="8838"/>
      </w:tabs>
      <w:spacing w:after="0" w:line="240" w:lineRule="auto"/>
      <w:rPr>
        <w:color w:val="000000"/>
      </w:rPr>
    </w:pPr>
  </w:p>
  <w:p w14:paraId="2C7CFCE3" w14:textId="77777777" w:rsidR="00CE6C41" w:rsidRDefault="00CE6C4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0683" w14:textId="77777777" w:rsidR="00363B52" w:rsidRDefault="00363B52">
      <w:pPr>
        <w:spacing w:after="0" w:line="240" w:lineRule="auto"/>
      </w:pPr>
      <w:r>
        <w:separator/>
      </w:r>
    </w:p>
  </w:footnote>
  <w:footnote w:type="continuationSeparator" w:id="0">
    <w:p w14:paraId="0B9597BD" w14:textId="77777777" w:rsidR="00363B52" w:rsidRDefault="00363B52">
      <w:pPr>
        <w:spacing w:after="0" w:line="240" w:lineRule="auto"/>
      </w:pPr>
      <w:r>
        <w:continuationSeparator/>
      </w:r>
    </w:p>
  </w:footnote>
  <w:footnote w:id="1">
    <w:p w14:paraId="3FCC3C13" w14:textId="77777777" w:rsidR="00CE6C41" w:rsidRDefault="00626B7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19297C7F" w14:textId="77777777" w:rsidR="00CE6C41" w:rsidRDefault="00626B72">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6799D493" w14:textId="77777777" w:rsidR="00CE6C41" w:rsidRDefault="00626B72">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E7F4" w14:textId="77777777" w:rsidR="00CE6C41" w:rsidRDefault="00CE6C41">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9848" w:type="dxa"/>
      <w:tblInd w:w="-809" w:type="dxa"/>
      <w:tblLayout w:type="fixed"/>
      <w:tblLook w:val="0400" w:firstRow="0" w:lastRow="0" w:firstColumn="0" w:lastColumn="0" w:noHBand="0" w:noVBand="1"/>
    </w:tblPr>
    <w:tblGrid>
      <w:gridCol w:w="5240"/>
      <w:gridCol w:w="4608"/>
    </w:tblGrid>
    <w:tr w:rsidR="00CE6C41" w14:paraId="15C33E2D" w14:textId="77777777">
      <w:trPr>
        <w:trHeight w:val="241"/>
      </w:trPr>
      <w:tc>
        <w:tcPr>
          <w:tcW w:w="5240" w:type="dxa"/>
        </w:tcPr>
        <w:p w14:paraId="53ED406D" w14:textId="77777777" w:rsidR="00CE6C41" w:rsidRDefault="00626B7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08" w:type="dxa"/>
        </w:tcPr>
        <w:p w14:paraId="4FCD65B2" w14:textId="77777777" w:rsidR="00CE6C41" w:rsidRDefault="00626B7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02494/INFOEM/IP/RR/2022</w:t>
          </w:r>
        </w:p>
      </w:tc>
    </w:tr>
    <w:tr w:rsidR="00CE6C41" w14:paraId="3734FB51" w14:textId="77777777">
      <w:trPr>
        <w:trHeight w:val="207"/>
      </w:trPr>
      <w:tc>
        <w:tcPr>
          <w:tcW w:w="5240" w:type="dxa"/>
        </w:tcPr>
        <w:p w14:paraId="7E34F606" w14:textId="77777777" w:rsidR="00CE6C41" w:rsidRDefault="00626B7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08" w:type="dxa"/>
        </w:tcPr>
        <w:p w14:paraId="50CF2E6D" w14:textId="77777777" w:rsidR="00CE6C41" w:rsidRDefault="00CE6C41">
          <w:pPr>
            <w:spacing w:after="120"/>
            <w:ind w:left="-486" w:right="214" w:firstLine="567"/>
            <w:jc w:val="right"/>
            <w:rPr>
              <w:rFonts w:ascii="Palatino Linotype" w:eastAsia="Palatino Linotype" w:hAnsi="Palatino Linotype" w:cs="Palatino Linotype"/>
              <w:sz w:val="24"/>
              <w:szCs w:val="24"/>
            </w:rPr>
          </w:pPr>
        </w:p>
      </w:tc>
    </w:tr>
    <w:tr w:rsidR="00CE6C41" w14:paraId="5BD0B1FE" w14:textId="77777777">
      <w:trPr>
        <w:trHeight w:val="258"/>
      </w:trPr>
      <w:tc>
        <w:tcPr>
          <w:tcW w:w="5240" w:type="dxa"/>
        </w:tcPr>
        <w:p w14:paraId="069A259A" w14:textId="77777777" w:rsidR="00CE6C41" w:rsidRDefault="00626B7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08" w:type="dxa"/>
        </w:tcPr>
        <w:p w14:paraId="62A129E2" w14:textId="77777777" w:rsidR="00CE6C41" w:rsidRDefault="00626B72">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Tequixquiac.</w:t>
          </w:r>
        </w:p>
      </w:tc>
    </w:tr>
    <w:tr w:rsidR="00CE6C41" w14:paraId="61439D6F" w14:textId="77777777">
      <w:trPr>
        <w:trHeight w:val="365"/>
      </w:trPr>
      <w:tc>
        <w:tcPr>
          <w:tcW w:w="5240" w:type="dxa"/>
        </w:tcPr>
        <w:p w14:paraId="704956E1" w14:textId="77777777" w:rsidR="00CE6C41" w:rsidRDefault="00626B7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08" w:type="dxa"/>
        </w:tcPr>
        <w:p w14:paraId="4896EE5F" w14:textId="77777777" w:rsidR="00CE6C41" w:rsidRDefault="00626B7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9FB8CE1" w14:textId="77777777" w:rsidR="00CE6C41" w:rsidRDefault="00626B7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45EE5D6" wp14:editId="07A4292C">
          <wp:simplePos x="0" y="0"/>
          <wp:positionH relativeFrom="column">
            <wp:posOffset>-1122044</wp:posOffset>
          </wp:positionH>
          <wp:positionV relativeFrom="paragraph">
            <wp:posOffset>-1588134</wp:posOffset>
          </wp:positionV>
          <wp:extent cx="7858125" cy="1016571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2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210D"/>
    <w:multiLevelType w:val="multilevel"/>
    <w:tmpl w:val="2FAC65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C41"/>
    <w:rsid w:val="0020233C"/>
    <w:rsid w:val="00360BF7"/>
    <w:rsid w:val="00363B52"/>
    <w:rsid w:val="00626B72"/>
    <w:rsid w:val="006865A8"/>
    <w:rsid w:val="00B710F4"/>
    <w:rsid w:val="00CE6C41"/>
    <w:rsid w:val="00FB21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9FCBF"/>
  <w15:docId w15:val="{79D696E4-411A-4D72-92F3-C26DDA8C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E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245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45E1"/>
  </w:style>
  <w:style w:type="paragraph" w:styleId="Piedepgina">
    <w:name w:val="footer"/>
    <w:basedOn w:val="Normal"/>
    <w:link w:val="PiedepginaCar"/>
    <w:uiPriority w:val="99"/>
    <w:unhideWhenUsed/>
    <w:rsid w:val="003245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45E1"/>
  </w:style>
  <w:style w:type="paragraph" w:styleId="Prrafodelista">
    <w:name w:val="List Paragraph"/>
    <w:basedOn w:val="Normal"/>
    <w:uiPriority w:val="34"/>
    <w:qFormat/>
    <w:rsid w:val="003245E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4RbLoYcbD12dBhPhax5ugkQ5pQ==">AMUW2mVQkNDhsw+BTMBs/wYHT/GXb/XefnPvlJZdD0tTqPQAij4Ezfp0x+8CXaXEDQic1GoCH3H8jYua9WTcFtdnoOUe5bEjJwVxf0g1BZ+kTeYZBakTX0tcCmt3PwfguRQKajupEAVV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4827</Words>
  <Characters>26552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 425</cp:lastModifiedBy>
  <cp:revision>4</cp:revision>
  <cp:lastPrinted>2022-05-30T05:57:00Z</cp:lastPrinted>
  <dcterms:created xsi:type="dcterms:W3CDTF">2022-05-20T00:21:00Z</dcterms:created>
  <dcterms:modified xsi:type="dcterms:W3CDTF">2022-05-30T05:57:00Z</dcterms:modified>
</cp:coreProperties>
</file>