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92C680" w14:textId="00B127E4" w:rsidR="00AC3C64" w:rsidRPr="00386744" w:rsidRDefault="00AC3C64" w:rsidP="00AC3C64">
      <w:pPr>
        <w:spacing w:before="240" w:after="240" w:line="360" w:lineRule="auto"/>
        <w:jc w:val="both"/>
        <w:rPr>
          <w:rFonts w:ascii="Palatino Linotype" w:hAnsi="Palatino Linotype" w:cs="Arial"/>
        </w:rPr>
      </w:pPr>
      <w:r w:rsidRPr="00386744">
        <w:rPr>
          <w:rFonts w:ascii="Palatino Linotype" w:hAnsi="Palatino Linotype"/>
        </w:rPr>
        <w:t xml:space="preserve">Resolución del Pleno del Instituto de Transparencia, Acceso a la Información Pública y Protección de Datos Personales del Estado de México y Municipios, </w:t>
      </w:r>
      <w:r w:rsidRPr="00386744">
        <w:rPr>
          <w:rFonts w:ascii="Palatino Linotype" w:eastAsia="Calibri" w:hAnsi="Palatino Linotype" w:cs="Arial"/>
        </w:rPr>
        <w:t>con domicilio en Metepec, Estado de México,</w:t>
      </w:r>
      <w:r w:rsidRPr="00386744">
        <w:rPr>
          <w:rFonts w:ascii="Palatino Linotype" w:hAnsi="Palatino Linotype"/>
        </w:rPr>
        <w:t xml:space="preserve"> de fecha</w:t>
      </w:r>
      <w:r w:rsidR="00931DE7" w:rsidRPr="00386744">
        <w:rPr>
          <w:rStyle w:val="apple-converted-space"/>
          <w:rFonts w:ascii="Palatino Linotype" w:hAnsi="Palatino Linotype" w:cs="Arial"/>
        </w:rPr>
        <w:t xml:space="preserve"> </w:t>
      </w:r>
      <w:r w:rsidR="002879B9" w:rsidRPr="00386744">
        <w:rPr>
          <w:rStyle w:val="apple-converted-space"/>
          <w:rFonts w:ascii="Palatino Linotype" w:hAnsi="Palatino Linotype" w:cs="Arial"/>
        </w:rPr>
        <w:t xml:space="preserve">once </w:t>
      </w:r>
      <w:r w:rsidR="0028232C" w:rsidRPr="00386744">
        <w:rPr>
          <w:rStyle w:val="apple-converted-space"/>
          <w:rFonts w:ascii="Palatino Linotype" w:hAnsi="Palatino Linotype" w:cs="Arial"/>
        </w:rPr>
        <w:t xml:space="preserve">de </w:t>
      </w:r>
      <w:r w:rsidR="00B91635" w:rsidRPr="00386744">
        <w:rPr>
          <w:rStyle w:val="apple-converted-space"/>
          <w:rFonts w:ascii="Palatino Linotype" w:hAnsi="Palatino Linotype" w:cs="Arial"/>
        </w:rPr>
        <w:t>mayo</w:t>
      </w:r>
      <w:r w:rsidR="003823C8" w:rsidRPr="00386744">
        <w:rPr>
          <w:rStyle w:val="apple-converted-space"/>
          <w:rFonts w:ascii="Palatino Linotype" w:hAnsi="Palatino Linotype" w:cs="Arial"/>
        </w:rPr>
        <w:t xml:space="preserve"> </w:t>
      </w:r>
      <w:r w:rsidR="00521972" w:rsidRPr="00386744">
        <w:rPr>
          <w:rStyle w:val="normaltextrun"/>
          <w:rFonts w:ascii="Palatino Linotype" w:hAnsi="Palatino Linotype" w:cs="Arial"/>
        </w:rPr>
        <w:t>de</w:t>
      </w:r>
      <w:r w:rsidR="00B524F4" w:rsidRPr="00386744">
        <w:rPr>
          <w:rStyle w:val="normaltextrun"/>
          <w:rFonts w:ascii="Palatino Linotype" w:hAnsi="Palatino Linotype" w:cs="Arial"/>
        </w:rPr>
        <w:t>l dos mil veintidós</w:t>
      </w:r>
      <w:r w:rsidRPr="00386744">
        <w:rPr>
          <w:rStyle w:val="normaltextrun"/>
          <w:rFonts w:ascii="Palatino Linotype" w:hAnsi="Palatino Linotype" w:cs="Arial"/>
        </w:rPr>
        <w:t>.</w:t>
      </w:r>
      <w:r w:rsidR="00FA6E88" w:rsidRPr="00386744">
        <w:rPr>
          <w:rStyle w:val="normaltextrun"/>
          <w:rFonts w:ascii="Palatino Linotype" w:hAnsi="Palatino Linotype" w:cs="Arial"/>
        </w:rPr>
        <w:t xml:space="preserve"> </w:t>
      </w:r>
    </w:p>
    <w:p w14:paraId="29D5EE06" w14:textId="06F8B62F" w:rsidR="00AC3C64" w:rsidRPr="00386744" w:rsidRDefault="00AC3C64" w:rsidP="00AC3C64">
      <w:pPr>
        <w:spacing w:before="240" w:after="240" w:line="360" w:lineRule="auto"/>
        <w:jc w:val="both"/>
        <w:rPr>
          <w:rFonts w:ascii="Palatino Linotype" w:hAnsi="Palatino Linotype" w:cs="Arial"/>
        </w:rPr>
      </w:pPr>
      <w:r w:rsidRPr="00386744">
        <w:rPr>
          <w:rFonts w:ascii="Palatino Linotype" w:hAnsi="Palatino Linotype" w:cs="Arial"/>
          <w:b/>
        </w:rPr>
        <w:t>Visto</w:t>
      </w:r>
      <w:r w:rsidRPr="00386744">
        <w:rPr>
          <w:rFonts w:ascii="Palatino Linotype" w:hAnsi="Palatino Linotype" w:cs="Arial"/>
        </w:rPr>
        <w:t xml:space="preserve"> el expediente relativo al recurso de revisión </w:t>
      </w:r>
      <w:r w:rsidR="002A08A1" w:rsidRPr="00386744">
        <w:rPr>
          <w:rFonts w:ascii="Palatino Linotype" w:hAnsi="Palatino Linotype" w:cs="Arial"/>
          <w:b/>
          <w:bCs/>
        </w:rPr>
        <w:t>00</w:t>
      </w:r>
      <w:r w:rsidR="00B91635" w:rsidRPr="00386744">
        <w:rPr>
          <w:rFonts w:ascii="Palatino Linotype" w:hAnsi="Palatino Linotype" w:cs="Arial"/>
          <w:b/>
          <w:bCs/>
        </w:rPr>
        <w:t>999</w:t>
      </w:r>
      <w:r w:rsidR="002A08A1" w:rsidRPr="00386744">
        <w:rPr>
          <w:rFonts w:ascii="Palatino Linotype" w:hAnsi="Palatino Linotype" w:cs="Arial"/>
          <w:b/>
          <w:bCs/>
        </w:rPr>
        <w:t>/INFOEM/IP/RR/2022</w:t>
      </w:r>
      <w:r w:rsidRPr="00386744">
        <w:rPr>
          <w:rFonts w:ascii="Palatino Linotype" w:hAnsi="Palatino Linotype" w:cs="Arial"/>
        </w:rPr>
        <w:t>, interpuesto por</w:t>
      </w:r>
      <w:r w:rsidR="00B91635" w:rsidRPr="00386744">
        <w:rPr>
          <w:rFonts w:ascii="Palatino Linotype" w:eastAsia="Palatino Linotype" w:hAnsi="Palatino Linotype" w:cs="Palatino Linotype"/>
          <w:b/>
        </w:rPr>
        <w:t xml:space="preserve"> </w:t>
      </w:r>
      <w:r w:rsidR="00EF7D27" w:rsidRPr="00EF7D27">
        <w:rPr>
          <w:rFonts w:ascii="Palatino Linotype" w:eastAsia="Palatino Linotype" w:hAnsi="Palatino Linotype" w:cs="Palatino Linotype"/>
          <w:b/>
        </w:rPr>
        <w:t>Xxxxxx Xxxxxx Xxxxxxx</w:t>
      </w:r>
      <w:r w:rsidR="003B7497" w:rsidRPr="00386744">
        <w:rPr>
          <w:rFonts w:ascii="Palatino Linotype" w:eastAsia="Palatino Linotype" w:hAnsi="Palatino Linotype" w:cs="Palatino Linotype"/>
        </w:rPr>
        <w:t xml:space="preserve">, en lo sucesivo </w:t>
      </w:r>
      <w:r w:rsidR="00B91635" w:rsidRPr="00386744">
        <w:rPr>
          <w:rFonts w:ascii="Palatino Linotype" w:eastAsia="Palatino Linotype" w:hAnsi="Palatino Linotype" w:cs="Palatino Linotype"/>
        </w:rPr>
        <w:t xml:space="preserve">la parte </w:t>
      </w:r>
      <w:r w:rsidR="003B7497" w:rsidRPr="00386744">
        <w:rPr>
          <w:rFonts w:ascii="Palatino Linotype" w:eastAsia="Palatino Linotype" w:hAnsi="Palatino Linotype" w:cs="Palatino Linotype"/>
          <w:b/>
        </w:rPr>
        <w:t>R</w:t>
      </w:r>
      <w:r w:rsidR="00B91635" w:rsidRPr="00386744">
        <w:rPr>
          <w:rFonts w:ascii="Palatino Linotype" w:eastAsia="Palatino Linotype" w:hAnsi="Palatino Linotype" w:cs="Palatino Linotype"/>
          <w:b/>
        </w:rPr>
        <w:t>ecurrente</w:t>
      </w:r>
      <w:r w:rsidR="003B7497" w:rsidRPr="00386744">
        <w:rPr>
          <w:rFonts w:ascii="Palatino Linotype" w:hAnsi="Palatino Linotype" w:cs="Arial"/>
        </w:rPr>
        <w:t xml:space="preserve">, </w:t>
      </w:r>
      <w:r w:rsidRPr="00386744">
        <w:rPr>
          <w:rFonts w:ascii="Palatino Linotype" w:hAnsi="Palatino Linotype" w:cs="Arial"/>
        </w:rPr>
        <w:t xml:space="preserve">en contra de la respuesta a su solicitud de información con número de folio </w:t>
      </w:r>
      <w:r w:rsidR="00B91635" w:rsidRPr="00386744">
        <w:rPr>
          <w:rFonts w:ascii="Palatino Linotype" w:eastAsia="Palatino Linotype" w:hAnsi="Palatino Linotype" w:cs="Palatino Linotype"/>
          <w:b/>
        </w:rPr>
        <w:t>00029/MORELOS/IP/2022</w:t>
      </w:r>
      <w:r w:rsidRPr="00386744">
        <w:rPr>
          <w:rFonts w:ascii="Palatino Linotype" w:hAnsi="Palatino Linotype" w:cs="Arial"/>
        </w:rPr>
        <w:t>, por parte del</w:t>
      </w:r>
      <w:r w:rsidR="006A3CB6" w:rsidRPr="00386744">
        <w:rPr>
          <w:rFonts w:ascii="Palatino Linotype" w:hAnsi="Palatino Linotype" w:cs="Arial"/>
        </w:rPr>
        <w:t xml:space="preserve"> </w:t>
      </w:r>
      <w:r w:rsidR="0055042A" w:rsidRPr="00386744">
        <w:rPr>
          <w:rFonts w:ascii="Palatino Linotype" w:hAnsi="Palatino Linotype" w:cs="Arial"/>
          <w:b/>
        </w:rPr>
        <w:t>Ayuntamiento de</w:t>
      </w:r>
      <w:r w:rsidR="00B91635" w:rsidRPr="00386744">
        <w:rPr>
          <w:rFonts w:ascii="Palatino Linotype" w:hAnsi="Palatino Linotype" w:cs="Arial"/>
          <w:b/>
        </w:rPr>
        <w:t xml:space="preserve"> Morelos</w:t>
      </w:r>
      <w:r w:rsidR="00520A87" w:rsidRPr="00386744">
        <w:rPr>
          <w:rFonts w:ascii="Palatino Linotype" w:hAnsi="Palatino Linotype" w:cs="Arial"/>
          <w:b/>
        </w:rPr>
        <w:t>,</w:t>
      </w:r>
      <w:r w:rsidRPr="00386744">
        <w:rPr>
          <w:rFonts w:ascii="Palatino Linotype" w:hAnsi="Palatino Linotype" w:cs="Arial"/>
        </w:rPr>
        <w:t xml:space="preserve"> en lo sucesivo el </w:t>
      </w:r>
      <w:r w:rsidR="00B524F4" w:rsidRPr="00386744">
        <w:rPr>
          <w:rFonts w:ascii="Palatino Linotype" w:hAnsi="Palatino Linotype" w:cs="Arial"/>
          <w:b/>
        </w:rPr>
        <w:t>S</w:t>
      </w:r>
      <w:r w:rsidR="00B91635" w:rsidRPr="00386744">
        <w:rPr>
          <w:rFonts w:ascii="Palatino Linotype" w:hAnsi="Palatino Linotype" w:cs="Arial"/>
          <w:b/>
        </w:rPr>
        <w:t>ujeto Obligado;</w:t>
      </w:r>
      <w:r w:rsidRPr="00386744">
        <w:rPr>
          <w:rFonts w:ascii="Palatino Linotype" w:hAnsi="Palatino Linotype" w:cs="Arial"/>
          <w:b/>
        </w:rPr>
        <w:t xml:space="preserve"> </w:t>
      </w:r>
      <w:r w:rsidRPr="00386744">
        <w:rPr>
          <w:rFonts w:ascii="Palatino Linotype" w:hAnsi="Palatino Linotype" w:cs="Arial"/>
        </w:rPr>
        <w:t>se procede a dictar la presente resolución, con base en los siguientes:</w:t>
      </w:r>
      <w:bookmarkStart w:id="0" w:name="_GoBack"/>
      <w:bookmarkEnd w:id="0"/>
    </w:p>
    <w:p w14:paraId="0F1927A3" w14:textId="7630E145" w:rsidR="00AC3C64" w:rsidRPr="00386744" w:rsidRDefault="00B91635" w:rsidP="00B91635">
      <w:pPr>
        <w:spacing w:before="240" w:after="240" w:line="360" w:lineRule="auto"/>
        <w:contextualSpacing/>
        <w:jc w:val="center"/>
        <w:rPr>
          <w:rFonts w:ascii="Palatino Linotype" w:hAnsi="Palatino Linotype" w:cs="Arial"/>
          <w:b/>
        </w:rPr>
      </w:pPr>
      <w:r w:rsidRPr="00386744">
        <w:rPr>
          <w:rFonts w:ascii="Palatino Linotype" w:hAnsi="Palatino Linotype" w:cs="Arial"/>
          <w:b/>
        </w:rPr>
        <w:t xml:space="preserve">I. </w:t>
      </w:r>
      <w:r w:rsidR="00075746" w:rsidRPr="00386744">
        <w:rPr>
          <w:rFonts w:ascii="Palatino Linotype" w:hAnsi="Palatino Linotype" w:cs="Arial"/>
          <w:b/>
        </w:rPr>
        <w:t>A N T E C E D E N T E S:</w:t>
      </w:r>
    </w:p>
    <w:p w14:paraId="53124851" w14:textId="63462C12" w:rsidR="00AC3C64" w:rsidRPr="00386744" w:rsidRDefault="00AC3C64" w:rsidP="00AC3C64">
      <w:pPr>
        <w:spacing w:before="240" w:after="240" w:line="360" w:lineRule="auto"/>
        <w:jc w:val="both"/>
        <w:rPr>
          <w:rFonts w:ascii="Palatino Linotype" w:hAnsi="Palatino Linotype" w:cs="Arial"/>
          <w:b/>
        </w:rPr>
      </w:pPr>
      <w:r w:rsidRPr="00386744">
        <w:rPr>
          <w:rFonts w:ascii="Palatino Linotype" w:hAnsi="Palatino Linotype" w:cs="Arial"/>
          <w:b/>
        </w:rPr>
        <w:t xml:space="preserve">1. Solicitud de acceso a la información. </w:t>
      </w:r>
      <w:r w:rsidRPr="00386744">
        <w:rPr>
          <w:rFonts w:ascii="Palatino Linotype" w:hAnsi="Palatino Linotype" w:cs="Arial"/>
        </w:rPr>
        <w:t xml:space="preserve">Con fecha </w:t>
      </w:r>
      <w:r w:rsidR="00B91635" w:rsidRPr="00386744">
        <w:rPr>
          <w:rFonts w:ascii="Palatino Linotype" w:hAnsi="Palatino Linotype" w:cs="Arial"/>
          <w:b/>
          <w:bCs/>
        </w:rPr>
        <w:t>veintisiete</w:t>
      </w:r>
      <w:r w:rsidRPr="00386744">
        <w:rPr>
          <w:rFonts w:ascii="Palatino Linotype" w:hAnsi="Palatino Linotype" w:cs="Arial"/>
          <w:b/>
          <w:bCs/>
        </w:rPr>
        <w:t xml:space="preserve"> de </w:t>
      </w:r>
      <w:r w:rsidR="002A08A1" w:rsidRPr="00386744">
        <w:rPr>
          <w:rFonts w:ascii="Palatino Linotype" w:hAnsi="Palatino Linotype" w:cs="Arial"/>
          <w:b/>
          <w:bCs/>
        </w:rPr>
        <w:t>enero</w:t>
      </w:r>
      <w:r w:rsidRPr="00386744">
        <w:rPr>
          <w:rFonts w:ascii="Palatino Linotype" w:hAnsi="Palatino Linotype" w:cs="Arial"/>
          <w:b/>
          <w:bCs/>
        </w:rPr>
        <w:t xml:space="preserve"> de</w:t>
      </w:r>
      <w:r w:rsidR="006A3CB6" w:rsidRPr="00386744">
        <w:rPr>
          <w:rFonts w:ascii="Palatino Linotype" w:hAnsi="Palatino Linotype" w:cs="Arial"/>
          <w:b/>
          <w:bCs/>
        </w:rPr>
        <w:t>l</w:t>
      </w:r>
      <w:r w:rsidRPr="00386744">
        <w:rPr>
          <w:rFonts w:ascii="Palatino Linotype" w:hAnsi="Palatino Linotype" w:cs="Arial"/>
          <w:b/>
          <w:bCs/>
        </w:rPr>
        <w:t xml:space="preserve"> dos mil </w:t>
      </w:r>
      <w:r w:rsidR="002A08A1" w:rsidRPr="00386744">
        <w:rPr>
          <w:rFonts w:ascii="Palatino Linotype" w:hAnsi="Palatino Linotype" w:cs="Arial"/>
          <w:b/>
          <w:bCs/>
        </w:rPr>
        <w:t>veintidós</w:t>
      </w:r>
      <w:r w:rsidRPr="00386744">
        <w:rPr>
          <w:rFonts w:ascii="Palatino Linotype" w:hAnsi="Palatino Linotype" w:cs="Arial"/>
        </w:rPr>
        <w:t xml:space="preserve">, la parte </w:t>
      </w:r>
      <w:r w:rsidR="007263A5" w:rsidRPr="00386744">
        <w:rPr>
          <w:rFonts w:ascii="Palatino Linotype" w:hAnsi="Palatino Linotype" w:cs="Arial"/>
          <w:b/>
        </w:rPr>
        <w:t>R</w:t>
      </w:r>
      <w:r w:rsidR="00B91635" w:rsidRPr="00386744">
        <w:rPr>
          <w:rFonts w:ascii="Palatino Linotype" w:hAnsi="Palatino Linotype" w:cs="Arial"/>
          <w:b/>
        </w:rPr>
        <w:t>ecurrente</w:t>
      </w:r>
      <w:r w:rsidRPr="00386744">
        <w:rPr>
          <w:rFonts w:ascii="Palatino Linotype" w:hAnsi="Palatino Linotype" w:cs="Arial"/>
        </w:rPr>
        <w:t xml:space="preserve"> formuló solicitud de acceso a información pública al </w:t>
      </w:r>
      <w:r w:rsidR="00B91635" w:rsidRPr="00386744">
        <w:rPr>
          <w:rFonts w:ascii="Palatino Linotype" w:hAnsi="Palatino Linotype" w:cs="Arial"/>
          <w:b/>
        </w:rPr>
        <w:t>Sujeto Obligado</w:t>
      </w:r>
      <w:r w:rsidR="00B91635" w:rsidRPr="00386744">
        <w:rPr>
          <w:rFonts w:ascii="Palatino Linotype" w:hAnsi="Palatino Linotype" w:cs="Arial"/>
        </w:rPr>
        <w:t xml:space="preserve"> </w:t>
      </w:r>
      <w:r w:rsidRPr="00386744">
        <w:rPr>
          <w:rFonts w:ascii="Palatino Linotype" w:hAnsi="Palatino Linotype" w:cs="Arial"/>
        </w:rPr>
        <w:t xml:space="preserve">a través del Sistema de Acceso a la Información Mexiquense, en adelante </w:t>
      </w:r>
      <w:r w:rsidRPr="00386744">
        <w:rPr>
          <w:rFonts w:ascii="Palatino Linotype" w:hAnsi="Palatino Linotype" w:cs="Arial"/>
          <w:b/>
        </w:rPr>
        <w:t>SAIMEX</w:t>
      </w:r>
      <w:r w:rsidR="005A3389" w:rsidRPr="00386744">
        <w:rPr>
          <w:rFonts w:ascii="Palatino Linotype" w:hAnsi="Palatino Linotype" w:cs="Arial"/>
          <w:b/>
        </w:rPr>
        <w:t>,</w:t>
      </w:r>
      <w:r w:rsidR="005A3389" w:rsidRPr="00386744">
        <w:rPr>
          <w:rFonts w:ascii="Palatino Linotype" w:hAnsi="Palatino Linotype" w:cs="Arial"/>
        </w:rPr>
        <w:t xml:space="preserve"> requiriéndole</w:t>
      </w:r>
      <w:r w:rsidRPr="00386744">
        <w:rPr>
          <w:rFonts w:ascii="Palatino Linotype" w:hAnsi="Palatino Linotype" w:cs="Arial"/>
        </w:rPr>
        <w:t xml:space="preserve"> lo siguiente:</w:t>
      </w:r>
    </w:p>
    <w:p w14:paraId="7F6D3CCA" w14:textId="7B7DBF06" w:rsidR="00AC3C64" w:rsidRPr="00386744" w:rsidRDefault="00C77F9C" w:rsidP="00520A87">
      <w:pPr>
        <w:spacing w:before="240" w:after="240"/>
        <w:ind w:left="851" w:right="900"/>
        <w:jc w:val="both"/>
        <w:rPr>
          <w:rFonts w:ascii="Palatino Linotype" w:hAnsi="Palatino Linotype"/>
          <w:i/>
          <w:sz w:val="22"/>
          <w:szCs w:val="22"/>
        </w:rPr>
      </w:pPr>
      <w:r w:rsidRPr="00386744">
        <w:rPr>
          <w:rFonts w:ascii="Palatino Linotype" w:hAnsi="Palatino Linotype"/>
          <w:i/>
          <w:sz w:val="22"/>
          <w:szCs w:val="22"/>
        </w:rPr>
        <w:t>“</w:t>
      </w:r>
      <w:r w:rsidR="004D74BF" w:rsidRPr="00386744">
        <w:rPr>
          <w:rFonts w:ascii="Palatino Linotype" w:hAnsi="Palatino Linotype"/>
          <w:i/>
          <w:sz w:val="22"/>
          <w:szCs w:val="22"/>
        </w:rPr>
        <w:t>quiero que se me proporcione lo siguiente: 1.- el numero total de elementos de seguridad pública con el que cuenta el ayuntamiento. 2.- cuantos de ellos tienen permiso de portquiero que se me proporcione lo siguiente: 1.- el numero total de elementos de seguridad pública con el que cuenta el ayuntamiento. 2.- cuantos de ellos tienen permiso de portación de arma de fuego. 3.- cuantos policías portan arma de fuego. 4.- cual es su jornada de trabajo de los policías. 5.- el nombre completo y salario quincenal de cada uno de ellos. 6.- los recibos de nómina de cada uno de ellosación de arma de fuego. 3.- cuantos policías portan arma de fuego. 4.- cual es su jornada de trabajo de los policías. 5.- el nombre completo y salario quincenal de cada uno de ellos. 6.- los recibos de nómina de cada uno de ellos</w:t>
      </w:r>
      <w:r w:rsidR="002A08A1" w:rsidRPr="00386744">
        <w:rPr>
          <w:rFonts w:ascii="Palatino Linotype" w:hAnsi="Palatino Linotype"/>
          <w:i/>
          <w:sz w:val="22"/>
          <w:szCs w:val="22"/>
        </w:rPr>
        <w:t>.</w:t>
      </w:r>
      <w:r w:rsidR="005A3389" w:rsidRPr="00386744">
        <w:rPr>
          <w:rFonts w:ascii="Palatino Linotype" w:hAnsi="Palatino Linotype"/>
          <w:i/>
          <w:sz w:val="22"/>
          <w:szCs w:val="22"/>
        </w:rPr>
        <w:t>”</w:t>
      </w:r>
      <w:r w:rsidR="00AC3C64" w:rsidRPr="00386744">
        <w:rPr>
          <w:rFonts w:ascii="Palatino Linotype" w:hAnsi="Palatino Linotype"/>
          <w:i/>
          <w:sz w:val="22"/>
          <w:szCs w:val="22"/>
        </w:rPr>
        <w:t xml:space="preserve"> (</w:t>
      </w:r>
      <w:r w:rsidR="005A3389" w:rsidRPr="00386744">
        <w:rPr>
          <w:rFonts w:ascii="Palatino Linotype" w:hAnsi="Palatino Linotype"/>
          <w:i/>
          <w:sz w:val="22"/>
          <w:szCs w:val="22"/>
        </w:rPr>
        <w:t>Sic</w:t>
      </w:r>
      <w:r w:rsidR="00AC3C64" w:rsidRPr="00386744">
        <w:rPr>
          <w:rFonts w:ascii="Palatino Linotype" w:hAnsi="Palatino Linotype"/>
          <w:i/>
          <w:sz w:val="22"/>
          <w:szCs w:val="22"/>
        </w:rPr>
        <w:t>)</w:t>
      </w:r>
    </w:p>
    <w:p w14:paraId="1CC20AC5" w14:textId="77777777" w:rsidR="00AC3C64" w:rsidRPr="00386744" w:rsidRDefault="008E70D5" w:rsidP="00AC3C64">
      <w:pPr>
        <w:spacing w:before="240" w:after="240" w:line="360" w:lineRule="auto"/>
        <w:jc w:val="both"/>
        <w:rPr>
          <w:rFonts w:ascii="Palatino Linotype" w:hAnsi="Palatino Linotype" w:cs="Arial"/>
        </w:rPr>
      </w:pPr>
      <w:r w:rsidRPr="00386744">
        <w:rPr>
          <w:rFonts w:ascii="Palatino Linotype" w:hAnsi="Palatino Linotype" w:cs="Arial"/>
          <w:b/>
        </w:rPr>
        <w:t>Modalidad elegida</w:t>
      </w:r>
      <w:r w:rsidR="00AC3C64" w:rsidRPr="00386744">
        <w:rPr>
          <w:rFonts w:ascii="Palatino Linotype" w:hAnsi="Palatino Linotype" w:cs="Arial"/>
          <w:b/>
        </w:rPr>
        <w:t xml:space="preserve"> para la entrega de la información: </w:t>
      </w:r>
      <w:r w:rsidR="00AC3C64" w:rsidRPr="00386744">
        <w:rPr>
          <w:rFonts w:ascii="Palatino Linotype" w:hAnsi="Palatino Linotype" w:cs="Arial"/>
        </w:rPr>
        <w:t xml:space="preserve">a través del </w:t>
      </w:r>
      <w:r w:rsidR="00AC3C64" w:rsidRPr="00386744">
        <w:rPr>
          <w:rFonts w:ascii="Palatino Linotype" w:hAnsi="Palatino Linotype" w:cs="Arial"/>
          <w:b/>
        </w:rPr>
        <w:t>SAIMEX</w:t>
      </w:r>
      <w:r w:rsidR="00AC3C64" w:rsidRPr="00386744">
        <w:rPr>
          <w:rFonts w:ascii="Palatino Linotype" w:hAnsi="Palatino Linotype" w:cs="Arial"/>
        </w:rPr>
        <w:t>.</w:t>
      </w:r>
    </w:p>
    <w:p w14:paraId="5B23E4EE" w14:textId="38945EB6" w:rsidR="00AC3C64" w:rsidRPr="00386744" w:rsidRDefault="00AC3C64" w:rsidP="00AC3C64">
      <w:pPr>
        <w:spacing w:before="240" w:after="240" w:line="360" w:lineRule="auto"/>
        <w:jc w:val="both"/>
        <w:rPr>
          <w:rFonts w:ascii="Palatino Linotype" w:hAnsi="Palatino Linotype" w:cs="Arial"/>
        </w:rPr>
      </w:pPr>
      <w:r w:rsidRPr="00386744">
        <w:rPr>
          <w:rFonts w:ascii="Palatino Linotype" w:hAnsi="Palatino Linotype" w:cs="Arial"/>
          <w:b/>
        </w:rPr>
        <w:lastRenderedPageBreak/>
        <w:t xml:space="preserve">2. Respuesta. </w:t>
      </w:r>
      <w:r w:rsidRPr="00386744">
        <w:rPr>
          <w:rFonts w:ascii="Palatino Linotype" w:hAnsi="Palatino Linotype" w:cs="Arial"/>
        </w:rPr>
        <w:t xml:space="preserve">Con fecha </w:t>
      </w:r>
      <w:r w:rsidR="00607D45" w:rsidRPr="00386744">
        <w:rPr>
          <w:rFonts w:ascii="Palatino Linotype" w:hAnsi="Palatino Linotype" w:cs="Arial"/>
          <w:b/>
          <w:bCs/>
        </w:rPr>
        <w:t>catorce</w:t>
      </w:r>
      <w:r w:rsidR="002A08A1" w:rsidRPr="00386744">
        <w:rPr>
          <w:rFonts w:ascii="Palatino Linotype" w:hAnsi="Palatino Linotype" w:cs="Arial"/>
          <w:b/>
          <w:bCs/>
        </w:rPr>
        <w:t xml:space="preserve"> de febrero</w:t>
      </w:r>
      <w:r w:rsidRPr="00386744">
        <w:rPr>
          <w:rFonts w:ascii="Palatino Linotype" w:hAnsi="Palatino Linotype" w:cs="Arial"/>
          <w:b/>
          <w:bCs/>
        </w:rPr>
        <w:t xml:space="preserve"> de dos </w:t>
      </w:r>
      <w:r w:rsidR="002A08A1" w:rsidRPr="00386744">
        <w:rPr>
          <w:rFonts w:ascii="Palatino Linotype" w:hAnsi="Palatino Linotype" w:cs="Arial"/>
          <w:b/>
          <w:bCs/>
        </w:rPr>
        <w:t>mil veintidós</w:t>
      </w:r>
      <w:r w:rsidRPr="00386744">
        <w:rPr>
          <w:rFonts w:ascii="Palatino Linotype" w:hAnsi="Palatino Linotype" w:cs="Arial"/>
        </w:rPr>
        <w:t xml:space="preserve"> el </w:t>
      </w:r>
      <w:r w:rsidR="00B524F4" w:rsidRPr="00386744">
        <w:rPr>
          <w:rFonts w:ascii="Palatino Linotype" w:hAnsi="Palatino Linotype" w:cs="Arial"/>
          <w:b/>
        </w:rPr>
        <w:t>S</w:t>
      </w:r>
      <w:r w:rsidR="00607D45" w:rsidRPr="00386744">
        <w:rPr>
          <w:rFonts w:ascii="Palatino Linotype" w:hAnsi="Palatino Linotype" w:cs="Arial"/>
          <w:b/>
        </w:rPr>
        <w:t>ujeto obligado</w:t>
      </w:r>
      <w:r w:rsidRPr="00386744">
        <w:rPr>
          <w:rFonts w:ascii="Palatino Linotype" w:hAnsi="Palatino Linotype" w:cs="Arial"/>
        </w:rPr>
        <w:t xml:space="preserve"> envió su respuesta a la solicitud de acceso a la información a través del SAIMEX, la cual versa como sigue:</w:t>
      </w:r>
    </w:p>
    <w:p w14:paraId="4F8A9C63" w14:textId="7369436F" w:rsidR="00AC3C64" w:rsidRPr="00386744" w:rsidRDefault="00AC3C64" w:rsidP="00607D45">
      <w:pPr>
        <w:spacing w:before="240" w:after="240"/>
        <w:ind w:left="851" w:right="902"/>
        <w:contextualSpacing/>
        <w:jc w:val="both"/>
        <w:rPr>
          <w:rFonts w:ascii="Palatino Linotype" w:hAnsi="Palatino Linotype"/>
          <w:i/>
          <w:sz w:val="22"/>
          <w:szCs w:val="22"/>
        </w:rPr>
      </w:pPr>
      <w:r w:rsidRPr="00386744">
        <w:rPr>
          <w:rFonts w:ascii="Palatino Linotype" w:hAnsi="Palatino Linotype"/>
          <w:i/>
          <w:sz w:val="22"/>
          <w:szCs w:val="22"/>
        </w:rPr>
        <w:t>“</w:t>
      </w:r>
      <w:r w:rsidR="00607D45" w:rsidRPr="00386744">
        <w:rPr>
          <w:rFonts w:ascii="Palatino Linotype" w:hAnsi="Palatino Linotype"/>
          <w:i/>
          <w:sz w:val="22"/>
          <w:szCs w:val="22"/>
        </w:rPr>
        <w:t>...le informo lo siguiente; 1.- A la fecha se cuenta con 46 elementos. 2.- Al momento 33 elementos tienen permiso de portación de arma de fuego y 6 están en proceso. 3.- 33 elementos. 4.- La jornada laboral es de 24 x 24. Del punto número 5 y 6 se le informa que de acuerdo a los Artículos 54 de la Ley de Seguridad Nacional, Artículo 27, 81 y 110 de la Ley General del Sistema Nacional de Seguridad Pública y Articulo 140 de la Ley de Transparencia y Acceso a la Información Publica del Estado de México y Municipios dicha información se considera de carácter confidencial y reservada...</w:t>
      </w:r>
      <w:r w:rsidRPr="00386744">
        <w:rPr>
          <w:rFonts w:ascii="Palatino Linotype" w:hAnsi="Palatino Linotype"/>
          <w:i/>
          <w:sz w:val="22"/>
          <w:szCs w:val="22"/>
        </w:rPr>
        <w:t>” (</w:t>
      </w:r>
      <w:r w:rsidR="00F33D43" w:rsidRPr="00386744">
        <w:rPr>
          <w:rFonts w:ascii="Palatino Linotype" w:hAnsi="Palatino Linotype"/>
          <w:i/>
          <w:sz w:val="22"/>
          <w:szCs w:val="22"/>
        </w:rPr>
        <w:t>S</w:t>
      </w:r>
      <w:r w:rsidRPr="00386744">
        <w:rPr>
          <w:rFonts w:ascii="Palatino Linotype" w:hAnsi="Palatino Linotype"/>
          <w:i/>
          <w:sz w:val="22"/>
          <w:szCs w:val="22"/>
        </w:rPr>
        <w:t>ic)</w:t>
      </w:r>
    </w:p>
    <w:p w14:paraId="139E51D7" w14:textId="77777777" w:rsidR="003823C8" w:rsidRPr="00386744" w:rsidRDefault="003823C8" w:rsidP="003823C8">
      <w:pPr>
        <w:spacing w:before="240" w:after="240"/>
        <w:ind w:left="851" w:right="902"/>
        <w:contextualSpacing/>
        <w:jc w:val="both"/>
        <w:rPr>
          <w:rFonts w:ascii="Palatino Linotype" w:hAnsi="Palatino Linotype" w:cs="Arial"/>
          <w:i/>
          <w:sz w:val="22"/>
          <w:szCs w:val="22"/>
        </w:rPr>
      </w:pPr>
    </w:p>
    <w:p w14:paraId="3BB670B5" w14:textId="69466E0E" w:rsidR="002A08A1" w:rsidRPr="00386744" w:rsidRDefault="00931DE7" w:rsidP="00AC3C64">
      <w:pPr>
        <w:spacing w:before="240" w:after="240" w:line="360" w:lineRule="auto"/>
        <w:jc w:val="both"/>
        <w:rPr>
          <w:rFonts w:ascii="Palatino Linotype" w:hAnsi="Palatino Linotype" w:cs="Arial"/>
        </w:rPr>
      </w:pPr>
      <w:r w:rsidRPr="00386744">
        <w:rPr>
          <w:rFonts w:ascii="Palatino Linotype" w:hAnsi="Palatino Linotype" w:cs="Arial"/>
        </w:rPr>
        <w:t xml:space="preserve">El </w:t>
      </w:r>
      <w:r w:rsidR="005E1B87" w:rsidRPr="00386744">
        <w:rPr>
          <w:rFonts w:ascii="Palatino Linotype" w:hAnsi="Palatino Linotype" w:cs="Arial"/>
        </w:rPr>
        <w:t>Sujeto Obligado,</w:t>
      </w:r>
      <w:r w:rsidRPr="00386744">
        <w:rPr>
          <w:rFonts w:ascii="Palatino Linotype" w:hAnsi="Palatino Linotype" w:cs="Arial"/>
        </w:rPr>
        <w:t xml:space="preserve"> </w:t>
      </w:r>
      <w:r w:rsidR="005E1B87" w:rsidRPr="00386744">
        <w:rPr>
          <w:rFonts w:ascii="Palatino Linotype" w:hAnsi="Palatino Linotype" w:cs="Arial"/>
        </w:rPr>
        <w:t>a</w:t>
      </w:r>
      <w:r w:rsidRPr="00386744">
        <w:rPr>
          <w:rFonts w:ascii="Palatino Linotype" w:hAnsi="Palatino Linotype" w:cs="Arial"/>
        </w:rPr>
        <w:t>djuntó</w:t>
      </w:r>
      <w:r w:rsidR="00C77F9C" w:rsidRPr="00386744">
        <w:rPr>
          <w:rFonts w:ascii="Palatino Linotype" w:hAnsi="Palatino Linotype" w:cs="Arial"/>
        </w:rPr>
        <w:t xml:space="preserve"> a su r</w:t>
      </w:r>
      <w:r w:rsidR="007263A5" w:rsidRPr="00386744">
        <w:rPr>
          <w:rFonts w:ascii="Palatino Linotype" w:hAnsi="Palatino Linotype" w:cs="Arial"/>
        </w:rPr>
        <w:t>espuesta</w:t>
      </w:r>
      <w:r w:rsidR="005E1B87" w:rsidRPr="00386744">
        <w:rPr>
          <w:rFonts w:ascii="Palatino Linotype" w:hAnsi="Palatino Linotype" w:cs="Arial"/>
        </w:rPr>
        <w:t xml:space="preserve"> el siguiente </w:t>
      </w:r>
      <w:r w:rsidR="00520A87" w:rsidRPr="00386744">
        <w:rPr>
          <w:rFonts w:ascii="Palatino Linotype" w:hAnsi="Palatino Linotype" w:cs="Arial"/>
        </w:rPr>
        <w:t>archivo</w:t>
      </w:r>
      <w:r w:rsidR="005E1B87" w:rsidRPr="00386744">
        <w:rPr>
          <w:rFonts w:ascii="Palatino Linotype" w:hAnsi="Palatino Linotype" w:cs="Arial"/>
        </w:rPr>
        <w:t>:</w:t>
      </w:r>
      <w:r w:rsidR="00520A87" w:rsidRPr="00386744">
        <w:rPr>
          <w:rFonts w:ascii="Palatino Linotype" w:hAnsi="Palatino Linotype" w:cs="Arial"/>
        </w:rPr>
        <w:t xml:space="preserve"> </w:t>
      </w:r>
    </w:p>
    <w:p w14:paraId="3B04149D" w14:textId="5CFAA3E3" w:rsidR="005E1B87" w:rsidRPr="00386744" w:rsidRDefault="005E1B87" w:rsidP="00AC3C64">
      <w:pPr>
        <w:spacing w:before="240" w:after="240" w:line="360" w:lineRule="auto"/>
        <w:jc w:val="both"/>
        <w:rPr>
          <w:rFonts w:ascii="Palatino Linotype" w:hAnsi="Palatino Linotype" w:cs="Arial"/>
        </w:rPr>
      </w:pPr>
      <w:r w:rsidRPr="00386744">
        <w:rPr>
          <w:rFonts w:ascii="Palatino Linotype" w:hAnsi="Palatino Linotype" w:cs="Arial"/>
          <w:i/>
          <w:iCs/>
        </w:rPr>
        <w:t xml:space="preserve">- </w:t>
      </w:r>
      <w:r w:rsidR="002A08A1" w:rsidRPr="00386744">
        <w:rPr>
          <w:rFonts w:ascii="Palatino Linotype" w:hAnsi="Palatino Linotype" w:cs="Arial"/>
          <w:i/>
          <w:iCs/>
        </w:rPr>
        <w:t>“</w:t>
      </w:r>
      <w:r w:rsidRPr="00386744">
        <w:rPr>
          <w:rFonts w:ascii="Palatino Linotype" w:hAnsi="Palatino Linotype"/>
          <w:i/>
          <w:iCs/>
        </w:rPr>
        <w:t>RESPUESTASOLICITUD029.pdf</w:t>
      </w:r>
      <w:r w:rsidR="002A08A1" w:rsidRPr="00386744">
        <w:rPr>
          <w:rFonts w:ascii="Palatino Linotype" w:hAnsi="Palatino Linotype" w:cs="Arial"/>
          <w:i/>
          <w:iCs/>
        </w:rPr>
        <w:t>”</w:t>
      </w:r>
      <w:r w:rsidRPr="00386744">
        <w:rPr>
          <w:rFonts w:ascii="Palatino Linotype" w:hAnsi="Palatino Linotype" w:cs="Arial"/>
          <w:i/>
          <w:iCs/>
        </w:rPr>
        <w:t xml:space="preserve">, </w:t>
      </w:r>
      <w:r w:rsidRPr="00386744">
        <w:rPr>
          <w:rFonts w:ascii="Palatino Linotype" w:hAnsi="Palatino Linotype" w:cs="Arial"/>
        </w:rPr>
        <w:t xml:space="preserve">que contiene el oficio número TRANSPARENCIA/090/II/2022, mediante el cual el Responsable de </w:t>
      </w:r>
      <w:r w:rsidR="00347675" w:rsidRPr="00386744">
        <w:rPr>
          <w:rFonts w:ascii="Palatino Linotype" w:hAnsi="Palatino Linotype" w:cs="Arial"/>
        </w:rPr>
        <w:t>Transparencia y Acceso a la información notifica la respuesta a la solicitud</w:t>
      </w:r>
      <w:r w:rsidR="00630246" w:rsidRPr="00386744">
        <w:rPr>
          <w:rFonts w:ascii="Palatino Linotype" w:hAnsi="Palatino Linotype" w:cs="Arial"/>
        </w:rPr>
        <w:t xml:space="preserve"> en los mismos términos vertidos en SAIMEX</w:t>
      </w:r>
      <w:r w:rsidR="00347675" w:rsidRPr="00386744">
        <w:rPr>
          <w:rFonts w:ascii="Palatino Linotype" w:hAnsi="Palatino Linotype" w:cs="Arial"/>
        </w:rPr>
        <w:t>.</w:t>
      </w:r>
    </w:p>
    <w:p w14:paraId="3A1D7088" w14:textId="083A3A01" w:rsidR="00AC3C64" w:rsidRPr="00386744" w:rsidRDefault="00931DE7" w:rsidP="00AC3C64">
      <w:pPr>
        <w:spacing w:before="240" w:after="240" w:line="360" w:lineRule="auto"/>
        <w:jc w:val="both"/>
        <w:rPr>
          <w:rFonts w:ascii="Palatino Linotype" w:hAnsi="Palatino Linotype" w:cs="Arial"/>
        </w:rPr>
      </w:pPr>
      <w:r w:rsidRPr="00386744">
        <w:rPr>
          <w:rFonts w:ascii="Palatino Linotype" w:hAnsi="Palatino Linotype" w:cs="Arial"/>
        </w:rPr>
        <w:t xml:space="preserve"> </w:t>
      </w:r>
      <w:r w:rsidR="00AC3C64" w:rsidRPr="00386744">
        <w:rPr>
          <w:rFonts w:ascii="Palatino Linotype" w:hAnsi="Palatino Linotype" w:cs="Arial"/>
          <w:b/>
        </w:rPr>
        <w:t xml:space="preserve">3. Interposición del recurso de revisión. </w:t>
      </w:r>
      <w:r w:rsidR="00AC3C64" w:rsidRPr="00386744">
        <w:rPr>
          <w:rFonts w:ascii="Palatino Linotype" w:hAnsi="Palatino Linotype" w:cs="Arial"/>
        </w:rPr>
        <w:t xml:space="preserve">Inconforme el solicitante con la respuesta del </w:t>
      </w:r>
      <w:r w:rsidR="00347675" w:rsidRPr="00386744">
        <w:rPr>
          <w:rFonts w:ascii="Palatino Linotype" w:hAnsi="Palatino Linotype" w:cs="Arial"/>
          <w:b/>
        </w:rPr>
        <w:t>Sujeto Obligado</w:t>
      </w:r>
      <w:r w:rsidR="00347675" w:rsidRPr="00386744">
        <w:rPr>
          <w:rFonts w:ascii="Palatino Linotype" w:hAnsi="Palatino Linotype" w:cs="Arial"/>
        </w:rPr>
        <w:t xml:space="preserve"> </w:t>
      </w:r>
      <w:r w:rsidR="00AC3C64" w:rsidRPr="00386744">
        <w:rPr>
          <w:rFonts w:ascii="Palatino Linotype" w:hAnsi="Palatino Linotype" w:cs="Arial"/>
        </w:rPr>
        <w:t xml:space="preserve">interpuso recurso de revisión a través del SAIMEX en fecha </w:t>
      </w:r>
      <w:r w:rsidR="00347675" w:rsidRPr="00386744">
        <w:rPr>
          <w:rFonts w:ascii="Palatino Linotype" w:hAnsi="Palatino Linotype" w:cs="Arial"/>
          <w:b/>
          <w:bCs/>
        </w:rPr>
        <w:t xml:space="preserve">dieciocho </w:t>
      </w:r>
      <w:r w:rsidR="00AC3C64" w:rsidRPr="00386744">
        <w:rPr>
          <w:rFonts w:ascii="Palatino Linotype" w:hAnsi="Palatino Linotype" w:cs="Arial"/>
          <w:b/>
          <w:bCs/>
        </w:rPr>
        <w:t xml:space="preserve">de </w:t>
      </w:r>
      <w:r w:rsidR="00033017" w:rsidRPr="00386744">
        <w:rPr>
          <w:rFonts w:ascii="Palatino Linotype" w:hAnsi="Palatino Linotype" w:cs="Arial"/>
          <w:b/>
          <w:bCs/>
        </w:rPr>
        <w:t>febrero</w:t>
      </w:r>
      <w:r w:rsidR="00AC3C64" w:rsidRPr="00386744">
        <w:rPr>
          <w:rFonts w:ascii="Palatino Linotype" w:hAnsi="Palatino Linotype" w:cs="Arial"/>
          <w:b/>
          <w:bCs/>
        </w:rPr>
        <w:t xml:space="preserve"> de dos mil </w:t>
      </w:r>
      <w:r w:rsidR="006A3CB6" w:rsidRPr="00386744">
        <w:rPr>
          <w:rFonts w:ascii="Palatino Linotype" w:hAnsi="Palatino Linotype" w:cs="Arial"/>
          <w:b/>
          <w:bCs/>
        </w:rPr>
        <w:t>veinti</w:t>
      </w:r>
      <w:r w:rsidR="00347675" w:rsidRPr="00386744">
        <w:rPr>
          <w:rFonts w:ascii="Palatino Linotype" w:hAnsi="Palatino Linotype" w:cs="Arial"/>
          <w:b/>
          <w:bCs/>
        </w:rPr>
        <w:t>dós</w:t>
      </w:r>
      <w:r w:rsidR="00AC3C64" w:rsidRPr="00386744">
        <w:rPr>
          <w:rFonts w:ascii="Palatino Linotype" w:hAnsi="Palatino Linotype" w:cs="Arial"/>
        </w:rPr>
        <w:t>, a través del cual expresó lo siguiente:</w:t>
      </w:r>
    </w:p>
    <w:p w14:paraId="1672EDDF" w14:textId="77777777" w:rsidR="00AC3C64" w:rsidRPr="00386744" w:rsidRDefault="00AC3C64" w:rsidP="00AC3C64">
      <w:pPr>
        <w:spacing w:line="360" w:lineRule="auto"/>
        <w:rPr>
          <w:rFonts w:ascii="Palatino Linotype" w:hAnsi="Palatino Linotype" w:cs="Arial"/>
          <w:b/>
        </w:rPr>
      </w:pPr>
      <w:r w:rsidRPr="00386744">
        <w:rPr>
          <w:rFonts w:ascii="Palatino Linotype" w:hAnsi="Palatino Linotype" w:cs="Arial"/>
          <w:b/>
        </w:rPr>
        <w:t>a) Acto impugnado.</w:t>
      </w:r>
    </w:p>
    <w:p w14:paraId="521C3D08" w14:textId="11F59E70" w:rsidR="00AC3C64" w:rsidRPr="00386744" w:rsidRDefault="00AC3C64" w:rsidP="00AC3C64">
      <w:pPr>
        <w:spacing w:after="240"/>
        <w:ind w:left="851" w:right="900"/>
        <w:jc w:val="both"/>
        <w:rPr>
          <w:rFonts w:ascii="Palatino Linotype" w:hAnsi="Palatino Linotype"/>
          <w:i/>
          <w:sz w:val="22"/>
          <w:szCs w:val="22"/>
        </w:rPr>
      </w:pPr>
      <w:r w:rsidRPr="00386744">
        <w:rPr>
          <w:rFonts w:ascii="Palatino Linotype" w:hAnsi="Palatino Linotype"/>
          <w:i/>
          <w:sz w:val="22"/>
          <w:szCs w:val="22"/>
        </w:rPr>
        <w:t>“</w:t>
      </w:r>
      <w:r w:rsidR="00347675" w:rsidRPr="00386744">
        <w:rPr>
          <w:rFonts w:ascii="Palatino Linotype" w:hAnsi="Palatino Linotype"/>
          <w:i/>
          <w:sz w:val="22"/>
          <w:szCs w:val="22"/>
        </w:rPr>
        <w:t>EL SUPUESTO DE QUE LA INFORMACIÓN ES DE CARACTER CONFIDENCIAL Y RESERVADO</w:t>
      </w:r>
      <w:r w:rsidRPr="00386744">
        <w:rPr>
          <w:rFonts w:ascii="Palatino Linotype" w:hAnsi="Palatino Linotype"/>
          <w:i/>
          <w:sz w:val="22"/>
          <w:szCs w:val="22"/>
        </w:rPr>
        <w:t>” (</w:t>
      </w:r>
      <w:r w:rsidR="00F33D43" w:rsidRPr="00386744">
        <w:rPr>
          <w:rFonts w:ascii="Palatino Linotype" w:hAnsi="Palatino Linotype"/>
          <w:i/>
          <w:sz w:val="22"/>
          <w:szCs w:val="22"/>
        </w:rPr>
        <w:t>Sic</w:t>
      </w:r>
      <w:r w:rsidRPr="00386744">
        <w:rPr>
          <w:rFonts w:ascii="Palatino Linotype" w:hAnsi="Palatino Linotype"/>
          <w:i/>
          <w:sz w:val="22"/>
          <w:szCs w:val="22"/>
        </w:rPr>
        <w:t>)</w:t>
      </w:r>
    </w:p>
    <w:p w14:paraId="205E3E84" w14:textId="77777777" w:rsidR="00AC3C64" w:rsidRPr="00386744" w:rsidRDefault="00AC3C64" w:rsidP="00AC3C64">
      <w:pPr>
        <w:spacing w:line="360" w:lineRule="auto"/>
        <w:jc w:val="both"/>
        <w:rPr>
          <w:rFonts w:ascii="Palatino Linotype" w:hAnsi="Palatino Linotype" w:cs="Arial"/>
          <w:b/>
        </w:rPr>
      </w:pPr>
      <w:r w:rsidRPr="00386744">
        <w:rPr>
          <w:rFonts w:ascii="Palatino Linotype" w:hAnsi="Palatino Linotype" w:cs="Arial"/>
          <w:b/>
        </w:rPr>
        <w:t>b) Motivos de inconformidad.</w:t>
      </w:r>
    </w:p>
    <w:p w14:paraId="5A9102ED" w14:textId="57899141" w:rsidR="00AC3C64" w:rsidRPr="00386744" w:rsidRDefault="00AC3C64" w:rsidP="00520A87">
      <w:pPr>
        <w:spacing w:after="240"/>
        <w:ind w:left="851" w:right="900"/>
        <w:jc w:val="both"/>
        <w:rPr>
          <w:rFonts w:ascii="Palatino Linotype" w:hAnsi="Palatino Linotype"/>
          <w:i/>
          <w:sz w:val="22"/>
          <w:szCs w:val="22"/>
        </w:rPr>
      </w:pPr>
      <w:r w:rsidRPr="00386744">
        <w:rPr>
          <w:rFonts w:ascii="Palatino Linotype" w:hAnsi="Palatino Linotype"/>
          <w:i/>
          <w:sz w:val="22"/>
          <w:szCs w:val="22"/>
        </w:rPr>
        <w:t>“</w:t>
      </w:r>
      <w:r w:rsidR="00347675" w:rsidRPr="00386744">
        <w:rPr>
          <w:rFonts w:ascii="Palatino Linotype" w:hAnsi="Palatino Linotype"/>
          <w:i/>
          <w:sz w:val="22"/>
          <w:szCs w:val="22"/>
        </w:rPr>
        <w:t xml:space="preserve">EN ATENCIÓN A LO ESTABLECIDO EN EL ARTICULO 141 QUE A LA LETRA DICE "Las causales de reserva previstas en este Capítulo se deberán fundar y motivar, a través de la aplicación de la prueba de daño a la que se hace referencia en el presente Título." POR LO CUAL IMPUGNO QUE NO SE ME </w:t>
      </w:r>
      <w:r w:rsidR="00347675" w:rsidRPr="00386744">
        <w:rPr>
          <w:rFonts w:ascii="Palatino Linotype" w:hAnsi="Palatino Linotype"/>
          <w:i/>
          <w:sz w:val="22"/>
          <w:szCs w:val="22"/>
        </w:rPr>
        <w:lastRenderedPageBreak/>
        <w:t>HA ENVIADO UN ARCHIVO CON EL ACTA DE CLASIFICACION DE LA INFORMACION Y MUCHO MENOS SE HA APLICADO LA PRUEBA DE DAÑO QUE SUSTENTE TAL COSA.</w:t>
      </w:r>
      <w:r w:rsidR="00520A87" w:rsidRPr="00386744">
        <w:rPr>
          <w:rFonts w:ascii="Palatino Linotype" w:hAnsi="Palatino Linotype"/>
          <w:i/>
          <w:sz w:val="22"/>
          <w:szCs w:val="22"/>
        </w:rPr>
        <w:t>” (</w:t>
      </w:r>
      <w:r w:rsidR="00F33D43" w:rsidRPr="00386744">
        <w:rPr>
          <w:rFonts w:ascii="Palatino Linotype" w:hAnsi="Palatino Linotype"/>
          <w:i/>
          <w:sz w:val="22"/>
          <w:szCs w:val="22"/>
        </w:rPr>
        <w:t>Sic</w:t>
      </w:r>
      <w:r w:rsidRPr="00386744">
        <w:rPr>
          <w:rFonts w:ascii="Palatino Linotype" w:hAnsi="Palatino Linotype"/>
          <w:i/>
          <w:sz w:val="22"/>
          <w:szCs w:val="22"/>
        </w:rPr>
        <w:t>)</w:t>
      </w:r>
    </w:p>
    <w:p w14:paraId="082A280D" w14:textId="53964487" w:rsidR="009A3844" w:rsidRPr="00386744" w:rsidRDefault="00AC3C64" w:rsidP="00351E9D">
      <w:pPr>
        <w:spacing w:before="240" w:after="240" w:line="360" w:lineRule="auto"/>
        <w:jc w:val="both"/>
        <w:rPr>
          <w:rFonts w:ascii="Palatino Linotype" w:eastAsia="Calibri" w:hAnsi="Palatino Linotype" w:cs="Arial"/>
        </w:rPr>
      </w:pPr>
      <w:r w:rsidRPr="00386744">
        <w:rPr>
          <w:rFonts w:ascii="Palatino Linotype" w:hAnsi="Palatino Linotype"/>
          <w:b/>
        </w:rPr>
        <w:t xml:space="preserve">4. Turno. </w:t>
      </w:r>
      <w:r w:rsidRPr="00386744">
        <w:rPr>
          <w:rFonts w:ascii="Palatino Linotype" w:hAnsi="Palatino Linotype"/>
        </w:rPr>
        <w:t xml:space="preserve">De conformidad con el artículo 185, fracción I de la </w:t>
      </w:r>
      <w:r w:rsidRPr="00386744">
        <w:rPr>
          <w:rFonts w:ascii="Palatino Linotype" w:hAnsi="Palatino Linotype" w:cs="Arial"/>
        </w:rPr>
        <w:t xml:space="preserve">Ley de Transparencia y Acceso a la Información Pública del Estado de México y Municipios, el recurso de revisión </w:t>
      </w:r>
      <w:r w:rsidR="009A3844" w:rsidRPr="00386744">
        <w:rPr>
          <w:rFonts w:ascii="Palatino Linotype" w:eastAsia="Calibri" w:hAnsi="Palatino Linotype" w:cs="Arial"/>
        </w:rPr>
        <w:t xml:space="preserve">se turnó por el sistema electrónico del Instituto de Transparencia, Acceso a la Información Pública y Protección de Datos Personales del Estado de México y Municipios, </w:t>
      </w:r>
      <w:r w:rsidR="00BB2163" w:rsidRPr="00386744">
        <w:rPr>
          <w:rFonts w:ascii="Palatino Linotype" w:hAnsi="Palatino Linotype" w:cs="Arial"/>
        </w:rPr>
        <w:t>a la</w:t>
      </w:r>
      <w:r w:rsidR="00BB2163" w:rsidRPr="00386744">
        <w:rPr>
          <w:rFonts w:ascii="Palatino Linotype" w:eastAsia="Calibri" w:hAnsi="Palatino Linotype" w:cs="Arial"/>
        </w:rPr>
        <w:t xml:space="preserve"> Comisionada</w:t>
      </w:r>
      <w:r w:rsidR="009A3844" w:rsidRPr="00386744">
        <w:rPr>
          <w:rFonts w:ascii="Palatino Linotype" w:eastAsia="Calibri" w:hAnsi="Palatino Linotype" w:cs="Arial"/>
        </w:rPr>
        <w:t xml:space="preserve"> </w:t>
      </w:r>
      <w:r w:rsidR="00BB2163" w:rsidRPr="00386744">
        <w:rPr>
          <w:rFonts w:ascii="Palatino Linotype" w:eastAsia="Calibri" w:hAnsi="Palatino Linotype" w:cs="Arial"/>
          <w:b/>
        </w:rPr>
        <w:t>Guadalupe Ramírez Peña</w:t>
      </w:r>
      <w:r w:rsidRPr="00386744">
        <w:rPr>
          <w:rFonts w:ascii="Palatino Linotype" w:hAnsi="Palatino Linotype"/>
        </w:rPr>
        <w:t xml:space="preserve">, </w:t>
      </w:r>
      <w:r w:rsidR="009A3844" w:rsidRPr="00386744">
        <w:rPr>
          <w:rFonts w:ascii="Palatino Linotype" w:hAnsi="Palatino Linotype" w:cs="Arial"/>
        </w:rPr>
        <w:t xml:space="preserve">para su análisis, estudio, elaboración del proyecto y </w:t>
      </w:r>
      <w:r w:rsidR="009A3844" w:rsidRPr="00386744">
        <w:rPr>
          <w:rFonts w:ascii="Palatino Linotype" w:eastAsia="Calibri" w:hAnsi="Palatino Linotype" w:cs="Arial"/>
        </w:rPr>
        <w:t>presentación ante el Pleno de este Instituto.</w:t>
      </w:r>
    </w:p>
    <w:p w14:paraId="7BC076CD" w14:textId="29AB17AA" w:rsidR="00AC3C64" w:rsidRPr="00386744" w:rsidRDefault="00AC3C64" w:rsidP="00351E9D">
      <w:pPr>
        <w:spacing w:before="240" w:after="240" w:line="360" w:lineRule="auto"/>
        <w:jc w:val="both"/>
        <w:rPr>
          <w:rFonts w:ascii="Palatino Linotype" w:hAnsi="Palatino Linotype" w:cs="Arial"/>
        </w:rPr>
      </w:pPr>
      <w:r w:rsidRPr="00386744">
        <w:rPr>
          <w:rFonts w:ascii="Palatino Linotype" w:hAnsi="Palatino Linotype" w:cs="Arial"/>
          <w:b/>
        </w:rPr>
        <w:t xml:space="preserve">5. Admisión del recurso de revisión: </w:t>
      </w:r>
      <w:r w:rsidRPr="00386744">
        <w:rPr>
          <w:rFonts w:ascii="Palatino Linotype" w:hAnsi="Palatino Linotype" w:cs="Arial"/>
        </w:rPr>
        <w:t xml:space="preserve">En fecha </w:t>
      </w:r>
      <w:r w:rsidR="00347675" w:rsidRPr="00386744">
        <w:rPr>
          <w:rFonts w:ascii="Palatino Linotype" w:hAnsi="Palatino Linotype" w:cs="Arial"/>
          <w:b/>
          <w:bCs/>
        </w:rPr>
        <w:t>veintitrés</w:t>
      </w:r>
      <w:r w:rsidRPr="00386744">
        <w:rPr>
          <w:rFonts w:ascii="Palatino Linotype" w:hAnsi="Palatino Linotype" w:cs="Arial"/>
          <w:b/>
          <w:bCs/>
        </w:rPr>
        <w:t xml:space="preserve"> </w:t>
      </w:r>
      <w:r w:rsidR="00B524F4" w:rsidRPr="00386744">
        <w:rPr>
          <w:rFonts w:ascii="Palatino Linotype" w:hAnsi="Palatino Linotype" w:cs="Arial"/>
          <w:b/>
          <w:bCs/>
        </w:rPr>
        <w:t xml:space="preserve">de </w:t>
      </w:r>
      <w:r w:rsidR="00033017" w:rsidRPr="00386744">
        <w:rPr>
          <w:rFonts w:ascii="Palatino Linotype" w:hAnsi="Palatino Linotype" w:cs="Arial"/>
          <w:b/>
          <w:bCs/>
        </w:rPr>
        <w:t>febrero</w:t>
      </w:r>
      <w:r w:rsidR="00520A87" w:rsidRPr="00386744">
        <w:rPr>
          <w:rFonts w:ascii="Palatino Linotype" w:hAnsi="Palatino Linotype" w:cs="Arial"/>
          <w:b/>
          <w:bCs/>
        </w:rPr>
        <w:t xml:space="preserve"> d</w:t>
      </w:r>
      <w:r w:rsidR="00033017" w:rsidRPr="00386744">
        <w:rPr>
          <w:rFonts w:ascii="Palatino Linotype" w:hAnsi="Palatino Linotype" w:cs="Arial"/>
          <w:b/>
          <w:bCs/>
        </w:rPr>
        <w:t>e dos mil veintidós</w:t>
      </w:r>
      <w:r w:rsidR="00BB2163" w:rsidRPr="00386744">
        <w:rPr>
          <w:rFonts w:ascii="Palatino Linotype" w:hAnsi="Palatino Linotype" w:cs="Arial"/>
          <w:b/>
          <w:bCs/>
        </w:rPr>
        <w:t>,</w:t>
      </w:r>
      <w:r w:rsidR="00BB2163" w:rsidRPr="00386744">
        <w:rPr>
          <w:rFonts w:ascii="Palatino Linotype" w:hAnsi="Palatino Linotype" w:cs="Arial"/>
        </w:rPr>
        <w:t xml:space="preserve"> la Comisionada</w:t>
      </w:r>
      <w:r w:rsidRPr="00386744">
        <w:rPr>
          <w:rFonts w:ascii="Palatino Linotype" w:hAnsi="Palatino Linotype" w:cs="Arial"/>
        </w:rPr>
        <w:t xml:space="preserve"> ponente, admitió a trámite el recurso de revisión que ahora se resuelve, dando un plazo máximo de siete días hábiles para que las partes manifestaran lo que a su derecho resultara conveniente, ofrecieran pruebas, formularan alegatos y el Sujeto Obligado presentara su informe justificado.</w:t>
      </w:r>
      <w:r w:rsidR="007A718C" w:rsidRPr="00386744">
        <w:rPr>
          <w:rFonts w:ascii="Palatino Linotype" w:hAnsi="Palatino Linotype" w:cs="Arial"/>
        </w:rPr>
        <w:t xml:space="preserve"> </w:t>
      </w:r>
    </w:p>
    <w:p w14:paraId="446935BA" w14:textId="178651E0" w:rsidR="00351E9D" w:rsidRPr="00386744" w:rsidRDefault="00757BAD" w:rsidP="00351E9D">
      <w:pPr>
        <w:spacing w:before="240" w:after="240" w:line="360" w:lineRule="auto"/>
        <w:jc w:val="both"/>
        <w:rPr>
          <w:rFonts w:ascii="Palatino Linotype" w:hAnsi="Palatino Linotype" w:cs="Arial"/>
        </w:rPr>
      </w:pPr>
      <w:r w:rsidRPr="00386744">
        <w:rPr>
          <w:rFonts w:ascii="Palatino Linotype" w:eastAsia="Palatino Linotype" w:hAnsi="Palatino Linotype" w:cs="Palatino Linotype"/>
          <w:b/>
        </w:rPr>
        <w:t>6. Manifestaciones</w:t>
      </w:r>
      <w:r w:rsidRPr="00386744">
        <w:rPr>
          <w:rFonts w:ascii="Palatino Linotype" w:eastAsia="Palatino Linotype" w:hAnsi="Palatino Linotype" w:cs="Palatino Linotype"/>
        </w:rPr>
        <w:t xml:space="preserve">: </w:t>
      </w:r>
      <w:r w:rsidR="00033017" w:rsidRPr="00386744">
        <w:rPr>
          <w:rFonts w:ascii="Palatino Linotype" w:hAnsi="Palatino Linotype" w:cs="Arial"/>
        </w:rPr>
        <w:t>De las constancias que integran el expediente</w:t>
      </w:r>
      <w:r w:rsidR="00351E9D" w:rsidRPr="00386744">
        <w:rPr>
          <w:rFonts w:ascii="Palatino Linotype" w:hAnsi="Palatino Linotype" w:cs="Arial"/>
        </w:rPr>
        <w:t xml:space="preserve"> electrónico</w:t>
      </w:r>
      <w:r w:rsidR="00033017" w:rsidRPr="00386744">
        <w:rPr>
          <w:rFonts w:ascii="Palatino Linotype" w:hAnsi="Palatino Linotype" w:cs="Arial"/>
        </w:rPr>
        <w:t xml:space="preserve"> en que se actúa se advierte que</w:t>
      </w:r>
      <w:r w:rsidR="005F2BFC" w:rsidRPr="00386744">
        <w:rPr>
          <w:rFonts w:ascii="Palatino Linotype" w:hAnsi="Palatino Linotype" w:cs="Arial"/>
        </w:rPr>
        <w:t xml:space="preserve">, en fecha </w:t>
      </w:r>
      <w:r w:rsidR="005F2BFC" w:rsidRPr="00386744">
        <w:rPr>
          <w:rFonts w:ascii="Palatino Linotype" w:hAnsi="Palatino Linotype" w:cs="Arial"/>
          <w:b/>
        </w:rPr>
        <w:t xml:space="preserve">tres de marzo de dos mil veintidós, </w:t>
      </w:r>
      <w:r w:rsidR="00351E9D" w:rsidRPr="00386744">
        <w:rPr>
          <w:rFonts w:ascii="Palatino Linotype" w:hAnsi="Palatino Linotype" w:cs="Arial"/>
        </w:rPr>
        <w:t>el</w:t>
      </w:r>
      <w:r w:rsidR="00033017" w:rsidRPr="00386744">
        <w:rPr>
          <w:rFonts w:ascii="Palatino Linotype" w:hAnsi="Palatino Linotype" w:cs="Arial"/>
        </w:rPr>
        <w:t xml:space="preserve"> </w:t>
      </w:r>
      <w:r w:rsidR="00351E9D" w:rsidRPr="00386744">
        <w:rPr>
          <w:rFonts w:ascii="Palatino Linotype" w:hAnsi="Palatino Linotype" w:cs="Arial"/>
          <w:b/>
        </w:rPr>
        <w:t>Sujeto Obligado</w:t>
      </w:r>
      <w:r w:rsidR="00351E9D" w:rsidRPr="00386744">
        <w:rPr>
          <w:rFonts w:ascii="Palatino Linotype" w:hAnsi="Palatino Linotype" w:cs="Arial"/>
        </w:rPr>
        <w:t xml:space="preserve"> remitió, </w:t>
      </w:r>
      <w:r w:rsidR="003A6E77" w:rsidRPr="00386744">
        <w:rPr>
          <w:rFonts w:ascii="Palatino Linotype" w:hAnsi="Palatino Linotype" w:cs="Arial"/>
        </w:rPr>
        <w:t xml:space="preserve">el oficio TRANSPARENCIA/123/I/2022, mediante el cual el Titular de la Unidad de Transparencia </w:t>
      </w:r>
      <w:r w:rsidR="00F358B8" w:rsidRPr="00386744">
        <w:rPr>
          <w:rFonts w:ascii="Palatino Linotype" w:hAnsi="Palatino Linotype" w:cs="Arial"/>
        </w:rPr>
        <w:t>remite el Acta del Comité de Transparencia mediante la cual se aprueba clasificación como información reservada, así como la prueba de daño, respecto de los puntos 5 y 6 de la solicitud.</w:t>
      </w:r>
    </w:p>
    <w:p w14:paraId="7E95B6D6" w14:textId="5E485C85" w:rsidR="00C803ED" w:rsidRPr="00386744" w:rsidRDefault="00C803ED" w:rsidP="00C803ED">
      <w:pPr>
        <w:spacing w:before="240" w:after="240" w:line="360" w:lineRule="auto"/>
        <w:jc w:val="both"/>
        <w:rPr>
          <w:rFonts w:ascii="Palatino Linotype" w:hAnsi="Palatino Linotype" w:cs="Arial"/>
        </w:rPr>
      </w:pPr>
      <w:r w:rsidRPr="00386744">
        <w:rPr>
          <w:rFonts w:ascii="Palatino Linotype" w:hAnsi="Palatino Linotype" w:cs="Arial"/>
        </w:rPr>
        <w:t xml:space="preserve">Documentos que, una vez analizados se hicieron del conocimiento de la parte </w:t>
      </w:r>
      <w:r w:rsidRPr="00386744">
        <w:rPr>
          <w:rFonts w:ascii="Palatino Linotype" w:hAnsi="Palatino Linotype" w:cs="Arial"/>
          <w:b/>
          <w:bCs/>
        </w:rPr>
        <w:t xml:space="preserve">Recurrente </w:t>
      </w:r>
      <w:r w:rsidRPr="00386744">
        <w:rPr>
          <w:rFonts w:ascii="Palatino Linotype" w:hAnsi="Palatino Linotype" w:cs="Arial"/>
          <w:bCs/>
        </w:rPr>
        <w:t xml:space="preserve"> a efecto de que manifestara lo que a su derecho estimara conveniente, siendo omisa en ejercer dicha prerrogativa</w:t>
      </w:r>
      <w:r w:rsidRPr="00386744">
        <w:rPr>
          <w:rFonts w:ascii="Palatino Linotype" w:hAnsi="Palatino Linotype" w:cs="Arial"/>
        </w:rPr>
        <w:t>.</w:t>
      </w:r>
    </w:p>
    <w:p w14:paraId="525E9099" w14:textId="77777777" w:rsidR="00C803ED" w:rsidRPr="00386744" w:rsidRDefault="00C803ED" w:rsidP="00033017">
      <w:pPr>
        <w:widowControl w:val="0"/>
        <w:pBdr>
          <w:top w:val="nil"/>
          <w:left w:val="nil"/>
          <w:bottom w:val="nil"/>
          <w:right w:val="nil"/>
          <w:between w:val="nil"/>
        </w:pBdr>
        <w:tabs>
          <w:tab w:val="left" w:pos="709"/>
        </w:tabs>
        <w:spacing w:before="120" w:after="240" w:line="360" w:lineRule="auto"/>
        <w:jc w:val="both"/>
        <w:rPr>
          <w:rFonts w:ascii="Palatino Linotype" w:hAnsi="Palatino Linotype" w:cs="Arial"/>
        </w:rPr>
      </w:pPr>
    </w:p>
    <w:p w14:paraId="5124401D" w14:textId="3D05BF7F" w:rsidR="00FC563C" w:rsidRPr="00386744" w:rsidRDefault="00FC563C" w:rsidP="00C803ED">
      <w:pPr>
        <w:widowControl w:val="0"/>
        <w:pBdr>
          <w:top w:val="nil"/>
          <w:left w:val="nil"/>
          <w:bottom w:val="nil"/>
          <w:right w:val="nil"/>
          <w:between w:val="nil"/>
        </w:pBdr>
        <w:tabs>
          <w:tab w:val="left" w:pos="709"/>
        </w:tabs>
        <w:spacing w:before="120" w:after="240" w:line="360" w:lineRule="auto"/>
        <w:jc w:val="both"/>
        <w:rPr>
          <w:rFonts w:ascii="Palatino Linotype" w:hAnsi="Palatino Linotype" w:cs="Arial"/>
        </w:rPr>
      </w:pPr>
      <w:r w:rsidRPr="00386744">
        <w:rPr>
          <w:rFonts w:ascii="Palatino Linotype" w:hAnsi="Palatino Linotype"/>
          <w:b/>
        </w:rPr>
        <w:t>7</w:t>
      </w:r>
      <w:r w:rsidR="00116312" w:rsidRPr="00386744">
        <w:rPr>
          <w:rFonts w:ascii="Palatino Linotype" w:hAnsi="Palatino Linotype"/>
          <w:b/>
        </w:rPr>
        <w:t xml:space="preserve">. </w:t>
      </w:r>
      <w:r w:rsidRPr="00386744">
        <w:rPr>
          <w:rFonts w:ascii="Palatino Linotype" w:hAnsi="Palatino Linotype" w:cs="Arial"/>
          <w:b/>
        </w:rPr>
        <w:t>Ampliación del plazo.</w:t>
      </w:r>
      <w:r w:rsidR="00C803ED" w:rsidRPr="00386744">
        <w:rPr>
          <w:rFonts w:ascii="Palatino Linotype" w:hAnsi="Palatino Linotype" w:cs="Arial"/>
        </w:rPr>
        <w:t xml:space="preserve"> En fecha </w:t>
      </w:r>
      <w:r w:rsidR="00C803ED" w:rsidRPr="00386744">
        <w:rPr>
          <w:rFonts w:ascii="Palatino Linotype" w:hAnsi="Palatino Linotype" w:cs="Arial"/>
          <w:b/>
        </w:rPr>
        <w:t>diecinueve</w:t>
      </w:r>
      <w:r w:rsidR="00931DE7" w:rsidRPr="00386744">
        <w:rPr>
          <w:rFonts w:ascii="Palatino Linotype" w:hAnsi="Palatino Linotype" w:cs="Arial"/>
          <w:b/>
        </w:rPr>
        <w:t xml:space="preserve"> de abril</w:t>
      </w:r>
      <w:r w:rsidRPr="00386744">
        <w:rPr>
          <w:rFonts w:ascii="Palatino Linotype" w:hAnsi="Palatino Linotype" w:cs="Arial"/>
          <w:b/>
        </w:rPr>
        <w:t xml:space="preserve"> del año dos mil </w:t>
      </w:r>
      <w:r w:rsidRPr="00386744">
        <w:rPr>
          <w:rFonts w:ascii="Palatino Linotype" w:hAnsi="Palatino Linotype" w:cs="Arial"/>
          <w:b/>
          <w:bCs/>
        </w:rPr>
        <w:t>veintidós</w:t>
      </w:r>
      <w:r w:rsidRPr="00386744">
        <w:rPr>
          <w:rFonts w:ascii="Palatino Linotype" w:hAnsi="Palatino Linotype" w:cs="Arial"/>
          <w:bCs/>
        </w:rPr>
        <w:t>,</w:t>
      </w:r>
      <w:r w:rsidRPr="00386744">
        <w:rPr>
          <w:rFonts w:ascii="Palatino Linotype" w:hAnsi="Palatino Linotype" w:cs="Arial"/>
        </w:rPr>
        <w:t xml:space="preserve"> con fundamento en el artículo 181, párrafo tercero de la Ley de Transparencia y Acceso a la Información Pública del Estado de México y Municipios, se acordó la ampliación del plazo para su resolución.</w:t>
      </w:r>
    </w:p>
    <w:p w14:paraId="3231C4B8" w14:textId="089659F0" w:rsidR="00C803ED" w:rsidRPr="00386744" w:rsidRDefault="00C803ED" w:rsidP="00C803ED">
      <w:pPr>
        <w:widowControl w:val="0"/>
        <w:pBdr>
          <w:top w:val="nil"/>
          <w:left w:val="nil"/>
          <w:bottom w:val="nil"/>
          <w:right w:val="nil"/>
          <w:between w:val="nil"/>
        </w:pBdr>
        <w:tabs>
          <w:tab w:val="left" w:pos="709"/>
        </w:tabs>
        <w:spacing w:before="120" w:after="240" w:line="360" w:lineRule="auto"/>
        <w:jc w:val="both"/>
        <w:rPr>
          <w:rFonts w:ascii="Palatino Linotype" w:hAnsi="Palatino Linotype"/>
        </w:rPr>
      </w:pPr>
      <w:r w:rsidRPr="00386744">
        <w:rPr>
          <w:rFonts w:ascii="Palatino Linotype" w:hAnsi="Palatino Linotype" w:cs="Arial"/>
        </w:rPr>
        <w:t xml:space="preserve">8. </w:t>
      </w:r>
      <w:r w:rsidRPr="00386744">
        <w:rPr>
          <w:rFonts w:ascii="Palatino Linotype" w:hAnsi="Palatino Linotype"/>
          <w:b/>
        </w:rPr>
        <w:t xml:space="preserve">Cierre de instrucción. </w:t>
      </w:r>
      <w:r w:rsidRPr="00386744">
        <w:rPr>
          <w:rFonts w:ascii="Palatino Linotype" w:hAnsi="Palatino Linotype"/>
        </w:rPr>
        <w:t xml:space="preserve">En fecha </w:t>
      </w:r>
      <w:r w:rsidRPr="00386744">
        <w:rPr>
          <w:rFonts w:ascii="Palatino Linotype" w:hAnsi="Palatino Linotype" w:cs="Arial"/>
          <w:b/>
        </w:rPr>
        <w:t xml:space="preserve">veintinueve de abril del año dos mil </w:t>
      </w:r>
      <w:r w:rsidRPr="00386744">
        <w:rPr>
          <w:rFonts w:ascii="Palatino Linotype" w:hAnsi="Palatino Linotype" w:cs="Arial"/>
          <w:b/>
          <w:bCs/>
        </w:rPr>
        <w:t>veintidós</w:t>
      </w:r>
      <w:r w:rsidRPr="00386744">
        <w:rPr>
          <w:rFonts w:ascii="Palatino Linotype" w:hAnsi="Palatino Linotype" w:cs="Arial"/>
          <w:bCs/>
        </w:rPr>
        <w:t>,</w:t>
      </w:r>
      <w:r w:rsidRPr="00386744">
        <w:rPr>
          <w:rFonts w:ascii="Palatino Linotype" w:hAnsi="Palatino Linotype" w:cs="Arial"/>
        </w:rPr>
        <w:t xml:space="preserve"> </w:t>
      </w:r>
      <w:r w:rsidRPr="00386744">
        <w:rPr>
          <w:rFonts w:ascii="Palatino Linotype" w:hAnsi="Palatino Linotype"/>
        </w:rPr>
        <w:t xml:space="preserve"> la Comisionada ponente determinó el cierre de instrucción en términos de la fracción VI del artículo 185 de la Ley de Transparencia y Acceso a la Información Pública del Estado de México y Municipios.</w:t>
      </w:r>
    </w:p>
    <w:p w14:paraId="409A2BB2" w14:textId="77777777" w:rsidR="007A7836" w:rsidRPr="00386744" w:rsidRDefault="007A7836" w:rsidP="007A7836">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11D9A86A" w14:textId="77777777" w:rsidR="007A7836" w:rsidRPr="00386744" w:rsidRDefault="007A7836" w:rsidP="007A7836">
      <w:pPr>
        <w:widowControl w:val="0"/>
        <w:spacing w:before="240" w:after="240" w:line="360" w:lineRule="auto"/>
        <w:jc w:val="center"/>
        <w:rPr>
          <w:rFonts w:ascii="Palatino Linotype" w:eastAsia="Palatino Linotype" w:hAnsi="Palatino Linotype" w:cs="Palatino Linotype"/>
          <w:b/>
        </w:rPr>
      </w:pPr>
      <w:r w:rsidRPr="00386744">
        <w:rPr>
          <w:rFonts w:ascii="Palatino Linotype" w:eastAsia="Palatino Linotype" w:hAnsi="Palatino Linotype" w:cs="Palatino Linotype"/>
          <w:b/>
        </w:rPr>
        <w:t>II. C O N S I D E R A N D O S</w:t>
      </w:r>
    </w:p>
    <w:p w14:paraId="661EB01D" w14:textId="77777777" w:rsidR="007A7836" w:rsidRPr="00386744" w:rsidRDefault="007A7836" w:rsidP="007A7836">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b/>
        </w:rPr>
        <w:t>Primero. Competencia.</w:t>
      </w:r>
      <w:r w:rsidRPr="00386744">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w:t>
      </w:r>
      <w:r w:rsidRPr="00386744">
        <w:rPr>
          <w:rFonts w:ascii="Palatino Linotype" w:eastAsia="Palatino Linotype" w:hAnsi="Palatino Linotype" w:cs="Palatino Linotype"/>
        </w:rPr>
        <w:lastRenderedPageBreak/>
        <w:t>Reglamento Interior del Instituto de Transparencia, Acceso a la Información Pública y Protección de Datos Personales del Estado de México y Municipios.</w:t>
      </w:r>
    </w:p>
    <w:p w14:paraId="42573EEC" w14:textId="77777777" w:rsidR="007A7836" w:rsidRPr="00386744" w:rsidRDefault="007A7836" w:rsidP="007A7836">
      <w:pPr>
        <w:spacing w:before="240" w:after="240" w:line="360" w:lineRule="auto"/>
        <w:jc w:val="both"/>
        <w:rPr>
          <w:rFonts w:ascii="Palatino Linotype" w:eastAsia="Palatino Linotype" w:hAnsi="Palatino Linotype" w:cs="Palatino Linotype"/>
        </w:rPr>
      </w:pPr>
      <w:bookmarkStart w:id="1" w:name="_heading=h.tyjcwt" w:colFirst="0" w:colLast="0"/>
      <w:bookmarkEnd w:id="1"/>
      <w:r w:rsidRPr="00386744">
        <w:rPr>
          <w:rFonts w:ascii="Palatino Linotype" w:eastAsia="Palatino Linotype" w:hAnsi="Palatino Linotype" w:cs="Palatino Linotype"/>
          <w:b/>
        </w:rPr>
        <w:t>Segundo. Oportunidad y Procedibilidad del Recurso de Revisión</w:t>
      </w:r>
      <w:r w:rsidRPr="00386744">
        <w:rPr>
          <w:rFonts w:ascii="Palatino Linotype" w:eastAsia="Palatino Linotype" w:hAnsi="Palatino Linotype" w:cs="Palatino Linotype"/>
        </w:rPr>
        <w:t>. 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2815BD47" w14:textId="0D153C3C" w:rsidR="007A7836" w:rsidRPr="00386744" w:rsidRDefault="007A7836" w:rsidP="007A7836">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El recurso de revisión fue interpuesto dentro del plazo de quince días hábiles, previsto en el artículo 178 de la Ley de Transparencia y Acceso a la Información Pública del Estado de México y Municipios, toda vez que el </w:t>
      </w:r>
      <w:r w:rsidRPr="00386744">
        <w:rPr>
          <w:rFonts w:ascii="Palatino Linotype" w:eastAsia="Palatino Linotype" w:hAnsi="Palatino Linotype" w:cs="Palatino Linotype"/>
          <w:b/>
        </w:rPr>
        <w:t xml:space="preserve">Sujeto Obligado </w:t>
      </w:r>
      <w:r w:rsidRPr="00386744">
        <w:rPr>
          <w:rFonts w:ascii="Palatino Linotype" w:eastAsia="Palatino Linotype" w:hAnsi="Palatino Linotype" w:cs="Palatino Linotype"/>
        </w:rPr>
        <w:t xml:space="preserve">remitió la respuesta a la solicitud de información el día </w:t>
      </w:r>
      <w:r w:rsidRPr="00386744">
        <w:rPr>
          <w:rFonts w:ascii="Palatino Linotype" w:eastAsia="Palatino Linotype" w:hAnsi="Palatino Linotype" w:cs="Palatino Linotype"/>
          <w:b/>
          <w:bCs/>
        </w:rPr>
        <w:t>catorce</w:t>
      </w:r>
      <w:r w:rsidRPr="00386744">
        <w:rPr>
          <w:rFonts w:ascii="Palatino Linotype" w:eastAsia="Palatino Linotype" w:hAnsi="Palatino Linotype" w:cs="Palatino Linotype"/>
          <w:b/>
        </w:rPr>
        <w:t xml:space="preserve"> de febrero de dos mil veintidós, </w:t>
      </w:r>
      <w:r w:rsidRPr="00386744">
        <w:rPr>
          <w:rFonts w:ascii="Palatino Linotype" w:eastAsia="Palatino Linotype" w:hAnsi="Palatino Linotype" w:cs="Palatino Linotype"/>
        </w:rPr>
        <w:t xml:space="preserve">mientras que el recurso de revisión interpuesto por la parte </w:t>
      </w:r>
      <w:r w:rsidRPr="00386744">
        <w:rPr>
          <w:rFonts w:ascii="Palatino Linotype" w:eastAsia="Palatino Linotype" w:hAnsi="Palatino Linotype" w:cs="Palatino Linotype"/>
          <w:b/>
        </w:rPr>
        <w:t>Recurrente</w:t>
      </w:r>
      <w:r w:rsidRPr="00386744">
        <w:rPr>
          <w:rFonts w:ascii="Palatino Linotype" w:eastAsia="Palatino Linotype" w:hAnsi="Palatino Linotype" w:cs="Palatino Linotype"/>
        </w:rPr>
        <w:t xml:space="preserve">, se tuvo por presentado el día </w:t>
      </w:r>
      <w:r w:rsidRPr="00386744">
        <w:rPr>
          <w:rFonts w:ascii="Palatino Linotype" w:eastAsia="Palatino Linotype" w:hAnsi="Palatino Linotype" w:cs="Palatino Linotype"/>
          <w:b/>
          <w:bCs/>
        </w:rPr>
        <w:t xml:space="preserve">dieciocho </w:t>
      </w:r>
      <w:r w:rsidRPr="00386744">
        <w:rPr>
          <w:rFonts w:ascii="Palatino Linotype" w:eastAsia="Palatino Linotype" w:hAnsi="Palatino Linotype" w:cs="Palatino Linotype"/>
          <w:b/>
        </w:rPr>
        <w:t>de febrero de dos mil veintidós</w:t>
      </w:r>
      <w:r w:rsidRPr="00386744">
        <w:rPr>
          <w:rFonts w:ascii="Palatino Linotype" w:eastAsia="Palatino Linotype" w:hAnsi="Palatino Linotype" w:cs="Palatino Linotype"/>
        </w:rPr>
        <w:t>, esto es, al cuarto día hábil en que tuvo conocimiento de la respuesta impugnada.</w:t>
      </w:r>
    </w:p>
    <w:p w14:paraId="650B0297" w14:textId="77777777" w:rsidR="007A7836" w:rsidRPr="00386744" w:rsidRDefault="007A7836" w:rsidP="007A7836">
      <w:pPr>
        <w:spacing w:before="240" w:after="240" w:line="360" w:lineRule="auto"/>
        <w:jc w:val="both"/>
        <w:rPr>
          <w:rFonts w:ascii="Palatino Linotype" w:eastAsia="Palatino Linotype" w:hAnsi="Palatino Linotype" w:cs="Palatino Linotype"/>
        </w:rPr>
      </w:pPr>
      <w:bookmarkStart w:id="2" w:name="_heading=h.3znysh7" w:colFirst="0" w:colLast="0"/>
      <w:bookmarkEnd w:id="2"/>
      <w:r w:rsidRPr="00386744">
        <w:rPr>
          <w:rFonts w:ascii="Palatino Linotype" w:eastAsia="Palatino Linotype" w:hAnsi="Palatino Linotype" w:cs="Palatino Linotype"/>
        </w:rPr>
        <w:t xml:space="preserve">En este sentido, al considerar la fecha en que se formuló la solicitud y la fecha en que respondió a ésta el </w:t>
      </w:r>
      <w:r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así como la fecha en que se interpuso el recurso de revisión, se concluye que el presente recurso de revisión se encuentra dentro de los márgenes temporales previstos las disposiciones legales referidas.</w:t>
      </w:r>
    </w:p>
    <w:p w14:paraId="63C05ADF" w14:textId="77777777" w:rsidR="007A7836" w:rsidRPr="00386744" w:rsidRDefault="007A7836" w:rsidP="007A7836">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Así también,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w:t>
      </w:r>
      <w:r w:rsidRPr="00386744">
        <w:rPr>
          <w:rFonts w:ascii="Palatino Linotype" w:eastAsia="Palatino Linotype" w:hAnsi="Palatino Linotype" w:cs="Palatino Linotype"/>
        </w:rPr>
        <w:lastRenderedPageBreak/>
        <w:t>Municipios, en atención a que fue presentado mediante el formato visible en el SAIMEX.</w:t>
      </w:r>
    </w:p>
    <w:p w14:paraId="6FF6F9F4" w14:textId="6C30EB89" w:rsidR="0089065A" w:rsidRPr="00386744" w:rsidRDefault="0089065A" w:rsidP="0089065A">
      <w:pPr>
        <w:spacing w:before="240" w:after="240" w:line="360" w:lineRule="auto"/>
        <w:jc w:val="both"/>
        <w:rPr>
          <w:rFonts w:ascii="Palatino Linotype" w:hAnsi="Palatino Linotype" w:cs="Arial"/>
        </w:rPr>
      </w:pPr>
      <w:r w:rsidRPr="00386744">
        <w:rPr>
          <w:rFonts w:ascii="Palatino Linotype" w:hAnsi="Palatino Linotype"/>
        </w:rPr>
        <w:t>Asimismo, resulta procedente</w:t>
      </w:r>
      <w:r w:rsidRPr="00386744">
        <w:rPr>
          <w:rFonts w:ascii="Palatino Linotype" w:hAnsi="Palatino Linotype" w:cs="Arial"/>
        </w:rPr>
        <w:t xml:space="preserve"> la interposición del recurso de revisión al rubro anotado, toda vez que se actualiza las hipótesis previst</w:t>
      </w:r>
      <w:r w:rsidR="007A7836" w:rsidRPr="00386744">
        <w:rPr>
          <w:rFonts w:ascii="Palatino Linotype" w:hAnsi="Palatino Linotype" w:cs="Arial"/>
        </w:rPr>
        <w:t xml:space="preserve">as en el artículo 179, fracción </w:t>
      </w:r>
      <w:r w:rsidR="00E031FA" w:rsidRPr="00386744">
        <w:rPr>
          <w:rFonts w:ascii="Palatino Linotype" w:hAnsi="Palatino Linotype" w:cs="Arial"/>
        </w:rPr>
        <w:t xml:space="preserve"> II</w:t>
      </w:r>
      <w:r w:rsidR="007A7836" w:rsidRPr="00386744">
        <w:rPr>
          <w:rFonts w:ascii="Palatino Linotype" w:hAnsi="Palatino Linotype" w:cs="Arial"/>
        </w:rPr>
        <w:t xml:space="preserve"> de la Ley de la M</w:t>
      </w:r>
      <w:r w:rsidRPr="00386744">
        <w:rPr>
          <w:rFonts w:ascii="Palatino Linotype" w:hAnsi="Palatino Linotype" w:cs="Arial"/>
        </w:rPr>
        <w:t>ateria, que a la letra dice:</w:t>
      </w:r>
    </w:p>
    <w:p w14:paraId="60FF89B0" w14:textId="77777777" w:rsidR="007A7836" w:rsidRPr="00386744" w:rsidRDefault="007A7836" w:rsidP="007A7836">
      <w:pPr>
        <w:spacing w:before="120" w:after="120"/>
        <w:ind w:left="993"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r w:rsidRPr="00386744">
        <w:rPr>
          <w:rFonts w:ascii="Palatino Linotype" w:eastAsia="Palatino Linotype" w:hAnsi="Palatino Linotype" w:cs="Palatino Linotype"/>
          <w:b/>
          <w:i/>
          <w:sz w:val="22"/>
          <w:szCs w:val="22"/>
        </w:rPr>
        <w:t>Artículo 179.</w:t>
      </w:r>
      <w:r w:rsidRPr="00386744">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46520EBC" w14:textId="77777777" w:rsidR="007A7836" w:rsidRPr="00386744" w:rsidRDefault="007A7836" w:rsidP="007A7836">
      <w:pPr>
        <w:spacing w:before="120" w:after="120"/>
        <w:ind w:left="1134" w:right="902"/>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w:t>
      </w:r>
    </w:p>
    <w:p w14:paraId="0C3135A8" w14:textId="5AE02307" w:rsidR="0089065A" w:rsidRPr="00386744" w:rsidRDefault="007A7836" w:rsidP="007A7836">
      <w:pPr>
        <w:spacing w:before="120" w:after="120"/>
        <w:ind w:left="1134"/>
        <w:rPr>
          <w:rFonts w:ascii="Palatino Linotype" w:hAnsi="Palatino Linotype" w:cs="Arial"/>
          <w:i/>
          <w:sz w:val="22"/>
          <w:szCs w:val="22"/>
        </w:rPr>
      </w:pPr>
      <w:r w:rsidRPr="00386744">
        <w:rPr>
          <w:rFonts w:ascii="Palatino Linotype" w:eastAsia="Palatino Linotype" w:hAnsi="Palatino Linotype" w:cs="Palatino Linotype"/>
          <w:b/>
          <w:i/>
          <w:sz w:val="22"/>
          <w:szCs w:val="22"/>
        </w:rPr>
        <w:t>II.</w:t>
      </w:r>
      <w:r w:rsidRPr="00386744">
        <w:rPr>
          <w:rFonts w:ascii="Palatino Linotype" w:eastAsia="Palatino Linotype" w:hAnsi="Palatino Linotype" w:cs="Palatino Linotype"/>
          <w:i/>
          <w:sz w:val="22"/>
          <w:szCs w:val="22"/>
        </w:rPr>
        <w:t xml:space="preserve"> </w:t>
      </w:r>
      <w:r w:rsidR="00E031FA" w:rsidRPr="00386744">
        <w:rPr>
          <w:rFonts w:ascii="Palatino Linotype" w:hAnsi="Palatino Linotype" w:cs="Arial"/>
          <w:i/>
          <w:sz w:val="22"/>
          <w:szCs w:val="22"/>
        </w:rPr>
        <w:t>La clasificación de la información</w:t>
      </w:r>
      <w:r w:rsidR="0089065A" w:rsidRPr="00386744">
        <w:rPr>
          <w:rFonts w:ascii="Palatino Linotype" w:hAnsi="Palatino Linotype" w:cs="Arial"/>
          <w:i/>
          <w:sz w:val="22"/>
          <w:szCs w:val="22"/>
        </w:rPr>
        <w:t>…” (Sic)</w:t>
      </w:r>
    </w:p>
    <w:p w14:paraId="7A612CCC" w14:textId="77777777" w:rsidR="007A7836" w:rsidRPr="00386744" w:rsidRDefault="007A7836" w:rsidP="007A7836">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b/>
        </w:rPr>
        <w:t xml:space="preserve">Tercero. Materia de la revisión. </w:t>
      </w:r>
      <w:r w:rsidRPr="00386744">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sidRPr="00386744">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sidRPr="00386744">
        <w:rPr>
          <w:rFonts w:ascii="Palatino Linotype" w:eastAsia="Palatino Linotype" w:hAnsi="Palatino Linotype" w:cs="Palatino Linotype"/>
        </w:rPr>
        <w:t xml:space="preserve">de la parte </w:t>
      </w:r>
      <w:r w:rsidRPr="00386744">
        <w:rPr>
          <w:rFonts w:ascii="Palatino Linotype" w:eastAsia="Palatino Linotype" w:hAnsi="Palatino Linotype" w:cs="Palatino Linotype"/>
          <w:b/>
        </w:rPr>
        <w:t>Recurrente</w:t>
      </w:r>
      <w:r w:rsidRPr="00386744">
        <w:rPr>
          <w:rFonts w:ascii="Palatino Linotype" w:eastAsia="Palatino Linotype" w:hAnsi="Palatino Linotype" w:cs="Palatino Linotype"/>
        </w:rPr>
        <w:t>, o en su defecto, en caso de ser procedente, ordenar la entrega de información oportuna.</w:t>
      </w:r>
    </w:p>
    <w:p w14:paraId="1D37F4F1" w14:textId="77777777" w:rsidR="00530DFB" w:rsidRPr="00386744" w:rsidRDefault="00A037B6" w:rsidP="00530DFB">
      <w:pPr>
        <w:spacing w:before="240" w:after="240" w:line="360" w:lineRule="auto"/>
        <w:ind w:right="51"/>
        <w:jc w:val="both"/>
      </w:pPr>
      <w:r w:rsidRPr="00386744">
        <w:rPr>
          <w:rFonts w:ascii="Palatino Linotype" w:hAnsi="Palatino Linotype" w:cs="Arial"/>
          <w:b/>
        </w:rPr>
        <w:t xml:space="preserve">Cuarto. </w:t>
      </w:r>
      <w:r w:rsidR="00AC3C64" w:rsidRPr="00386744">
        <w:rPr>
          <w:rFonts w:ascii="Palatino Linotype" w:hAnsi="Palatino Linotype" w:cs="Arial"/>
          <w:b/>
        </w:rPr>
        <w:t xml:space="preserve">Estudio </w:t>
      </w:r>
      <w:r w:rsidR="00530DFB" w:rsidRPr="00386744">
        <w:rPr>
          <w:rFonts w:ascii="Palatino Linotype" w:eastAsia="Palatino Linotype" w:hAnsi="Palatino Linotype" w:cs="Palatino Linotype"/>
          <w:b/>
        </w:rPr>
        <w:t xml:space="preserve">del asunto. </w:t>
      </w:r>
      <w:r w:rsidR="00AC3C64" w:rsidRPr="00386744">
        <w:rPr>
          <w:rFonts w:ascii="Palatino Linotype" w:hAnsi="Palatino Linotype"/>
        </w:rPr>
        <w:t>Del análisis de la solicitud de información</w:t>
      </w:r>
      <w:r w:rsidR="00530DFB" w:rsidRPr="00386744">
        <w:rPr>
          <w:rFonts w:ascii="Palatino Linotype" w:hAnsi="Palatino Linotype"/>
        </w:rPr>
        <w:t>,</w:t>
      </w:r>
      <w:r w:rsidR="00AC3C64" w:rsidRPr="00386744">
        <w:rPr>
          <w:rFonts w:ascii="Palatino Linotype" w:hAnsi="Palatino Linotype"/>
        </w:rPr>
        <w:t xml:space="preserve"> motivo del recurso de revisión que ahora s</w:t>
      </w:r>
      <w:r w:rsidR="00174388" w:rsidRPr="00386744">
        <w:rPr>
          <w:rFonts w:ascii="Palatino Linotype" w:hAnsi="Palatino Linotype"/>
        </w:rPr>
        <w:t xml:space="preserve">e resuelve, se advierte </w:t>
      </w:r>
      <w:r w:rsidR="00AC3C64" w:rsidRPr="00386744">
        <w:rPr>
          <w:rFonts w:ascii="Palatino Linotype" w:hAnsi="Palatino Linotype"/>
        </w:rPr>
        <w:t>que el particu</w:t>
      </w:r>
      <w:r w:rsidR="00C16F76" w:rsidRPr="00386744">
        <w:rPr>
          <w:rFonts w:ascii="Palatino Linotype" w:hAnsi="Palatino Linotype"/>
        </w:rPr>
        <w:t xml:space="preserve">lar requirió al </w:t>
      </w:r>
      <w:r w:rsidR="00530DFB" w:rsidRPr="00386744">
        <w:rPr>
          <w:rFonts w:ascii="Palatino Linotype" w:eastAsia="Palatino Linotype" w:hAnsi="Palatino Linotype" w:cs="Palatino Linotype"/>
          <w:b/>
        </w:rPr>
        <w:t>Sujeto Obligado</w:t>
      </w:r>
      <w:r w:rsidR="00174388" w:rsidRPr="00386744">
        <w:rPr>
          <w:rFonts w:ascii="Palatino Linotype" w:hAnsi="Palatino Linotype"/>
        </w:rPr>
        <w:t xml:space="preserve">, </w:t>
      </w:r>
      <w:r w:rsidR="00530DFB" w:rsidRPr="00386744">
        <w:rPr>
          <w:rFonts w:ascii="Palatino Linotype" w:eastAsia="Palatino Linotype" w:hAnsi="Palatino Linotype" w:cs="Palatino Linotype"/>
        </w:rPr>
        <w:t>le proporcione, información consistente en lo siguiente</w:t>
      </w:r>
      <w:r w:rsidR="00530DFB" w:rsidRPr="00386744">
        <w:t>:</w:t>
      </w:r>
    </w:p>
    <w:p w14:paraId="4B3E0F8B" w14:textId="03DCADE4" w:rsidR="00E031FA" w:rsidRPr="00386744" w:rsidRDefault="00530DFB" w:rsidP="00530DFB">
      <w:pPr>
        <w:pStyle w:val="paragraph"/>
        <w:spacing w:before="0" w:beforeAutospacing="0" w:after="240" w:afterAutospacing="0" w:line="360" w:lineRule="auto"/>
        <w:ind w:left="567" w:right="-150"/>
        <w:jc w:val="both"/>
        <w:textAlignment w:val="baseline"/>
        <w:rPr>
          <w:rFonts w:ascii="Palatino Linotype" w:hAnsi="Palatino Linotype"/>
        </w:rPr>
      </w:pPr>
      <w:r w:rsidRPr="00386744">
        <w:rPr>
          <w:rFonts w:ascii="Palatino Linotype" w:hAnsi="Palatino Linotype"/>
        </w:rPr>
        <w:t>1.</w:t>
      </w:r>
      <w:r w:rsidR="00931DE7" w:rsidRPr="00386744">
        <w:rPr>
          <w:rFonts w:ascii="Palatino Linotype" w:hAnsi="Palatino Linotype"/>
        </w:rPr>
        <w:t xml:space="preserve"> N</w:t>
      </w:r>
      <w:r w:rsidR="00E031FA" w:rsidRPr="00386744">
        <w:rPr>
          <w:rFonts w:ascii="Palatino Linotype" w:hAnsi="Palatino Linotype"/>
        </w:rPr>
        <w:t>úmero total de eleme</w:t>
      </w:r>
      <w:r w:rsidR="00A473FB" w:rsidRPr="00386744">
        <w:rPr>
          <w:rFonts w:ascii="Palatino Linotype" w:hAnsi="Palatino Linotype"/>
        </w:rPr>
        <w:t>ntos de seguridad pública con los</w:t>
      </w:r>
      <w:r w:rsidR="00E031FA" w:rsidRPr="00386744">
        <w:rPr>
          <w:rFonts w:ascii="Palatino Linotype" w:hAnsi="Palatino Linotype"/>
        </w:rPr>
        <w:t xml:space="preserve"> que cuenta e</w:t>
      </w:r>
      <w:r w:rsidR="00A473FB" w:rsidRPr="00386744">
        <w:rPr>
          <w:rFonts w:ascii="Palatino Linotype" w:hAnsi="Palatino Linotype"/>
        </w:rPr>
        <w:t>l A</w:t>
      </w:r>
      <w:r w:rsidR="00E031FA" w:rsidRPr="00386744">
        <w:rPr>
          <w:rFonts w:ascii="Palatino Linotype" w:hAnsi="Palatino Linotype"/>
        </w:rPr>
        <w:t xml:space="preserve">yuntamiento. </w:t>
      </w:r>
    </w:p>
    <w:p w14:paraId="26E735A4" w14:textId="1E498E95" w:rsidR="00931DE7" w:rsidRPr="00386744" w:rsidRDefault="00530DFB" w:rsidP="00530DFB">
      <w:pPr>
        <w:pStyle w:val="paragraph"/>
        <w:spacing w:before="0" w:beforeAutospacing="0" w:after="240" w:afterAutospacing="0" w:line="360" w:lineRule="auto"/>
        <w:ind w:left="567" w:right="-150"/>
        <w:jc w:val="both"/>
        <w:textAlignment w:val="baseline"/>
        <w:rPr>
          <w:rFonts w:ascii="Palatino Linotype" w:hAnsi="Palatino Linotype"/>
        </w:rPr>
      </w:pPr>
      <w:r w:rsidRPr="00386744">
        <w:rPr>
          <w:rFonts w:ascii="Palatino Linotype" w:hAnsi="Palatino Linotype"/>
        </w:rPr>
        <w:t>2.</w:t>
      </w:r>
      <w:r w:rsidR="00E031FA" w:rsidRPr="00386744">
        <w:rPr>
          <w:rFonts w:ascii="Palatino Linotype" w:hAnsi="Palatino Linotype"/>
        </w:rPr>
        <w:t xml:space="preserve"> </w:t>
      </w:r>
      <w:r w:rsidR="00931DE7" w:rsidRPr="00386744">
        <w:rPr>
          <w:rFonts w:ascii="Palatino Linotype" w:hAnsi="Palatino Linotype"/>
        </w:rPr>
        <w:t xml:space="preserve">Número de elementos con </w:t>
      </w:r>
      <w:r w:rsidR="00E031FA" w:rsidRPr="00386744">
        <w:rPr>
          <w:rFonts w:ascii="Palatino Linotype" w:hAnsi="Palatino Linotype"/>
        </w:rPr>
        <w:t xml:space="preserve">permiso de portación de arma de fuego. </w:t>
      </w:r>
    </w:p>
    <w:p w14:paraId="0F01AEDF" w14:textId="38FDCF5D" w:rsidR="00E031FA" w:rsidRPr="00386744" w:rsidRDefault="00E031FA" w:rsidP="00530DFB">
      <w:pPr>
        <w:pStyle w:val="paragraph"/>
        <w:spacing w:before="0" w:beforeAutospacing="0" w:after="240" w:afterAutospacing="0" w:line="360" w:lineRule="auto"/>
        <w:ind w:left="567" w:right="-150"/>
        <w:jc w:val="both"/>
        <w:textAlignment w:val="baseline"/>
        <w:rPr>
          <w:rFonts w:ascii="Palatino Linotype" w:hAnsi="Palatino Linotype"/>
        </w:rPr>
      </w:pPr>
      <w:r w:rsidRPr="00386744">
        <w:rPr>
          <w:rFonts w:ascii="Palatino Linotype" w:hAnsi="Palatino Linotype"/>
        </w:rPr>
        <w:lastRenderedPageBreak/>
        <w:t>3.</w:t>
      </w:r>
      <w:r w:rsidR="003119E9" w:rsidRPr="00386744">
        <w:rPr>
          <w:rFonts w:ascii="Palatino Linotype" w:hAnsi="Palatino Linotype"/>
        </w:rPr>
        <w:t xml:space="preserve"> C</w:t>
      </w:r>
      <w:r w:rsidRPr="00386744">
        <w:rPr>
          <w:rFonts w:ascii="Palatino Linotype" w:hAnsi="Palatino Linotype"/>
        </w:rPr>
        <w:t xml:space="preserve">uantos policías portan arma de fuego. </w:t>
      </w:r>
    </w:p>
    <w:p w14:paraId="4E9E4FC4" w14:textId="23153386" w:rsidR="00E031FA" w:rsidRPr="00386744" w:rsidRDefault="00530DFB" w:rsidP="00530DFB">
      <w:pPr>
        <w:pStyle w:val="paragraph"/>
        <w:spacing w:before="0" w:beforeAutospacing="0" w:after="240" w:afterAutospacing="0" w:line="360" w:lineRule="auto"/>
        <w:ind w:left="567" w:right="-150"/>
        <w:jc w:val="both"/>
        <w:textAlignment w:val="baseline"/>
        <w:rPr>
          <w:rFonts w:ascii="Palatino Linotype" w:hAnsi="Palatino Linotype"/>
        </w:rPr>
      </w:pPr>
      <w:r w:rsidRPr="00386744">
        <w:rPr>
          <w:rFonts w:ascii="Palatino Linotype" w:hAnsi="Palatino Linotype"/>
        </w:rPr>
        <w:t xml:space="preserve">4. </w:t>
      </w:r>
      <w:r w:rsidR="00931DE7" w:rsidRPr="00386744">
        <w:rPr>
          <w:rFonts w:ascii="Palatino Linotype" w:hAnsi="Palatino Linotype"/>
        </w:rPr>
        <w:t>J</w:t>
      </w:r>
      <w:r w:rsidR="00E031FA" w:rsidRPr="00386744">
        <w:rPr>
          <w:rFonts w:ascii="Palatino Linotype" w:hAnsi="Palatino Linotype"/>
        </w:rPr>
        <w:t xml:space="preserve">ornada de trabajo de los policías. </w:t>
      </w:r>
    </w:p>
    <w:p w14:paraId="2A66F93B" w14:textId="15AC440A" w:rsidR="00E031FA" w:rsidRPr="00386744" w:rsidRDefault="00530DFB" w:rsidP="00530DFB">
      <w:pPr>
        <w:pStyle w:val="paragraph"/>
        <w:spacing w:before="0" w:beforeAutospacing="0" w:after="240" w:afterAutospacing="0" w:line="360" w:lineRule="auto"/>
        <w:ind w:left="567" w:right="-150"/>
        <w:jc w:val="both"/>
        <w:textAlignment w:val="baseline"/>
        <w:rPr>
          <w:rFonts w:ascii="Palatino Linotype" w:hAnsi="Palatino Linotype"/>
        </w:rPr>
      </w:pPr>
      <w:r w:rsidRPr="00386744">
        <w:rPr>
          <w:rFonts w:ascii="Palatino Linotype" w:hAnsi="Palatino Linotype"/>
        </w:rPr>
        <w:t>5.</w:t>
      </w:r>
      <w:r w:rsidR="00931DE7" w:rsidRPr="00386744">
        <w:rPr>
          <w:rFonts w:ascii="Palatino Linotype" w:hAnsi="Palatino Linotype"/>
        </w:rPr>
        <w:t xml:space="preserve"> N</w:t>
      </w:r>
      <w:r w:rsidR="00E031FA" w:rsidRPr="00386744">
        <w:rPr>
          <w:rFonts w:ascii="Palatino Linotype" w:hAnsi="Palatino Linotype"/>
        </w:rPr>
        <w:t>ombre completo y salario</w:t>
      </w:r>
      <w:r w:rsidR="00931DE7" w:rsidRPr="00386744">
        <w:rPr>
          <w:rFonts w:ascii="Palatino Linotype" w:hAnsi="Palatino Linotype"/>
        </w:rPr>
        <w:t xml:space="preserve"> quincenal de cada uno de ellos; y</w:t>
      </w:r>
      <w:r w:rsidR="00E031FA" w:rsidRPr="00386744">
        <w:rPr>
          <w:rFonts w:ascii="Palatino Linotype" w:hAnsi="Palatino Linotype"/>
        </w:rPr>
        <w:t xml:space="preserve"> </w:t>
      </w:r>
    </w:p>
    <w:p w14:paraId="4B741CE8" w14:textId="0CBAEB02" w:rsidR="00E031FA" w:rsidRPr="00386744" w:rsidRDefault="00931DE7" w:rsidP="00530DFB">
      <w:pPr>
        <w:pStyle w:val="paragraph"/>
        <w:spacing w:before="0" w:beforeAutospacing="0" w:after="240" w:afterAutospacing="0" w:line="360" w:lineRule="auto"/>
        <w:ind w:left="567" w:right="-150"/>
        <w:jc w:val="both"/>
        <w:textAlignment w:val="baseline"/>
        <w:rPr>
          <w:rFonts w:ascii="Palatino Linotype" w:hAnsi="Palatino Linotype"/>
        </w:rPr>
      </w:pPr>
      <w:r w:rsidRPr="00386744">
        <w:rPr>
          <w:rFonts w:ascii="Palatino Linotype" w:hAnsi="Palatino Linotype"/>
        </w:rPr>
        <w:t>6. R</w:t>
      </w:r>
      <w:r w:rsidR="00E031FA" w:rsidRPr="00386744">
        <w:rPr>
          <w:rFonts w:ascii="Palatino Linotype" w:hAnsi="Palatino Linotype"/>
        </w:rPr>
        <w:t>ecibos de nómina de cada uno de ellos.</w:t>
      </w:r>
    </w:p>
    <w:p w14:paraId="25DDC448" w14:textId="4408C8B2" w:rsidR="003D3828" w:rsidRPr="00386744" w:rsidRDefault="003D3828" w:rsidP="001A2D4B">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En respuesta, la Titular de la Unidad de Transparencia, hizo del conocimiento del particular </w:t>
      </w:r>
      <w:r w:rsidR="00DA2E73" w:rsidRPr="00386744">
        <w:rPr>
          <w:rFonts w:ascii="Palatino Linotype" w:eastAsia="Palatino Linotype" w:hAnsi="Palatino Linotype" w:cs="Palatino Linotype"/>
        </w:rPr>
        <w:t>lo siguiente:</w:t>
      </w:r>
    </w:p>
    <w:p w14:paraId="200821D8" w14:textId="75C99FA7" w:rsidR="00DA2E73" w:rsidRPr="00386744" w:rsidRDefault="00DA2E73" w:rsidP="00DA2E73">
      <w:pPr>
        <w:spacing w:before="240" w:after="240" w:line="360" w:lineRule="auto"/>
        <w:jc w:val="center"/>
        <w:rPr>
          <w:rFonts w:ascii="Palatino Linotype" w:hAnsi="Palatino Linotype"/>
        </w:rPr>
      </w:pPr>
      <w:r w:rsidRPr="00386744">
        <w:rPr>
          <w:rFonts w:ascii="Palatino Linotype" w:hAnsi="Palatino Linotype"/>
          <w:noProof/>
          <w:lang w:val="es-MX" w:eastAsia="es-MX"/>
        </w:rPr>
        <w:drawing>
          <wp:inline distT="0" distB="0" distL="0" distR="0" wp14:anchorId="31E9CEDD" wp14:editId="77CF4D80">
            <wp:extent cx="4644000" cy="2311443"/>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44000" cy="2311443"/>
                    </a:xfrm>
                    <a:prstGeom prst="rect">
                      <a:avLst/>
                    </a:prstGeom>
                    <a:noFill/>
                    <a:ln>
                      <a:noFill/>
                    </a:ln>
                  </pic:spPr>
                </pic:pic>
              </a:graphicData>
            </a:graphic>
          </wp:inline>
        </w:drawing>
      </w:r>
    </w:p>
    <w:p w14:paraId="295F938D" w14:textId="77777777" w:rsidR="002A7885" w:rsidRPr="00386744" w:rsidRDefault="00DA2E73" w:rsidP="00DA2E73">
      <w:pPr>
        <w:spacing w:before="240" w:after="240" w:line="360" w:lineRule="auto"/>
        <w:ind w:right="51"/>
        <w:jc w:val="both"/>
        <w:rPr>
          <w:rFonts w:ascii="Palatino Linotype" w:eastAsia="Palatino Linotype" w:hAnsi="Palatino Linotype" w:cs="Palatino Linotype"/>
        </w:rPr>
      </w:pPr>
      <w:r w:rsidRPr="00386744">
        <w:rPr>
          <w:rFonts w:ascii="Palatino Linotype" w:eastAsia="Palatino Linotype" w:hAnsi="Palatino Linotype" w:cs="Palatino Linotype"/>
        </w:rPr>
        <w:t>Al no estar conforme con los términos de la respuesta proporcionada, la particular interpuso el recurso de revisión que nos ocupa, mediante el cual se inconformó</w:t>
      </w:r>
      <w:r w:rsidR="005E1AF9" w:rsidRPr="00386744">
        <w:rPr>
          <w:rFonts w:ascii="Palatino Linotype" w:eastAsia="Palatino Linotype" w:hAnsi="Palatino Linotype" w:cs="Palatino Linotype"/>
        </w:rPr>
        <w:t xml:space="preserve"> por la clasificación </w:t>
      </w:r>
      <w:r w:rsidR="00180B79" w:rsidRPr="00386744">
        <w:rPr>
          <w:rFonts w:ascii="Palatino Linotype" w:eastAsia="Palatino Linotype" w:hAnsi="Palatino Linotype" w:cs="Palatino Linotype"/>
        </w:rPr>
        <w:t xml:space="preserve">de la información, </w:t>
      </w:r>
      <w:r w:rsidR="002A7885" w:rsidRPr="00386744">
        <w:rPr>
          <w:rFonts w:ascii="Palatino Linotype" w:eastAsia="Palatino Linotype" w:hAnsi="Palatino Linotype" w:cs="Palatino Linotype"/>
        </w:rPr>
        <w:t>señalando que en atención a lo establecido en el artículo 141 –de la Ley de Transparencia Local-, no se le envió un archivo con el Acta de Clasificación de la información, asimismo, tampoco se aplicó la prueba de daño que sustentara la referida clasificación.</w:t>
      </w:r>
    </w:p>
    <w:p w14:paraId="51E6AE39" w14:textId="6739EC14" w:rsidR="005178F3" w:rsidRPr="00386744" w:rsidRDefault="005178F3" w:rsidP="005178F3">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lastRenderedPageBreak/>
        <w:t xml:space="preserve">En este sentido, no pasa inadvertido para este Organismo Garante que los motivos de inconformidad aducidos, no versan sobre la totalidad de la información proporcionada por el </w:t>
      </w:r>
      <w:r w:rsidRPr="00386744">
        <w:rPr>
          <w:rFonts w:ascii="Palatino Linotype" w:eastAsia="Palatino Linotype" w:hAnsi="Palatino Linotype" w:cs="Palatino Linotype"/>
          <w:b/>
        </w:rPr>
        <w:t xml:space="preserve">Sujeto Obligado, </w:t>
      </w:r>
      <w:r w:rsidRPr="00386744">
        <w:rPr>
          <w:rFonts w:ascii="Palatino Linotype" w:eastAsia="Palatino Linotype" w:hAnsi="Palatino Linotype" w:cs="Palatino Linotype"/>
        </w:rPr>
        <w:t xml:space="preserve">pues la parte </w:t>
      </w:r>
      <w:r w:rsidRPr="00386744">
        <w:rPr>
          <w:rFonts w:ascii="Palatino Linotype" w:eastAsia="Palatino Linotype" w:hAnsi="Palatino Linotype" w:cs="Palatino Linotype"/>
          <w:b/>
        </w:rPr>
        <w:t>Recurrente</w:t>
      </w:r>
      <w:r w:rsidRPr="00386744">
        <w:rPr>
          <w:rFonts w:ascii="Palatino Linotype" w:eastAsia="Palatino Linotype" w:hAnsi="Palatino Linotype" w:cs="Palatino Linotype"/>
        </w:rPr>
        <w:t xml:space="preserve"> se inconformó, de manera expresa, por cuanto hace a la clasificación de la información como reservada, sin que se le notificara el Acta correspondiente y la respectiva prueba de daño, es decir, se inconformó únicamente respecto de la información requerida a través  de los puntos 5 y 6 de su solicitud, al ser</w:t>
      </w:r>
      <w:r w:rsidR="0056767A" w:rsidRPr="00386744">
        <w:rPr>
          <w:rFonts w:ascii="Palatino Linotype" w:eastAsia="Palatino Linotype" w:hAnsi="Palatino Linotype" w:cs="Palatino Linotype"/>
        </w:rPr>
        <w:t xml:space="preserve"> é</w:t>
      </w:r>
      <w:r w:rsidRPr="00386744">
        <w:rPr>
          <w:rFonts w:ascii="Palatino Linotype" w:eastAsia="Palatino Linotype" w:hAnsi="Palatino Linotype" w:cs="Palatino Linotype"/>
        </w:rPr>
        <w:t xml:space="preserve">sta la que el </w:t>
      </w:r>
      <w:r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xml:space="preserve"> clasificó.</w:t>
      </w:r>
    </w:p>
    <w:p w14:paraId="20547EF1" w14:textId="77777777" w:rsidR="005178F3" w:rsidRPr="00386744" w:rsidRDefault="005178F3" w:rsidP="005178F3">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En este orden de ideas, la parte de la respuesta que no fue impugnada debe declararse consentida, toda vez que, al no haber realizado manifestaciones de inconformidad al respecto, no pueden producirse efectos jurídicos tendentes a revocar, confirmar o modificar el acto reclamado, ya que, en el caso concreto se infiere que la información proporcionada por el </w:t>
      </w:r>
      <w:r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satisface la solicitud presentada.</w:t>
      </w:r>
    </w:p>
    <w:p w14:paraId="6496AD34" w14:textId="1A6270AC" w:rsidR="005178F3" w:rsidRPr="00386744" w:rsidRDefault="005178F3" w:rsidP="005178F3">
      <w:pPr>
        <w:spacing w:before="240" w:after="36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Lo anterior es así, debido a que cuando la parte </w:t>
      </w:r>
      <w:r w:rsidRPr="00386744">
        <w:rPr>
          <w:rFonts w:ascii="Palatino Linotype" w:eastAsia="Palatino Linotype" w:hAnsi="Palatino Linotype" w:cs="Palatino Linotype"/>
          <w:b/>
        </w:rPr>
        <w:t>Recurrente</w:t>
      </w:r>
      <w:r w:rsidRPr="00386744">
        <w:rPr>
          <w:rFonts w:ascii="Palatino Linotype" w:eastAsia="Palatino Linotype" w:hAnsi="Palatino Linotype" w:cs="Palatino Linotype"/>
        </w:rPr>
        <w:t xml:space="preserve"> impugna la respuesta del </w:t>
      </w:r>
      <w:r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y ésta no expresa Razón o Motivo de Inconformidad en contra de todos los rubros solicitados, dichos rubros deben declararse atendidos, pues se entiende que el solicitante ésta conforme con la información entregada al no contravenir la misma. Sirve de Apoyo a lo anterior, por analogía la Tesis Jurisprudencial Número 3ª./J.7/91, Publicada en el Semanario Judicial de la Federación y su Gaceta bajo el número de registro 174,177, que establece lo siguiente:</w:t>
      </w:r>
    </w:p>
    <w:p w14:paraId="037F92F0" w14:textId="77777777" w:rsidR="005178F3" w:rsidRPr="00386744" w:rsidRDefault="005178F3" w:rsidP="005178F3">
      <w:pPr>
        <w:spacing w:before="240" w:after="360"/>
        <w:ind w:left="851"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 xml:space="preserve">“REVISIÓN EN AMPARO. LOS RESOLUTIVOS NO COMBATIDOS DEBEN DECLARARSE FIRMES. </w:t>
      </w:r>
      <w:r w:rsidRPr="00386744">
        <w:rPr>
          <w:rFonts w:ascii="Palatino Linotype" w:eastAsia="Palatino Linotype" w:hAnsi="Palatino Linotype" w:cs="Palatino Linotype"/>
          <w:i/>
          <w:sz w:val="22"/>
          <w:szCs w:val="22"/>
        </w:rPr>
        <w:t xml:space="preserve">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w:t>
      </w:r>
      <w:r w:rsidRPr="00386744">
        <w:rPr>
          <w:rFonts w:ascii="Palatino Linotype" w:eastAsia="Palatino Linotype" w:hAnsi="Palatino Linotype" w:cs="Palatino Linotype"/>
          <w:i/>
          <w:sz w:val="22"/>
          <w:szCs w:val="22"/>
        </w:rPr>
        <w:lastRenderedPageBreak/>
        <w:t>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5034BC01" w14:textId="77777777" w:rsidR="005178F3" w:rsidRPr="00386744" w:rsidRDefault="005178F3" w:rsidP="005178F3">
      <w:pPr>
        <w:spacing w:before="240" w:after="240" w:line="360" w:lineRule="auto"/>
        <w:jc w:val="both"/>
        <w:rPr>
          <w:rFonts w:ascii="Palatino Linotype" w:eastAsia="Palatino Linotype" w:hAnsi="Palatino Linotype" w:cs="Palatino Linotype"/>
        </w:rPr>
      </w:pPr>
      <w:bookmarkStart w:id="3" w:name="_Hlk96451588"/>
      <w:r w:rsidRPr="00386744">
        <w:rPr>
          <w:rFonts w:ascii="Palatino Linotype" w:eastAsia="Palatino Linotype" w:hAnsi="Palatino Linotype" w:cs="Palatino Linotype"/>
        </w:rPr>
        <w:t>Consecuentemente, se insiste, ante la falta de impugnación eficaz, la respuesta entregada debe declararse consentida por el particular.</w:t>
      </w:r>
    </w:p>
    <w:bookmarkEnd w:id="3"/>
    <w:p w14:paraId="121D62C2" w14:textId="77777777" w:rsidR="005178F3" w:rsidRPr="00386744" w:rsidRDefault="005178F3" w:rsidP="005178F3">
      <w:pPr>
        <w:spacing w:before="240" w:after="240" w:line="360" w:lineRule="auto"/>
        <w:jc w:val="both"/>
        <w:rPr>
          <w:rFonts w:ascii="Palatino Linotype" w:hAnsi="Palatino Linotype"/>
        </w:rPr>
      </w:pPr>
      <w:r w:rsidRPr="00386744">
        <w:rPr>
          <w:rFonts w:ascii="Palatino Linotype" w:hAnsi="Palatino Linotype" w:cs="Arial"/>
        </w:rPr>
        <w:t>Lo anterior se sustenta con lo plasmado en el criterio</w:t>
      </w:r>
      <w:r w:rsidRPr="00386744">
        <w:rPr>
          <w:rFonts w:ascii="Palatino Linotype" w:hAnsi="Palatino Linotype"/>
        </w:rPr>
        <w:t xml:space="preserve"> 01/20 emitido por el Instituto Nacional de Transparencia, Acceso a la Información, y Protección de Datos Personales (INAI), que lleva por rubro y texto los siguientes: </w:t>
      </w:r>
    </w:p>
    <w:p w14:paraId="0C6271A4" w14:textId="77777777" w:rsidR="005178F3" w:rsidRPr="00386744" w:rsidRDefault="005178F3" w:rsidP="005178F3">
      <w:pPr>
        <w:pStyle w:val="Sinespaciado"/>
        <w:spacing w:before="120" w:after="120"/>
        <w:ind w:left="851" w:right="902"/>
        <w:jc w:val="both"/>
        <w:rPr>
          <w:rFonts w:ascii="Palatino Linotype" w:hAnsi="Palatino Linotype"/>
          <w:i/>
          <w:iCs/>
        </w:rPr>
      </w:pPr>
      <w:r w:rsidRPr="00386744">
        <w:rPr>
          <w:rFonts w:ascii="Palatino Linotype" w:hAnsi="Palatino Linotype"/>
          <w:i/>
          <w:iCs/>
        </w:rPr>
        <w:t>“</w:t>
      </w:r>
      <w:r w:rsidRPr="00386744">
        <w:rPr>
          <w:rFonts w:ascii="Palatino Linotype" w:hAnsi="Palatino Linotype" w:cs="Arial"/>
          <w:b/>
          <w:i/>
          <w:iCs/>
        </w:rPr>
        <w:t xml:space="preserve">Actos consentidos tácitamente. Improcedencia de su análisis. </w:t>
      </w:r>
      <w:r w:rsidRPr="00386744">
        <w:rPr>
          <w:rFonts w:ascii="Palatino Linotype" w:hAnsi="Palatino Linotype" w:cs="Arial"/>
          <w:i/>
          <w:iCs/>
        </w:rPr>
        <w:t>Si en su recurso de revisión, la persona recurrente no expresó inconformidad alguna con ciertas partes de la respuesta otorgada, se entienden tácitamente consentidas, por ende, no deben formar parte del estudio de fondo de la resolución que emite el Instituto.</w:t>
      </w:r>
      <w:r w:rsidRPr="00386744">
        <w:rPr>
          <w:rFonts w:ascii="Palatino Linotype" w:hAnsi="Palatino Linotype"/>
          <w:i/>
          <w:iCs/>
        </w:rPr>
        <w:t>”</w:t>
      </w:r>
    </w:p>
    <w:p w14:paraId="7FAB75C3" w14:textId="77777777" w:rsidR="002A7885" w:rsidRPr="00386744" w:rsidRDefault="002A7885" w:rsidP="002A7885">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Así, admitido el presente recurso de revisión, en términos del artículo 185 fracción II</w:t>
      </w:r>
      <w:r w:rsidRPr="00386744">
        <w:rPr>
          <w:rFonts w:ascii="Palatino Linotype" w:eastAsia="Palatino Linotype" w:hAnsi="Palatino Linotype" w:cs="Palatino Linotype"/>
          <w:vertAlign w:val="superscript"/>
        </w:rPr>
        <w:footnoteReference w:id="1"/>
      </w:r>
      <w:r w:rsidRPr="00386744">
        <w:rPr>
          <w:rFonts w:ascii="Palatino Linotype" w:eastAsia="Palatino Linotype" w:hAnsi="Palatino Linotype" w:cs="Palatino Linotype"/>
        </w:rPr>
        <w:t xml:space="preserve"> de la Ley de Transparencia y Acceso a la Información Pública del Estado de México y Municipios, se integró el expediente y se puso a disposición de las partes para que, en un plazo máximo de siete días hábiles, manifestaran lo que a su derecho resultara conveniente.</w:t>
      </w:r>
    </w:p>
    <w:p w14:paraId="69B453CD" w14:textId="2053B4F3" w:rsidR="002A7885" w:rsidRPr="00386744" w:rsidRDefault="002A7885" w:rsidP="002A7885">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En tal sentido, la Unidad de Transparencia del </w:t>
      </w:r>
      <w:r w:rsidRPr="00386744">
        <w:rPr>
          <w:rFonts w:ascii="Palatino Linotype" w:eastAsia="Palatino Linotype" w:hAnsi="Palatino Linotype" w:cs="Palatino Linotype"/>
          <w:b/>
        </w:rPr>
        <w:t xml:space="preserve">Sujeto Obligado </w:t>
      </w:r>
      <w:r w:rsidRPr="00386744">
        <w:rPr>
          <w:rFonts w:ascii="Palatino Linotype" w:eastAsia="Palatino Linotype" w:hAnsi="Palatino Linotype" w:cs="Palatino Linotype"/>
        </w:rPr>
        <w:t xml:space="preserve">remitió el Acta del Comité de Transparencia, mediante la cual, se somete a consideración de los integrantes del mismo la aprobación de la propuesta de clasificación </w:t>
      </w:r>
      <w:r w:rsidR="0032315F" w:rsidRPr="00386744">
        <w:rPr>
          <w:rFonts w:ascii="Palatino Linotype" w:eastAsia="Palatino Linotype" w:hAnsi="Palatino Linotype" w:cs="Palatino Linotype"/>
        </w:rPr>
        <w:t xml:space="preserve">del </w:t>
      </w:r>
      <w:r w:rsidR="0032315F" w:rsidRPr="00386744">
        <w:rPr>
          <w:rFonts w:ascii="Palatino Linotype" w:eastAsia="Palatino Linotype" w:hAnsi="Palatino Linotype" w:cs="Palatino Linotype"/>
          <w:i/>
        </w:rPr>
        <w:t xml:space="preserve">nombre completo y salario quincenal de cada uno de los elementos de seguridad con los que cuenta el </w:t>
      </w:r>
      <w:r w:rsidR="0032315F" w:rsidRPr="00386744">
        <w:rPr>
          <w:rFonts w:ascii="Palatino Linotype" w:eastAsia="Palatino Linotype" w:hAnsi="Palatino Linotype" w:cs="Palatino Linotype"/>
          <w:i/>
        </w:rPr>
        <w:lastRenderedPageBreak/>
        <w:t xml:space="preserve">Ayuntamiento, </w:t>
      </w:r>
      <w:r w:rsidR="0032315F" w:rsidRPr="00386744">
        <w:rPr>
          <w:rFonts w:ascii="Palatino Linotype" w:eastAsia="Palatino Linotype" w:hAnsi="Palatino Linotype" w:cs="Palatino Linotype"/>
        </w:rPr>
        <w:t>así como sus</w:t>
      </w:r>
      <w:r w:rsidR="0032315F" w:rsidRPr="00386744">
        <w:rPr>
          <w:rFonts w:ascii="Palatino Linotype" w:eastAsia="Palatino Linotype" w:hAnsi="Palatino Linotype" w:cs="Palatino Linotype"/>
          <w:i/>
        </w:rPr>
        <w:t xml:space="preserve"> recibos de nómina,</w:t>
      </w:r>
      <w:r w:rsidR="0032315F"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rPr>
        <w:t>como información reservada y la prueba de daño respectiva, emitida por la Dirección de Seguridad Pública, Protección Civil y B</w:t>
      </w:r>
      <w:r w:rsidR="00C33D5E" w:rsidRPr="00386744">
        <w:rPr>
          <w:rFonts w:ascii="Palatino Linotype" w:eastAsia="Palatino Linotype" w:hAnsi="Palatino Linotype" w:cs="Palatino Linotype"/>
        </w:rPr>
        <w:t xml:space="preserve">omberos, como punto 3 del orden del día, </w:t>
      </w:r>
      <w:r w:rsidR="0032315F" w:rsidRPr="00386744">
        <w:rPr>
          <w:rFonts w:ascii="Palatino Linotype" w:eastAsia="Palatino Linotype" w:hAnsi="Palatino Linotype" w:cs="Palatino Linotype"/>
        </w:rPr>
        <w:t>aprobándose por unanimidad de votos la clasificación por un periodo de cinco años en términos de los artículos 110 de la Ley General del Sistema Nacional de Seguridad Pública; 27 y 81 fracciones II y III de la Ley de Seguridad del Estado de México; 6, 76, 77, 78 y 79 de la Ley de Protección de Datos Personales en Posesión de los Sujetos Obligados del Estado de México y M</w:t>
      </w:r>
      <w:r w:rsidR="003C1508" w:rsidRPr="00386744">
        <w:rPr>
          <w:rFonts w:ascii="Palatino Linotype" w:eastAsia="Palatino Linotype" w:hAnsi="Palatino Linotype" w:cs="Palatino Linotype"/>
        </w:rPr>
        <w:t>unicipios; y</w:t>
      </w:r>
      <w:r w:rsidR="0032315F" w:rsidRPr="00386744">
        <w:rPr>
          <w:rFonts w:ascii="Palatino Linotype" w:eastAsia="Palatino Linotype" w:hAnsi="Palatino Linotype" w:cs="Palatino Linotype"/>
        </w:rPr>
        <w:t xml:space="preserve"> </w:t>
      </w:r>
      <w:r w:rsidR="003C1508" w:rsidRPr="00386744">
        <w:rPr>
          <w:rFonts w:ascii="Palatino Linotype" w:eastAsia="Palatino Linotype" w:hAnsi="Palatino Linotype" w:cs="Palatino Linotype"/>
        </w:rPr>
        <w:t xml:space="preserve">140 fracciones I, IV y XI de la Ley de Transparencia y Acceso a la Información Pública del Estado de México y Municipios, </w:t>
      </w:r>
      <w:r w:rsidR="00C33D5E" w:rsidRPr="00386744">
        <w:rPr>
          <w:rFonts w:ascii="Palatino Linotype" w:eastAsia="Palatino Linotype" w:hAnsi="Palatino Linotype" w:cs="Palatino Linotype"/>
        </w:rPr>
        <w:t>asimismo, acompaño la referida Acta con la prueba de daño</w:t>
      </w:r>
      <w:r w:rsidR="003C1508" w:rsidRPr="00386744">
        <w:rPr>
          <w:rFonts w:ascii="Palatino Linotype" w:eastAsia="Palatino Linotype" w:hAnsi="Palatino Linotype" w:cs="Palatino Linotype"/>
        </w:rPr>
        <w:t xml:space="preserve"> correspondiente.</w:t>
      </w:r>
    </w:p>
    <w:p w14:paraId="65048CE4" w14:textId="583C333F" w:rsidR="00E25AA6" w:rsidRPr="00386744" w:rsidRDefault="00E25AA6" w:rsidP="002A7885">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Información, que como se adelantó en líneas ante</w:t>
      </w:r>
      <w:r w:rsidR="00041673" w:rsidRPr="00386744">
        <w:rPr>
          <w:rFonts w:ascii="Palatino Linotype" w:eastAsia="Palatino Linotype" w:hAnsi="Palatino Linotype" w:cs="Palatino Linotype"/>
        </w:rPr>
        <w:t xml:space="preserve">riores, se hizo del conocimiento de la parte </w:t>
      </w:r>
      <w:r w:rsidR="00041673" w:rsidRPr="00386744">
        <w:rPr>
          <w:rFonts w:ascii="Palatino Linotype" w:eastAsia="Palatino Linotype" w:hAnsi="Palatino Linotype" w:cs="Palatino Linotype"/>
          <w:b/>
        </w:rPr>
        <w:t>Recurrente</w:t>
      </w:r>
      <w:r w:rsidR="00041673" w:rsidRPr="00386744">
        <w:rPr>
          <w:rFonts w:ascii="Palatino Linotype" w:eastAsia="Palatino Linotype" w:hAnsi="Palatino Linotype" w:cs="Palatino Linotype"/>
        </w:rPr>
        <w:t xml:space="preserve"> efecto de que manifestara lo que a su derecho estimara convenie</w:t>
      </w:r>
      <w:r w:rsidR="00C46DC6" w:rsidRPr="00386744">
        <w:rPr>
          <w:rFonts w:ascii="Palatino Linotype" w:eastAsia="Palatino Linotype" w:hAnsi="Palatino Linotype" w:cs="Palatino Linotype"/>
        </w:rPr>
        <w:t>nte, siendo omisa en expresar alegato alguno.</w:t>
      </w:r>
    </w:p>
    <w:p w14:paraId="37A417E3" w14:textId="036B0D0D" w:rsidR="00A319F7" w:rsidRPr="00386744" w:rsidRDefault="00A319F7" w:rsidP="00A319F7">
      <w:pPr>
        <w:spacing w:before="240" w:after="240" w:line="360" w:lineRule="auto"/>
        <w:ind w:right="49"/>
        <w:jc w:val="both"/>
        <w:rPr>
          <w:rFonts w:ascii="Palatino Linotype" w:eastAsia="Calibri" w:hAnsi="Palatino Linotype" w:cs="Arial"/>
        </w:rPr>
      </w:pPr>
      <w:r w:rsidRPr="00386744">
        <w:rPr>
          <w:rFonts w:ascii="Palatino Linotype" w:hAnsi="Palatino Linotype"/>
        </w:rPr>
        <w:t xml:space="preserve">En esta tesitura, de las constancias que integran el expediente electrónico  relacionado con el recurso de revisión materia de estudio, </w:t>
      </w:r>
      <w:r w:rsidRPr="00386744">
        <w:rPr>
          <w:rFonts w:ascii="Palatino Linotype" w:hAnsi="Palatino Linotype" w:cs="Arial"/>
          <w:lang w:eastAsia="es-MX"/>
        </w:rPr>
        <w:t xml:space="preserve">se colige que </w:t>
      </w:r>
      <w:r w:rsidRPr="00386744">
        <w:rPr>
          <w:rFonts w:ascii="Palatino Linotype" w:eastAsia="Calibri" w:hAnsi="Palatino Linotype" w:cs="Arial"/>
        </w:rPr>
        <w:t xml:space="preserve">el </w:t>
      </w:r>
      <w:r w:rsidRPr="00386744">
        <w:rPr>
          <w:rFonts w:ascii="Palatino Linotype" w:eastAsia="Calibri" w:hAnsi="Palatino Linotype" w:cs="Arial"/>
          <w:b/>
        </w:rPr>
        <w:t xml:space="preserve">Sujeto Obligado </w:t>
      </w:r>
      <w:r w:rsidRPr="00386744">
        <w:rPr>
          <w:rFonts w:ascii="Palatino Linotype" w:eastAsia="Calibri" w:hAnsi="Palatino Linotype" w:cs="Arial"/>
        </w:rPr>
        <w:t xml:space="preserve">no niega la competencia para conocer de la información solicitada, sino por el contrario, con la respuesta pronunciada </w:t>
      </w:r>
      <w:r w:rsidRPr="00386744">
        <w:rPr>
          <w:rFonts w:ascii="Palatino Linotype" w:hAnsi="Palatino Linotype" w:cs="Arial"/>
          <w:lang w:eastAsia="es-MX"/>
        </w:rPr>
        <w:t>asevera que es competente para conocer de la solicitud de información</w:t>
      </w:r>
      <w:r w:rsidRPr="00386744">
        <w:rPr>
          <w:rFonts w:ascii="Palatino Linotype" w:eastAsia="MS Mincho" w:hAnsi="Palatino Linotype" w:cs="Bookman Old Style"/>
          <w:i/>
          <w:iCs/>
          <w:sz w:val="20"/>
          <w:szCs w:val="20"/>
          <w:lang w:val="es-MX"/>
        </w:rPr>
        <w:t xml:space="preserve">, </w:t>
      </w:r>
      <w:r w:rsidRPr="00386744">
        <w:rPr>
          <w:rFonts w:ascii="Palatino Linotype" w:hAnsi="Palatino Linotype" w:cs="Arial"/>
          <w:lang w:eastAsia="es-MX"/>
        </w:rPr>
        <w:t xml:space="preserve">lo anterior es así, ya que el estudio enunciado tiene por objeto determinar si </w:t>
      </w:r>
      <w:r w:rsidRPr="00386744">
        <w:rPr>
          <w:rFonts w:cs="Arial"/>
        </w:rPr>
        <w:t>los</w:t>
      </w:r>
      <w:r w:rsidRPr="00386744">
        <w:rPr>
          <w:rFonts w:ascii="Palatino Linotype" w:hAnsi="Palatino Linotype" w:cs="Arial"/>
          <w:lang w:eastAsia="es-MX"/>
        </w:rPr>
        <w:t xml:space="preserve"> Sujeto</w:t>
      </w:r>
      <w:r w:rsidRPr="00386744">
        <w:rPr>
          <w:rFonts w:cs="Arial"/>
        </w:rPr>
        <w:t>s</w:t>
      </w:r>
      <w:r w:rsidRPr="00386744">
        <w:rPr>
          <w:rFonts w:ascii="Palatino Linotype" w:hAnsi="Palatino Linotype" w:cs="Arial"/>
          <w:lang w:eastAsia="es-MX"/>
        </w:rPr>
        <w:t xml:space="preserve"> Obligado</w:t>
      </w:r>
      <w:r w:rsidRPr="00386744">
        <w:rPr>
          <w:rFonts w:cs="Arial"/>
        </w:rPr>
        <w:t>s</w:t>
      </w:r>
      <w:r w:rsidRPr="00386744">
        <w:rPr>
          <w:rFonts w:ascii="Palatino Linotype" w:hAnsi="Palatino Linotype" w:cs="Arial"/>
          <w:lang w:eastAsia="es-MX"/>
        </w:rPr>
        <w:t xml:space="preserve"> generan, poseen o administran  la información solicitada, sin embargo, en aquellos casos en que </w:t>
      </w:r>
      <w:r w:rsidRPr="00386744">
        <w:rPr>
          <w:rFonts w:cs="Arial"/>
        </w:rPr>
        <w:t>e</w:t>
      </w:r>
      <w:r w:rsidRPr="00386744">
        <w:rPr>
          <w:rFonts w:ascii="Palatino Linotype" w:hAnsi="Palatino Linotype" w:cs="Arial"/>
          <w:lang w:eastAsia="es-MX"/>
        </w:rPr>
        <w:t>st</w:t>
      </w:r>
      <w:r w:rsidRPr="00386744">
        <w:rPr>
          <w:rFonts w:cs="Arial"/>
        </w:rPr>
        <w:t xml:space="preserve">os </w:t>
      </w:r>
      <w:r w:rsidRPr="00386744">
        <w:rPr>
          <w:rFonts w:ascii="Palatino Linotype" w:hAnsi="Palatino Linotype" w:cs="Arial"/>
          <w:lang w:eastAsia="es-MX"/>
        </w:rPr>
        <w:t>ha</w:t>
      </w:r>
      <w:r w:rsidRPr="00386744">
        <w:rPr>
          <w:rFonts w:ascii="Palatino Linotype" w:hAnsi="Palatino Linotype" w:cs="Arial"/>
        </w:rPr>
        <w:t>n</w:t>
      </w:r>
      <w:r w:rsidRPr="00386744">
        <w:rPr>
          <w:rFonts w:ascii="Palatino Linotype" w:hAnsi="Palatino Linotype" w:cs="Arial"/>
          <w:lang w:eastAsia="es-MX"/>
        </w:rPr>
        <w:t xml:space="preserve"> asumido la competencia, sería ocioso y a nada práctico nos conduciría su estudio, ya que, se insiste, el ente obligado asumió la competencia referida, </w:t>
      </w:r>
      <w:r w:rsidRPr="00386744">
        <w:rPr>
          <w:rFonts w:ascii="Palatino Linotype" w:hAnsi="Palatino Linotype"/>
        </w:rPr>
        <w:t xml:space="preserve">motivo por el cual se actualiza el supuesto previsto en el artículo 12 de la legislación aplicable en la materia. </w:t>
      </w:r>
    </w:p>
    <w:p w14:paraId="2D351E2E" w14:textId="77777777" w:rsidR="00A319F7" w:rsidRPr="00386744" w:rsidRDefault="00A319F7" w:rsidP="00A319F7">
      <w:pPr>
        <w:spacing w:before="240" w:after="240"/>
        <w:ind w:left="851" w:right="902"/>
        <w:jc w:val="both"/>
        <w:rPr>
          <w:rFonts w:ascii="Palatino Linotype" w:eastAsia="MS Mincho" w:hAnsi="Palatino Linotype" w:cs="Bookman Old Style"/>
          <w:i/>
          <w:iCs/>
          <w:sz w:val="22"/>
          <w:szCs w:val="20"/>
          <w:lang w:val="es-MX"/>
        </w:rPr>
      </w:pPr>
      <w:r w:rsidRPr="00386744">
        <w:rPr>
          <w:rFonts w:ascii="Palatino Linotype" w:eastAsia="MS Mincho" w:hAnsi="Palatino Linotype" w:cs="Bookman Old Style"/>
          <w:b/>
          <w:bCs/>
          <w:i/>
          <w:iCs/>
          <w:sz w:val="22"/>
          <w:szCs w:val="20"/>
          <w:lang w:val="es-MX"/>
        </w:rPr>
        <w:lastRenderedPageBreak/>
        <w:t xml:space="preserve">“Artículo 12. </w:t>
      </w:r>
      <w:r w:rsidRPr="00386744">
        <w:rPr>
          <w:rFonts w:ascii="Palatino Linotype" w:eastAsia="MS Mincho" w:hAnsi="Palatino Linotype" w:cs="Bookman Old Style"/>
          <w:b/>
          <w:i/>
          <w:iCs/>
          <w:sz w:val="22"/>
          <w:szCs w:val="20"/>
          <w:lang w:val="es-MX"/>
        </w:rPr>
        <w:t>Quienes generen, recopilen, administren, manejen, procesen, archiven o conserven información pública serán responsables de la misma</w:t>
      </w:r>
      <w:r w:rsidRPr="00386744">
        <w:rPr>
          <w:rFonts w:ascii="Palatino Linotype" w:eastAsia="MS Mincho" w:hAnsi="Palatino Linotype" w:cs="Bookman Old Style"/>
          <w:i/>
          <w:iCs/>
          <w:sz w:val="22"/>
          <w:szCs w:val="20"/>
          <w:lang w:val="es-MX"/>
        </w:rPr>
        <w:t xml:space="preserve"> en los términos de las disposiciones jurídicas aplicables. </w:t>
      </w:r>
    </w:p>
    <w:p w14:paraId="69D3A5D2" w14:textId="77777777" w:rsidR="00A319F7" w:rsidRPr="00386744" w:rsidRDefault="00A319F7" w:rsidP="00A319F7">
      <w:pPr>
        <w:spacing w:before="240" w:after="240"/>
        <w:ind w:left="851" w:right="902"/>
        <w:jc w:val="both"/>
        <w:rPr>
          <w:rFonts w:ascii="Palatino Linotype" w:eastAsia="MS Mincho" w:hAnsi="Palatino Linotype" w:cs="Bookman Old Style"/>
          <w:i/>
          <w:iCs/>
          <w:sz w:val="22"/>
          <w:szCs w:val="20"/>
          <w:lang w:val="es-MX"/>
        </w:rPr>
      </w:pPr>
      <w:r w:rsidRPr="00386744">
        <w:rPr>
          <w:rFonts w:ascii="Palatino Linotype" w:eastAsia="MS Mincho" w:hAnsi="Palatino Linotype" w:cs="Bookman Old Style"/>
          <w:b/>
          <w:i/>
          <w:iCs/>
          <w:sz w:val="22"/>
          <w:szCs w:val="20"/>
          <w:lang w:val="es-MX"/>
        </w:rPr>
        <w:t>Los sujetos obligados sólo proporcionarán la información pública que se les requiera y que obre en sus archivos y en el estado en que ésta se encuentre</w:t>
      </w:r>
      <w:r w:rsidRPr="00386744">
        <w:rPr>
          <w:rFonts w:ascii="Palatino Linotype" w:eastAsia="MS Mincho" w:hAnsi="Palatino Linotype" w:cs="Bookman Old Style"/>
          <w:i/>
          <w:iCs/>
          <w:sz w:val="22"/>
          <w:szCs w:val="20"/>
          <w:lang w:val="es-MX"/>
        </w:rPr>
        <w:t>. La obligación de proporcionar información no comprende el procesamiento de la misma, ni el presentarla conforme al interés del solicitante; no estarán obligados a generarla, resumirla, efectuar cálculos o practicar investigaciones.”</w:t>
      </w:r>
    </w:p>
    <w:p w14:paraId="2FB045EE" w14:textId="0C5DE130" w:rsidR="00A319F7" w:rsidRPr="00386744" w:rsidRDefault="00A319F7" w:rsidP="00A319F7">
      <w:pPr>
        <w:pStyle w:val="NormalWeb"/>
        <w:spacing w:line="360" w:lineRule="auto"/>
        <w:jc w:val="both"/>
        <w:rPr>
          <w:rFonts w:ascii="Palatino Linotype" w:hAnsi="Palatino Linotype" w:cs="Arial"/>
        </w:rPr>
      </w:pPr>
      <w:r w:rsidRPr="00386744">
        <w:rPr>
          <w:rFonts w:ascii="Palatino Linotype" w:hAnsi="Palatino Linotype" w:cs="Arial"/>
        </w:rPr>
        <w:t xml:space="preserve">Asimismo, se presume que la información obra en su poder, toda vez que al pretender clasificarla, asumió de manera implícita que cuenta con la misma, </w:t>
      </w:r>
      <w:r w:rsidR="00A3677D" w:rsidRPr="00386744">
        <w:rPr>
          <w:rFonts w:ascii="Palatino Linotype" w:hAnsi="Palatino Linotype" w:cs="Arial"/>
        </w:rPr>
        <w:t>siendo la clasificación e inexistencia conceptos que no pueden coexistir, conforme al criterio sostenido por el ahora Instituto Nacional de Transparencia, Acceso a la Información y Protección de Datos Personales, INAI número 29/10, mismo que tiene como contenido el que a continuación se transcribe:</w:t>
      </w:r>
    </w:p>
    <w:p w14:paraId="0894B71F" w14:textId="2444A072" w:rsidR="00A3677D" w:rsidRPr="00386744" w:rsidRDefault="00A3677D" w:rsidP="00A3677D">
      <w:pPr>
        <w:pStyle w:val="NormalWeb"/>
        <w:spacing w:before="0" w:beforeAutospacing="0" w:after="0" w:afterAutospacing="0"/>
        <w:ind w:left="851" w:right="900"/>
        <w:contextualSpacing/>
        <w:jc w:val="both"/>
        <w:rPr>
          <w:rFonts w:ascii="Palatino Linotype" w:hAnsi="Palatino Linotype"/>
          <w:i/>
          <w:iCs/>
          <w:sz w:val="22"/>
          <w:szCs w:val="22"/>
        </w:rPr>
      </w:pPr>
      <w:r w:rsidRPr="00386744">
        <w:rPr>
          <w:rFonts w:ascii="Palatino Linotype" w:hAnsi="Palatino Linotype" w:cs="Arial"/>
        </w:rPr>
        <w:t>“</w:t>
      </w:r>
      <w:r w:rsidRPr="00386744">
        <w:rPr>
          <w:rFonts w:ascii="Palatino Linotype" w:hAnsi="Palatino Linotype"/>
          <w:b/>
          <w:i/>
          <w:iCs/>
          <w:sz w:val="22"/>
          <w:szCs w:val="22"/>
        </w:rPr>
        <w:t>La clasificación y la inexistencia de información son conceptos que no pueden coexistir.</w:t>
      </w:r>
      <w:r w:rsidRPr="00386744">
        <w:rPr>
          <w:rFonts w:ascii="Palatino Linotype" w:hAnsi="Palatino Linotype"/>
          <w:i/>
          <w:iCs/>
          <w:sz w:val="22"/>
          <w:szCs w:val="22"/>
        </w:rPr>
        <w:t xml:space="preserve"> La inexistencia implica necesariamente que la información no se encuentra en los archivos de la autoridad, no obstante que la dependencia o entidad cuente con facultades para poseer dicha información. En este sentido, la inexistencia es una calidad que se atribuye a la información solicitada. Por su parte, la clasificación es una característica que adquiere la información concreta contenida  en  un  documento  específico,  siempre  que  se  encuentre  en  los supuestos  establecidos  en  los  artículos  13  y  14  de  la  Ley  Federal  de Transparencia y Acceso a la Información Pública Gubernamental, para el caso de la información reservada, y 18 del mismo ordenamiento, para el caso de la información confidencial. Por lo anterior, </w:t>
      </w:r>
      <w:r w:rsidRPr="00386744">
        <w:rPr>
          <w:rFonts w:ascii="Palatino Linotype" w:hAnsi="Palatino Linotype"/>
          <w:b/>
          <w:i/>
          <w:iCs/>
          <w:sz w:val="22"/>
          <w:szCs w:val="22"/>
        </w:rPr>
        <w:t>la clasificación y la inexistencia no coexisten entre sí, en virtud de que la clasificación de información implica invariablemente la existencia de un documento o documentos determinados, mientras que la inexistencia conlleva la ausencia de los mismos en los archivos de la dependencia o entidad de que se trate</w:t>
      </w:r>
      <w:r w:rsidRPr="00386744">
        <w:rPr>
          <w:rFonts w:ascii="Palatino Linotype" w:hAnsi="Palatino Linotype"/>
          <w:i/>
          <w:iCs/>
          <w:sz w:val="22"/>
          <w:szCs w:val="22"/>
        </w:rPr>
        <w:t>.</w:t>
      </w:r>
      <w:r w:rsidRPr="00386744">
        <w:rPr>
          <w:rFonts w:ascii="Palatino Linotype" w:hAnsi="Palatino Linotype" w:cs="Arial"/>
        </w:rPr>
        <w:t>”</w:t>
      </w:r>
    </w:p>
    <w:p w14:paraId="778D64B1" w14:textId="33A84FBC" w:rsidR="00A319F7" w:rsidRPr="00386744" w:rsidRDefault="00A319F7" w:rsidP="00A319F7">
      <w:pPr>
        <w:pStyle w:val="NormalWeb"/>
        <w:spacing w:line="360" w:lineRule="auto"/>
        <w:jc w:val="both"/>
        <w:rPr>
          <w:rFonts w:ascii="Palatino Linotype" w:hAnsi="Palatino Linotype"/>
        </w:rPr>
      </w:pPr>
      <w:r w:rsidRPr="00386744">
        <w:rPr>
          <w:rFonts w:ascii="Palatino Linotype" w:hAnsi="Palatino Linotype" w:cs="Arial"/>
        </w:rPr>
        <w:t xml:space="preserve">Por consiguiente, </w:t>
      </w:r>
      <w:r w:rsidRPr="00386744">
        <w:rPr>
          <w:rFonts w:ascii="Palatino Linotype" w:hAnsi="Palatino Linotype"/>
        </w:rPr>
        <w:t xml:space="preserve">se procede al análisis de los requerimientos planteados por el particular y la respuesta proporcionada por el </w:t>
      </w:r>
      <w:r w:rsidRPr="00386744">
        <w:rPr>
          <w:rFonts w:ascii="Palatino Linotype" w:eastAsia="Calibri" w:hAnsi="Palatino Linotype" w:cs="Arial"/>
          <w:b/>
          <w:bCs/>
          <w:lang w:val="es-ES_tradnl"/>
        </w:rPr>
        <w:t>Sujeto Obligado</w:t>
      </w:r>
      <w:r w:rsidRPr="00386744">
        <w:rPr>
          <w:rFonts w:ascii="Palatino Linotype" w:hAnsi="Palatino Linotype"/>
        </w:rPr>
        <w:t xml:space="preserve">, a efecto de </w:t>
      </w:r>
      <w:r w:rsidRPr="00386744">
        <w:rPr>
          <w:rFonts w:ascii="Palatino Linotype" w:hAnsi="Palatino Linotype"/>
        </w:rPr>
        <w:lastRenderedPageBreak/>
        <w:t xml:space="preserve">determinar si el derecho de acceso se satisfizo con la misma, o en su defecto, señalar los documentos que en el ejercicio de sus atribuciones pudo haber generado, y que, de manera enunciativa más no limitativa, pudieran colmar dicho derecho. </w:t>
      </w:r>
    </w:p>
    <w:p w14:paraId="71620743" w14:textId="760C58F1" w:rsidR="00CF509A" w:rsidRPr="00386744" w:rsidRDefault="006C4CCF" w:rsidP="00CF509A">
      <w:pPr>
        <w:autoSpaceDE w:val="0"/>
        <w:autoSpaceDN w:val="0"/>
        <w:spacing w:line="360" w:lineRule="auto"/>
        <w:jc w:val="both"/>
        <w:rPr>
          <w:rFonts w:ascii="Palatino Linotype" w:eastAsia="Palatino Linotype" w:hAnsi="Palatino Linotype" w:cs="Palatino Linotype"/>
          <w:lang w:eastAsia="es-MX"/>
        </w:rPr>
      </w:pPr>
      <w:r w:rsidRPr="00386744">
        <w:rPr>
          <w:rFonts w:ascii="Palatino Linotype" w:eastAsia="Palatino Linotype" w:hAnsi="Palatino Linotype" w:cs="Palatino Linotype"/>
        </w:rPr>
        <w:t xml:space="preserve">Así las cosas, </w:t>
      </w:r>
      <w:r w:rsidR="0056767A" w:rsidRPr="00386744">
        <w:rPr>
          <w:rFonts w:ascii="Palatino Linotype" w:eastAsia="Palatino Linotype" w:hAnsi="Palatino Linotype" w:cs="Palatino Linotype"/>
        </w:rPr>
        <w:t>como ha s</w:t>
      </w:r>
      <w:r w:rsidRPr="00386744">
        <w:rPr>
          <w:rFonts w:ascii="Palatino Linotype" w:eastAsia="Palatino Linotype" w:hAnsi="Palatino Linotype" w:cs="Palatino Linotype"/>
        </w:rPr>
        <w:t xml:space="preserve">ido expuesto, el </w:t>
      </w:r>
      <w:r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xml:space="preserve"> clasificó la información </w:t>
      </w:r>
      <w:r w:rsidR="0056767A" w:rsidRPr="00386744">
        <w:rPr>
          <w:rFonts w:ascii="Palatino Linotype" w:eastAsia="Palatino Linotype" w:hAnsi="Palatino Linotype" w:cs="Palatino Linotype"/>
        </w:rPr>
        <w:t xml:space="preserve">relativa al nombre completo y el salario quincenal de los elementos de seguridad pública con los que cuenta el Ayuntamiento, así como sus recibos de nómina, como información </w:t>
      </w:r>
      <w:r w:rsidR="00B17A2F" w:rsidRPr="00386744">
        <w:rPr>
          <w:rFonts w:ascii="Palatino Linotype" w:eastAsia="Palatino Linotype" w:hAnsi="Palatino Linotype" w:cs="Palatino Linotype"/>
        </w:rPr>
        <w:t xml:space="preserve">reservada, </w:t>
      </w:r>
      <w:r w:rsidR="00D63962" w:rsidRPr="00386744">
        <w:rPr>
          <w:rFonts w:ascii="Palatino Linotype" w:eastAsia="Palatino Linotype" w:hAnsi="Palatino Linotype" w:cs="Palatino Linotype"/>
        </w:rPr>
        <w:t xml:space="preserve">mediante el Acta </w:t>
      </w:r>
      <w:r w:rsidR="00CF509A" w:rsidRPr="00386744">
        <w:rPr>
          <w:rFonts w:ascii="Palatino Linotype" w:eastAsia="Palatino Linotype" w:hAnsi="Palatino Linotype" w:cs="Palatino Linotype"/>
        </w:rPr>
        <w:t xml:space="preserve">número </w:t>
      </w:r>
      <w:r w:rsidR="00D63962" w:rsidRPr="00386744">
        <w:rPr>
          <w:rFonts w:ascii="Palatino Linotype" w:eastAsia="Palatino Linotype" w:hAnsi="Palatino Linotype" w:cs="Palatino Linotype"/>
        </w:rPr>
        <w:t>CTAIM/</w:t>
      </w:r>
      <w:r w:rsidR="0089192E" w:rsidRPr="00386744">
        <w:rPr>
          <w:rFonts w:ascii="Palatino Linotype" w:eastAsia="Palatino Linotype" w:hAnsi="Palatino Linotype" w:cs="Palatino Linotype"/>
        </w:rPr>
        <w:t>00</w:t>
      </w:r>
      <w:r w:rsidR="00D63962" w:rsidRPr="00386744">
        <w:rPr>
          <w:rFonts w:ascii="Palatino Linotype" w:eastAsia="Palatino Linotype" w:hAnsi="Palatino Linotype" w:cs="Palatino Linotype"/>
        </w:rPr>
        <w:t>4</w:t>
      </w:r>
      <w:r w:rsidR="0089192E" w:rsidRPr="00386744">
        <w:rPr>
          <w:rFonts w:ascii="Palatino Linotype" w:eastAsia="Palatino Linotype" w:hAnsi="Palatino Linotype" w:cs="Palatino Linotype"/>
        </w:rPr>
        <w:t>/2022</w:t>
      </w:r>
      <w:r w:rsidR="00CF509A" w:rsidRPr="00386744">
        <w:rPr>
          <w:rFonts w:ascii="Palatino Linotype" w:eastAsia="Palatino Linotype" w:hAnsi="Palatino Linotype" w:cs="Palatino Linotype"/>
        </w:rPr>
        <w:t xml:space="preserve"> </w:t>
      </w:r>
      <w:r w:rsidR="00D63962" w:rsidRPr="00386744">
        <w:rPr>
          <w:rFonts w:ascii="Palatino Linotype" w:eastAsia="Palatino Linotype" w:hAnsi="Palatino Linotype" w:cs="Palatino Linotype"/>
        </w:rPr>
        <w:t xml:space="preserve">del Comité de Transparencia </w:t>
      </w:r>
      <w:r w:rsidR="00CF509A" w:rsidRPr="00386744">
        <w:rPr>
          <w:rFonts w:ascii="Palatino Linotype" w:eastAsia="Palatino Linotype" w:hAnsi="Palatino Linotype" w:cs="Palatino Linotype"/>
        </w:rPr>
        <w:t xml:space="preserve">por lo que se procede al análisis de la misma a efecto de determinar si cumple con las formalidades </w:t>
      </w:r>
      <w:r w:rsidR="00CF509A" w:rsidRPr="00386744">
        <w:rPr>
          <w:rFonts w:ascii="Palatino Linotype" w:eastAsia="Palatino Linotype" w:hAnsi="Palatino Linotype" w:cs="Palatino Linotype"/>
          <w:lang w:eastAsia="es-MX"/>
        </w:rPr>
        <w:t xml:space="preserve">exigidas por con el artículo 113 de la Ley General de Transparencia y Acceso a la Información Pública, numeral trigésimo fracción I de los Lineamientos Generales en Materia de Clasificación y Desclasificación de la Información, así como para la Elaboración de Versiones Públicas, así como los artículos 91, 128, 129, 140, fracción I y 141, de la Ley de Transparencia y Acceso a la Información Pública del Estado de México y Municipios: </w:t>
      </w:r>
    </w:p>
    <w:tbl>
      <w:tblPr>
        <w:tblStyle w:val="Tablaconcuadrcula"/>
        <w:tblW w:w="0" w:type="auto"/>
        <w:jc w:val="center"/>
        <w:tblLayout w:type="fixed"/>
        <w:tblLook w:val="04A0" w:firstRow="1" w:lastRow="0" w:firstColumn="1" w:lastColumn="0" w:noHBand="0" w:noVBand="1"/>
      </w:tblPr>
      <w:tblGrid>
        <w:gridCol w:w="1980"/>
        <w:gridCol w:w="5245"/>
        <w:gridCol w:w="1603"/>
      </w:tblGrid>
      <w:tr w:rsidR="00386744" w:rsidRPr="00386744" w14:paraId="592DF368" w14:textId="77777777" w:rsidTr="00BE5170">
        <w:trPr>
          <w:jc w:val="center"/>
        </w:trPr>
        <w:tc>
          <w:tcPr>
            <w:tcW w:w="1980" w:type="dxa"/>
            <w:tcBorders>
              <w:top w:val="single" w:sz="4" w:space="0" w:color="auto"/>
              <w:left w:val="single" w:sz="4" w:space="0" w:color="auto"/>
              <w:bottom w:val="single" w:sz="4" w:space="0" w:color="auto"/>
              <w:right w:val="single" w:sz="4" w:space="0" w:color="auto"/>
            </w:tcBorders>
            <w:shd w:val="clear" w:color="auto" w:fill="7B7B7B" w:themeFill="accent3" w:themeFillShade="BF"/>
            <w:hideMark/>
          </w:tcPr>
          <w:p w14:paraId="0B626EC9"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Calibri" w:hAnsi="Palatino Linotype"/>
                <w:b/>
                <w:sz w:val="18"/>
                <w:szCs w:val="20"/>
                <w:lang w:val="es-MX" w:eastAsia="en-US"/>
              </w:rPr>
              <w:t>Elementos del acuerdo de clasificación</w:t>
            </w:r>
          </w:p>
        </w:tc>
        <w:tc>
          <w:tcPr>
            <w:tcW w:w="5245" w:type="dxa"/>
            <w:tcBorders>
              <w:top w:val="single" w:sz="4" w:space="0" w:color="auto"/>
              <w:left w:val="single" w:sz="4" w:space="0" w:color="auto"/>
              <w:bottom w:val="single" w:sz="4" w:space="0" w:color="auto"/>
              <w:right w:val="single" w:sz="4" w:space="0" w:color="auto"/>
            </w:tcBorders>
            <w:shd w:val="clear" w:color="auto" w:fill="7B7B7B" w:themeFill="accent3" w:themeFillShade="BF"/>
            <w:hideMark/>
          </w:tcPr>
          <w:p w14:paraId="5A40D395"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Calibri" w:hAnsi="Palatino Linotype"/>
                <w:b/>
                <w:sz w:val="22"/>
                <w:szCs w:val="20"/>
                <w:lang w:val="es-MX" w:eastAsia="en-US"/>
              </w:rPr>
              <w:t>Contenido</w:t>
            </w:r>
          </w:p>
        </w:tc>
        <w:tc>
          <w:tcPr>
            <w:tcW w:w="1603" w:type="dxa"/>
            <w:tcBorders>
              <w:top w:val="single" w:sz="4" w:space="0" w:color="auto"/>
              <w:left w:val="single" w:sz="4" w:space="0" w:color="auto"/>
              <w:bottom w:val="single" w:sz="4" w:space="0" w:color="auto"/>
              <w:right w:val="single" w:sz="4" w:space="0" w:color="auto"/>
            </w:tcBorders>
            <w:shd w:val="clear" w:color="auto" w:fill="7B7B7B" w:themeFill="accent3" w:themeFillShade="BF"/>
            <w:hideMark/>
          </w:tcPr>
          <w:p w14:paraId="0401EEAC"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Calibri" w:hAnsi="Palatino Linotype"/>
                <w:b/>
                <w:sz w:val="22"/>
                <w:szCs w:val="20"/>
                <w:lang w:val="es-MX" w:eastAsia="en-US"/>
              </w:rPr>
              <w:t>Cumple</w:t>
            </w:r>
          </w:p>
        </w:tc>
      </w:tr>
      <w:tr w:rsidR="00386744" w:rsidRPr="00386744" w14:paraId="2507E3A9" w14:textId="77777777" w:rsidTr="00BE5170">
        <w:trPr>
          <w:jc w:val="center"/>
        </w:trPr>
        <w:tc>
          <w:tcPr>
            <w:tcW w:w="1980" w:type="dxa"/>
            <w:tcBorders>
              <w:top w:val="single" w:sz="4" w:space="0" w:color="auto"/>
              <w:left w:val="single" w:sz="4" w:space="0" w:color="auto"/>
              <w:bottom w:val="single" w:sz="4" w:space="0" w:color="auto"/>
              <w:right w:val="single" w:sz="4" w:space="0" w:color="auto"/>
            </w:tcBorders>
            <w:hideMark/>
          </w:tcPr>
          <w:p w14:paraId="52DFBC17" w14:textId="77777777" w:rsidR="008D5BB8" w:rsidRPr="00386744" w:rsidRDefault="008D5BB8" w:rsidP="00D53D00">
            <w:pPr>
              <w:spacing w:before="100" w:after="200" w:line="276" w:lineRule="auto"/>
              <w:jc w:val="center"/>
              <w:rPr>
                <w:rFonts w:ascii="Palatino Linotype" w:eastAsia="Calibri" w:hAnsi="Palatino Linotype"/>
                <w:sz w:val="18"/>
                <w:szCs w:val="18"/>
                <w:lang w:val="es-MX" w:eastAsia="en-US"/>
              </w:rPr>
            </w:pPr>
            <w:r w:rsidRPr="00386744">
              <w:rPr>
                <w:rFonts w:ascii="Palatino Linotype" w:eastAsia="Calibri" w:hAnsi="Palatino Linotype"/>
                <w:b/>
                <w:sz w:val="18"/>
                <w:szCs w:val="18"/>
                <w:lang w:eastAsia="en-US"/>
              </w:rPr>
              <w:t>Número de folio de la solicitud</w:t>
            </w:r>
          </w:p>
        </w:tc>
        <w:tc>
          <w:tcPr>
            <w:tcW w:w="5245" w:type="dxa"/>
            <w:tcBorders>
              <w:top w:val="single" w:sz="4" w:space="0" w:color="auto"/>
              <w:left w:val="single" w:sz="4" w:space="0" w:color="auto"/>
              <w:bottom w:val="single" w:sz="4" w:space="0" w:color="auto"/>
              <w:right w:val="single" w:sz="4" w:space="0" w:color="auto"/>
            </w:tcBorders>
            <w:hideMark/>
          </w:tcPr>
          <w:p w14:paraId="6C3F99FE" w14:textId="3370975A" w:rsidR="008D5BB8" w:rsidRPr="00386744" w:rsidRDefault="008D5BB8" w:rsidP="008D5BB8">
            <w:pPr>
              <w:spacing w:before="100" w:after="200" w:line="276" w:lineRule="auto"/>
              <w:jc w:val="center"/>
              <w:rPr>
                <w:rFonts w:ascii="Calibri" w:eastAsia="Calibri" w:hAnsi="Calibri"/>
                <w:sz w:val="20"/>
                <w:szCs w:val="20"/>
                <w:lang w:val="es-MX" w:eastAsia="en-US"/>
              </w:rPr>
            </w:pPr>
            <w:r w:rsidRPr="00386744">
              <w:rPr>
                <w:noProof/>
                <w:lang w:val="es-MX" w:eastAsia="es-MX"/>
              </w:rPr>
              <mc:AlternateContent>
                <mc:Choice Requires="wps">
                  <w:drawing>
                    <wp:anchor distT="0" distB="0" distL="114300" distR="114300" simplePos="0" relativeHeight="251677696" behindDoc="0" locked="0" layoutInCell="1" allowOverlap="1" wp14:anchorId="59A7A041" wp14:editId="205956C5">
                      <wp:simplePos x="0" y="0"/>
                      <wp:positionH relativeFrom="column">
                        <wp:posOffset>-16583</wp:posOffset>
                      </wp:positionH>
                      <wp:positionV relativeFrom="paragraph">
                        <wp:posOffset>936625</wp:posOffset>
                      </wp:positionV>
                      <wp:extent cx="1020198" cy="122130"/>
                      <wp:effectExtent l="19050" t="19050" r="27940" b="11430"/>
                      <wp:wrapNone/>
                      <wp:docPr id="69" name="Rectángulo 69"/>
                      <wp:cNvGraphicFramePr/>
                      <a:graphic xmlns:a="http://schemas.openxmlformats.org/drawingml/2006/main">
                        <a:graphicData uri="http://schemas.microsoft.com/office/word/2010/wordprocessingShape">
                          <wps:wsp>
                            <wps:cNvSpPr/>
                            <wps:spPr>
                              <a:xfrm>
                                <a:off x="0" y="0"/>
                                <a:ext cx="1020198" cy="122130"/>
                              </a:xfrm>
                              <a:prstGeom prst="rect">
                                <a:avLst/>
                              </a:prstGeom>
                              <a:noFill/>
                              <a:ln w="285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F3FDE5" id="Rectángulo 69" o:spid="_x0000_s1026" style="position:absolute;margin-left:-1.3pt;margin-top:73.75pt;width:80.35pt;height: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" filled="f" strokecolor="#002060" strokeweight="2.25pt"/>
                  </w:pict>
                </mc:Fallback>
              </mc:AlternateContent>
            </w:r>
            <w:r w:rsidRPr="00386744">
              <w:rPr>
                <w:noProof/>
                <w:lang w:val="es-MX" w:eastAsia="es-MX"/>
              </w:rPr>
              <mc:AlternateContent>
                <mc:Choice Requires="wps">
                  <w:drawing>
                    <wp:anchor distT="0" distB="0" distL="114300" distR="114300" simplePos="0" relativeHeight="251673600" behindDoc="0" locked="0" layoutInCell="1" allowOverlap="1" wp14:anchorId="7890FFB6" wp14:editId="1C03DAFA">
                      <wp:simplePos x="0" y="0"/>
                      <wp:positionH relativeFrom="column">
                        <wp:posOffset>2189260</wp:posOffset>
                      </wp:positionH>
                      <wp:positionV relativeFrom="paragraph">
                        <wp:posOffset>153880</wp:posOffset>
                      </wp:positionV>
                      <wp:extent cx="1020198" cy="122130"/>
                      <wp:effectExtent l="19050" t="19050" r="27940" b="11430"/>
                      <wp:wrapNone/>
                      <wp:docPr id="24" name="Rectángulo 24"/>
                      <wp:cNvGraphicFramePr/>
                      <a:graphic xmlns:a="http://schemas.openxmlformats.org/drawingml/2006/main">
                        <a:graphicData uri="http://schemas.microsoft.com/office/word/2010/wordprocessingShape">
                          <wps:wsp>
                            <wps:cNvSpPr/>
                            <wps:spPr>
                              <a:xfrm>
                                <a:off x="0" y="0"/>
                                <a:ext cx="1020198" cy="122130"/>
                              </a:xfrm>
                              <a:prstGeom prst="rect">
                                <a:avLst/>
                              </a:prstGeom>
                              <a:noFill/>
                              <a:ln w="285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2CE4AFD" id="Rectángulo 24" o:spid="_x0000_s1026" style="position:absolute;margin-left:172.4pt;margin-top:12.1pt;width:80.35pt;height:9.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" filled="f" strokecolor="#002060" strokeweight="2.25pt"/>
                  </w:pict>
                </mc:Fallback>
              </mc:AlternateContent>
            </w:r>
            <w:r w:rsidRPr="00386744">
              <w:object w:dxaOrig="8655" w:dyaOrig="3330" w14:anchorId="24088D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75pt;height:98.9pt" o:ole="">
                  <v:imagedata r:id="rId9" o:title=""/>
                </v:shape>
                <o:OLEObject Type="Embed" ProgID="PBrush" ShapeID="_x0000_i1025" DrawAspect="Content" ObjectID="_1716027671" r:id="rId10"/>
              </w:object>
            </w:r>
          </w:p>
        </w:tc>
        <w:tc>
          <w:tcPr>
            <w:tcW w:w="1603" w:type="dxa"/>
            <w:tcBorders>
              <w:top w:val="single" w:sz="4" w:space="0" w:color="auto"/>
              <w:left w:val="single" w:sz="4" w:space="0" w:color="auto"/>
              <w:bottom w:val="single" w:sz="4" w:space="0" w:color="auto"/>
              <w:right w:val="single" w:sz="4" w:space="0" w:color="auto"/>
            </w:tcBorders>
            <w:hideMark/>
          </w:tcPr>
          <w:p w14:paraId="5F0384BB" w14:textId="0255DF9F" w:rsidR="008D5BB8" w:rsidRPr="00386744" w:rsidRDefault="008D5BB8" w:rsidP="00D53D00">
            <w:pPr>
              <w:spacing w:before="100" w:after="200" w:line="276" w:lineRule="auto"/>
              <w:jc w:val="center"/>
              <w:rPr>
                <w:rFonts w:ascii="Palatino Linotype" w:eastAsia="Calibri" w:hAnsi="Palatino Linotype"/>
                <w:b/>
                <w:sz w:val="20"/>
                <w:szCs w:val="20"/>
                <w:lang w:val="es-MX" w:eastAsia="en-US"/>
              </w:rPr>
            </w:pPr>
            <w:r w:rsidRPr="00386744">
              <w:rPr>
                <w:rFonts w:ascii="Palatino Linotype" w:eastAsia="Calibri" w:hAnsi="Palatino Linotype"/>
                <w:b/>
                <w:szCs w:val="20"/>
                <w:lang w:val="es-MX" w:eastAsia="en-US"/>
              </w:rPr>
              <w:t>Sí</w:t>
            </w:r>
          </w:p>
        </w:tc>
      </w:tr>
      <w:tr w:rsidR="00386744" w:rsidRPr="00386744" w14:paraId="1063D37A" w14:textId="77777777" w:rsidTr="00AA161C">
        <w:trPr>
          <w:jc w:val="center"/>
        </w:trPr>
        <w:tc>
          <w:tcPr>
            <w:tcW w:w="1980" w:type="dxa"/>
            <w:tcBorders>
              <w:top w:val="single" w:sz="4" w:space="0" w:color="auto"/>
              <w:left w:val="single" w:sz="4" w:space="0" w:color="auto"/>
              <w:bottom w:val="single" w:sz="4" w:space="0" w:color="auto"/>
              <w:right w:val="single" w:sz="4" w:space="0" w:color="auto"/>
            </w:tcBorders>
            <w:hideMark/>
          </w:tcPr>
          <w:p w14:paraId="3AB5892F" w14:textId="77777777" w:rsidR="008D5BB8" w:rsidRPr="00386744" w:rsidRDefault="008D5BB8" w:rsidP="00D53D00">
            <w:pPr>
              <w:spacing w:before="100" w:after="200" w:line="276" w:lineRule="auto"/>
              <w:jc w:val="center"/>
              <w:rPr>
                <w:rFonts w:ascii="Palatino Linotype" w:eastAsia="Calibri" w:hAnsi="Palatino Linotype"/>
                <w:sz w:val="18"/>
                <w:szCs w:val="18"/>
                <w:lang w:val="es-MX" w:eastAsia="en-US"/>
              </w:rPr>
            </w:pPr>
            <w:r w:rsidRPr="00386744">
              <w:rPr>
                <w:rFonts w:ascii="Palatino Linotype" w:eastAsia="Calibri" w:hAnsi="Palatino Linotype"/>
                <w:b/>
                <w:sz w:val="18"/>
                <w:szCs w:val="18"/>
                <w:lang w:eastAsia="en-US"/>
              </w:rPr>
              <w:lastRenderedPageBreak/>
              <w:t>Referencia de la información solicitada</w:t>
            </w:r>
          </w:p>
        </w:tc>
        <w:tc>
          <w:tcPr>
            <w:tcW w:w="5245" w:type="dxa"/>
            <w:tcBorders>
              <w:top w:val="single" w:sz="4" w:space="0" w:color="auto"/>
              <w:left w:val="single" w:sz="4" w:space="0" w:color="auto"/>
              <w:bottom w:val="single" w:sz="4" w:space="0" w:color="auto"/>
              <w:right w:val="single" w:sz="4" w:space="0" w:color="auto"/>
            </w:tcBorders>
            <w:hideMark/>
          </w:tcPr>
          <w:p w14:paraId="615CB227" w14:textId="1A856691" w:rsidR="008D5BB8" w:rsidRPr="00386744" w:rsidRDefault="008D5BB8" w:rsidP="00D53D00">
            <w:pPr>
              <w:spacing w:before="100" w:after="200" w:line="276" w:lineRule="auto"/>
              <w:jc w:val="center"/>
              <w:rPr>
                <w:rFonts w:ascii="Palatino Linotype" w:eastAsia="Calibri" w:hAnsi="Palatino Linotype"/>
                <w:lang w:val="es-MX" w:eastAsia="en-US"/>
              </w:rPr>
            </w:pPr>
            <w:r w:rsidRPr="00386744">
              <w:rPr>
                <w:noProof/>
                <w:lang w:val="es-MX" w:eastAsia="es-MX"/>
              </w:rPr>
              <mc:AlternateContent>
                <mc:Choice Requires="wps">
                  <w:drawing>
                    <wp:anchor distT="0" distB="0" distL="114300" distR="114300" simplePos="0" relativeHeight="251674624" behindDoc="0" locked="0" layoutInCell="1" allowOverlap="1" wp14:anchorId="6BF43A68" wp14:editId="3B83F411">
                      <wp:simplePos x="0" y="0"/>
                      <wp:positionH relativeFrom="column">
                        <wp:posOffset>1501</wp:posOffset>
                      </wp:positionH>
                      <wp:positionV relativeFrom="paragraph">
                        <wp:posOffset>1123420</wp:posOffset>
                      </wp:positionV>
                      <wp:extent cx="2316228" cy="236283"/>
                      <wp:effectExtent l="19050" t="19050" r="27305" b="11430"/>
                      <wp:wrapNone/>
                      <wp:docPr id="25" name="Rectángulo 25"/>
                      <wp:cNvGraphicFramePr/>
                      <a:graphic xmlns:a="http://schemas.openxmlformats.org/drawingml/2006/main">
                        <a:graphicData uri="http://schemas.microsoft.com/office/word/2010/wordprocessingShape">
                          <wps:wsp>
                            <wps:cNvSpPr/>
                            <wps:spPr>
                              <a:xfrm>
                                <a:off x="0" y="0"/>
                                <a:ext cx="2316228" cy="236283"/>
                              </a:xfrm>
                              <a:prstGeom prst="rect">
                                <a:avLst/>
                              </a:prstGeom>
                              <a:noFill/>
                              <a:ln w="285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D5A5B9" id="Rectángulo 25" o:spid="_x0000_s1026" style="position:absolute;margin-left:.1pt;margin-top:88.45pt;width:182.4pt;height:18.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" filled="f" strokecolor="#002060" strokeweight="2.25pt"/>
                  </w:pict>
                </mc:Fallback>
              </mc:AlternateContent>
            </w:r>
            <w:r w:rsidRPr="00386744">
              <w:object w:dxaOrig="8655" w:dyaOrig="3330" w14:anchorId="6A88BB46">
                <v:shape id="_x0000_i1026" type="#_x0000_t75" style="width:254.75pt;height:98.9pt" o:ole="">
                  <v:imagedata r:id="rId9" o:title=""/>
                </v:shape>
                <o:OLEObject Type="Embed" ProgID="PBrush" ShapeID="_x0000_i1026" DrawAspect="Content" ObjectID="_1716027672" r:id="rId11"/>
              </w:object>
            </w:r>
          </w:p>
        </w:tc>
        <w:tc>
          <w:tcPr>
            <w:tcW w:w="1603" w:type="dxa"/>
            <w:tcBorders>
              <w:top w:val="single" w:sz="4" w:space="0" w:color="auto"/>
              <w:left w:val="single" w:sz="4" w:space="0" w:color="auto"/>
              <w:bottom w:val="single" w:sz="4" w:space="0" w:color="auto"/>
              <w:right w:val="single" w:sz="4" w:space="0" w:color="auto"/>
            </w:tcBorders>
            <w:vAlign w:val="center"/>
            <w:hideMark/>
          </w:tcPr>
          <w:p w14:paraId="6ADF3792" w14:textId="23FBB708" w:rsidR="008D5BB8" w:rsidRPr="00386744" w:rsidRDefault="00AA161C" w:rsidP="00AA161C">
            <w:pPr>
              <w:spacing w:before="100" w:after="200" w:line="276" w:lineRule="auto"/>
              <w:jc w:val="center"/>
              <w:rPr>
                <w:rFonts w:ascii="Palatino Linotype" w:eastAsia="Calibri" w:hAnsi="Palatino Linotype"/>
                <w:b/>
                <w:lang w:val="es-MX" w:eastAsia="en-US"/>
              </w:rPr>
            </w:pPr>
            <w:r w:rsidRPr="00386744">
              <w:rPr>
                <w:rFonts w:ascii="Palatino Linotype" w:eastAsia="Calibri" w:hAnsi="Palatino Linotype"/>
                <w:b/>
                <w:lang w:val="es-MX" w:eastAsia="en-US"/>
              </w:rPr>
              <w:t xml:space="preserve">Parcial </w:t>
            </w:r>
          </w:p>
        </w:tc>
      </w:tr>
      <w:tr w:rsidR="00386744" w:rsidRPr="00386744" w14:paraId="05E4EAEC" w14:textId="77777777" w:rsidTr="00AA161C">
        <w:trPr>
          <w:jc w:val="center"/>
        </w:trPr>
        <w:tc>
          <w:tcPr>
            <w:tcW w:w="1980" w:type="dxa"/>
            <w:tcBorders>
              <w:top w:val="single" w:sz="4" w:space="0" w:color="auto"/>
              <w:left w:val="single" w:sz="4" w:space="0" w:color="auto"/>
              <w:bottom w:val="single" w:sz="4" w:space="0" w:color="auto"/>
              <w:right w:val="single" w:sz="4" w:space="0" w:color="auto"/>
            </w:tcBorders>
            <w:hideMark/>
          </w:tcPr>
          <w:p w14:paraId="60B4B779" w14:textId="77777777" w:rsidR="008D5BB8" w:rsidRPr="00386744" w:rsidRDefault="008D5BB8" w:rsidP="00BE5170">
            <w:pPr>
              <w:jc w:val="center"/>
              <w:rPr>
                <w:rFonts w:ascii="Palatino Linotype" w:eastAsia="Calibri" w:hAnsi="Palatino Linotype"/>
                <w:sz w:val="18"/>
                <w:szCs w:val="18"/>
                <w:lang w:val="es-MX" w:eastAsia="en-US"/>
              </w:rPr>
            </w:pPr>
            <w:r w:rsidRPr="00386744">
              <w:rPr>
                <w:rFonts w:ascii="Palatino Linotype" w:eastAsia="Palatino Linotype" w:hAnsi="Palatino Linotype" w:cs="Palatino Linotype"/>
                <w:b/>
                <w:sz w:val="16"/>
                <w:szCs w:val="18"/>
                <w:lang w:eastAsia="es-MX"/>
              </w:rPr>
              <w:t>Causal aplicable del artículo 113 de la Ley General, vinculándola con el Lineamiento específico del presente ordenamiento y, cuando corresponda, el supuesto normativo que expresamente le otorga el carácter de información reservada</w:t>
            </w:r>
          </w:p>
        </w:tc>
        <w:tc>
          <w:tcPr>
            <w:tcW w:w="5245" w:type="dxa"/>
            <w:tcBorders>
              <w:top w:val="single" w:sz="4" w:space="0" w:color="auto"/>
              <w:left w:val="single" w:sz="4" w:space="0" w:color="auto"/>
              <w:bottom w:val="single" w:sz="4" w:space="0" w:color="auto"/>
              <w:right w:val="single" w:sz="4" w:space="0" w:color="auto"/>
            </w:tcBorders>
            <w:vAlign w:val="center"/>
            <w:hideMark/>
          </w:tcPr>
          <w:p w14:paraId="75F724DE" w14:textId="0CE08F77" w:rsidR="008D5BB8" w:rsidRPr="00386744" w:rsidRDefault="008D5BB8" w:rsidP="00D53D00">
            <w:pPr>
              <w:spacing w:before="100" w:after="200" w:line="276" w:lineRule="auto"/>
              <w:rPr>
                <w:rFonts w:ascii="Calibri" w:eastAsia="Calibri" w:hAnsi="Calibri"/>
                <w:sz w:val="20"/>
                <w:szCs w:val="20"/>
                <w:lang w:val="es-MX" w:eastAsia="en-US"/>
              </w:rPr>
            </w:pPr>
            <w:r w:rsidRPr="00386744">
              <w:rPr>
                <w:noProof/>
                <w:lang w:val="es-MX" w:eastAsia="es-MX"/>
              </w:rPr>
              <mc:AlternateContent>
                <mc:Choice Requires="wps">
                  <w:drawing>
                    <wp:anchor distT="0" distB="0" distL="114300" distR="114300" simplePos="0" relativeHeight="251679744" behindDoc="0" locked="0" layoutInCell="1" allowOverlap="1" wp14:anchorId="75748C81" wp14:editId="22C0AAD7">
                      <wp:simplePos x="0" y="0"/>
                      <wp:positionH relativeFrom="column">
                        <wp:posOffset>1501</wp:posOffset>
                      </wp:positionH>
                      <wp:positionV relativeFrom="paragraph">
                        <wp:posOffset>67730</wp:posOffset>
                      </wp:positionV>
                      <wp:extent cx="3189064" cy="290945"/>
                      <wp:effectExtent l="19050" t="19050" r="11430" b="13970"/>
                      <wp:wrapNone/>
                      <wp:docPr id="70" name="Rectángulo 70"/>
                      <wp:cNvGraphicFramePr/>
                      <a:graphic xmlns:a="http://schemas.openxmlformats.org/drawingml/2006/main">
                        <a:graphicData uri="http://schemas.microsoft.com/office/word/2010/wordprocessingShape">
                          <wps:wsp>
                            <wps:cNvSpPr/>
                            <wps:spPr>
                              <a:xfrm>
                                <a:off x="0" y="0"/>
                                <a:ext cx="3189064" cy="290945"/>
                              </a:xfrm>
                              <a:prstGeom prst="rect">
                                <a:avLst/>
                              </a:prstGeom>
                              <a:noFill/>
                              <a:ln w="285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7DDB0C" id="Rectángulo 70" o:spid="_x0000_s1026" style="position:absolute;margin-left:.1pt;margin-top:5.35pt;width:251.1pt;height:22.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" filled="f" strokecolor="#002060" strokeweight="2.25pt"/>
                  </w:pict>
                </mc:Fallback>
              </mc:AlternateContent>
            </w:r>
            <w:r w:rsidRPr="00386744">
              <w:object w:dxaOrig="8700" w:dyaOrig="4020" w14:anchorId="7A4F9C8E">
                <v:shape id="_x0000_i1027" type="#_x0000_t75" style="width:251.6pt;height:116.3pt" o:ole="">
                  <v:imagedata r:id="rId12" o:title=""/>
                </v:shape>
                <o:OLEObject Type="Embed" ProgID="PBrush" ShapeID="_x0000_i1027" DrawAspect="Content" ObjectID="_1716027673" r:id="rId13"/>
              </w:object>
            </w:r>
          </w:p>
        </w:tc>
        <w:tc>
          <w:tcPr>
            <w:tcW w:w="1603" w:type="dxa"/>
            <w:tcBorders>
              <w:top w:val="single" w:sz="4" w:space="0" w:color="auto"/>
              <w:left w:val="single" w:sz="4" w:space="0" w:color="auto"/>
              <w:bottom w:val="single" w:sz="4" w:space="0" w:color="auto"/>
              <w:right w:val="single" w:sz="4" w:space="0" w:color="auto"/>
            </w:tcBorders>
            <w:vAlign w:val="center"/>
          </w:tcPr>
          <w:p w14:paraId="3817D8CC" w14:textId="46455B44" w:rsidR="008D5BB8" w:rsidRPr="00386744" w:rsidRDefault="008D5BB8" w:rsidP="00AA161C">
            <w:pPr>
              <w:spacing w:before="100" w:after="200" w:line="276" w:lineRule="auto"/>
              <w:jc w:val="center"/>
              <w:rPr>
                <w:rFonts w:ascii="Palatino Linotype" w:eastAsia="Calibri" w:hAnsi="Palatino Linotype"/>
                <w:b/>
                <w:szCs w:val="20"/>
                <w:lang w:val="es-MX" w:eastAsia="en-US"/>
              </w:rPr>
            </w:pPr>
            <w:r w:rsidRPr="00386744">
              <w:rPr>
                <w:rFonts w:ascii="Palatino Linotype" w:eastAsia="Calibri" w:hAnsi="Palatino Linotype"/>
                <w:b/>
                <w:szCs w:val="20"/>
                <w:lang w:val="es-MX" w:eastAsia="en-US"/>
              </w:rPr>
              <w:t>Sí</w:t>
            </w:r>
          </w:p>
        </w:tc>
      </w:tr>
      <w:tr w:rsidR="00386744" w:rsidRPr="00386744" w14:paraId="4A7ED3FC" w14:textId="77777777" w:rsidTr="00AA161C">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1506EC" w14:textId="77777777" w:rsidR="008D5BB8" w:rsidRPr="00386744" w:rsidRDefault="008D5BB8" w:rsidP="00D53D00">
            <w:pPr>
              <w:spacing w:before="100" w:after="200" w:line="276" w:lineRule="auto"/>
              <w:jc w:val="center"/>
              <w:rPr>
                <w:rFonts w:ascii="Palatino Linotype" w:eastAsia="Calibri" w:hAnsi="Palatino Linotype"/>
                <w:sz w:val="18"/>
                <w:szCs w:val="18"/>
                <w:lang w:val="es-MX" w:eastAsia="en-US"/>
              </w:rPr>
            </w:pPr>
            <w:r w:rsidRPr="00386744">
              <w:rPr>
                <w:rFonts w:ascii="Palatino Linotype" w:eastAsia="Palatino Linotype" w:hAnsi="Palatino Linotype" w:cs="Palatino Linotype"/>
                <w:b/>
                <w:sz w:val="18"/>
                <w:szCs w:val="18"/>
                <w:lang w:eastAsia="es-MX"/>
              </w:rPr>
              <w:t>Fundamento y Motivación Legal</w:t>
            </w:r>
          </w:p>
        </w:tc>
        <w:tc>
          <w:tcPr>
            <w:tcW w:w="5245" w:type="dxa"/>
            <w:tcBorders>
              <w:top w:val="single" w:sz="4" w:space="0" w:color="auto"/>
              <w:left w:val="single" w:sz="4" w:space="0" w:color="auto"/>
              <w:bottom w:val="single" w:sz="4" w:space="0" w:color="auto"/>
              <w:right w:val="single" w:sz="4" w:space="0" w:color="auto"/>
            </w:tcBorders>
            <w:hideMark/>
          </w:tcPr>
          <w:p w14:paraId="30376A67" w14:textId="1B0B0009" w:rsidR="008D5BB8" w:rsidRPr="00386744" w:rsidRDefault="00BE5170" w:rsidP="00D53D00">
            <w:pPr>
              <w:spacing w:before="100" w:after="200" w:line="276" w:lineRule="auto"/>
              <w:rPr>
                <w:rFonts w:ascii="Calibri" w:eastAsia="Calibri" w:hAnsi="Calibri"/>
                <w:sz w:val="20"/>
                <w:szCs w:val="20"/>
                <w:lang w:val="es-MX" w:eastAsia="en-US"/>
              </w:rPr>
            </w:pPr>
            <w:r w:rsidRPr="00386744">
              <w:object w:dxaOrig="8775" w:dyaOrig="9660" w14:anchorId="5A0DE9D1">
                <v:shape id="_x0000_i1028" type="#_x0000_t75" style="width:251.6pt;height:38pt" o:ole="">
                  <v:imagedata r:id="rId14" o:title="" cropbottom="56492f"/>
                </v:shape>
                <o:OLEObject Type="Embed" ProgID="PBrush" ShapeID="_x0000_i1028" DrawAspect="Content" ObjectID="_1716027674" r:id="rId15"/>
              </w:object>
            </w:r>
            <w:r w:rsidRPr="00386744">
              <w:object w:dxaOrig="8775" w:dyaOrig="9660" w14:anchorId="4193766B">
                <v:shape id="_x0000_i1029" type="#_x0000_t75" style="width:251.6pt;height:121.85pt" o:ole="">
                  <v:imagedata r:id="rId14" o:title="" croptop="36640f"/>
                </v:shape>
                <o:OLEObject Type="Embed" ProgID="PBrush" ShapeID="_x0000_i1029" DrawAspect="Content" ObjectID="_1716027675" r:id="rId16"/>
              </w:object>
            </w:r>
          </w:p>
          <w:p w14:paraId="498DA373" w14:textId="17BEC6E2" w:rsidR="008D5BB8" w:rsidRPr="00386744" w:rsidRDefault="00BE5170" w:rsidP="00D53D00">
            <w:pPr>
              <w:spacing w:before="100" w:after="200" w:line="276" w:lineRule="auto"/>
              <w:rPr>
                <w:rFonts w:ascii="Calibri" w:eastAsia="Calibri" w:hAnsi="Calibri"/>
                <w:sz w:val="20"/>
                <w:szCs w:val="20"/>
                <w:lang w:val="es-MX" w:eastAsia="en-US"/>
              </w:rPr>
            </w:pPr>
            <w:r w:rsidRPr="00386744">
              <w:object w:dxaOrig="8715" w:dyaOrig="5940" w14:anchorId="63B47093">
                <v:shape id="_x0000_i1030" type="#_x0000_t75" style="width:251.6pt;height:115.5pt" o:ole="">
                  <v:imagedata r:id="rId17" o:title="" croptop="21399f"/>
                </v:shape>
                <o:OLEObject Type="Embed" ProgID="PBrush" ShapeID="_x0000_i1030" DrawAspect="Content" ObjectID="_1716027676" r:id="rId18"/>
              </w:object>
            </w:r>
          </w:p>
        </w:tc>
        <w:tc>
          <w:tcPr>
            <w:tcW w:w="1603" w:type="dxa"/>
            <w:tcBorders>
              <w:top w:val="single" w:sz="4" w:space="0" w:color="auto"/>
              <w:left w:val="single" w:sz="4" w:space="0" w:color="auto"/>
              <w:bottom w:val="single" w:sz="4" w:space="0" w:color="auto"/>
              <w:right w:val="single" w:sz="4" w:space="0" w:color="auto"/>
            </w:tcBorders>
            <w:vAlign w:val="center"/>
            <w:hideMark/>
          </w:tcPr>
          <w:p w14:paraId="58FBAF3E" w14:textId="165DC5B3" w:rsidR="008D5BB8" w:rsidRPr="00386744" w:rsidRDefault="00BE5170" w:rsidP="00AA161C">
            <w:pPr>
              <w:spacing w:before="100" w:after="200" w:line="276" w:lineRule="auto"/>
              <w:jc w:val="center"/>
              <w:rPr>
                <w:rFonts w:ascii="Palatino Linotype" w:eastAsia="Calibri" w:hAnsi="Palatino Linotype"/>
                <w:b/>
                <w:sz w:val="20"/>
                <w:szCs w:val="20"/>
                <w:lang w:val="es-MX" w:eastAsia="en-US"/>
              </w:rPr>
            </w:pPr>
            <w:r w:rsidRPr="00386744">
              <w:rPr>
                <w:rFonts w:ascii="Palatino Linotype" w:eastAsia="Calibri" w:hAnsi="Palatino Linotype"/>
                <w:b/>
                <w:sz w:val="20"/>
                <w:szCs w:val="20"/>
                <w:lang w:val="es-MX" w:eastAsia="en-US"/>
              </w:rPr>
              <w:t>Parcial</w:t>
            </w:r>
          </w:p>
        </w:tc>
      </w:tr>
      <w:tr w:rsidR="00386744" w:rsidRPr="00386744" w14:paraId="7AE377FC" w14:textId="77777777" w:rsidTr="00AA161C">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7E974B0D" w14:textId="77777777" w:rsidR="008D5BB8" w:rsidRPr="00386744" w:rsidRDefault="008D5BB8" w:rsidP="00AA161C">
            <w:pPr>
              <w:spacing w:before="100" w:after="200" w:line="276" w:lineRule="auto"/>
              <w:jc w:val="center"/>
              <w:rPr>
                <w:rFonts w:ascii="Palatino Linotype" w:eastAsia="Palatino Linotype" w:hAnsi="Palatino Linotype" w:cs="Palatino Linotype"/>
                <w:b/>
                <w:sz w:val="16"/>
                <w:szCs w:val="16"/>
                <w:lang w:eastAsia="es-MX"/>
              </w:rPr>
            </w:pPr>
            <w:r w:rsidRPr="00386744">
              <w:rPr>
                <w:rFonts w:ascii="Palatino Linotype" w:eastAsia="Palatino Linotype" w:hAnsi="Palatino Linotype" w:cs="Palatino Linotype"/>
                <w:b/>
                <w:sz w:val="16"/>
                <w:szCs w:val="16"/>
                <w:lang w:eastAsia="es-MX"/>
              </w:rPr>
              <w:lastRenderedPageBreak/>
              <w:t>Conexión entre los fundamentos y motivos que dieron origen a la Reserva de la información</w:t>
            </w:r>
          </w:p>
        </w:tc>
        <w:tc>
          <w:tcPr>
            <w:tcW w:w="5245" w:type="dxa"/>
            <w:tcBorders>
              <w:top w:val="single" w:sz="4" w:space="0" w:color="auto"/>
              <w:left w:val="single" w:sz="4" w:space="0" w:color="auto"/>
              <w:bottom w:val="single" w:sz="4" w:space="0" w:color="auto"/>
              <w:right w:val="single" w:sz="4" w:space="0" w:color="auto"/>
            </w:tcBorders>
            <w:hideMark/>
          </w:tcPr>
          <w:p w14:paraId="0D273021" w14:textId="025A298E" w:rsidR="008D5BB8" w:rsidRPr="00386744" w:rsidRDefault="00046874" w:rsidP="00D53D00">
            <w:pPr>
              <w:spacing w:before="100" w:after="200" w:line="276" w:lineRule="auto"/>
              <w:rPr>
                <w:rFonts w:ascii="Calibri" w:eastAsia="Calibri" w:hAnsi="Calibri"/>
                <w:sz w:val="20"/>
                <w:szCs w:val="20"/>
                <w:lang w:val="es-MX" w:eastAsia="en-US"/>
              </w:rPr>
            </w:pPr>
            <w:r w:rsidRPr="00386744">
              <w:object w:dxaOrig="8775" w:dyaOrig="9660" w14:anchorId="0CC1D021">
                <v:shape id="_x0000_i1031" type="#_x0000_t75" style="width:251.6pt;height:38pt" o:ole="">
                  <v:imagedata r:id="rId14" o:title="" cropbottom="56492f"/>
                </v:shape>
                <o:OLEObject Type="Embed" ProgID="PBrush" ShapeID="_x0000_i1031" DrawAspect="Content" ObjectID="_1716027677" r:id="rId19"/>
              </w:object>
            </w:r>
          </w:p>
          <w:p w14:paraId="57CCB7AA" w14:textId="6A1292FA" w:rsidR="008D5BB8" w:rsidRPr="00386744" w:rsidRDefault="00046874" w:rsidP="00D53D00">
            <w:pPr>
              <w:spacing w:before="100" w:after="200" w:line="276" w:lineRule="auto"/>
              <w:rPr>
                <w:rFonts w:ascii="Calibri" w:eastAsia="Calibri" w:hAnsi="Calibri"/>
                <w:sz w:val="20"/>
                <w:szCs w:val="20"/>
                <w:lang w:val="es-MX" w:eastAsia="en-US"/>
              </w:rPr>
            </w:pPr>
            <w:r w:rsidRPr="00386744">
              <w:object w:dxaOrig="8775" w:dyaOrig="9660" w14:anchorId="451E45BB">
                <v:shape id="_x0000_i1032" type="#_x0000_t75" style="width:251.6pt;height:121.85pt" o:ole="">
                  <v:imagedata r:id="rId14" o:title="" croptop="36640f"/>
                </v:shape>
                <o:OLEObject Type="Embed" ProgID="PBrush" ShapeID="_x0000_i1032" DrawAspect="Content" ObjectID="_1716027678" r:id="rId20"/>
              </w:object>
            </w:r>
          </w:p>
        </w:tc>
        <w:tc>
          <w:tcPr>
            <w:tcW w:w="1603" w:type="dxa"/>
            <w:tcBorders>
              <w:top w:val="single" w:sz="4" w:space="0" w:color="auto"/>
              <w:left w:val="single" w:sz="4" w:space="0" w:color="auto"/>
              <w:bottom w:val="single" w:sz="4" w:space="0" w:color="auto"/>
              <w:right w:val="single" w:sz="4" w:space="0" w:color="auto"/>
            </w:tcBorders>
            <w:vAlign w:val="center"/>
            <w:hideMark/>
          </w:tcPr>
          <w:p w14:paraId="55BC0F77" w14:textId="241B6FA4" w:rsidR="008D5BB8" w:rsidRPr="00386744" w:rsidRDefault="00046874" w:rsidP="00046874">
            <w:pPr>
              <w:spacing w:before="100" w:after="200" w:line="276" w:lineRule="auto"/>
              <w:jc w:val="center"/>
              <w:rPr>
                <w:rFonts w:ascii="Palatino Linotype" w:eastAsia="Calibri" w:hAnsi="Palatino Linotype"/>
                <w:b/>
                <w:szCs w:val="20"/>
                <w:lang w:val="es-MX" w:eastAsia="en-US"/>
              </w:rPr>
            </w:pPr>
            <w:r w:rsidRPr="00386744">
              <w:rPr>
                <w:rFonts w:ascii="Palatino Linotype" w:eastAsia="Calibri" w:hAnsi="Palatino Linotype"/>
                <w:b/>
                <w:szCs w:val="20"/>
                <w:lang w:val="es-MX" w:eastAsia="en-US"/>
              </w:rPr>
              <w:t>Parcial</w:t>
            </w:r>
          </w:p>
          <w:p w14:paraId="44D6AE24" w14:textId="0B3D9CFB" w:rsidR="00046874" w:rsidRPr="00386744" w:rsidRDefault="00046874" w:rsidP="00046874">
            <w:pPr>
              <w:spacing w:before="100" w:after="200" w:line="276" w:lineRule="auto"/>
              <w:rPr>
                <w:rFonts w:ascii="Palatino Linotype" w:eastAsia="Calibri" w:hAnsi="Palatino Linotype"/>
                <w:b/>
                <w:sz w:val="20"/>
                <w:szCs w:val="20"/>
                <w:lang w:val="es-MX" w:eastAsia="en-US"/>
              </w:rPr>
            </w:pPr>
          </w:p>
        </w:tc>
      </w:tr>
      <w:tr w:rsidR="00386744" w:rsidRPr="00386744" w14:paraId="3B58CDFA" w14:textId="77777777" w:rsidTr="00BE5170">
        <w:trPr>
          <w:jc w:val="center"/>
        </w:trPr>
        <w:tc>
          <w:tcPr>
            <w:tcW w:w="8828" w:type="dxa"/>
            <w:gridSpan w:val="3"/>
            <w:tcBorders>
              <w:top w:val="single" w:sz="4" w:space="0" w:color="auto"/>
              <w:left w:val="single" w:sz="4" w:space="0" w:color="auto"/>
              <w:bottom w:val="single" w:sz="4" w:space="0" w:color="auto"/>
              <w:right w:val="single" w:sz="4" w:space="0" w:color="auto"/>
            </w:tcBorders>
            <w:shd w:val="clear" w:color="auto" w:fill="7B7B7B" w:themeFill="accent3" w:themeFillShade="BF"/>
            <w:hideMark/>
          </w:tcPr>
          <w:p w14:paraId="037F07BF" w14:textId="77777777" w:rsidR="008D5BB8" w:rsidRPr="00386744" w:rsidRDefault="008D5BB8" w:rsidP="00D53D00">
            <w:pPr>
              <w:spacing w:before="100" w:after="200" w:line="276" w:lineRule="auto"/>
              <w:jc w:val="center"/>
              <w:rPr>
                <w:rFonts w:ascii="Palatino Linotype" w:eastAsia="Calibri" w:hAnsi="Palatino Linotype"/>
                <w:b/>
                <w:szCs w:val="20"/>
                <w:lang w:val="es-MX" w:eastAsia="en-US"/>
              </w:rPr>
            </w:pPr>
            <w:r w:rsidRPr="00386744">
              <w:rPr>
                <w:rFonts w:ascii="Palatino Linotype" w:eastAsia="Calibri" w:hAnsi="Palatino Linotype"/>
                <w:b/>
                <w:sz w:val="22"/>
                <w:szCs w:val="20"/>
                <w:lang w:val="es-MX" w:eastAsia="en-US"/>
              </w:rPr>
              <w:t>Elementos de la prueba de daño</w:t>
            </w:r>
          </w:p>
        </w:tc>
      </w:tr>
      <w:tr w:rsidR="00386744" w:rsidRPr="00386744" w14:paraId="74077745" w14:textId="77777777" w:rsidTr="00AA161C">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58E2D45F" w14:textId="77777777" w:rsidR="008D5BB8" w:rsidRPr="00386744" w:rsidRDefault="008D5BB8" w:rsidP="00D53D00">
            <w:pPr>
              <w:spacing w:after="120" w:line="256" w:lineRule="auto"/>
              <w:jc w:val="center"/>
              <w:rPr>
                <w:rFonts w:ascii="Palatino Linotype" w:eastAsia="Palatino Linotype" w:hAnsi="Palatino Linotype" w:cs="Palatino Linotype"/>
                <w:b/>
                <w:sz w:val="16"/>
                <w:szCs w:val="16"/>
                <w:lang w:eastAsia="es-MX"/>
              </w:rPr>
            </w:pPr>
            <w:r w:rsidRPr="00386744">
              <w:rPr>
                <w:rFonts w:ascii="Palatino Linotype" w:eastAsia="Palatino Linotype" w:hAnsi="Palatino Linotype" w:cs="Palatino Linotype"/>
                <w:b/>
                <w:sz w:val="16"/>
                <w:szCs w:val="16"/>
                <w:lang w:eastAsia="es-MX"/>
              </w:rPr>
              <w:lastRenderedPageBreak/>
              <w:t>Riesgo Real, Demostrable e Identificable</w:t>
            </w:r>
          </w:p>
          <w:p w14:paraId="10FA3793"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Palatino Linotype" w:hAnsi="Palatino Linotype" w:cs="Palatino Linotype"/>
                <w:b/>
                <w:sz w:val="16"/>
                <w:szCs w:val="16"/>
                <w:lang w:eastAsia="es-MX"/>
              </w:rPr>
              <w:t>(Modo, Tiempo y Lugar)</w:t>
            </w:r>
          </w:p>
        </w:tc>
        <w:tc>
          <w:tcPr>
            <w:tcW w:w="5245" w:type="dxa"/>
            <w:tcBorders>
              <w:top w:val="single" w:sz="4" w:space="0" w:color="auto"/>
              <w:left w:val="single" w:sz="4" w:space="0" w:color="auto"/>
              <w:bottom w:val="single" w:sz="4" w:space="0" w:color="auto"/>
              <w:right w:val="single" w:sz="4" w:space="0" w:color="auto"/>
            </w:tcBorders>
            <w:hideMark/>
          </w:tcPr>
          <w:p w14:paraId="6A32CDEE" w14:textId="594B9AFF" w:rsidR="008D5BB8" w:rsidRPr="00386744" w:rsidRDefault="00046874" w:rsidP="00D53D00">
            <w:pPr>
              <w:spacing w:before="100" w:after="200" w:line="276" w:lineRule="auto"/>
              <w:jc w:val="center"/>
              <w:rPr>
                <w:rFonts w:ascii="Palatino Linotype" w:eastAsia="Calibri" w:hAnsi="Palatino Linotype"/>
                <w:b/>
                <w:sz w:val="22"/>
                <w:szCs w:val="20"/>
                <w:lang w:val="es-MX" w:eastAsia="en-US"/>
              </w:rPr>
            </w:pPr>
            <w:r w:rsidRPr="00386744">
              <w:object w:dxaOrig="8865" w:dyaOrig="11415" w14:anchorId="6ED9B77E">
                <v:shape id="_x0000_i1033" type="#_x0000_t75" style="width:252.4pt;height:322.8pt" o:ole="">
                  <v:imagedata r:id="rId21" o:title=""/>
                </v:shape>
                <o:OLEObject Type="Embed" ProgID="PBrush" ShapeID="_x0000_i1033" DrawAspect="Content" ObjectID="_1716027679" r:id="rId22"/>
              </w:object>
            </w:r>
          </w:p>
          <w:p w14:paraId="06163E71" w14:textId="016F7154" w:rsidR="00046874" w:rsidRPr="00386744" w:rsidRDefault="00046874" w:rsidP="00046874">
            <w:pPr>
              <w:spacing w:before="100" w:after="200" w:line="276" w:lineRule="auto"/>
              <w:jc w:val="center"/>
            </w:pPr>
            <w:r w:rsidRPr="00386744">
              <w:object w:dxaOrig="8955" w:dyaOrig="8085" w14:anchorId="67A6291D">
                <v:shape id="_x0000_i1034" type="#_x0000_t75" style="width:250pt;height:226.3pt" o:ole="">
                  <v:imagedata r:id="rId23" o:title=""/>
                </v:shape>
                <o:OLEObject Type="Embed" ProgID="PBrush" ShapeID="_x0000_i1034" DrawAspect="Content" ObjectID="_1716027680" r:id="rId24"/>
              </w:object>
            </w:r>
          </w:p>
        </w:tc>
        <w:tc>
          <w:tcPr>
            <w:tcW w:w="1603" w:type="dxa"/>
            <w:tcBorders>
              <w:top w:val="single" w:sz="4" w:space="0" w:color="auto"/>
              <w:left w:val="single" w:sz="4" w:space="0" w:color="auto"/>
              <w:bottom w:val="single" w:sz="4" w:space="0" w:color="auto"/>
              <w:right w:val="single" w:sz="4" w:space="0" w:color="auto"/>
            </w:tcBorders>
            <w:vAlign w:val="center"/>
            <w:hideMark/>
          </w:tcPr>
          <w:p w14:paraId="4F365FD6" w14:textId="74673DE3" w:rsidR="00046874" w:rsidRPr="00386744" w:rsidRDefault="00046874" w:rsidP="00AA161C">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Calibri" w:hAnsi="Palatino Linotype"/>
                <w:b/>
                <w:sz w:val="22"/>
                <w:szCs w:val="20"/>
                <w:lang w:val="es-MX" w:eastAsia="en-US"/>
              </w:rPr>
              <w:t>Parcial</w:t>
            </w:r>
          </w:p>
        </w:tc>
      </w:tr>
      <w:tr w:rsidR="00386744" w:rsidRPr="00386744" w14:paraId="4A71F3ED" w14:textId="77777777" w:rsidTr="00046874">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5D778CCC"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Palatino Linotype" w:hAnsi="Palatino Linotype" w:cs="Palatino Linotype"/>
                <w:b/>
                <w:sz w:val="16"/>
                <w:szCs w:val="16"/>
                <w:lang w:eastAsia="es-MX"/>
              </w:rPr>
              <w:lastRenderedPageBreak/>
              <w:t>Temporalidad de la Reserva de la información</w:t>
            </w:r>
          </w:p>
        </w:tc>
        <w:tc>
          <w:tcPr>
            <w:tcW w:w="5245" w:type="dxa"/>
            <w:tcBorders>
              <w:top w:val="single" w:sz="4" w:space="0" w:color="auto"/>
              <w:left w:val="single" w:sz="4" w:space="0" w:color="auto"/>
              <w:bottom w:val="single" w:sz="4" w:space="0" w:color="auto"/>
              <w:right w:val="single" w:sz="4" w:space="0" w:color="auto"/>
            </w:tcBorders>
            <w:vAlign w:val="center"/>
            <w:hideMark/>
          </w:tcPr>
          <w:p w14:paraId="4E615C54" w14:textId="2412DA2B" w:rsidR="008D5BB8" w:rsidRPr="00386744" w:rsidRDefault="00046874" w:rsidP="00D53D00">
            <w:pPr>
              <w:spacing w:before="100" w:after="200" w:line="276" w:lineRule="auto"/>
              <w:jc w:val="center"/>
              <w:rPr>
                <w:rFonts w:ascii="Palatino Linotype" w:eastAsia="Calibri" w:hAnsi="Palatino Linotype"/>
                <w:b/>
                <w:sz w:val="22"/>
                <w:szCs w:val="20"/>
                <w:lang w:val="es-MX" w:eastAsia="en-US"/>
              </w:rPr>
            </w:pPr>
            <w:r w:rsidRPr="00386744">
              <w:object w:dxaOrig="8745" w:dyaOrig="525" w14:anchorId="6EDE9C89">
                <v:shape id="_x0000_i1035" type="#_x0000_t75" style="width:251.6pt;height:15.05pt" o:ole="">
                  <v:imagedata r:id="rId25" o:title=""/>
                </v:shape>
                <o:OLEObject Type="Embed" ProgID="PBrush" ShapeID="_x0000_i1035" DrawAspect="Content" ObjectID="_1716027681" r:id="rId26"/>
              </w:object>
            </w:r>
          </w:p>
        </w:tc>
        <w:tc>
          <w:tcPr>
            <w:tcW w:w="1603" w:type="dxa"/>
            <w:tcBorders>
              <w:top w:val="single" w:sz="4" w:space="0" w:color="auto"/>
              <w:left w:val="single" w:sz="4" w:space="0" w:color="auto"/>
              <w:bottom w:val="single" w:sz="4" w:space="0" w:color="auto"/>
              <w:right w:val="single" w:sz="4" w:space="0" w:color="auto"/>
            </w:tcBorders>
            <w:vAlign w:val="center"/>
            <w:hideMark/>
          </w:tcPr>
          <w:p w14:paraId="081FE3C7"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Calibri" w:hAnsi="Palatino Linotype"/>
                <w:b/>
                <w:szCs w:val="20"/>
                <w:lang w:val="es-MX" w:eastAsia="en-US"/>
              </w:rPr>
              <w:t xml:space="preserve">Sí </w:t>
            </w:r>
          </w:p>
        </w:tc>
      </w:tr>
      <w:tr w:rsidR="00386744" w:rsidRPr="00386744" w14:paraId="211D3543" w14:textId="77777777" w:rsidTr="00BE5170">
        <w:trPr>
          <w:jc w:val="center"/>
        </w:trPr>
        <w:tc>
          <w:tcPr>
            <w:tcW w:w="1980" w:type="dxa"/>
            <w:tcBorders>
              <w:top w:val="single" w:sz="4" w:space="0" w:color="auto"/>
              <w:left w:val="single" w:sz="4" w:space="0" w:color="auto"/>
              <w:bottom w:val="single" w:sz="4" w:space="0" w:color="auto"/>
              <w:right w:val="single" w:sz="4" w:space="0" w:color="auto"/>
            </w:tcBorders>
            <w:hideMark/>
          </w:tcPr>
          <w:p w14:paraId="10A7B280"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Palatino Linotype" w:hAnsi="Palatino Linotype" w:cs="Palatino Linotype"/>
                <w:b/>
                <w:sz w:val="16"/>
                <w:szCs w:val="16"/>
                <w:lang w:eastAsia="es-MX"/>
              </w:rPr>
              <w:t>Autoridades competentes.</w:t>
            </w:r>
          </w:p>
        </w:tc>
        <w:tc>
          <w:tcPr>
            <w:tcW w:w="5245" w:type="dxa"/>
            <w:tcBorders>
              <w:top w:val="single" w:sz="4" w:space="0" w:color="auto"/>
              <w:left w:val="single" w:sz="4" w:space="0" w:color="auto"/>
              <w:bottom w:val="single" w:sz="4" w:space="0" w:color="auto"/>
              <w:right w:val="single" w:sz="4" w:space="0" w:color="auto"/>
            </w:tcBorders>
            <w:hideMark/>
          </w:tcPr>
          <w:p w14:paraId="2913A8FD" w14:textId="4DF8128E" w:rsidR="008D5BB8" w:rsidRPr="00386744" w:rsidRDefault="002879B9" w:rsidP="00046874">
            <w:pPr>
              <w:spacing w:before="100" w:after="200" w:line="276" w:lineRule="auto"/>
              <w:jc w:val="center"/>
              <w:rPr>
                <w:rFonts w:ascii="Palatino Linotype" w:eastAsia="Calibri" w:hAnsi="Palatino Linotype"/>
                <w:b/>
                <w:sz w:val="22"/>
                <w:szCs w:val="20"/>
                <w:lang w:val="es-MX" w:eastAsia="en-US"/>
              </w:rPr>
            </w:pPr>
            <w:r w:rsidRPr="00386744">
              <w:object w:dxaOrig="7965" w:dyaOrig="9195" w14:anchorId="6538E157">
                <v:shape id="_x0000_i1036" type="#_x0000_t75" style="width:253.2pt;height:236.55pt" o:ole="">
                  <v:imagedata r:id="rId27" o:title="" cropbottom="12024f"/>
                </v:shape>
                <o:OLEObject Type="Embed" ProgID="PBrush" ShapeID="_x0000_i1036" DrawAspect="Content" ObjectID="_1716027682" r:id="rId28"/>
              </w:object>
            </w:r>
          </w:p>
        </w:tc>
        <w:tc>
          <w:tcPr>
            <w:tcW w:w="1603" w:type="dxa"/>
            <w:tcBorders>
              <w:top w:val="single" w:sz="4" w:space="0" w:color="auto"/>
              <w:left w:val="single" w:sz="4" w:space="0" w:color="auto"/>
              <w:bottom w:val="single" w:sz="4" w:space="0" w:color="auto"/>
              <w:right w:val="single" w:sz="4" w:space="0" w:color="auto"/>
            </w:tcBorders>
            <w:hideMark/>
          </w:tcPr>
          <w:p w14:paraId="7246CC6C" w14:textId="77777777" w:rsidR="008D5BB8" w:rsidRPr="00386744" w:rsidRDefault="008D5BB8" w:rsidP="00D53D00">
            <w:pPr>
              <w:spacing w:before="100" w:after="200" w:line="276" w:lineRule="auto"/>
              <w:jc w:val="center"/>
              <w:rPr>
                <w:rFonts w:ascii="Palatino Linotype" w:eastAsia="Calibri" w:hAnsi="Palatino Linotype"/>
                <w:b/>
                <w:sz w:val="22"/>
                <w:szCs w:val="20"/>
                <w:lang w:val="es-MX" w:eastAsia="en-US"/>
              </w:rPr>
            </w:pPr>
            <w:r w:rsidRPr="00386744">
              <w:rPr>
                <w:rFonts w:ascii="Palatino Linotype" w:eastAsia="Calibri" w:hAnsi="Palatino Linotype"/>
                <w:b/>
                <w:sz w:val="22"/>
                <w:szCs w:val="20"/>
                <w:lang w:val="es-MX" w:eastAsia="en-US"/>
              </w:rPr>
              <w:t>Sí</w:t>
            </w:r>
          </w:p>
        </w:tc>
      </w:tr>
    </w:tbl>
    <w:p w14:paraId="71689642" w14:textId="545955E4" w:rsidR="00D53D00" w:rsidRPr="00386744" w:rsidRDefault="00046874" w:rsidP="00046874">
      <w:pPr>
        <w:spacing w:before="240" w:after="240" w:line="360" w:lineRule="auto"/>
        <w:jc w:val="both"/>
        <w:rPr>
          <w:rFonts w:ascii="Palatino Linotype" w:hAnsi="Palatino Linotype"/>
        </w:rPr>
      </w:pPr>
      <w:r w:rsidRPr="00386744">
        <w:rPr>
          <w:rFonts w:ascii="Palatino Linotype" w:eastAsia="Palatino Linotype" w:hAnsi="Palatino Linotype" w:cs="Palatino Linotype"/>
          <w:lang w:eastAsia="es-MX"/>
        </w:rPr>
        <w:t xml:space="preserve">Como se vislumbra, el </w:t>
      </w:r>
      <w:r w:rsidR="00624A34" w:rsidRPr="00386744">
        <w:rPr>
          <w:rFonts w:ascii="Palatino Linotype" w:eastAsia="Palatino Linotype" w:hAnsi="Palatino Linotype" w:cs="Palatino Linotype"/>
          <w:b/>
          <w:lang w:eastAsia="es-MX"/>
        </w:rPr>
        <w:t>Sujeto Obligado</w:t>
      </w:r>
      <w:r w:rsidRPr="00386744">
        <w:rPr>
          <w:rFonts w:ascii="Palatino Linotype" w:eastAsia="Palatino Linotype" w:hAnsi="Palatino Linotype" w:cs="Palatino Linotype"/>
          <w:lang w:eastAsia="es-MX"/>
        </w:rPr>
        <w:t xml:space="preserve">, realizó la prueba de daño y precisó las razones por las cuales la apertura de la información generaría una afectación, sin embargo, no </w:t>
      </w:r>
      <w:r w:rsidR="00343B59" w:rsidRPr="00386744">
        <w:rPr>
          <w:rFonts w:ascii="Palatino Linotype" w:eastAsia="Palatino Linotype" w:hAnsi="Palatino Linotype" w:cs="Palatino Linotype"/>
          <w:lang w:eastAsia="es-MX"/>
        </w:rPr>
        <w:t xml:space="preserve">acreditó de manera fehaciente como </w:t>
      </w:r>
      <w:r w:rsidR="00D53D00" w:rsidRPr="00386744">
        <w:rPr>
          <w:rFonts w:ascii="Palatino Linotype" w:eastAsia="Palatino Linotype" w:hAnsi="Palatino Linotype" w:cs="Palatino Linotype"/>
          <w:lang w:eastAsia="es-MX"/>
        </w:rPr>
        <w:t xml:space="preserve">la divulgación del nombre de los elementos de seguridad y la publicidad de sus recibos de nómina, concretamente, </w:t>
      </w:r>
      <w:r w:rsidRPr="00386744">
        <w:rPr>
          <w:rFonts w:ascii="Palatino Linotype" w:eastAsia="Palatino Linotype" w:hAnsi="Palatino Linotype" w:cs="Palatino Linotype"/>
          <w:lang w:eastAsia="es-MX"/>
        </w:rPr>
        <w:t xml:space="preserve"> representa un riesgo real, demostrable e identificable, ni se estableció que el perjuicio supera el interés público general que pudiera existir sobre la información requerida, </w:t>
      </w:r>
      <w:r w:rsidR="00D53D00" w:rsidRPr="00386744">
        <w:rPr>
          <w:rFonts w:ascii="Palatino Linotype" w:eastAsia="Palatino Linotype" w:hAnsi="Palatino Linotype" w:cs="Palatino Linotype"/>
          <w:lang w:eastAsia="es-MX"/>
        </w:rPr>
        <w:t xml:space="preserve">en consecuencia, se concluye que </w:t>
      </w:r>
      <w:r w:rsidRPr="00386744">
        <w:rPr>
          <w:rFonts w:ascii="Palatino Linotype" w:eastAsia="Palatino Linotype" w:hAnsi="Palatino Linotype" w:cs="Palatino Linotype"/>
          <w:lang w:eastAsia="es-MX"/>
        </w:rPr>
        <w:t xml:space="preserve">este no </w:t>
      </w:r>
      <w:r w:rsidR="00D53D00" w:rsidRPr="00386744">
        <w:rPr>
          <w:rFonts w:ascii="Palatino Linotype" w:eastAsia="Palatino Linotype" w:hAnsi="Palatino Linotype" w:cs="Palatino Linotype"/>
          <w:lang w:eastAsia="es-MX"/>
        </w:rPr>
        <w:t xml:space="preserve">se encuentra </w:t>
      </w:r>
      <w:r w:rsidRPr="00386744">
        <w:rPr>
          <w:rFonts w:ascii="Palatino Linotype" w:eastAsia="Palatino Linotype" w:hAnsi="Palatino Linotype" w:cs="Palatino Linotype"/>
          <w:lang w:eastAsia="es-MX"/>
        </w:rPr>
        <w:t>debidamente fundado y motivado</w:t>
      </w:r>
      <w:r w:rsidRPr="00386744">
        <w:rPr>
          <w:rFonts w:ascii="Palatino Linotype" w:hAnsi="Palatino Linotype" w:cs="Arial"/>
          <w:lang w:eastAsia="es-MX"/>
        </w:rPr>
        <w:t xml:space="preserve">, </w:t>
      </w:r>
      <w:r w:rsidRPr="00386744">
        <w:rPr>
          <w:rFonts w:ascii="Palatino Linotype" w:hAnsi="Palatino Linotype" w:cs="Arial"/>
        </w:rPr>
        <w:t xml:space="preserve">en términos de lo dispuesto en </w:t>
      </w:r>
      <w:r w:rsidR="00D53D00" w:rsidRPr="00386744">
        <w:rPr>
          <w:rFonts w:ascii="Palatino Linotype" w:hAnsi="Palatino Linotype"/>
        </w:rPr>
        <w:t>los artículos 128, 129 y 140</w:t>
      </w:r>
      <w:r w:rsidRPr="00386744">
        <w:rPr>
          <w:rFonts w:ascii="Palatino Linotype" w:hAnsi="Palatino Linotype"/>
        </w:rPr>
        <w:t xml:space="preserve"> de la Ley de Trasparencia y Acceso a la Información Pública de</w:t>
      </w:r>
      <w:r w:rsidR="00D53D00" w:rsidRPr="00386744">
        <w:rPr>
          <w:rFonts w:ascii="Palatino Linotype" w:hAnsi="Palatino Linotype"/>
        </w:rPr>
        <w:t>l Estado de México y Municipios.</w:t>
      </w:r>
    </w:p>
    <w:p w14:paraId="61BE3807" w14:textId="7B0EA5AC" w:rsidR="0008704E" w:rsidRPr="00386744" w:rsidRDefault="00D53D00" w:rsidP="00B1241C">
      <w:pPr>
        <w:spacing w:before="240" w:after="240" w:line="360" w:lineRule="auto"/>
        <w:jc w:val="both"/>
        <w:rPr>
          <w:rFonts w:ascii="Palatino Linotype" w:eastAsia="Palatino Linotype" w:hAnsi="Palatino Linotype" w:cs="Palatino Linotype"/>
        </w:rPr>
      </w:pPr>
      <w:r w:rsidRPr="00386744">
        <w:rPr>
          <w:rFonts w:ascii="Palatino Linotype" w:hAnsi="Palatino Linotype"/>
        </w:rPr>
        <w:lastRenderedPageBreak/>
        <w:t xml:space="preserve">Al respecto, además, es de mencionar que este </w:t>
      </w:r>
      <w:r w:rsidR="00B17A2F" w:rsidRPr="00386744">
        <w:rPr>
          <w:rFonts w:ascii="Palatino Linotype" w:eastAsia="Palatino Linotype" w:hAnsi="Palatino Linotype" w:cs="Palatino Linotype"/>
        </w:rPr>
        <w:t xml:space="preserve">Organismo Garante </w:t>
      </w:r>
      <w:r w:rsidRPr="00386744">
        <w:rPr>
          <w:rFonts w:ascii="Palatino Linotype" w:eastAsia="Palatino Linotype" w:hAnsi="Palatino Linotype" w:cs="Palatino Linotype"/>
        </w:rPr>
        <w:t xml:space="preserve">coincide con la clasificación </w:t>
      </w:r>
      <w:r w:rsidR="00B17A2F" w:rsidRPr="00386744">
        <w:rPr>
          <w:rFonts w:ascii="Palatino Linotype" w:eastAsia="Palatino Linotype" w:hAnsi="Palatino Linotype" w:cs="Palatino Linotype"/>
        </w:rPr>
        <w:t>únicamente por cuanto hace al nombre de los elementos operativos</w:t>
      </w:r>
      <w:r w:rsidR="00B53EC4" w:rsidRPr="00386744">
        <w:rPr>
          <w:rFonts w:ascii="Palatino Linotype" w:eastAsia="Palatino Linotype" w:hAnsi="Palatino Linotype" w:cs="Palatino Linotype"/>
        </w:rPr>
        <w:t xml:space="preserve"> por las razones que más adelante se detallaran</w:t>
      </w:r>
      <w:r w:rsidR="00B17A2F" w:rsidRPr="00386744">
        <w:rPr>
          <w:rFonts w:ascii="Palatino Linotype" w:eastAsia="Palatino Linotype" w:hAnsi="Palatino Linotype" w:cs="Palatino Linotype"/>
        </w:rPr>
        <w:t xml:space="preserve">, </w:t>
      </w:r>
      <w:r w:rsidR="004D2A43" w:rsidRPr="00386744">
        <w:rPr>
          <w:rFonts w:ascii="Palatino Linotype" w:eastAsia="Palatino Linotype" w:hAnsi="Palatino Linotype" w:cs="Palatino Linotype"/>
        </w:rPr>
        <w:t xml:space="preserve">no así respecto del </w:t>
      </w:r>
      <w:r w:rsidR="00B17A2F" w:rsidRPr="00386744">
        <w:rPr>
          <w:rFonts w:ascii="Palatino Linotype" w:eastAsia="Palatino Linotype" w:hAnsi="Palatino Linotype" w:cs="Palatino Linotype"/>
        </w:rPr>
        <w:t>salario o suel</w:t>
      </w:r>
      <w:r w:rsidR="004D2A43" w:rsidRPr="00386744">
        <w:rPr>
          <w:rFonts w:ascii="Palatino Linotype" w:eastAsia="Palatino Linotype" w:hAnsi="Palatino Linotype" w:cs="Palatino Linotype"/>
        </w:rPr>
        <w:t>d</w:t>
      </w:r>
      <w:r w:rsidR="00B17A2F" w:rsidRPr="00386744">
        <w:rPr>
          <w:rFonts w:ascii="Palatino Linotype" w:eastAsia="Palatino Linotype" w:hAnsi="Palatino Linotype" w:cs="Palatino Linotype"/>
        </w:rPr>
        <w:t xml:space="preserve">o de estos, </w:t>
      </w:r>
      <w:r w:rsidR="004D2A43" w:rsidRPr="00386744">
        <w:rPr>
          <w:rFonts w:ascii="Palatino Linotype" w:eastAsia="Palatino Linotype" w:hAnsi="Palatino Linotype" w:cs="Palatino Linotype"/>
        </w:rPr>
        <w:t xml:space="preserve">puesto que </w:t>
      </w:r>
      <w:r w:rsidR="00B17A2F" w:rsidRPr="00386744">
        <w:rPr>
          <w:rFonts w:ascii="Palatino Linotype" w:eastAsia="Palatino Linotype" w:hAnsi="Palatino Linotype" w:cs="Palatino Linotype"/>
        </w:rPr>
        <w:t xml:space="preserve">al relacionarse con la erogación de recursos públicos, se considera información </w:t>
      </w:r>
      <w:r w:rsidR="004D2A43" w:rsidRPr="00386744">
        <w:rPr>
          <w:rFonts w:ascii="Palatino Linotype" w:eastAsia="Palatino Linotype" w:hAnsi="Palatino Linotype" w:cs="Palatino Linotype"/>
        </w:rPr>
        <w:t>de carácter público</w:t>
      </w:r>
      <w:r w:rsidR="00B17A2F" w:rsidRPr="00386744">
        <w:rPr>
          <w:rFonts w:ascii="Palatino Linotype" w:eastAsia="Palatino Linotype" w:hAnsi="Palatino Linotype" w:cs="Palatino Linotype"/>
        </w:rPr>
        <w:t xml:space="preserve"> cuya publicidad abona a la transparencia y a la rendición de cuentas en el actuar del </w:t>
      </w:r>
      <w:r w:rsidR="00B17A2F" w:rsidRPr="00386744">
        <w:rPr>
          <w:rFonts w:ascii="Palatino Linotype" w:eastAsia="Palatino Linotype" w:hAnsi="Palatino Linotype" w:cs="Palatino Linotype"/>
          <w:b/>
        </w:rPr>
        <w:t>Sujeto Obligado</w:t>
      </w:r>
      <w:r w:rsidR="00B17A2F" w:rsidRPr="00386744">
        <w:rPr>
          <w:rFonts w:ascii="Palatino Linotype" w:eastAsia="Palatino Linotype" w:hAnsi="Palatino Linotype" w:cs="Palatino Linotype"/>
        </w:rPr>
        <w:t>, por cuanto hace a la administración de los recursos del erario público</w:t>
      </w:r>
      <w:r w:rsidR="0008704E" w:rsidRPr="00386744">
        <w:rPr>
          <w:rFonts w:ascii="Palatino Linotype" w:eastAsia="Palatino Linotype" w:hAnsi="Palatino Linotype" w:cs="Palatino Linotype"/>
        </w:rPr>
        <w:t>, razón por la cual</w:t>
      </w:r>
      <w:r w:rsidR="00A324FE" w:rsidRPr="00386744">
        <w:rPr>
          <w:rFonts w:ascii="Palatino Linotype" w:eastAsia="Palatino Linotype" w:hAnsi="Palatino Linotype" w:cs="Palatino Linotype"/>
        </w:rPr>
        <w:t xml:space="preserve"> la información </w:t>
      </w:r>
      <w:r w:rsidR="0008704E" w:rsidRPr="00386744">
        <w:rPr>
          <w:rFonts w:ascii="Palatino Linotype" w:eastAsia="Palatino Linotype" w:hAnsi="Palatino Linotype" w:cs="Palatino Linotype"/>
        </w:rPr>
        <w:t>relativa a las remuneraciones de los servidores públicos es considerada una obligación de transparencia de oficio, a la luz del artículo 92, fracción VIII de la Ley de Transparencia y Acceso a la Información Pública del Estado de México y Municipios, a saber:</w:t>
      </w:r>
    </w:p>
    <w:p w14:paraId="2D688431" w14:textId="074826A3" w:rsidR="0008704E" w:rsidRPr="00386744" w:rsidRDefault="0008704E" w:rsidP="0008704E">
      <w:pPr>
        <w:spacing w:before="240" w:after="240"/>
        <w:ind w:left="851" w:right="900"/>
        <w:jc w:val="both"/>
        <w:rPr>
          <w:rFonts w:ascii="Palatino Linotype" w:eastAsia="Palatino Linotype" w:hAnsi="Palatino Linotype" w:cs="Palatino Linotype"/>
          <w:i/>
          <w:sz w:val="22"/>
        </w:rPr>
      </w:pPr>
      <w:r w:rsidRPr="00386744">
        <w:rPr>
          <w:rFonts w:ascii="Palatino Linotype" w:eastAsia="Palatino Linotype" w:hAnsi="Palatino Linotype" w:cs="Palatino Linotype"/>
          <w:i/>
          <w:sz w:val="22"/>
        </w:rPr>
        <w:t>“</w:t>
      </w:r>
      <w:r w:rsidRPr="00386744">
        <w:rPr>
          <w:rFonts w:ascii="Palatino Linotype" w:eastAsia="Palatino Linotype" w:hAnsi="Palatino Linotype" w:cs="Palatino Linotype"/>
          <w:b/>
          <w:i/>
          <w:sz w:val="22"/>
        </w:rPr>
        <w:t>Artículo 92</w:t>
      </w:r>
      <w:r w:rsidRPr="00386744">
        <w:rPr>
          <w:rFonts w:ascii="Palatino Linotype" w:eastAsia="Palatino Linotype" w:hAnsi="Palatino Linotype" w:cs="Palatino Linotype"/>
          <w:i/>
          <w:sz w:val="22"/>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7B091D56" w14:textId="3864CB06" w:rsidR="0008704E" w:rsidRPr="00386744" w:rsidRDefault="0008704E" w:rsidP="0008704E">
      <w:pPr>
        <w:spacing w:before="240" w:after="240"/>
        <w:ind w:left="1134" w:right="900"/>
        <w:jc w:val="both"/>
        <w:rPr>
          <w:rFonts w:ascii="Palatino Linotype" w:hAnsi="Palatino Linotype"/>
          <w:b/>
          <w:i/>
          <w:sz w:val="22"/>
        </w:rPr>
      </w:pPr>
      <w:r w:rsidRPr="00386744">
        <w:rPr>
          <w:rFonts w:ascii="Palatino Linotype" w:hAnsi="Palatino Linotype"/>
          <w:b/>
          <w:i/>
          <w:sz w:val="22"/>
        </w:rPr>
        <w:t>…</w:t>
      </w:r>
    </w:p>
    <w:p w14:paraId="65FA48F3" w14:textId="4DCD7721" w:rsidR="009613B3" w:rsidRPr="00386744" w:rsidRDefault="0008704E" w:rsidP="009613B3">
      <w:pPr>
        <w:spacing w:before="240" w:after="240"/>
        <w:ind w:left="1134" w:right="900"/>
        <w:jc w:val="both"/>
        <w:rPr>
          <w:rFonts w:ascii="Palatino Linotype" w:eastAsia="Palatino Linotype" w:hAnsi="Palatino Linotype" w:cs="Palatino Linotype"/>
          <w:i/>
          <w:sz w:val="22"/>
        </w:rPr>
      </w:pPr>
      <w:r w:rsidRPr="00386744">
        <w:rPr>
          <w:rFonts w:ascii="Palatino Linotype" w:hAnsi="Palatino Linotype"/>
          <w:b/>
          <w:i/>
          <w:sz w:val="22"/>
        </w:rPr>
        <w:t>VIII</w:t>
      </w:r>
      <w:r w:rsidRPr="00386744">
        <w:rPr>
          <w:rFonts w:ascii="Palatino Linotype" w:hAnsi="Palatino Linotype"/>
          <w:i/>
          <w:sz w:val="22"/>
        </w:rPr>
        <w:t xml:space="preserve">. </w:t>
      </w:r>
      <w:r w:rsidRPr="00386744">
        <w:rPr>
          <w:rFonts w:ascii="Palatino Linotype" w:hAnsi="Palatino Linotype"/>
          <w:b/>
          <w:i/>
          <w:sz w:val="22"/>
        </w:rPr>
        <w:t>La remuneración bruta y neta de todos los servidores públicos</w:t>
      </w:r>
      <w:r w:rsidRPr="00386744">
        <w:rPr>
          <w:rFonts w:ascii="Palatino Linotype" w:hAnsi="Palatino Linotype"/>
          <w:i/>
          <w:sz w:val="22"/>
        </w:rPr>
        <w:t xml:space="preserve"> de base o de confianza, de todas las percepciones, incluyendo sueldos, prestaciones, gratificaciones, primas, comisiones, dietas, bonos, estímulos, ingresos y sistemas de compensación, señalando la periodicidad de dicha remuneración;”</w:t>
      </w:r>
    </w:p>
    <w:p w14:paraId="18B35B94" w14:textId="2D0947C8" w:rsidR="004274DE" w:rsidRPr="00386744" w:rsidRDefault="004274DE" w:rsidP="004274DE">
      <w:pPr>
        <w:autoSpaceDE w:val="0"/>
        <w:autoSpaceDN w:val="0"/>
        <w:adjustRightInd w:val="0"/>
        <w:spacing w:line="360" w:lineRule="auto"/>
        <w:jc w:val="both"/>
        <w:rPr>
          <w:rFonts w:ascii="Palatino Linotype" w:hAnsi="Palatino Linotype" w:cs="Arial"/>
        </w:rPr>
      </w:pPr>
      <w:r w:rsidRPr="00386744">
        <w:rPr>
          <w:rFonts w:ascii="Palatino Linotype" w:eastAsia="Palatino Linotype" w:hAnsi="Palatino Linotype" w:cs="Palatino Linotype"/>
        </w:rPr>
        <w:t xml:space="preserve">En correlación con lo anterior, la información relativa a las remuneraciones de los servidores públicos, se considera que es de </w:t>
      </w:r>
      <w:r w:rsidRPr="00386744">
        <w:rPr>
          <w:rFonts w:ascii="Palatino Linotype" w:hAnsi="Palatino Linotype" w:cs="Arial"/>
        </w:rPr>
        <w:t xml:space="preserve">interés general puesto que la ciudadanía tiene derecho a saber cuál es el gasto ejercido para el pago de remuneraciones por servicios personales al realizar las funciones públicas; esto es, su acceso permite transparentar la aplicación de los recursos públicos que son otorgados para el </w:t>
      </w:r>
      <w:r w:rsidRPr="00386744">
        <w:rPr>
          <w:rFonts w:ascii="Palatino Linotype" w:hAnsi="Palatino Linotype" w:cs="Arial"/>
        </w:rPr>
        <w:lastRenderedPageBreak/>
        <w:t>cumplimiento de sus funciones, ello conforme a lo dispuesto por los artículos 7 y 23 de la Ley de Transparencia y Acceso a la Información Pública del Estado de México y Municipios, que establece como deber de los Sujetos Obligados el hacer pública toda la información respecto a los montos y nombres de las personas a quienes se entreguen recursos públicos y con ello transparentar la forma, términos, causas y finalidad en la disposición de esos recursos; preceptos legales que</w:t>
      </w:r>
      <w:r w:rsidR="00305C33" w:rsidRPr="00386744">
        <w:rPr>
          <w:rFonts w:ascii="Palatino Linotype" w:hAnsi="Palatino Linotype" w:cs="Arial"/>
        </w:rPr>
        <w:t xml:space="preserve"> en su parte conducente señalan </w:t>
      </w:r>
      <w:r w:rsidRPr="00386744">
        <w:rPr>
          <w:rFonts w:ascii="Palatino Linotype" w:hAnsi="Palatino Linotype" w:cs="Arial"/>
        </w:rPr>
        <w:t>l</w:t>
      </w:r>
      <w:r w:rsidR="00305C33" w:rsidRPr="00386744">
        <w:rPr>
          <w:rFonts w:ascii="Palatino Linotype" w:hAnsi="Palatino Linotype" w:cs="Arial"/>
        </w:rPr>
        <w:t>o</w:t>
      </w:r>
      <w:r w:rsidRPr="00386744">
        <w:rPr>
          <w:rFonts w:ascii="Palatino Linotype" w:hAnsi="Palatino Linotype" w:cs="Arial"/>
        </w:rPr>
        <w:t xml:space="preserve"> siguiente:</w:t>
      </w:r>
    </w:p>
    <w:p w14:paraId="42F4D2AC" w14:textId="77777777" w:rsidR="004274DE" w:rsidRPr="00386744" w:rsidRDefault="004274DE" w:rsidP="004274DE">
      <w:pPr>
        <w:autoSpaceDE w:val="0"/>
        <w:autoSpaceDN w:val="0"/>
        <w:adjustRightInd w:val="0"/>
        <w:spacing w:before="120" w:after="120"/>
        <w:ind w:left="851" w:right="851"/>
        <w:jc w:val="both"/>
        <w:rPr>
          <w:rFonts w:ascii="Palatino Linotype" w:hAnsi="Palatino Linotype" w:cs="Arial"/>
          <w:i/>
          <w:sz w:val="22"/>
          <w:szCs w:val="22"/>
          <w:u w:val="single"/>
        </w:rPr>
      </w:pPr>
      <w:r w:rsidRPr="00386744">
        <w:rPr>
          <w:rFonts w:ascii="Palatino Linotype" w:hAnsi="Palatino Linotype" w:cs="Arial"/>
          <w:b/>
          <w:i/>
          <w:sz w:val="22"/>
          <w:szCs w:val="22"/>
          <w:u w:val="single"/>
        </w:rPr>
        <w:t>“Artículo 7. El Estado de México garantizará el efectivo acceso de toda persona a la información en posesión de cualquier entidad,</w:t>
      </w:r>
      <w:r w:rsidRPr="00386744">
        <w:rPr>
          <w:rFonts w:ascii="Palatino Linotype" w:hAnsi="Palatino Linotype" w:cs="Arial"/>
          <w:i/>
          <w:sz w:val="22"/>
          <w:szCs w:val="22"/>
        </w:rPr>
        <w:t xml:space="preserve"> autoridad, órgano y organismo de los poderes Ejecutivo, Legislativo y Judicial, órganos autónomos, partidos políticos, fideicomisos y fondos públicos, así como de cualquier persona física, jurídico colectiva o sindicato </w:t>
      </w:r>
      <w:r w:rsidRPr="00386744">
        <w:rPr>
          <w:rFonts w:ascii="Palatino Linotype" w:hAnsi="Palatino Linotype" w:cs="Arial"/>
          <w:b/>
          <w:i/>
          <w:sz w:val="22"/>
          <w:szCs w:val="22"/>
          <w:u w:val="single"/>
        </w:rPr>
        <w:t>que reciba y ejerza recursos públicos</w:t>
      </w:r>
      <w:r w:rsidRPr="00386744">
        <w:rPr>
          <w:rFonts w:ascii="Palatino Linotype" w:hAnsi="Palatino Linotype" w:cs="Arial"/>
          <w:i/>
          <w:sz w:val="22"/>
          <w:szCs w:val="22"/>
        </w:rPr>
        <w:t xml:space="preserve"> o realice actos de autoridad </w:t>
      </w:r>
      <w:r w:rsidRPr="00386744">
        <w:rPr>
          <w:rFonts w:ascii="Palatino Linotype" w:hAnsi="Palatino Linotype" w:cs="Arial"/>
          <w:b/>
          <w:i/>
          <w:sz w:val="22"/>
          <w:szCs w:val="22"/>
          <w:u w:val="single"/>
        </w:rPr>
        <w:t>en el ámbito de competencia del Estado de México y sus municipios</w:t>
      </w:r>
      <w:r w:rsidRPr="00386744">
        <w:rPr>
          <w:rFonts w:ascii="Palatino Linotype" w:hAnsi="Palatino Linotype" w:cs="Arial"/>
          <w:i/>
          <w:sz w:val="22"/>
          <w:szCs w:val="22"/>
          <w:u w:val="single"/>
        </w:rPr>
        <w:t>.</w:t>
      </w:r>
    </w:p>
    <w:p w14:paraId="2FEC0630" w14:textId="435A859D" w:rsidR="004274DE" w:rsidRPr="00386744" w:rsidRDefault="004274DE" w:rsidP="004274DE">
      <w:pPr>
        <w:autoSpaceDE w:val="0"/>
        <w:autoSpaceDN w:val="0"/>
        <w:adjustRightInd w:val="0"/>
        <w:spacing w:before="120" w:after="120"/>
        <w:ind w:left="851" w:right="851"/>
        <w:jc w:val="both"/>
        <w:rPr>
          <w:rFonts w:ascii="Palatino Linotype" w:hAnsi="Palatino Linotype" w:cs="Arial"/>
          <w:b/>
          <w:i/>
          <w:sz w:val="22"/>
          <w:szCs w:val="22"/>
        </w:rPr>
      </w:pPr>
      <w:r w:rsidRPr="00386744">
        <w:rPr>
          <w:rFonts w:ascii="Palatino Linotype" w:hAnsi="Palatino Linotype" w:cs="Arial"/>
          <w:b/>
          <w:i/>
          <w:sz w:val="22"/>
          <w:szCs w:val="22"/>
        </w:rPr>
        <w:t>…</w:t>
      </w:r>
    </w:p>
    <w:p w14:paraId="4542FBA2" w14:textId="77777777" w:rsidR="004274DE" w:rsidRPr="00386744" w:rsidRDefault="004274DE" w:rsidP="004274DE">
      <w:pPr>
        <w:autoSpaceDE w:val="0"/>
        <w:autoSpaceDN w:val="0"/>
        <w:adjustRightInd w:val="0"/>
        <w:spacing w:before="120" w:after="120"/>
        <w:ind w:left="851" w:right="851"/>
        <w:jc w:val="both"/>
        <w:rPr>
          <w:rFonts w:ascii="Palatino Linotype" w:hAnsi="Palatino Linotype" w:cs="Arial"/>
          <w:i/>
          <w:sz w:val="22"/>
          <w:szCs w:val="22"/>
        </w:rPr>
      </w:pPr>
      <w:r w:rsidRPr="00386744">
        <w:rPr>
          <w:rFonts w:ascii="Palatino Linotype" w:hAnsi="Palatino Linotype" w:cs="Arial"/>
          <w:b/>
          <w:i/>
          <w:sz w:val="22"/>
          <w:szCs w:val="22"/>
        </w:rPr>
        <w:t>Artículo 23.</w:t>
      </w:r>
      <w:r w:rsidRPr="00386744">
        <w:rPr>
          <w:rFonts w:ascii="Palatino Linotype" w:hAnsi="Palatino Linotype" w:cs="Arial"/>
          <w:i/>
          <w:sz w:val="22"/>
          <w:szCs w:val="22"/>
        </w:rPr>
        <w:t xml:space="preserve"> Son sujetos obligados a transparentar y permitir el acceso a su información y proteger los datos personales que obren en su poder:</w:t>
      </w:r>
    </w:p>
    <w:p w14:paraId="35BC45F3" w14:textId="77777777" w:rsidR="004274DE" w:rsidRPr="00386744" w:rsidRDefault="004274DE" w:rsidP="004274DE">
      <w:pPr>
        <w:autoSpaceDE w:val="0"/>
        <w:autoSpaceDN w:val="0"/>
        <w:adjustRightInd w:val="0"/>
        <w:spacing w:before="120" w:after="120"/>
        <w:ind w:left="1134" w:right="851"/>
        <w:jc w:val="both"/>
        <w:rPr>
          <w:rFonts w:ascii="Palatino Linotype" w:hAnsi="Palatino Linotype" w:cs="Arial"/>
          <w:i/>
          <w:sz w:val="22"/>
          <w:szCs w:val="22"/>
        </w:rPr>
      </w:pPr>
      <w:r w:rsidRPr="00386744">
        <w:rPr>
          <w:rFonts w:ascii="Palatino Linotype" w:hAnsi="Palatino Linotype" w:cs="Arial"/>
          <w:i/>
          <w:sz w:val="22"/>
          <w:szCs w:val="22"/>
        </w:rPr>
        <w:t>(…)</w:t>
      </w:r>
    </w:p>
    <w:p w14:paraId="12D45BCA" w14:textId="77777777" w:rsidR="004274DE" w:rsidRPr="00386744" w:rsidRDefault="004274DE" w:rsidP="004274DE">
      <w:pPr>
        <w:autoSpaceDE w:val="0"/>
        <w:autoSpaceDN w:val="0"/>
        <w:adjustRightInd w:val="0"/>
        <w:spacing w:before="120" w:after="120"/>
        <w:ind w:left="1134" w:right="851"/>
        <w:jc w:val="both"/>
        <w:rPr>
          <w:rFonts w:ascii="Palatino Linotype" w:hAnsi="Palatino Linotype" w:cs="Arial"/>
          <w:b/>
          <w:i/>
          <w:sz w:val="22"/>
          <w:szCs w:val="22"/>
          <w:u w:val="single"/>
        </w:rPr>
      </w:pPr>
      <w:r w:rsidRPr="00386744">
        <w:rPr>
          <w:rFonts w:ascii="Palatino Linotype" w:hAnsi="Palatino Linotype" w:cs="Arial"/>
          <w:b/>
          <w:i/>
          <w:sz w:val="22"/>
          <w:szCs w:val="22"/>
          <w:u w:val="single"/>
        </w:rPr>
        <w:t>IV. Los ayuntamientos y las dependencias, organismos, órganos y entidades de la administración municipal;</w:t>
      </w:r>
    </w:p>
    <w:p w14:paraId="77D2060F" w14:textId="77777777" w:rsidR="004274DE" w:rsidRPr="00386744" w:rsidRDefault="004274DE" w:rsidP="004274DE">
      <w:pPr>
        <w:autoSpaceDE w:val="0"/>
        <w:autoSpaceDN w:val="0"/>
        <w:adjustRightInd w:val="0"/>
        <w:spacing w:before="120" w:after="120"/>
        <w:ind w:left="851" w:right="851"/>
        <w:jc w:val="both"/>
        <w:rPr>
          <w:rFonts w:ascii="Palatino Linotype" w:hAnsi="Palatino Linotype" w:cs="Arial"/>
          <w:i/>
          <w:sz w:val="22"/>
          <w:szCs w:val="22"/>
        </w:rPr>
      </w:pPr>
      <w:r w:rsidRPr="00386744">
        <w:rPr>
          <w:rFonts w:ascii="Palatino Linotype" w:hAnsi="Palatino Linotype" w:cs="Arial"/>
          <w:i/>
          <w:sz w:val="22"/>
          <w:szCs w:val="22"/>
        </w:rPr>
        <w:t>(…)</w:t>
      </w:r>
    </w:p>
    <w:p w14:paraId="159DD8C0" w14:textId="77777777" w:rsidR="00FD26DE" w:rsidRPr="00386744" w:rsidRDefault="004274DE" w:rsidP="00FD26DE">
      <w:pPr>
        <w:autoSpaceDE w:val="0"/>
        <w:autoSpaceDN w:val="0"/>
        <w:adjustRightInd w:val="0"/>
        <w:spacing w:before="120" w:after="120"/>
        <w:ind w:left="851" w:right="851"/>
        <w:jc w:val="both"/>
        <w:rPr>
          <w:rFonts w:ascii="Palatino Linotype" w:hAnsi="Palatino Linotype" w:cs="Arial"/>
          <w:b/>
          <w:i/>
          <w:sz w:val="22"/>
          <w:szCs w:val="22"/>
          <w:u w:val="single"/>
        </w:rPr>
      </w:pPr>
      <w:r w:rsidRPr="00386744">
        <w:rPr>
          <w:rFonts w:ascii="Palatino Linotype" w:hAnsi="Palatino Linotype" w:cs="Arial"/>
          <w:b/>
          <w:i/>
          <w:sz w:val="22"/>
          <w:szCs w:val="22"/>
          <w:u w:val="single"/>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4B7C1B22" w14:textId="63910947" w:rsidR="004274DE" w:rsidRPr="00386744" w:rsidRDefault="004274DE" w:rsidP="00FD26DE">
      <w:pPr>
        <w:autoSpaceDE w:val="0"/>
        <w:autoSpaceDN w:val="0"/>
        <w:adjustRightInd w:val="0"/>
        <w:spacing w:before="120" w:after="120"/>
        <w:ind w:left="851" w:right="851"/>
        <w:jc w:val="both"/>
        <w:rPr>
          <w:rFonts w:ascii="Palatino Linotype" w:eastAsia="Palatino Linotype" w:hAnsi="Palatino Linotype" w:cs="Palatino Linotype"/>
        </w:rPr>
      </w:pPr>
      <w:r w:rsidRPr="00386744">
        <w:rPr>
          <w:rFonts w:ascii="Palatino Linotype" w:hAnsi="Palatino Linotype" w:cs="Arial"/>
          <w:i/>
          <w:sz w:val="22"/>
          <w:szCs w:val="22"/>
        </w:rPr>
        <w:t>Los servidores públicos deberán transparentar sus acciones así como garantizar y respetar el derecho de acceso a la información pública.”</w:t>
      </w:r>
    </w:p>
    <w:p w14:paraId="674A8C50" w14:textId="77777777" w:rsidR="00FD26DE" w:rsidRPr="00386744" w:rsidRDefault="00FD26DE" w:rsidP="00FD26DE">
      <w:pPr>
        <w:spacing w:before="240" w:after="240" w:line="360" w:lineRule="auto"/>
        <w:jc w:val="both"/>
        <w:rPr>
          <w:rFonts w:ascii="Palatino Linotype" w:hAnsi="Palatino Linotype" w:cs="Arial"/>
        </w:rPr>
      </w:pPr>
      <w:r w:rsidRPr="00386744">
        <w:rPr>
          <w:rFonts w:ascii="Palatino Linotype" w:hAnsi="Palatino Linotype" w:cs="Arial"/>
        </w:rPr>
        <w:t xml:space="preserve">Sirve de sustento por analogía, para justificar la publicidad sobre los datos relativos a los montos por concepto de pago de las remuneraciones, los criterios </w:t>
      </w:r>
      <w:r w:rsidRPr="00386744">
        <w:rPr>
          <w:rFonts w:ascii="Palatino Linotype" w:hAnsi="Palatino Linotype" w:cs="Arial"/>
          <w:b/>
        </w:rPr>
        <w:t>01/2003</w:t>
      </w:r>
      <w:r w:rsidRPr="00386744">
        <w:rPr>
          <w:rFonts w:ascii="Palatino Linotype" w:hAnsi="Palatino Linotype" w:cs="Arial"/>
        </w:rPr>
        <w:t xml:space="preserve"> y </w:t>
      </w:r>
      <w:r w:rsidRPr="00386744">
        <w:rPr>
          <w:rFonts w:ascii="Palatino Linotype" w:hAnsi="Palatino Linotype" w:cs="Arial"/>
          <w:b/>
        </w:rPr>
        <w:t>02/2003</w:t>
      </w:r>
      <w:r w:rsidRPr="00386744">
        <w:rPr>
          <w:rFonts w:ascii="Palatino Linotype" w:hAnsi="Palatino Linotype" w:cs="Arial"/>
        </w:rPr>
        <w:t xml:space="preserve"> emitidos por el Comité de Acceso a la Información Pública y Protección de </w:t>
      </w:r>
      <w:r w:rsidRPr="00386744">
        <w:rPr>
          <w:rFonts w:ascii="Palatino Linotype" w:hAnsi="Palatino Linotype" w:cs="Arial"/>
        </w:rPr>
        <w:lastRenderedPageBreak/>
        <w:t xml:space="preserve">Datos Personales de la Suprema Corte de Justicia de la Nación que a continuación se citan: </w:t>
      </w:r>
    </w:p>
    <w:p w14:paraId="31F5D2D2" w14:textId="77777777" w:rsidR="00FD26DE" w:rsidRPr="00386744" w:rsidRDefault="00FD26DE" w:rsidP="008805EE">
      <w:pPr>
        <w:spacing w:before="120" w:after="120"/>
        <w:ind w:left="851" w:right="851"/>
        <w:rPr>
          <w:rFonts w:ascii="Palatino Linotype" w:hAnsi="Palatino Linotype" w:cs="Arial"/>
          <w:b/>
          <w:i/>
          <w:sz w:val="22"/>
          <w:szCs w:val="22"/>
        </w:rPr>
      </w:pPr>
      <w:r w:rsidRPr="00386744">
        <w:rPr>
          <w:rFonts w:ascii="Palatino Linotype" w:hAnsi="Palatino Linotype" w:cs="Arial"/>
          <w:b/>
          <w:i/>
          <w:sz w:val="22"/>
          <w:szCs w:val="22"/>
        </w:rPr>
        <w:t>“Criterio 01/2003.</w:t>
      </w:r>
    </w:p>
    <w:p w14:paraId="3EA5A27F" w14:textId="77777777" w:rsidR="00FD26DE" w:rsidRPr="00386744" w:rsidRDefault="00FD26DE" w:rsidP="008805EE">
      <w:pPr>
        <w:spacing w:before="120" w:after="120"/>
        <w:ind w:left="851" w:right="851"/>
        <w:jc w:val="both"/>
        <w:rPr>
          <w:rFonts w:ascii="Palatino Linotype" w:hAnsi="Palatino Linotype" w:cs="Arial"/>
          <w:i/>
          <w:sz w:val="22"/>
          <w:szCs w:val="22"/>
        </w:rPr>
      </w:pPr>
      <w:r w:rsidRPr="00386744">
        <w:rPr>
          <w:rFonts w:ascii="Palatino Linotype" w:hAnsi="Palatino Linotype" w:cs="Arial"/>
          <w:b/>
          <w:i/>
          <w:sz w:val="22"/>
          <w:szCs w:val="22"/>
        </w:rPr>
        <w:t>INGRESOS DE LOS SERVIDORES PÚBLICOS. CONSTITUYEN INFORMACIÓN PÚBLICA AÚN Y CUANDO SU DIFUSIÓN PUEDE AFECTAR LA VIDA O LA SEGURIDAD DE AQUELLOS.</w:t>
      </w:r>
      <w:r w:rsidRPr="00386744">
        <w:rPr>
          <w:rFonts w:ascii="Palatino Linotype" w:hAnsi="Palatino Linotype" w:cs="Arial"/>
          <w:i/>
          <w:sz w:val="22"/>
          <w:szCs w:val="22"/>
        </w:rPr>
        <w:t xml:space="preserve"> </w:t>
      </w:r>
    </w:p>
    <w:p w14:paraId="7357C4AA" w14:textId="77777777" w:rsidR="00FD26DE" w:rsidRPr="00386744" w:rsidRDefault="00FD26DE" w:rsidP="008805EE">
      <w:pPr>
        <w:spacing w:before="120" w:after="120"/>
        <w:ind w:left="851" w:right="851"/>
        <w:jc w:val="both"/>
        <w:rPr>
          <w:rFonts w:ascii="Palatino Linotype" w:hAnsi="Palatino Linotype" w:cs="Arial"/>
          <w:i/>
          <w:sz w:val="22"/>
          <w:szCs w:val="22"/>
          <w:u w:val="single"/>
        </w:rPr>
      </w:pPr>
      <w:r w:rsidRPr="00386744">
        <w:rPr>
          <w:rFonts w:ascii="Palatino Linotype" w:hAnsi="Palatino Linotype" w:cs="Arial"/>
          <w:i/>
          <w:sz w:val="22"/>
          <w:szCs w:val="22"/>
        </w:rPr>
        <w:t xml:space="preserve">Si bien el artículo 13, fracción IV, de la Ley Federal de Transparencia y  Acceso  a la información Pública Gubernamental establece que debe clasificarse como información confidencial la que conste en expedientes administrativos cuya difusión  pueda poner en riesgo la vida, la seguridad o la salud de cualquier persona, debe reconocerse que aun y  cuando en ese supuesto podría encuadrar la relativa a las percepciones ordinarias y extraordinaria de los servidores públicos, ello no obsta para reconocer que el legislador estableció en el artículo 7 de ese mismo ordenamiento que la referida información, como una obligación de trasparencia, </w:t>
      </w:r>
      <w:r w:rsidRPr="00386744">
        <w:rPr>
          <w:rFonts w:ascii="Palatino Linotype" w:hAnsi="Palatino Linotype" w:cs="Arial"/>
          <w:b/>
          <w:i/>
          <w:sz w:val="22"/>
          <w:szCs w:val="22"/>
          <w:u w:val="single"/>
        </w:rPr>
        <w:t>deben publicarse en medios remotos o locales de comunicación electrónica, lo que se sustenta en el hecho de que el monto de todos los ingresos que recibe un servidor público por desarrollar las labores que les son encomendadas con motivo del desempeño del cargo respecto. Constituyen información pública, en tanto que se trata de erogaciones que realiza un órgano del Estado en base con los recursos que encuentran su origen en mayor medida en las contribuciones aportados por los gobernados</w:t>
      </w:r>
      <w:r w:rsidRPr="00386744">
        <w:rPr>
          <w:rFonts w:ascii="Palatino Linotype" w:hAnsi="Palatino Linotype" w:cs="Arial"/>
          <w:i/>
          <w:sz w:val="22"/>
          <w:szCs w:val="22"/>
          <w:u w:val="single"/>
        </w:rPr>
        <w:t>…”</w:t>
      </w:r>
    </w:p>
    <w:p w14:paraId="0920A87E" w14:textId="77777777" w:rsidR="00FD26DE" w:rsidRPr="00386744" w:rsidRDefault="00FD26DE" w:rsidP="008805EE">
      <w:pPr>
        <w:spacing w:before="120" w:after="120"/>
        <w:ind w:left="851" w:right="851"/>
        <w:jc w:val="both"/>
        <w:rPr>
          <w:rFonts w:ascii="Palatino Linotype" w:hAnsi="Palatino Linotype" w:cs="Arial"/>
          <w:i/>
          <w:sz w:val="22"/>
          <w:szCs w:val="22"/>
        </w:rPr>
      </w:pPr>
    </w:p>
    <w:p w14:paraId="44ECB1A1" w14:textId="77777777" w:rsidR="00FD26DE" w:rsidRPr="00386744" w:rsidRDefault="00FD26DE" w:rsidP="008805EE">
      <w:pPr>
        <w:spacing w:before="120" w:after="120"/>
        <w:ind w:left="851" w:right="851"/>
        <w:rPr>
          <w:rFonts w:ascii="Palatino Linotype" w:hAnsi="Palatino Linotype" w:cs="Arial"/>
          <w:b/>
          <w:i/>
          <w:sz w:val="22"/>
          <w:szCs w:val="22"/>
        </w:rPr>
      </w:pPr>
      <w:r w:rsidRPr="00386744">
        <w:rPr>
          <w:rFonts w:ascii="Palatino Linotype" w:hAnsi="Palatino Linotype" w:cs="Arial"/>
          <w:b/>
          <w:i/>
          <w:sz w:val="22"/>
          <w:szCs w:val="22"/>
        </w:rPr>
        <w:t>“Criterio 02/2003.</w:t>
      </w:r>
    </w:p>
    <w:p w14:paraId="47674EBF" w14:textId="77777777" w:rsidR="00FD26DE" w:rsidRPr="00386744" w:rsidRDefault="00FD26DE" w:rsidP="008805EE">
      <w:pPr>
        <w:spacing w:before="120" w:after="120"/>
        <w:ind w:left="851" w:right="851"/>
        <w:jc w:val="both"/>
        <w:rPr>
          <w:rFonts w:ascii="Palatino Linotype" w:hAnsi="Palatino Linotype" w:cs="Arial"/>
          <w:i/>
          <w:sz w:val="22"/>
          <w:szCs w:val="22"/>
        </w:rPr>
      </w:pPr>
      <w:r w:rsidRPr="00386744">
        <w:rPr>
          <w:rFonts w:ascii="Palatino Linotype" w:hAnsi="Palatino Linotype" w:cs="Arial"/>
          <w:b/>
          <w:i/>
          <w:sz w:val="22"/>
          <w:szCs w:val="22"/>
        </w:rPr>
        <w:t>INGRESOS DE LOS SERVIDORES PÚBLICOS, SON INFORMACIÓN PÚBLICA AÚN Y CUANDO CONSTITUYEN DATOS PERSONALES QUE SE REFIEREN AL PATRIMONIO DE AQUÉLLOS.</w:t>
      </w:r>
      <w:r w:rsidRPr="00386744">
        <w:rPr>
          <w:rFonts w:ascii="Palatino Linotype" w:hAnsi="Palatino Linotype" w:cs="Arial"/>
          <w:i/>
          <w:sz w:val="22"/>
          <w:szCs w:val="22"/>
        </w:rPr>
        <w:t xml:space="preserve"> </w:t>
      </w:r>
    </w:p>
    <w:p w14:paraId="6144C662" w14:textId="77777777" w:rsidR="00FD26DE" w:rsidRPr="00386744" w:rsidRDefault="00FD26DE" w:rsidP="008805EE">
      <w:pPr>
        <w:spacing w:before="120" w:after="120"/>
        <w:ind w:left="851" w:right="851"/>
        <w:jc w:val="both"/>
        <w:rPr>
          <w:rFonts w:ascii="Palatino Linotype" w:hAnsi="Palatino Linotype" w:cs="Arial"/>
          <w:b/>
          <w:i/>
          <w:sz w:val="22"/>
          <w:szCs w:val="22"/>
        </w:rPr>
      </w:pPr>
      <w:r w:rsidRPr="00386744">
        <w:rPr>
          <w:rFonts w:ascii="Palatino Linotype" w:hAnsi="Palatino Linotype" w:cs="Arial"/>
          <w:i/>
          <w:sz w:val="22"/>
          <w:szCs w:val="22"/>
        </w:rPr>
        <w:t xml:space="preserve">De la interpretación sistemática de lo previsto en los artículos 3º, fracción II; 7º, 9º y 18, fracción II, de la Ley Federal de Transparencia y Acceso a la Información Pública Gubernamental se advierte que no constituye información confidencial la relativa a los ingresos que reciben los servidores públicos, ya que aun y cuando se trata de datos personales relativos a su patrimonio, para su difusión no se requiere consentimiento de aquellos, </w:t>
      </w:r>
      <w:r w:rsidRPr="00386744">
        <w:rPr>
          <w:rFonts w:ascii="Palatino Linotype" w:hAnsi="Palatino Linotype" w:cs="Arial"/>
          <w:b/>
          <w:i/>
          <w:sz w:val="22"/>
          <w:szCs w:val="22"/>
          <w:u w:val="single"/>
        </w:rPr>
        <w:t xml:space="preserve">lo que deriva del hecho de que en términos de los previsto en el citado ordenamiento deben ponerse a disposición del público a través de medios remotos o locales de comunicación electrónica, </w:t>
      </w:r>
      <w:r w:rsidRPr="00386744">
        <w:rPr>
          <w:rFonts w:ascii="Palatino Linotype" w:hAnsi="Palatino Linotype" w:cs="Arial"/>
          <w:b/>
          <w:i/>
          <w:sz w:val="22"/>
          <w:szCs w:val="22"/>
          <w:u w:val="single"/>
        </w:rPr>
        <w:lastRenderedPageBreak/>
        <w:t>tanto el directorio de servidores públicos como las remuneraciones mensuales por puesto incluso</w:t>
      </w:r>
      <w:r w:rsidRPr="00386744">
        <w:rPr>
          <w:rFonts w:ascii="Palatino Linotype" w:hAnsi="Palatino Linotype" w:cs="Arial"/>
          <w:i/>
          <w:sz w:val="22"/>
          <w:szCs w:val="22"/>
        </w:rPr>
        <w:t xml:space="preserve"> el sistema de compensación…” </w:t>
      </w:r>
      <w:r w:rsidRPr="00386744">
        <w:rPr>
          <w:rFonts w:ascii="Palatino Linotype" w:hAnsi="Palatino Linotype" w:cs="Arial"/>
          <w:b/>
          <w:i/>
          <w:sz w:val="22"/>
          <w:szCs w:val="22"/>
        </w:rPr>
        <w:t>[Sic]</w:t>
      </w:r>
    </w:p>
    <w:p w14:paraId="3F30C569" w14:textId="5F0D7E4F" w:rsidR="00C66D06" w:rsidRPr="00386744" w:rsidRDefault="009613B3" w:rsidP="00B1241C">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En este orden de ideas, no se encuentra justificada la clasificación pretendida por el </w:t>
      </w:r>
      <w:r w:rsidRPr="00386744">
        <w:rPr>
          <w:rFonts w:ascii="Palatino Linotype" w:eastAsia="Palatino Linotype" w:hAnsi="Palatino Linotype" w:cs="Palatino Linotype"/>
          <w:b/>
        </w:rPr>
        <w:t xml:space="preserve">Sujeto Obligado </w:t>
      </w:r>
      <w:r w:rsidRPr="00386744">
        <w:rPr>
          <w:rFonts w:ascii="Palatino Linotype" w:eastAsia="Palatino Linotype" w:hAnsi="Palatino Linotype" w:cs="Palatino Linotype"/>
        </w:rPr>
        <w:t xml:space="preserve">respecto de los recibos de nómina de los elementos de seguridad con los que cuenta el Ayuntamiento, </w:t>
      </w:r>
      <w:r w:rsidR="003C3F06" w:rsidRPr="00386744">
        <w:rPr>
          <w:rFonts w:ascii="Palatino Linotype" w:eastAsia="Palatino Linotype" w:hAnsi="Palatino Linotype" w:cs="Palatino Linotype"/>
        </w:rPr>
        <w:t>documento a través del cual el particular podrá advertir el salario quincenal de los mismos, por lo que se estima procedente ordenar la entrega de los mismos, para satisfacer el derecho de acceso a la información</w:t>
      </w:r>
      <w:r w:rsidR="008805EE" w:rsidRPr="00386744">
        <w:rPr>
          <w:rFonts w:ascii="Palatino Linotype" w:eastAsia="Palatino Linotype" w:hAnsi="Palatino Linotype" w:cs="Palatino Linotype"/>
        </w:rPr>
        <w:t xml:space="preserve">, siendo indispensable </w:t>
      </w:r>
      <w:r w:rsidR="003C3F06" w:rsidRPr="00386744">
        <w:rPr>
          <w:rFonts w:ascii="Palatino Linotype" w:eastAsia="Palatino Linotype" w:hAnsi="Palatino Linotype" w:cs="Palatino Linotype"/>
        </w:rPr>
        <w:t>hacer las siguientes precisiones:</w:t>
      </w:r>
    </w:p>
    <w:p w14:paraId="0426891E" w14:textId="6A516271" w:rsidR="003C3F06" w:rsidRPr="00386744" w:rsidRDefault="00446BC9" w:rsidP="003C3F06">
      <w:pPr>
        <w:spacing w:before="240" w:after="240" w:line="360" w:lineRule="auto"/>
        <w:ind w:right="49"/>
        <w:jc w:val="both"/>
        <w:rPr>
          <w:rFonts w:ascii="Palatino Linotype" w:hAnsi="Palatino Linotype" w:cs="Arial"/>
        </w:rPr>
      </w:pPr>
      <w:r w:rsidRPr="00386744">
        <w:rPr>
          <w:rFonts w:ascii="Palatino Linotype" w:hAnsi="Palatino Linotype" w:cs="Arial"/>
        </w:rPr>
        <w:t>T</w:t>
      </w:r>
      <w:r w:rsidR="003C3F06" w:rsidRPr="00386744">
        <w:rPr>
          <w:rFonts w:ascii="Palatino Linotype" w:hAnsi="Palatino Linotype" w:cs="Arial"/>
        </w:rPr>
        <w:t>ratándose de servidores públicos de los Municipios</w:t>
      </w:r>
      <w:r w:rsidRPr="00386744">
        <w:rPr>
          <w:rFonts w:ascii="Palatino Linotype" w:hAnsi="Palatino Linotype" w:cs="Arial"/>
        </w:rPr>
        <w:t>,</w:t>
      </w:r>
      <w:r w:rsidR="003C3F06" w:rsidRPr="00386744">
        <w:rPr>
          <w:rFonts w:ascii="Palatino Linotype" w:hAnsi="Palatino Linotype" w:cs="Arial"/>
        </w:rPr>
        <w:t xml:space="preserve"> la Ley del Trabajo de los Servidores Públicos del Estado y Municipios, en su artículo 220-K, establece lo siguiente:</w:t>
      </w:r>
    </w:p>
    <w:p w14:paraId="5566FC2B" w14:textId="77777777" w:rsidR="003C3F06" w:rsidRPr="00386744" w:rsidRDefault="003C3F06" w:rsidP="00446BC9">
      <w:pPr>
        <w:tabs>
          <w:tab w:val="left" w:pos="9072"/>
        </w:tabs>
        <w:spacing w:before="120" w:after="120"/>
        <w:ind w:left="851" w:right="851"/>
        <w:jc w:val="both"/>
        <w:rPr>
          <w:rFonts w:ascii="Palatino Linotype" w:hAnsi="Palatino Linotype" w:cstheme="minorBidi"/>
          <w:bCs/>
          <w:i/>
          <w:sz w:val="22"/>
          <w:szCs w:val="22"/>
        </w:rPr>
      </w:pPr>
      <w:r w:rsidRPr="00386744">
        <w:rPr>
          <w:rFonts w:ascii="Palatino Linotype" w:hAnsi="Palatino Linotype"/>
          <w:b/>
          <w:bCs/>
          <w:i/>
          <w:sz w:val="22"/>
          <w:szCs w:val="22"/>
        </w:rPr>
        <w:t>“ARTÍCULO 220 K.-</w:t>
      </w:r>
      <w:r w:rsidRPr="00386744">
        <w:rPr>
          <w:rFonts w:ascii="Palatino Linotype" w:hAnsi="Palatino Linotype"/>
          <w:bCs/>
          <w:i/>
          <w:sz w:val="22"/>
          <w:szCs w:val="22"/>
        </w:rPr>
        <w:t xml:space="preserve"> La </w:t>
      </w:r>
      <w:r w:rsidRPr="00386744">
        <w:rPr>
          <w:rFonts w:ascii="Palatino Linotype" w:hAnsi="Palatino Linotype"/>
          <w:b/>
          <w:bCs/>
          <w:i/>
          <w:sz w:val="22"/>
          <w:szCs w:val="22"/>
        </w:rPr>
        <w:t>institución o dependencia pública tiene la obligación de conservar y exhibir en el proceso los documentos que a continuación</w:t>
      </w:r>
      <w:r w:rsidRPr="00386744">
        <w:rPr>
          <w:rFonts w:ascii="Palatino Linotype" w:hAnsi="Palatino Linotype"/>
          <w:bCs/>
          <w:i/>
          <w:sz w:val="22"/>
          <w:szCs w:val="22"/>
        </w:rPr>
        <w:t xml:space="preserve"> </w:t>
      </w:r>
      <w:r w:rsidRPr="00386744">
        <w:rPr>
          <w:rFonts w:ascii="Palatino Linotype" w:hAnsi="Palatino Linotype"/>
          <w:b/>
          <w:bCs/>
          <w:i/>
          <w:sz w:val="22"/>
          <w:szCs w:val="22"/>
        </w:rPr>
        <w:t>se precisan</w:t>
      </w:r>
      <w:r w:rsidRPr="00386744">
        <w:rPr>
          <w:rFonts w:ascii="Palatino Linotype" w:hAnsi="Palatino Linotype"/>
          <w:bCs/>
          <w:i/>
          <w:sz w:val="22"/>
          <w:szCs w:val="22"/>
        </w:rPr>
        <w:t>:</w:t>
      </w:r>
    </w:p>
    <w:p w14:paraId="6AE4E745" w14:textId="77777777" w:rsidR="003C3F06" w:rsidRPr="00386744" w:rsidRDefault="003C3F06" w:rsidP="00446BC9">
      <w:pPr>
        <w:tabs>
          <w:tab w:val="left" w:pos="9072"/>
        </w:tabs>
        <w:spacing w:before="120" w:after="120"/>
        <w:ind w:left="1134" w:right="851"/>
        <w:jc w:val="both"/>
        <w:rPr>
          <w:rFonts w:ascii="Palatino Linotype" w:hAnsi="Palatino Linotype"/>
          <w:bCs/>
          <w:i/>
          <w:sz w:val="22"/>
          <w:szCs w:val="22"/>
        </w:rPr>
      </w:pPr>
      <w:r w:rsidRPr="00386744">
        <w:rPr>
          <w:rFonts w:ascii="Palatino Linotype" w:hAnsi="Palatino Linotype"/>
          <w:bCs/>
          <w:i/>
          <w:sz w:val="22"/>
          <w:szCs w:val="22"/>
        </w:rPr>
        <w:t>…</w:t>
      </w:r>
    </w:p>
    <w:p w14:paraId="6A892040" w14:textId="77777777" w:rsidR="003C3F06" w:rsidRPr="00386744" w:rsidRDefault="003C3F06" w:rsidP="00446BC9">
      <w:pPr>
        <w:tabs>
          <w:tab w:val="left" w:pos="9072"/>
        </w:tabs>
        <w:spacing w:before="120" w:after="120"/>
        <w:ind w:left="1134" w:right="851"/>
        <w:jc w:val="both"/>
        <w:rPr>
          <w:rFonts w:ascii="Palatino Linotype" w:hAnsi="Palatino Linotype"/>
          <w:b/>
          <w:bCs/>
          <w:i/>
          <w:sz w:val="22"/>
          <w:szCs w:val="22"/>
        </w:rPr>
      </w:pPr>
      <w:r w:rsidRPr="00386744">
        <w:rPr>
          <w:rFonts w:ascii="Palatino Linotype" w:hAnsi="Palatino Linotype"/>
          <w:bCs/>
          <w:i/>
          <w:sz w:val="22"/>
          <w:szCs w:val="22"/>
        </w:rPr>
        <w:t xml:space="preserve">II. </w:t>
      </w:r>
      <w:r w:rsidRPr="00386744">
        <w:rPr>
          <w:rFonts w:ascii="Palatino Linotype" w:hAnsi="Palatino Linotype"/>
          <w:b/>
          <w:bCs/>
          <w:i/>
          <w:sz w:val="22"/>
          <w:szCs w:val="22"/>
        </w:rPr>
        <w:t>Recibos de pagos de salarios o</w:t>
      </w:r>
      <w:r w:rsidRPr="00386744">
        <w:rPr>
          <w:rFonts w:ascii="Palatino Linotype" w:hAnsi="Palatino Linotype"/>
          <w:bCs/>
          <w:i/>
          <w:sz w:val="22"/>
          <w:szCs w:val="22"/>
        </w:rPr>
        <w:t xml:space="preserve"> </w:t>
      </w:r>
      <w:r w:rsidRPr="00386744">
        <w:rPr>
          <w:rFonts w:ascii="Palatino Linotype" w:hAnsi="Palatino Linotype"/>
          <w:b/>
          <w:bCs/>
          <w:i/>
          <w:sz w:val="22"/>
          <w:szCs w:val="22"/>
        </w:rPr>
        <w:t>las constancias documentales del pago de salario</w:t>
      </w:r>
      <w:r w:rsidRPr="00386744">
        <w:rPr>
          <w:rFonts w:ascii="Palatino Linotype" w:hAnsi="Palatino Linotype"/>
          <w:bCs/>
          <w:i/>
          <w:sz w:val="22"/>
          <w:szCs w:val="22"/>
        </w:rPr>
        <w:t xml:space="preserve"> </w:t>
      </w:r>
      <w:r w:rsidRPr="00386744">
        <w:rPr>
          <w:rFonts w:ascii="Palatino Linotype" w:hAnsi="Palatino Linotype"/>
          <w:b/>
          <w:bCs/>
          <w:i/>
          <w:sz w:val="22"/>
          <w:szCs w:val="22"/>
        </w:rPr>
        <w:t>cuando sea por depósito o mediante información electrónica;</w:t>
      </w:r>
    </w:p>
    <w:p w14:paraId="29A71D87" w14:textId="77777777" w:rsidR="003C3F06" w:rsidRPr="00386744" w:rsidRDefault="003C3F06" w:rsidP="00446BC9">
      <w:pPr>
        <w:tabs>
          <w:tab w:val="left" w:pos="9072"/>
        </w:tabs>
        <w:spacing w:before="120" w:after="120"/>
        <w:ind w:left="1134" w:right="851"/>
        <w:jc w:val="both"/>
        <w:rPr>
          <w:rFonts w:ascii="Palatino Linotype" w:hAnsi="Palatino Linotype"/>
          <w:bCs/>
          <w:i/>
          <w:sz w:val="22"/>
          <w:szCs w:val="22"/>
        </w:rPr>
      </w:pPr>
      <w:r w:rsidRPr="00386744">
        <w:rPr>
          <w:rFonts w:ascii="Palatino Linotype" w:hAnsi="Palatino Linotype"/>
          <w:bCs/>
          <w:i/>
          <w:sz w:val="22"/>
          <w:szCs w:val="22"/>
        </w:rPr>
        <w:t>…</w:t>
      </w:r>
    </w:p>
    <w:p w14:paraId="0B249B90" w14:textId="77777777" w:rsidR="003C3F06" w:rsidRPr="00386744" w:rsidRDefault="003C3F06" w:rsidP="00446BC9">
      <w:pPr>
        <w:tabs>
          <w:tab w:val="left" w:pos="9072"/>
        </w:tabs>
        <w:spacing w:before="120" w:after="120"/>
        <w:ind w:left="851" w:right="851"/>
        <w:jc w:val="both"/>
        <w:rPr>
          <w:rFonts w:ascii="Palatino Linotype" w:hAnsi="Palatino Linotype"/>
          <w:bCs/>
          <w:i/>
          <w:sz w:val="22"/>
          <w:szCs w:val="22"/>
        </w:rPr>
      </w:pPr>
      <w:r w:rsidRPr="00386744">
        <w:rPr>
          <w:rFonts w:ascii="Palatino Linotype" w:hAnsi="Palatino Linotype"/>
          <w:bCs/>
          <w:i/>
          <w:sz w:val="22"/>
          <w:szCs w:val="22"/>
        </w:rPr>
        <w:t>Los documentos señalados en la fracción I de este artículo, deberán conservarse mientras dure la relación laboral y hasta un año después; los señalados por las fracciones II, III, IV durante el último año y un año después de que se extinga la relación laboral, y los mencionados en la fracción V, conforme lo señalen las leyes que los rijan.</w:t>
      </w:r>
    </w:p>
    <w:p w14:paraId="16709CC9" w14:textId="4041A734" w:rsidR="003C3F06" w:rsidRPr="00386744" w:rsidRDefault="003C3F06" w:rsidP="00446BC9">
      <w:pPr>
        <w:tabs>
          <w:tab w:val="left" w:pos="9072"/>
        </w:tabs>
        <w:spacing w:before="120" w:after="120"/>
        <w:ind w:left="851" w:right="851"/>
        <w:jc w:val="both"/>
        <w:rPr>
          <w:rFonts w:ascii="Palatino Linotype" w:hAnsi="Palatino Linotype"/>
          <w:bCs/>
          <w:i/>
          <w:sz w:val="22"/>
          <w:szCs w:val="22"/>
        </w:rPr>
      </w:pPr>
      <w:r w:rsidRPr="00386744">
        <w:rPr>
          <w:rFonts w:ascii="Palatino Linotype" w:hAnsi="Palatino Linotype"/>
          <w:bCs/>
          <w:i/>
          <w:sz w:val="22"/>
          <w:szCs w:val="22"/>
        </w:rPr>
        <w:t>Los documentos y constancias aquí señalados, la institución o dependencia podrá conservarlos por medio de los sistemas de digitalización o de información magnética o electrónica o cualquier medio descubierto por la ciencia y las constancias expedidas por el encargado del área de personal de é</w:t>
      </w:r>
      <w:r w:rsidR="00446BC9" w:rsidRPr="00386744">
        <w:rPr>
          <w:rFonts w:ascii="Palatino Linotype" w:hAnsi="Palatino Linotype"/>
          <w:bCs/>
          <w:i/>
          <w:sz w:val="22"/>
          <w:szCs w:val="22"/>
        </w:rPr>
        <w:t xml:space="preserve">stas, harán prueba plena.” </w:t>
      </w:r>
    </w:p>
    <w:p w14:paraId="7C452ABA" w14:textId="77777777" w:rsidR="003C3F06" w:rsidRPr="00386744" w:rsidRDefault="003C3F06" w:rsidP="003C3F06">
      <w:pPr>
        <w:spacing w:before="240" w:after="240" w:line="360" w:lineRule="auto"/>
        <w:ind w:right="51"/>
        <w:jc w:val="both"/>
        <w:rPr>
          <w:rFonts w:ascii="Palatino Linotype" w:hAnsi="Palatino Linotype" w:cs="Arial"/>
        </w:rPr>
      </w:pPr>
      <w:r w:rsidRPr="00386744">
        <w:rPr>
          <w:rFonts w:ascii="Palatino Linotype" w:hAnsi="Palatino Linotype" w:cs="Arial"/>
        </w:rPr>
        <w:lastRenderedPageBreak/>
        <w:t>Luego entonces, tenemos que toda institución o dependencia pública del Estado de México debe conservar las constancias documentales del pago de salario cuando sea por depósito o mediante información electrónica, debiendo conservar dicha documentación durante el último año y un año después de que se extinga la relación laboral a través de los sistemas de digitalización o de información magnética o electrónica.</w:t>
      </w:r>
    </w:p>
    <w:p w14:paraId="24EB3DCE" w14:textId="28D7E137" w:rsidR="00446BC9" w:rsidRPr="00386744" w:rsidRDefault="00446BC9" w:rsidP="00446BC9">
      <w:pPr>
        <w:tabs>
          <w:tab w:val="right" w:leader="dot" w:pos="8505"/>
        </w:tabs>
        <w:spacing w:before="240" w:after="240" w:line="360" w:lineRule="auto"/>
        <w:jc w:val="both"/>
        <w:rPr>
          <w:rStyle w:val="apple-style-span"/>
          <w:rFonts w:cstheme="minorBidi"/>
        </w:rPr>
      </w:pPr>
      <w:r w:rsidRPr="00386744">
        <w:rPr>
          <w:rFonts w:ascii="Palatino Linotype" w:hAnsi="Palatino Linotype" w:cs="Arial"/>
        </w:rPr>
        <w:t xml:space="preserve">Por otro lado, la </w:t>
      </w:r>
      <w:r w:rsidRPr="00386744">
        <w:rPr>
          <w:rFonts w:ascii="Palatino Linotype" w:hAnsi="Palatino Linotype"/>
        </w:rPr>
        <w:t xml:space="preserve">Ley de Fiscalización Superior del Estado de México, señala que los municipios que conforman el Estado de México, entre ellos el </w:t>
      </w:r>
      <w:r w:rsidRPr="00386744">
        <w:rPr>
          <w:rFonts w:ascii="Palatino Linotype" w:hAnsi="Palatino Linotype"/>
          <w:b/>
        </w:rPr>
        <w:t>Sujeto Obligado</w:t>
      </w:r>
      <w:r w:rsidRPr="00386744">
        <w:rPr>
          <w:rFonts w:ascii="Palatino Linotype" w:hAnsi="Palatino Linotype"/>
        </w:rPr>
        <w:t>,</w:t>
      </w:r>
      <w:r w:rsidRPr="00386744">
        <w:t xml:space="preserve"> </w:t>
      </w:r>
      <w:r w:rsidRPr="00386744">
        <w:rPr>
          <w:rFonts w:ascii="Palatino Linotype" w:hAnsi="Palatino Linotype"/>
        </w:rPr>
        <w:t xml:space="preserve">es considerado como ente fiscalizable, como se desprende del artículo 4, fracción II </w:t>
      </w:r>
      <w:r w:rsidRPr="00386744">
        <w:rPr>
          <w:rStyle w:val="apple-style-span"/>
          <w:rFonts w:ascii="Palatino Linotype" w:hAnsi="Palatino Linotype" w:cs="Arial"/>
        </w:rPr>
        <w:t>a saber:</w:t>
      </w:r>
    </w:p>
    <w:p w14:paraId="6FAED995" w14:textId="77777777" w:rsidR="00446BC9" w:rsidRPr="00386744" w:rsidRDefault="00446BC9" w:rsidP="00446BC9">
      <w:pPr>
        <w:autoSpaceDE w:val="0"/>
        <w:autoSpaceDN w:val="0"/>
        <w:adjustRightInd w:val="0"/>
        <w:spacing w:before="120" w:after="120"/>
        <w:ind w:left="851" w:right="851"/>
        <w:jc w:val="both"/>
        <w:rPr>
          <w:rFonts w:ascii="Palatino Linotype" w:hAnsi="Palatino Linotype" w:cs="Arial"/>
          <w:i/>
          <w:sz w:val="22"/>
          <w:szCs w:val="22"/>
          <w:lang w:eastAsia="es-MX"/>
        </w:rPr>
      </w:pPr>
      <w:r w:rsidRPr="00386744">
        <w:rPr>
          <w:rFonts w:ascii="Palatino Linotype" w:hAnsi="Palatino Linotype" w:cs="Arial"/>
          <w:b/>
          <w:bCs/>
          <w:i/>
          <w:sz w:val="22"/>
          <w:szCs w:val="22"/>
          <w:lang w:eastAsia="es-MX"/>
        </w:rPr>
        <w:t xml:space="preserve">“Artículo 4. </w:t>
      </w:r>
      <w:r w:rsidRPr="00386744">
        <w:rPr>
          <w:rFonts w:ascii="Palatino Linotype" w:hAnsi="Palatino Linotype" w:cs="Arial"/>
          <w:i/>
          <w:sz w:val="22"/>
          <w:szCs w:val="22"/>
          <w:lang w:eastAsia="es-MX"/>
        </w:rPr>
        <w:t>Son sujetos de fiscalización:</w:t>
      </w:r>
    </w:p>
    <w:p w14:paraId="21DE097D" w14:textId="77777777" w:rsidR="00446BC9" w:rsidRPr="00386744" w:rsidRDefault="00446BC9" w:rsidP="00446BC9">
      <w:pPr>
        <w:autoSpaceDE w:val="0"/>
        <w:autoSpaceDN w:val="0"/>
        <w:adjustRightInd w:val="0"/>
        <w:spacing w:before="120" w:after="120"/>
        <w:ind w:left="1134" w:right="851"/>
        <w:jc w:val="both"/>
        <w:rPr>
          <w:rFonts w:cs="Arial"/>
          <w:i/>
          <w:sz w:val="22"/>
          <w:szCs w:val="22"/>
          <w:lang w:eastAsia="es-MX"/>
        </w:rPr>
      </w:pPr>
      <w:r w:rsidRPr="00386744">
        <w:rPr>
          <w:rFonts w:ascii="Palatino Linotype" w:hAnsi="Palatino Linotype" w:cs="Arial"/>
          <w:bCs/>
          <w:i/>
          <w:sz w:val="22"/>
          <w:szCs w:val="22"/>
          <w:lang w:eastAsia="es-MX"/>
        </w:rPr>
        <w:t>…</w:t>
      </w:r>
    </w:p>
    <w:p w14:paraId="5E1ECAAA" w14:textId="280C0F4E" w:rsidR="00446BC9" w:rsidRPr="00386744" w:rsidRDefault="00446BC9" w:rsidP="00446BC9">
      <w:pPr>
        <w:autoSpaceDE w:val="0"/>
        <w:autoSpaceDN w:val="0"/>
        <w:adjustRightInd w:val="0"/>
        <w:spacing w:before="120" w:after="120"/>
        <w:ind w:left="1134" w:right="851"/>
        <w:jc w:val="both"/>
        <w:rPr>
          <w:rFonts w:ascii="Palatino Linotype" w:hAnsi="Palatino Linotype" w:cs="Arial"/>
          <w:i/>
          <w:lang w:eastAsia="es-MX"/>
        </w:rPr>
      </w:pPr>
      <w:r w:rsidRPr="00386744">
        <w:rPr>
          <w:rFonts w:ascii="Palatino Linotype" w:hAnsi="Palatino Linotype" w:cs="Arial"/>
          <w:b/>
          <w:i/>
          <w:lang w:eastAsia="es-MX"/>
        </w:rPr>
        <w:t>II.</w:t>
      </w:r>
      <w:r w:rsidRPr="00386744">
        <w:rPr>
          <w:rFonts w:ascii="Palatino Linotype" w:hAnsi="Palatino Linotype" w:cs="Arial"/>
          <w:i/>
          <w:lang w:eastAsia="es-MX"/>
        </w:rPr>
        <w:t xml:space="preserve"> Los municipios del Estado de México…” (Sic)</w:t>
      </w:r>
    </w:p>
    <w:p w14:paraId="64F62CCC" w14:textId="43C02566" w:rsidR="00446BC9" w:rsidRPr="00386744" w:rsidRDefault="00446BC9" w:rsidP="00446BC9">
      <w:pPr>
        <w:autoSpaceDE w:val="0"/>
        <w:autoSpaceDN w:val="0"/>
        <w:adjustRightInd w:val="0"/>
        <w:spacing w:before="240" w:after="240" w:line="360" w:lineRule="auto"/>
        <w:ind w:right="51"/>
        <w:jc w:val="both"/>
        <w:rPr>
          <w:rStyle w:val="apple-style-span"/>
          <w:rFonts w:ascii="Palatino Linotype" w:hAnsi="Palatino Linotype" w:cs="Arial"/>
        </w:rPr>
      </w:pPr>
      <w:r w:rsidRPr="00386744">
        <w:rPr>
          <w:rStyle w:val="apple-style-span"/>
          <w:rFonts w:ascii="Palatino Linotype" w:hAnsi="Palatino Linotype" w:cs="Arial"/>
        </w:rPr>
        <w:t>Asimismo, el ordenamiento legal referido señala en su artículo 8, fracción XI, que el Órgano Superior de Fiscalización del Estado de México, tiene como una de sus atribuciones el de emitir los Lineamientos Integración del Informe Trimestral de los Sujetos de Fiscalización </w:t>
      </w:r>
      <w:r w:rsidRPr="00386744">
        <w:rPr>
          <w:rStyle w:val="apple-style-span"/>
          <w:rFonts w:ascii="Palatino Linotype" w:hAnsi="Palatino Linotype" w:cs="Arial"/>
          <w:bCs/>
        </w:rPr>
        <w:t>Municipales</w:t>
      </w:r>
      <w:r w:rsidRPr="00386744">
        <w:rPr>
          <w:rStyle w:val="apple-style-span"/>
          <w:rFonts w:ascii="Palatino Linotype" w:hAnsi="Palatino Linotype" w:cs="Arial"/>
        </w:rPr>
        <w:t> para el Ejercicio 2021, como se lee a continuación:</w:t>
      </w:r>
    </w:p>
    <w:p w14:paraId="6BAC0817" w14:textId="77777777" w:rsidR="00446BC9" w:rsidRPr="00386744" w:rsidRDefault="00446BC9" w:rsidP="00446BC9">
      <w:pPr>
        <w:autoSpaceDE w:val="0"/>
        <w:autoSpaceDN w:val="0"/>
        <w:adjustRightInd w:val="0"/>
        <w:spacing w:before="120" w:after="120"/>
        <w:ind w:left="851" w:right="851"/>
        <w:jc w:val="both"/>
        <w:rPr>
          <w:i/>
          <w:sz w:val="22"/>
          <w:szCs w:val="22"/>
        </w:rPr>
      </w:pPr>
      <w:r w:rsidRPr="00386744">
        <w:rPr>
          <w:rFonts w:ascii="Palatino Linotype" w:hAnsi="Palatino Linotype" w:cs="Arial"/>
          <w:b/>
          <w:bCs/>
          <w:i/>
          <w:sz w:val="22"/>
          <w:szCs w:val="22"/>
        </w:rPr>
        <w:t xml:space="preserve">“Artículo 8. </w:t>
      </w:r>
      <w:r w:rsidRPr="00386744">
        <w:rPr>
          <w:rFonts w:ascii="Palatino Linotype" w:hAnsi="Palatino Linotype" w:cs="Arial"/>
          <w:i/>
          <w:sz w:val="22"/>
          <w:szCs w:val="22"/>
        </w:rPr>
        <w:t>El Órgano Superior tendrá las siguientes atribuciones:</w:t>
      </w:r>
    </w:p>
    <w:p w14:paraId="41BF4847" w14:textId="77777777" w:rsidR="00446BC9" w:rsidRPr="00386744" w:rsidRDefault="00446BC9" w:rsidP="00446BC9">
      <w:pPr>
        <w:autoSpaceDE w:val="0"/>
        <w:autoSpaceDN w:val="0"/>
        <w:adjustRightInd w:val="0"/>
        <w:spacing w:before="120" w:after="120"/>
        <w:ind w:left="1134" w:right="851"/>
        <w:jc w:val="both"/>
        <w:rPr>
          <w:rFonts w:ascii="Palatino Linotype" w:hAnsi="Palatino Linotype" w:cs="Arial"/>
          <w:i/>
          <w:sz w:val="22"/>
          <w:szCs w:val="22"/>
        </w:rPr>
      </w:pPr>
      <w:r w:rsidRPr="00386744">
        <w:rPr>
          <w:rFonts w:ascii="Palatino Linotype" w:hAnsi="Palatino Linotype" w:cs="Arial"/>
          <w:i/>
          <w:sz w:val="22"/>
          <w:szCs w:val="22"/>
        </w:rPr>
        <w:t>…</w:t>
      </w:r>
    </w:p>
    <w:p w14:paraId="64038C28" w14:textId="62449140" w:rsidR="00446BC9" w:rsidRPr="00386744" w:rsidRDefault="00446BC9" w:rsidP="00446BC9">
      <w:pPr>
        <w:autoSpaceDE w:val="0"/>
        <w:autoSpaceDN w:val="0"/>
        <w:adjustRightInd w:val="0"/>
        <w:spacing w:before="120" w:after="120"/>
        <w:ind w:left="1134" w:right="851"/>
        <w:jc w:val="both"/>
        <w:rPr>
          <w:rStyle w:val="apple-style-span"/>
          <w:rFonts w:ascii="Palatino Linotype" w:hAnsi="Palatino Linotype" w:cs="Arial"/>
        </w:rPr>
      </w:pPr>
      <w:r w:rsidRPr="00386744">
        <w:rPr>
          <w:rFonts w:ascii="Palatino Linotype" w:hAnsi="Palatino Linotype" w:cs="Arial"/>
          <w:b/>
          <w:bCs/>
          <w:i/>
          <w:sz w:val="22"/>
          <w:szCs w:val="22"/>
        </w:rPr>
        <w:t xml:space="preserve">XI. </w:t>
      </w:r>
      <w:r w:rsidRPr="00386744">
        <w:rPr>
          <w:rFonts w:ascii="Palatino Linotype" w:hAnsi="Palatino Linotype" w:cs="Arial"/>
          <w:b/>
          <w:i/>
          <w:sz w:val="22"/>
          <w:szCs w:val="22"/>
        </w:rPr>
        <w:t>Establecer los lineamientos</w:t>
      </w:r>
      <w:r w:rsidRPr="00386744">
        <w:rPr>
          <w:rFonts w:ascii="Palatino Linotype" w:hAnsi="Palatino Linotype" w:cs="Arial"/>
          <w:i/>
          <w:sz w:val="22"/>
          <w:szCs w:val="22"/>
        </w:rPr>
        <w:t xml:space="preserve">, criterios, procedimientos, métodos y sistemas </w:t>
      </w:r>
      <w:r w:rsidRPr="00386744">
        <w:rPr>
          <w:rFonts w:ascii="Palatino Linotype" w:hAnsi="Palatino Linotype" w:cs="Arial"/>
          <w:b/>
          <w:i/>
          <w:sz w:val="22"/>
          <w:szCs w:val="22"/>
        </w:rPr>
        <w:t>para las acciones de control y evaluación, necesarios para la fiscalización de las cuentas públicas y los informes trimestrales</w:t>
      </w:r>
      <w:r w:rsidRPr="00386744">
        <w:rPr>
          <w:rFonts w:ascii="Palatino Linotype" w:hAnsi="Palatino Linotype" w:cs="Arial"/>
          <w:i/>
          <w:sz w:val="22"/>
          <w:szCs w:val="22"/>
        </w:rPr>
        <w:t>…</w:t>
      </w:r>
      <w:r w:rsidRPr="00386744">
        <w:rPr>
          <w:rStyle w:val="apple-style-span"/>
          <w:rFonts w:ascii="Palatino Linotype" w:eastAsiaTheme="minorHAnsi" w:hAnsi="Palatino Linotype" w:cs="Arial"/>
          <w:sz w:val="22"/>
          <w:szCs w:val="22"/>
        </w:rPr>
        <w:t>”</w:t>
      </w:r>
    </w:p>
    <w:p w14:paraId="4550C743" w14:textId="77777777" w:rsidR="00446BC9" w:rsidRPr="00386744" w:rsidRDefault="00446BC9" w:rsidP="00446BC9">
      <w:pPr>
        <w:autoSpaceDE w:val="0"/>
        <w:autoSpaceDN w:val="0"/>
        <w:adjustRightInd w:val="0"/>
        <w:spacing w:before="240" w:after="240" w:line="360" w:lineRule="auto"/>
        <w:jc w:val="both"/>
        <w:rPr>
          <w:rFonts w:ascii="Palatino Linotype" w:hAnsi="Palatino Linotype"/>
        </w:rPr>
      </w:pPr>
      <w:r w:rsidRPr="00386744">
        <w:rPr>
          <w:rFonts w:ascii="Palatino Linotype" w:hAnsi="Palatino Linotype"/>
        </w:rPr>
        <w:lastRenderedPageBreak/>
        <w:t>Dentro de los cuales ubicamos en su módulo cuatro la información de la nómina, como se advierte en las siguientes imágenes sustraídas de dichas políticas:</w:t>
      </w:r>
    </w:p>
    <w:p w14:paraId="3D67885B" w14:textId="0ADD9ED7" w:rsidR="00446BC9" w:rsidRPr="00386744" w:rsidRDefault="00446BC9" w:rsidP="00446BC9">
      <w:pPr>
        <w:autoSpaceDE w:val="0"/>
        <w:autoSpaceDN w:val="0"/>
        <w:adjustRightInd w:val="0"/>
        <w:spacing w:before="240" w:after="240" w:line="360" w:lineRule="auto"/>
        <w:ind w:right="51"/>
        <w:jc w:val="center"/>
        <w:rPr>
          <w:rStyle w:val="apple-style-span"/>
          <w:rFonts w:ascii="Palatino Linotype" w:hAnsi="Palatino Linotype" w:cs="Arial"/>
        </w:rPr>
      </w:pPr>
      <w:r w:rsidRPr="00386744">
        <w:rPr>
          <w:noProof/>
          <w:lang w:val="es-MX" w:eastAsia="es-MX"/>
        </w:rPr>
        <w:drawing>
          <wp:inline distT="0" distB="0" distL="0" distR="0" wp14:anchorId="73234A03" wp14:editId="444C5C02">
            <wp:extent cx="5039131" cy="36004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987" t="26967" r="3146" b="13262"/>
                    <a:stretch/>
                  </pic:blipFill>
                  <pic:spPr bwMode="auto">
                    <a:xfrm>
                      <a:off x="0" y="0"/>
                      <a:ext cx="5044060" cy="3603972"/>
                    </a:xfrm>
                    <a:prstGeom prst="rect">
                      <a:avLst/>
                    </a:prstGeom>
                    <a:ln>
                      <a:noFill/>
                    </a:ln>
                    <a:extLst>
                      <a:ext uri="{53640926-AAD7-44D8-BBD7-CCE9431645EC}">
                        <a14:shadowObscured xmlns:a14="http://schemas.microsoft.com/office/drawing/2010/main"/>
                      </a:ext>
                    </a:extLst>
                  </pic:spPr>
                </pic:pic>
              </a:graphicData>
            </a:graphic>
          </wp:inline>
        </w:drawing>
      </w:r>
    </w:p>
    <w:p w14:paraId="4072A346" w14:textId="7BF6B044" w:rsidR="000049C2" w:rsidRPr="00386744" w:rsidRDefault="000049C2" w:rsidP="00446BC9">
      <w:pPr>
        <w:autoSpaceDE w:val="0"/>
        <w:autoSpaceDN w:val="0"/>
        <w:adjustRightInd w:val="0"/>
        <w:spacing w:before="240" w:after="240" w:line="360" w:lineRule="auto"/>
        <w:ind w:right="51"/>
        <w:jc w:val="center"/>
        <w:rPr>
          <w:rStyle w:val="apple-style-span"/>
          <w:rFonts w:ascii="Palatino Linotype" w:hAnsi="Palatino Linotype" w:cs="Arial"/>
        </w:rPr>
      </w:pPr>
    </w:p>
    <w:p w14:paraId="1CEFD0BB" w14:textId="7D79DDF6" w:rsidR="00446BC9" w:rsidRPr="00386744" w:rsidRDefault="00446BC9" w:rsidP="00446BC9">
      <w:pPr>
        <w:spacing w:before="240" w:after="240" w:line="360" w:lineRule="auto"/>
        <w:ind w:right="51"/>
        <w:jc w:val="center"/>
        <w:rPr>
          <w:rFonts w:ascii="Palatino Linotype" w:hAnsi="Palatino Linotype" w:cs="Arial"/>
        </w:rPr>
      </w:pPr>
      <w:r w:rsidRPr="00386744">
        <w:rPr>
          <w:noProof/>
          <w:lang w:val="es-MX" w:eastAsia="es-MX"/>
        </w:rPr>
        <w:lastRenderedPageBreak/>
        <w:drawing>
          <wp:inline distT="0" distB="0" distL="0" distR="0" wp14:anchorId="474534A8" wp14:editId="4753B731">
            <wp:extent cx="4968000" cy="3331141"/>
            <wp:effectExtent l="0" t="0" r="4445"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6207" t="14490" r="18081"/>
                    <a:stretch/>
                  </pic:blipFill>
                  <pic:spPr bwMode="auto">
                    <a:xfrm>
                      <a:off x="0" y="0"/>
                      <a:ext cx="4968000" cy="3331141"/>
                    </a:xfrm>
                    <a:prstGeom prst="rect">
                      <a:avLst/>
                    </a:prstGeom>
                    <a:ln>
                      <a:noFill/>
                    </a:ln>
                    <a:extLst>
                      <a:ext uri="{53640926-AAD7-44D8-BBD7-CCE9431645EC}">
                        <a14:shadowObscured xmlns:a14="http://schemas.microsoft.com/office/drawing/2010/main"/>
                      </a:ext>
                    </a:extLst>
                  </pic:spPr>
                </pic:pic>
              </a:graphicData>
            </a:graphic>
          </wp:inline>
        </w:drawing>
      </w:r>
    </w:p>
    <w:p w14:paraId="71A7B208" w14:textId="16C32986" w:rsidR="00446BC9" w:rsidRPr="00386744" w:rsidRDefault="00446BC9" w:rsidP="00446BC9">
      <w:pPr>
        <w:spacing w:before="240" w:after="240" w:line="360" w:lineRule="auto"/>
        <w:ind w:right="51"/>
        <w:jc w:val="center"/>
        <w:rPr>
          <w:rFonts w:ascii="Palatino Linotype" w:hAnsi="Palatino Linotype" w:cs="Arial"/>
        </w:rPr>
      </w:pPr>
      <w:r w:rsidRPr="00386744">
        <w:rPr>
          <w:noProof/>
          <w:lang w:val="es-MX" w:eastAsia="es-MX"/>
        </w:rPr>
        <w:drawing>
          <wp:inline distT="0" distB="0" distL="0" distR="0" wp14:anchorId="581CB433" wp14:editId="19A2E6B6">
            <wp:extent cx="4968000" cy="3720196"/>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7792" t="16704" r="16949" b="2193"/>
                    <a:stretch/>
                  </pic:blipFill>
                  <pic:spPr bwMode="auto">
                    <a:xfrm>
                      <a:off x="0" y="0"/>
                      <a:ext cx="4968000" cy="3720196"/>
                    </a:xfrm>
                    <a:prstGeom prst="rect">
                      <a:avLst/>
                    </a:prstGeom>
                    <a:ln>
                      <a:noFill/>
                    </a:ln>
                    <a:extLst>
                      <a:ext uri="{53640926-AAD7-44D8-BBD7-CCE9431645EC}">
                        <a14:shadowObscured xmlns:a14="http://schemas.microsoft.com/office/drawing/2010/main"/>
                      </a:ext>
                    </a:extLst>
                  </pic:spPr>
                </pic:pic>
              </a:graphicData>
            </a:graphic>
          </wp:inline>
        </w:drawing>
      </w:r>
    </w:p>
    <w:p w14:paraId="1AB6FFAD" w14:textId="04928641" w:rsidR="00446BC9" w:rsidRPr="00386744" w:rsidRDefault="00446BC9" w:rsidP="00446BC9">
      <w:pPr>
        <w:spacing w:before="240" w:after="240" w:line="360" w:lineRule="auto"/>
        <w:ind w:right="51"/>
        <w:jc w:val="center"/>
        <w:rPr>
          <w:rFonts w:ascii="Palatino Linotype" w:hAnsi="Palatino Linotype" w:cs="Arial"/>
        </w:rPr>
      </w:pPr>
      <w:r w:rsidRPr="00386744">
        <w:rPr>
          <w:noProof/>
          <w:lang w:val="es-MX" w:eastAsia="es-MX"/>
        </w:rPr>
        <w:lastRenderedPageBreak/>
        <w:drawing>
          <wp:inline distT="0" distB="0" distL="0" distR="0" wp14:anchorId="04351427" wp14:editId="6BA9D2A2">
            <wp:extent cx="4967282" cy="3467100"/>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223" t="23949" r="22607" b="9439"/>
                    <a:stretch/>
                  </pic:blipFill>
                  <pic:spPr bwMode="auto">
                    <a:xfrm>
                      <a:off x="0" y="0"/>
                      <a:ext cx="4978306" cy="3474794"/>
                    </a:xfrm>
                    <a:prstGeom prst="rect">
                      <a:avLst/>
                    </a:prstGeom>
                    <a:ln>
                      <a:noFill/>
                    </a:ln>
                    <a:extLst>
                      <a:ext uri="{53640926-AAD7-44D8-BBD7-CCE9431645EC}">
                        <a14:shadowObscured xmlns:a14="http://schemas.microsoft.com/office/drawing/2010/main"/>
                      </a:ext>
                    </a:extLst>
                  </pic:spPr>
                </pic:pic>
              </a:graphicData>
            </a:graphic>
          </wp:inline>
        </w:drawing>
      </w:r>
    </w:p>
    <w:p w14:paraId="7A2133F8" w14:textId="02CCA103" w:rsidR="00446BC9" w:rsidRPr="00386744" w:rsidRDefault="00446BC9" w:rsidP="00446BC9">
      <w:pPr>
        <w:autoSpaceDE w:val="0"/>
        <w:autoSpaceDN w:val="0"/>
        <w:adjustRightInd w:val="0"/>
        <w:spacing w:before="240" w:after="240" w:line="360" w:lineRule="auto"/>
        <w:jc w:val="both"/>
        <w:rPr>
          <w:rFonts w:ascii="Palatino Linotype" w:hAnsi="Palatino Linotype" w:cs="Arial"/>
        </w:rPr>
      </w:pPr>
      <w:r w:rsidRPr="00386744">
        <w:rPr>
          <w:rFonts w:ascii="Palatino Linotype" w:hAnsi="Palatino Linotype" w:cs="Arial"/>
        </w:rPr>
        <w:t xml:space="preserve">Con base en lo anterior, se presume que el </w:t>
      </w:r>
      <w:r w:rsidRPr="00386744">
        <w:rPr>
          <w:rFonts w:ascii="Palatino Linotype" w:hAnsi="Palatino Linotype" w:cs="Arial"/>
          <w:b/>
        </w:rPr>
        <w:t xml:space="preserve">Sujeto Obligado </w:t>
      </w:r>
      <w:r w:rsidRPr="00386744">
        <w:rPr>
          <w:rFonts w:ascii="Palatino Linotype" w:hAnsi="Palatino Linotype" w:cs="Arial"/>
        </w:rPr>
        <w:t>debió generar la información de</w:t>
      </w:r>
      <w:r w:rsidR="007750B8" w:rsidRPr="00386744">
        <w:rPr>
          <w:rFonts w:ascii="Palatino Linotype" w:hAnsi="Palatino Linotype" w:cs="Arial"/>
        </w:rPr>
        <w:t xml:space="preserve"> los recibos de</w:t>
      </w:r>
      <w:r w:rsidRPr="00386744">
        <w:rPr>
          <w:rFonts w:ascii="Palatino Linotype" w:hAnsi="Palatino Linotype" w:cs="Arial"/>
        </w:rPr>
        <w:t xml:space="preserve"> nómina de todos sus Servidores Públicos; de manera </w:t>
      </w:r>
      <w:r w:rsidR="00BB5A99" w:rsidRPr="00386744">
        <w:rPr>
          <w:rFonts w:ascii="Palatino Linotype" w:hAnsi="Palatino Linotype" w:cs="Arial"/>
        </w:rPr>
        <w:t>quincenal</w:t>
      </w:r>
      <w:r w:rsidRPr="00386744">
        <w:rPr>
          <w:rFonts w:ascii="Palatino Linotype" w:hAnsi="Palatino Linotype" w:cs="Arial"/>
        </w:rPr>
        <w:t xml:space="preserve"> y remitirla al Órgano Superior de Fiscalización del Estado de México, para su respectiva revisión y fiscalización.</w:t>
      </w:r>
    </w:p>
    <w:p w14:paraId="52AD5802" w14:textId="12479F6F" w:rsidR="00446BC9" w:rsidRPr="00386744" w:rsidRDefault="00446BC9" w:rsidP="00446BC9">
      <w:pPr>
        <w:autoSpaceDE w:val="0"/>
        <w:autoSpaceDN w:val="0"/>
        <w:adjustRightInd w:val="0"/>
        <w:spacing w:before="240" w:after="240" w:line="360" w:lineRule="auto"/>
        <w:jc w:val="both"/>
        <w:rPr>
          <w:rFonts w:ascii="Palatino Linotype" w:hAnsi="Palatino Linotype" w:cs="Arial"/>
        </w:rPr>
      </w:pPr>
      <w:r w:rsidRPr="00386744">
        <w:rPr>
          <w:rFonts w:ascii="Palatino Linotype" w:hAnsi="Palatino Linotype" w:cs="Arial"/>
          <w:lang w:eastAsia="es-MX"/>
        </w:rPr>
        <w:t xml:space="preserve">En consecuencia, los comprobantes fiscales digitales por internet o CFDI´s son los documentos requeridos por el particular, </w:t>
      </w:r>
      <w:r w:rsidR="004F499A" w:rsidRPr="00386744">
        <w:rPr>
          <w:rFonts w:ascii="Palatino Linotype" w:hAnsi="Palatino Linotype" w:cs="Arial"/>
          <w:lang w:eastAsia="es-MX"/>
        </w:rPr>
        <w:t xml:space="preserve">mediante los cuales podrá </w:t>
      </w:r>
      <w:r w:rsidR="002879B9" w:rsidRPr="00386744">
        <w:rPr>
          <w:rFonts w:ascii="Palatino Linotype" w:hAnsi="Palatino Linotype" w:cs="Arial"/>
          <w:lang w:eastAsia="es-MX"/>
        </w:rPr>
        <w:t>conocer</w:t>
      </w:r>
      <w:r w:rsidR="004F499A" w:rsidRPr="00386744">
        <w:rPr>
          <w:rFonts w:ascii="Palatino Linotype" w:hAnsi="Palatino Linotype" w:cs="Arial"/>
          <w:lang w:eastAsia="es-MX"/>
        </w:rPr>
        <w:t xml:space="preserve"> el salario quincenal de los elementos de seguridad con los que cuenta el A</w:t>
      </w:r>
      <w:r w:rsidR="000E18BF" w:rsidRPr="00386744">
        <w:rPr>
          <w:rFonts w:ascii="Palatino Linotype" w:hAnsi="Palatino Linotype" w:cs="Arial"/>
          <w:lang w:eastAsia="es-MX"/>
        </w:rPr>
        <w:t>yuntamiento,</w:t>
      </w:r>
      <w:r w:rsidRPr="00386744">
        <w:rPr>
          <w:rFonts w:ascii="Palatino Linotype" w:hAnsi="Palatino Linotype" w:cs="Arial"/>
          <w:lang w:eastAsia="es-MX"/>
        </w:rPr>
        <w:t xml:space="preserve"> </w:t>
      </w:r>
      <w:r w:rsidRPr="00386744">
        <w:rPr>
          <w:rFonts w:ascii="Palatino Linotype" w:hAnsi="Palatino Linotype" w:cs="Arial"/>
        </w:rPr>
        <w:t xml:space="preserve">por lo que resulta procedente ordenar al </w:t>
      </w:r>
      <w:r w:rsidR="000E18BF" w:rsidRPr="00386744">
        <w:rPr>
          <w:rFonts w:ascii="Palatino Linotype" w:hAnsi="Palatino Linotype" w:cs="Arial"/>
          <w:b/>
        </w:rPr>
        <w:t>Sujeto Obligado</w:t>
      </w:r>
      <w:r w:rsidR="000E18BF" w:rsidRPr="00386744">
        <w:rPr>
          <w:rFonts w:ascii="Palatino Linotype" w:hAnsi="Palatino Linotype" w:cs="Arial"/>
        </w:rPr>
        <w:t xml:space="preserve"> la</w:t>
      </w:r>
      <w:r w:rsidRPr="00386744">
        <w:rPr>
          <w:rFonts w:ascii="Palatino Linotype" w:hAnsi="Palatino Linotype" w:cs="Arial"/>
        </w:rPr>
        <w:t xml:space="preserve"> entrega salvaguardando los datos personales que contenga, de conformidad con el considerando </w:t>
      </w:r>
      <w:r w:rsidR="000E18BF" w:rsidRPr="00386744">
        <w:rPr>
          <w:rFonts w:ascii="Palatino Linotype" w:hAnsi="Palatino Linotype" w:cs="Arial"/>
        </w:rPr>
        <w:t>siguiente</w:t>
      </w:r>
      <w:r w:rsidRPr="00386744">
        <w:rPr>
          <w:rFonts w:ascii="Palatino Linotype" w:hAnsi="Palatino Linotype" w:cs="Arial"/>
        </w:rPr>
        <w:t xml:space="preserve">. </w:t>
      </w:r>
    </w:p>
    <w:p w14:paraId="51995586" w14:textId="57A92419" w:rsidR="005651FE" w:rsidRPr="00386744" w:rsidRDefault="005651FE" w:rsidP="00446BC9">
      <w:pPr>
        <w:autoSpaceDE w:val="0"/>
        <w:autoSpaceDN w:val="0"/>
        <w:adjustRightInd w:val="0"/>
        <w:spacing w:before="240" w:after="240" w:line="360" w:lineRule="auto"/>
        <w:jc w:val="both"/>
        <w:rPr>
          <w:rFonts w:ascii="Palatino Linotype" w:hAnsi="Palatino Linotype" w:cs="Arial"/>
        </w:rPr>
      </w:pPr>
      <w:r w:rsidRPr="00386744">
        <w:rPr>
          <w:rFonts w:ascii="Palatino Linotype" w:hAnsi="Palatino Linotype" w:cs="Arial"/>
        </w:rPr>
        <w:t xml:space="preserve">Asimismo, toda vez que el particular omitió señalar de manera precisa el periodo sobre el cual requería la referida información, y tomando en consideración que los </w:t>
      </w:r>
      <w:r w:rsidRPr="00386744">
        <w:rPr>
          <w:rFonts w:ascii="Palatino Linotype" w:hAnsi="Palatino Linotype" w:cs="Arial"/>
        </w:rPr>
        <w:lastRenderedPageBreak/>
        <w:t>documentos en los que obra la información relacionada con el sueldo de los servidores públicos se genera de manera quincenal, se estima procedente ordenar la entrega de aquellos que correspondan con los generados en las dos quincenas inmediatas anteriores a la presentación de la solicitud, es decir, de la segunda quincena de diciembre de  dos mil veintiuno y la primera quincena de enero de dos mil veintidós, toda vez que la solicitud de información se tuvo por presentada el día veintisiete de enero de dos mil veintidós.</w:t>
      </w:r>
    </w:p>
    <w:p w14:paraId="19B48019" w14:textId="2E181643" w:rsidR="00B53EC4" w:rsidRPr="00386744" w:rsidRDefault="003A4254" w:rsidP="00B53EC4">
      <w:pPr>
        <w:spacing w:before="240" w:after="240" w:line="360" w:lineRule="auto"/>
        <w:jc w:val="both"/>
        <w:rPr>
          <w:rFonts w:ascii="Palatino Linotype" w:hAnsi="Palatino Linotype" w:cs="Arial"/>
          <w:lang w:val="es-MX"/>
        </w:rPr>
      </w:pPr>
      <w:r w:rsidRPr="00386744">
        <w:rPr>
          <w:rFonts w:ascii="Palatino Linotype" w:hAnsi="Palatino Linotype" w:cs="Arial"/>
        </w:rPr>
        <w:t xml:space="preserve">Tocante al tema del </w:t>
      </w:r>
      <w:r w:rsidRPr="00386744">
        <w:rPr>
          <w:rFonts w:ascii="Palatino Linotype" w:hAnsi="Palatino Linotype" w:cs="Arial"/>
          <w:b/>
        </w:rPr>
        <w:t>nombre completo de</w:t>
      </w:r>
      <w:r w:rsidR="002879B9" w:rsidRPr="00386744">
        <w:rPr>
          <w:rFonts w:ascii="Palatino Linotype" w:hAnsi="Palatino Linotype" w:cs="Arial"/>
          <w:b/>
        </w:rPr>
        <w:t xml:space="preserve"> cada uno de </w:t>
      </w:r>
      <w:r w:rsidRPr="00386744">
        <w:rPr>
          <w:rFonts w:ascii="Palatino Linotype" w:hAnsi="Palatino Linotype" w:cs="Arial"/>
          <w:b/>
        </w:rPr>
        <w:t>los elementos de seguridad</w:t>
      </w:r>
      <w:r w:rsidRPr="00386744">
        <w:rPr>
          <w:rFonts w:ascii="Palatino Linotype" w:hAnsi="Palatino Linotype" w:cs="Arial"/>
        </w:rPr>
        <w:t xml:space="preserve"> con los que cuenta el A</w:t>
      </w:r>
      <w:r w:rsidR="00183166" w:rsidRPr="00386744">
        <w:rPr>
          <w:rFonts w:ascii="Palatino Linotype" w:hAnsi="Palatino Linotype" w:cs="Arial"/>
        </w:rPr>
        <w:t xml:space="preserve">yuntamiento </w:t>
      </w:r>
      <w:r w:rsidR="00183166" w:rsidRPr="00386744">
        <w:rPr>
          <w:rFonts w:ascii="Palatino Linotype" w:hAnsi="Palatino Linotype" w:cs="Arial"/>
          <w:sz w:val="22"/>
        </w:rPr>
        <w:t>-</w:t>
      </w:r>
      <w:r w:rsidR="00EE5A83" w:rsidRPr="00386744">
        <w:rPr>
          <w:rFonts w:ascii="Palatino Linotype" w:hAnsi="Palatino Linotype" w:cs="Arial"/>
          <w:sz w:val="22"/>
        </w:rPr>
        <w:t>dato que</w:t>
      </w:r>
      <w:r w:rsidR="004D2A43" w:rsidRPr="00386744">
        <w:rPr>
          <w:rFonts w:ascii="Palatino Linotype" w:hAnsi="Palatino Linotype" w:cs="Arial"/>
          <w:sz w:val="22"/>
        </w:rPr>
        <w:t xml:space="preserve">, además </w:t>
      </w:r>
      <w:r w:rsidR="00EE5A83" w:rsidRPr="00386744">
        <w:rPr>
          <w:rFonts w:ascii="Palatino Linotype" w:hAnsi="Palatino Linotype" w:cs="Arial"/>
          <w:sz w:val="22"/>
        </w:rPr>
        <w:t xml:space="preserve">se encuentra </w:t>
      </w:r>
      <w:r w:rsidR="004D2A43" w:rsidRPr="00386744">
        <w:rPr>
          <w:rFonts w:ascii="Palatino Linotype" w:hAnsi="Palatino Linotype" w:cs="Arial"/>
          <w:sz w:val="22"/>
        </w:rPr>
        <w:t>inmerso</w:t>
      </w:r>
      <w:r w:rsidR="00EE5A83" w:rsidRPr="00386744">
        <w:rPr>
          <w:rFonts w:ascii="Palatino Linotype" w:hAnsi="Palatino Linotype" w:cs="Arial"/>
          <w:sz w:val="22"/>
        </w:rPr>
        <w:t xml:space="preserve"> en los documentos que se ordenan</w:t>
      </w:r>
      <w:r w:rsidR="00183166" w:rsidRPr="00386744">
        <w:rPr>
          <w:rFonts w:ascii="Palatino Linotype" w:hAnsi="Palatino Linotype" w:cs="Arial"/>
          <w:sz w:val="22"/>
        </w:rPr>
        <w:t>-</w:t>
      </w:r>
      <w:r w:rsidR="00EE5A83" w:rsidRPr="00386744">
        <w:rPr>
          <w:rFonts w:ascii="Palatino Linotype" w:hAnsi="Palatino Linotype" w:cs="Arial"/>
        </w:rPr>
        <w:t>,</w:t>
      </w:r>
      <w:r w:rsidR="00183166" w:rsidRPr="00386744">
        <w:rPr>
          <w:rFonts w:ascii="Palatino Linotype" w:hAnsi="Palatino Linotype" w:cs="Arial"/>
        </w:rPr>
        <w:t xml:space="preserve"> se considera que la publicidad de</w:t>
      </w:r>
      <w:r w:rsidR="004D2A43" w:rsidRPr="00386744">
        <w:rPr>
          <w:rFonts w:ascii="Palatino Linotype" w:hAnsi="Palatino Linotype" w:cs="Arial"/>
        </w:rPr>
        <w:t>l mismo podía poner en riesgo la</w:t>
      </w:r>
      <w:r w:rsidR="00183166" w:rsidRPr="00386744">
        <w:rPr>
          <w:rFonts w:ascii="Palatino Linotype" w:hAnsi="Palatino Linotype" w:cs="Arial"/>
        </w:rPr>
        <w:t xml:space="preserve"> vida, </w:t>
      </w:r>
      <w:r w:rsidR="00B53EC4" w:rsidRPr="00386744">
        <w:rPr>
          <w:rFonts w:ascii="Palatino Linotype" w:hAnsi="Palatino Linotype" w:cs="Arial"/>
        </w:rPr>
        <w:t>salud, seguridad e integridad física</w:t>
      </w:r>
      <w:r w:rsidR="004D2A43" w:rsidRPr="00386744">
        <w:rPr>
          <w:rFonts w:ascii="Palatino Linotype" w:hAnsi="Palatino Linotype" w:cs="Arial"/>
        </w:rPr>
        <w:t xml:space="preserve"> de estos, </w:t>
      </w:r>
      <w:r w:rsidR="00B53EC4" w:rsidRPr="00386744">
        <w:rPr>
          <w:rFonts w:ascii="Palatino Linotype" w:hAnsi="Palatino Linotype" w:cs="Arial"/>
        </w:rPr>
        <w:t xml:space="preserve">de su familia e inclusive, de su entorno social, ya que las funciones de estos se encuentran encaminadas a </w:t>
      </w:r>
      <w:r w:rsidR="00B53EC4" w:rsidRPr="00386744">
        <w:rPr>
          <w:rFonts w:ascii="Palatino Linotype" w:hAnsi="Palatino Linotype" w:cs="Arial"/>
          <w:lang w:val="es-MX"/>
        </w:rPr>
        <w:t xml:space="preserve">mantener el orden público y la paz social, así como la prevención de la comisión de cualquier delito y su persecución, inhibiendo la manifestación de conductas antisociales, esto es así derivado de las funciones encomendadas en términos del artículo 21 párrafo noveno de la Constitución Política de los Estados Unidos Mexicanos, de las cuales comprende la prevención de los delitos, investigación y persecución para hacerla efectiva, lo cual permite a esté Instituto proteger los datos de los servidores públicos operativos que integran la </w:t>
      </w:r>
      <w:r w:rsidR="00B53EC4" w:rsidRPr="00386744">
        <w:rPr>
          <w:rFonts w:ascii="Palatino Linotype" w:eastAsia="Palatino Linotype" w:hAnsi="Palatino Linotype" w:cs="Palatino Linotype"/>
        </w:rPr>
        <w:t xml:space="preserve">Dirección de Seguridad Pública, Protección Civil y Bomberos, </w:t>
      </w:r>
      <w:r w:rsidR="00B53EC4" w:rsidRPr="00386744">
        <w:rPr>
          <w:rFonts w:ascii="Palatino Linotype" w:hAnsi="Palatino Linotype" w:cs="Arial"/>
          <w:lang w:val="es-MX"/>
        </w:rPr>
        <w:t xml:space="preserve">sólo por cuanto hace al nombre dejando intocable el rubro de salarios quincenales, que por su naturaleza conciernen a la ciudadanía por ser información pública; circunstancia que en nada afecta al derecho tutelado por este Organismo Garante, sino por el contrario también reafirma su compromiso con la rendición de cuentas del Estado y la protección a </w:t>
      </w:r>
      <w:r w:rsidR="00B53EC4" w:rsidRPr="00386744">
        <w:rPr>
          <w:rFonts w:ascii="Palatino Linotype" w:hAnsi="Palatino Linotype" w:cs="Arial"/>
          <w:lang w:val="es-MX"/>
        </w:rPr>
        <w:lastRenderedPageBreak/>
        <w:t>grupos vulnerables de acuerdo al cargo de seguridad Municipal, por lo que deberá testarse de igual manera sólo el nombre de los servidores públicos de la Policía Municipal</w:t>
      </w:r>
      <w:r w:rsidR="002879B9" w:rsidRPr="00386744">
        <w:rPr>
          <w:rFonts w:ascii="Palatino Linotype" w:hAnsi="Palatino Linotype" w:cs="Arial"/>
          <w:lang w:val="es-MX"/>
        </w:rPr>
        <w:t xml:space="preserve"> </w:t>
      </w:r>
      <w:r w:rsidR="002879B9" w:rsidRPr="00386744">
        <w:rPr>
          <w:rFonts w:ascii="Palatino Linotype" w:hAnsi="Palatino Linotype" w:cs="Arial"/>
          <w:b/>
          <w:lang w:val="es-MX"/>
        </w:rPr>
        <w:t>que desempeñen funciones operativas</w:t>
      </w:r>
      <w:r w:rsidR="00B53EC4" w:rsidRPr="00386744">
        <w:rPr>
          <w:rFonts w:ascii="Palatino Linotype" w:hAnsi="Palatino Linotype" w:cs="Arial"/>
          <w:lang w:val="es-MX"/>
        </w:rPr>
        <w:t>.</w:t>
      </w:r>
    </w:p>
    <w:p w14:paraId="6710D699" w14:textId="77777777" w:rsidR="00B53EC4" w:rsidRPr="00386744" w:rsidRDefault="00B53EC4" w:rsidP="00B53EC4">
      <w:pPr>
        <w:spacing w:before="240" w:after="240" w:line="360" w:lineRule="auto"/>
        <w:jc w:val="both"/>
        <w:rPr>
          <w:rFonts w:ascii="Palatino Linotype" w:eastAsia="MS Mincho" w:hAnsi="Palatino Linotype" w:cs="Arial"/>
          <w:lang w:val="es-ES_tradnl"/>
        </w:rPr>
      </w:pPr>
      <w:r w:rsidRPr="00386744">
        <w:rPr>
          <w:rFonts w:ascii="Palatino Linotype" w:eastAsia="MS Mincho" w:hAnsi="Palatino Linotype" w:cs="Arial"/>
          <w:lang w:val="es-ES_tradnl"/>
        </w:rPr>
        <w:t>Es importante mencionar que la causal de reserva antes señalada,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 así como para la elaboración de versiones públicas, al aplicar la prueba de daño correspondiente.</w:t>
      </w:r>
    </w:p>
    <w:p w14:paraId="348B4589" w14:textId="77777777" w:rsidR="00B53EC4" w:rsidRPr="00386744" w:rsidRDefault="00B53EC4" w:rsidP="00B53EC4">
      <w:pPr>
        <w:spacing w:before="240" w:after="240" w:line="360" w:lineRule="auto"/>
        <w:jc w:val="both"/>
        <w:rPr>
          <w:rFonts w:ascii="Palatino Linotype" w:eastAsia="Calibri" w:hAnsi="Palatino Linotype" w:cs="Tahoma"/>
          <w:iCs/>
          <w:lang w:eastAsia="es-ES_tradnl"/>
        </w:rPr>
      </w:pPr>
      <w:r w:rsidRPr="00386744">
        <w:rPr>
          <w:rFonts w:ascii="Palatino Linotype" w:eastAsia="Calibri" w:hAnsi="Palatino Linotype" w:cs="Tahoma"/>
          <w:iCs/>
          <w:lang w:eastAsia="es-ES_tradnl"/>
        </w:rPr>
        <w:t>Al respecto, este Instituto advierte lo siguiente:</w:t>
      </w:r>
    </w:p>
    <w:p w14:paraId="79F470D5" w14:textId="77777777" w:rsidR="00B53EC4" w:rsidRPr="00386744" w:rsidRDefault="00B53EC4" w:rsidP="00B53EC4">
      <w:pPr>
        <w:numPr>
          <w:ilvl w:val="1"/>
          <w:numId w:val="45"/>
        </w:numPr>
        <w:tabs>
          <w:tab w:val="left" w:pos="8222"/>
        </w:tabs>
        <w:spacing w:before="240" w:after="240" w:line="360" w:lineRule="auto"/>
        <w:ind w:left="426" w:right="-28"/>
        <w:jc w:val="both"/>
        <w:rPr>
          <w:rFonts w:ascii="Palatino Linotype" w:hAnsi="Palatino Linotype" w:cs="Tahoma"/>
          <w:bCs/>
        </w:rPr>
      </w:pPr>
      <w:r w:rsidRPr="00386744">
        <w:rPr>
          <w:rFonts w:ascii="Palatino Linotype" w:eastAsia="Calibri" w:hAnsi="Palatino Linotype" w:cs="Tahoma"/>
          <w:bCs/>
        </w:rPr>
        <w:t xml:space="preserve">Que toda vez que se trata de </w:t>
      </w:r>
      <w:r w:rsidRPr="00386744">
        <w:rPr>
          <w:rFonts w:ascii="Palatino Linotype" w:eastAsia="Calibri" w:hAnsi="Palatino Linotype" w:cs="Tahoma"/>
          <w:bCs/>
          <w:szCs w:val="22"/>
          <w:lang w:eastAsia="en-US"/>
        </w:rPr>
        <w:t>dar a conocer los nombres de los integrantes de los cuerpos de seguridad pública</w:t>
      </w:r>
      <w:r w:rsidRPr="00386744">
        <w:rPr>
          <w:rFonts w:ascii="Palatino Linotype" w:eastAsia="Calibri" w:hAnsi="Palatino Linotype" w:cs="Tahoma"/>
          <w:bCs/>
        </w:rPr>
        <w:t xml:space="preserve">, es procedente la clasificación de la información como reservada, en el entendido de que se </w:t>
      </w:r>
      <w:r w:rsidRPr="00386744">
        <w:rPr>
          <w:rFonts w:ascii="Palatino Linotype" w:eastAsia="Calibri" w:hAnsi="Palatino Linotype" w:cs="Tahoma"/>
          <w:bCs/>
          <w:szCs w:val="22"/>
          <w:lang w:eastAsia="en-US"/>
        </w:rPr>
        <w:t>pone en riesgo su vida, salud y seguridad, dado que los hace identificables</w:t>
      </w:r>
      <w:r w:rsidRPr="00386744">
        <w:rPr>
          <w:rFonts w:ascii="Palatino Linotype" w:eastAsia="Calibri" w:hAnsi="Palatino Linotype" w:cs="Tahoma"/>
          <w:bCs/>
        </w:rPr>
        <w:t xml:space="preserve">. </w:t>
      </w:r>
    </w:p>
    <w:p w14:paraId="319985A1" w14:textId="77777777" w:rsidR="00B53EC4" w:rsidRPr="00386744" w:rsidRDefault="00B53EC4" w:rsidP="00B53EC4">
      <w:pPr>
        <w:numPr>
          <w:ilvl w:val="1"/>
          <w:numId w:val="45"/>
        </w:numPr>
        <w:tabs>
          <w:tab w:val="left" w:pos="8222"/>
        </w:tabs>
        <w:spacing w:before="240" w:after="240" w:line="360" w:lineRule="auto"/>
        <w:ind w:left="426" w:right="-28"/>
        <w:jc w:val="both"/>
        <w:rPr>
          <w:rFonts w:ascii="Palatino Linotype" w:hAnsi="Palatino Linotype" w:cs="Tahoma"/>
          <w:bCs/>
        </w:rPr>
      </w:pPr>
      <w:r w:rsidRPr="00386744">
        <w:rPr>
          <w:rFonts w:ascii="Palatino Linotype" w:hAnsi="Palatino Linotype" w:cs="Tahoma"/>
          <w:bCs/>
        </w:rPr>
        <w:t xml:space="preserve">Que el riesgo de perjuicio que supone la divulgación de la información supera el interés público general; </w:t>
      </w:r>
      <w:r w:rsidRPr="00386744">
        <w:rPr>
          <w:rFonts w:ascii="Palatino Linotype" w:eastAsia="Calibri" w:hAnsi="Palatino Linotype" w:cs="Tahoma"/>
          <w:bCs/>
        </w:rPr>
        <w:t xml:space="preserve">pues con dicha información, se </w:t>
      </w:r>
      <w:r w:rsidRPr="00386744">
        <w:rPr>
          <w:rFonts w:ascii="Palatino Linotype" w:eastAsia="Calibri" w:hAnsi="Palatino Linotype" w:cs="Tahoma"/>
          <w:bCs/>
          <w:szCs w:val="22"/>
          <w:lang w:eastAsia="en-US"/>
        </w:rPr>
        <w:t>comprometería el cumplimiento de los objetivos</w:t>
      </w:r>
      <w:r w:rsidRPr="00386744">
        <w:rPr>
          <w:rFonts w:ascii="Palatino Linotype" w:eastAsia="Calibri" w:hAnsi="Palatino Linotype" w:cs="Tahoma"/>
          <w:bCs/>
        </w:rPr>
        <w:t xml:space="preserve"> en materia de seguridad pública, o bien, </w:t>
      </w:r>
      <w:r w:rsidRPr="00386744">
        <w:rPr>
          <w:rFonts w:ascii="Palatino Linotype" w:hAnsi="Palatino Linotype" w:cs="Arial"/>
        </w:rPr>
        <w:t>la consecución de la investigación de probables hechos delictivos y/o faltas administrativas.</w:t>
      </w:r>
    </w:p>
    <w:p w14:paraId="69A83AD7" w14:textId="77777777" w:rsidR="00B53EC4" w:rsidRPr="00386744" w:rsidRDefault="00B53EC4" w:rsidP="00B53EC4">
      <w:pPr>
        <w:numPr>
          <w:ilvl w:val="1"/>
          <w:numId w:val="45"/>
        </w:numPr>
        <w:tabs>
          <w:tab w:val="left" w:pos="8222"/>
        </w:tabs>
        <w:spacing w:before="240" w:after="240" w:line="360" w:lineRule="auto"/>
        <w:ind w:left="426" w:right="-28"/>
        <w:jc w:val="both"/>
        <w:rPr>
          <w:rFonts w:ascii="Palatino Linotype" w:hAnsi="Palatino Linotype" w:cs="Tahoma"/>
          <w:bCs/>
        </w:rPr>
      </w:pPr>
      <w:r w:rsidRPr="00386744">
        <w:rPr>
          <w:rFonts w:ascii="Palatino Linotype" w:hAnsi="Palatino Linotype" w:cs="Tahoma"/>
          <w:bCs/>
        </w:rPr>
        <w:lastRenderedPageBreak/>
        <w:t>La reserva no se traduce en un medio restrictivo al derecho de acceso a la información, en virtud, de que se trata de una medida temporal, cuya finalidad es salvaguardar la</w:t>
      </w:r>
      <w:r w:rsidRPr="00386744">
        <w:rPr>
          <w:rFonts w:ascii="Palatino Linotype" w:eastAsia="Calibri" w:hAnsi="Palatino Linotype" w:cs="Tahoma"/>
          <w:bCs/>
          <w:szCs w:val="22"/>
          <w:lang w:eastAsia="en-US"/>
        </w:rPr>
        <w:t xml:space="preserve"> vida, la salud y la seguridad de los servidores públicos, </w:t>
      </w:r>
      <w:r w:rsidRPr="00386744">
        <w:rPr>
          <w:rFonts w:ascii="Palatino Linotype" w:hAnsi="Palatino Linotype" w:cs="Arial"/>
        </w:rPr>
        <w:t xml:space="preserve">así como evitar que células delictivas neutralizar las acciones en materia de seguridad pública para la preservación del orden y la paz pública, </w:t>
      </w:r>
      <w:r w:rsidRPr="00386744">
        <w:rPr>
          <w:rFonts w:ascii="Palatino Linotype" w:hAnsi="Palatino Linotype" w:cs="Tahoma"/>
          <w:bCs/>
        </w:rPr>
        <w:t>por lo que, no se trata de una medida desproporcional, ni excesiva.</w:t>
      </w:r>
    </w:p>
    <w:p w14:paraId="1DBDB5E2" w14:textId="77777777" w:rsidR="00B53EC4" w:rsidRPr="00386744" w:rsidRDefault="00B53EC4" w:rsidP="00B53EC4">
      <w:pPr>
        <w:spacing w:before="240" w:after="240" w:line="360" w:lineRule="auto"/>
        <w:jc w:val="both"/>
        <w:rPr>
          <w:rFonts w:ascii="Palatino Linotype" w:eastAsia="MS Mincho" w:hAnsi="Palatino Linotype" w:cs="Arial"/>
          <w:lang w:val="es-ES_tradnl"/>
        </w:rPr>
      </w:pPr>
      <w:r w:rsidRPr="00386744">
        <w:rPr>
          <w:rFonts w:ascii="Palatino Linotype" w:eastAsia="MS Mincho" w:hAnsi="Palatino Linotype" w:cs="Arial"/>
          <w:lang w:val="es-ES_tradnl"/>
        </w:rPr>
        <w:t>En ese entendido, la leyenda de clasificación que se genere, deberá establecer ambos supuestos de clasificación: reserva y confidencialidad, en congruencia con los requisitos establecidos en los lineamientos citados.</w:t>
      </w:r>
    </w:p>
    <w:p w14:paraId="5B5264F7" w14:textId="55A9D738" w:rsidR="00B53EC4" w:rsidRPr="00386744" w:rsidRDefault="00B53EC4" w:rsidP="00B53EC4">
      <w:pPr>
        <w:autoSpaceDE w:val="0"/>
        <w:autoSpaceDN w:val="0"/>
        <w:adjustRightInd w:val="0"/>
        <w:spacing w:before="240" w:after="240" w:line="360" w:lineRule="auto"/>
        <w:jc w:val="both"/>
        <w:rPr>
          <w:rFonts w:ascii="Palatino Linotype" w:hAnsi="Palatino Linotype" w:cs="Arial"/>
        </w:rPr>
      </w:pPr>
      <w:r w:rsidRPr="00386744">
        <w:rPr>
          <w:rFonts w:ascii="Palatino Linotype" w:hAnsi="Palatino Linotype" w:cs="Arial"/>
        </w:rPr>
        <w:t>A</w:t>
      </w:r>
      <w:r w:rsidR="004D2A43" w:rsidRPr="00386744">
        <w:rPr>
          <w:rFonts w:ascii="Palatino Linotype" w:hAnsi="Palatino Linotype" w:cs="Arial"/>
        </w:rPr>
        <w:t>l</w:t>
      </w:r>
      <w:r w:rsidRPr="00386744">
        <w:rPr>
          <w:rFonts w:ascii="Palatino Linotype" w:hAnsi="Palatino Linotype" w:cs="Arial"/>
        </w:rPr>
        <w:t xml:space="preserve"> respecto, de conformidad con los artículos 91 y 140, fracciones I, IV y X de la vigente Ley de Transparencia, el derecho constitucional de acceso a la información pública puede ser restringido cuando se trate de información clasificada, por razón de seguridad pública, ponga en riesgo la vida, la seguridad, cause perjuicio a las actividades de prevención del delito, procuración y administración de justicia, de readaptación social, o bien el daño que pueda producirse con la publicación de la información sea mayor que el interés público de conocerla. Sirve de apoyo a lo anterior los artículos de referencia que a continuación se señalan:</w:t>
      </w:r>
    </w:p>
    <w:p w14:paraId="02F84C3F" w14:textId="77777777" w:rsidR="00B53EC4" w:rsidRPr="00386744" w:rsidRDefault="00B53EC4" w:rsidP="00B53EC4">
      <w:pPr>
        <w:autoSpaceDE w:val="0"/>
        <w:autoSpaceDN w:val="0"/>
        <w:adjustRightInd w:val="0"/>
        <w:spacing w:before="120" w:after="120"/>
        <w:ind w:left="851" w:right="902"/>
        <w:jc w:val="both"/>
        <w:rPr>
          <w:rFonts w:ascii="Palatino Linotype" w:hAnsi="Palatino Linotype"/>
          <w:i/>
          <w:sz w:val="22"/>
          <w:szCs w:val="22"/>
        </w:rPr>
      </w:pPr>
      <w:r w:rsidRPr="00386744">
        <w:rPr>
          <w:rFonts w:ascii="Palatino Linotype" w:hAnsi="Palatino Linotype"/>
          <w:i/>
          <w:sz w:val="22"/>
          <w:szCs w:val="22"/>
        </w:rPr>
        <w:t>“</w:t>
      </w:r>
      <w:r w:rsidRPr="00386744">
        <w:rPr>
          <w:rFonts w:ascii="Palatino Linotype" w:hAnsi="Palatino Linotype"/>
          <w:b/>
          <w:i/>
          <w:sz w:val="22"/>
          <w:szCs w:val="22"/>
        </w:rPr>
        <w:t>Artículo 91.</w:t>
      </w:r>
      <w:r w:rsidRPr="00386744">
        <w:rPr>
          <w:rFonts w:ascii="Palatino Linotype" w:hAnsi="Palatino Linotype"/>
          <w:i/>
          <w:sz w:val="22"/>
          <w:szCs w:val="22"/>
        </w:rPr>
        <w:t xml:space="preserve"> El acceso a la información pública será restringido excepcionalmente, cuando ésta sea clasificada como reservada o confidencial.</w:t>
      </w:r>
    </w:p>
    <w:p w14:paraId="63C16A0E" w14:textId="1FAD4BB5" w:rsidR="00B53EC4" w:rsidRPr="00386744" w:rsidRDefault="00B53EC4" w:rsidP="00B53EC4">
      <w:pPr>
        <w:autoSpaceDE w:val="0"/>
        <w:autoSpaceDN w:val="0"/>
        <w:adjustRightInd w:val="0"/>
        <w:spacing w:before="120" w:after="120"/>
        <w:ind w:left="851" w:right="902"/>
        <w:jc w:val="both"/>
        <w:rPr>
          <w:rFonts w:ascii="Palatino Linotype" w:hAnsi="Palatino Linotype"/>
          <w:b/>
          <w:i/>
          <w:sz w:val="22"/>
          <w:szCs w:val="22"/>
        </w:rPr>
      </w:pPr>
      <w:r w:rsidRPr="00386744">
        <w:rPr>
          <w:rFonts w:ascii="Palatino Linotype" w:hAnsi="Palatino Linotype"/>
          <w:b/>
          <w:i/>
          <w:sz w:val="22"/>
          <w:szCs w:val="22"/>
        </w:rPr>
        <w:t>…</w:t>
      </w:r>
    </w:p>
    <w:p w14:paraId="0A91D1AD" w14:textId="77777777" w:rsidR="00B53EC4" w:rsidRPr="00386744" w:rsidRDefault="00B53EC4" w:rsidP="00B53EC4">
      <w:pPr>
        <w:autoSpaceDE w:val="0"/>
        <w:autoSpaceDN w:val="0"/>
        <w:adjustRightInd w:val="0"/>
        <w:spacing w:before="120" w:after="120"/>
        <w:ind w:left="851" w:right="902"/>
        <w:jc w:val="both"/>
        <w:rPr>
          <w:rFonts w:ascii="Palatino Linotype" w:hAnsi="Palatino Linotype"/>
          <w:i/>
          <w:sz w:val="22"/>
          <w:szCs w:val="22"/>
        </w:rPr>
      </w:pPr>
      <w:r w:rsidRPr="00386744">
        <w:rPr>
          <w:rFonts w:ascii="Palatino Linotype" w:hAnsi="Palatino Linotype"/>
          <w:b/>
          <w:i/>
          <w:sz w:val="22"/>
          <w:szCs w:val="22"/>
        </w:rPr>
        <w:t xml:space="preserve">Artículo 140. </w:t>
      </w:r>
      <w:r w:rsidRPr="00386744">
        <w:rPr>
          <w:rFonts w:ascii="Palatino Linotype" w:hAnsi="Palatino Linotype"/>
          <w:i/>
          <w:sz w:val="22"/>
          <w:szCs w:val="22"/>
        </w:rPr>
        <w:t xml:space="preserve">El acceso a la información pública será restringido excepcionalmente, cuando por razones de interés público, ésta sea clasificada como reservada, conforme a los criterios siguientes: </w:t>
      </w:r>
    </w:p>
    <w:p w14:paraId="17258396" w14:textId="77777777" w:rsidR="00B53EC4" w:rsidRPr="00386744" w:rsidRDefault="00B53EC4" w:rsidP="00B53EC4">
      <w:pPr>
        <w:autoSpaceDE w:val="0"/>
        <w:autoSpaceDN w:val="0"/>
        <w:adjustRightInd w:val="0"/>
        <w:spacing w:before="120" w:after="120"/>
        <w:ind w:left="1134" w:right="902"/>
        <w:jc w:val="both"/>
        <w:rPr>
          <w:rFonts w:ascii="Palatino Linotype" w:hAnsi="Palatino Linotype"/>
          <w:i/>
          <w:sz w:val="22"/>
          <w:szCs w:val="22"/>
        </w:rPr>
      </w:pPr>
      <w:r w:rsidRPr="00386744">
        <w:rPr>
          <w:rFonts w:ascii="Palatino Linotype" w:hAnsi="Palatino Linotype"/>
          <w:b/>
          <w:i/>
          <w:sz w:val="22"/>
          <w:szCs w:val="22"/>
        </w:rPr>
        <w:t>I.</w:t>
      </w:r>
      <w:r w:rsidRPr="00386744">
        <w:rPr>
          <w:rFonts w:ascii="Palatino Linotype" w:hAnsi="Palatino Linotype"/>
          <w:i/>
          <w:sz w:val="22"/>
          <w:szCs w:val="22"/>
        </w:rPr>
        <w:t xml:space="preserve"> Comprometa la seguridad pública y cuente con un propósito genuino y un efecto demostrable;</w:t>
      </w:r>
    </w:p>
    <w:p w14:paraId="1535E2A2" w14:textId="77777777" w:rsidR="00B53EC4" w:rsidRPr="00386744" w:rsidRDefault="00B53EC4" w:rsidP="00B53EC4">
      <w:pPr>
        <w:autoSpaceDE w:val="0"/>
        <w:autoSpaceDN w:val="0"/>
        <w:adjustRightInd w:val="0"/>
        <w:spacing w:before="120" w:after="120"/>
        <w:ind w:left="1134" w:right="902"/>
        <w:jc w:val="both"/>
        <w:rPr>
          <w:rFonts w:ascii="Palatino Linotype" w:hAnsi="Palatino Linotype"/>
          <w:i/>
          <w:sz w:val="22"/>
          <w:szCs w:val="22"/>
        </w:rPr>
      </w:pPr>
      <w:r w:rsidRPr="00386744">
        <w:rPr>
          <w:rFonts w:ascii="Palatino Linotype" w:hAnsi="Palatino Linotype"/>
          <w:i/>
          <w:sz w:val="22"/>
          <w:szCs w:val="22"/>
        </w:rPr>
        <w:lastRenderedPageBreak/>
        <w:t>…</w:t>
      </w:r>
    </w:p>
    <w:p w14:paraId="4F442094" w14:textId="77777777" w:rsidR="00B53EC4" w:rsidRPr="00386744" w:rsidRDefault="00B53EC4" w:rsidP="00B53EC4">
      <w:pPr>
        <w:autoSpaceDE w:val="0"/>
        <w:autoSpaceDN w:val="0"/>
        <w:adjustRightInd w:val="0"/>
        <w:spacing w:before="120" w:after="120"/>
        <w:ind w:left="1134" w:right="902"/>
        <w:jc w:val="both"/>
        <w:rPr>
          <w:rFonts w:ascii="Palatino Linotype" w:hAnsi="Palatino Linotype"/>
          <w:i/>
          <w:sz w:val="22"/>
          <w:szCs w:val="22"/>
        </w:rPr>
      </w:pPr>
      <w:r w:rsidRPr="00386744">
        <w:rPr>
          <w:rFonts w:ascii="Palatino Linotype" w:hAnsi="Palatino Linotype"/>
          <w:b/>
          <w:i/>
          <w:sz w:val="22"/>
          <w:szCs w:val="22"/>
        </w:rPr>
        <w:t>IV.</w:t>
      </w:r>
      <w:r w:rsidRPr="00386744">
        <w:rPr>
          <w:rFonts w:ascii="Palatino Linotype" w:hAnsi="Palatino Linotype"/>
          <w:i/>
          <w:sz w:val="22"/>
          <w:szCs w:val="22"/>
        </w:rPr>
        <w:t xml:space="preserve"> Ponga en riesgo la vida, la seguridad o la salud de una persona física;…” (Sic)</w:t>
      </w:r>
    </w:p>
    <w:p w14:paraId="11EF27EB" w14:textId="77777777" w:rsidR="00B53EC4" w:rsidRPr="00386744" w:rsidRDefault="00B53EC4" w:rsidP="00B53EC4">
      <w:pPr>
        <w:spacing w:before="120" w:after="120" w:line="360" w:lineRule="auto"/>
        <w:jc w:val="both"/>
        <w:rPr>
          <w:rFonts w:ascii="Palatino Linotype" w:hAnsi="Palatino Linotype" w:cs="Tahoma"/>
        </w:rPr>
      </w:pPr>
      <w:r w:rsidRPr="00386744">
        <w:rPr>
          <w:rFonts w:ascii="Palatino Linotype" w:hAnsi="Palatino Linotype" w:cs="Arial"/>
        </w:rPr>
        <w:t xml:space="preserve">En este marco, cabe señalar que, si bien es cierto este Instituto de Transparencia, Acceso a la Información Pública y Protección de Datos Personales del Estado de México y Municipios tiene la misión de garantizar el derecho de acceso a la información pública de los particulares; también lo es que debe cuidar la protección de datos personales y sobre todo cuando traen implícito que se ponga en riesgo la vida o integridad de una persona, </w:t>
      </w:r>
      <w:r w:rsidRPr="00386744">
        <w:rPr>
          <w:rFonts w:ascii="Palatino Linotype" w:eastAsia="Calibri" w:hAnsi="Palatino Linotype" w:cs="Tahoma"/>
          <w:bCs/>
          <w:lang w:eastAsia="en-US"/>
        </w:rPr>
        <w:t xml:space="preserve">resulta necesario traer por analogía, el Criterio 06/09, emitido por </w:t>
      </w:r>
      <w:r w:rsidRPr="00386744">
        <w:rPr>
          <w:rFonts w:ascii="Palatino Linotype" w:hAnsi="Palatino Linotype" w:cs="Tahoma"/>
        </w:rPr>
        <w:t>el entonces Instituto Federal de Acceso a la Información y Protección de Datos ahora Instituto Nacional de Transparencia, Acceso a la Información y Protección de Datos Personales, que establece lo siguiente:</w:t>
      </w:r>
    </w:p>
    <w:p w14:paraId="1EDB0A76" w14:textId="2B22106E" w:rsidR="00B53EC4" w:rsidRPr="00386744" w:rsidRDefault="00B53EC4" w:rsidP="00B53EC4">
      <w:pPr>
        <w:tabs>
          <w:tab w:val="left" w:pos="4962"/>
        </w:tabs>
        <w:spacing w:before="120" w:after="120"/>
        <w:ind w:left="851" w:right="902"/>
        <w:jc w:val="both"/>
        <w:rPr>
          <w:rFonts w:ascii="Palatino Linotype" w:hAnsi="Palatino Linotype" w:cs="Tahoma"/>
          <w:i/>
          <w:sz w:val="22"/>
        </w:rPr>
      </w:pPr>
      <w:r w:rsidRPr="00386744">
        <w:rPr>
          <w:rFonts w:ascii="Palatino Linotype" w:hAnsi="Palatino Linotype" w:cs="Tahoma"/>
          <w:b/>
          <w:i/>
          <w:sz w:val="22"/>
        </w:rPr>
        <w:t>“Nombres de servidores públicos dedicados a actividades en materia de seguridad, por excepción pueden considerarse información reservada.</w:t>
      </w:r>
      <w:r w:rsidRPr="00386744">
        <w:rPr>
          <w:rFonts w:ascii="Palatino Linotype" w:hAnsi="Palatino Linotype" w:cs="Tahoma"/>
          <w:i/>
          <w:sz w:val="22"/>
        </w:rPr>
        <w:t xml:space="preserve"> De conformidad con el artículo 7, fracciones I y III de la Ley Federal de Transparencia y Acceso a la Información Pública Gubernamental el nombre de los servidores públicos es información de naturaleza pública. No obstante lo anterior, el mismo precepto establece la posibilidad de que existan excepciones a las obligaciones ahí establecidas cuando la información actualice algunos de los supuestos de reserva o confidencialidad previstos en los artículos 13, 14 y 18 de la citada ley. En este sentido, se debe señalar que existen funciones a cargo de servidores públicos, tendientes a garantizar de manera directa la seguridad nacional y pública, a través de acciones preventivas y correctivas encaminadas a combatir a la delincuencia en sus diferentes manifestaciones. Así, es pertinente señalar que en el artículo 13, fracción I de la ley de referencia se establece que podrá clasificarse aquella información cuya difusión pueda comprometer la seguridad nacional y pública. En este orden de ideas, una de las formas en que la delincuencia puede llegar a poner en riesgo la seguridad del país es precisamente anulando, impidiendo u obstaculizando la actuación de los servidores públicos que realizan funciones de carácter operativo, mediante el conocimiento de dicha situación, por lo que la reserva de la relación de los nombres y las funciones que desempeñan los servidores públicos que prestan sus servicios en áreas de seguridad nacional o pública, puede llegar a constituirse en un componente fundamental en el esfuerzo </w:t>
      </w:r>
      <w:r w:rsidRPr="00386744">
        <w:rPr>
          <w:rFonts w:ascii="Palatino Linotype" w:hAnsi="Palatino Linotype" w:cs="Tahoma"/>
          <w:i/>
          <w:sz w:val="22"/>
        </w:rPr>
        <w:lastRenderedPageBreak/>
        <w:t>que realiza el Estado Mexicano para garantizar la seguridad del país en sus diferentes vertientes.”</w:t>
      </w:r>
    </w:p>
    <w:p w14:paraId="5F1209DF" w14:textId="499E3F5D" w:rsidR="00B53EC4" w:rsidRPr="00386744" w:rsidRDefault="00B53EC4" w:rsidP="00B53EC4">
      <w:pPr>
        <w:spacing w:before="240" w:after="240" w:line="360" w:lineRule="auto"/>
        <w:jc w:val="both"/>
        <w:rPr>
          <w:rFonts w:ascii="Palatino Linotype" w:eastAsia="Calibri" w:hAnsi="Palatino Linotype" w:cs="Tahoma"/>
          <w:bCs/>
          <w:lang w:eastAsia="en-US"/>
        </w:rPr>
      </w:pPr>
      <w:r w:rsidRPr="00386744">
        <w:rPr>
          <w:rFonts w:ascii="Palatino Linotype" w:eastAsia="Calibri" w:hAnsi="Palatino Linotype" w:cs="Tahoma"/>
          <w:bCs/>
          <w:lang w:eastAsia="en-US"/>
        </w:rPr>
        <w:t>De dicho criterio, se desprende que existen funciones a car</w:t>
      </w:r>
      <w:r w:rsidR="00834067" w:rsidRPr="00386744">
        <w:rPr>
          <w:rFonts w:ascii="Palatino Linotype" w:eastAsia="Calibri" w:hAnsi="Palatino Linotype" w:cs="Tahoma"/>
          <w:bCs/>
          <w:lang w:eastAsia="en-US"/>
        </w:rPr>
        <w:t>go de servidores públicos, tend</w:t>
      </w:r>
      <w:r w:rsidRPr="00386744">
        <w:rPr>
          <w:rFonts w:ascii="Palatino Linotype" w:eastAsia="Calibri" w:hAnsi="Palatino Linotype" w:cs="Tahoma"/>
          <w:bCs/>
          <w:lang w:eastAsia="en-US"/>
        </w:rPr>
        <w:t xml:space="preserve">entes a garantizar de manera directa la seguridad pública, a través de acciones preventivas y correctivas, encaminadas a combatir a la delincuencia en sus diferentes manifestaciones; por lo que, una forma en que la delincuencia puede llegar a poner en riesgo la seguridad del País, Estado y Municipio, anulando, impidiendo u obstaculizando la actuación de los servidores públicos que realizan </w:t>
      </w:r>
      <w:r w:rsidRPr="00386744">
        <w:rPr>
          <w:rFonts w:ascii="Palatino Linotype" w:eastAsia="Calibri" w:hAnsi="Palatino Linotype" w:cs="Tahoma"/>
          <w:b/>
          <w:bCs/>
          <w:lang w:eastAsia="en-US"/>
        </w:rPr>
        <w:t>funciones de carácter operativo.</w:t>
      </w:r>
    </w:p>
    <w:p w14:paraId="071B93C6" w14:textId="77777777" w:rsidR="00B53EC4" w:rsidRPr="00386744" w:rsidRDefault="00B53EC4" w:rsidP="00B53EC4">
      <w:pPr>
        <w:spacing w:before="240" w:after="240" w:line="360" w:lineRule="auto"/>
        <w:jc w:val="both"/>
        <w:rPr>
          <w:rFonts w:ascii="Palatino Linotype" w:eastAsiaTheme="minorHAnsi" w:hAnsi="Palatino Linotype" w:cstheme="minorBidi"/>
          <w:lang w:val="es-MX" w:eastAsia="en-US"/>
        </w:rPr>
      </w:pPr>
      <w:r w:rsidRPr="00386744">
        <w:rPr>
          <w:rFonts w:ascii="Palatino Linotype" w:eastAsiaTheme="minorHAnsi" w:hAnsi="Palatino Linotype" w:cstheme="minorBidi"/>
          <w:lang w:val="es-MX" w:eastAsia="en-US"/>
        </w:rPr>
        <w:t>Sirven de sustento a lo anterior las tesis jurisprudenciales emitidas por la Suprema corte de Justicia de la Nación, que son del literal siguiente:</w:t>
      </w:r>
    </w:p>
    <w:p w14:paraId="4800D11F" w14:textId="77777777" w:rsidR="00B53EC4" w:rsidRPr="00386744" w:rsidRDefault="00B53EC4" w:rsidP="00B53EC4">
      <w:pPr>
        <w:spacing w:before="120" w:after="120"/>
        <w:ind w:left="851" w:right="900"/>
        <w:jc w:val="both"/>
        <w:rPr>
          <w:rFonts w:ascii="Palatino Linotype" w:eastAsiaTheme="minorHAnsi" w:hAnsi="Palatino Linotype" w:cstheme="minorBidi"/>
          <w:b/>
          <w:i/>
          <w:sz w:val="22"/>
          <w:szCs w:val="22"/>
          <w:lang w:val="es-MX" w:eastAsia="en-US"/>
        </w:rPr>
      </w:pPr>
      <w:r w:rsidRPr="00386744">
        <w:rPr>
          <w:rFonts w:ascii="Palatino Linotype" w:eastAsiaTheme="minorHAnsi" w:hAnsi="Palatino Linotype" w:cstheme="minorBidi"/>
          <w:b/>
          <w:i/>
          <w:sz w:val="22"/>
          <w:szCs w:val="22"/>
          <w:lang w:val="es-MX" w:eastAsia="en-US"/>
        </w:rPr>
        <w:t xml:space="preserve">“DERECHO A LA INFORMACIÓN. SU EJERCICIO SE ENCUENTRA LIMITADO TANTO POR LOS INTERESES NACIONALES Y DE LA SOCIEDAD, COMO POR LOS DERECHOS DE TERCEROS. </w:t>
      </w:r>
      <w:r w:rsidRPr="00386744">
        <w:rPr>
          <w:rFonts w:ascii="Palatino Linotype" w:eastAsiaTheme="minorHAnsi" w:hAnsi="Palatino Linotype" w:cstheme="minorBidi"/>
          <w:i/>
          <w:sz w:val="22"/>
          <w:szCs w:val="22"/>
          <w:lang w:val="es-MX" w:eastAsia="en-US"/>
        </w:rPr>
        <w:t xml:space="preserve">El derecho a la información consagrado en la última parte del artículo 6o. de la Constitución Federal no es absoluto, sino que, como toda garantía, se halla sujeto a limitaciones o excepciones que se sustentan, fundamentalmente, en la protección de la seguridad nacional y en el respeto tanto a los intereses de la sociedad como a los derechos de los gobernados, limitaciones que, incluso, han dado origen a la figura jurídica del secreto de información que se conoce en la doctrina como "reserva de información" o "secreto burocrático". En estas condiciones, al encontrarse obligado el Estado, como sujeto pasivo de la citada garantía, a velar por dichos intereses, con apego a las normas constitucionales y legales, el mencionado derecho no puede ser garantizado indiscriminadamente, sino que el respeto a su ejercicio encuentra excepciones que lo regulan y a su vez lo garantizan, en atención a la materia a que se refiera; así, en cuanto a la seguridad nacional, se tienen normas que, por un lado, </w:t>
      </w:r>
      <w:r w:rsidRPr="00386744">
        <w:rPr>
          <w:rFonts w:ascii="Palatino Linotype" w:eastAsiaTheme="minorHAnsi" w:hAnsi="Palatino Linotype" w:cstheme="minorBidi"/>
          <w:b/>
          <w:i/>
          <w:sz w:val="22"/>
          <w:szCs w:val="22"/>
          <w:lang w:val="es-MX" w:eastAsia="en-US"/>
        </w:rPr>
        <w:t>restringen el acceso a la información en esta materia, en razón de que su conocimiento público puede generar daños a los intereses nacionales y, por el otro, sancionan la inobservancia de esa reserva;</w:t>
      </w:r>
      <w:r w:rsidRPr="00386744">
        <w:rPr>
          <w:rFonts w:ascii="Palatino Linotype" w:eastAsiaTheme="minorHAnsi" w:hAnsi="Palatino Linotype" w:cstheme="minorBidi"/>
          <w:i/>
          <w:sz w:val="22"/>
          <w:szCs w:val="22"/>
          <w:lang w:val="es-MX" w:eastAsia="en-US"/>
        </w:rPr>
        <w:t xml:space="preserve"> por lo que hace al interés social, se cuenta con normas que tienden a proteger la averiguación de los delitos, la salud y la moral públicas, </w:t>
      </w:r>
      <w:r w:rsidRPr="00386744">
        <w:rPr>
          <w:rFonts w:ascii="Palatino Linotype" w:eastAsiaTheme="minorHAnsi" w:hAnsi="Palatino Linotype" w:cstheme="minorBidi"/>
          <w:b/>
          <w:i/>
          <w:sz w:val="22"/>
          <w:szCs w:val="22"/>
          <w:lang w:val="es-MX" w:eastAsia="en-US"/>
        </w:rPr>
        <w:t xml:space="preserve">mientras que </w:t>
      </w:r>
      <w:r w:rsidRPr="00386744">
        <w:rPr>
          <w:rFonts w:ascii="Palatino Linotype" w:eastAsiaTheme="minorHAnsi" w:hAnsi="Palatino Linotype" w:cstheme="minorBidi"/>
          <w:b/>
          <w:i/>
          <w:sz w:val="22"/>
          <w:szCs w:val="22"/>
          <w:lang w:val="es-MX" w:eastAsia="en-US"/>
        </w:rPr>
        <w:lastRenderedPageBreak/>
        <w:t>por lo que respecta a la protección de la persona existen normas que protegen el derecho a la vida o a la privacidad de los gobernados.</w:t>
      </w:r>
      <w:r w:rsidRPr="00386744">
        <w:rPr>
          <w:rFonts w:ascii="Palatino Linotype" w:eastAsiaTheme="minorHAnsi" w:hAnsi="Palatino Linotype" w:cstheme="minorBidi"/>
          <w:i/>
          <w:sz w:val="22"/>
          <w:szCs w:val="22"/>
          <w:lang w:val="es-MX" w:eastAsia="en-US"/>
        </w:rPr>
        <w:t>”</w:t>
      </w:r>
    </w:p>
    <w:p w14:paraId="6C06DC94" w14:textId="42468D1A" w:rsidR="00C66D06" w:rsidRPr="00386744" w:rsidRDefault="00B53EC4" w:rsidP="00D63962">
      <w:pPr>
        <w:spacing w:before="120" w:after="120"/>
        <w:ind w:left="851" w:right="900"/>
        <w:jc w:val="both"/>
        <w:rPr>
          <w:rFonts w:ascii="Palatino Linotype" w:eastAsia="Calibri" w:hAnsi="Palatino Linotype" w:cs="Tahoma"/>
          <w:bCs/>
          <w:lang w:eastAsia="en-US"/>
        </w:rPr>
      </w:pPr>
      <w:r w:rsidRPr="00386744">
        <w:rPr>
          <w:rFonts w:ascii="Palatino Linotype" w:eastAsiaTheme="minorHAnsi" w:hAnsi="Palatino Linotype" w:cstheme="minorBidi"/>
          <w:b/>
          <w:i/>
          <w:sz w:val="22"/>
          <w:szCs w:val="22"/>
          <w:lang w:val="es-MX" w:eastAsia="en-US"/>
        </w:rPr>
        <w:t>“TRANSPARENCIA Y ACCESO A LA INFORMACIÓN PÚBLICA GUBERNAMENTAL. EL ARTÍCULO 14, FRACCIÓN I, DE LA LEY FEDERAL RELATIVA, NO VIOLA LA GARANTÍA DE ACCESO A LA INFORMACIÓN.</w:t>
      </w:r>
      <w:r w:rsidRPr="00386744">
        <w:rPr>
          <w:rFonts w:ascii="Palatino Linotype" w:eastAsiaTheme="minorHAnsi" w:hAnsi="Palatino Linotype" w:cstheme="minorBidi"/>
          <w:i/>
          <w:sz w:val="22"/>
          <w:szCs w:val="22"/>
          <w:lang w:val="es-MX" w:eastAsia="en-US"/>
        </w:rPr>
        <w:t xml:space="preserve"> El Tribunal en Pleno de la Suprema Corte de Justicia de la Nación en la tesis P. LX/2000 de rubro: "DERECHO A LA INFORMACIÓN. SU EJERCICIO SE ENCUENTRA LIMITADO TANTO POR LOS INTERESES NACIONALES Y DE LA SOCIEDAD, COMO POR LOS DERECHOS DE TERCEROS.", publicada en el Semanario Judicial de la Federación y su Gaceta, Novena Época, Tomo XI, abril de 2000, página 74, estableció que el ejercicio del derecho a la información no es irrestricto, sino que tiene límites que se sustentan en la protección de la seguridad nacional y en el respeto a los intereses de la sociedad y a los derechos de los gobernados, en atención a la materia de que se trate. En ese sentido, el citado precepto, al remitir a diversas normas ordinarias que establezcan restricciones a la información, no viola la garantía de acceso a la información contenida en el artículo 6o. de la Constitución Política de los Estados Unidos Mexicanos, porque es jurídicamente adecuado que en las leyes reguladoras de cada materia, </w:t>
      </w:r>
      <w:r w:rsidRPr="00386744">
        <w:rPr>
          <w:rFonts w:ascii="Palatino Linotype" w:eastAsiaTheme="minorHAnsi" w:hAnsi="Palatino Linotype" w:cstheme="minorBidi"/>
          <w:b/>
          <w:i/>
          <w:sz w:val="22"/>
          <w:szCs w:val="22"/>
          <w:lang w:val="es-MX" w:eastAsia="en-US"/>
        </w:rPr>
        <w:t>el legislador federal o local establezca las restricciones correspondientes y clasifique a determinados datos como confidenciales o reservados, con la condición de que tales límites atiendan a intereses públicos o de los particulares y encuentren justificación racional en función del bien jurídico a proteger, es decir, que exista proporcionalidad y congruencia entre el derecho fundamental de que se trata y la razón que motive la restricción legislativa correspondiente</w:t>
      </w:r>
      <w:r w:rsidRPr="00386744">
        <w:rPr>
          <w:rFonts w:ascii="Palatino Linotype" w:eastAsiaTheme="minorHAnsi" w:hAnsi="Palatino Linotype" w:cstheme="minorBidi"/>
          <w:i/>
          <w:sz w:val="22"/>
          <w:szCs w:val="22"/>
          <w:lang w:val="es-MX" w:eastAsia="en-US"/>
        </w:rPr>
        <w:t>, la cual debe ser adecuada y necesaria para alcanzar el fin perseguido, de manera que las ventajas obtenidas con la reserva compensen el sacrificio que ésta implique para los titulares de la garantía individual mencionada o para la sociedad en general.”</w:t>
      </w:r>
    </w:p>
    <w:p w14:paraId="56E6385F" w14:textId="7A09A551" w:rsidR="00587380" w:rsidRPr="00386744" w:rsidRDefault="002C6ECF" w:rsidP="00587380">
      <w:pPr>
        <w:spacing w:before="240" w:after="240" w:line="360" w:lineRule="auto"/>
        <w:jc w:val="both"/>
        <w:rPr>
          <w:rFonts w:ascii="Palatino Linotype" w:hAnsi="Palatino Linotype" w:cs="Arial"/>
        </w:rPr>
      </w:pPr>
      <w:r w:rsidRPr="00386744">
        <w:rPr>
          <w:rFonts w:ascii="Palatino Linotype" w:eastAsia="Calibri" w:hAnsi="Palatino Linotype" w:cs="Tahoma"/>
          <w:bCs/>
          <w:lang w:eastAsia="en-US"/>
        </w:rPr>
        <w:t xml:space="preserve">Finalmente, </w:t>
      </w:r>
      <w:r w:rsidR="00587380" w:rsidRPr="00386744">
        <w:rPr>
          <w:rFonts w:ascii="Palatino Linotype" w:hAnsi="Palatino Linotype" w:cs="Arial"/>
        </w:rPr>
        <w:t xml:space="preserve">es importante señalar que este Organismo Garante, advirtió que en la atención de </w:t>
      </w:r>
      <w:r w:rsidRPr="00386744">
        <w:rPr>
          <w:rFonts w:ascii="Palatino Linotype" w:eastAsia="Calibri" w:hAnsi="Palatino Linotype" w:cs="Tahoma"/>
          <w:bCs/>
          <w:lang w:eastAsia="en-US"/>
        </w:rPr>
        <w:t>los puntos 2 y 3</w:t>
      </w:r>
      <w:r w:rsidR="00587380" w:rsidRPr="00386744">
        <w:rPr>
          <w:rFonts w:ascii="Palatino Linotype" w:eastAsia="Calibri" w:hAnsi="Palatino Linotype" w:cs="Tahoma"/>
          <w:bCs/>
          <w:lang w:eastAsia="en-US"/>
        </w:rPr>
        <w:t xml:space="preserve"> de la solicitud</w:t>
      </w:r>
      <w:r w:rsidRPr="00386744">
        <w:rPr>
          <w:rFonts w:ascii="Palatino Linotype" w:eastAsia="Calibri" w:hAnsi="Palatino Linotype" w:cs="Tahoma"/>
          <w:bCs/>
          <w:lang w:eastAsia="en-US"/>
        </w:rPr>
        <w:t xml:space="preserve">, mediante los cuales se requirió el número de elementos de seguridad que tienen permiso para portar arma de fuego y así como cuantos portan arma de fuego, </w:t>
      </w:r>
      <w:r w:rsidR="00587380" w:rsidRPr="00386744">
        <w:rPr>
          <w:rFonts w:ascii="Palatino Linotype" w:eastAsia="Calibri" w:hAnsi="Palatino Linotype" w:cs="Tahoma"/>
          <w:bCs/>
          <w:lang w:eastAsia="en-US"/>
        </w:rPr>
        <w:t xml:space="preserve">como se precisó en líneas anteriores, el </w:t>
      </w:r>
      <w:r w:rsidR="00587380" w:rsidRPr="00386744">
        <w:rPr>
          <w:rFonts w:ascii="Palatino Linotype" w:eastAsia="Calibri" w:hAnsi="Palatino Linotype" w:cs="Tahoma"/>
          <w:b/>
          <w:bCs/>
          <w:lang w:eastAsia="en-US"/>
        </w:rPr>
        <w:t xml:space="preserve">Sujeto Obligado </w:t>
      </w:r>
      <w:r w:rsidR="00587380" w:rsidRPr="00386744">
        <w:rPr>
          <w:rFonts w:ascii="Palatino Linotype" w:eastAsia="Calibri" w:hAnsi="Palatino Linotype" w:cs="Tahoma"/>
          <w:bCs/>
          <w:lang w:eastAsia="en-US"/>
        </w:rPr>
        <w:t xml:space="preserve">proporcionó información que debió ser clasificada como reservada dada su naturaleza, </w:t>
      </w:r>
      <w:r w:rsidR="00587380" w:rsidRPr="00386744">
        <w:rPr>
          <w:rFonts w:ascii="Palatino Linotype" w:hAnsi="Palatino Linotype" w:cs="Arial"/>
        </w:rPr>
        <w:t xml:space="preserve">de conformidad con las disposiciones previstas en la </w:t>
      </w:r>
      <w:r w:rsidR="00587380" w:rsidRPr="00386744">
        <w:rPr>
          <w:rFonts w:ascii="Palatino Linotype" w:hAnsi="Palatino Linotype" w:cs="Arial"/>
          <w:lang w:eastAsia="es-MX"/>
        </w:rPr>
        <w:t xml:space="preserve">Ley de </w:t>
      </w:r>
      <w:r w:rsidR="00587380" w:rsidRPr="00386744">
        <w:rPr>
          <w:rFonts w:ascii="Palatino Linotype" w:hAnsi="Palatino Linotype" w:cs="Arial"/>
          <w:lang w:eastAsia="es-MX"/>
        </w:rPr>
        <w:lastRenderedPageBreak/>
        <w:t>Transparencia y  Acceso a la Información Pública del Estado de México y Municipios</w:t>
      </w:r>
      <w:r w:rsidR="00587380" w:rsidRPr="00386744">
        <w:rPr>
          <w:rFonts w:ascii="Palatino Linotype" w:hAnsi="Palatino Linotype" w:cs="Arial"/>
        </w:rPr>
        <w:t xml:space="preserve">, incumpliendo las mismas al proporcionar la misma, razón por la cual, en observancia de lo señalado en el artículo 222 fracciones IV y V de la misma Ley, </w:t>
      </w:r>
      <w:r w:rsidR="002879B9" w:rsidRPr="00386744">
        <w:rPr>
          <w:rFonts w:ascii="Palatino Linotype" w:hAnsi="Palatino Linotype"/>
          <w:shd w:val="clear" w:color="auto" w:fill="FFFFFF"/>
        </w:rPr>
        <w:t>el Pleno de este Organismo</w:t>
      </w:r>
      <w:r w:rsidR="00587380" w:rsidRPr="00386744">
        <w:rPr>
          <w:rFonts w:ascii="Palatino Linotype" w:hAnsi="Palatino Linotype"/>
          <w:shd w:val="clear" w:color="auto" w:fill="FFFFFF"/>
        </w:rPr>
        <w:t xml:space="preserve"> Garante y de conformidad con los artículos 190 y 223 de la Ley en cita, ordena se de vista al Titular de la Contraloría Interna y Órgano de Control y Vigilancia de este Instituto a fin de que en ejercicio de sus funciones determine lo conducente </w:t>
      </w:r>
      <w:r w:rsidR="00587380" w:rsidRPr="00386744">
        <w:rPr>
          <w:rFonts w:ascii="Palatino Linotype" w:hAnsi="Palatino Linotype" w:cs="Arial"/>
        </w:rPr>
        <w:t>y determine, en su caso, el grado de responsabilidad en el incumplimiento de las obligaciones establecidas en la misma.</w:t>
      </w:r>
    </w:p>
    <w:p w14:paraId="7CE1B21F" w14:textId="6B6D09BD" w:rsidR="00587380" w:rsidRPr="00386744" w:rsidRDefault="00587380" w:rsidP="00587380">
      <w:pPr>
        <w:spacing w:line="360" w:lineRule="auto"/>
        <w:jc w:val="both"/>
        <w:rPr>
          <w:rFonts w:ascii="Palatino Linotype" w:eastAsia="Calibri" w:hAnsi="Palatino Linotype" w:cs="Tahoma"/>
          <w:iCs/>
          <w:lang w:eastAsia="es-ES_tradnl"/>
        </w:rPr>
      </w:pPr>
      <w:r w:rsidRPr="00386744">
        <w:rPr>
          <w:rFonts w:ascii="Palatino Linotype" w:eastAsia="Calibri" w:hAnsi="Palatino Linotype" w:cs="Tahoma"/>
          <w:bCs/>
          <w:lang w:eastAsia="en-US"/>
        </w:rPr>
        <w:t xml:space="preserve">A efecto de sustentar lo anterior, se menciona que </w:t>
      </w:r>
      <w:r w:rsidRPr="00386744">
        <w:rPr>
          <w:rFonts w:ascii="Palatino Linotype" w:hAnsi="Palatino Linotype"/>
        </w:rPr>
        <w:t xml:space="preserve">lo requerido, corresponde con información que podría actualizar una causal de reserva; prevista en el artículo </w:t>
      </w:r>
      <w:r w:rsidRPr="00386744">
        <w:rPr>
          <w:rFonts w:ascii="Palatino Linotype" w:eastAsia="Calibri" w:hAnsi="Palatino Linotype" w:cs="Tahoma"/>
          <w:iCs/>
          <w:lang w:eastAsia="es-ES_tradnl"/>
        </w:rPr>
        <w:t>140, fracción I, de la Ley de Transparencia y Acceso a la Información Pública del Estado de México y Municipios, (homólogo a parte del artículo 113, fracción I de la Ley General de Transparencia y Acceso a la Información Pública), prevé lo siguiente:</w:t>
      </w:r>
    </w:p>
    <w:p w14:paraId="797B4B57" w14:textId="77777777" w:rsidR="00587380" w:rsidRPr="00386744" w:rsidRDefault="00587380" w:rsidP="00587380">
      <w:pPr>
        <w:spacing w:line="360" w:lineRule="auto"/>
        <w:jc w:val="both"/>
        <w:rPr>
          <w:rFonts w:ascii="Palatino Linotype" w:eastAsia="Calibri" w:hAnsi="Palatino Linotype" w:cs="Tahoma"/>
          <w:bCs/>
          <w:lang w:eastAsia="en-US"/>
        </w:rPr>
      </w:pPr>
    </w:p>
    <w:p w14:paraId="0A064105" w14:textId="77777777" w:rsidR="00587380" w:rsidRPr="00386744" w:rsidRDefault="00587380" w:rsidP="00587380">
      <w:pPr>
        <w:tabs>
          <w:tab w:val="left" w:pos="4962"/>
        </w:tabs>
        <w:spacing w:before="120" w:after="120"/>
        <w:ind w:left="851" w:right="902"/>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i/>
          <w:iCs/>
          <w:sz w:val="22"/>
          <w:szCs w:val="22"/>
          <w:lang w:eastAsia="es-ES_tradnl"/>
        </w:rPr>
        <w:t>“</w:t>
      </w:r>
      <w:r w:rsidRPr="00386744">
        <w:rPr>
          <w:rFonts w:ascii="Palatino Linotype" w:eastAsia="Calibri" w:hAnsi="Palatino Linotype" w:cs="Tahoma"/>
          <w:b/>
          <w:i/>
          <w:iCs/>
          <w:sz w:val="22"/>
          <w:szCs w:val="22"/>
          <w:lang w:eastAsia="es-ES_tradnl"/>
        </w:rPr>
        <w:t>Artículo 140.</w:t>
      </w:r>
      <w:r w:rsidRPr="00386744">
        <w:rPr>
          <w:rFonts w:ascii="Palatino Linotype" w:eastAsia="Calibri" w:hAnsi="Palatino Linotype" w:cs="Tahoma"/>
          <w:i/>
          <w:iCs/>
          <w:sz w:val="22"/>
          <w:szCs w:val="22"/>
          <w:lang w:eastAsia="es-ES_tradnl"/>
        </w:rPr>
        <w:t xml:space="preserve"> El acceso a la información pública será restringido excepcionalmente, cuando por razones de interés público, ésta sea clasificada como reservada, conforme a los criterios siguientes: </w:t>
      </w:r>
    </w:p>
    <w:p w14:paraId="2CF90C66" w14:textId="3C8F9B53" w:rsidR="00587380" w:rsidRPr="00386744" w:rsidRDefault="00587380" w:rsidP="00587380">
      <w:pPr>
        <w:tabs>
          <w:tab w:val="left" w:pos="4962"/>
        </w:tabs>
        <w:spacing w:before="120" w:after="120"/>
        <w:ind w:left="1134" w:right="902"/>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b/>
          <w:i/>
          <w:iCs/>
          <w:sz w:val="22"/>
          <w:szCs w:val="22"/>
          <w:lang w:eastAsia="es-ES_tradnl"/>
        </w:rPr>
        <w:t>I.</w:t>
      </w:r>
      <w:r w:rsidRPr="00386744">
        <w:rPr>
          <w:rFonts w:ascii="Palatino Linotype" w:eastAsia="Calibri" w:hAnsi="Palatino Linotype" w:cs="Tahoma"/>
          <w:i/>
          <w:iCs/>
          <w:sz w:val="22"/>
          <w:szCs w:val="22"/>
          <w:lang w:eastAsia="es-ES_tradnl"/>
        </w:rPr>
        <w:t xml:space="preserve"> Comprometa la seguridad pública y cuente con un propósito genuino y un efecto demostrable;” (Sic)</w:t>
      </w:r>
    </w:p>
    <w:p w14:paraId="34DFFE69" w14:textId="3501EE50" w:rsidR="00B53EC4" w:rsidRPr="00386744" w:rsidRDefault="00B53EC4" w:rsidP="00F60520">
      <w:pPr>
        <w:spacing w:line="360" w:lineRule="auto"/>
        <w:jc w:val="both"/>
        <w:rPr>
          <w:rFonts w:ascii="Palatino Linotype" w:eastAsia="Calibri" w:hAnsi="Palatino Linotype" w:cs="Tahoma"/>
          <w:bCs/>
          <w:lang w:eastAsia="en-US"/>
        </w:rPr>
      </w:pPr>
    </w:p>
    <w:p w14:paraId="5FEDE554" w14:textId="77777777" w:rsidR="00587380" w:rsidRPr="00386744" w:rsidRDefault="00587380" w:rsidP="00587380">
      <w:pPr>
        <w:spacing w:line="360" w:lineRule="auto"/>
        <w:jc w:val="both"/>
        <w:rPr>
          <w:rFonts w:ascii="Palatino Linotype" w:eastAsia="Calibri" w:hAnsi="Palatino Linotype" w:cs="Tahoma"/>
          <w:bCs/>
          <w:lang w:eastAsia="en-US"/>
        </w:rPr>
      </w:pPr>
      <w:r w:rsidRPr="00386744">
        <w:rPr>
          <w:rFonts w:ascii="Palatino Linotype" w:eastAsia="Calibri" w:hAnsi="Palatino Linotype" w:cs="Tahoma"/>
          <w:bCs/>
          <w:lang w:eastAsia="en-US"/>
        </w:rPr>
        <w:t>Del precepto legal citado se desprende que como información reservada podrá clasificarse aquella cuya publicación pueda poner en riesgo la seguridad pública.</w:t>
      </w:r>
      <w:r w:rsidRPr="00386744">
        <w:rPr>
          <w:rFonts w:ascii="Palatino Linotype" w:eastAsia="Calibri" w:hAnsi="Palatino Linotype" w:cs="Tahoma"/>
          <w:b/>
          <w:bCs/>
          <w:lang w:eastAsia="en-US"/>
        </w:rPr>
        <w:t xml:space="preserve"> </w:t>
      </w:r>
      <w:r w:rsidRPr="00386744">
        <w:rPr>
          <w:rFonts w:ascii="Palatino Linotype" w:eastAsia="Calibri" w:hAnsi="Palatino Linotype" w:cs="Tahoma"/>
          <w:bCs/>
          <w:lang w:eastAsia="en-US"/>
        </w:rPr>
        <w:t>En concatenación con lo anterior, los Lineamientos Generales en Materia de Clasificación y Desclasificación de la Información, así como para la Elaboración de Versiones Públicas -Lineamientos Generales-, establecen lo siguiente:</w:t>
      </w:r>
    </w:p>
    <w:p w14:paraId="0DD3F80E" w14:textId="77777777" w:rsidR="00587380" w:rsidRPr="00386744" w:rsidRDefault="00587380" w:rsidP="00587380">
      <w:pPr>
        <w:tabs>
          <w:tab w:val="left" w:pos="4962"/>
        </w:tabs>
        <w:spacing w:before="120" w:after="120"/>
        <w:ind w:left="851" w:right="902"/>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i/>
          <w:iCs/>
          <w:sz w:val="22"/>
          <w:szCs w:val="22"/>
          <w:lang w:eastAsia="es-ES_tradnl"/>
        </w:rPr>
        <w:lastRenderedPageBreak/>
        <w:t>“</w:t>
      </w:r>
      <w:r w:rsidRPr="00386744">
        <w:rPr>
          <w:rFonts w:ascii="Palatino Linotype" w:eastAsia="Calibri" w:hAnsi="Palatino Linotype" w:cs="Tahoma"/>
          <w:b/>
          <w:i/>
          <w:iCs/>
          <w:sz w:val="22"/>
          <w:szCs w:val="22"/>
          <w:lang w:eastAsia="es-ES_tradnl"/>
        </w:rPr>
        <w:t>Décimo séptimo</w:t>
      </w:r>
      <w:r w:rsidRPr="00386744">
        <w:rPr>
          <w:rFonts w:ascii="Palatino Linotype" w:eastAsia="Calibri" w:hAnsi="Palatino Linotype" w:cs="Tahoma"/>
          <w:i/>
          <w:iCs/>
          <w:sz w:val="22"/>
          <w:szCs w:val="22"/>
          <w:lang w:eastAsia="es-ES_tradnl"/>
        </w:rPr>
        <w:t xml:space="preserve">. </w:t>
      </w:r>
      <w:r w:rsidRPr="00386744">
        <w:rPr>
          <w:rFonts w:ascii="Palatino Linotype" w:eastAsia="Calibri" w:hAnsi="Palatino Linotype" w:cs="Tahoma"/>
          <w:b/>
          <w:i/>
          <w:iCs/>
          <w:sz w:val="22"/>
          <w:szCs w:val="22"/>
          <w:lang w:eastAsia="es-ES_tradnl"/>
        </w:rPr>
        <w:t>De conformidad con el artículo 113, fracción I de la Ley General, podrá considerarse como información reservada, aquella que de difundirse actualice o potencialice un riesgo o amenaza a la seguridad nacional cuando</w:t>
      </w:r>
      <w:r w:rsidRPr="00386744">
        <w:rPr>
          <w:rFonts w:ascii="Palatino Linotype" w:eastAsia="Calibri" w:hAnsi="Palatino Linotype" w:cs="Tahoma"/>
          <w:i/>
          <w:iCs/>
          <w:sz w:val="22"/>
          <w:szCs w:val="22"/>
          <w:lang w:eastAsia="es-ES_tradnl"/>
        </w:rPr>
        <w:t xml:space="preserve">: </w:t>
      </w:r>
    </w:p>
    <w:p w14:paraId="17DFE790" w14:textId="77777777" w:rsidR="00587380" w:rsidRPr="00386744" w:rsidRDefault="00587380" w:rsidP="00587380">
      <w:pPr>
        <w:tabs>
          <w:tab w:val="left" w:pos="4962"/>
        </w:tabs>
        <w:spacing w:before="120" w:after="120"/>
        <w:ind w:left="1134" w:right="902"/>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i/>
          <w:iCs/>
          <w:sz w:val="22"/>
          <w:szCs w:val="22"/>
          <w:lang w:eastAsia="es-ES_tradnl"/>
        </w:rPr>
        <w:t>…</w:t>
      </w:r>
    </w:p>
    <w:p w14:paraId="03C334D1" w14:textId="77777777" w:rsidR="00587380" w:rsidRPr="00386744" w:rsidRDefault="00587380" w:rsidP="00587380">
      <w:pPr>
        <w:tabs>
          <w:tab w:val="left" w:pos="4962"/>
        </w:tabs>
        <w:spacing w:before="120" w:after="120"/>
        <w:ind w:left="1134" w:right="902"/>
        <w:jc w:val="both"/>
        <w:rPr>
          <w:rFonts w:ascii="Palatino Linotype" w:eastAsia="Calibri" w:hAnsi="Palatino Linotype" w:cs="Tahoma"/>
          <w:b/>
          <w:i/>
          <w:iCs/>
          <w:sz w:val="22"/>
          <w:szCs w:val="22"/>
          <w:lang w:eastAsia="es-ES_tradnl"/>
        </w:rPr>
      </w:pPr>
      <w:r w:rsidRPr="00386744">
        <w:rPr>
          <w:rFonts w:ascii="Palatino Linotype" w:eastAsia="Calibri" w:hAnsi="Palatino Linotype" w:cs="Tahoma"/>
          <w:b/>
          <w:i/>
          <w:iCs/>
          <w:sz w:val="22"/>
          <w:szCs w:val="22"/>
          <w:lang w:eastAsia="es-ES_tradnl"/>
        </w:rPr>
        <w:t>VII. Se puedan menoscabar, obstaculizar o dificultar las estrategias o acciones para combatir la delincuencia organizada, la comisión de los delitos contra la seguridad de la nación, entendiéndose estos últimos como traición a la patria, espionaje, sedición, motín, rebelión, terrorismo, sabotaje, conspiración, el tráfico ilegal de materiales nucleares, de armas químicas, biológicas y convencionales de destrucción masiva;</w:t>
      </w:r>
    </w:p>
    <w:p w14:paraId="72CDDD8F" w14:textId="77777777" w:rsidR="00587380" w:rsidRPr="00386744" w:rsidRDefault="00587380" w:rsidP="00587380">
      <w:pPr>
        <w:tabs>
          <w:tab w:val="left" w:pos="4962"/>
        </w:tabs>
        <w:spacing w:before="120" w:after="120"/>
        <w:ind w:left="1134" w:right="902"/>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i/>
          <w:iCs/>
          <w:sz w:val="22"/>
          <w:szCs w:val="22"/>
          <w:lang w:eastAsia="es-ES_tradnl"/>
        </w:rPr>
        <w:t>…</w:t>
      </w:r>
    </w:p>
    <w:p w14:paraId="5EB9BA86" w14:textId="77777777" w:rsidR="00587380" w:rsidRPr="00386744" w:rsidRDefault="00587380" w:rsidP="00587380">
      <w:pPr>
        <w:tabs>
          <w:tab w:val="left" w:pos="4962"/>
        </w:tabs>
        <w:spacing w:before="120" w:after="120"/>
        <w:ind w:left="851" w:right="902"/>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i/>
          <w:iCs/>
          <w:sz w:val="22"/>
          <w:szCs w:val="22"/>
          <w:lang w:eastAsia="es-ES_tradnl"/>
        </w:rPr>
        <w:t xml:space="preserve">Asimismo, </w:t>
      </w:r>
      <w:r w:rsidRPr="00386744">
        <w:rPr>
          <w:rFonts w:ascii="Palatino Linotype" w:eastAsia="Calibri" w:hAnsi="Palatino Linotype" w:cs="Tahoma"/>
          <w:b/>
          <w:i/>
          <w:iCs/>
          <w:sz w:val="22"/>
          <w:szCs w:val="22"/>
          <w:lang w:eastAsia="es-ES_tradnl"/>
        </w:rPr>
        <w:t>podrá considerarse como reservada aquella que revele datos que pudieran ser aprovechados para conocer la capacidad de reacción de las instituciones encargadas de la seguridad nacional</w:t>
      </w:r>
      <w:r w:rsidRPr="00386744">
        <w:rPr>
          <w:rFonts w:ascii="Palatino Linotype" w:eastAsia="Calibri" w:hAnsi="Palatino Linotype" w:cs="Tahoma"/>
          <w:i/>
          <w:iCs/>
          <w:sz w:val="22"/>
          <w:szCs w:val="22"/>
          <w:lang w:eastAsia="es-ES_tradnl"/>
        </w:rPr>
        <w:t xml:space="preserve">; sus normas, procedimientos, métodos, fuentes, especificaciones técnicas, tecnología o equipo útiles a la generación de inteligencia para la Seguridad Nacional, sin importar la naturaleza o el origen de los documentos que la consignen. </w:t>
      </w:r>
    </w:p>
    <w:p w14:paraId="16357F06" w14:textId="77777777" w:rsidR="00587380" w:rsidRPr="00386744" w:rsidRDefault="00587380" w:rsidP="00587380">
      <w:pPr>
        <w:tabs>
          <w:tab w:val="left" w:pos="4962"/>
        </w:tabs>
        <w:spacing w:before="120" w:after="120"/>
        <w:ind w:left="851" w:right="902"/>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b/>
          <w:i/>
          <w:iCs/>
          <w:sz w:val="22"/>
          <w:szCs w:val="22"/>
          <w:lang w:eastAsia="es-ES_tradnl"/>
        </w:rPr>
        <w:t>Décimo octavo</w:t>
      </w:r>
      <w:r w:rsidRPr="00386744">
        <w:rPr>
          <w:rFonts w:ascii="Palatino Linotype" w:eastAsia="Calibri" w:hAnsi="Palatino Linotype" w:cs="Tahoma"/>
          <w:i/>
          <w:iCs/>
          <w:sz w:val="22"/>
          <w:szCs w:val="22"/>
          <w:lang w:eastAsia="es-ES_tradnl"/>
        </w:rPr>
        <w:t xml:space="preserve">. De conformidad con el artículo 113, fracción I de la Ley General, </w:t>
      </w:r>
      <w:r w:rsidRPr="00386744">
        <w:rPr>
          <w:rFonts w:ascii="Palatino Linotype" w:eastAsia="Calibri" w:hAnsi="Palatino Linotype" w:cs="Tahoma"/>
          <w:b/>
          <w:i/>
          <w:iCs/>
          <w:sz w:val="22"/>
          <w:szCs w:val="22"/>
          <w:lang w:eastAsia="es-ES_tradnl"/>
        </w:rPr>
        <w:t>podrá considerarse como información reservada, aquella que comprometa la seguridad pública, al poner en peligro las funciones a cargo de la</w:t>
      </w:r>
      <w:r w:rsidRPr="00386744">
        <w:rPr>
          <w:rFonts w:ascii="Palatino Linotype" w:eastAsia="Calibri" w:hAnsi="Palatino Linotype" w:cs="Tahoma"/>
          <w:i/>
          <w:iCs/>
          <w:sz w:val="22"/>
          <w:szCs w:val="22"/>
          <w:lang w:eastAsia="es-ES_tradnl"/>
        </w:rPr>
        <w:t xml:space="preserve"> Federación, la Ciudad de México, los Estados y </w:t>
      </w:r>
      <w:r w:rsidRPr="00386744">
        <w:rPr>
          <w:rFonts w:ascii="Palatino Linotype" w:eastAsia="Calibri" w:hAnsi="Palatino Linotype" w:cs="Tahoma"/>
          <w:b/>
          <w:i/>
          <w:iCs/>
          <w:sz w:val="22"/>
          <w:szCs w:val="22"/>
          <w:lang w:eastAsia="es-ES_tradnl"/>
        </w:rPr>
        <w:t>los Municipios</w:t>
      </w:r>
      <w:r w:rsidRPr="00386744">
        <w:rPr>
          <w:rFonts w:ascii="Palatino Linotype" w:eastAsia="Calibri" w:hAnsi="Palatino Linotype" w:cs="Tahoma"/>
          <w:i/>
          <w:iCs/>
          <w:sz w:val="22"/>
          <w:szCs w:val="22"/>
          <w:lang w:eastAsia="es-ES_tradnl"/>
        </w:rPr>
        <w:t xml:space="preserve">, tendientes a preservar y resguardar la vida, la salud, la integridad y el ejercicio de los derechos de las personas, así como para el mantenimiento del orden público. Se pone en peligro el orden público cuando la difusión de la información pueda entorpecer los sistemas de coordinación interinstitucional en materia de seguridad pública, menoscabar o dificultar las estrategias contra la evasión de reos; o menoscabar o limitar la capacidad de las autoridades encaminadas a disuadir o prevenir disturbios sociales. </w:t>
      </w:r>
    </w:p>
    <w:p w14:paraId="1D56C294" w14:textId="77777777" w:rsidR="00587380" w:rsidRPr="00386744" w:rsidRDefault="00587380" w:rsidP="00587380">
      <w:pPr>
        <w:tabs>
          <w:tab w:val="left" w:pos="4962"/>
        </w:tabs>
        <w:spacing w:before="120" w:after="120"/>
        <w:ind w:left="851" w:right="902"/>
        <w:jc w:val="both"/>
        <w:rPr>
          <w:rFonts w:ascii="Palatino Linotype" w:eastAsia="Calibri" w:hAnsi="Palatino Linotype" w:cs="Tahoma"/>
          <w:b/>
          <w:i/>
          <w:iCs/>
          <w:sz w:val="22"/>
          <w:szCs w:val="22"/>
          <w:lang w:eastAsia="es-ES_tradnl"/>
        </w:rPr>
      </w:pPr>
      <w:r w:rsidRPr="00386744">
        <w:rPr>
          <w:rFonts w:ascii="Palatino Linotype" w:eastAsia="Calibri" w:hAnsi="Palatino Linotype" w:cs="Tahoma"/>
          <w:i/>
          <w:iCs/>
          <w:sz w:val="22"/>
          <w:szCs w:val="22"/>
          <w:lang w:eastAsia="es-ES_tradnl"/>
        </w:rPr>
        <w:t xml:space="preserve">Asimismo, </w:t>
      </w:r>
      <w:r w:rsidRPr="00386744">
        <w:rPr>
          <w:rFonts w:ascii="Palatino Linotype" w:eastAsia="Calibri" w:hAnsi="Palatino Linotype" w:cs="Tahoma"/>
          <w:b/>
          <w:i/>
          <w:iCs/>
          <w:sz w:val="22"/>
          <w:szCs w:val="22"/>
          <w:lang w:eastAsia="es-ES_tradnl"/>
        </w:rPr>
        <w:t xml:space="preserve">podrá considerarse como reservada aquella que revele datos que pudieran ser aprovechados para conocer la capacidad de reacción de las instituciones encargadas de la seguridad pública, sus planes, estrategias, tecnología, información, sistemas de comunicaciones. </w:t>
      </w:r>
    </w:p>
    <w:p w14:paraId="2473607D" w14:textId="77777777" w:rsidR="00587380" w:rsidRPr="00386744" w:rsidRDefault="00587380" w:rsidP="00587380">
      <w:pPr>
        <w:tabs>
          <w:tab w:val="left" w:pos="4962"/>
        </w:tabs>
        <w:spacing w:before="120" w:after="120"/>
        <w:ind w:left="851" w:right="902"/>
        <w:jc w:val="both"/>
        <w:rPr>
          <w:rFonts w:ascii="Palatino Linotype" w:eastAsia="Calibri" w:hAnsi="Palatino Linotype" w:cs="Tahoma"/>
          <w:b/>
          <w:i/>
          <w:iCs/>
          <w:sz w:val="22"/>
          <w:szCs w:val="22"/>
          <w:lang w:eastAsia="es-ES_tradnl"/>
        </w:rPr>
      </w:pPr>
      <w:r w:rsidRPr="00386744">
        <w:rPr>
          <w:rFonts w:ascii="Palatino Linotype" w:eastAsia="Calibri" w:hAnsi="Palatino Linotype" w:cs="Tahoma"/>
          <w:b/>
          <w:i/>
          <w:iCs/>
          <w:sz w:val="22"/>
          <w:szCs w:val="22"/>
          <w:lang w:eastAsia="es-ES_tradnl"/>
        </w:rPr>
        <w:t xml:space="preserve">Décimo noveno. De conformidad con el artículo 113, fracción I de la Ley General, podrá considerarse como información reservada que compromete la defensa nacional, aquella que difunda, actualice o </w:t>
      </w:r>
      <w:r w:rsidRPr="00386744">
        <w:rPr>
          <w:rFonts w:ascii="Palatino Linotype" w:eastAsia="Calibri" w:hAnsi="Palatino Linotype" w:cs="Tahoma"/>
          <w:b/>
          <w:i/>
          <w:iCs/>
          <w:sz w:val="22"/>
          <w:szCs w:val="22"/>
          <w:lang w:eastAsia="es-ES_tradnl"/>
        </w:rPr>
        <w:lastRenderedPageBreak/>
        <w:t>potencialice un riesgo o amenaza que ponga en peligro las misiones generales</w:t>
      </w:r>
      <w:r w:rsidRPr="00386744">
        <w:rPr>
          <w:rFonts w:ascii="Palatino Linotype" w:eastAsia="Calibri" w:hAnsi="Palatino Linotype" w:cs="Tahoma"/>
          <w:i/>
          <w:iCs/>
          <w:sz w:val="22"/>
          <w:szCs w:val="22"/>
          <w:lang w:eastAsia="es-ES_tradnl"/>
        </w:rPr>
        <w:t xml:space="preserve"> del Ejército, Fuerza Aérea Mexicana o Armada de México, relacionadas con la defensa del Estado mexicano, para salvaguardar la soberanía y defender la integridad, y permanencia del territorio nacional. Asimismo, </w:t>
      </w:r>
      <w:r w:rsidRPr="00386744">
        <w:rPr>
          <w:rFonts w:ascii="Palatino Linotype" w:eastAsia="Calibri" w:hAnsi="Palatino Linotype" w:cs="Tahoma"/>
          <w:b/>
          <w:i/>
          <w:iCs/>
          <w:sz w:val="22"/>
          <w:szCs w:val="22"/>
          <w:lang w:eastAsia="es-ES_tradnl"/>
        </w:rPr>
        <w:t>podrá considerarse como reservada aquella que revele datos que pudieran ser aprovechados para conocer la capacidad de reacción del Estado, sus planes, o uso de tecnología, información y producción de los sistemas de armamento y otros sistemas militares incluidos los sistemas de comunicaciones.” (Sic)</w:t>
      </w:r>
    </w:p>
    <w:p w14:paraId="79496224" w14:textId="77777777" w:rsidR="00587380" w:rsidRPr="00386744" w:rsidRDefault="00587380" w:rsidP="00587380">
      <w:pPr>
        <w:spacing w:line="360" w:lineRule="auto"/>
        <w:jc w:val="both"/>
        <w:rPr>
          <w:rFonts w:ascii="Palatino Linotype" w:eastAsia="Calibri" w:hAnsi="Palatino Linotype" w:cs="Tahoma"/>
          <w:bCs/>
          <w:lang w:eastAsia="en-US"/>
        </w:rPr>
      </w:pPr>
    </w:p>
    <w:p w14:paraId="0F46EAE7" w14:textId="309C5B16" w:rsidR="00587380" w:rsidRPr="00386744" w:rsidRDefault="00587380" w:rsidP="00587380">
      <w:pPr>
        <w:spacing w:line="360" w:lineRule="auto"/>
        <w:jc w:val="both"/>
        <w:rPr>
          <w:rFonts w:ascii="Palatino Linotype" w:eastAsia="Calibri" w:hAnsi="Palatino Linotype" w:cs="Tahoma"/>
          <w:bCs/>
          <w:lang w:eastAsia="en-US"/>
        </w:rPr>
      </w:pPr>
      <w:r w:rsidRPr="00386744">
        <w:rPr>
          <w:rFonts w:ascii="Palatino Linotype" w:eastAsia="Calibri" w:hAnsi="Palatino Linotype" w:cs="Tahoma"/>
          <w:bCs/>
          <w:lang w:eastAsia="en-US"/>
        </w:rPr>
        <w:t>De los Lineamientos referido, se desprende que para clasificar la información como reservada, será aquella que revele datos que pudieran ser aprovechados para conocer la capacidad de reacción de las instituciones encargadas de la seguridad pública y que pongan en peligro la seguridad pública y funciones de los Municipios, tendientes a preservar y resguardar la vida e integridad física de los gobernados.</w:t>
      </w:r>
    </w:p>
    <w:p w14:paraId="2EAE6215" w14:textId="77777777" w:rsidR="00587380" w:rsidRPr="00386744" w:rsidRDefault="00587380" w:rsidP="00587380">
      <w:pPr>
        <w:spacing w:line="360" w:lineRule="auto"/>
        <w:jc w:val="both"/>
        <w:rPr>
          <w:rFonts w:ascii="Palatino Linotype" w:eastAsia="Calibri" w:hAnsi="Palatino Linotype" w:cs="Tahoma"/>
          <w:bCs/>
          <w:lang w:eastAsia="en-US"/>
        </w:rPr>
      </w:pPr>
    </w:p>
    <w:p w14:paraId="72F58203" w14:textId="77777777" w:rsidR="00587380" w:rsidRPr="00386744" w:rsidRDefault="00587380" w:rsidP="00587380">
      <w:pPr>
        <w:spacing w:line="360" w:lineRule="auto"/>
        <w:jc w:val="both"/>
        <w:rPr>
          <w:rFonts w:ascii="Palatino Linotype" w:eastAsia="Calibri" w:hAnsi="Palatino Linotype" w:cs="Tahoma"/>
          <w:bCs/>
          <w:lang w:eastAsia="en-US"/>
        </w:rPr>
      </w:pPr>
      <w:r w:rsidRPr="00386744">
        <w:rPr>
          <w:rFonts w:ascii="Palatino Linotype" w:eastAsia="Calibri" w:hAnsi="Palatino Linotype" w:cs="Tahoma"/>
          <w:bCs/>
          <w:lang w:eastAsia="en-US"/>
        </w:rPr>
        <w:t>Además, el artículo 81, fracción II, de la Ley de Seguridad del Estado de México, establece lo siguiente:</w:t>
      </w:r>
    </w:p>
    <w:p w14:paraId="4F89AABE" w14:textId="77777777" w:rsidR="00587380" w:rsidRPr="00386744" w:rsidRDefault="00587380" w:rsidP="00587380">
      <w:pPr>
        <w:spacing w:line="360" w:lineRule="auto"/>
        <w:jc w:val="both"/>
        <w:rPr>
          <w:rFonts w:ascii="Palatino Linotype" w:eastAsia="Calibri" w:hAnsi="Palatino Linotype" w:cs="Tahoma"/>
          <w:bCs/>
          <w:lang w:eastAsia="en-US"/>
        </w:rPr>
      </w:pPr>
    </w:p>
    <w:p w14:paraId="6F682C63" w14:textId="77777777" w:rsidR="00587380" w:rsidRPr="00386744" w:rsidRDefault="00587380" w:rsidP="00587380">
      <w:pPr>
        <w:tabs>
          <w:tab w:val="left" w:pos="4962"/>
          <w:tab w:val="left" w:pos="7938"/>
        </w:tabs>
        <w:ind w:left="851" w:right="900"/>
        <w:contextualSpacing/>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i/>
          <w:iCs/>
          <w:sz w:val="22"/>
          <w:szCs w:val="22"/>
          <w:lang w:eastAsia="es-ES_tradnl"/>
        </w:rPr>
        <w:t>“</w:t>
      </w:r>
      <w:r w:rsidRPr="00386744">
        <w:rPr>
          <w:rFonts w:ascii="Palatino Linotype" w:eastAsia="Calibri" w:hAnsi="Palatino Linotype" w:cs="Tahoma"/>
          <w:b/>
          <w:i/>
          <w:iCs/>
          <w:sz w:val="22"/>
          <w:szCs w:val="22"/>
          <w:lang w:eastAsia="es-ES_tradnl"/>
        </w:rPr>
        <w:t>Artículo 81</w:t>
      </w:r>
      <w:r w:rsidRPr="00386744">
        <w:rPr>
          <w:rFonts w:ascii="Palatino Linotype" w:eastAsia="Calibri" w:hAnsi="Palatino Linotype" w:cs="Tahoma"/>
          <w:i/>
          <w:iCs/>
          <w:sz w:val="22"/>
          <w:szCs w:val="22"/>
          <w:lang w:eastAsia="es-ES_tradnl"/>
        </w:rPr>
        <w:t xml:space="preserve">.- Toda información para la seguridad pública generada o en poder de Instituciones de Seguridad Pública o de cualquier instancia del Sistema Estatal debe registrarse, clasificarse y tratarse de conformidad con las disposiciones aplicables. No obstante lo anterior, esta información se considerará reservada en los casos siguientes: </w:t>
      </w:r>
    </w:p>
    <w:p w14:paraId="0A7BCB5A" w14:textId="77777777" w:rsidR="00587380" w:rsidRPr="00386744" w:rsidRDefault="00587380" w:rsidP="00587380">
      <w:pPr>
        <w:tabs>
          <w:tab w:val="left" w:pos="4962"/>
          <w:tab w:val="left" w:pos="7938"/>
        </w:tabs>
        <w:ind w:left="851" w:right="900"/>
        <w:contextualSpacing/>
        <w:jc w:val="both"/>
        <w:rPr>
          <w:rFonts w:ascii="Palatino Linotype" w:eastAsia="Calibri" w:hAnsi="Palatino Linotype" w:cs="Tahoma"/>
          <w:i/>
          <w:iCs/>
          <w:sz w:val="22"/>
          <w:szCs w:val="22"/>
          <w:lang w:eastAsia="es-ES_tradnl"/>
        </w:rPr>
      </w:pPr>
      <w:r w:rsidRPr="00386744">
        <w:rPr>
          <w:rFonts w:ascii="Palatino Linotype" w:eastAsia="Calibri" w:hAnsi="Palatino Linotype" w:cs="Tahoma"/>
          <w:i/>
          <w:iCs/>
          <w:sz w:val="22"/>
          <w:szCs w:val="22"/>
          <w:lang w:eastAsia="es-ES_tradnl"/>
        </w:rPr>
        <w:t>…</w:t>
      </w:r>
    </w:p>
    <w:p w14:paraId="6D43AB95" w14:textId="6C6187D1" w:rsidR="00587380" w:rsidRPr="00386744" w:rsidRDefault="00587380" w:rsidP="00237838">
      <w:pPr>
        <w:tabs>
          <w:tab w:val="left" w:pos="4962"/>
          <w:tab w:val="left" w:pos="7938"/>
        </w:tabs>
        <w:ind w:left="1134" w:right="900"/>
        <w:contextualSpacing/>
        <w:jc w:val="both"/>
        <w:rPr>
          <w:rFonts w:ascii="Palatino Linotype" w:eastAsia="Calibri" w:hAnsi="Palatino Linotype" w:cs="Tahoma"/>
          <w:bCs/>
          <w:lang w:eastAsia="en-US"/>
        </w:rPr>
      </w:pPr>
      <w:r w:rsidRPr="00386744">
        <w:rPr>
          <w:rFonts w:ascii="Palatino Linotype" w:eastAsia="Calibri" w:hAnsi="Palatino Linotype" w:cs="Tahoma"/>
          <w:b/>
          <w:i/>
          <w:iCs/>
          <w:sz w:val="22"/>
          <w:szCs w:val="22"/>
          <w:lang w:eastAsia="es-ES_tradnl"/>
        </w:rPr>
        <w:t>II.</w:t>
      </w:r>
      <w:r w:rsidRPr="00386744">
        <w:rPr>
          <w:rFonts w:ascii="Palatino Linotype" w:eastAsia="Calibri" w:hAnsi="Palatino Linotype" w:cs="Tahoma"/>
          <w:i/>
          <w:iCs/>
          <w:sz w:val="22"/>
          <w:szCs w:val="22"/>
          <w:lang w:eastAsia="es-ES_tradnl"/>
        </w:rPr>
        <w:t xml:space="preserve"> Aquella cuya revelación pueda ser utilizada para actualizar o potenciar una amenaza a la seguridad pública o a las instituciones del Estado de México…” </w:t>
      </w:r>
    </w:p>
    <w:p w14:paraId="0C55FFFD" w14:textId="77777777" w:rsidR="00440B54" w:rsidRPr="00386744" w:rsidRDefault="00587380" w:rsidP="00440B54">
      <w:pPr>
        <w:spacing w:before="240" w:after="240" w:line="360" w:lineRule="auto"/>
        <w:jc w:val="both"/>
        <w:rPr>
          <w:rFonts w:ascii="Palatino Linotype" w:hAnsi="Palatino Linotype" w:cs="Tahoma"/>
        </w:rPr>
      </w:pPr>
      <w:r w:rsidRPr="00386744">
        <w:rPr>
          <w:rFonts w:ascii="Palatino Linotype" w:hAnsi="Palatino Linotype" w:cs="Tahoma"/>
        </w:rPr>
        <w:t xml:space="preserve">Así, se desprende que es reservada toda aquella información que revele el estado de fuerza, y que puede ser utilizada para poner en riesgo la seguridad pública del Municipio. </w:t>
      </w:r>
    </w:p>
    <w:p w14:paraId="46945D63" w14:textId="1C767EF2" w:rsidR="00B53EC4" w:rsidRPr="00386744" w:rsidRDefault="00440B54" w:rsidP="009D75FF">
      <w:pPr>
        <w:spacing w:before="240" w:after="240" w:line="360" w:lineRule="auto"/>
        <w:jc w:val="both"/>
        <w:rPr>
          <w:rFonts w:ascii="Palatino Linotype" w:eastAsia="Calibri" w:hAnsi="Palatino Linotype" w:cs="Tahoma"/>
          <w:bCs/>
          <w:lang w:eastAsia="en-US"/>
        </w:rPr>
      </w:pPr>
      <w:r w:rsidRPr="00386744">
        <w:rPr>
          <w:rFonts w:ascii="Palatino Linotype" w:hAnsi="Palatino Linotype" w:cs="Arial"/>
        </w:rPr>
        <w:lastRenderedPageBreak/>
        <w:t xml:space="preserve">Por lo tanto, el </w:t>
      </w:r>
      <w:r w:rsidRPr="00386744">
        <w:rPr>
          <w:rFonts w:ascii="Palatino Linotype" w:hAnsi="Palatino Linotype" w:cs="Arial"/>
          <w:b/>
        </w:rPr>
        <w:t>Sujeto Obligado</w:t>
      </w:r>
      <w:r w:rsidRPr="00386744">
        <w:rPr>
          <w:rFonts w:ascii="Palatino Linotype" w:hAnsi="Palatino Linotype" w:cs="Arial"/>
        </w:rPr>
        <w:t xml:space="preserve"> debió identificar que dicho supuesto era factible de aplicarse, y justificar de manera fundada y motivada las circunstancias por la cuales se </w:t>
      </w:r>
      <w:r w:rsidRPr="00386744">
        <w:rPr>
          <w:rFonts w:ascii="Palatino Linotype" w:hAnsi="Palatino Linotype" w:cs="Arial"/>
          <w:lang w:eastAsia="es-MX"/>
        </w:rPr>
        <w:t xml:space="preserve">podría </w:t>
      </w:r>
      <w:r w:rsidR="00237838" w:rsidRPr="00386744">
        <w:rPr>
          <w:rFonts w:ascii="Palatino Linotype" w:hAnsi="Palatino Linotype" w:cs="Arial"/>
          <w:lang w:eastAsia="es-MX"/>
        </w:rPr>
        <w:t xml:space="preserve">comprometer la seguridad pública, poniendo en peligro las funciones del municipio, </w:t>
      </w:r>
      <w:r w:rsidRPr="00386744">
        <w:rPr>
          <w:rFonts w:ascii="Palatino Linotype" w:hAnsi="Palatino Linotype" w:cs="Arial"/>
          <w:lang w:eastAsia="es-MX"/>
        </w:rPr>
        <w:t xml:space="preserve">asimismo debió cumplir con los requisitos para su clasificación en términos de la Ley de Transparencia y Acceso a la Información Pública del Estado de México y Municipios, la Ley General de Transparencia y Acceso a la Información Pública y los Lineamientos generales en materia de clasificación y desclasificación de la información, así como para la elaboración de versiones públicas, con el objeto de </w:t>
      </w:r>
      <w:r w:rsidR="00237838" w:rsidRPr="00386744">
        <w:rPr>
          <w:rFonts w:ascii="Palatino Linotype" w:hAnsi="Palatino Linotype" w:cs="Arial"/>
          <w:lang w:eastAsia="es-MX"/>
        </w:rPr>
        <w:t>salvaguardar la información de mérito, y por tanto se evitara poner en riesgo la seguridad de los gobernados.</w:t>
      </w:r>
    </w:p>
    <w:p w14:paraId="72F12B75" w14:textId="767C5158" w:rsidR="002C6ECF" w:rsidRPr="00386744" w:rsidRDefault="002C6ECF" w:rsidP="002C6ECF">
      <w:pPr>
        <w:tabs>
          <w:tab w:val="left" w:pos="709"/>
        </w:tabs>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b/>
        </w:rPr>
        <w:t xml:space="preserve">Quinto. Versión Pública. </w:t>
      </w:r>
      <w:r w:rsidRPr="00386744">
        <w:rPr>
          <w:rFonts w:ascii="Palatino Linotype" w:eastAsia="Palatino Linotype" w:hAnsi="Palatino Linotype" w:cs="Palatino Linotype"/>
        </w:rPr>
        <w:t xml:space="preserve">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w:t>
      </w:r>
      <w:r w:rsidR="009D75FF" w:rsidRPr="00386744">
        <w:rPr>
          <w:rFonts w:ascii="Palatino Linotype" w:eastAsia="Palatino Linotype" w:hAnsi="Palatino Linotype" w:cs="Palatino Linotype"/>
          <w:b/>
        </w:rPr>
        <w:t>Sujeto Obligado</w:t>
      </w:r>
      <w:r w:rsidR="009D75FF"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rPr>
        <w:t>tendrá que hacer la elaboración de una versión pública de los documentos que vaya entregar para dar cumplimiento a esta resolución, a fin de satisfacer el derecho de acceso a la información pública de la recurrente sin menoscabar el derecho a la protección de los datos personales de terceros, lo anterior, de conformidad a lo que señalan los artículos 3, fracciones IX, XX, XXXII, XLV; 6, 137 y 143 fracción I, de la Ley de Transparencia y Acceso a la Información Pública del Estado de México y Municipios vigente, los cuales establecen lo siguiente:</w:t>
      </w:r>
    </w:p>
    <w:p w14:paraId="291D2EC0" w14:textId="77777777" w:rsidR="002C6ECF" w:rsidRPr="00386744" w:rsidRDefault="002C6ECF" w:rsidP="002C6ECF">
      <w:pPr>
        <w:tabs>
          <w:tab w:val="left" w:pos="709"/>
        </w:tabs>
        <w:spacing w:line="360" w:lineRule="auto"/>
        <w:jc w:val="both"/>
        <w:rPr>
          <w:rFonts w:ascii="Palatino Linotype" w:eastAsia="Palatino Linotype" w:hAnsi="Palatino Linotype" w:cs="Palatino Linotype"/>
        </w:rPr>
      </w:pPr>
    </w:p>
    <w:p w14:paraId="5F975058"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r w:rsidRPr="00386744">
        <w:rPr>
          <w:rFonts w:ascii="Palatino Linotype" w:eastAsia="Palatino Linotype" w:hAnsi="Palatino Linotype" w:cs="Palatino Linotype"/>
          <w:b/>
          <w:i/>
          <w:sz w:val="22"/>
          <w:szCs w:val="22"/>
        </w:rPr>
        <w:t>Artículo 3.</w:t>
      </w:r>
      <w:r w:rsidRPr="00386744">
        <w:rPr>
          <w:rFonts w:ascii="Palatino Linotype" w:eastAsia="Palatino Linotype" w:hAnsi="Palatino Linotype" w:cs="Palatino Linotype"/>
          <w:i/>
          <w:sz w:val="22"/>
          <w:szCs w:val="22"/>
        </w:rPr>
        <w:t xml:space="preserve"> Para los efectos de la presente Ley se entenderá por:…</w:t>
      </w:r>
    </w:p>
    <w:p w14:paraId="4AF21C94"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lastRenderedPageBreak/>
        <w:t>XX.</w:t>
      </w:r>
      <w:r w:rsidRPr="00386744">
        <w:rPr>
          <w:rFonts w:ascii="Palatino Linotype" w:eastAsia="Palatino Linotype" w:hAnsi="Palatino Linotype" w:cs="Palatino Linotype"/>
          <w:i/>
          <w:sz w:val="22"/>
          <w:szCs w:val="22"/>
        </w:rPr>
        <w:t xml:space="preserve"> Información clasificada: Aquella considerada por la presente Ley como reservada o confidencial; </w:t>
      </w:r>
    </w:p>
    <w:p w14:paraId="453F4716"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XXI.</w:t>
      </w:r>
      <w:r w:rsidRPr="00386744">
        <w:rPr>
          <w:rFonts w:ascii="Palatino Linotype" w:eastAsia="Palatino Linotype" w:hAnsi="Palatino Linotype" w:cs="Palatino Linotype"/>
          <w:i/>
          <w:sz w:val="22"/>
          <w:szCs w:val="22"/>
        </w:rPr>
        <w:t xml:space="preserve"> 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2796F15C"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p>
    <w:p w14:paraId="64B60C25"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XXXIV</w:t>
      </w:r>
      <w:r w:rsidRPr="00386744">
        <w:rPr>
          <w:rFonts w:ascii="Palatino Linotype" w:eastAsia="Palatino Linotype" w:hAnsi="Palatino Linotype" w:cs="Palatino Linotype"/>
          <w:i/>
          <w:sz w:val="22"/>
          <w:szCs w:val="22"/>
        </w:rPr>
        <w:t>. Prueba de interés público: Es el proceso de ponderación entre el beneficio que reporta dar a conocer la información confidencial solicitada contra el daño que su divulgación genera en los derechos de las personas, llevado a cabo por el Instituto en el ámbito de sus respectivas competencias</w:t>
      </w:r>
    </w:p>
    <w:p w14:paraId="36FCCA59"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p>
    <w:p w14:paraId="1AEB892F"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XLV.</w:t>
      </w:r>
      <w:r w:rsidRPr="00386744">
        <w:rPr>
          <w:rFonts w:ascii="Palatino Linotype" w:eastAsia="Palatino Linotype" w:hAnsi="Palatino Linotype" w:cs="Palatino Linotype"/>
          <w:i/>
          <w:sz w:val="22"/>
          <w:szCs w:val="22"/>
        </w:rPr>
        <w:t xml:space="preserve"> Versión pública: Documento en el que se elimine, suprime o borra la información clasificada como reservada o confidencial para permitir su acceso</w:t>
      </w:r>
    </w:p>
    <w:p w14:paraId="58FA832D"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Artículo 91.</w:t>
      </w:r>
      <w:r w:rsidRPr="00386744">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1D872A8B"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Artículo 122.</w:t>
      </w:r>
      <w:r w:rsidRPr="00386744">
        <w:rPr>
          <w:rFonts w:ascii="Palatino Linotype" w:eastAsia="Palatino Linotype" w:hAnsi="Palatino Linotype" w:cs="Palatino Linotype"/>
          <w:i/>
          <w:sz w:val="22"/>
          <w:szCs w:val="22"/>
        </w:rPr>
        <w:t xml:space="preserve"> La clasificación es el proceso mediante el cual el sujeto obligado determina que la información en su poder actualiza alguno de los supuestos de reserva o confidencialidad, de conformidad con lo dispuesto en el presente título.</w:t>
      </w:r>
    </w:p>
    <w:p w14:paraId="6577DE20"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Los supuestos de reserva o confidencialidad previstos en las leyes deberán ser acordes con las bases, principios y disposiciones establecidos en la Ley General y, en ningún caso, podrán contravenirla.</w:t>
      </w:r>
    </w:p>
    <w:p w14:paraId="42916457"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Los titulares de las áreas de los sujetos obligados serán los responsables de clasificar la información, de conformidad con lo dispuesto en la presente Ley y demás disposiciones jurídicas aplicables</w:t>
      </w:r>
    </w:p>
    <w:p w14:paraId="5EC33AF7"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Artículo 135.</w:t>
      </w:r>
      <w:r w:rsidRPr="00386744">
        <w:rPr>
          <w:rFonts w:ascii="Palatino Linotype" w:eastAsia="Palatino Linotype" w:hAnsi="Palatino Linotype" w:cs="Palatino Linotype"/>
          <w:i/>
          <w:sz w:val="22"/>
          <w:szCs w:val="22"/>
        </w:rPr>
        <w:t xml:space="preserve"> Los lineamientos generales que se emitan al respecto en materia de clasificación de la información reservada y confidencial y, para la elaboración de versiones públicas, serán de observancia obligatoria para los sujetos obligados.</w:t>
      </w:r>
    </w:p>
    <w:p w14:paraId="02B9FC03"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Artículo 137.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3405B03E"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lastRenderedPageBreak/>
        <w:t>Artículo 143</w:t>
      </w:r>
      <w:r w:rsidRPr="00386744">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59471A5C"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 xml:space="preserve">I. Se refiera a la información privada y los datos personales concernientes a una persona física o jurídica colectiva identificada o identificable; </w:t>
      </w:r>
    </w:p>
    <w:p w14:paraId="17CB121E"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w:t>
      </w:r>
      <w:r w:rsidRPr="00386744">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 </w:t>
      </w:r>
    </w:p>
    <w:p w14:paraId="6482C271"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III.</w:t>
      </w:r>
      <w:r w:rsidRPr="00386744">
        <w:rPr>
          <w:rFonts w:ascii="Palatino Linotype" w:eastAsia="Palatino Linotype" w:hAnsi="Palatino Linotype" w:cs="Palatino Linotype"/>
          <w:i/>
          <w:sz w:val="22"/>
          <w:szCs w:val="22"/>
        </w:rPr>
        <w:t xml:space="preserve"> La que presenten los particulares a los sujetos obligados, de conformidad con lo dispuesto por las leyes o los tratados internacionales.</w:t>
      </w:r>
    </w:p>
    <w:p w14:paraId="076A5613"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1574D565"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3E2B49E6"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Artículo 147. Para que los sujetos obligados puedan permitir el acceso a información confidencial requieren obtener el consentimiento de los particulares titulares de la información.</w:t>
      </w:r>
    </w:p>
    <w:p w14:paraId="1DBEDDF7"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Artículo 148.</w:t>
      </w:r>
      <w:r w:rsidRPr="00386744">
        <w:rPr>
          <w:rFonts w:ascii="Palatino Linotype" w:eastAsia="Palatino Linotype" w:hAnsi="Palatino Linotype" w:cs="Palatino Linotype"/>
          <w:i/>
          <w:sz w:val="22"/>
          <w:szCs w:val="22"/>
        </w:rPr>
        <w:t xml:space="preserve"> No se requerirá el consentimiento del titular de la información confidencial cuando:</w:t>
      </w:r>
    </w:p>
    <w:p w14:paraId="3E56054D"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w:t>
      </w:r>
      <w:r w:rsidRPr="00386744">
        <w:rPr>
          <w:rFonts w:ascii="Palatino Linotype" w:eastAsia="Palatino Linotype" w:hAnsi="Palatino Linotype" w:cs="Palatino Linotype"/>
          <w:i/>
          <w:sz w:val="22"/>
          <w:szCs w:val="22"/>
        </w:rPr>
        <w:t xml:space="preserve"> La información se encuentre en registros públicos o fuentes de acceso público;</w:t>
      </w:r>
    </w:p>
    <w:p w14:paraId="05163A23"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w:t>
      </w:r>
      <w:r w:rsidRPr="00386744">
        <w:rPr>
          <w:rFonts w:ascii="Palatino Linotype" w:eastAsia="Palatino Linotype" w:hAnsi="Palatino Linotype" w:cs="Palatino Linotype"/>
          <w:i/>
          <w:sz w:val="22"/>
          <w:szCs w:val="22"/>
        </w:rPr>
        <w:t xml:space="preserve"> Por Ley tenga el carácter de pública;</w:t>
      </w:r>
    </w:p>
    <w:p w14:paraId="40C0F80D"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III</w:t>
      </w:r>
      <w:r w:rsidRPr="00386744">
        <w:rPr>
          <w:rFonts w:ascii="Palatino Linotype" w:eastAsia="Palatino Linotype" w:hAnsi="Palatino Linotype" w:cs="Palatino Linotype"/>
          <w:i/>
          <w:sz w:val="22"/>
          <w:szCs w:val="22"/>
        </w:rPr>
        <w:t>. Exista una orden judicial;</w:t>
      </w:r>
    </w:p>
    <w:p w14:paraId="45F8F26C"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IV.</w:t>
      </w:r>
      <w:r w:rsidRPr="00386744">
        <w:rPr>
          <w:rFonts w:ascii="Palatino Linotype" w:eastAsia="Palatino Linotype" w:hAnsi="Palatino Linotype" w:cs="Palatino Linotype"/>
          <w:i/>
          <w:sz w:val="22"/>
          <w:szCs w:val="22"/>
        </w:rPr>
        <w:t xml:space="preserve"> Por razones de seguridad pública, o para proteger los derechos de terceros, se requiera su publicación; o</w:t>
      </w:r>
    </w:p>
    <w:p w14:paraId="7A79020E"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V.</w:t>
      </w:r>
      <w:r w:rsidRPr="00386744">
        <w:rPr>
          <w:rFonts w:ascii="Palatino Linotype" w:eastAsia="Palatino Linotype" w:hAnsi="Palatino Linotype" w:cs="Palatino Linotype"/>
          <w:i/>
          <w:sz w:val="22"/>
          <w:szCs w:val="22"/>
        </w:rPr>
        <w:t xml:space="preserve"> Cuando se transmita entre sujetos obligados y entre éstos y los sujetos de derecho internacional, en términos de los tratados y los acuerdos interinstitucionales, siempre y cuando la información se utilice para el ejercicio de facultades propias de los mismos. Para efectos de la fracción I del presente artículo, deberá sujetarse a lo previsto en las disposiciones jurídicas aplicables.</w:t>
      </w:r>
    </w:p>
    <w:p w14:paraId="0F50D7B6"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 xml:space="preserve">Para efectos de la fracción IV del presente artículo, el Instituto deberá aplicar la prueba de interés público. Además, se deberá corroborar una conexión patente entre la información confidencial y un tema de interés público y la proporcionalidad entre la invasión a la intimidad ocasionada por la divulgación de la información confidencial y el interés público de la información. </w:t>
      </w:r>
    </w:p>
    <w:p w14:paraId="2B702813" w14:textId="77777777" w:rsidR="002C6ECF" w:rsidRPr="00386744" w:rsidRDefault="002C6ECF" w:rsidP="009D75FF">
      <w:pPr>
        <w:tabs>
          <w:tab w:val="left" w:pos="709"/>
        </w:tabs>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lastRenderedPageBreak/>
        <w:t>Artículo 149.</w:t>
      </w:r>
      <w:r w:rsidRPr="00386744">
        <w:rPr>
          <w:rFonts w:ascii="Palatino Linotype" w:eastAsia="Palatino Linotype" w:hAnsi="Palatino Linotype" w:cs="Palatino Linotype"/>
          <w:i/>
          <w:sz w:val="22"/>
          <w:szCs w:val="22"/>
        </w:rPr>
        <w:t xml:space="preserve"> El acuerdo que clasifique la información como confidencial deberá contener un razonamiento lógico en el que demuestre que la información se encuentra en alguna o algunas de las hipótesis previstas en la presente Ley.” (Sic)</w:t>
      </w:r>
    </w:p>
    <w:p w14:paraId="08BE3B45" w14:textId="77777777" w:rsidR="002C6ECF" w:rsidRPr="00386744" w:rsidRDefault="002C6ECF" w:rsidP="002C6ECF">
      <w:pPr>
        <w:spacing w:line="360" w:lineRule="auto"/>
        <w:ind w:right="49"/>
        <w:jc w:val="both"/>
        <w:rPr>
          <w:rFonts w:ascii="Palatino Linotype" w:eastAsia="Palatino Linotype" w:hAnsi="Palatino Linotype" w:cs="Palatino Linotype"/>
        </w:rPr>
      </w:pPr>
    </w:p>
    <w:p w14:paraId="04F47BCB" w14:textId="77777777"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De los artículos transcritos anteriormente, se observan las excepciones que tiene el derecho de acceso a la información pública, respecto a algunos tipos de información, lo cual restringe su acceso, precisándose de manera clara las hipótesis que dan lugar a clasificar la información, la cual puede ser de dos maneras: Reservada o Confidencial.</w:t>
      </w:r>
    </w:p>
    <w:p w14:paraId="323DD74A" w14:textId="77777777" w:rsidR="002C6ECF" w:rsidRPr="00386744" w:rsidRDefault="002C6ECF" w:rsidP="002C6ECF">
      <w:pPr>
        <w:spacing w:line="360" w:lineRule="auto"/>
        <w:jc w:val="both"/>
        <w:rPr>
          <w:rFonts w:ascii="Palatino Linotype" w:eastAsia="Palatino Linotype" w:hAnsi="Palatino Linotype" w:cs="Palatino Linotype"/>
        </w:rPr>
      </w:pPr>
    </w:p>
    <w:p w14:paraId="097902BC" w14:textId="77777777"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En otras palabras, la información confidencial será cuando por su naturaleza, contenga datos personales concernientes a una persona física o jurídico colectiva identificada o identificable, los secretos bancario, fiduciario, industrial, comercial, fiscal, bursátil y postal, cuya titularidad corresponda a particulares, sujetos de derecho internacional o a Sujetos Obligados cuando no involucren el ejercicio de recursos públicos y la que presenten los particulares a los Sujetos Obligados, de conformidad con lo dispuesto por las leyes o los tratados internacionales.</w:t>
      </w:r>
    </w:p>
    <w:p w14:paraId="026A9967" w14:textId="77777777" w:rsidR="002C6ECF" w:rsidRPr="00386744" w:rsidRDefault="002C6ECF" w:rsidP="002C6ECF">
      <w:pPr>
        <w:spacing w:line="360" w:lineRule="auto"/>
        <w:jc w:val="both"/>
        <w:rPr>
          <w:rFonts w:ascii="Palatino Linotype" w:eastAsia="Palatino Linotype" w:hAnsi="Palatino Linotype" w:cs="Palatino Linotype"/>
        </w:rPr>
      </w:pPr>
    </w:p>
    <w:p w14:paraId="4E8BB33F" w14:textId="77777777"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De igual forma, para el caso de la información confidencial se aprecia, que se establece un procedimiento para clasificar la información como confidencial, mediante el cual se fundamentará y motivará la necesidad de clasificar la información, en el que se precisen los motivos que obliguen a la clasificación; lo que se consolida con lo señalado por el artículo 168 de la Ley en la Materia, que señala:</w:t>
      </w:r>
    </w:p>
    <w:p w14:paraId="606865E2" w14:textId="77777777" w:rsidR="002C6ECF" w:rsidRPr="00386744" w:rsidRDefault="002C6ECF" w:rsidP="002C6ECF">
      <w:pPr>
        <w:spacing w:line="360" w:lineRule="auto"/>
        <w:jc w:val="both"/>
        <w:rPr>
          <w:rFonts w:ascii="Palatino Linotype" w:eastAsia="Palatino Linotype" w:hAnsi="Palatino Linotype" w:cs="Palatino Linotype"/>
        </w:rPr>
      </w:pPr>
    </w:p>
    <w:p w14:paraId="20197275" w14:textId="77777777" w:rsidR="002C6ECF" w:rsidRPr="00386744" w:rsidRDefault="002C6ECF" w:rsidP="009D75FF">
      <w:pPr>
        <w:spacing w:before="120" w:after="120"/>
        <w:ind w:left="851"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r w:rsidRPr="00386744">
        <w:rPr>
          <w:rFonts w:ascii="Palatino Linotype" w:eastAsia="Palatino Linotype" w:hAnsi="Palatino Linotype" w:cs="Palatino Linotype"/>
          <w:b/>
          <w:i/>
          <w:sz w:val="22"/>
          <w:szCs w:val="22"/>
        </w:rPr>
        <w:t>Artículo 168</w:t>
      </w:r>
      <w:r w:rsidRPr="00386744">
        <w:rPr>
          <w:rFonts w:ascii="Palatino Linotype" w:eastAsia="Palatino Linotype" w:hAnsi="Palatino Linotype" w:cs="Palatino Linotype"/>
          <w:i/>
          <w:sz w:val="22"/>
          <w:szCs w:val="22"/>
        </w:rPr>
        <w:t>. En caso de que los sujetos obligados consideren que los documentos o la información deban ser clasificados, se sujetará a lo siguiente:</w:t>
      </w:r>
    </w:p>
    <w:p w14:paraId="0B48C6CD" w14:textId="77777777" w:rsidR="002C6ECF" w:rsidRPr="00386744" w:rsidRDefault="002C6ECF" w:rsidP="009D75FF">
      <w:pPr>
        <w:spacing w:before="120" w:after="120"/>
        <w:ind w:left="1134"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lastRenderedPageBreak/>
        <w:t>I.</w:t>
      </w:r>
      <w:r w:rsidRPr="00386744">
        <w:rPr>
          <w:rFonts w:ascii="Palatino Linotype" w:eastAsia="Palatino Linotype" w:hAnsi="Palatino Linotype" w:cs="Palatino Linotype"/>
          <w:i/>
          <w:sz w:val="22"/>
          <w:szCs w:val="22"/>
        </w:rPr>
        <w:t xml:space="preserve"> El Área deberá remitir la solicitud, así como un escrito en el que </w:t>
      </w:r>
      <w:r w:rsidRPr="00386744">
        <w:rPr>
          <w:rFonts w:ascii="Palatino Linotype" w:eastAsia="Palatino Linotype" w:hAnsi="Palatino Linotype" w:cs="Palatino Linotype"/>
          <w:b/>
          <w:i/>
          <w:sz w:val="22"/>
          <w:szCs w:val="22"/>
        </w:rPr>
        <w:t>funde y motive la clasificación al Comité de Transparencia</w:t>
      </w:r>
      <w:r w:rsidRPr="00386744">
        <w:rPr>
          <w:rFonts w:ascii="Palatino Linotype" w:eastAsia="Palatino Linotype" w:hAnsi="Palatino Linotype" w:cs="Palatino Linotype"/>
          <w:i/>
          <w:sz w:val="22"/>
          <w:szCs w:val="22"/>
        </w:rPr>
        <w:t>, mismo que deberá resolver para:</w:t>
      </w:r>
    </w:p>
    <w:p w14:paraId="01FF6737" w14:textId="77777777" w:rsidR="002C6ECF" w:rsidRPr="00386744" w:rsidRDefault="002C6ECF" w:rsidP="009D75FF">
      <w:pPr>
        <w:spacing w:before="120" w:after="120"/>
        <w:ind w:left="1418" w:right="902"/>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i/>
          <w:sz w:val="22"/>
          <w:szCs w:val="22"/>
        </w:rPr>
        <w:t>a</w:t>
      </w:r>
      <w:r w:rsidRPr="00386744">
        <w:rPr>
          <w:rFonts w:ascii="Palatino Linotype" w:eastAsia="Palatino Linotype" w:hAnsi="Palatino Linotype" w:cs="Palatino Linotype"/>
          <w:b/>
          <w:i/>
          <w:sz w:val="22"/>
          <w:szCs w:val="22"/>
        </w:rPr>
        <w:t>) Confirmar la clasificación;</w:t>
      </w:r>
    </w:p>
    <w:p w14:paraId="5B1615DD" w14:textId="77777777" w:rsidR="009D75FF" w:rsidRPr="00386744" w:rsidRDefault="002C6ECF" w:rsidP="009D75FF">
      <w:pPr>
        <w:spacing w:before="120" w:after="120"/>
        <w:ind w:left="1418"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b) Modificar la clasificación y otorgar total o parcialmente el acceso a la información; y</w:t>
      </w:r>
    </w:p>
    <w:p w14:paraId="3E275A0F" w14:textId="4E182802" w:rsidR="002C6ECF" w:rsidRPr="00386744" w:rsidRDefault="002C6ECF" w:rsidP="009D75FF">
      <w:pPr>
        <w:spacing w:before="120" w:after="120"/>
        <w:ind w:left="1418"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c) Revocar la clasificación y conceder el acceso a la información.</w:t>
      </w:r>
    </w:p>
    <w:p w14:paraId="06B6CA52" w14:textId="77777777" w:rsidR="002C6ECF" w:rsidRPr="00386744" w:rsidRDefault="002C6ECF" w:rsidP="009D75FF">
      <w:pPr>
        <w:spacing w:before="120" w:after="120"/>
        <w:ind w:left="1134"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w:t>
      </w:r>
      <w:r w:rsidRPr="00386744">
        <w:rPr>
          <w:rFonts w:ascii="Palatino Linotype" w:eastAsia="Palatino Linotype" w:hAnsi="Palatino Linotype" w:cs="Palatino Linotype"/>
          <w:i/>
          <w:sz w:val="22"/>
          <w:szCs w:val="22"/>
        </w:rPr>
        <w:t xml:space="preserve"> El Comité de Transparencia podrá tener acceso a la información que esté en poder del Área correspondiente, de la cual se haya solicitado su clasificación; y</w:t>
      </w:r>
    </w:p>
    <w:p w14:paraId="2D7C603E" w14:textId="77777777" w:rsidR="002C6ECF" w:rsidRPr="00386744" w:rsidRDefault="002C6ECF" w:rsidP="009D75FF">
      <w:pPr>
        <w:spacing w:before="120" w:after="120"/>
        <w:ind w:left="1134" w:right="902"/>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III.</w:t>
      </w:r>
      <w:r w:rsidRPr="00386744">
        <w:rPr>
          <w:rFonts w:ascii="Palatino Linotype" w:eastAsia="Palatino Linotype" w:hAnsi="Palatino Linotype" w:cs="Palatino Linotype"/>
          <w:i/>
          <w:sz w:val="22"/>
          <w:szCs w:val="22"/>
        </w:rPr>
        <w:t xml:space="preserve"> La resolución del Comité de Transparencia será notificada al interesado en el plazo de respuesta a la solicitud que establece esta Ley.</w:t>
      </w:r>
    </w:p>
    <w:p w14:paraId="1784E3B2" w14:textId="77777777" w:rsidR="002C6ECF" w:rsidRPr="00386744" w:rsidRDefault="002C6ECF" w:rsidP="002C6ECF">
      <w:pPr>
        <w:spacing w:line="360" w:lineRule="auto"/>
        <w:jc w:val="both"/>
        <w:rPr>
          <w:rFonts w:ascii="Palatino Linotype" w:eastAsia="Palatino Linotype" w:hAnsi="Palatino Linotype" w:cs="Palatino Linotype"/>
        </w:rPr>
      </w:pPr>
    </w:p>
    <w:p w14:paraId="601FEDD7" w14:textId="429A2930" w:rsidR="002C6ECF" w:rsidRPr="00386744" w:rsidRDefault="002C6ECF" w:rsidP="002C6ECF">
      <w:pPr>
        <w:spacing w:line="360" w:lineRule="auto"/>
        <w:ind w:right="51"/>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w:t>
      </w:r>
      <w:r w:rsidR="009D75FF" w:rsidRPr="00386744">
        <w:rPr>
          <w:rFonts w:ascii="Palatino Linotype" w:eastAsia="Palatino Linotype" w:hAnsi="Palatino Linotype" w:cs="Palatino Linotype"/>
          <w:b/>
        </w:rPr>
        <w:t>Sujeto Obligado</w:t>
      </w:r>
      <w:r w:rsidR="009D75FF"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rPr>
        <w:t xml:space="preserve">deberá proceder a testar los datos personales que se encuentren contenidos en los documentos a entregar por parte del </w:t>
      </w:r>
      <w:r w:rsidR="009D75FF" w:rsidRPr="00386744">
        <w:rPr>
          <w:rFonts w:ascii="Palatino Linotype" w:eastAsia="Palatino Linotype" w:hAnsi="Palatino Linotype" w:cs="Palatino Linotype"/>
          <w:b/>
        </w:rPr>
        <w:t>Sujeto Obligado</w:t>
      </w:r>
      <w:r w:rsidR="009D75FF"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rPr>
        <w:t>para satisfacer el derecho de acceso a la información pública de la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14:paraId="43F44A90" w14:textId="77777777" w:rsidR="002C6ECF" w:rsidRPr="00386744" w:rsidRDefault="002C6ECF" w:rsidP="002C6ECF">
      <w:pPr>
        <w:spacing w:line="360" w:lineRule="auto"/>
        <w:ind w:right="51"/>
        <w:jc w:val="both"/>
        <w:rPr>
          <w:rFonts w:ascii="Palatino Linotype" w:eastAsia="Palatino Linotype" w:hAnsi="Palatino Linotype" w:cs="Palatino Linotype"/>
        </w:rPr>
      </w:pPr>
    </w:p>
    <w:p w14:paraId="0DDD6104" w14:textId="77777777" w:rsidR="002C6ECF" w:rsidRPr="00386744" w:rsidRDefault="002C6ECF" w:rsidP="002C6ECF">
      <w:pPr>
        <w:spacing w:line="360" w:lineRule="auto"/>
        <w:ind w:right="49"/>
        <w:jc w:val="both"/>
        <w:rPr>
          <w:rFonts w:ascii="Palatino Linotype" w:eastAsia="Palatino Linotype" w:hAnsi="Palatino Linotype" w:cs="Palatino Linotype"/>
        </w:rPr>
      </w:pPr>
      <w:r w:rsidRPr="00386744">
        <w:rPr>
          <w:rFonts w:ascii="Palatino Linotype" w:eastAsia="Palatino Linotype" w:hAnsi="Palatino Linotype" w:cs="Palatino Linotype"/>
        </w:rPr>
        <w:lastRenderedPageBreak/>
        <w:t xml:space="preserve">En el caso específico, es criterio reiterado de este Instituto que además de los datos especificados en la Ley de Transparencia y Acceso a la Información Pública del Estado de México y Municipios, se consideran confidenciales y por tanto deben testarse al momento de la elaboración de versiones públicas el </w:t>
      </w:r>
      <w:r w:rsidRPr="00386744">
        <w:rPr>
          <w:rFonts w:ascii="Palatino Linotype" w:eastAsia="Palatino Linotype" w:hAnsi="Palatino Linotype" w:cs="Palatino Linotype"/>
          <w:b/>
        </w:rPr>
        <w:t>Registro Federal de Contribuyentes</w:t>
      </w:r>
      <w:r w:rsidRPr="00386744">
        <w:rPr>
          <w:rFonts w:ascii="Palatino Linotype" w:eastAsia="Palatino Linotype" w:hAnsi="Palatino Linotype" w:cs="Palatino Linotype"/>
        </w:rPr>
        <w:t xml:space="preserve"> (RFC), la </w:t>
      </w:r>
      <w:r w:rsidRPr="00386744">
        <w:rPr>
          <w:rFonts w:ascii="Palatino Linotype" w:eastAsia="Palatino Linotype" w:hAnsi="Palatino Linotype" w:cs="Palatino Linotype"/>
          <w:b/>
        </w:rPr>
        <w:t>Clave Única de Registro de Población</w:t>
      </w:r>
      <w:r w:rsidRPr="00386744">
        <w:rPr>
          <w:rFonts w:ascii="Palatino Linotype" w:eastAsia="Palatino Linotype" w:hAnsi="Palatino Linotype" w:cs="Palatino Linotype"/>
        </w:rPr>
        <w:t xml:space="preserve"> (CURP) y la </w:t>
      </w:r>
      <w:r w:rsidRPr="00386744">
        <w:rPr>
          <w:rFonts w:ascii="Palatino Linotype" w:eastAsia="Palatino Linotype" w:hAnsi="Palatino Linotype" w:cs="Palatino Linotype"/>
          <w:b/>
        </w:rPr>
        <w:t>Clave de cualquier tipo de seguridad social</w:t>
      </w:r>
      <w:r w:rsidRPr="00386744">
        <w:rPr>
          <w:rFonts w:ascii="Palatino Linotype" w:eastAsia="Palatino Linotype" w:hAnsi="Palatino Linotype" w:cs="Palatino Linotype"/>
        </w:rPr>
        <w:t xml:space="preserve"> (ISSEMYM, u otros), así como, los </w:t>
      </w:r>
      <w:r w:rsidRPr="00386744">
        <w:rPr>
          <w:rFonts w:ascii="Palatino Linotype" w:eastAsia="Palatino Linotype" w:hAnsi="Palatino Linotype" w:cs="Palatino Linotype"/>
          <w:b/>
        </w:rPr>
        <w:t>préstamos o descuentos</w:t>
      </w:r>
      <w:r w:rsidRPr="00386744">
        <w:rPr>
          <w:rFonts w:ascii="Palatino Linotype" w:eastAsia="Palatino Linotype" w:hAnsi="Palatino Linotype" w:cs="Palatino Linotype"/>
        </w:rPr>
        <w:t xml:space="preserve"> que se le hagan a la persona y que no tengan relación con los impuestos o la cuota por seguridad social, así como los </w:t>
      </w:r>
      <w:r w:rsidRPr="00386744">
        <w:rPr>
          <w:rFonts w:ascii="Palatino Linotype" w:eastAsia="Palatino Linotype" w:hAnsi="Palatino Linotype" w:cs="Palatino Linotype"/>
          <w:b/>
        </w:rPr>
        <w:t>Códigos Bidimensionales</w:t>
      </w:r>
      <w:r w:rsidRPr="00386744">
        <w:rPr>
          <w:rFonts w:ascii="Palatino Linotype" w:eastAsia="Palatino Linotype" w:hAnsi="Palatino Linotype" w:cs="Palatino Linotype"/>
        </w:rPr>
        <w:t xml:space="preserve">, también denominados </w:t>
      </w:r>
      <w:r w:rsidRPr="00386744">
        <w:rPr>
          <w:rFonts w:ascii="Palatino Linotype" w:eastAsia="Palatino Linotype" w:hAnsi="Palatino Linotype" w:cs="Palatino Linotype"/>
          <w:b/>
        </w:rPr>
        <w:t>Códigos QR</w:t>
      </w:r>
      <w:r w:rsidRPr="00386744">
        <w:rPr>
          <w:rFonts w:ascii="Palatino Linotype" w:eastAsia="Palatino Linotype" w:hAnsi="Palatino Linotype" w:cs="Palatino Linotype"/>
        </w:rPr>
        <w:t>.</w:t>
      </w:r>
    </w:p>
    <w:p w14:paraId="00DF7CBF" w14:textId="77777777" w:rsidR="002C6ECF" w:rsidRPr="00386744" w:rsidRDefault="002C6ECF" w:rsidP="002C6ECF">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En cuanto al RFC, este constituye un dato personal, ya que para su obtención es necesario acreditar ante la autoridad fiscal previamente la identidad de la persona, su fecha de nacimiento, entre otros aspectos.</w:t>
      </w:r>
    </w:p>
    <w:p w14:paraId="18C157E6" w14:textId="77777777" w:rsidR="002C6ECF" w:rsidRPr="00386744" w:rsidRDefault="002C6ECF" w:rsidP="002C6ECF">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14:paraId="4C55C1FC" w14:textId="77777777" w:rsidR="002C6ECF" w:rsidRPr="00386744" w:rsidRDefault="002C6ECF" w:rsidP="002C6ECF">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Lo anterior es compartido por el Instituto Nacional de Transparencia, Acceso a la Información y Protección de Datos (INAI) a través del Criterio 19/17, el cual es del tenor literal siguiente:</w:t>
      </w:r>
    </w:p>
    <w:p w14:paraId="10FFC511" w14:textId="77777777" w:rsidR="002C6ECF" w:rsidRPr="00386744" w:rsidRDefault="002C6ECF" w:rsidP="002C6ECF">
      <w:pPr>
        <w:spacing w:after="120"/>
        <w:ind w:left="851" w:right="902"/>
        <w:jc w:val="both"/>
        <w:rPr>
          <w:rFonts w:ascii="Arial" w:eastAsia="Arial" w:hAnsi="Arial" w:cs="Arial"/>
        </w:rPr>
      </w:pPr>
      <w:r w:rsidRPr="00386744">
        <w:rPr>
          <w:rFonts w:ascii="Palatino Linotype" w:eastAsia="Palatino Linotype" w:hAnsi="Palatino Linotype" w:cs="Palatino Linotype"/>
          <w:b/>
          <w:i/>
          <w:sz w:val="20"/>
          <w:szCs w:val="20"/>
        </w:rPr>
        <w:t xml:space="preserve">“Registro Federal de Contribuyentes (RFC) de personas físicas. </w:t>
      </w:r>
      <w:r w:rsidRPr="00386744">
        <w:rPr>
          <w:rFonts w:ascii="Palatino Linotype" w:eastAsia="Palatino Linotype" w:hAnsi="Palatino Linotype" w:cs="Palatino Linotype"/>
          <w:i/>
          <w:sz w:val="20"/>
          <w:szCs w:val="20"/>
        </w:rPr>
        <w:t>El RFC es una clave de carácter fiscal, única e irrepetible, que permite identificar al titular, su edad y fecha de nacimiento, por lo que es un dato personal de carácter confidencial.” (Sic)</w:t>
      </w:r>
    </w:p>
    <w:p w14:paraId="3F37D72C" w14:textId="77777777" w:rsidR="002C6ECF" w:rsidRPr="00386744" w:rsidRDefault="002C6ECF" w:rsidP="002C6ECF">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Así, el RFC se vincula al nombre de su titular y permite identificar la edad de la persona, su fecha de nacimiento, así como su homoclave, la cual es única e irrepetible </w:t>
      </w:r>
      <w:r w:rsidRPr="00386744">
        <w:rPr>
          <w:rFonts w:ascii="Palatino Linotype" w:eastAsia="Palatino Linotype" w:hAnsi="Palatino Linotype" w:cs="Palatino Linotype"/>
        </w:rPr>
        <w:lastRenderedPageBreak/>
        <w:t>y determina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14:paraId="5C467D16" w14:textId="77777777" w:rsidR="002C6ECF" w:rsidRPr="00386744" w:rsidRDefault="002C6ECF" w:rsidP="002C6ECF">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En cuanto al CURP, en virtud de que éste se 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14:paraId="1739A77C" w14:textId="77777777" w:rsidR="002C6ECF" w:rsidRPr="00386744" w:rsidRDefault="002C6ECF" w:rsidP="002C6ECF">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Argumento que es compartido por el Instituto Nacional de Transparencia, Acceso a la Información y Protección de Datos (INAI)</w:t>
      </w:r>
      <w:r w:rsidRPr="00386744">
        <w:rPr>
          <w:rFonts w:ascii="Palatino Linotype" w:eastAsia="Palatino Linotype" w:hAnsi="Palatino Linotype" w:cs="Palatino Linotype"/>
          <w:b/>
        </w:rPr>
        <w:t xml:space="preserve">, conforme al </w:t>
      </w:r>
      <w:r w:rsidRPr="00386744">
        <w:rPr>
          <w:rFonts w:ascii="Palatino Linotype" w:eastAsia="Palatino Linotype" w:hAnsi="Palatino Linotype" w:cs="Palatino Linotype"/>
        </w:rPr>
        <w:t xml:space="preserve">criterio número 18/17, el cual refiere: </w:t>
      </w:r>
    </w:p>
    <w:p w14:paraId="19DB0881" w14:textId="77777777" w:rsidR="002C6ECF" w:rsidRPr="00386744" w:rsidRDefault="002C6ECF" w:rsidP="002C6ECF">
      <w:pPr>
        <w:pBdr>
          <w:top w:val="nil"/>
          <w:left w:val="nil"/>
          <w:bottom w:val="nil"/>
          <w:right w:val="nil"/>
          <w:between w:val="nil"/>
        </w:pBdr>
        <w:spacing w:after="120"/>
        <w:ind w:left="851" w:right="902"/>
        <w:jc w:val="both"/>
        <w:rPr>
          <w:rFonts w:ascii="Arial" w:eastAsia="Arial" w:hAnsi="Arial" w:cs="Arial"/>
          <w:b/>
        </w:rPr>
      </w:pPr>
      <w:r w:rsidRPr="00386744">
        <w:rPr>
          <w:rFonts w:ascii="Palatino Linotype" w:eastAsia="Palatino Linotype" w:hAnsi="Palatino Linotype" w:cs="Palatino Linotype"/>
          <w:b/>
          <w:i/>
          <w:sz w:val="20"/>
          <w:szCs w:val="20"/>
        </w:rPr>
        <w:t xml:space="preserve">“Clave Única de Registro de Población (CURP). </w:t>
      </w:r>
      <w:r w:rsidRPr="00386744">
        <w:rPr>
          <w:rFonts w:ascii="Palatino Linotype" w:eastAsia="Palatino Linotype" w:hAnsi="Palatino Linotype" w:cs="Palatino Linotype"/>
          <w:i/>
          <w:sz w:val="20"/>
          <w:szCs w:val="20"/>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(Sic)</w:t>
      </w:r>
    </w:p>
    <w:p w14:paraId="02E20925" w14:textId="77777777" w:rsidR="002C6ECF" w:rsidRPr="00386744" w:rsidRDefault="002C6ECF" w:rsidP="002C6ECF">
      <w:pP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Por otra parte y respecto a la clave de seguridad social y en su caso clave o número del servidor público –trabajador-, en virtud de que su divulgación no aporta a la transparencia o a la rendición de cuentas y sí provoca una transgresión a la vida privada e intimidad de la persona, esta información también resulta ser de carácter confidencial; siendo aplicable como orientador el criterio número 15/10 emitido por el entonces Instituto Federal de Transparencia y Acceso a la Información (INAI, cuyo texto y sentido literal es el siguiente:</w:t>
      </w:r>
    </w:p>
    <w:p w14:paraId="34858079" w14:textId="77777777" w:rsidR="002C6ECF" w:rsidRPr="00386744" w:rsidRDefault="002C6ECF" w:rsidP="002C6ECF">
      <w:pPr>
        <w:spacing w:before="240" w:after="240"/>
        <w:ind w:left="567"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lastRenderedPageBreak/>
        <w:t>“El número de ficha de identificación única de los trabajadores es información de carácter confidencial.</w:t>
      </w:r>
      <w:r w:rsidRPr="00386744">
        <w:rPr>
          <w:rFonts w:ascii="Palatino Linotype" w:eastAsia="Palatino Linotype" w:hAnsi="Palatino Linotype" w:cs="Palatino Linotype"/>
          <w:i/>
          <w:sz w:val="22"/>
          <w:szCs w:val="22"/>
        </w:rPr>
        <w:t xml:space="preserve"> </w:t>
      </w:r>
      <w:r w:rsidRPr="00386744">
        <w:rPr>
          <w:rFonts w:ascii="Palatino Linotype" w:eastAsia="Palatino Linotype" w:hAnsi="Palatino Linotype" w:cs="Palatino Linotype"/>
          <w:i/>
          <w:sz w:val="22"/>
          <w:szCs w:val="22"/>
          <w:u w:val="single"/>
        </w:rPr>
        <w:t>En los casos en que el número de trabajador o ficha de identificación única constituya un elemento por medio del cual los trabajadores puedan acceder a un sistema de datos o información de la dependencia o entidad, para hacer uso de diversos servicios, como la presentación de consultas relacionadas con su situación laboral particular</w:t>
      </w:r>
      <w:r w:rsidRPr="00386744">
        <w:rPr>
          <w:rFonts w:ascii="Palatino Linotype" w:eastAsia="Palatino Linotype" w:hAnsi="Palatino Linotype" w:cs="Palatino Linotype"/>
          <w:i/>
          <w:sz w:val="22"/>
          <w:szCs w:val="22"/>
        </w:rPr>
        <w:t xml:space="preserve">, </w:t>
      </w:r>
      <w:r w:rsidRPr="00386744">
        <w:rPr>
          <w:rFonts w:ascii="Palatino Linotype" w:eastAsia="Palatino Linotype" w:hAnsi="Palatino Linotype" w:cs="Palatino Linotype"/>
          <w:i/>
          <w:sz w:val="22"/>
          <w:szCs w:val="22"/>
          <w:u w:val="single"/>
        </w:rPr>
        <w:t>dicha información es susceptible de clasificarse con el carácter de confidencial</w:t>
      </w:r>
      <w:r w:rsidRPr="00386744">
        <w:rPr>
          <w:rFonts w:ascii="Palatino Linotype" w:eastAsia="Palatino Linotype" w:hAnsi="Palatino Linotype" w:cs="Palatino Linotype"/>
          <w:i/>
          <w:sz w:val="22"/>
          <w:szCs w:val="22"/>
        </w:rPr>
        <w:t>, en términos de lo establecido en el artículo 18, fracción II de la Ley Federal de Transparencia y Acceso a la Información Pública Gubernamental, en virtud de que a través de la misma es posible conocer información personal de su titular.” (Sic)</w:t>
      </w:r>
    </w:p>
    <w:p w14:paraId="009E6600" w14:textId="77777777"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Respecto de los </w:t>
      </w:r>
      <w:r w:rsidRPr="00386744">
        <w:rPr>
          <w:rFonts w:ascii="Palatino Linotype" w:eastAsia="Palatino Linotype" w:hAnsi="Palatino Linotype" w:cs="Palatino Linotype"/>
          <w:b/>
        </w:rPr>
        <w:t>préstamos o descuentos</w:t>
      </w:r>
      <w:r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b/>
        </w:rPr>
        <w:t>de carácter personal</w:t>
      </w:r>
      <w:r w:rsidRPr="00386744">
        <w:rPr>
          <w:rFonts w:ascii="Palatino Linotype" w:eastAsia="Palatino Linotype" w:hAnsi="Palatino Linotype" w:cs="Palatino Linotype"/>
        </w:rPr>
        <w:t>, éstos no deben tener relación con la prestación del servicio; es decir, son confidenciales los préstamos o descuentos que se le hagan a la persona en los que no se involucren instituciones públicas, en virtud de no favorecer en la transparencia y rendición de cuentas, sino, por el contrario, con ello se violentaría la protección de información confidencial, porque incide en la intimidad de un individuo identificado.</w:t>
      </w:r>
    </w:p>
    <w:p w14:paraId="57BBAF6B" w14:textId="77777777" w:rsidR="002C6ECF" w:rsidRPr="00386744" w:rsidRDefault="002C6ECF" w:rsidP="002C6ECF">
      <w:pPr>
        <w:pBdr>
          <w:top w:val="nil"/>
          <w:left w:val="nil"/>
          <w:bottom w:val="nil"/>
          <w:right w:val="nil"/>
          <w:between w:val="nil"/>
        </w:pBdr>
        <w:spacing w:before="240" w:after="240" w:line="360" w:lineRule="auto"/>
        <w:jc w:val="both"/>
        <w:rPr>
          <w:rFonts w:ascii="Palatino Linotype" w:eastAsia="Palatino Linotype" w:hAnsi="Palatino Linotype" w:cs="Palatino Linotype"/>
          <w:sz w:val="22"/>
          <w:szCs w:val="22"/>
        </w:rPr>
      </w:pPr>
      <w:r w:rsidRPr="00386744">
        <w:rPr>
          <w:rFonts w:ascii="Palatino Linotype" w:eastAsia="Palatino Linotype" w:hAnsi="Palatino Linotype" w:cs="Palatino Linotype"/>
          <w:sz w:val="22"/>
          <w:szCs w:val="22"/>
        </w:rPr>
        <w:t>Por cuanto hace a las deducciones, para entender los límites y alcances de esta restricción, es oportuno recurrir al artículo 84 de la Ley del Trabajo de los Servidores Públicos del Estado y Municipios:</w:t>
      </w:r>
    </w:p>
    <w:p w14:paraId="56457629" w14:textId="77777777" w:rsidR="002C6ECF" w:rsidRPr="00386744" w:rsidRDefault="002C6ECF" w:rsidP="002C6ECF">
      <w:pPr>
        <w:ind w:left="851" w:right="851"/>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 xml:space="preserve">“ARTÍCULO 84. </w:t>
      </w:r>
      <w:r w:rsidRPr="00386744">
        <w:rPr>
          <w:rFonts w:ascii="Palatino Linotype" w:eastAsia="Palatino Linotype" w:hAnsi="Palatino Linotype" w:cs="Palatino Linotype"/>
          <w:i/>
          <w:sz w:val="22"/>
          <w:szCs w:val="22"/>
        </w:rPr>
        <w:t>Sólo podrán hacerse retenciones, descuentos o deducciones al sueldo de los servidores públicos por concepto de:</w:t>
      </w:r>
    </w:p>
    <w:p w14:paraId="41D2E37A" w14:textId="77777777" w:rsidR="002C6ECF" w:rsidRPr="00386744" w:rsidRDefault="002C6ECF" w:rsidP="002C6ECF">
      <w:pPr>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I. Gravámenes fiscales relacionados con el sueldo;</w:t>
      </w:r>
    </w:p>
    <w:p w14:paraId="526D9E54" w14:textId="77777777" w:rsidR="002C6ECF" w:rsidRPr="00386744" w:rsidRDefault="002C6ECF" w:rsidP="002C6ECF">
      <w:pPr>
        <w:ind w:left="851" w:right="851"/>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II. Deudas contraídas con las instituciones públicas o dependencias por concepto de anticipos de sueldo, pagos hechos con exceso, errores o pérdidas debidamente comprobados;</w:t>
      </w:r>
    </w:p>
    <w:p w14:paraId="525FE2A4" w14:textId="77777777" w:rsidR="002C6ECF" w:rsidRPr="00386744" w:rsidRDefault="002C6ECF" w:rsidP="002C6ECF">
      <w:pPr>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III. Cuotas sindicales;</w:t>
      </w:r>
    </w:p>
    <w:p w14:paraId="43869D85" w14:textId="77777777" w:rsidR="002C6ECF" w:rsidRPr="00386744" w:rsidRDefault="002C6ECF" w:rsidP="002C6ECF">
      <w:pPr>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IV. Cuotas de aportación a fondos para la constitución de cooperativas y de cajas de ahorro, siempre que el servidor público hubiese manifestado previamente, de manera expresa, su conformidad;</w:t>
      </w:r>
    </w:p>
    <w:p w14:paraId="1E55DF65" w14:textId="77777777" w:rsidR="002C6ECF" w:rsidRPr="00386744" w:rsidRDefault="002C6ECF" w:rsidP="002C6ECF">
      <w:pPr>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V. Descuentos ordenados por el Instituto de Seguridad Social del Estado de México y Municipios, con motivo de cuotas y obligaciones contraídas con éste por los servidores públicos;</w:t>
      </w:r>
    </w:p>
    <w:p w14:paraId="5F67E4A1" w14:textId="77777777" w:rsidR="002C6ECF" w:rsidRPr="00386744" w:rsidRDefault="002C6ECF" w:rsidP="002C6ECF">
      <w:pPr>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lastRenderedPageBreak/>
        <w:t>VI. Obligaciones a cargo del servidor público con las que haya consentido, derivadas de la adquisición o del uso de habitaciones consideradas como de interés social;</w:t>
      </w:r>
    </w:p>
    <w:p w14:paraId="2FBAE482" w14:textId="77777777" w:rsidR="002C6ECF" w:rsidRPr="00386744" w:rsidRDefault="002C6ECF" w:rsidP="002C6ECF">
      <w:pPr>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VII. Faltas de puntualidad o de asistencia injustificadas;</w:t>
      </w:r>
    </w:p>
    <w:p w14:paraId="2FDD17E9" w14:textId="77777777" w:rsidR="002C6ECF" w:rsidRPr="00386744" w:rsidRDefault="002C6ECF" w:rsidP="002C6ECF">
      <w:pPr>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VIII. Pensiones alimenticias ordenadas por la autoridad judicial;</w:t>
      </w:r>
      <w:r w:rsidRPr="00386744">
        <w:rPr>
          <w:rFonts w:ascii="Palatino Linotype" w:eastAsia="Palatino Linotype" w:hAnsi="Palatino Linotype" w:cs="Palatino Linotype"/>
          <w:i/>
          <w:sz w:val="22"/>
          <w:szCs w:val="22"/>
        </w:rPr>
        <w:t xml:space="preserve"> o</w:t>
      </w:r>
    </w:p>
    <w:p w14:paraId="4FEB0076" w14:textId="77777777" w:rsidR="002C6ECF" w:rsidRPr="00386744" w:rsidRDefault="002C6ECF" w:rsidP="002C6ECF">
      <w:pPr>
        <w:ind w:left="851" w:right="851"/>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IX. Cualquier otro convenido con instituciones de servicios y aceptado por el servidor público.</w:t>
      </w:r>
    </w:p>
    <w:p w14:paraId="057D9F43" w14:textId="77777777" w:rsidR="002C6ECF" w:rsidRPr="00386744" w:rsidRDefault="002C6ECF" w:rsidP="002C6ECF">
      <w:pPr>
        <w:spacing w:after="120"/>
        <w:ind w:left="851" w:right="85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por la autoridad judicial.” (Sic)</w:t>
      </w:r>
    </w:p>
    <w:p w14:paraId="3F539280" w14:textId="77777777" w:rsidR="002C6ECF" w:rsidRPr="00386744" w:rsidRDefault="002C6ECF" w:rsidP="002C6ECF">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Como se puede observar, la Ley del Trabajo de mérito establece claramente cuáles son esos descuentos o gravámenes que directamente se relacionan con las obligaciones adquiridas como servidores públicos y aquéllos que únicamente inciden en su vida privada. De este modo, descuentos por pensiones alimenticias o créditos adquiridos con instituciones privadas que no se relacionen con el gasto público, son información que debe clasificarse como confidencial.</w:t>
      </w:r>
    </w:p>
    <w:p w14:paraId="04280515" w14:textId="77777777" w:rsidR="002C6ECF" w:rsidRPr="00386744" w:rsidRDefault="002C6ECF" w:rsidP="002C6ECF">
      <w:pPr>
        <w:pBdr>
          <w:top w:val="nil"/>
          <w:left w:val="nil"/>
          <w:bottom w:val="nil"/>
          <w:right w:val="nil"/>
          <w:between w:val="nil"/>
        </w:pBd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En conclusión, los préstamos o descuentos de carácter personal, en virtud de no tener relación con la prestación del servicio y al no involucrar instituciones públicas, se consideran datos confidenciales.</w:t>
      </w:r>
    </w:p>
    <w:p w14:paraId="7199D5D0" w14:textId="77777777" w:rsidR="009D75FF" w:rsidRPr="00386744" w:rsidRDefault="009D75FF" w:rsidP="009D75FF">
      <w:pPr>
        <w:spacing w:before="240" w:after="240" w:line="360" w:lineRule="auto"/>
        <w:jc w:val="both"/>
        <w:rPr>
          <w:rFonts w:ascii="Palatino Linotype" w:hAnsi="Palatino Linotype" w:cs="Arial"/>
        </w:rPr>
      </w:pPr>
      <w:r w:rsidRPr="00386744">
        <w:rPr>
          <w:rFonts w:ascii="Palatino Linotype" w:hAnsi="Palatino Linotype" w:cs="Arial"/>
        </w:rPr>
        <w:t xml:space="preserve">Los </w:t>
      </w:r>
      <w:r w:rsidRPr="00386744">
        <w:rPr>
          <w:rFonts w:ascii="Palatino Linotype" w:hAnsi="Palatino Linotype" w:cs="Arial"/>
          <w:b/>
        </w:rPr>
        <w:t>códigos bidimensionales</w:t>
      </w:r>
      <w:r w:rsidRPr="00386744">
        <w:rPr>
          <w:rFonts w:ascii="Palatino Linotype" w:hAnsi="Palatino Linotype" w:cs="Arial"/>
        </w:rPr>
        <w:t xml:space="preserve"> o </w:t>
      </w:r>
      <w:r w:rsidRPr="00386744">
        <w:rPr>
          <w:rFonts w:ascii="Palatino Linotype" w:hAnsi="Palatino Linotype" w:cs="Arial"/>
          <w:b/>
        </w:rPr>
        <w:t xml:space="preserve">códigos QR, </w:t>
      </w:r>
      <w:r w:rsidRPr="00386744">
        <w:rPr>
          <w:rFonts w:ascii="Palatino Linotype" w:hAnsi="Palatino Linotype" w:cs="Arial"/>
        </w:rPr>
        <w:t xml:space="preserve">al corresponder a barras en dos dimensiones que al igual que los códigos de barras o códigos unidimensionales, son utilizados para almacenar diversos tipos de datos de manera codificada, los cuales a través de lectores que pueden ser obtenidos por cualquier persona, pueden contener datos personales, no susceptibles de conocimiento público, por lo que, si el </w:t>
      </w:r>
      <w:r w:rsidRPr="00386744">
        <w:rPr>
          <w:rFonts w:ascii="Palatino Linotype" w:hAnsi="Palatino Linotype" w:cs="Arial"/>
          <w:b/>
        </w:rPr>
        <w:t>Sujeto Obligado</w:t>
      </w:r>
      <w:r w:rsidRPr="00386744">
        <w:rPr>
          <w:rFonts w:ascii="Palatino Linotype" w:hAnsi="Palatino Linotype" w:cs="Arial"/>
        </w:rPr>
        <w:t xml:space="preserve"> advierte que en el presente caso se pueden obtener datos como el </w:t>
      </w:r>
      <w:r w:rsidRPr="00386744">
        <w:rPr>
          <w:rFonts w:ascii="Palatino Linotype" w:hAnsi="Palatino Linotype" w:cs="Arial"/>
          <w:lang w:eastAsia="es-MX"/>
        </w:rPr>
        <w:lastRenderedPageBreak/>
        <w:t>Registro Federal de Contribuyentes, la Clave Única del Registro de Población, entre otros que pudieran hacer identificable a una persona, deberá clasificarlo como confidencial.</w:t>
      </w:r>
    </w:p>
    <w:p w14:paraId="2D97606A" w14:textId="77777777" w:rsidR="002C6ECF" w:rsidRPr="00386744" w:rsidRDefault="002C6ECF" w:rsidP="002C6ECF">
      <w:pPr>
        <w:spacing w:line="360" w:lineRule="auto"/>
        <w:ind w:right="50"/>
        <w:jc w:val="both"/>
        <w:rPr>
          <w:rFonts w:ascii="Palatino Linotype" w:eastAsia="Palatino Linotype" w:hAnsi="Palatino Linotype" w:cs="Palatino Linotype"/>
        </w:rPr>
      </w:pPr>
      <w:r w:rsidRPr="00386744">
        <w:rPr>
          <w:rFonts w:ascii="Palatino Linotype" w:eastAsia="Palatino Linotype" w:hAnsi="Palatino Linotype" w:cs="Palatino Linotype"/>
        </w:rPr>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14:paraId="235A911C" w14:textId="77777777" w:rsidR="002C6ECF" w:rsidRPr="00386744" w:rsidRDefault="002C6ECF" w:rsidP="002C6ECF">
      <w:pPr>
        <w:spacing w:line="360" w:lineRule="auto"/>
        <w:ind w:right="50"/>
        <w:jc w:val="both"/>
        <w:rPr>
          <w:rFonts w:ascii="Palatino Linotype" w:eastAsia="Palatino Linotype" w:hAnsi="Palatino Linotype" w:cs="Palatino Linotype"/>
        </w:rPr>
      </w:pPr>
    </w:p>
    <w:p w14:paraId="647DA767" w14:textId="77777777" w:rsidR="002C6ECF" w:rsidRPr="00386744" w:rsidRDefault="002C6ECF" w:rsidP="002C6ECF">
      <w:pPr>
        <w:spacing w:line="360" w:lineRule="auto"/>
        <w:ind w:right="51"/>
        <w:jc w:val="both"/>
        <w:rPr>
          <w:rFonts w:ascii="Palatino Linotype" w:eastAsia="Palatino Linotype" w:hAnsi="Palatino Linotype" w:cs="Palatino Linotype"/>
        </w:rPr>
      </w:pPr>
      <w:r w:rsidRPr="00386744">
        <w:rPr>
          <w:rFonts w:ascii="Palatino Linotype" w:eastAsia="Palatino Linotype" w:hAnsi="Palatino Linotype" w:cs="Palatino Linotype"/>
        </w:rPr>
        <w:t>En ese contexto, la clasificación de la información no opera con la simple supresión de datos que se haga en los documentos de que se trate o con la simple decisión que tome el Servidor Público Habilitado o el Responsable de la Unidad de Transparencia del Sujeto Obligado, sino que ello deberá realizarse en términos de lo que disponen los artículos 49 fracción VIII, 53, fracción X y 59, fracción V, de la Ley en consulta, cuyo sentido literal es el siguiente:</w:t>
      </w:r>
    </w:p>
    <w:p w14:paraId="438BF827" w14:textId="77777777" w:rsidR="002C6ECF" w:rsidRPr="00386744" w:rsidRDefault="002C6ECF" w:rsidP="002C6ECF">
      <w:pPr>
        <w:spacing w:line="360" w:lineRule="auto"/>
        <w:ind w:right="51"/>
        <w:jc w:val="both"/>
        <w:rPr>
          <w:rFonts w:ascii="Palatino Linotype" w:eastAsia="Palatino Linotype" w:hAnsi="Palatino Linotype" w:cs="Palatino Linotype"/>
        </w:rPr>
      </w:pPr>
    </w:p>
    <w:p w14:paraId="6BBBD2EC" w14:textId="77777777" w:rsidR="002C6ECF" w:rsidRPr="00386744" w:rsidRDefault="002C6ECF" w:rsidP="009D75FF">
      <w:pPr>
        <w:ind w:left="851"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“Artículo 49.</w:t>
      </w:r>
      <w:r w:rsidRPr="00386744">
        <w:rPr>
          <w:rFonts w:ascii="Palatino Linotype" w:eastAsia="Palatino Linotype" w:hAnsi="Palatino Linotype" w:cs="Palatino Linotype"/>
          <w:i/>
          <w:sz w:val="22"/>
          <w:szCs w:val="22"/>
        </w:rPr>
        <w:t xml:space="preserve"> </w:t>
      </w:r>
      <w:r w:rsidRPr="00386744">
        <w:rPr>
          <w:rFonts w:ascii="Palatino Linotype" w:eastAsia="Palatino Linotype" w:hAnsi="Palatino Linotype" w:cs="Palatino Linotype"/>
          <w:b/>
          <w:i/>
          <w:sz w:val="22"/>
          <w:szCs w:val="22"/>
        </w:rPr>
        <w:t>Los Comités de Transparencia</w:t>
      </w:r>
      <w:r w:rsidRPr="00386744">
        <w:rPr>
          <w:rFonts w:ascii="Palatino Linotype" w:eastAsia="Palatino Linotype" w:hAnsi="Palatino Linotype" w:cs="Palatino Linotype"/>
          <w:i/>
          <w:sz w:val="22"/>
          <w:szCs w:val="22"/>
        </w:rPr>
        <w:t xml:space="preserve"> tendrán las siguientes atribuciones:</w:t>
      </w:r>
    </w:p>
    <w:p w14:paraId="1F979103" w14:textId="77777777" w:rsidR="002C6ECF" w:rsidRPr="00386744" w:rsidRDefault="002C6ECF" w:rsidP="009D75FF">
      <w:pPr>
        <w:ind w:left="1134"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VIII. Aprobar, modificar o revocar la clasificación de la información</w:t>
      </w:r>
      <w:r w:rsidRPr="00386744">
        <w:rPr>
          <w:rFonts w:ascii="Palatino Linotype" w:eastAsia="Palatino Linotype" w:hAnsi="Palatino Linotype" w:cs="Palatino Linotype"/>
          <w:i/>
          <w:sz w:val="22"/>
          <w:szCs w:val="22"/>
        </w:rPr>
        <w:t>…”</w:t>
      </w:r>
    </w:p>
    <w:p w14:paraId="14A2DB83" w14:textId="77777777" w:rsidR="002C6ECF" w:rsidRPr="00386744" w:rsidRDefault="002C6ECF" w:rsidP="009D75FF">
      <w:pPr>
        <w:ind w:left="1134"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r w:rsidRPr="00386744">
        <w:rPr>
          <w:rFonts w:ascii="Palatino Linotype" w:eastAsia="Palatino Linotype" w:hAnsi="Palatino Linotype" w:cs="Palatino Linotype"/>
          <w:b/>
          <w:i/>
          <w:sz w:val="22"/>
          <w:szCs w:val="22"/>
        </w:rPr>
        <w:t>Artículo 53.</w:t>
      </w:r>
      <w:r w:rsidRPr="00386744">
        <w:rPr>
          <w:rFonts w:ascii="Palatino Linotype" w:eastAsia="Palatino Linotype" w:hAnsi="Palatino Linotype" w:cs="Palatino Linotype"/>
          <w:i/>
          <w:sz w:val="22"/>
          <w:szCs w:val="22"/>
        </w:rPr>
        <w:t xml:space="preserve"> Las </w:t>
      </w:r>
      <w:r w:rsidRPr="00386744">
        <w:rPr>
          <w:rFonts w:ascii="Palatino Linotype" w:eastAsia="Palatino Linotype" w:hAnsi="Palatino Linotype" w:cs="Palatino Linotype"/>
          <w:b/>
          <w:i/>
          <w:sz w:val="22"/>
          <w:szCs w:val="22"/>
        </w:rPr>
        <w:t>Unidades de Transparencia</w:t>
      </w:r>
      <w:r w:rsidRPr="00386744">
        <w:rPr>
          <w:rFonts w:ascii="Palatino Linotype" w:eastAsia="Palatino Linotype" w:hAnsi="Palatino Linotype" w:cs="Palatino Linotype"/>
          <w:i/>
          <w:sz w:val="22"/>
          <w:szCs w:val="22"/>
        </w:rPr>
        <w:t xml:space="preserve"> tendrán las siguientes </w:t>
      </w:r>
      <w:r w:rsidRPr="00386744">
        <w:rPr>
          <w:rFonts w:ascii="Palatino Linotype" w:eastAsia="Palatino Linotype" w:hAnsi="Palatino Linotype" w:cs="Palatino Linotype"/>
          <w:b/>
          <w:i/>
          <w:sz w:val="22"/>
          <w:szCs w:val="22"/>
        </w:rPr>
        <w:t>funciones</w:t>
      </w:r>
      <w:r w:rsidRPr="00386744">
        <w:rPr>
          <w:rFonts w:ascii="Palatino Linotype" w:eastAsia="Palatino Linotype" w:hAnsi="Palatino Linotype" w:cs="Palatino Linotype"/>
          <w:i/>
          <w:sz w:val="22"/>
          <w:szCs w:val="22"/>
        </w:rPr>
        <w:t>:</w:t>
      </w:r>
    </w:p>
    <w:p w14:paraId="46CBE5A4" w14:textId="77777777" w:rsidR="002C6ECF" w:rsidRPr="00386744" w:rsidRDefault="002C6ECF" w:rsidP="009D75FF">
      <w:pPr>
        <w:ind w:left="1134"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X. Presentar ante el Comité, el proyecto de clasificación de información</w:t>
      </w:r>
      <w:r w:rsidRPr="00386744">
        <w:rPr>
          <w:rFonts w:ascii="Palatino Linotype" w:eastAsia="Palatino Linotype" w:hAnsi="Palatino Linotype" w:cs="Palatino Linotype"/>
          <w:i/>
          <w:sz w:val="22"/>
          <w:szCs w:val="22"/>
        </w:rPr>
        <w:t xml:space="preserve">…” </w:t>
      </w:r>
    </w:p>
    <w:p w14:paraId="17358F22" w14:textId="77777777" w:rsidR="002C6ECF" w:rsidRPr="00386744" w:rsidRDefault="002C6ECF" w:rsidP="009D75FF">
      <w:pPr>
        <w:ind w:left="851"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“Artículo 59.</w:t>
      </w:r>
      <w:r w:rsidRPr="00386744">
        <w:rPr>
          <w:rFonts w:ascii="Palatino Linotype" w:eastAsia="Palatino Linotype" w:hAnsi="Palatino Linotype" w:cs="Palatino Linotype"/>
          <w:i/>
          <w:sz w:val="22"/>
          <w:szCs w:val="22"/>
        </w:rPr>
        <w:t xml:space="preserve"> Los </w:t>
      </w:r>
      <w:r w:rsidRPr="00386744">
        <w:rPr>
          <w:rFonts w:ascii="Palatino Linotype" w:eastAsia="Palatino Linotype" w:hAnsi="Palatino Linotype" w:cs="Palatino Linotype"/>
          <w:b/>
          <w:i/>
          <w:sz w:val="22"/>
          <w:szCs w:val="22"/>
        </w:rPr>
        <w:t>servidores públicos habilitados</w:t>
      </w:r>
      <w:r w:rsidRPr="00386744">
        <w:rPr>
          <w:rFonts w:ascii="Palatino Linotype" w:eastAsia="Palatino Linotype" w:hAnsi="Palatino Linotype" w:cs="Palatino Linotype"/>
          <w:i/>
          <w:sz w:val="22"/>
          <w:szCs w:val="22"/>
        </w:rPr>
        <w:t xml:space="preserve"> tendrán las </w:t>
      </w:r>
      <w:r w:rsidRPr="00386744">
        <w:rPr>
          <w:rFonts w:ascii="Palatino Linotype" w:eastAsia="Palatino Linotype" w:hAnsi="Palatino Linotype" w:cs="Palatino Linotype"/>
          <w:b/>
          <w:i/>
          <w:sz w:val="22"/>
          <w:szCs w:val="22"/>
        </w:rPr>
        <w:t>funciones</w:t>
      </w:r>
      <w:r w:rsidRPr="00386744">
        <w:rPr>
          <w:rFonts w:ascii="Palatino Linotype" w:eastAsia="Palatino Linotype" w:hAnsi="Palatino Linotype" w:cs="Palatino Linotype"/>
          <w:i/>
          <w:sz w:val="22"/>
          <w:szCs w:val="22"/>
        </w:rPr>
        <w:t xml:space="preserve"> siguientes:</w:t>
      </w:r>
    </w:p>
    <w:p w14:paraId="7CC0DAEC" w14:textId="77777777" w:rsidR="002C6ECF" w:rsidRPr="00386744" w:rsidRDefault="002C6ECF" w:rsidP="009D75FF">
      <w:pPr>
        <w:ind w:left="1134" w:right="900"/>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386744">
        <w:rPr>
          <w:rFonts w:ascii="Palatino Linotype" w:eastAsia="Palatino Linotype" w:hAnsi="Palatino Linotype" w:cs="Palatino Linotype"/>
          <w:i/>
          <w:sz w:val="22"/>
          <w:szCs w:val="22"/>
        </w:rPr>
        <w:t>, la cual tendrá los fundamentos y argumentos en que se basa dicha propuesta…”(Sic)</w:t>
      </w:r>
    </w:p>
    <w:p w14:paraId="0D9B8C32" w14:textId="77777777" w:rsidR="002C6ECF" w:rsidRPr="00386744" w:rsidRDefault="002C6ECF" w:rsidP="002C6ECF">
      <w:pPr>
        <w:ind w:left="992" w:right="1043"/>
        <w:jc w:val="both"/>
        <w:rPr>
          <w:rFonts w:ascii="Palatino Linotype" w:eastAsia="Palatino Linotype" w:hAnsi="Palatino Linotype" w:cs="Palatino Linotype"/>
          <w:i/>
          <w:sz w:val="22"/>
          <w:szCs w:val="22"/>
        </w:rPr>
      </w:pPr>
    </w:p>
    <w:p w14:paraId="235E0267" w14:textId="6AB2DE98"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lastRenderedPageBreak/>
        <w:t xml:space="preserve">Denotándose de dichos elementos normativos que el determinar la clasificación de la información es un trabajo en conjunto tanto de los Servidores Públicos Habilitados, de las Unidades de Transparencia y del Comité de Transparencia del </w:t>
      </w:r>
      <w:r w:rsidR="009D75FF"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688EF1A6" w14:textId="77777777" w:rsidR="002C6ECF" w:rsidRPr="00386744" w:rsidRDefault="002C6ECF" w:rsidP="002C6ECF">
      <w:pPr>
        <w:spacing w:line="360" w:lineRule="auto"/>
        <w:jc w:val="both"/>
        <w:rPr>
          <w:rFonts w:ascii="Palatino Linotype" w:eastAsia="Palatino Linotype" w:hAnsi="Palatino Linotype" w:cs="Palatino Linotype"/>
        </w:rPr>
      </w:pPr>
    </w:p>
    <w:p w14:paraId="4ED94B0A" w14:textId="77777777"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14:paraId="0120A164" w14:textId="77777777" w:rsidR="002C6ECF" w:rsidRPr="00386744" w:rsidRDefault="002C6ECF" w:rsidP="002C6ECF">
      <w:pPr>
        <w:spacing w:line="360" w:lineRule="auto"/>
        <w:jc w:val="both"/>
        <w:rPr>
          <w:rFonts w:ascii="Palatino Linotype" w:eastAsia="Palatino Linotype" w:hAnsi="Palatino Linotype" w:cs="Palatino Linotype"/>
        </w:rPr>
      </w:pPr>
    </w:p>
    <w:p w14:paraId="5BDC3C3D" w14:textId="77777777" w:rsidR="002C6ECF" w:rsidRPr="00386744" w:rsidRDefault="002C6ECF" w:rsidP="002C6ECF">
      <w:pPr>
        <w:spacing w:after="240"/>
        <w:ind w:left="993" w:right="1041"/>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r w:rsidRPr="00386744">
        <w:rPr>
          <w:rFonts w:ascii="Palatino Linotype" w:eastAsia="Palatino Linotype" w:hAnsi="Palatino Linotype" w:cs="Palatino Linotype"/>
          <w:b/>
          <w:i/>
          <w:sz w:val="22"/>
          <w:szCs w:val="22"/>
        </w:rPr>
        <w:t>Artículo 149.</w:t>
      </w:r>
      <w:r w:rsidRPr="00386744">
        <w:rPr>
          <w:rFonts w:ascii="Palatino Linotype" w:eastAsia="Palatino Linotype" w:hAnsi="Palatino Linotype" w:cs="Palatino Linotype"/>
          <w:i/>
          <w:sz w:val="22"/>
          <w:szCs w:val="22"/>
        </w:rPr>
        <w:t xml:space="preserve"> El </w:t>
      </w:r>
      <w:r w:rsidRPr="00386744">
        <w:rPr>
          <w:rFonts w:ascii="Palatino Linotype" w:eastAsia="Palatino Linotype" w:hAnsi="Palatino Linotype" w:cs="Palatino Linotype"/>
          <w:b/>
          <w:i/>
          <w:sz w:val="22"/>
          <w:szCs w:val="22"/>
        </w:rPr>
        <w:t>acuerdo que clasifique la información como confidencial</w:t>
      </w:r>
      <w:r w:rsidRPr="00386744">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 (Sic)</w:t>
      </w:r>
    </w:p>
    <w:p w14:paraId="3323118F" w14:textId="3D499970" w:rsidR="002C6ECF" w:rsidRPr="00386744" w:rsidRDefault="002C6ECF" w:rsidP="002C6ECF">
      <w:pPr>
        <w:spacing w:line="360" w:lineRule="auto"/>
        <w:ind w:right="51"/>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Es decir, el </w:t>
      </w:r>
      <w:r w:rsidR="009D75FF" w:rsidRPr="00386744">
        <w:rPr>
          <w:rFonts w:ascii="Palatino Linotype" w:eastAsia="Palatino Linotype" w:hAnsi="Palatino Linotype" w:cs="Palatino Linotype"/>
          <w:b/>
        </w:rPr>
        <w:t>Sujeto Obligado</w:t>
      </w:r>
      <w:r w:rsidR="009D75FF"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rPr>
        <w:t>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14:paraId="6365619B" w14:textId="77777777" w:rsidR="002C6ECF" w:rsidRPr="00386744" w:rsidRDefault="002C6ECF" w:rsidP="002C6ECF">
      <w:pPr>
        <w:spacing w:line="360" w:lineRule="auto"/>
        <w:ind w:right="51"/>
        <w:jc w:val="both"/>
        <w:rPr>
          <w:rFonts w:ascii="Palatino Linotype" w:eastAsia="Palatino Linotype" w:hAnsi="Palatino Linotype" w:cs="Palatino Linotype"/>
        </w:rPr>
      </w:pPr>
    </w:p>
    <w:p w14:paraId="435E5C2A" w14:textId="76143E79"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Al respecto, se destaca que la versión pública que elabore el </w:t>
      </w:r>
      <w:r w:rsidR="009D75FF" w:rsidRPr="00386744">
        <w:rPr>
          <w:rFonts w:ascii="Palatino Linotype" w:eastAsia="Palatino Linotype" w:hAnsi="Palatino Linotype" w:cs="Palatino Linotype"/>
          <w:b/>
        </w:rPr>
        <w:t>Sujeto Obligado</w:t>
      </w:r>
      <w:r w:rsidR="009D75FF"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rPr>
        <w:t xml:space="preserve">debe cumplir con las formalidades exigidas en la Ley; es decir, resulta necesario que el Comité de Transparencia del </w:t>
      </w:r>
      <w:r w:rsidR="009D75FF" w:rsidRPr="00386744">
        <w:rPr>
          <w:rFonts w:ascii="Palatino Linotype" w:eastAsia="Palatino Linotype" w:hAnsi="Palatino Linotype" w:cs="Palatino Linotype"/>
          <w:b/>
        </w:rPr>
        <w:t>Sujeto Obligado</w:t>
      </w:r>
      <w:r w:rsidR="009D75FF" w:rsidRPr="00386744">
        <w:rPr>
          <w:rFonts w:ascii="Palatino Linotype" w:eastAsia="Palatino Linotype" w:hAnsi="Palatino Linotype" w:cs="Palatino Linotype"/>
        </w:rPr>
        <w:t xml:space="preserve"> </w:t>
      </w:r>
      <w:r w:rsidRPr="00386744">
        <w:rPr>
          <w:rFonts w:ascii="Palatino Linotype" w:eastAsia="Palatino Linotype" w:hAnsi="Palatino Linotype" w:cs="Palatino Linotype"/>
        </w:rPr>
        <w:t xml:space="preserve">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386744">
        <w:rPr>
          <w:rFonts w:ascii="Palatino Linotype" w:eastAsia="Palatino Linotype" w:hAnsi="Palatino Linotype" w:cs="Palatino Linotype"/>
          <w:b/>
        </w:rPr>
        <w:t>LINEAMIENTOS GENERALES EN MATERIA DE CLASIFICACIÓN Y DESCLASIFICACIÓN DE LA INFORMACIÓN, ASÍ COMO PARA LA ELABORACIÓN DE VERSIONES PÚBLICAS</w:t>
      </w:r>
      <w:r w:rsidRPr="00386744">
        <w:rPr>
          <w:rFonts w:ascii="Palatino Linotype" w:eastAsia="Palatino Linotype" w:hAnsi="Palatino Linotype" w:cs="Palatino Linotype"/>
        </w:rPr>
        <w:t>, publicados en el Diario Oficial de la Federación en fecha quince de abril del año dos mil dieciséis, mediante Acuerdo del Consejo Nacional del Sistema Nacional de Transparencia, Acceso a la Información Pública y Protección de Datos Personales, que señalan:</w:t>
      </w:r>
    </w:p>
    <w:p w14:paraId="16027D78" w14:textId="77777777" w:rsidR="002C6ECF" w:rsidRPr="00386744" w:rsidRDefault="002C6ECF" w:rsidP="002C6ECF">
      <w:pPr>
        <w:spacing w:line="360" w:lineRule="auto"/>
        <w:jc w:val="both"/>
        <w:rPr>
          <w:rFonts w:ascii="Palatino Linotype" w:eastAsia="Palatino Linotype" w:hAnsi="Palatino Linotype" w:cs="Palatino Linotype"/>
        </w:rPr>
      </w:pPr>
    </w:p>
    <w:p w14:paraId="78941FA2" w14:textId="77777777" w:rsidR="002C6ECF" w:rsidRPr="00386744" w:rsidRDefault="002C6ECF" w:rsidP="002C6ECF">
      <w:pPr>
        <w:ind w:left="709" w:right="709"/>
        <w:jc w:val="both"/>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14:paraId="658E8F26"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r w:rsidRPr="00386744">
        <w:rPr>
          <w:rFonts w:ascii="Palatino Linotype" w:eastAsia="Palatino Linotype" w:hAnsi="Palatino Linotype" w:cs="Palatino Linotype"/>
          <w:b/>
          <w:i/>
          <w:sz w:val="22"/>
          <w:szCs w:val="22"/>
        </w:rPr>
        <w:t>Segundo.-</w:t>
      </w:r>
      <w:r w:rsidRPr="00386744">
        <w:rPr>
          <w:rFonts w:ascii="Palatino Linotype" w:eastAsia="Palatino Linotype" w:hAnsi="Palatino Linotype" w:cs="Palatino Linotype"/>
          <w:i/>
          <w:sz w:val="22"/>
          <w:szCs w:val="22"/>
        </w:rPr>
        <w:t xml:space="preserve"> Para efectos de los presentes Lineamientos Generales, se entenderá por:</w:t>
      </w:r>
    </w:p>
    <w:p w14:paraId="2916840A"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XVIII.</w:t>
      </w:r>
      <w:r w:rsidRPr="00386744">
        <w:rPr>
          <w:rFonts w:ascii="Palatino Linotype" w:eastAsia="Palatino Linotype" w:hAnsi="Palatino Linotype" w:cs="Palatino Linotype"/>
          <w:i/>
          <w:sz w:val="22"/>
          <w:szCs w:val="22"/>
        </w:rPr>
        <w:t xml:space="preserve"> </w:t>
      </w:r>
      <w:r w:rsidRPr="00386744">
        <w:rPr>
          <w:rFonts w:ascii="Palatino Linotype" w:eastAsia="Palatino Linotype" w:hAnsi="Palatino Linotype" w:cs="Palatino Linotype"/>
          <w:b/>
          <w:i/>
          <w:sz w:val="22"/>
          <w:szCs w:val="22"/>
        </w:rPr>
        <w:t>Versión pública:</w:t>
      </w:r>
      <w:r w:rsidRPr="00386744">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386744">
        <w:rPr>
          <w:rFonts w:ascii="Palatino Linotype" w:eastAsia="Palatino Linotype" w:hAnsi="Palatino Linotype" w:cs="Palatino Linotype"/>
          <w:b/>
          <w:i/>
          <w:sz w:val="22"/>
          <w:szCs w:val="22"/>
          <w:u w:val="single"/>
        </w:rPr>
        <w:t>fundando y motivando la</w:t>
      </w:r>
      <w:r w:rsidRPr="00386744">
        <w:rPr>
          <w:rFonts w:ascii="Palatino Linotype" w:eastAsia="Palatino Linotype" w:hAnsi="Palatino Linotype" w:cs="Palatino Linotype"/>
          <w:i/>
          <w:sz w:val="22"/>
          <w:szCs w:val="22"/>
        </w:rPr>
        <w:t xml:space="preserve"> reserva o </w:t>
      </w:r>
      <w:r w:rsidRPr="00386744">
        <w:rPr>
          <w:rFonts w:ascii="Palatino Linotype" w:eastAsia="Palatino Linotype" w:hAnsi="Palatino Linotype" w:cs="Palatino Linotype"/>
          <w:b/>
          <w:i/>
          <w:sz w:val="22"/>
          <w:szCs w:val="22"/>
          <w:u w:val="single"/>
        </w:rPr>
        <w:t>confidencialidad</w:t>
      </w:r>
      <w:r w:rsidRPr="00386744">
        <w:rPr>
          <w:rFonts w:ascii="Palatino Linotype" w:eastAsia="Palatino Linotype" w:hAnsi="Palatino Linotype" w:cs="Palatino Linotype"/>
          <w:i/>
          <w:sz w:val="22"/>
          <w:szCs w:val="22"/>
        </w:rPr>
        <w:t>, a través de la resolución que para tal efecto emita el Comité de Transparencia.</w:t>
      </w:r>
    </w:p>
    <w:p w14:paraId="5FD4484D"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Cuarto.</w:t>
      </w:r>
      <w:r w:rsidRPr="00386744">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6DE6958D"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42042B6C"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lastRenderedPageBreak/>
        <w:t>Quinto.</w:t>
      </w:r>
      <w:r w:rsidRPr="00386744">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3502A8F9"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Sexto.</w:t>
      </w:r>
      <w:r w:rsidRPr="00386744">
        <w:rPr>
          <w:rFonts w:ascii="Palatino Linotype" w:eastAsia="Palatino Linotype" w:hAnsi="Palatino Linotype" w:cs="Palatino Linotype"/>
          <w:i/>
          <w:sz w:val="22"/>
          <w:szCs w:val="22"/>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14:paraId="42193106"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La clasificación de información se realizará conforme a un análisis caso por caso, mediante la aplicación de la prueba de daño y de interés público.</w:t>
      </w:r>
    </w:p>
    <w:p w14:paraId="5B7A817A"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Séptimo.</w:t>
      </w:r>
      <w:r w:rsidRPr="00386744">
        <w:rPr>
          <w:rFonts w:ascii="Palatino Linotype" w:eastAsia="Palatino Linotype" w:hAnsi="Palatino Linotype" w:cs="Palatino Linotype"/>
          <w:i/>
          <w:sz w:val="22"/>
          <w:szCs w:val="22"/>
        </w:rPr>
        <w:t xml:space="preserve"> La clasificación de la información se llevará a cabo en el momento en que:</w:t>
      </w:r>
    </w:p>
    <w:p w14:paraId="05C61E69"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w:t>
      </w:r>
      <w:r w:rsidRPr="00386744">
        <w:rPr>
          <w:rFonts w:ascii="Palatino Linotype" w:eastAsia="Palatino Linotype" w:hAnsi="Palatino Linotype" w:cs="Palatino Linotype"/>
          <w:i/>
          <w:sz w:val="22"/>
          <w:szCs w:val="22"/>
        </w:rPr>
        <w:t xml:space="preserve"> Se reciba una solicitud de acceso a la información;</w:t>
      </w:r>
    </w:p>
    <w:p w14:paraId="1C8943A4"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w:t>
      </w:r>
      <w:r w:rsidRPr="00386744">
        <w:rPr>
          <w:rFonts w:ascii="Palatino Linotype" w:eastAsia="Palatino Linotype" w:hAnsi="Palatino Linotype" w:cs="Palatino Linotype"/>
          <w:i/>
          <w:sz w:val="22"/>
          <w:szCs w:val="22"/>
        </w:rPr>
        <w:t xml:space="preserve"> Se determine mediante resolución de autoridad competente, o</w:t>
      </w:r>
    </w:p>
    <w:p w14:paraId="58F4A578"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III.</w:t>
      </w:r>
      <w:r w:rsidRPr="00386744">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14:paraId="3C7CE3F4"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14:paraId="1E41EF0B"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Octavo.</w:t>
      </w:r>
      <w:r w:rsidRPr="00386744">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627C45F2"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14:paraId="549443A8"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14:paraId="56F46FB4"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14:paraId="7A6E26E7"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14:paraId="6ED755F0"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Noveno.</w:t>
      </w:r>
      <w:r w:rsidRPr="00386744">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w:t>
      </w:r>
      <w:r w:rsidRPr="00386744">
        <w:rPr>
          <w:rFonts w:ascii="Palatino Linotype" w:eastAsia="Palatino Linotype" w:hAnsi="Palatino Linotype" w:cs="Palatino Linotype"/>
          <w:i/>
          <w:sz w:val="22"/>
          <w:szCs w:val="22"/>
        </w:rPr>
        <w:lastRenderedPageBreak/>
        <w:t>siguiendo los procedimientos establecidos en el Capítulo IX de los presentes lineamientos.</w:t>
      </w:r>
    </w:p>
    <w:p w14:paraId="5608D94A"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Décimo.</w:t>
      </w:r>
      <w:r w:rsidRPr="00386744">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2C84C486"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14:paraId="7C741DF2"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Décimo primero.</w:t>
      </w:r>
      <w:r w:rsidRPr="00386744">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0DADC1E1"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p>
    <w:p w14:paraId="5DF39D0B" w14:textId="77777777" w:rsidR="002C6ECF" w:rsidRPr="00386744" w:rsidRDefault="002C6ECF" w:rsidP="002C6ECF">
      <w:pPr>
        <w:ind w:left="709" w:right="709"/>
        <w:jc w:val="center"/>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CAPÍTULO VIII</w:t>
      </w:r>
    </w:p>
    <w:p w14:paraId="65DC93B3" w14:textId="77777777" w:rsidR="002C6ECF" w:rsidRPr="00386744" w:rsidRDefault="002C6ECF" w:rsidP="002C6ECF">
      <w:pPr>
        <w:ind w:left="709" w:right="709"/>
        <w:jc w:val="center"/>
        <w:rPr>
          <w:rFonts w:ascii="Palatino Linotype" w:eastAsia="Palatino Linotype" w:hAnsi="Palatino Linotype" w:cs="Palatino Linotype"/>
          <w:b/>
          <w:i/>
          <w:sz w:val="22"/>
          <w:szCs w:val="22"/>
        </w:rPr>
      </w:pPr>
      <w:r w:rsidRPr="00386744">
        <w:rPr>
          <w:rFonts w:ascii="Palatino Linotype" w:eastAsia="Palatino Linotype" w:hAnsi="Palatino Linotype" w:cs="Palatino Linotype"/>
          <w:b/>
          <w:i/>
          <w:sz w:val="22"/>
          <w:szCs w:val="22"/>
        </w:rPr>
        <w:t>DE LA LEYENDA DE CLASIFICACIÓN</w:t>
      </w:r>
    </w:p>
    <w:p w14:paraId="5A1B18A9"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 xml:space="preserve">Quincuagésimo. </w:t>
      </w:r>
      <w:r w:rsidRPr="00386744">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sidRPr="00386744">
        <w:rPr>
          <w:rFonts w:ascii="Palatino Linotype" w:eastAsia="Palatino Linotype" w:hAnsi="Palatino Linotype" w:cs="Palatino Linotype"/>
          <w:i/>
          <w:sz w:val="22"/>
          <w:szCs w:val="22"/>
        </w:rPr>
        <w:t xml:space="preserve"> para señalar la clasificación de documentos o expedientes, sin perjuicio de que establezcan los propios.</w:t>
      </w:r>
    </w:p>
    <w:p w14:paraId="5C8DF50B" w14:textId="77777777" w:rsidR="002C6ECF" w:rsidRPr="00386744" w:rsidRDefault="002C6ECF" w:rsidP="002C6ECF">
      <w:pPr>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i/>
          <w:sz w:val="22"/>
          <w:szCs w:val="22"/>
        </w:rPr>
        <w:t>[…]</w:t>
      </w:r>
    </w:p>
    <w:p w14:paraId="4CFE852E" w14:textId="77777777" w:rsidR="002C6ECF" w:rsidRPr="00386744" w:rsidRDefault="002C6ECF" w:rsidP="002C6ECF">
      <w:pPr>
        <w:spacing w:after="160"/>
        <w:ind w:left="709" w:right="709"/>
        <w:jc w:val="both"/>
        <w:rPr>
          <w:rFonts w:ascii="Palatino Linotype" w:eastAsia="Palatino Linotype" w:hAnsi="Palatino Linotype" w:cs="Palatino Linotype"/>
          <w:i/>
          <w:sz w:val="22"/>
          <w:szCs w:val="22"/>
        </w:rPr>
      </w:pPr>
      <w:r w:rsidRPr="00386744">
        <w:rPr>
          <w:rFonts w:ascii="Palatino Linotype" w:eastAsia="Palatino Linotype" w:hAnsi="Palatino Linotype" w:cs="Palatino Linotype"/>
          <w:b/>
          <w:i/>
          <w:sz w:val="22"/>
          <w:szCs w:val="22"/>
        </w:rPr>
        <w:t xml:space="preserve">Quincuagésimo tercero. </w:t>
      </w:r>
      <w:r w:rsidRPr="00386744">
        <w:rPr>
          <w:rFonts w:ascii="Palatino Linotype" w:eastAsia="Palatino Linotype" w:hAnsi="Palatino Linotype" w:cs="Palatino Linotype"/>
          <w:b/>
          <w:i/>
          <w:sz w:val="22"/>
          <w:szCs w:val="22"/>
          <w:u w:val="single"/>
        </w:rPr>
        <w:t>El formato para señalar la clasificación parcial de un documento</w:t>
      </w:r>
      <w:r w:rsidRPr="00386744">
        <w:rPr>
          <w:rFonts w:ascii="Palatino Linotype" w:eastAsia="Palatino Linotype" w:hAnsi="Palatino Linotype" w:cs="Palatino Linotype"/>
          <w:i/>
          <w:sz w:val="22"/>
          <w:szCs w:val="22"/>
        </w:rPr>
        <w:t>, es el siguiente:</w:t>
      </w:r>
    </w:p>
    <w:tbl>
      <w:tblPr>
        <w:tblStyle w:val="Tabladelista1clara-nfasis1"/>
        <w:tblW w:w="0" w:type="auto"/>
        <w:tblLayout w:type="fixed"/>
        <w:tblLook w:val="04A0" w:firstRow="1" w:lastRow="0" w:firstColumn="1" w:lastColumn="0" w:noHBand="0" w:noVBand="1"/>
      </w:tblPr>
      <w:tblGrid>
        <w:gridCol w:w="1134"/>
        <w:gridCol w:w="3119"/>
        <w:gridCol w:w="1129"/>
        <w:gridCol w:w="3446"/>
      </w:tblGrid>
      <w:tr w:rsidR="00386744" w:rsidRPr="00386744" w14:paraId="20619843" w14:textId="77777777" w:rsidTr="00067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3" w:type="dxa"/>
            <w:gridSpan w:val="2"/>
            <w:tcBorders>
              <w:top w:val="nil"/>
              <w:left w:val="nil"/>
              <w:right w:val="nil"/>
            </w:tcBorders>
            <w:hideMark/>
          </w:tcPr>
          <w:p w14:paraId="5DE33001" w14:textId="77777777" w:rsidR="008C37ED" w:rsidRPr="00386744" w:rsidRDefault="008C37ED" w:rsidP="00067158">
            <w:pPr>
              <w:jc w:val="center"/>
              <w:rPr>
                <w:rFonts w:ascii="Palatino Linotype" w:hAnsi="Palatino Linotype"/>
                <w:b w:val="0"/>
                <w:sz w:val="12"/>
                <w:szCs w:val="12"/>
              </w:rPr>
            </w:pPr>
            <w:r w:rsidRPr="00386744">
              <w:rPr>
                <w:rFonts w:ascii="Palatino Linotype" w:hAnsi="Palatino Linotype"/>
                <w:b w:val="0"/>
                <w:sz w:val="12"/>
                <w:szCs w:val="12"/>
              </w:rPr>
              <w:t>Parcial</w:t>
            </w:r>
          </w:p>
        </w:tc>
        <w:tc>
          <w:tcPr>
            <w:tcW w:w="4575" w:type="dxa"/>
            <w:gridSpan w:val="2"/>
            <w:tcBorders>
              <w:top w:val="nil"/>
              <w:left w:val="nil"/>
              <w:right w:val="nil"/>
            </w:tcBorders>
            <w:hideMark/>
          </w:tcPr>
          <w:p w14:paraId="6FB57BF7" w14:textId="77777777" w:rsidR="008C37ED" w:rsidRPr="00386744" w:rsidRDefault="008C37ED" w:rsidP="00067158">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b w:val="0"/>
                <w:sz w:val="12"/>
                <w:szCs w:val="12"/>
              </w:rPr>
            </w:pPr>
            <w:r w:rsidRPr="00386744">
              <w:rPr>
                <w:rFonts w:ascii="Palatino Linotype" w:hAnsi="Palatino Linotype"/>
                <w:b w:val="0"/>
                <w:sz w:val="12"/>
                <w:szCs w:val="12"/>
              </w:rPr>
              <w:t>Total</w:t>
            </w:r>
          </w:p>
        </w:tc>
      </w:tr>
      <w:tr w:rsidR="00386744" w:rsidRPr="00386744" w14:paraId="3D13ECF1" w14:textId="77777777" w:rsidTr="00067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hideMark/>
          </w:tcPr>
          <w:p w14:paraId="5B1AFA9C" w14:textId="77777777" w:rsidR="008C37ED" w:rsidRPr="00386744" w:rsidRDefault="008C37ED" w:rsidP="00067158">
            <w:pPr>
              <w:jc w:val="center"/>
              <w:rPr>
                <w:rFonts w:ascii="Palatino Linotype" w:hAnsi="Palatino Linotype"/>
                <w:b w:val="0"/>
                <w:sz w:val="12"/>
                <w:szCs w:val="12"/>
              </w:rPr>
            </w:pPr>
            <w:r w:rsidRPr="00386744">
              <w:rPr>
                <w:rFonts w:ascii="Palatino Linotype" w:hAnsi="Palatino Linotype"/>
                <w:b w:val="0"/>
                <w:sz w:val="12"/>
                <w:szCs w:val="12"/>
              </w:rPr>
              <w:t>Concepto</w:t>
            </w:r>
          </w:p>
        </w:tc>
        <w:tc>
          <w:tcPr>
            <w:tcW w:w="3119" w:type="dxa"/>
            <w:hideMark/>
          </w:tcPr>
          <w:p w14:paraId="350D1C52" w14:textId="77777777" w:rsidR="008C37ED" w:rsidRPr="00386744" w:rsidRDefault="008C37ED" w:rsidP="00067158">
            <w:pPr>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Dónde</w:t>
            </w:r>
          </w:p>
        </w:tc>
        <w:tc>
          <w:tcPr>
            <w:tcW w:w="1129" w:type="dxa"/>
            <w:hideMark/>
          </w:tcPr>
          <w:p w14:paraId="530453F9" w14:textId="77777777" w:rsidR="008C37ED" w:rsidRPr="00386744" w:rsidRDefault="008C37ED" w:rsidP="00067158">
            <w:pPr>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Concepto</w:t>
            </w:r>
          </w:p>
        </w:tc>
        <w:tc>
          <w:tcPr>
            <w:tcW w:w="3446" w:type="dxa"/>
            <w:hideMark/>
          </w:tcPr>
          <w:p w14:paraId="68165DA8" w14:textId="77777777" w:rsidR="008C37ED" w:rsidRPr="00386744" w:rsidRDefault="008C37ED" w:rsidP="00067158">
            <w:pPr>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Dónde</w:t>
            </w:r>
          </w:p>
        </w:tc>
      </w:tr>
      <w:tr w:rsidR="00386744" w:rsidRPr="00386744" w14:paraId="7FF3E38A" w14:textId="77777777" w:rsidTr="00067158">
        <w:tc>
          <w:tcPr>
            <w:cnfStyle w:val="001000000000" w:firstRow="0" w:lastRow="0" w:firstColumn="1" w:lastColumn="0" w:oddVBand="0" w:evenVBand="0" w:oddHBand="0" w:evenHBand="0" w:firstRowFirstColumn="0" w:firstRowLastColumn="0" w:lastRowFirstColumn="0" w:lastRowLastColumn="0"/>
            <w:tcW w:w="8828" w:type="dxa"/>
            <w:gridSpan w:val="4"/>
            <w:hideMark/>
          </w:tcPr>
          <w:p w14:paraId="4075BD81" w14:textId="77777777" w:rsidR="008C37ED" w:rsidRPr="00386744" w:rsidRDefault="008C37ED" w:rsidP="00067158">
            <w:pPr>
              <w:jc w:val="center"/>
              <w:rPr>
                <w:rFonts w:ascii="Palatino Linotype" w:hAnsi="Palatino Linotype"/>
                <w:b w:val="0"/>
                <w:sz w:val="12"/>
                <w:szCs w:val="12"/>
              </w:rPr>
            </w:pPr>
            <w:r w:rsidRPr="00386744">
              <w:rPr>
                <w:rFonts w:ascii="Palatino Linotype" w:hAnsi="Palatino Linotype"/>
                <w:b w:val="0"/>
                <w:sz w:val="12"/>
                <w:szCs w:val="12"/>
              </w:rPr>
              <w:t>Sello oficial o logotipo del sujeto obligado</w:t>
            </w:r>
          </w:p>
        </w:tc>
      </w:tr>
      <w:tr w:rsidR="00386744" w:rsidRPr="00386744" w14:paraId="63F821DC" w14:textId="77777777" w:rsidTr="00067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hideMark/>
          </w:tcPr>
          <w:p w14:paraId="4A6D11A1"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Fecha de clasificación</w:t>
            </w:r>
          </w:p>
        </w:tc>
        <w:tc>
          <w:tcPr>
            <w:tcW w:w="3119" w:type="dxa"/>
            <w:hideMark/>
          </w:tcPr>
          <w:p w14:paraId="554A27ED"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anotará la fecha en la que el Comité de Transparencia confirmó la clasificación del documento, en su caso.</w:t>
            </w:r>
          </w:p>
        </w:tc>
        <w:tc>
          <w:tcPr>
            <w:tcW w:w="1129" w:type="dxa"/>
            <w:hideMark/>
          </w:tcPr>
          <w:p w14:paraId="18EA9228"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Fecha de clasificación</w:t>
            </w:r>
          </w:p>
        </w:tc>
        <w:tc>
          <w:tcPr>
            <w:tcW w:w="3446" w:type="dxa"/>
            <w:hideMark/>
          </w:tcPr>
          <w:p w14:paraId="79F5C0F3"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anotará la fecha en la que el Comité de Transparencia confirmó la clasificación del documento, en su caso.</w:t>
            </w:r>
          </w:p>
        </w:tc>
      </w:tr>
      <w:tr w:rsidR="00386744" w:rsidRPr="00386744" w14:paraId="3DF78EA3" w14:textId="77777777" w:rsidTr="00067158">
        <w:tc>
          <w:tcPr>
            <w:cnfStyle w:val="001000000000" w:firstRow="0" w:lastRow="0" w:firstColumn="1" w:lastColumn="0" w:oddVBand="0" w:evenVBand="0" w:oddHBand="0" w:evenHBand="0" w:firstRowFirstColumn="0" w:firstRowLastColumn="0" w:lastRowFirstColumn="0" w:lastRowLastColumn="0"/>
            <w:tcW w:w="1134" w:type="dxa"/>
            <w:hideMark/>
          </w:tcPr>
          <w:p w14:paraId="4137F13A"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Área</w:t>
            </w:r>
          </w:p>
        </w:tc>
        <w:tc>
          <w:tcPr>
            <w:tcW w:w="3119" w:type="dxa"/>
            <w:hideMark/>
          </w:tcPr>
          <w:p w14:paraId="1A2E2506"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señalará el nombre del área del cual es titular quien clasifica.</w:t>
            </w:r>
          </w:p>
        </w:tc>
        <w:tc>
          <w:tcPr>
            <w:tcW w:w="1129" w:type="dxa"/>
            <w:hideMark/>
          </w:tcPr>
          <w:p w14:paraId="774F20AE"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Área</w:t>
            </w:r>
          </w:p>
        </w:tc>
        <w:tc>
          <w:tcPr>
            <w:tcW w:w="3446" w:type="dxa"/>
            <w:hideMark/>
          </w:tcPr>
          <w:p w14:paraId="31A5BAAF"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señalará el nombre del área de la cual es el titular quien clasifica.</w:t>
            </w:r>
          </w:p>
        </w:tc>
      </w:tr>
      <w:tr w:rsidR="00386744" w:rsidRPr="00386744" w14:paraId="77B67C94" w14:textId="77777777" w:rsidTr="00067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hideMark/>
          </w:tcPr>
          <w:p w14:paraId="5D27CC7E"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Información reservada</w:t>
            </w:r>
          </w:p>
        </w:tc>
        <w:tc>
          <w:tcPr>
            <w:tcW w:w="3119" w:type="dxa"/>
            <w:hideMark/>
          </w:tcPr>
          <w:p w14:paraId="5ADCF056"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1129" w:type="dxa"/>
            <w:hideMark/>
          </w:tcPr>
          <w:p w14:paraId="68FD0907"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Reservado</w:t>
            </w:r>
          </w:p>
        </w:tc>
        <w:tc>
          <w:tcPr>
            <w:tcW w:w="3446" w:type="dxa"/>
            <w:hideMark/>
          </w:tcPr>
          <w:p w14:paraId="4E504010"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Leyenda de información RESERVADA.</w:t>
            </w:r>
          </w:p>
        </w:tc>
      </w:tr>
      <w:tr w:rsidR="00386744" w:rsidRPr="00386744" w14:paraId="4C7C5FA6" w14:textId="77777777" w:rsidTr="00067158">
        <w:tc>
          <w:tcPr>
            <w:cnfStyle w:val="001000000000" w:firstRow="0" w:lastRow="0" w:firstColumn="1" w:lastColumn="0" w:oddVBand="0" w:evenVBand="0" w:oddHBand="0" w:evenHBand="0" w:firstRowFirstColumn="0" w:firstRowLastColumn="0" w:lastRowFirstColumn="0" w:lastRowLastColumn="0"/>
            <w:tcW w:w="1134" w:type="dxa"/>
            <w:hideMark/>
          </w:tcPr>
          <w:p w14:paraId="2ED620A5"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Fundamento legal</w:t>
            </w:r>
          </w:p>
        </w:tc>
        <w:tc>
          <w:tcPr>
            <w:tcW w:w="3119" w:type="dxa"/>
            <w:hideMark/>
          </w:tcPr>
          <w:p w14:paraId="67AF1C8D"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señalará el nombre del ordenamiento, el o los artículos, fracción(es), párrafo(s) con base en los cuales se sustente la reserva.</w:t>
            </w:r>
          </w:p>
        </w:tc>
        <w:tc>
          <w:tcPr>
            <w:tcW w:w="1129" w:type="dxa"/>
            <w:hideMark/>
          </w:tcPr>
          <w:p w14:paraId="43E7396B"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Periodo de reserva</w:t>
            </w:r>
          </w:p>
        </w:tc>
        <w:tc>
          <w:tcPr>
            <w:tcW w:w="3446" w:type="dxa"/>
            <w:hideMark/>
          </w:tcPr>
          <w:p w14:paraId="1892A2CD"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anotará el número de años o meses por los que se mantendrá el documento o las partes del mismo como reservado. Si el expediente no es reservado, sino confidencial, deberá tacharse este apartado.</w:t>
            </w:r>
          </w:p>
        </w:tc>
      </w:tr>
      <w:tr w:rsidR="00386744" w:rsidRPr="00386744" w14:paraId="2EF4CFE1" w14:textId="77777777" w:rsidTr="00067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hideMark/>
          </w:tcPr>
          <w:p w14:paraId="5A6E4097"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Ampliación del periodo de reserva</w:t>
            </w:r>
          </w:p>
        </w:tc>
        <w:tc>
          <w:tcPr>
            <w:tcW w:w="3119" w:type="dxa"/>
            <w:hideMark/>
          </w:tcPr>
          <w:p w14:paraId="52B0C02A"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En caso de haber solicitado la ampliación del periodo de reserva originalmente establecido, se deberá anotar el número de años o meses por los que se amplía la reserva.</w:t>
            </w:r>
          </w:p>
        </w:tc>
        <w:tc>
          <w:tcPr>
            <w:tcW w:w="1129" w:type="dxa"/>
            <w:hideMark/>
          </w:tcPr>
          <w:p w14:paraId="61C8E6E5"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Fundamento legal</w:t>
            </w:r>
          </w:p>
        </w:tc>
        <w:tc>
          <w:tcPr>
            <w:tcW w:w="3446" w:type="dxa"/>
            <w:hideMark/>
          </w:tcPr>
          <w:p w14:paraId="734EBEA6"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señalará el nombre del o de los ordenamientos jurídicos, el o los artículos, fracción(es), párrafo(s) con base en los cuales se sustenta la reserva.</w:t>
            </w:r>
          </w:p>
        </w:tc>
      </w:tr>
      <w:tr w:rsidR="00386744" w:rsidRPr="00386744" w14:paraId="7D7448EE" w14:textId="77777777" w:rsidTr="00067158">
        <w:tc>
          <w:tcPr>
            <w:cnfStyle w:val="001000000000" w:firstRow="0" w:lastRow="0" w:firstColumn="1" w:lastColumn="0" w:oddVBand="0" w:evenVBand="0" w:oddHBand="0" w:evenHBand="0" w:firstRowFirstColumn="0" w:firstRowLastColumn="0" w:lastRowFirstColumn="0" w:lastRowLastColumn="0"/>
            <w:tcW w:w="1134" w:type="dxa"/>
            <w:hideMark/>
          </w:tcPr>
          <w:p w14:paraId="00D7C209"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Confidencial</w:t>
            </w:r>
          </w:p>
        </w:tc>
        <w:tc>
          <w:tcPr>
            <w:tcW w:w="3119" w:type="dxa"/>
            <w:hideMark/>
          </w:tcPr>
          <w:p w14:paraId="703B77D5"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 xml:space="preserve">Se indicarán, en su caso, las partes o páginas del documento que se clasifica como confidencial. Si el documento fuera confidencial en su totalidad, se anotarán todas las páginas que lo conforman. Si el </w:t>
            </w:r>
            <w:r w:rsidRPr="00386744">
              <w:rPr>
                <w:rFonts w:ascii="Palatino Linotype" w:hAnsi="Palatino Linotype"/>
                <w:sz w:val="12"/>
                <w:szCs w:val="12"/>
              </w:rPr>
              <w:lastRenderedPageBreak/>
              <w:t>documento no contiene información confidencial, se tachará este apartado.</w:t>
            </w:r>
          </w:p>
        </w:tc>
        <w:tc>
          <w:tcPr>
            <w:tcW w:w="1129" w:type="dxa"/>
            <w:hideMark/>
          </w:tcPr>
          <w:p w14:paraId="347118CC"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lastRenderedPageBreak/>
              <w:t>Ampliación del periodo de reserva</w:t>
            </w:r>
          </w:p>
        </w:tc>
        <w:tc>
          <w:tcPr>
            <w:tcW w:w="3446" w:type="dxa"/>
            <w:hideMark/>
          </w:tcPr>
          <w:p w14:paraId="71D11735"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En caso de haber solicitado la ampliación del periodo de reserva originalmente establecido, se deberá anotar el número de años o meses por los que se amplía la reserva.</w:t>
            </w:r>
          </w:p>
        </w:tc>
      </w:tr>
      <w:tr w:rsidR="00386744" w:rsidRPr="00386744" w14:paraId="3D7F1AD0" w14:textId="77777777" w:rsidTr="00067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hideMark/>
          </w:tcPr>
          <w:p w14:paraId="711EDC40"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lastRenderedPageBreak/>
              <w:t>Fundamento legal</w:t>
            </w:r>
          </w:p>
        </w:tc>
        <w:tc>
          <w:tcPr>
            <w:tcW w:w="3119" w:type="dxa"/>
            <w:hideMark/>
          </w:tcPr>
          <w:p w14:paraId="47F484F3"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señalará el nombre del ordenamiento, el o los artículos, fracción(es), párrafo(s) con base en los cuales se sustente la confidencialidad.</w:t>
            </w:r>
          </w:p>
        </w:tc>
        <w:tc>
          <w:tcPr>
            <w:tcW w:w="1129" w:type="dxa"/>
            <w:hideMark/>
          </w:tcPr>
          <w:p w14:paraId="0A9D484E"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Confidencial</w:t>
            </w:r>
          </w:p>
        </w:tc>
        <w:tc>
          <w:tcPr>
            <w:tcW w:w="3446" w:type="dxa"/>
            <w:hideMark/>
          </w:tcPr>
          <w:p w14:paraId="4EEB8CA3"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Leyenda de información CONFIDENCIAL.</w:t>
            </w:r>
          </w:p>
        </w:tc>
      </w:tr>
      <w:tr w:rsidR="00386744" w:rsidRPr="00386744" w14:paraId="6F60F154" w14:textId="77777777" w:rsidTr="00067158">
        <w:tc>
          <w:tcPr>
            <w:cnfStyle w:val="001000000000" w:firstRow="0" w:lastRow="0" w:firstColumn="1" w:lastColumn="0" w:oddVBand="0" w:evenVBand="0" w:oddHBand="0" w:evenHBand="0" w:firstRowFirstColumn="0" w:firstRowLastColumn="0" w:lastRowFirstColumn="0" w:lastRowLastColumn="0"/>
            <w:tcW w:w="1134" w:type="dxa"/>
            <w:hideMark/>
          </w:tcPr>
          <w:p w14:paraId="50346FFC"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Rúbrica del titular del área</w:t>
            </w:r>
          </w:p>
        </w:tc>
        <w:tc>
          <w:tcPr>
            <w:tcW w:w="3119" w:type="dxa"/>
            <w:hideMark/>
          </w:tcPr>
          <w:p w14:paraId="06B8E8E6"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Rúbrica autógrafa de quien clasifica.</w:t>
            </w:r>
          </w:p>
        </w:tc>
        <w:tc>
          <w:tcPr>
            <w:tcW w:w="1129" w:type="dxa"/>
            <w:hideMark/>
          </w:tcPr>
          <w:p w14:paraId="7ECB6491"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Fundamento legal</w:t>
            </w:r>
          </w:p>
        </w:tc>
        <w:tc>
          <w:tcPr>
            <w:tcW w:w="3446" w:type="dxa"/>
            <w:hideMark/>
          </w:tcPr>
          <w:p w14:paraId="5BDE0489"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señalará el nombre del o de los ordenamientos jurídicos, el o los artículos, fracción(es), párrafo(s) con base en los cuales se sustente la confidencialidad.</w:t>
            </w:r>
          </w:p>
        </w:tc>
      </w:tr>
      <w:tr w:rsidR="00386744" w:rsidRPr="00386744" w14:paraId="74FB63B3" w14:textId="77777777" w:rsidTr="00067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hideMark/>
          </w:tcPr>
          <w:p w14:paraId="7517237D"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Fecha de desclasificación</w:t>
            </w:r>
          </w:p>
        </w:tc>
        <w:tc>
          <w:tcPr>
            <w:tcW w:w="3119" w:type="dxa"/>
            <w:hideMark/>
          </w:tcPr>
          <w:p w14:paraId="13B97BE8"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anotará la fecha en que se desclasifica el documento.</w:t>
            </w:r>
          </w:p>
        </w:tc>
        <w:tc>
          <w:tcPr>
            <w:tcW w:w="1129" w:type="dxa"/>
            <w:hideMark/>
          </w:tcPr>
          <w:p w14:paraId="4DD332BF"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Rúbrica del titular del área</w:t>
            </w:r>
          </w:p>
        </w:tc>
        <w:tc>
          <w:tcPr>
            <w:tcW w:w="3446" w:type="dxa"/>
            <w:hideMark/>
          </w:tcPr>
          <w:p w14:paraId="3A4E9D75"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Rúbrica autógrafa de quien clasifica.</w:t>
            </w:r>
          </w:p>
        </w:tc>
      </w:tr>
      <w:tr w:rsidR="00386744" w:rsidRPr="00386744" w14:paraId="304AB6E9" w14:textId="77777777" w:rsidTr="00067158">
        <w:tc>
          <w:tcPr>
            <w:cnfStyle w:val="001000000000" w:firstRow="0" w:lastRow="0" w:firstColumn="1" w:lastColumn="0" w:oddVBand="0" w:evenVBand="0" w:oddHBand="0" w:evenHBand="0" w:firstRowFirstColumn="0" w:firstRowLastColumn="0" w:lastRowFirstColumn="0" w:lastRowLastColumn="0"/>
            <w:tcW w:w="1134" w:type="dxa"/>
            <w:hideMark/>
          </w:tcPr>
          <w:p w14:paraId="6B2CADD4" w14:textId="77777777" w:rsidR="008C37ED" w:rsidRPr="00386744" w:rsidRDefault="008C37ED" w:rsidP="00067158">
            <w:pPr>
              <w:jc w:val="both"/>
              <w:rPr>
                <w:rFonts w:ascii="Palatino Linotype" w:hAnsi="Palatino Linotype"/>
                <w:b w:val="0"/>
                <w:sz w:val="12"/>
                <w:szCs w:val="12"/>
              </w:rPr>
            </w:pPr>
            <w:r w:rsidRPr="00386744">
              <w:rPr>
                <w:rFonts w:ascii="Palatino Linotype" w:hAnsi="Palatino Linotype"/>
                <w:b w:val="0"/>
                <w:sz w:val="12"/>
                <w:szCs w:val="12"/>
              </w:rPr>
              <w:t>Rúbrica y cargo del servidor público</w:t>
            </w:r>
          </w:p>
        </w:tc>
        <w:tc>
          <w:tcPr>
            <w:tcW w:w="3119" w:type="dxa"/>
            <w:hideMark/>
          </w:tcPr>
          <w:p w14:paraId="2C159C1F"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Rúbrica autógrafa de quien desclasifica.</w:t>
            </w:r>
          </w:p>
        </w:tc>
        <w:tc>
          <w:tcPr>
            <w:tcW w:w="1129" w:type="dxa"/>
            <w:hideMark/>
          </w:tcPr>
          <w:p w14:paraId="54131FB6"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Fecha de desclasificación</w:t>
            </w:r>
          </w:p>
        </w:tc>
        <w:tc>
          <w:tcPr>
            <w:tcW w:w="3446" w:type="dxa"/>
            <w:hideMark/>
          </w:tcPr>
          <w:p w14:paraId="7CB469C5"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Se anotará la fecha en que se desclasifica.</w:t>
            </w:r>
          </w:p>
        </w:tc>
      </w:tr>
      <w:tr w:rsidR="00386744" w:rsidRPr="00386744" w14:paraId="5624C777" w14:textId="77777777" w:rsidTr="00067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D57C45D" w14:textId="77777777" w:rsidR="008C37ED" w:rsidRPr="00386744" w:rsidRDefault="008C37ED" w:rsidP="00067158">
            <w:pPr>
              <w:jc w:val="both"/>
              <w:rPr>
                <w:rFonts w:ascii="Palatino Linotype" w:hAnsi="Palatino Linotype"/>
                <w:sz w:val="12"/>
                <w:szCs w:val="12"/>
              </w:rPr>
            </w:pPr>
          </w:p>
        </w:tc>
        <w:tc>
          <w:tcPr>
            <w:tcW w:w="3119" w:type="dxa"/>
          </w:tcPr>
          <w:p w14:paraId="6B14F4B5"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p>
        </w:tc>
        <w:tc>
          <w:tcPr>
            <w:tcW w:w="1129" w:type="dxa"/>
            <w:hideMark/>
          </w:tcPr>
          <w:p w14:paraId="1DFCA430"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Partes o secciones reservadas o confidenciales</w:t>
            </w:r>
          </w:p>
        </w:tc>
        <w:tc>
          <w:tcPr>
            <w:tcW w:w="3446" w:type="dxa"/>
            <w:hideMark/>
          </w:tcPr>
          <w:p w14:paraId="00339697" w14:textId="77777777" w:rsidR="008C37ED" w:rsidRPr="00386744" w:rsidRDefault="008C37ED" w:rsidP="00067158">
            <w:pPr>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En caso que una vez desclasificado el expediente, subsistanpartes o secciones del mismo reservadas o confidenciales, se señalará este hecho.</w:t>
            </w:r>
          </w:p>
        </w:tc>
      </w:tr>
      <w:tr w:rsidR="00386744" w:rsidRPr="00386744" w14:paraId="29FF5B32" w14:textId="77777777" w:rsidTr="00067158">
        <w:tc>
          <w:tcPr>
            <w:cnfStyle w:val="001000000000" w:firstRow="0" w:lastRow="0" w:firstColumn="1" w:lastColumn="0" w:oddVBand="0" w:evenVBand="0" w:oddHBand="0" w:evenHBand="0" w:firstRowFirstColumn="0" w:firstRowLastColumn="0" w:lastRowFirstColumn="0" w:lastRowLastColumn="0"/>
            <w:tcW w:w="1134" w:type="dxa"/>
          </w:tcPr>
          <w:p w14:paraId="5C050B4E" w14:textId="77777777" w:rsidR="008C37ED" w:rsidRPr="00386744" w:rsidRDefault="008C37ED" w:rsidP="00067158">
            <w:pPr>
              <w:jc w:val="both"/>
              <w:rPr>
                <w:rFonts w:ascii="Palatino Linotype" w:hAnsi="Palatino Linotype"/>
                <w:sz w:val="12"/>
                <w:szCs w:val="12"/>
              </w:rPr>
            </w:pPr>
          </w:p>
        </w:tc>
        <w:tc>
          <w:tcPr>
            <w:tcW w:w="3119" w:type="dxa"/>
          </w:tcPr>
          <w:p w14:paraId="488F86DA"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p>
        </w:tc>
        <w:tc>
          <w:tcPr>
            <w:tcW w:w="1129" w:type="dxa"/>
            <w:hideMark/>
          </w:tcPr>
          <w:p w14:paraId="45353907"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b/>
                <w:sz w:val="12"/>
                <w:szCs w:val="12"/>
              </w:rPr>
            </w:pPr>
            <w:r w:rsidRPr="00386744">
              <w:rPr>
                <w:rFonts w:ascii="Palatino Linotype" w:hAnsi="Palatino Linotype"/>
                <w:b/>
                <w:sz w:val="12"/>
                <w:szCs w:val="12"/>
              </w:rPr>
              <w:t>Rúbrica y cargo del servidor público</w:t>
            </w:r>
          </w:p>
        </w:tc>
        <w:tc>
          <w:tcPr>
            <w:tcW w:w="3446" w:type="dxa"/>
            <w:hideMark/>
          </w:tcPr>
          <w:p w14:paraId="25D9A799" w14:textId="77777777" w:rsidR="008C37ED" w:rsidRPr="00386744" w:rsidRDefault="008C37ED" w:rsidP="00067158">
            <w:pPr>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sz w:val="12"/>
                <w:szCs w:val="12"/>
              </w:rPr>
            </w:pPr>
            <w:r w:rsidRPr="00386744">
              <w:rPr>
                <w:rFonts w:ascii="Palatino Linotype" w:hAnsi="Palatino Linotype"/>
                <w:sz w:val="12"/>
                <w:szCs w:val="12"/>
              </w:rPr>
              <w:t>Rúbrica autógrafa de quien desclasifica.</w:t>
            </w:r>
          </w:p>
        </w:tc>
      </w:tr>
    </w:tbl>
    <w:p w14:paraId="33458960" w14:textId="77777777" w:rsidR="002C6ECF" w:rsidRPr="00386744" w:rsidRDefault="002C6ECF" w:rsidP="002C6ECF">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14:paraId="4B3A379B" w14:textId="7CB76E78" w:rsidR="002C6ECF" w:rsidRPr="00386744" w:rsidRDefault="002C6ECF" w:rsidP="002C6ECF">
      <w:pPr>
        <w:shd w:val="clear" w:color="auto" w:fill="FFFFFF"/>
        <w:spacing w:line="360" w:lineRule="auto"/>
        <w:ind w:right="51"/>
        <w:jc w:val="both"/>
        <w:rPr>
          <w:rFonts w:ascii="Palatino Linotype" w:eastAsia="Palatino Linotype" w:hAnsi="Palatino Linotype" w:cs="Palatino Linotype"/>
        </w:rPr>
      </w:pPr>
      <w:r w:rsidRPr="00386744">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en el que se expongan los fundamentos y razonamientos que llevaron al </w:t>
      </w:r>
      <w:r w:rsidR="009D75FF"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 la recurrente.</w:t>
      </w:r>
    </w:p>
    <w:p w14:paraId="1374009D" w14:textId="77777777" w:rsidR="002C6ECF" w:rsidRPr="00386744" w:rsidRDefault="002C6ECF" w:rsidP="002C6ECF">
      <w:pPr>
        <w:spacing w:line="360" w:lineRule="auto"/>
        <w:jc w:val="both"/>
        <w:rPr>
          <w:rFonts w:ascii="Palatino Linotype" w:eastAsia="Palatino Linotype" w:hAnsi="Palatino Linotype" w:cs="Palatino Linotype"/>
        </w:rPr>
      </w:pPr>
    </w:p>
    <w:p w14:paraId="64484F90" w14:textId="452140EC" w:rsidR="002C6ECF" w:rsidRPr="00386744" w:rsidRDefault="002C6ECF" w:rsidP="002C6ECF">
      <w:pPr>
        <w:spacing w:before="240" w:after="240" w:line="360" w:lineRule="auto"/>
        <w:contextualSpacing/>
        <w:jc w:val="both"/>
        <w:rPr>
          <w:rFonts w:ascii="Palatino Linotype" w:hAnsi="Palatino Linotype" w:cs="Arial"/>
        </w:rPr>
      </w:pPr>
      <w:r w:rsidRPr="00386744">
        <w:rPr>
          <w:rFonts w:ascii="Palatino Linotype" w:eastAsia="Palatino Linotype" w:hAnsi="Palatino Linotype" w:cs="Palatino Linotype"/>
        </w:rPr>
        <w:t xml:space="preserve">De este modo, como ha sido señalado en la presente resolución, en armonía entre los principios constitucionales de máxima publicidad y de protección de datos </w:t>
      </w:r>
      <w:r w:rsidRPr="00386744">
        <w:rPr>
          <w:rFonts w:ascii="Palatino Linotype" w:eastAsia="Palatino Linotype" w:hAnsi="Palatino Linotype" w:cs="Palatino Linotype"/>
        </w:rPr>
        <w:lastRenderedPageBreak/>
        <w:t>personales, la Ley de Transparencia y Acceso a la Información Pública del Estado de México y Municipios permite la elaboración de versiones públicas en las que se suprima aquella información relacionada con la vida privada.</w:t>
      </w:r>
    </w:p>
    <w:p w14:paraId="521C5787" w14:textId="77777777" w:rsidR="00701898" w:rsidRPr="00386744" w:rsidRDefault="00701898" w:rsidP="009223C8">
      <w:pPr>
        <w:spacing w:line="360" w:lineRule="auto"/>
        <w:jc w:val="both"/>
        <w:rPr>
          <w:rFonts w:ascii="Palatino Linotype" w:hAnsi="Palatino Linotype" w:cs="Arial"/>
        </w:rPr>
      </w:pPr>
    </w:p>
    <w:p w14:paraId="2456A95E" w14:textId="77777777" w:rsidR="00AC3C64" w:rsidRPr="00386744" w:rsidRDefault="00AC3C64" w:rsidP="0036750E">
      <w:pPr>
        <w:spacing w:before="240" w:after="240" w:line="360" w:lineRule="auto"/>
        <w:contextualSpacing/>
        <w:jc w:val="both"/>
        <w:rPr>
          <w:rFonts w:ascii="Palatino Linotype" w:hAnsi="Palatino Linotype" w:cs="Arial"/>
        </w:rPr>
      </w:pPr>
      <w:r w:rsidRPr="00386744">
        <w:rPr>
          <w:rFonts w:ascii="Palatino Linotype" w:hAnsi="Palatino Linotype" w:cs="Arial"/>
        </w:rPr>
        <w:t xml:space="preserve">Así, con fundamento en lo prescrito en los artículos 5 párrafos </w:t>
      </w:r>
      <w:r w:rsidR="00D30935" w:rsidRPr="00386744">
        <w:rPr>
          <w:rFonts w:ascii="Palatino Linotype" w:hAnsi="Palatino Linotype" w:cs="Arial"/>
        </w:rPr>
        <w:t>trigésimo, trigésimo primero y trigésimo segundo</w:t>
      </w:r>
      <w:r w:rsidRPr="00386744">
        <w:rPr>
          <w:rFonts w:ascii="Palatino Linotype" w:hAnsi="Palatino Linotype" w:cs="Arial"/>
        </w:rPr>
        <w:t xml:space="preserve"> de la Constitución Política del Estado Libre y Soberano de México; 2, fracción II; 29, 36 fracciones I </w:t>
      </w:r>
      <w:r w:rsidR="00C53485" w:rsidRPr="00386744">
        <w:rPr>
          <w:rFonts w:ascii="Palatino Linotype" w:hAnsi="Palatino Linotype" w:cs="Arial"/>
        </w:rPr>
        <w:t>y II; 176, 178, 181,</w:t>
      </w:r>
      <w:r w:rsidRPr="00386744">
        <w:rPr>
          <w:rFonts w:ascii="Palatino Linotype" w:hAnsi="Palatino Linotype" w:cs="Arial"/>
        </w:rPr>
        <w:t xml:space="preserve"> 185 </w:t>
      </w:r>
      <w:r w:rsidR="00C53485" w:rsidRPr="00386744">
        <w:rPr>
          <w:rFonts w:ascii="Palatino Linotype" w:hAnsi="Palatino Linotype" w:cs="Arial"/>
        </w:rPr>
        <w:t xml:space="preserve">y </w:t>
      </w:r>
      <w:r w:rsidR="00C53485" w:rsidRPr="00386744">
        <w:rPr>
          <w:rFonts w:ascii="Palatino Linotype" w:hAnsi="Palatino Linotype" w:cs="Arial"/>
          <w:szCs w:val="22"/>
          <w:lang w:val="es-MX" w:eastAsia="en-US"/>
        </w:rPr>
        <w:t xml:space="preserve">186 fracción II </w:t>
      </w:r>
      <w:r w:rsidRPr="00386744">
        <w:rPr>
          <w:rFonts w:ascii="Palatino Linotype" w:hAnsi="Palatino Linotype" w:cs="Arial"/>
        </w:rPr>
        <w:t>de la Ley de Transparencia y Acceso a la Información Pública del Estado de México y Municipios, este Pleno:</w:t>
      </w:r>
    </w:p>
    <w:p w14:paraId="5F1811C7" w14:textId="77777777" w:rsidR="002879B9" w:rsidRPr="00386744" w:rsidRDefault="002879B9" w:rsidP="002C6ECF">
      <w:pPr>
        <w:spacing w:before="240" w:after="240" w:line="360" w:lineRule="auto"/>
        <w:contextualSpacing/>
        <w:jc w:val="center"/>
        <w:rPr>
          <w:rFonts w:ascii="Palatino Linotype" w:hAnsi="Palatino Linotype" w:cs="Arial"/>
          <w:b/>
        </w:rPr>
      </w:pPr>
    </w:p>
    <w:p w14:paraId="2BAC2E07" w14:textId="7545203A" w:rsidR="00AC3C64" w:rsidRPr="00386744" w:rsidRDefault="002C6ECF" w:rsidP="002C6ECF">
      <w:pPr>
        <w:spacing w:before="240" w:after="240" w:line="360" w:lineRule="auto"/>
        <w:contextualSpacing/>
        <w:jc w:val="center"/>
        <w:rPr>
          <w:rFonts w:ascii="Palatino Linotype" w:hAnsi="Palatino Linotype" w:cs="Arial"/>
          <w:b/>
        </w:rPr>
      </w:pPr>
      <w:r w:rsidRPr="00386744">
        <w:rPr>
          <w:rFonts w:ascii="Palatino Linotype" w:hAnsi="Palatino Linotype" w:cs="Arial"/>
          <w:b/>
        </w:rPr>
        <w:t xml:space="preserve">III. </w:t>
      </w:r>
      <w:r w:rsidR="00AC3C64" w:rsidRPr="00386744">
        <w:rPr>
          <w:rFonts w:ascii="Palatino Linotype" w:hAnsi="Palatino Linotype" w:cs="Arial"/>
          <w:b/>
        </w:rPr>
        <w:t>R E S U E L V E:</w:t>
      </w:r>
    </w:p>
    <w:p w14:paraId="076E82D6" w14:textId="34D23B88" w:rsidR="00C678ED" w:rsidRPr="00386744" w:rsidRDefault="00C678ED" w:rsidP="008C37ED">
      <w:pPr>
        <w:spacing w:before="240" w:after="240" w:line="360" w:lineRule="auto"/>
        <w:jc w:val="both"/>
        <w:rPr>
          <w:rFonts w:ascii="Palatino Linotype" w:hAnsi="Palatino Linotype" w:cs="Arial"/>
        </w:rPr>
      </w:pPr>
      <w:r w:rsidRPr="00386744">
        <w:rPr>
          <w:rFonts w:ascii="Palatino Linotype" w:hAnsi="Palatino Linotype" w:cs="Arial"/>
          <w:b/>
        </w:rPr>
        <w:t xml:space="preserve">Primero. </w:t>
      </w:r>
      <w:r w:rsidRPr="00386744">
        <w:rPr>
          <w:rFonts w:ascii="Palatino Linotype" w:hAnsi="Palatino Linotype" w:cs="Arial"/>
          <w:lang w:val="es-ES_tradnl"/>
        </w:rPr>
        <w:t>Resultan</w:t>
      </w:r>
      <w:r w:rsidR="00AF5151" w:rsidRPr="00386744">
        <w:rPr>
          <w:rFonts w:ascii="Palatino Linotype" w:hAnsi="Palatino Linotype" w:cs="Arial"/>
          <w:lang w:val="es-ES_tradnl"/>
        </w:rPr>
        <w:t xml:space="preserve"> </w:t>
      </w:r>
      <w:r w:rsidRPr="00386744">
        <w:rPr>
          <w:rFonts w:ascii="Palatino Linotype" w:hAnsi="Palatino Linotype" w:cs="Arial"/>
          <w:lang w:val="es-ES_tradnl"/>
        </w:rPr>
        <w:t xml:space="preserve">fundados </w:t>
      </w:r>
      <w:r w:rsidRPr="00386744">
        <w:rPr>
          <w:rFonts w:ascii="Palatino Linotype" w:eastAsia="Arial Unicode MS" w:hAnsi="Palatino Linotype" w:cs="Arial"/>
        </w:rPr>
        <w:t xml:space="preserve">los motivos de inconformidad hechos valer por </w:t>
      </w:r>
      <w:r w:rsidR="009D75FF" w:rsidRPr="00386744">
        <w:rPr>
          <w:rFonts w:ascii="Palatino Linotype" w:eastAsia="Arial Unicode MS" w:hAnsi="Palatino Linotype" w:cs="Arial"/>
        </w:rPr>
        <w:t xml:space="preserve">la parte </w:t>
      </w:r>
      <w:r w:rsidR="007263A5" w:rsidRPr="00386744">
        <w:rPr>
          <w:rFonts w:ascii="Palatino Linotype" w:eastAsia="Arial Unicode MS" w:hAnsi="Palatino Linotype" w:cs="Arial"/>
          <w:b/>
        </w:rPr>
        <w:t>R</w:t>
      </w:r>
      <w:r w:rsidR="009D75FF" w:rsidRPr="00386744">
        <w:rPr>
          <w:rFonts w:ascii="Palatino Linotype" w:eastAsia="Arial Unicode MS" w:hAnsi="Palatino Linotype" w:cs="Arial"/>
          <w:b/>
        </w:rPr>
        <w:t>ecurrente</w:t>
      </w:r>
      <w:r w:rsidRPr="00386744">
        <w:rPr>
          <w:rFonts w:ascii="Palatino Linotype" w:eastAsia="Arial Unicode MS" w:hAnsi="Palatino Linotype" w:cs="Arial"/>
        </w:rPr>
        <w:t xml:space="preserve"> </w:t>
      </w:r>
      <w:r w:rsidRPr="00386744">
        <w:rPr>
          <w:rFonts w:ascii="Palatino Linotype" w:eastAsia="Palatino Linotype" w:hAnsi="Palatino Linotype" w:cs="Palatino Linotype"/>
        </w:rPr>
        <w:t xml:space="preserve">en el </w:t>
      </w:r>
      <w:r w:rsidR="009D75FF" w:rsidRPr="00386744">
        <w:rPr>
          <w:rFonts w:ascii="Palatino Linotype" w:eastAsia="Palatino Linotype" w:hAnsi="Palatino Linotype" w:cs="Palatino Linotype"/>
        </w:rPr>
        <w:t>recurso de r</w:t>
      </w:r>
      <w:r w:rsidRPr="00386744">
        <w:rPr>
          <w:rFonts w:ascii="Palatino Linotype" w:eastAsia="Palatino Linotype" w:hAnsi="Palatino Linotype" w:cs="Palatino Linotype"/>
        </w:rPr>
        <w:t xml:space="preserve">evisión </w:t>
      </w:r>
      <w:r w:rsidR="009D75FF" w:rsidRPr="00386744">
        <w:rPr>
          <w:rFonts w:ascii="Palatino Linotype" w:eastAsia="Palatino Linotype" w:hAnsi="Palatino Linotype" w:cs="Palatino Linotype"/>
          <w:b/>
        </w:rPr>
        <w:t>0</w:t>
      </w:r>
      <w:r w:rsidR="005F2BFC" w:rsidRPr="00386744">
        <w:rPr>
          <w:rFonts w:ascii="Palatino Linotype" w:eastAsia="Palatino Linotype" w:hAnsi="Palatino Linotype" w:cs="Palatino Linotype"/>
          <w:b/>
        </w:rPr>
        <w:t>0</w:t>
      </w:r>
      <w:r w:rsidR="009D75FF" w:rsidRPr="00386744">
        <w:rPr>
          <w:rFonts w:ascii="Palatino Linotype" w:eastAsia="Palatino Linotype" w:hAnsi="Palatino Linotype" w:cs="Palatino Linotype"/>
          <w:b/>
        </w:rPr>
        <w:t>999</w:t>
      </w:r>
      <w:r w:rsidR="00263683" w:rsidRPr="00386744">
        <w:rPr>
          <w:rFonts w:ascii="Palatino Linotype" w:eastAsia="Palatino Linotype" w:hAnsi="Palatino Linotype" w:cs="Palatino Linotype"/>
          <w:b/>
        </w:rPr>
        <w:t>/INFOEM/IP/RR/2022</w:t>
      </w:r>
      <w:r w:rsidRPr="00386744">
        <w:rPr>
          <w:rFonts w:ascii="Palatino Linotype" w:eastAsia="Palatino Linotype" w:hAnsi="Palatino Linotype" w:cs="Palatino Linotype"/>
          <w:b/>
        </w:rPr>
        <w:t xml:space="preserve">, </w:t>
      </w:r>
      <w:r w:rsidRPr="00386744">
        <w:rPr>
          <w:rFonts w:ascii="Palatino Linotype" w:hAnsi="Palatino Linotype" w:cs="Arial"/>
          <w:lang w:val="es-MX" w:eastAsia="en-US"/>
        </w:rPr>
        <w:t xml:space="preserve">por lo que, en términos del considerando </w:t>
      </w:r>
      <w:r w:rsidRPr="00386744">
        <w:rPr>
          <w:rFonts w:ascii="Palatino Linotype" w:hAnsi="Palatino Linotype" w:cs="Arial"/>
          <w:b/>
          <w:lang w:val="es-MX" w:eastAsia="en-US"/>
        </w:rPr>
        <w:t xml:space="preserve">Cuarto </w:t>
      </w:r>
      <w:r w:rsidRPr="00386744">
        <w:rPr>
          <w:rFonts w:ascii="Palatino Linotype" w:hAnsi="Palatino Linotype" w:cs="Arial"/>
          <w:lang w:val="es-MX" w:eastAsia="en-US"/>
        </w:rPr>
        <w:t xml:space="preserve">de esta resolución, se </w:t>
      </w:r>
      <w:r w:rsidR="00BD77A2" w:rsidRPr="00386744">
        <w:rPr>
          <w:rFonts w:ascii="Palatino Linotype" w:hAnsi="Palatino Linotype" w:cs="Arial"/>
          <w:b/>
          <w:lang w:val="es-MX" w:eastAsia="en-US"/>
        </w:rPr>
        <w:t>M</w:t>
      </w:r>
      <w:r w:rsidR="009D75FF" w:rsidRPr="00386744">
        <w:rPr>
          <w:rFonts w:ascii="Palatino Linotype" w:hAnsi="Palatino Linotype" w:cs="Arial"/>
          <w:b/>
          <w:lang w:val="es-MX" w:eastAsia="en-US"/>
        </w:rPr>
        <w:t xml:space="preserve">odifica </w:t>
      </w:r>
      <w:r w:rsidRPr="00386744">
        <w:rPr>
          <w:rFonts w:ascii="Palatino Linotype" w:hAnsi="Palatino Linotype" w:cs="Arial"/>
          <w:lang w:val="es-MX" w:eastAsia="en-US"/>
        </w:rPr>
        <w:t>la respuesta emitida por el</w:t>
      </w:r>
      <w:r w:rsidRPr="00386744">
        <w:rPr>
          <w:rFonts w:ascii="Palatino Linotype" w:hAnsi="Palatino Linotype" w:cs="Arial"/>
          <w:bCs/>
          <w:lang w:val="es-MX" w:eastAsia="en-US"/>
        </w:rPr>
        <w:t xml:space="preserve"> </w:t>
      </w:r>
      <w:r w:rsidR="009D75FF" w:rsidRPr="00386744">
        <w:rPr>
          <w:rFonts w:ascii="Palatino Linotype" w:eastAsia="Palatino Linotype" w:hAnsi="Palatino Linotype" w:cs="Palatino Linotype"/>
          <w:b/>
        </w:rPr>
        <w:t>Sujeto Obligado</w:t>
      </w:r>
      <w:r w:rsidRPr="00386744">
        <w:rPr>
          <w:rFonts w:ascii="Palatino Linotype" w:hAnsi="Palatino Linotype" w:cs="Arial"/>
          <w:bCs/>
          <w:lang w:val="es-MX" w:eastAsia="en-US"/>
        </w:rPr>
        <w:t>.</w:t>
      </w:r>
    </w:p>
    <w:p w14:paraId="359DF960" w14:textId="2534B47D" w:rsidR="00CE0058" w:rsidRPr="00386744" w:rsidRDefault="00C678ED" w:rsidP="008C37ED">
      <w:pPr>
        <w:spacing w:before="240" w:after="240" w:line="360" w:lineRule="auto"/>
        <w:ind w:right="49"/>
        <w:jc w:val="both"/>
        <w:rPr>
          <w:rFonts w:ascii="Palatino Linotype" w:hAnsi="Palatino Linotype"/>
        </w:rPr>
      </w:pPr>
      <w:r w:rsidRPr="00386744">
        <w:rPr>
          <w:rFonts w:ascii="Palatino Linotype" w:hAnsi="Palatino Linotype" w:cs="Arial"/>
          <w:b/>
        </w:rPr>
        <w:t xml:space="preserve">Segundo. </w:t>
      </w:r>
      <w:r w:rsidRPr="00386744">
        <w:rPr>
          <w:rFonts w:ascii="Palatino Linotype" w:hAnsi="Palatino Linotype" w:cs="Arial"/>
        </w:rPr>
        <w:t>Se</w:t>
      </w:r>
      <w:r w:rsidRPr="00386744">
        <w:rPr>
          <w:rFonts w:ascii="Palatino Linotype" w:hAnsi="Palatino Linotype" w:cs="Arial"/>
          <w:b/>
        </w:rPr>
        <w:t xml:space="preserve"> </w:t>
      </w:r>
      <w:r w:rsidRPr="00386744">
        <w:rPr>
          <w:rFonts w:ascii="Palatino Linotype" w:hAnsi="Palatino Linotype"/>
          <w:b/>
        </w:rPr>
        <w:t>O</w:t>
      </w:r>
      <w:r w:rsidR="009D75FF" w:rsidRPr="00386744">
        <w:rPr>
          <w:rFonts w:ascii="Palatino Linotype" w:hAnsi="Palatino Linotype"/>
          <w:b/>
        </w:rPr>
        <w:t>rdena</w:t>
      </w:r>
      <w:r w:rsidRPr="00386744">
        <w:rPr>
          <w:rFonts w:ascii="Palatino Linotype" w:hAnsi="Palatino Linotype"/>
          <w:b/>
        </w:rPr>
        <w:t xml:space="preserve"> </w:t>
      </w:r>
      <w:r w:rsidRPr="00386744">
        <w:rPr>
          <w:rFonts w:ascii="Palatino Linotype" w:hAnsi="Palatino Linotype"/>
        </w:rPr>
        <w:t xml:space="preserve">al </w:t>
      </w:r>
      <w:r w:rsidR="009D75FF" w:rsidRPr="00386744">
        <w:rPr>
          <w:rFonts w:ascii="Palatino Linotype" w:eastAsia="Palatino Linotype" w:hAnsi="Palatino Linotype" w:cs="Palatino Linotype"/>
          <w:b/>
        </w:rPr>
        <w:t>Sujeto Obligado</w:t>
      </w:r>
      <w:r w:rsidR="009D75FF" w:rsidRPr="00386744">
        <w:rPr>
          <w:rFonts w:ascii="Palatino Linotype" w:eastAsia="Palatino Linotype" w:hAnsi="Palatino Linotype" w:cs="Palatino Linotype"/>
        </w:rPr>
        <w:t xml:space="preserve"> </w:t>
      </w:r>
      <w:r w:rsidRPr="00386744">
        <w:rPr>
          <w:rFonts w:ascii="Palatino Linotype" w:hAnsi="Palatino Linotype"/>
        </w:rPr>
        <w:t>que,</w:t>
      </w:r>
      <w:r w:rsidRPr="00386744">
        <w:rPr>
          <w:rFonts w:ascii="Palatino Linotype" w:hAnsi="Palatino Linotype"/>
          <w:b/>
        </w:rPr>
        <w:t xml:space="preserve"> </w:t>
      </w:r>
      <w:r w:rsidRPr="00386744">
        <w:rPr>
          <w:rFonts w:ascii="Palatino Linotype" w:hAnsi="Palatino Linotype"/>
        </w:rPr>
        <w:t>en té</w:t>
      </w:r>
      <w:r w:rsidR="00CE0058" w:rsidRPr="00386744">
        <w:rPr>
          <w:rFonts w:ascii="Palatino Linotype" w:hAnsi="Palatino Linotype"/>
        </w:rPr>
        <w:t>rminos de los</w:t>
      </w:r>
      <w:r w:rsidRPr="00386744">
        <w:rPr>
          <w:rFonts w:ascii="Palatino Linotype" w:hAnsi="Palatino Linotype"/>
        </w:rPr>
        <w:t xml:space="preserve"> Considerando</w:t>
      </w:r>
      <w:r w:rsidR="00CE0058" w:rsidRPr="00386744">
        <w:rPr>
          <w:rFonts w:ascii="Palatino Linotype" w:hAnsi="Palatino Linotype"/>
        </w:rPr>
        <w:t>s</w:t>
      </w:r>
      <w:r w:rsidRPr="00386744">
        <w:rPr>
          <w:rFonts w:ascii="Palatino Linotype" w:hAnsi="Palatino Linotype"/>
        </w:rPr>
        <w:t xml:space="preserve"> </w:t>
      </w:r>
      <w:r w:rsidRPr="00386744">
        <w:rPr>
          <w:rFonts w:ascii="Palatino Linotype" w:hAnsi="Palatino Linotype"/>
          <w:b/>
        </w:rPr>
        <w:t>Cuarto</w:t>
      </w:r>
      <w:r w:rsidR="00CE0058" w:rsidRPr="00386744">
        <w:rPr>
          <w:rFonts w:ascii="Palatino Linotype" w:hAnsi="Palatino Linotype"/>
        </w:rPr>
        <w:t xml:space="preserve"> y </w:t>
      </w:r>
      <w:r w:rsidR="00CE0058" w:rsidRPr="00386744">
        <w:rPr>
          <w:rFonts w:ascii="Palatino Linotype" w:hAnsi="Palatino Linotype"/>
          <w:b/>
        </w:rPr>
        <w:t>Quinto</w:t>
      </w:r>
      <w:r w:rsidR="00CE0058" w:rsidRPr="00386744">
        <w:rPr>
          <w:rFonts w:ascii="Palatino Linotype" w:hAnsi="Palatino Linotype"/>
        </w:rPr>
        <w:t xml:space="preserve"> de la presente resolución</w:t>
      </w:r>
      <w:r w:rsidRPr="00386744">
        <w:rPr>
          <w:rFonts w:ascii="Palatino Linotype" w:hAnsi="Palatino Linotype"/>
        </w:rPr>
        <w:t>, haga entrega vía SAIMEX</w:t>
      </w:r>
      <w:r w:rsidR="009D75FF" w:rsidRPr="00386744">
        <w:rPr>
          <w:rFonts w:ascii="Palatino Linotype" w:hAnsi="Palatino Linotype"/>
        </w:rPr>
        <w:t xml:space="preserve">, </w:t>
      </w:r>
      <w:r w:rsidR="00CE0058" w:rsidRPr="00386744">
        <w:rPr>
          <w:rFonts w:ascii="Palatino Linotype" w:hAnsi="Palatino Linotype"/>
        </w:rPr>
        <w:t>en versión pública</w:t>
      </w:r>
      <w:r w:rsidRPr="00386744">
        <w:rPr>
          <w:rFonts w:ascii="Palatino Linotype" w:hAnsi="Palatino Linotype"/>
        </w:rPr>
        <w:t xml:space="preserve">, </w:t>
      </w:r>
      <w:r w:rsidR="009D75FF" w:rsidRPr="00386744">
        <w:rPr>
          <w:rFonts w:ascii="Palatino Linotype" w:hAnsi="Palatino Linotype"/>
        </w:rPr>
        <w:t xml:space="preserve">de </w:t>
      </w:r>
      <w:r w:rsidRPr="00386744">
        <w:rPr>
          <w:rFonts w:ascii="Palatino Linotype" w:hAnsi="Palatino Linotype"/>
        </w:rPr>
        <w:t>lo siguiente:</w:t>
      </w:r>
    </w:p>
    <w:p w14:paraId="7DA2045E" w14:textId="71FCF20E" w:rsidR="00263683" w:rsidRPr="00386744" w:rsidRDefault="00A40548" w:rsidP="0086722C">
      <w:pPr>
        <w:pStyle w:val="Prrafodelista"/>
        <w:numPr>
          <w:ilvl w:val="0"/>
          <w:numId w:val="47"/>
        </w:numPr>
        <w:tabs>
          <w:tab w:val="left" w:pos="851"/>
        </w:tabs>
        <w:spacing w:before="240" w:after="240" w:line="276" w:lineRule="auto"/>
        <w:ind w:left="567" w:right="49" w:firstLine="0"/>
        <w:jc w:val="both"/>
        <w:rPr>
          <w:rFonts w:ascii="Palatino Linotype" w:hAnsi="Palatino Linotype"/>
        </w:rPr>
      </w:pPr>
      <w:r w:rsidRPr="00386744">
        <w:rPr>
          <w:rFonts w:ascii="Palatino Linotype" w:hAnsi="Palatino Linotype"/>
          <w:sz w:val="24"/>
          <w:szCs w:val="24"/>
        </w:rPr>
        <w:t>R</w:t>
      </w:r>
      <w:r w:rsidR="00263683" w:rsidRPr="00386744">
        <w:rPr>
          <w:rFonts w:ascii="Palatino Linotype" w:hAnsi="Palatino Linotype"/>
          <w:sz w:val="24"/>
          <w:szCs w:val="24"/>
        </w:rPr>
        <w:t xml:space="preserve">ecibos de nómina de los elementos de seguridad pública de la </w:t>
      </w:r>
      <w:r w:rsidRPr="00386744">
        <w:rPr>
          <w:rFonts w:ascii="Palatino Linotype" w:hAnsi="Palatino Linotype"/>
          <w:sz w:val="24"/>
          <w:szCs w:val="24"/>
        </w:rPr>
        <w:t xml:space="preserve">segunda quincena del mes de diciembre del año dos mil veintiuno y </w:t>
      </w:r>
      <w:r w:rsidR="00263683" w:rsidRPr="00386744">
        <w:rPr>
          <w:rFonts w:ascii="Palatino Linotype" w:hAnsi="Palatino Linotype"/>
          <w:sz w:val="24"/>
          <w:szCs w:val="24"/>
        </w:rPr>
        <w:t xml:space="preserve">primera quincena del mes de enero del año dos mil veintidós.  </w:t>
      </w:r>
    </w:p>
    <w:p w14:paraId="35FF94C9" w14:textId="77777777" w:rsidR="00130CCE" w:rsidRPr="00386744" w:rsidRDefault="00130CCE" w:rsidP="0086722C">
      <w:pPr>
        <w:spacing w:before="120" w:after="120"/>
        <w:ind w:left="425" w:right="51"/>
        <w:jc w:val="both"/>
        <w:rPr>
          <w:rFonts w:ascii="Palatino Linotype" w:hAnsi="Palatino Linotype"/>
          <w:i/>
          <w:sz w:val="20"/>
        </w:rPr>
      </w:pPr>
      <w:r w:rsidRPr="00386744">
        <w:rPr>
          <w:rFonts w:ascii="Palatino Linotype" w:hAnsi="Palatino Linotype"/>
          <w:i/>
          <w:sz w:val="20"/>
        </w:rPr>
        <w:t>Debiendo emitir el Acuerdo del Comité de Transparencia de conformidad a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del recurrente, mismo que igualmente hará de su conocimiento.</w:t>
      </w:r>
    </w:p>
    <w:p w14:paraId="4B30DB53" w14:textId="77777777" w:rsidR="002879B9" w:rsidRPr="00386744" w:rsidRDefault="002879B9" w:rsidP="002879B9">
      <w:pPr>
        <w:spacing w:before="240" w:after="240" w:line="360" w:lineRule="auto"/>
        <w:jc w:val="both"/>
        <w:rPr>
          <w:rFonts w:ascii="Palatino Linotype" w:hAnsi="Palatino Linotype"/>
          <w:shd w:val="clear" w:color="auto" w:fill="FFFFFF"/>
        </w:rPr>
      </w:pPr>
      <w:r w:rsidRPr="00386744">
        <w:rPr>
          <w:rFonts w:ascii="Palatino Linotype" w:hAnsi="Palatino Linotype" w:cs="Arial"/>
          <w:b/>
        </w:rPr>
        <w:lastRenderedPageBreak/>
        <w:t>Tercero.</w:t>
      </w:r>
      <w:r w:rsidRPr="00386744">
        <w:rPr>
          <w:rFonts w:ascii="Palatino Linotype" w:hAnsi="Palatino Linotype" w:cs="Arial"/>
          <w:b/>
          <w:bCs/>
          <w:shd w:val="clear" w:color="auto" w:fill="FFFFFF"/>
        </w:rPr>
        <w:t xml:space="preserve"> Notifíquese vía SAIMEX,</w:t>
      </w:r>
      <w:r w:rsidRPr="00386744">
        <w:rPr>
          <w:rStyle w:val="apple-converted-space"/>
          <w:rFonts w:ascii="Palatino Linotype" w:hAnsi="Palatino Linotype" w:cs="Arial"/>
          <w:b/>
          <w:bCs/>
          <w:i/>
          <w:iCs/>
          <w:shd w:val="clear" w:color="auto" w:fill="FFFFFF"/>
        </w:rPr>
        <w:t xml:space="preserve"> </w:t>
      </w:r>
      <w:r w:rsidRPr="00386744">
        <w:rPr>
          <w:rFonts w:ascii="Palatino Linotype" w:hAnsi="Palatino Linotype"/>
          <w:shd w:val="clear" w:color="auto" w:fill="FFFFFF"/>
        </w:rPr>
        <w:t>al Responsable de la Unidad de Transparencia del</w:t>
      </w:r>
      <w:r w:rsidRPr="00386744">
        <w:rPr>
          <w:rStyle w:val="apple-converted-space"/>
          <w:rFonts w:ascii="Palatino Linotype" w:hAnsi="Palatino Linotype"/>
          <w:bCs/>
          <w:shd w:val="clear" w:color="auto" w:fill="FFFFFF"/>
        </w:rPr>
        <w:t xml:space="preserve"> </w:t>
      </w:r>
      <w:r w:rsidRPr="00386744">
        <w:rPr>
          <w:rFonts w:ascii="Palatino Linotype" w:eastAsia="Palatino Linotype" w:hAnsi="Palatino Linotype" w:cs="Palatino Linotype"/>
          <w:b/>
        </w:rPr>
        <w:t>Sujeto Obligado</w:t>
      </w:r>
      <w:r w:rsidRPr="00386744">
        <w:rPr>
          <w:rFonts w:ascii="Palatino Linotype" w:eastAsia="Palatino Linotype" w:hAnsi="Palatino Linotype" w:cs="Palatino Linotype"/>
        </w:rPr>
        <w:t xml:space="preserve"> </w:t>
      </w:r>
      <w:r w:rsidRPr="00386744">
        <w:rPr>
          <w:rFonts w:ascii="Palatino Linotype" w:hAnsi="Palatino Linotype"/>
          <w:bCs/>
          <w:shd w:val="clear" w:color="auto" w:fill="FFFFFF"/>
        </w:rPr>
        <w:t>la presente resolución</w:t>
      </w:r>
      <w:r w:rsidRPr="00386744">
        <w:rPr>
          <w:rFonts w:ascii="Palatino Linotype" w:hAnsi="Palatino Linotype"/>
          <w:shd w:val="clear" w:color="auto" w:fill="FFFFFF"/>
        </w:rPr>
        <w:t>, para que conforme al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w:t>
      </w:r>
    </w:p>
    <w:p w14:paraId="192B3127" w14:textId="5FF8565C" w:rsidR="0028232C" w:rsidRPr="00386744" w:rsidRDefault="00C678ED" w:rsidP="008C37ED">
      <w:pPr>
        <w:spacing w:before="240" w:after="240" w:line="360" w:lineRule="auto"/>
        <w:jc w:val="both"/>
        <w:rPr>
          <w:rFonts w:ascii="Palatino Linotype" w:hAnsi="Palatino Linotype" w:cs="Arial"/>
          <w:sz w:val="25"/>
          <w:szCs w:val="25"/>
        </w:rPr>
      </w:pPr>
      <w:r w:rsidRPr="00386744">
        <w:rPr>
          <w:rFonts w:ascii="Palatino Linotype" w:hAnsi="Palatino Linotype" w:cs="Arial"/>
          <w:b/>
        </w:rPr>
        <w:t xml:space="preserve">Cuarto. </w:t>
      </w:r>
      <w:r w:rsidR="0028232C" w:rsidRPr="00386744">
        <w:rPr>
          <w:rFonts w:ascii="Palatino Linotype" w:hAnsi="Palatino Linotype" w:cs="Arial"/>
          <w:b/>
          <w:bCs/>
          <w:shd w:val="clear" w:color="auto" w:fill="FFFFFF"/>
        </w:rPr>
        <w:t>Notifíquese vía SAIMEX</w:t>
      </w:r>
      <w:r w:rsidR="0028232C" w:rsidRPr="00386744">
        <w:rPr>
          <w:rFonts w:ascii="Palatino Linotype" w:hAnsi="Palatino Linotype" w:cs="Arial"/>
        </w:rPr>
        <w:t xml:space="preserve">  a la parte </w:t>
      </w:r>
      <w:r w:rsidR="0028232C" w:rsidRPr="00386744">
        <w:rPr>
          <w:rFonts w:ascii="Palatino Linotype" w:hAnsi="Palatino Linotype" w:cs="Arial"/>
          <w:b/>
        </w:rPr>
        <w:t>R</w:t>
      </w:r>
      <w:r w:rsidR="00B815FB" w:rsidRPr="00386744">
        <w:rPr>
          <w:rFonts w:ascii="Palatino Linotype" w:hAnsi="Palatino Linotype" w:cs="Arial"/>
          <w:b/>
        </w:rPr>
        <w:t>ecurrente</w:t>
      </w:r>
      <w:r w:rsidR="0028232C" w:rsidRPr="00386744">
        <w:rPr>
          <w:rFonts w:ascii="Palatino Linotype" w:hAnsi="Palatino Linotype" w:cs="Arial"/>
        </w:rPr>
        <w:t>, la presente resolución, así como, que de conformidad con lo establecido en el artículo 196 de la Ley de Transparencia y Acceso a la Información Pública del Estado de México y Municipios, y con lo establecido en los artículos 159 y 160 de la Ley General de Transparencia y Acceso a la Información Pública, podrá impugnarla vía recurso de inconformidad ante el Instituto Nacional de Transparencia, Acceso a la Información y Protección de Datos Personales, o bien, vía Juicio de Amparo en los términos de las leyes aplicables.</w:t>
      </w:r>
    </w:p>
    <w:p w14:paraId="29096BC1" w14:textId="35E0B551" w:rsidR="00025B60" w:rsidRPr="00386744" w:rsidRDefault="00025B60" w:rsidP="008C37ED">
      <w:pPr>
        <w:spacing w:before="240" w:after="240" w:line="360" w:lineRule="auto"/>
        <w:jc w:val="both"/>
        <w:rPr>
          <w:rFonts w:ascii="Palatino Linotype" w:hAnsi="Palatino Linotype" w:cs="Arial"/>
          <w:bCs/>
        </w:rPr>
      </w:pPr>
      <w:r w:rsidRPr="00386744">
        <w:rPr>
          <w:rFonts w:ascii="Palatino Linotype" w:hAnsi="Palatino Linotype"/>
          <w:b/>
          <w:szCs w:val="25"/>
        </w:rPr>
        <w:t>Quinto.</w:t>
      </w:r>
      <w:r w:rsidRPr="00386744">
        <w:rPr>
          <w:rFonts w:ascii="Palatino Linotype" w:hAnsi="Palatino Linotype"/>
          <w:szCs w:val="25"/>
        </w:rPr>
        <w:t xml:space="preserve"> </w:t>
      </w:r>
      <w:r w:rsidRPr="00386744">
        <w:rPr>
          <w:rFonts w:ascii="Palatino Linotype" w:hAnsi="Palatino Linotype" w:cs="Arial"/>
          <w:bCs/>
        </w:rPr>
        <w:t xml:space="preserve">De conformidad con el artículo 198 de la Ley de Transparencia y Acceso a la Información Pública del Estado de México y Municipios, de considerarlo procedente, el </w:t>
      </w:r>
      <w:r w:rsidR="002879B9" w:rsidRPr="00386744">
        <w:rPr>
          <w:rFonts w:ascii="Palatino Linotype" w:hAnsi="Palatino Linotype" w:cs="Arial"/>
          <w:b/>
          <w:bCs/>
        </w:rPr>
        <w:t>Sujeto Obligado</w:t>
      </w:r>
      <w:r w:rsidR="002879B9" w:rsidRPr="00386744">
        <w:rPr>
          <w:rFonts w:ascii="Palatino Linotype" w:hAnsi="Palatino Linotype" w:cs="Arial"/>
          <w:bCs/>
        </w:rPr>
        <w:t xml:space="preserve"> </w:t>
      </w:r>
      <w:r w:rsidRPr="00386744">
        <w:rPr>
          <w:rFonts w:ascii="Palatino Linotype" w:hAnsi="Palatino Linotype" w:cs="Arial"/>
          <w:bCs/>
        </w:rPr>
        <w:t>de manera fundada y motivada, podrá solicitar una ampliación de plazo para el cumplimiento de la presente resolución.</w:t>
      </w:r>
    </w:p>
    <w:p w14:paraId="5515E335" w14:textId="55059384" w:rsidR="00B815FB" w:rsidRPr="00386744" w:rsidRDefault="00B815FB" w:rsidP="008C37ED">
      <w:pPr>
        <w:spacing w:before="240" w:after="240" w:line="360" w:lineRule="auto"/>
        <w:jc w:val="both"/>
        <w:rPr>
          <w:rFonts w:ascii="Palatino Linotype" w:hAnsi="Palatino Linotype" w:cs="Arial"/>
          <w:b/>
          <w:bCs/>
        </w:rPr>
      </w:pPr>
      <w:r w:rsidRPr="00386744">
        <w:rPr>
          <w:rFonts w:ascii="Palatino Linotype" w:eastAsia="Palatino Linotype" w:hAnsi="Palatino Linotype" w:cs="Palatino Linotype"/>
          <w:b/>
        </w:rPr>
        <w:t xml:space="preserve">Sexto. Gírese </w:t>
      </w:r>
      <w:r w:rsidRPr="00386744">
        <w:rPr>
          <w:rFonts w:ascii="Palatino Linotype" w:eastAsia="Palatino Linotype" w:hAnsi="Palatino Linotype" w:cs="Palatino Linotype"/>
        </w:rPr>
        <w:t xml:space="preserve">oficio al Contralor Interno y Órgano de Control y Vigilancia de este Instituto para hacer de su conocimiento la presente resolución, a fin de que en ejercicio de sus atribuciones y de conformidad con el artículo 190, de la Ley de Transparencia y Acceso a la Información Pública del Estado de México y Municipios, </w:t>
      </w:r>
      <w:r w:rsidRPr="00386744">
        <w:rPr>
          <w:rFonts w:ascii="Palatino Linotype" w:eastAsia="Palatino Linotype" w:hAnsi="Palatino Linotype" w:cs="Palatino Linotype"/>
        </w:rPr>
        <w:lastRenderedPageBreak/>
        <w:t>determine lo conducente, en términos de lo señalado en el considerando</w:t>
      </w:r>
      <w:r w:rsidRPr="00386744">
        <w:rPr>
          <w:rFonts w:ascii="Palatino Linotype" w:eastAsia="Palatino Linotype" w:hAnsi="Palatino Linotype" w:cs="Palatino Linotype"/>
          <w:b/>
        </w:rPr>
        <w:t xml:space="preserve"> Cuarto </w:t>
      </w:r>
      <w:r w:rsidRPr="00386744">
        <w:rPr>
          <w:rFonts w:ascii="Palatino Linotype" w:eastAsia="Palatino Linotype" w:hAnsi="Palatino Linotype" w:cs="Palatino Linotype"/>
        </w:rPr>
        <w:t>de la presente resolución.</w:t>
      </w:r>
      <w:r w:rsidRPr="00386744">
        <w:rPr>
          <w:rFonts w:ascii="Palatino Linotype" w:eastAsia="Palatino Linotype" w:hAnsi="Palatino Linotype" w:cs="Palatino Linotype"/>
          <w:b/>
        </w:rPr>
        <w:t xml:space="preserve"> </w:t>
      </w:r>
    </w:p>
    <w:p w14:paraId="0B241925" w14:textId="575C4360" w:rsidR="00B815FB" w:rsidRDefault="00B815FB" w:rsidP="00B815FB">
      <w:pPr>
        <w:spacing w:line="360" w:lineRule="auto"/>
        <w:jc w:val="both"/>
        <w:rPr>
          <w:rFonts w:ascii="Palatino Linotype" w:eastAsia="Palatino Linotype" w:hAnsi="Palatino Linotype" w:cs="Palatino Linotype"/>
        </w:rPr>
      </w:pPr>
      <w:r w:rsidRPr="00386744">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w:t>
      </w:r>
      <w:r w:rsidR="00386744" w:rsidRPr="00386744">
        <w:rPr>
          <w:rFonts w:ascii="Palatino Linotype" w:eastAsia="Palatino Linotype" w:hAnsi="Palatino Linotype" w:cs="Palatino Linotype"/>
        </w:rPr>
        <w:t xml:space="preserve"> EMITIENDO VOTO PARTICULAR</w:t>
      </w:r>
      <w:r w:rsidRPr="00386744">
        <w:rPr>
          <w:rFonts w:ascii="Palatino Linotype" w:eastAsia="Palatino Linotype" w:hAnsi="Palatino Linotype" w:cs="Palatino Linotype"/>
        </w:rPr>
        <w:t>, SHARON CRISTINA MORALES MARTÍNEZ</w:t>
      </w:r>
      <w:r w:rsidR="00386744" w:rsidRPr="00386744">
        <w:rPr>
          <w:rFonts w:ascii="Palatino Linotype" w:eastAsia="Palatino Linotype" w:hAnsi="Palatino Linotype" w:cs="Palatino Linotype"/>
        </w:rPr>
        <w:t xml:space="preserve"> EMITIENDO VOTO PARTICULAR</w:t>
      </w:r>
      <w:r w:rsidRPr="00386744">
        <w:rPr>
          <w:rFonts w:ascii="Palatino Linotype" w:eastAsia="Palatino Linotype" w:hAnsi="Palatino Linotype" w:cs="Palatino Linotype"/>
        </w:rPr>
        <w:t>, LUIS GUSTAVO PARRA NORIEGA</w:t>
      </w:r>
      <w:r w:rsidR="00386744" w:rsidRPr="00386744">
        <w:rPr>
          <w:rFonts w:ascii="Palatino Linotype" w:eastAsia="Palatino Linotype" w:hAnsi="Palatino Linotype" w:cs="Palatino Linotype"/>
        </w:rPr>
        <w:t xml:space="preserve"> EMITIENDO VOTO PARTICULAR,</w:t>
      </w:r>
      <w:r w:rsidRPr="00386744">
        <w:rPr>
          <w:rFonts w:ascii="Palatino Linotype" w:eastAsia="Palatino Linotype" w:hAnsi="Palatino Linotype" w:cs="Palatino Linotype"/>
        </w:rPr>
        <w:t xml:space="preserve"> Y GUADALUPE RAMÍREZ PEÑA; EN LA DÉCIMO  </w:t>
      </w:r>
      <w:r w:rsidR="00BB5A99" w:rsidRPr="00386744">
        <w:rPr>
          <w:rFonts w:ascii="Palatino Linotype" w:eastAsia="Palatino Linotype" w:hAnsi="Palatino Linotype" w:cs="Palatino Linotype"/>
        </w:rPr>
        <w:t>SÉPTIMA</w:t>
      </w:r>
      <w:r w:rsidRPr="00386744">
        <w:rPr>
          <w:rFonts w:ascii="Palatino Linotype" w:eastAsia="Palatino Linotype" w:hAnsi="Palatino Linotype" w:cs="Palatino Linotype"/>
        </w:rPr>
        <w:t xml:space="preserve"> SESIÓN ORDINARIA CELEBRADA EL </w:t>
      </w:r>
      <w:r w:rsidR="003B4F3D" w:rsidRPr="00386744">
        <w:rPr>
          <w:rFonts w:ascii="Palatino Linotype" w:eastAsia="Palatino Linotype" w:hAnsi="Palatino Linotype" w:cs="Palatino Linotype"/>
        </w:rPr>
        <w:t>ONCE</w:t>
      </w:r>
      <w:r w:rsidRPr="00386744">
        <w:rPr>
          <w:rFonts w:ascii="Palatino Linotype" w:eastAsia="Palatino Linotype" w:hAnsi="Palatino Linotype" w:cs="Palatino Linotype"/>
        </w:rPr>
        <w:t xml:space="preserve"> DE MAYO DE DOS MIL VEINTIDÓS, ANTE EL SECRETARIO TÉCNICO DEL PLENO ALEXIS TAPIA RAMÍREZ.</w:t>
      </w:r>
    </w:p>
    <w:p w14:paraId="111299AC" w14:textId="03CB2307" w:rsidR="00386744" w:rsidRPr="00386744" w:rsidRDefault="00386744" w:rsidP="00B815FB">
      <w:pPr>
        <w:spacing w:line="360" w:lineRule="auto"/>
        <w:jc w:val="both"/>
        <w:rPr>
          <w:rFonts w:ascii="Palatino Linotype" w:eastAsia="Palatino Linotype" w:hAnsi="Palatino Linotype" w:cs="Palatino Linotype"/>
        </w:rPr>
      </w:pPr>
    </w:p>
    <w:p w14:paraId="02E55558" w14:textId="230B6CFB" w:rsidR="00B815FB" w:rsidRPr="00386744" w:rsidRDefault="00386744" w:rsidP="00B815FB">
      <w:pPr>
        <w:rPr>
          <w:rFonts w:ascii="Palatino Linotype" w:eastAsia="Palatino Linotype" w:hAnsi="Palatino Linotype" w:cs="Palatino Linotype"/>
        </w:rPr>
      </w:pPr>
      <w:r>
        <w:rPr>
          <w:rFonts w:ascii="Palatino Linotype" w:eastAsia="Palatino Linotype" w:hAnsi="Palatino Linotype" w:cs="Palatino Linotype"/>
          <w:noProof/>
          <w:lang w:val="es-MX" w:eastAsia="es-MX"/>
        </w:rPr>
        <mc:AlternateContent>
          <mc:Choice Requires="wps">
            <w:drawing>
              <wp:anchor distT="0" distB="0" distL="114300" distR="114300" simplePos="0" relativeHeight="251680768" behindDoc="0" locked="0" layoutInCell="1" allowOverlap="1" wp14:anchorId="1496792A" wp14:editId="4DE6342A">
                <wp:simplePos x="0" y="0"/>
                <wp:positionH relativeFrom="margin">
                  <wp:align>left</wp:align>
                </wp:positionH>
                <wp:positionV relativeFrom="paragraph">
                  <wp:posOffset>5715</wp:posOffset>
                </wp:positionV>
                <wp:extent cx="5581650" cy="3171825"/>
                <wp:effectExtent l="0" t="0" r="19050" b="28575"/>
                <wp:wrapNone/>
                <wp:docPr id="1" name="Conector recto 1"/>
                <wp:cNvGraphicFramePr/>
                <a:graphic xmlns:a="http://schemas.openxmlformats.org/drawingml/2006/main">
                  <a:graphicData uri="http://schemas.microsoft.com/office/word/2010/wordprocessingShape">
                    <wps:wsp>
                      <wps:cNvCnPr/>
                      <wps:spPr>
                        <a:xfrm>
                          <a:off x="0" y="0"/>
                          <a:ext cx="5581650" cy="3171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B7884C" id="Conector recto 1" o:spid="_x0000_s1026" style="position:absolute;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5pt" to="439.5pt,2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" strokecolor="black [3200]" strokeweight=".5pt">
                <v:stroke joinstyle="miter"/>
                <w10:wrap anchorx="margin"/>
              </v:line>
            </w:pict>
          </mc:Fallback>
        </mc:AlternateContent>
      </w:r>
    </w:p>
    <w:p w14:paraId="4ADD484F" w14:textId="77777777" w:rsidR="00B815FB" w:rsidRPr="00386744" w:rsidRDefault="00B815FB" w:rsidP="00521972">
      <w:pPr>
        <w:spacing w:before="240" w:after="240" w:line="360" w:lineRule="auto"/>
        <w:jc w:val="both"/>
        <w:rPr>
          <w:rFonts w:ascii="Palatino Linotype" w:hAnsi="Palatino Linotype"/>
          <w:shd w:val="clear" w:color="auto" w:fill="FFFFFF"/>
        </w:rPr>
      </w:pPr>
    </w:p>
    <w:p w14:paraId="262BDC5D" w14:textId="77777777" w:rsidR="00B815FB" w:rsidRPr="00386744" w:rsidRDefault="00B815FB" w:rsidP="00521972">
      <w:pPr>
        <w:spacing w:before="240" w:after="240" w:line="360" w:lineRule="auto"/>
        <w:jc w:val="both"/>
        <w:rPr>
          <w:rFonts w:ascii="Palatino Linotype" w:hAnsi="Palatino Linotype"/>
          <w:shd w:val="clear" w:color="auto" w:fill="FFFFFF"/>
        </w:rPr>
      </w:pPr>
    </w:p>
    <w:p w14:paraId="7BB19135" w14:textId="77777777" w:rsidR="00B815FB" w:rsidRPr="00386744" w:rsidRDefault="00B815FB" w:rsidP="00521972">
      <w:pPr>
        <w:spacing w:before="240" w:after="240" w:line="360" w:lineRule="auto"/>
        <w:jc w:val="both"/>
        <w:rPr>
          <w:rFonts w:ascii="Palatino Linotype" w:hAnsi="Palatino Linotype"/>
          <w:shd w:val="clear" w:color="auto" w:fill="FFFFFF"/>
        </w:rPr>
      </w:pPr>
    </w:p>
    <w:p w14:paraId="661C8BA6" w14:textId="77777777" w:rsidR="00B815FB" w:rsidRPr="00386744" w:rsidRDefault="00B815FB" w:rsidP="00521972">
      <w:pPr>
        <w:spacing w:before="240" w:after="240" w:line="360" w:lineRule="auto"/>
        <w:jc w:val="both"/>
        <w:rPr>
          <w:rFonts w:ascii="Palatino Linotype" w:hAnsi="Palatino Linotype"/>
          <w:shd w:val="clear" w:color="auto" w:fill="FFFFFF"/>
        </w:rPr>
      </w:pPr>
    </w:p>
    <w:p w14:paraId="702640A2" w14:textId="77777777" w:rsidR="00B815FB" w:rsidRPr="00386744" w:rsidRDefault="00B815FB" w:rsidP="00521972">
      <w:pPr>
        <w:spacing w:before="240" w:after="240" w:line="360" w:lineRule="auto"/>
        <w:jc w:val="both"/>
        <w:rPr>
          <w:rFonts w:ascii="Palatino Linotype" w:hAnsi="Palatino Linotype"/>
          <w:shd w:val="clear" w:color="auto" w:fill="FFFFFF"/>
        </w:rPr>
      </w:pPr>
    </w:p>
    <w:p w14:paraId="697782A2" w14:textId="33918B26" w:rsidR="00521972" w:rsidRPr="00386744" w:rsidRDefault="00521972" w:rsidP="00521972">
      <w:pPr>
        <w:spacing w:before="240" w:after="240" w:line="360" w:lineRule="auto"/>
        <w:jc w:val="both"/>
        <w:rPr>
          <w:rFonts w:ascii="Palatino Linotype" w:hAnsi="Palatino Linotype"/>
        </w:rPr>
        <w:sectPr w:rsidR="00521972" w:rsidRPr="00386744" w:rsidSect="00CA6FB7">
          <w:headerReference w:type="default" r:id="rId33"/>
          <w:footerReference w:type="default" r:id="rId34"/>
          <w:headerReference w:type="first" r:id="rId35"/>
          <w:footerReference w:type="first" r:id="rId36"/>
          <w:pgSz w:w="12240" w:h="15840"/>
          <w:pgMar w:top="2041" w:right="1701" w:bottom="1701" w:left="1701" w:header="709" w:footer="709" w:gutter="0"/>
          <w:cols w:space="708"/>
          <w:titlePg/>
          <w:docGrid w:linePitch="360"/>
        </w:sectPr>
      </w:pPr>
    </w:p>
    <w:p w14:paraId="28DB718C" w14:textId="77777777" w:rsidR="00025B60" w:rsidRPr="00386744" w:rsidRDefault="00025B60" w:rsidP="00521972">
      <w:pPr>
        <w:spacing w:before="240" w:after="240" w:line="360" w:lineRule="auto"/>
        <w:jc w:val="both"/>
        <w:rPr>
          <w:rFonts w:ascii="Palatino Linotype" w:hAnsi="Palatino Linotype" w:cs="Arial"/>
        </w:rPr>
      </w:pPr>
    </w:p>
    <w:sectPr w:rsidR="00025B60" w:rsidRPr="00386744" w:rsidSect="00CA6FB7">
      <w:headerReference w:type="first" r:id="rId37"/>
      <w:pgSz w:w="12240" w:h="15840"/>
      <w:pgMar w:top="2041"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B37FA6" w14:textId="77777777" w:rsidR="000B0D0A" w:rsidRDefault="000B0D0A" w:rsidP="00AC3C64">
      <w:r>
        <w:separator/>
      </w:r>
    </w:p>
  </w:endnote>
  <w:endnote w:type="continuationSeparator" w:id="0">
    <w:p w14:paraId="0BCC46E5" w14:textId="77777777" w:rsidR="000B0D0A" w:rsidRDefault="000B0D0A" w:rsidP="00AC3C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iberation Serif">
    <w:charset w:val="01"/>
    <w:family w:val="roman"/>
    <w:pitch w:val="variable"/>
  </w:font>
  <w:font w:name="DejaVu Sans">
    <w:panose1 w:val="00000000000000000000"/>
    <w:charset w:val="00"/>
    <w:family w:val="roman"/>
    <w:notTrueType/>
    <w:pitch w:val="default"/>
  </w:font>
  <w:font w:name="Lohit Hindi">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D0A5B5" w14:textId="77777777" w:rsidR="00D53D00" w:rsidRDefault="00D53D00" w:rsidP="00CA6FB7">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EF7D27">
      <w:rPr>
        <w:rFonts w:ascii="Arial" w:hAnsi="Arial" w:cs="Arial"/>
        <w:b/>
        <w:bCs/>
        <w:noProof/>
        <w:sz w:val="20"/>
        <w:szCs w:val="20"/>
      </w:rPr>
      <w:t>51</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EF7D27">
      <w:rPr>
        <w:rFonts w:ascii="Arial" w:hAnsi="Arial" w:cs="Arial"/>
        <w:b/>
        <w:bCs/>
        <w:noProof/>
        <w:sz w:val="20"/>
        <w:szCs w:val="20"/>
      </w:rPr>
      <w:t>52</w:t>
    </w:r>
    <w:r>
      <w:rPr>
        <w:rFonts w:ascii="Arial" w:hAnsi="Arial" w:cs="Arial"/>
        <w:b/>
        <w:bCs/>
        <w:sz w:val="20"/>
        <w:szCs w:val="20"/>
      </w:rPr>
      <w:fldChar w:fldCharType="end"/>
    </w:r>
  </w:p>
  <w:p w14:paraId="3371ECD8" w14:textId="77777777" w:rsidR="00D53D00" w:rsidRDefault="00D53D00" w:rsidP="00CA6FB7">
    <w:pPr>
      <w:pStyle w:val="Piedepgina"/>
      <w:rPr>
        <w:rFonts w:ascii="Times New Roman" w:hAnsi="Times New Roman" w:cs="Times New Roman"/>
      </w:rPr>
    </w:pPr>
  </w:p>
  <w:p w14:paraId="3497D703" w14:textId="77777777" w:rsidR="00D53D00" w:rsidRDefault="00D53D00" w:rsidP="00CA6FB7">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237A6A" w14:textId="77777777" w:rsidR="00D53D00" w:rsidRDefault="00D53D00" w:rsidP="00CA6FB7">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EF7D27">
      <w:rPr>
        <w:rFonts w:ascii="Arial" w:hAnsi="Arial" w:cs="Arial"/>
        <w:b/>
        <w:bCs/>
        <w:noProof/>
        <w:sz w:val="20"/>
        <w:szCs w:val="20"/>
      </w:rPr>
      <w:t>52</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EF7D27">
      <w:rPr>
        <w:rFonts w:ascii="Arial" w:hAnsi="Arial" w:cs="Arial"/>
        <w:b/>
        <w:bCs/>
        <w:noProof/>
        <w:sz w:val="20"/>
        <w:szCs w:val="20"/>
      </w:rPr>
      <w:t>52</w:t>
    </w:r>
    <w:r>
      <w:rPr>
        <w:rFonts w:ascii="Arial" w:hAnsi="Arial" w:cs="Arial"/>
        <w:b/>
        <w:bCs/>
        <w:sz w:val="20"/>
        <w:szCs w:val="20"/>
      </w:rPr>
      <w:fldChar w:fldCharType="end"/>
    </w:r>
  </w:p>
  <w:p w14:paraId="111C177E" w14:textId="77777777" w:rsidR="00D53D00" w:rsidRDefault="00D53D0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82F842" w14:textId="77777777" w:rsidR="000B0D0A" w:rsidRDefault="000B0D0A" w:rsidP="00AC3C64">
      <w:r>
        <w:separator/>
      </w:r>
    </w:p>
  </w:footnote>
  <w:footnote w:type="continuationSeparator" w:id="0">
    <w:p w14:paraId="44ADA7F2" w14:textId="77777777" w:rsidR="000B0D0A" w:rsidRDefault="000B0D0A" w:rsidP="00AC3C64">
      <w:r>
        <w:continuationSeparator/>
      </w:r>
    </w:p>
  </w:footnote>
  <w:footnote w:id="1">
    <w:p w14:paraId="5E143023" w14:textId="77777777" w:rsidR="00D53D00" w:rsidRPr="00432F91" w:rsidRDefault="00D53D00" w:rsidP="002A7885">
      <w:pPr>
        <w:pBdr>
          <w:top w:val="nil"/>
          <w:left w:val="nil"/>
          <w:bottom w:val="nil"/>
          <w:right w:val="nil"/>
          <w:between w:val="nil"/>
        </w:pBdr>
        <w:ind w:left="720" w:hanging="720"/>
        <w:jc w:val="both"/>
        <w:rPr>
          <w:rFonts w:ascii="Palatino Linotype" w:eastAsia="Palatino Linotype" w:hAnsi="Palatino Linotype" w:cs="Palatino Linotype"/>
          <w:color w:val="000000"/>
          <w:sz w:val="16"/>
          <w:szCs w:val="16"/>
        </w:rPr>
      </w:pPr>
      <w:r w:rsidRPr="00432F91">
        <w:rPr>
          <w:rFonts w:ascii="Palatino Linotype" w:hAnsi="Palatino Linotype"/>
          <w:sz w:val="16"/>
          <w:szCs w:val="16"/>
          <w:vertAlign w:val="superscript"/>
        </w:rPr>
        <w:footnoteRef/>
      </w:r>
      <w:r w:rsidRPr="00432F91">
        <w:rPr>
          <w:rFonts w:ascii="Palatino Linotype" w:eastAsia="Palatino Linotype" w:hAnsi="Palatino Linotype" w:cs="Palatino Linotype"/>
          <w:color w:val="000000"/>
          <w:sz w:val="16"/>
          <w:szCs w:val="16"/>
        </w:rPr>
        <w:t xml:space="preserve"> “</w:t>
      </w:r>
      <w:r w:rsidRPr="00432F91">
        <w:rPr>
          <w:rFonts w:ascii="Palatino Linotype" w:eastAsia="Palatino Linotype" w:hAnsi="Palatino Linotype" w:cs="Palatino Linotype"/>
          <w:b/>
          <w:color w:val="000000"/>
          <w:sz w:val="16"/>
          <w:szCs w:val="16"/>
        </w:rPr>
        <w:t>Artículo 185.</w:t>
      </w:r>
      <w:r w:rsidRPr="00432F91">
        <w:rPr>
          <w:rFonts w:ascii="Palatino Linotype" w:eastAsia="Palatino Linotype" w:hAnsi="Palatino Linotype" w:cs="Palatino Linotype"/>
          <w:color w:val="000000"/>
          <w:sz w:val="16"/>
          <w:szCs w:val="16"/>
        </w:rPr>
        <w:t xml:space="preserve"> El Instituto resolverá el recurso de revisión conforme a lo siguiente: (…)</w:t>
      </w:r>
    </w:p>
    <w:p w14:paraId="478784CF" w14:textId="77777777" w:rsidR="00D53D00" w:rsidRPr="00432F91" w:rsidRDefault="00D53D00" w:rsidP="002A7885">
      <w:pPr>
        <w:pBdr>
          <w:top w:val="nil"/>
          <w:left w:val="nil"/>
          <w:bottom w:val="nil"/>
          <w:right w:val="nil"/>
          <w:between w:val="nil"/>
        </w:pBdr>
        <w:jc w:val="both"/>
        <w:rPr>
          <w:rFonts w:ascii="Palatino Linotype" w:eastAsia="Palatino Linotype" w:hAnsi="Palatino Linotype" w:cs="Palatino Linotype"/>
          <w:color w:val="000000"/>
          <w:sz w:val="16"/>
          <w:szCs w:val="16"/>
        </w:rPr>
      </w:pPr>
      <w:r w:rsidRPr="00432F91">
        <w:rPr>
          <w:rFonts w:ascii="Palatino Linotype" w:eastAsia="Palatino Linotype" w:hAnsi="Palatino Linotype" w:cs="Palatino Linotype"/>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528" w:type="dxa"/>
      <w:tblInd w:w="3261" w:type="dxa"/>
      <w:tblLayout w:type="fixed"/>
      <w:tblLook w:val="04A0" w:firstRow="1" w:lastRow="0" w:firstColumn="1" w:lastColumn="0" w:noHBand="0" w:noVBand="1"/>
    </w:tblPr>
    <w:tblGrid>
      <w:gridCol w:w="2551"/>
      <w:gridCol w:w="2977"/>
    </w:tblGrid>
    <w:tr w:rsidR="00D53D00" w14:paraId="2493BC74" w14:textId="77777777" w:rsidTr="00CA6FB7">
      <w:tc>
        <w:tcPr>
          <w:tcW w:w="2551" w:type="dxa"/>
          <w:vAlign w:val="center"/>
          <w:hideMark/>
        </w:tcPr>
        <w:p w14:paraId="71FBF020" w14:textId="77777777" w:rsidR="00D53D00" w:rsidRDefault="00D53D00" w:rsidP="00CA6FB7">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2977" w:type="dxa"/>
          <w:vAlign w:val="center"/>
          <w:hideMark/>
        </w:tcPr>
        <w:p w14:paraId="69380138" w14:textId="325682B1" w:rsidR="00D53D00" w:rsidRDefault="00D53D00" w:rsidP="00CA6FB7">
          <w:pPr>
            <w:jc w:val="both"/>
            <w:rPr>
              <w:rFonts w:ascii="Palatino Linotype" w:hAnsi="Palatino Linotype"/>
              <w:b/>
              <w:sz w:val="22"/>
              <w:szCs w:val="22"/>
              <w:lang w:val="es-ES_tradnl"/>
            </w:rPr>
          </w:pPr>
          <w:r>
            <w:rPr>
              <w:rFonts w:ascii="Palatino Linotype" w:hAnsi="Palatino Linotype"/>
              <w:b/>
              <w:sz w:val="22"/>
              <w:szCs w:val="22"/>
              <w:lang w:val="es-ES_tradnl"/>
            </w:rPr>
            <w:t>00999/INFOEM/IP/RR/2022</w:t>
          </w:r>
        </w:p>
      </w:tc>
    </w:tr>
    <w:tr w:rsidR="00D53D00" w14:paraId="3264158C" w14:textId="77777777" w:rsidTr="00CA6FB7">
      <w:trPr>
        <w:trHeight w:val="228"/>
      </w:trPr>
      <w:tc>
        <w:tcPr>
          <w:tcW w:w="2551" w:type="dxa"/>
          <w:vAlign w:val="center"/>
          <w:hideMark/>
        </w:tcPr>
        <w:p w14:paraId="52B17253" w14:textId="77777777" w:rsidR="00D53D00" w:rsidRDefault="00D53D00" w:rsidP="00CA6FB7">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2977" w:type="dxa"/>
          <w:vAlign w:val="center"/>
          <w:hideMark/>
        </w:tcPr>
        <w:p w14:paraId="7C7BBF3A" w14:textId="6F86CDBA" w:rsidR="00D53D00" w:rsidRPr="00C16F76" w:rsidRDefault="00D53D00" w:rsidP="002A48A3">
          <w:pPr>
            <w:jc w:val="both"/>
            <w:rPr>
              <w:rFonts w:ascii="Palatino Linotype" w:hAnsi="Palatino Linotype"/>
              <w:b/>
              <w:sz w:val="22"/>
              <w:szCs w:val="22"/>
              <w:lang w:val="es-ES_tradnl"/>
            </w:rPr>
          </w:pPr>
          <w:r>
            <w:rPr>
              <w:rFonts w:ascii="Palatino Linotype" w:hAnsi="Palatino Linotype" w:cs="Arial"/>
              <w:b/>
              <w:sz w:val="22"/>
              <w:szCs w:val="22"/>
            </w:rPr>
            <w:t>Ayuntamiento de Morelos</w:t>
          </w:r>
        </w:p>
      </w:tc>
    </w:tr>
    <w:tr w:rsidR="00D53D00" w14:paraId="37BBA46A" w14:textId="77777777" w:rsidTr="00CA6FB7">
      <w:tc>
        <w:tcPr>
          <w:tcW w:w="2551" w:type="dxa"/>
          <w:vAlign w:val="center"/>
          <w:hideMark/>
        </w:tcPr>
        <w:p w14:paraId="449B70E7" w14:textId="77777777" w:rsidR="00D53D00" w:rsidRDefault="00D53D00" w:rsidP="00CA6FB7">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2977" w:type="dxa"/>
          <w:vAlign w:val="center"/>
          <w:hideMark/>
        </w:tcPr>
        <w:p w14:paraId="1A472DFB" w14:textId="218F5840" w:rsidR="00D53D00" w:rsidRDefault="00D53D00" w:rsidP="00CA6FB7">
          <w:pPr>
            <w:ind w:right="-533"/>
            <w:jc w:val="both"/>
            <w:rPr>
              <w:rFonts w:ascii="Palatino Linotype" w:hAnsi="Palatino Linotype"/>
              <w:b/>
              <w:sz w:val="22"/>
              <w:szCs w:val="22"/>
              <w:lang w:val="es-ES_tradnl"/>
            </w:rPr>
          </w:pPr>
          <w:r>
            <w:rPr>
              <w:rFonts w:ascii="Palatino Linotype" w:hAnsi="Palatino Linotype"/>
              <w:b/>
              <w:sz w:val="22"/>
              <w:szCs w:val="22"/>
              <w:lang w:val="es-ES_tradnl"/>
            </w:rPr>
            <w:t>Guadalupe Ramírez Peña</w:t>
          </w:r>
        </w:p>
      </w:tc>
    </w:tr>
  </w:tbl>
  <w:p w14:paraId="349F531F" w14:textId="38854A42" w:rsidR="00D53D00" w:rsidRDefault="00D53D00" w:rsidP="00CA6FB7">
    <w:pPr>
      <w:pStyle w:val="Encabezado"/>
      <w:tabs>
        <w:tab w:val="clear" w:pos="4252"/>
        <w:tab w:val="clear" w:pos="8504"/>
        <w:tab w:val="left" w:pos="2326"/>
      </w:tabs>
    </w:pPr>
    <w:r>
      <w:rPr>
        <w:rFonts w:ascii="Palatino Linotype" w:hAnsi="Palatino Linotype"/>
        <w:noProof/>
        <w:lang w:val="es-MX" w:eastAsia="es-MX"/>
      </w:rPr>
      <w:drawing>
        <wp:anchor distT="0" distB="0" distL="114300" distR="114300" simplePos="0" relativeHeight="251661312" behindDoc="1" locked="0" layoutInCell="1" allowOverlap="1" wp14:anchorId="1CEC0BE0" wp14:editId="2BDF0B20">
          <wp:simplePos x="0" y="0"/>
          <wp:positionH relativeFrom="page">
            <wp:posOffset>22225</wp:posOffset>
          </wp:positionH>
          <wp:positionV relativeFrom="paragraph">
            <wp:posOffset>-1276985</wp:posOffset>
          </wp:positionV>
          <wp:extent cx="7809876" cy="10165823"/>
          <wp:effectExtent l="0" t="0" r="635" b="698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9876" cy="10165823"/>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E6F6A7" w14:textId="77777777" w:rsidR="00D53D00" w:rsidRDefault="00D53D00" w:rsidP="00CA6FB7">
    <w:pPr>
      <w:pStyle w:val="Encabezado"/>
      <w:jc w:val="both"/>
    </w:pPr>
    <w:r>
      <w:rPr>
        <w:rFonts w:ascii="Palatino Linotype" w:hAnsi="Palatino Linotype"/>
        <w:noProof/>
        <w:lang w:val="es-MX" w:eastAsia="es-MX"/>
      </w:rPr>
      <w:drawing>
        <wp:anchor distT="0" distB="0" distL="114300" distR="114300" simplePos="0" relativeHeight="251659264" behindDoc="1" locked="0" layoutInCell="1" allowOverlap="1" wp14:anchorId="0C088003" wp14:editId="3D23A332">
          <wp:simplePos x="0" y="0"/>
          <wp:positionH relativeFrom="page">
            <wp:posOffset>233974</wp:posOffset>
          </wp:positionH>
          <wp:positionV relativeFrom="paragraph">
            <wp:posOffset>-171232</wp:posOffset>
          </wp:positionV>
          <wp:extent cx="7809876" cy="10165823"/>
          <wp:effectExtent l="0" t="0" r="635" b="698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9876" cy="10165823"/>
                  </a:xfrm>
                  <a:prstGeom prst="rect">
                    <a:avLst/>
                  </a:prstGeom>
                  <a:noFill/>
                </pic:spPr>
              </pic:pic>
            </a:graphicData>
          </a:graphic>
          <wp14:sizeRelH relativeFrom="page">
            <wp14:pctWidth>0</wp14:pctWidth>
          </wp14:sizeRelH>
          <wp14:sizeRelV relativeFrom="page">
            <wp14:pctHeight>0</wp14:pctHeight>
          </wp14:sizeRelV>
        </wp:anchor>
      </w:drawing>
    </w:r>
  </w:p>
  <w:tbl>
    <w:tblPr>
      <w:tblW w:w="5670" w:type="dxa"/>
      <w:tblInd w:w="3119" w:type="dxa"/>
      <w:tblLayout w:type="fixed"/>
      <w:tblLook w:val="04A0" w:firstRow="1" w:lastRow="0" w:firstColumn="1" w:lastColumn="0" w:noHBand="0" w:noVBand="1"/>
    </w:tblPr>
    <w:tblGrid>
      <w:gridCol w:w="2551"/>
      <w:gridCol w:w="3119"/>
    </w:tblGrid>
    <w:tr w:rsidR="00D53D00" w14:paraId="2DF4F5B9" w14:textId="77777777" w:rsidTr="00CA6FB7">
      <w:tc>
        <w:tcPr>
          <w:tcW w:w="2551" w:type="dxa"/>
          <w:vAlign w:val="center"/>
          <w:hideMark/>
        </w:tcPr>
        <w:p w14:paraId="1B9139DD" w14:textId="77777777" w:rsidR="00D53D00" w:rsidRDefault="00D53D00" w:rsidP="00CA6FB7">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119" w:type="dxa"/>
          <w:vAlign w:val="center"/>
          <w:hideMark/>
        </w:tcPr>
        <w:p w14:paraId="2D659AEB" w14:textId="4595DE42" w:rsidR="00D53D00" w:rsidRDefault="00D53D00" w:rsidP="00CA6FB7">
          <w:pPr>
            <w:jc w:val="both"/>
            <w:rPr>
              <w:rFonts w:ascii="Palatino Linotype" w:hAnsi="Palatino Linotype"/>
              <w:b/>
              <w:sz w:val="22"/>
              <w:szCs w:val="22"/>
              <w:lang w:val="es-ES_tradnl"/>
            </w:rPr>
          </w:pPr>
          <w:r>
            <w:rPr>
              <w:rFonts w:ascii="Palatino Linotype" w:hAnsi="Palatino Linotype"/>
              <w:b/>
              <w:sz w:val="22"/>
              <w:szCs w:val="22"/>
              <w:lang w:val="es-ES_tradnl"/>
            </w:rPr>
            <w:t xml:space="preserve">00999/INFOEM/IP/RR/2022. </w:t>
          </w:r>
        </w:p>
      </w:tc>
    </w:tr>
    <w:tr w:rsidR="00D53D00" w14:paraId="02521729" w14:textId="77777777" w:rsidTr="00CA6FB7">
      <w:tc>
        <w:tcPr>
          <w:tcW w:w="2551" w:type="dxa"/>
          <w:vAlign w:val="center"/>
          <w:hideMark/>
        </w:tcPr>
        <w:p w14:paraId="29839792" w14:textId="77777777" w:rsidR="00D53D00" w:rsidRDefault="00D53D00" w:rsidP="00CA6FB7">
          <w:pPr>
            <w:ind w:left="35" w:hanging="35"/>
            <w:rPr>
              <w:rFonts w:ascii="Palatino Linotype" w:hAnsi="Palatino Linotype"/>
              <w:b/>
              <w:sz w:val="22"/>
              <w:szCs w:val="22"/>
              <w:lang w:val="es-ES_tradnl"/>
            </w:rPr>
          </w:pPr>
          <w:r>
            <w:rPr>
              <w:rFonts w:ascii="Palatino Linotype" w:hAnsi="Palatino Linotype"/>
              <w:b/>
              <w:sz w:val="22"/>
              <w:szCs w:val="22"/>
              <w:lang w:val="es-ES_tradnl"/>
            </w:rPr>
            <w:t>Recurrente:</w:t>
          </w:r>
        </w:p>
      </w:tc>
      <w:tc>
        <w:tcPr>
          <w:tcW w:w="3119" w:type="dxa"/>
          <w:vAlign w:val="center"/>
          <w:hideMark/>
        </w:tcPr>
        <w:p w14:paraId="385A7BF4" w14:textId="5E759A9A" w:rsidR="00D53D00" w:rsidRDefault="00EF7D27" w:rsidP="00EF7D27">
          <w:pPr>
            <w:jc w:val="both"/>
            <w:rPr>
              <w:rFonts w:ascii="Palatino Linotype" w:hAnsi="Palatino Linotype"/>
              <w:b/>
              <w:sz w:val="22"/>
              <w:szCs w:val="22"/>
              <w:lang w:val="es-ES_tradnl"/>
            </w:rPr>
          </w:pPr>
          <w:r>
            <w:rPr>
              <w:rFonts w:ascii="Palatino Linotype" w:hAnsi="Palatino Linotype"/>
              <w:b/>
              <w:sz w:val="22"/>
              <w:szCs w:val="22"/>
              <w:lang w:val="es-ES_tradnl"/>
            </w:rPr>
            <w:t>Xxxxxx</w:t>
          </w:r>
          <w:r w:rsidR="00D53D00">
            <w:rPr>
              <w:rFonts w:ascii="Palatino Linotype" w:hAnsi="Palatino Linotype"/>
              <w:b/>
              <w:sz w:val="22"/>
              <w:szCs w:val="22"/>
              <w:lang w:val="es-ES_tradnl"/>
            </w:rPr>
            <w:t xml:space="preserve"> </w:t>
          </w:r>
          <w:r>
            <w:rPr>
              <w:rFonts w:ascii="Palatino Linotype" w:hAnsi="Palatino Linotype"/>
              <w:b/>
              <w:sz w:val="22"/>
              <w:szCs w:val="22"/>
              <w:lang w:val="es-ES_tradnl"/>
            </w:rPr>
            <w:t>Xxxxxx</w:t>
          </w:r>
          <w:r w:rsidR="00D53D00">
            <w:rPr>
              <w:rFonts w:ascii="Palatino Linotype" w:hAnsi="Palatino Linotype"/>
              <w:b/>
              <w:sz w:val="22"/>
              <w:szCs w:val="22"/>
              <w:lang w:val="es-ES_tradnl"/>
            </w:rPr>
            <w:t xml:space="preserve"> </w:t>
          </w:r>
          <w:r>
            <w:rPr>
              <w:rFonts w:ascii="Palatino Linotype" w:hAnsi="Palatino Linotype"/>
              <w:b/>
              <w:sz w:val="22"/>
              <w:szCs w:val="22"/>
              <w:lang w:val="es-ES_tradnl"/>
            </w:rPr>
            <w:t>Xxxxxxx</w:t>
          </w:r>
        </w:p>
      </w:tc>
    </w:tr>
    <w:tr w:rsidR="00D53D00" w14:paraId="63D333B8" w14:textId="77777777" w:rsidTr="00CA6FB7">
      <w:trPr>
        <w:trHeight w:val="228"/>
      </w:trPr>
      <w:tc>
        <w:tcPr>
          <w:tcW w:w="2551" w:type="dxa"/>
          <w:vAlign w:val="center"/>
          <w:hideMark/>
        </w:tcPr>
        <w:p w14:paraId="224F395E" w14:textId="77777777" w:rsidR="00D53D00" w:rsidRDefault="00D53D00" w:rsidP="00CA6FB7">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119" w:type="dxa"/>
          <w:vAlign w:val="center"/>
          <w:hideMark/>
        </w:tcPr>
        <w:p w14:paraId="54588AD7" w14:textId="50D09443" w:rsidR="00D53D00" w:rsidRDefault="00D53D00" w:rsidP="002A08A1">
          <w:pPr>
            <w:ind w:right="181"/>
            <w:jc w:val="both"/>
            <w:rPr>
              <w:rFonts w:ascii="Palatino Linotype" w:hAnsi="Palatino Linotype"/>
              <w:b/>
              <w:sz w:val="22"/>
              <w:szCs w:val="22"/>
              <w:lang w:val="es-ES_tradnl"/>
            </w:rPr>
          </w:pPr>
          <w:r>
            <w:rPr>
              <w:rFonts w:ascii="Palatino Linotype" w:hAnsi="Palatino Linotype"/>
              <w:b/>
              <w:sz w:val="22"/>
              <w:szCs w:val="22"/>
              <w:lang w:val="es-ES_tradnl"/>
            </w:rPr>
            <w:t>Ayuntamiento de Morelos</w:t>
          </w:r>
        </w:p>
      </w:tc>
    </w:tr>
    <w:tr w:rsidR="00D53D00" w14:paraId="68735EB7" w14:textId="77777777" w:rsidTr="00CA6FB7">
      <w:tc>
        <w:tcPr>
          <w:tcW w:w="2551" w:type="dxa"/>
          <w:vAlign w:val="center"/>
          <w:hideMark/>
        </w:tcPr>
        <w:p w14:paraId="3873FCFA" w14:textId="77777777" w:rsidR="00D53D00" w:rsidRDefault="00D53D00" w:rsidP="00CA6FB7">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119" w:type="dxa"/>
          <w:vAlign w:val="center"/>
          <w:hideMark/>
        </w:tcPr>
        <w:p w14:paraId="54BCC235" w14:textId="6CD49BE3" w:rsidR="00D53D00" w:rsidRDefault="00D53D00" w:rsidP="00CA6FB7">
          <w:pPr>
            <w:ind w:right="-533"/>
            <w:jc w:val="both"/>
            <w:rPr>
              <w:rFonts w:ascii="Palatino Linotype" w:hAnsi="Palatino Linotype"/>
              <w:b/>
              <w:sz w:val="22"/>
              <w:szCs w:val="22"/>
              <w:lang w:val="es-ES_tradnl"/>
            </w:rPr>
          </w:pPr>
          <w:r>
            <w:rPr>
              <w:rFonts w:ascii="Palatino Linotype" w:hAnsi="Palatino Linotype"/>
              <w:b/>
              <w:sz w:val="22"/>
              <w:szCs w:val="22"/>
              <w:lang w:val="es-ES_tradnl"/>
            </w:rPr>
            <w:t>Guadalupe Ramírez Peña</w:t>
          </w:r>
        </w:p>
      </w:tc>
    </w:tr>
  </w:tbl>
  <w:p w14:paraId="2D058F2A" w14:textId="77777777" w:rsidR="00D53D00" w:rsidRDefault="00D53D00" w:rsidP="00CA6FB7">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68FC69" w14:textId="77777777" w:rsidR="00D53D00" w:rsidRDefault="00D53D00" w:rsidP="00CA6FB7">
    <w:pPr>
      <w:pStyle w:val="Encabezado"/>
      <w:jc w:val="both"/>
    </w:pPr>
  </w:p>
  <w:p w14:paraId="28A84427" w14:textId="77777777" w:rsidR="00D53D00" w:rsidRDefault="00D53D00" w:rsidP="00CA6FB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2D090D"/>
    <w:multiLevelType w:val="hybridMultilevel"/>
    <w:tmpl w:val="EBA4B1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5CA431B"/>
    <w:multiLevelType w:val="hybridMultilevel"/>
    <w:tmpl w:val="2C342C9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7E765F2"/>
    <w:multiLevelType w:val="hybridMultilevel"/>
    <w:tmpl w:val="0CA683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6B105F"/>
    <w:multiLevelType w:val="hybridMultilevel"/>
    <w:tmpl w:val="6EB44A34"/>
    <w:lvl w:ilvl="0" w:tplc="080A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7350A4"/>
    <w:multiLevelType w:val="hybridMultilevel"/>
    <w:tmpl w:val="EA94F75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4C1562A"/>
    <w:multiLevelType w:val="hybridMultilevel"/>
    <w:tmpl w:val="B2003D4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4D67870"/>
    <w:multiLevelType w:val="hybridMultilevel"/>
    <w:tmpl w:val="B8BC89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50C2744"/>
    <w:multiLevelType w:val="hybridMultilevel"/>
    <w:tmpl w:val="80A4AD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8814BCA"/>
    <w:multiLevelType w:val="hybridMultilevel"/>
    <w:tmpl w:val="AA5650A8"/>
    <w:lvl w:ilvl="0" w:tplc="080A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A70A01"/>
    <w:multiLevelType w:val="hybridMultilevel"/>
    <w:tmpl w:val="CF465426"/>
    <w:lvl w:ilvl="0" w:tplc="E9B435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2000860"/>
    <w:multiLevelType w:val="hybridMultilevel"/>
    <w:tmpl w:val="EBDCEE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750544B"/>
    <w:multiLevelType w:val="hybridMultilevel"/>
    <w:tmpl w:val="F52E81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AFB0B94"/>
    <w:multiLevelType w:val="hybridMultilevel"/>
    <w:tmpl w:val="285E1BAA"/>
    <w:lvl w:ilvl="0" w:tplc="770C63C0">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DBD59FB"/>
    <w:multiLevelType w:val="hybridMultilevel"/>
    <w:tmpl w:val="98FC95E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F423E1F"/>
    <w:multiLevelType w:val="hybridMultilevel"/>
    <w:tmpl w:val="DFBA7E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30BA7E48"/>
    <w:multiLevelType w:val="hybridMultilevel"/>
    <w:tmpl w:val="CD1E71B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6">
    <w:nsid w:val="327A1E8F"/>
    <w:multiLevelType w:val="hybridMultilevel"/>
    <w:tmpl w:val="2E8C2AD4"/>
    <w:lvl w:ilvl="0" w:tplc="4622FEB6">
      <w:start w:val="1"/>
      <w:numFmt w:val="upperRoman"/>
      <w:lvlText w:val="%1."/>
      <w:lvlJc w:val="left"/>
      <w:pPr>
        <w:ind w:left="1571" w:hanging="72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7">
    <w:nsid w:val="334A520F"/>
    <w:multiLevelType w:val="hybridMultilevel"/>
    <w:tmpl w:val="C6AA024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3966493F"/>
    <w:multiLevelType w:val="hybridMultilevel"/>
    <w:tmpl w:val="0890F4BA"/>
    <w:lvl w:ilvl="0" w:tplc="76B4390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AAB74CB"/>
    <w:multiLevelType w:val="hybridMultilevel"/>
    <w:tmpl w:val="C6D2F62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B4F0C84"/>
    <w:multiLevelType w:val="hybridMultilevel"/>
    <w:tmpl w:val="EA94F75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3E2B34A5"/>
    <w:multiLevelType w:val="hybridMultilevel"/>
    <w:tmpl w:val="0FE2C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46A61104"/>
    <w:multiLevelType w:val="hybridMultilevel"/>
    <w:tmpl w:val="0C289E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4B7C2679"/>
    <w:multiLevelType w:val="hybridMultilevel"/>
    <w:tmpl w:val="C8C48654"/>
    <w:lvl w:ilvl="0" w:tplc="6F6ABC3C">
      <w:start w:val="1"/>
      <w:numFmt w:val="upperRoman"/>
      <w:lvlText w:val="%1."/>
      <w:lvlJc w:val="left"/>
      <w:pPr>
        <w:ind w:left="1080" w:hanging="72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4">
    <w:nsid w:val="4FFD5201"/>
    <w:multiLevelType w:val="hybridMultilevel"/>
    <w:tmpl w:val="5AD4C9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0BC104D"/>
    <w:multiLevelType w:val="multilevel"/>
    <w:tmpl w:val="19EA7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931646B"/>
    <w:multiLevelType w:val="hybridMultilevel"/>
    <w:tmpl w:val="3224E5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5BEF32CA"/>
    <w:multiLevelType w:val="multilevel"/>
    <w:tmpl w:val="4B708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D7231B3"/>
    <w:multiLevelType w:val="hybridMultilevel"/>
    <w:tmpl w:val="E95069D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60FE4CCD"/>
    <w:multiLevelType w:val="hybridMultilevel"/>
    <w:tmpl w:val="43C682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649A3D6F"/>
    <w:multiLevelType w:val="hybridMultilevel"/>
    <w:tmpl w:val="2730D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4DB61B5"/>
    <w:multiLevelType w:val="hybridMultilevel"/>
    <w:tmpl w:val="1C7ACA34"/>
    <w:lvl w:ilvl="0" w:tplc="DE6C5B06">
      <w:start w:val="1"/>
      <w:numFmt w:val="upperRoman"/>
      <w:lvlText w:val="%1."/>
      <w:lvlJc w:val="left"/>
      <w:pPr>
        <w:ind w:left="1080" w:hanging="720"/>
      </w:pPr>
      <w:rPr>
        <w:rFonts w:hint="default"/>
      </w:rPr>
    </w:lvl>
    <w:lvl w:ilvl="1" w:tplc="E0E8D1C6">
      <w:start w:val="2"/>
      <w:numFmt w:val="bullet"/>
      <w:lvlText w:val="•"/>
      <w:lvlJc w:val="left"/>
      <w:pPr>
        <w:ind w:left="1440" w:hanging="360"/>
      </w:pPr>
      <w:rPr>
        <w:rFonts w:ascii="Palatino Linotype" w:eastAsia="Times New Roman" w:hAnsi="Palatino Linotype" w:cs="Tahoma"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66017E1B"/>
    <w:multiLevelType w:val="hybridMultilevel"/>
    <w:tmpl w:val="4ED236C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6A80CDA"/>
    <w:multiLevelType w:val="hybridMultilevel"/>
    <w:tmpl w:val="EA94F75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687C262F"/>
    <w:multiLevelType w:val="hybridMultilevel"/>
    <w:tmpl w:val="61A21540"/>
    <w:lvl w:ilvl="0" w:tplc="956A67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5">
    <w:nsid w:val="687F14CE"/>
    <w:multiLevelType w:val="hybridMultilevel"/>
    <w:tmpl w:val="09F44904"/>
    <w:lvl w:ilvl="0" w:tplc="69E27CA2">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A477D94"/>
    <w:multiLevelType w:val="hybridMultilevel"/>
    <w:tmpl w:val="C70CD1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B7B0AD8"/>
    <w:multiLevelType w:val="hybridMultilevel"/>
    <w:tmpl w:val="866E8B20"/>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8">
    <w:nsid w:val="6D8B4680"/>
    <w:multiLevelType w:val="hybridMultilevel"/>
    <w:tmpl w:val="53C07E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70F242C0"/>
    <w:multiLevelType w:val="hybridMultilevel"/>
    <w:tmpl w:val="159419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70FE1F6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71D965E0"/>
    <w:multiLevelType w:val="hybridMultilevel"/>
    <w:tmpl w:val="A6349C86"/>
    <w:lvl w:ilvl="0" w:tplc="114CEC02">
      <w:start w:val="1"/>
      <w:numFmt w:val="upperRoman"/>
      <w:lvlText w:val="%1."/>
      <w:lvlJc w:val="left"/>
      <w:pPr>
        <w:ind w:left="2280" w:hanging="720"/>
      </w:pPr>
    </w:lvl>
    <w:lvl w:ilvl="1" w:tplc="080A0019">
      <w:start w:val="1"/>
      <w:numFmt w:val="lowerLetter"/>
      <w:lvlText w:val="%2."/>
      <w:lvlJc w:val="left"/>
      <w:pPr>
        <w:ind w:left="2640" w:hanging="360"/>
      </w:pPr>
    </w:lvl>
    <w:lvl w:ilvl="2" w:tplc="080A001B">
      <w:start w:val="1"/>
      <w:numFmt w:val="lowerRoman"/>
      <w:lvlText w:val="%3."/>
      <w:lvlJc w:val="right"/>
      <w:pPr>
        <w:ind w:left="3360" w:hanging="180"/>
      </w:pPr>
    </w:lvl>
    <w:lvl w:ilvl="3" w:tplc="080A000F">
      <w:start w:val="1"/>
      <w:numFmt w:val="decimal"/>
      <w:lvlText w:val="%4."/>
      <w:lvlJc w:val="left"/>
      <w:pPr>
        <w:ind w:left="4080" w:hanging="360"/>
      </w:pPr>
    </w:lvl>
    <w:lvl w:ilvl="4" w:tplc="080A0019">
      <w:start w:val="1"/>
      <w:numFmt w:val="lowerLetter"/>
      <w:lvlText w:val="%5."/>
      <w:lvlJc w:val="left"/>
      <w:pPr>
        <w:ind w:left="4800" w:hanging="360"/>
      </w:pPr>
    </w:lvl>
    <w:lvl w:ilvl="5" w:tplc="080A001B">
      <w:start w:val="1"/>
      <w:numFmt w:val="lowerRoman"/>
      <w:lvlText w:val="%6."/>
      <w:lvlJc w:val="right"/>
      <w:pPr>
        <w:ind w:left="5520" w:hanging="180"/>
      </w:pPr>
    </w:lvl>
    <w:lvl w:ilvl="6" w:tplc="080A000F">
      <w:start w:val="1"/>
      <w:numFmt w:val="decimal"/>
      <w:lvlText w:val="%7."/>
      <w:lvlJc w:val="left"/>
      <w:pPr>
        <w:ind w:left="6240" w:hanging="360"/>
      </w:pPr>
    </w:lvl>
    <w:lvl w:ilvl="7" w:tplc="080A0019">
      <w:start w:val="1"/>
      <w:numFmt w:val="lowerLetter"/>
      <w:lvlText w:val="%8."/>
      <w:lvlJc w:val="left"/>
      <w:pPr>
        <w:ind w:left="6960" w:hanging="360"/>
      </w:pPr>
    </w:lvl>
    <w:lvl w:ilvl="8" w:tplc="080A001B">
      <w:start w:val="1"/>
      <w:numFmt w:val="lowerRoman"/>
      <w:lvlText w:val="%9."/>
      <w:lvlJc w:val="right"/>
      <w:pPr>
        <w:ind w:left="7680" w:hanging="180"/>
      </w:pPr>
    </w:lvl>
  </w:abstractNum>
  <w:abstractNum w:abstractNumId="42">
    <w:nsid w:val="71ED4EC3"/>
    <w:multiLevelType w:val="hybridMultilevel"/>
    <w:tmpl w:val="CB16982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73637D0F"/>
    <w:multiLevelType w:val="hybridMultilevel"/>
    <w:tmpl w:val="E2E03442"/>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4">
    <w:nsid w:val="787319AF"/>
    <w:multiLevelType w:val="hybridMultilevel"/>
    <w:tmpl w:val="A2D2C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C2F59A3"/>
    <w:multiLevelType w:val="hybridMultilevel"/>
    <w:tmpl w:val="F1AE30D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7CAA49BE"/>
    <w:multiLevelType w:val="hybridMultilevel"/>
    <w:tmpl w:val="805A6E32"/>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35"/>
  </w:num>
  <w:num w:numId="2">
    <w:abstractNumId w:val="19"/>
  </w:num>
  <w:num w:numId="3">
    <w:abstractNumId w:val="12"/>
  </w:num>
  <w:num w:numId="4">
    <w:abstractNumId w:val="45"/>
  </w:num>
  <w:num w:numId="5">
    <w:abstractNumId w:val="42"/>
  </w:num>
  <w:num w:numId="6">
    <w:abstractNumId w:val="36"/>
  </w:num>
  <w:num w:numId="7">
    <w:abstractNumId w:val="6"/>
  </w:num>
  <w:num w:numId="8">
    <w:abstractNumId w:val="13"/>
  </w:num>
  <w:num w:numId="9">
    <w:abstractNumId w:val="8"/>
  </w:num>
  <w:num w:numId="10">
    <w:abstractNumId w:val="3"/>
  </w:num>
  <w:num w:numId="11">
    <w:abstractNumId w:val="22"/>
  </w:num>
  <w:num w:numId="12">
    <w:abstractNumId w:val="32"/>
  </w:num>
  <w:num w:numId="13">
    <w:abstractNumId w:val="10"/>
  </w:num>
  <w:num w:numId="14">
    <w:abstractNumId w:val="9"/>
  </w:num>
  <w:num w:numId="15">
    <w:abstractNumId w:val="25"/>
  </w:num>
  <w:num w:numId="1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8"/>
  </w:num>
  <w:num w:numId="18">
    <w:abstractNumId w:val="44"/>
  </w:num>
  <w:num w:numId="19">
    <w:abstractNumId w:val="5"/>
  </w:num>
  <w:num w:numId="20">
    <w:abstractNumId w:val="2"/>
  </w:num>
  <w:num w:numId="21">
    <w:abstractNumId w:val="27"/>
  </w:num>
  <w:num w:numId="22">
    <w:abstractNumId w:val="33"/>
  </w:num>
  <w:num w:numId="23">
    <w:abstractNumId w:val="4"/>
  </w:num>
  <w:num w:numId="24">
    <w:abstractNumId w:val="20"/>
  </w:num>
  <w:num w:numId="25">
    <w:abstractNumId w:val="30"/>
  </w:num>
  <w:num w:numId="26">
    <w:abstractNumId w:val="14"/>
  </w:num>
  <w:num w:numId="27">
    <w:abstractNumId w:val="40"/>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11"/>
  </w:num>
  <w:num w:numId="31">
    <w:abstractNumId w:val="43"/>
  </w:num>
  <w:num w:numId="32">
    <w:abstractNumId w:val="37"/>
  </w:num>
  <w:num w:numId="33">
    <w:abstractNumId w:val="1"/>
  </w:num>
  <w:num w:numId="34">
    <w:abstractNumId w:val="46"/>
  </w:num>
  <w:num w:numId="35">
    <w:abstractNumId w:val="34"/>
  </w:num>
  <w:num w:numId="36">
    <w:abstractNumId w:val="21"/>
  </w:num>
  <w:num w:numId="37">
    <w:abstractNumId w:val="18"/>
  </w:num>
  <w:num w:numId="38">
    <w:abstractNumId w:val="17"/>
  </w:num>
  <w:num w:numId="39">
    <w:abstractNumId w:val="26"/>
  </w:num>
  <w:num w:numId="40">
    <w:abstractNumId w:val="15"/>
  </w:num>
  <w:num w:numId="41">
    <w:abstractNumId w:val="28"/>
  </w:num>
  <w:num w:numId="42">
    <w:abstractNumId w:val="23"/>
  </w:num>
  <w:num w:numId="43">
    <w:abstractNumId w:val="24"/>
  </w:num>
  <w:num w:numId="44">
    <w:abstractNumId w:val="16"/>
  </w:num>
  <w:num w:numId="45">
    <w:abstractNumId w:val="31"/>
  </w:num>
  <w:num w:numId="46">
    <w:abstractNumId w:val="29"/>
  </w:num>
  <w:num w:numId="47">
    <w:abstractNumId w:val="39"/>
  </w:num>
  <w:num w:numId="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efaultTabStop w:val="708"/>
  <w:hyphenationZone w:val="425"/>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3C64"/>
    <w:rsid w:val="00003995"/>
    <w:rsid w:val="000049C2"/>
    <w:rsid w:val="00023058"/>
    <w:rsid w:val="00025B60"/>
    <w:rsid w:val="000312DD"/>
    <w:rsid w:val="00033017"/>
    <w:rsid w:val="00035D2D"/>
    <w:rsid w:val="00036455"/>
    <w:rsid w:val="00041673"/>
    <w:rsid w:val="000434FE"/>
    <w:rsid w:val="00044405"/>
    <w:rsid w:val="00046874"/>
    <w:rsid w:val="000469AE"/>
    <w:rsid w:val="00053CFF"/>
    <w:rsid w:val="00061572"/>
    <w:rsid w:val="000634D5"/>
    <w:rsid w:val="000756A1"/>
    <w:rsid w:val="00075746"/>
    <w:rsid w:val="00081FBD"/>
    <w:rsid w:val="00086592"/>
    <w:rsid w:val="0008704E"/>
    <w:rsid w:val="0008714D"/>
    <w:rsid w:val="00092DFF"/>
    <w:rsid w:val="00095AB1"/>
    <w:rsid w:val="000A673D"/>
    <w:rsid w:val="000B0D0A"/>
    <w:rsid w:val="000C2C78"/>
    <w:rsid w:val="000C56A4"/>
    <w:rsid w:val="000D4FE6"/>
    <w:rsid w:val="000E1326"/>
    <w:rsid w:val="000E18BF"/>
    <w:rsid w:val="001013A9"/>
    <w:rsid w:val="001118AA"/>
    <w:rsid w:val="00116312"/>
    <w:rsid w:val="00130CCE"/>
    <w:rsid w:val="00134F54"/>
    <w:rsid w:val="00146FFB"/>
    <w:rsid w:val="00147361"/>
    <w:rsid w:val="00153F55"/>
    <w:rsid w:val="00156F39"/>
    <w:rsid w:val="00170894"/>
    <w:rsid w:val="00174388"/>
    <w:rsid w:val="0017595A"/>
    <w:rsid w:val="0017621D"/>
    <w:rsid w:val="00180662"/>
    <w:rsid w:val="00180B79"/>
    <w:rsid w:val="0018144E"/>
    <w:rsid w:val="00183166"/>
    <w:rsid w:val="00183580"/>
    <w:rsid w:val="001933A6"/>
    <w:rsid w:val="001A2D4B"/>
    <w:rsid w:val="001A4B0E"/>
    <w:rsid w:val="001B6476"/>
    <w:rsid w:val="001C4714"/>
    <w:rsid w:val="001D0CBB"/>
    <w:rsid w:val="001D1499"/>
    <w:rsid w:val="001D6D81"/>
    <w:rsid w:val="001E791F"/>
    <w:rsid w:val="001F4B73"/>
    <w:rsid w:val="00212FA3"/>
    <w:rsid w:val="00214F14"/>
    <w:rsid w:val="00222307"/>
    <w:rsid w:val="00222787"/>
    <w:rsid w:val="0023267A"/>
    <w:rsid w:val="002341AB"/>
    <w:rsid w:val="00235389"/>
    <w:rsid w:val="00237838"/>
    <w:rsid w:val="002512AC"/>
    <w:rsid w:val="00254772"/>
    <w:rsid w:val="00263683"/>
    <w:rsid w:val="002701F7"/>
    <w:rsid w:val="00273D23"/>
    <w:rsid w:val="00274C2A"/>
    <w:rsid w:val="00276AF3"/>
    <w:rsid w:val="00277ED6"/>
    <w:rsid w:val="0028232C"/>
    <w:rsid w:val="00285F75"/>
    <w:rsid w:val="00286757"/>
    <w:rsid w:val="002879B9"/>
    <w:rsid w:val="002A08A1"/>
    <w:rsid w:val="002A48A3"/>
    <w:rsid w:val="002A7885"/>
    <w:rsid w:val="002B3327"/>
    <w:rsid w:val="002C2CE8"/>
    <w:rsid w:val="002C6C73"/>
    <w:rsid w:val="002C6ECF"/>
    <w:rsid w:val="002D2EAC"/>
    <w:rsid w:val="002D63E5"/>
    <w:rsid w:val="002E10FD"/>
    <w:rsid w:val="002E231D"/>
    <w:rsid w:val="002E5142"/>
    <w:rsid w:val="002E5D11"/>
    <w:rsid w:val="002F1BF7"/>
    <w:rsid w:val="00305C33"/>
    <w:rsid w:val="00311697"/>
    <w:rsid w:val="003119E9"/>
    <w:rsid w:val="0032315F"/>
    <w:rsid w:val="00332618"/>
    <w:rsid w:val="00335C38"/>
    <w:rsid w:val="00343B59"/>
    <w:rsid w:val="00347675"/>
    <w:rsid w:val="003514A6"/>
    <w:rsid w:val="00351E9D"/>
    <w:rsid w:val="00351F59"/>
    <w:rsid w:val="0035351F"/>
    <w:rsid w:val="003535D6"/>
    <w:rsid w:val="00363546"/>
    <w:rsid w:val="0036750E"/>
    <w:rsid w:val="00370D1D"/>
    <w:rsid w:val="00376932"/>
    <w:rsid w:val="003823C8"/>
    <w:rsid w:val="00384598"/>
    <w:rsid w:val="00386257"/>
    <w:rsid w:val="00386744"/>
    <w:rsid w:val="00390A71"/>
    <w:rsid w:val="0039279D"/>
    <w:rsid w:val="003A4254"/>
    <w:rsid w:val="003A6E77"/>
    <w:rsid w:val="003A7EF4"/>
    <w:rsid w:val="003B1298"/>
    <w:rsid w:val="003B2721"/>
    <w:rsid w:val="003B4F3D"/>
    <w:rsid w:val="003B7497"/>
    <w:rsid w:val="003C0A00"/>
    <w:rsid w:val="003C1508"/>
    <w:rsid w:val="003C3F06"/>
    <w:rsid w:val="003C4489"/>
    <w:rsid w:val="003D3828"/>
    <w:rsid w:val="003D4EB7"/>
    <w:rsid w:val="003F5CB7"/>
    <w:rsid w:val="00401D37"/>
    <w:rsid w:val="004053EE"/>
    <w:rsid w:val="00406F15"/>
    <w:rsid w:val="004073AA"/>
    <w:rsid w:val="0041470D"/>
    <w:rsid w:val="00415137"/>
    <w:rsid w:val="00415BF7"/>
    <w:rsid w:val="004171D9"/>
    <w:rsid w:val="004274DE"/>
    <w:rsid w:val="00430382"/>
    <w:rsid w:val="00440B54"/>
    <w:rsid w:val="00446BC9"/>
    <w:rsid w:val="00447BCB"/>
    <w:rsid w:val="00450820"/>
    <w:rsid w:val="004532C1"/>
    <w:rsid w:val="00453F78"/>
    <w:rsid w:val="004560BD"/>
    <w:rsid w:val="00456BF1"/>
    <w:rsid w:val="004714B0"/>
    <w:rsid w:val="0048600D"/>
    <w:rsid w:val="00491059"/>
    <w:rsid w:val="00492459"/>
    <w:rsid w:val="004A318D"/>
    <w:rsid w:val="004C11AB"/>
    <w:rsid w:val="004D2A43"/>
    <w:rsid w:val="004D4903"/>
    <w:rsid w:val="004D4C1F"/>
    <w:rsid w:val="004D5AC3"/>
    <w:rsid w:val="004D74BF"/>
    <w:rsid w:val="004E2428"/>
    <w:rsid w:val="004F20D5"/>
    <w:rsid w:val="004F2863"/>
    <w:rsid w:val="004F4663"/>
    <w:rsid w:val="004F499A"/>
    <w:rsid w:val="004F4F59"/>
    <w:rsid w:val="00510E32"/>
    <w:rsid w:val="00512D5C"/>
    <w:rsid w:val="00515FAA"/>
    <w:rsid w:val="00516141"/>
    <w:rsid w:val="00516180"/>
    <w:rsid w:val="005176F7"/>
    <w:rsid w:val="005178F3"/>
    <w:rsid w:val="00520A87"/>
    <w:rsid w:val="00521972"/>
    <w:rsid w:val="00522861"/>
    <w:rsid w:val="005247CF"/>
    <w:rsid w:val="00530DFB"/>
    <w:rsid w:val="00534DBC"/>
    <w:rsid w:val="00546029"/>
    <w:rsid w:val="0054680C"/>
    <w:rsid w:val="0055042A"/>
    <w:rsid w:val="005545DA"/>
    <w:rsid w:val="00556760"/>
    <w:rsid w:val="005651FE"/>
    <w:rsid w:val="0056767A"/>
    <w:rsid w:val="0057019A"/>
    <w:rsid w:val="00570E5C"/>
    <w:rsid w:val="00587380"/>
    <w:rsid w:val="005A0DA7"/>
    <w:rsid w:val="005A3389"/>
    <w:rsid w:val="005A3D5D"/>
    <w:rsid w:val="005A445E"/>
    <w:rsid w:val="005B1093"/>
    <w:rsid w:val="005C58FB"/>
    <w:rsid w:val="005D082A"/>
    <w:rsid w:val="005E1AF9"/>
    <w:rsid w:val="005E1B87"/>
    <w:rsid w:val="005E4650"/>
    <w:rsid w:val="005E79E7"/>
    <w:rsid w:val="005F2BFC"/>
    <w:rsid w:val="005F4F02"/>
    <w:rsid w:val="00605EA1"/>
    <w:rsid w:val="00607D45"/>
    <w:rsid w:val="006154F4"/>
    <w:rsid w:val="00624A34"/>
    <w:rsid w:val="00630246"/>
    <w:rsid w:val="00645BAD"/>
    <w:rsid w:val="0064693B"/>
    <w:rsid w:val="00647E02"/>
    <w:rsid w:val="00654351"/>
    <w:rsid w:val="00662E06"/>
    <w:rsid w:val="00663EE9"/>
    <w:rsid w:val="00663F6D"/>
    <w:rsid w:val="00675163"/>
    <w:rsid w:val="0068568E"/>
    <w:rsid w:val="006912F8"/>
    <w:rsid w:val="00694BE8"/>
    <w:rsid w:val="00696421"/>
    <w:rsid w:val="006A3CB6"/>
    <w:rsid w:val="006B5E44"/>
    <w:rsid w:val="006C39BD"/>
    <w:rsid w:val="006C4CCF"/>
    <w:rsid w:val="006D4B6F"/>
    <w:rsid w:val="006F1E06"/>
    <w:rsid w:val="006F3C93"/>
    <w:rsid w:val="00701898"/>
    <w:rsid w:val="00704ED1"/>
    <w:rsid w:val="00715467"/>
    <w:rsid w:val="00716D67"/>
    <w:rsid w:val="00717E2F"/>
    <w:rsid w:val="007217C3"/>
    <w:rsid w:val="00721F80"/>
    <w:rsid w:val="007226CF"/>
    <w:rsid w:val="007263A5"/>
    <w:rsid w:val="0073071C"/>
    <w:rsid w:val="0073316E"/>
    <w:rsid w:val="00744577"/>
    <w:rsid w:val="0074718F"/>
    <w:rsid w:val="00751A12"/>
    <w:rsid w:val="00756876"/>
    <w:rsid w:val="00757BAD"/>
    <w:rsid w:val="00760FF7"/>
    <w:rsid w:val="0076279F"/>
    <w:rsid w:val="007750B8"/>
    <w:rsid w:val="00776237"/>
    <w:rsid w:val="0077716F"/>
    <w:rsid w:val="00780D6A"/>
    <w:rsid w:val="00783547"/>
    <w:rsid w:val="007A718C"/>
    <w:rsid w:val="007A7836"/>
    <w:rsid w:val="007B26E1"/>
    <w:rsid w:val="007B303A"/>
    <w:rsid w:val="007B3F1D"/>
    <w:rsid w:val="007B5EEB"/>
    <w:rsid w:val="007B7A34"/>
    <w:rsid w:val="007C1788"/>
    <w:rsid w:val="007C6E7E"/>
    <w:rsid w:val="007D012C"/>
    <w:rsid w:val="007D2C06"/>
    <w:rsid w:val="007E52B2"/>
    <w:rsid w:val="007F22EB"/>
    <w:rsid w:val="007F6734"/>
    <w:rsid w:val="007F7346"/>
    <w:rsid w:val="008114D1"/>
    <w:rsid w:val="00813165"/>
    <w:rsid w:val="00813EA7"/>
    <w:rsid w:val="00814B3D"/>
    <w:rsid w:val="00821072"/>
    <w:rsid w:val="00823669"/>
    <w:rsid w:val="00824589"/>
    <w:rsid w:val="00831610"/>
    <w:rsid w:val="00834067"/>
    <w:rsid w:val="00835A40"/>
    <w:rsid w:val="00843A5B"/>
    <w:rsid w:val="008450D2"/>
    <w:rsid w:val="00847472"/>
    <w:rsid w:val="00851545"/>
    <w:rsid w:val="00860CD5"/>
    <w:rsid w:val="00865060"/>
    <w:rsid w:val="0086722C"/>
    <w:rsid w:val="00867824"/>
    <w:rsid w:val="008805EE"/>
    <w:rsid w:val="00880722"/>
    <w:rsid w:val="0089065A"/>
    <w:rsid w:val="0089192E"/>
    <w:rsid w:val="008A3EF4"/>
    <w:rsid w:val="008A6570"/>
    <w:rsid w:val="008B3B6F"/>
    <w:rsid w:val="008C218B"/>
    <w:rsid w:val="008C2E62"/>
    <w:rsid w:val="008C37ED"/>
    <w:rsid w:val="008D13D2"/>
    <w:rsid w:val="008D1FC7"/>
    <w:rsid w:val="008D2B3C"/>
    <w:rsid w:val="008D5BB8"/>
    <w:rsid w:val="008E206F"/>
    <w:rsid w:val="008E70D5"/>
    <w:rsid w:val="008F1690"/>
    <w:rsid w:val="008F4614"/>
    <w:rsid w:val="008F742E"/>
    <w:rsid w:val="009004AB"/>
    <w:rsid w:val="009046F3"/>
    <w:rsid w:val="009075CE"/>
    <w:rsid w:val="009109A4"/>
    <w:rsid w:val="00910B44"/>
    <w:rsid w:val="00910E63"/>
    <w:rsid w:val="00913545"/>
    <w:rsid w:val="009223C8"/>
    <w:rsid w:val="00931DE7"/>
    <w:rsid w:val="009412A1"/>
    <w:rsid w:val="00941C12"/>
    <w:rsid w:val="00943101"/>
    <w:rsid w:val="00951FE9"/>
    <w:rsid w:val="0095406D"/>
    <w:rsid w:val="009613B3"/>
    <w:rsid w:val="00967CCB"/>
    <w:rsid w:val="009705D9"/>
    <w:rsid w:val="00975630"/>
    <w:rsid w:val="00980CD3"/>
    <w:rsid w:val="00983E59"/>
    <w:rsid w:val="00984378"/>
    <w:rsid w:val="00992F99"/>
    <w:rsid w:val="00995060"/>
    <w:rsid w:val="009A3844"/>
    <w:rsid w:val="009C2C0B"/>
    <w:rsid w:val="009C7267"/>
    <w:rsid w:val="009D106B"/>
    <w:rsid w:val="009D5385"/>
    <w:rsid w:val="009D56ED"/>
    <w:rsid w:val="009D6488"/>
    <w:rsid w:val="009D75FF"/>
    <w:rsid w:val="009E7F55"/>
    <w:rsid w:val="009F11BC"/>
    <w:rsid w:val="00A014CD"/>
    <w:rsid w:val="00A028BB"/>
    <w:rsid w:val="00A037B6"/>
    <w:rsid w:val="00A16A36"/>
    <w:rsid w:val="00A222E5"/>
    <w:rsid w:val="00A24144"/>
    <w:rsid w:val="00A24E74"/>
    <w:rsid w:val="00A319F7"/>
    <w:rsid w:val="00A324FE"/>
    <w:rsid w:val="00A3677D"/>
    <w:rsid w:val="00A40548"/>
    <w:rsid w:val="00A41315"/>
    <w:rsid w:val="00A467F8"/>
    <w:rsid w:val="00A473FB"/>
    <w:rsid w:val="00A47580"/>
    <w:rsid w:val="00A517FF"/>
    <w:rsid w:val="00A54D09"/>
    <w:rsid w:val="00A655A8"/>
    <w:rsid w:val="00A71E6B"/>
    <w:rsid w:val="00A823F6"/>
    <w:rsid w:val="00A85929"/>
    <w:rsid w:val="00A90CED"/>
    <w:rsid w:val="00A92AA5"/>
    <w:rsid w:val="00A956FB"/>
    <w:rsid w:val="00A95DC6"/>
    <w:rsid w:val="00AA161C"/>
    <w:rsid w:val="00AA3EFC"/>
    <w:rsid w:val="00AC003C"/>
    <w:rsid w:val="00AC1195"/>
    <w:rsid w:val="00AC3C64"/>
    <w:rsid w:val="00AC7729"/>
    <w:rsid w:val="00AD0AB9"/>
    <w:rsid w:val="00AD3456"/>
    <w:rsid w:val="00AF5151"/>
    <w:rsid w:val="00B00356"/>
    <w:rsid w:val="00B006A1"/>
    <w:rsid w:val="00B00EEC"/>
    <w:rsid w:val="00B018AC"/>
    <w:rsid w:val="00B02990"/>
    <w:rsid w:val="00B05932"/>
    <w:rsid w:val="00B1241C"/>
    <w:rsid w:val="00B146C6"/>
    <w:rsid w:val="00B14E94"/>
    <w:rsid w:val="00B15253"/>
    <w:rsid w:val="00B17A2F"/>
    <w:rsid w:val="00B37652"/>
    <w:rsid w:val="00B43AA8"/>
    <w:rsid w:val="00B524F4"/>
    <w:rsid w:val="00B53EC4"/>
    <w:rsid w:val="00B550A2"/>
    <w:rsid w:val="00B577D5"/>
    <w:rsid w:val="00B61EBD"/>
    <w:rsid w:val="00B62765"/>
    <w:rsid w:val="00B724C0"/>
    <w:rsid w:val="00B761F4"/>
    <w:rsid w:val="00B815FB"/>
    <w:rsid w:val="00B84EC8"/>
    <w:rsid w:val="00B91635"/>
    <w:rsid w:val="00B936E1"/>
    <w:rsid w:val="00B94319"/>
    <w:rsid w:val="00B96F05"/>
    <w:rsid w:val="00BA44E3"/>
    <w:rsid w:val="00BA72A6"/>
    <w:rsid w:val="00BA73EB"/>
    <w:rsid w:val="00BB2163"/>
    <w:rsid w:val="00BB4179"/>
    <w:rsid w:val="00BB542C"/>
    <w:rsid w:val="00BB5A99"/>
    <w:rsid w:val="00BB6B3E"/>
    <w:rsid w:val="00BC2193"/>
    <w:rsid w:val="00BC43E8"/>
    <w:rsid w:val="00BD172D"/>
    <w:rsid w:val="00BD77A2"/>
    <w:rsid w:val="00BE0058"/>
    <w:rsid w:val="00BE2CCF"/>
    <w:rsid w:val="00BE46F1"/>
    <w:rsid w:val="00BE5170"/>
    <w:rsid w:val="00BE5560"/>
    <w:rsid w:val="00BF160C"/>
    <w:rsid w:val="00C00AFA"/>
    <w:rsid w:val="00C11AC9"/>
    <w:rsid w:val="00C16F76"/>
    <w:rsid w:val="00C2090B"/>
    <w:rsid w:val="00C23F33"/>
    <w:rsid w:val="00C27107"/>
    <w:rsid w:val="00C321F6"/>
    <w:rsid w:val="00C32BDB"/>
    <w:rsid w:val="00C33D5E"/>
    <w:rsid w:val="00C46DC6"/>
    <w:rsid w:val="00C52D2A"/>
    <w:rsid w:val="00C53485"/>
    <w:rsid w:val="00C63B97"/>
    <w:rsid w:val="00C66D06"/>
    <w:rsid w:val="00C678ED"/>
    <w:rsid w:val="00C7588F"/>
    <w:rsid w:val="00C76DCC"/>
    <w:rsid w:val="00C77F9C"/>
    <w:rsid w:val="00C803ED"/>
    <w:rsid w:val="00C84E40"/>
    <w:rsid w:val="00C931C4"/>
    <w:rsid w:val="00C97B1B"/>
    <w:rsid w:val="00CA6FB7"/>
    <w:rsid w:val="00CA7900"/>
    <w:rsid w:val="00CB2A8F"/>
    <w:rsid w:val="00CC0778"/>
    <w:rsid w:val="00CD2038"/>
    <w:rsid w:val="00CD5765"/>
    <w:rsid w:val="00CE0058"/>
    <w:rsid w:val="00CE2CFE"/>
    <w:rsid w:val="00CE4FF5"/>
    <w:rsid w:val="00CF4666"/>
    <w:rsid w:val="00CF509A"/>
    <w:rsid w:val="00D00183"/>
    <w:rsid w:val="00D05647"/>
    <w:rsid w:val="00D10A5A"/>
    <w:rsid w:val="00D16391"/>
    <w:rsid w:val="00D16BCF"/>
    <w:rsid w:val="00D2494B"/>
    <w:rsid w:val="00D30935"/>
    <w:rsid w:val="00D30A46"/>
    <w:rsid w:val="00D42E99"/>
    <w:rsid w:val="00D53D00"/>
    <w:rsid w:val="00D57CA2"/>
    <w:rsid w:val="00D63962"/>
    <w:rsid w:val="00D7036D"/>
    <w:rsid w:val="00D7072F"/>
    <w:rsid w:val="00D8379C"/>
    <w:rsid w:val="00D87AAD"/>
    <w:rsid w:val="00D939AD"/>
    <w:rsid w:val="00D975FC"/>
    <w:rsid w:val="00DA29F9"/>
    <w:rsid w:val="00DA2E73"/>
    <w:rsid w:val="00DB0611"/>
    <w:rsid w:val="00DC0D43"/>
    <w:rsid w:val="00DD1F53"/>
    <w:rsid w:val="00DD40D5"/>
    <w:rsid w:val="00DE1D5A"/>
    <w:rsid w:val="00DE420A"/>
    <w:rsid w:val="00DF1877"/>
    <w:rsid w:val="00DF25B4"/>
    <w:rsid w:val="00DF3139"/>
    <w:rsid w:val="00DF3A3E"/>
    <w:rsid w:val="00DF564A"/>
    <w:rsid w:val="00E00436"/>
    <w:rsid w:val="00E01DD3"/>
    <w:rsid w:val="00E031FA"/>
    <w:rsid w:val="00E04C71"/>
    <w:rsid w:val="00E07F1A"/>
    <w:rsid w:val="00E112F9"/>
    <w:rsid w:val="00E12D09"/>
    <w:rsid w:val="00E1738F"/>
    <w:rsid w:val="00E17DDB"/>
    <w:rsid w:val="00E217BE"/>
    <w:rsid w:val="00E2199D"/>
    <w:rsid w:val="00E23C90"/>
    <w:rsid w:val="00E25AA6"/>
    <w:rsid w:val="00E32775"/>
    <w:rsid w:val="00E47C9C"/>
    <w:rsid w:val="00E50E9F"/>
    <w:rsid w:val="00E622EB"/>
    <w:rsid w:val="00E626E6"/>
    <w:rsid w:val="00E77C2D"/>
    <w:rsid w:val="00E9188C"/>
    <w:rsid w:val="00E9688A"/>
    <w:rsid w:val="00EA25E8"/>
    <w:rsid w:val="00EB2C58"/>
    <w:rsid w:val="00EB645E"/>
    <w:rsid w:val="00EB78D1"/>
    <w:rsid w:val="00EC47A9"/>
    <w:rsid w:val="00ED0ADC"/>
    <w:rsid w:val="00ED6E6B"/>
    <w:rsid w:val="00ED7CD8"/>
    <w:rsid w:val="00EE1690"/>
    <w:rsid w:val="00EE288F"/>
    <w:rsid w:val="00EE3663"/>
    <w:rsid w:val="00EE5A83"/>
    <w:rsid w:val="00EF7D27"/>
    <w:rsid w:val="00F0045B"/>
    <w:rsid w:val="00F10EDC"/>
    <w:rsid w:val="00F137E3"/>
    <w:rsid w:val="00F14FF7"/>
    <w:rsid w:val="00F3268B"/>
    <w:rsid w:val="00F33D43"/>
    <w:rsid w:val="00F35077"/>
    <w:rsid w:val="00F355D1"/>
    <w:rsid w:val="00F358B8"/>
    <w:rsid w:val="00F37A45"/>
    <w:rsid w:val="00F51343"/>
    <w:rsid w:val="00F535D9"/>
    <w:rsid w:val="00F60520"/>
    <w:rsid w:val="00F75B93"/>
    <w:rsid w:val="00F76AC4"/>
    <w:rsid w:val="00F771AC"/>
    <w:rsid w:val="00F80CB1"/>
    <w:rsid w:val="00F83AD6"/>
    <w:rsid w:val="00F86B69"/>
    <w:rsid w:val="00F90A91"/>
    <w:rsid w:val="00F92361"/>
    <w:rsid w:val="00F9570E"/>
    <w:rsid w:val="00FA4E5B"/>
    <w:rsid w:val="00FA6E88"/>
    <w:rsid w:val="00FB60E7"/>
    <w:rsid w:val="00FB6205"/>
    <w:rsid w:val="00FC169D"/>
    <w:rsid w:val="00FC3875"/>
    <w:rsid w:val="00FC563C"/>
    <w:rsid w:val="00FC702A"/>
    <w:rsid w:val="00FD26DE"/>
    <w:rsid w:val="00FD47D2"/>
    <w:rsid w:val="00FD4877"/>
    <w:rsid w:val="00FF624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5578A2D"/>
  <w15:chartTrackingRefBased/>
  <w15:docId w15:val="{560BBB24-7F96-42A8-9F39-734DCBC98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C64"/>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39279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9279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2D2EAC"/>
    <w:pPr>
      <w:spacing w:before="100" w:beforeAutospacing="1" w:after="100" w:afterAutospacing="1"/>
      <w:outlineLvl w:val="2"/>
    </w:pPr>
    <w:rPr>
      <w:b/>
      <w:bCs/>
      <w:sz w:val="27"/>
      <w:szCs w:val="27"/>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C3C64"/>
    <w:rPr>
      <w:rFonts w:eastAsiaTheme="minorEastAsia"/>
      <w:sz w:val="24"/>
      <w:szCs w:val="24"/>
      <w:lang w:val="es-ES_tradnl" w:eastAsia="es-ES"/>
    </w:rPr>
  </w:style>
  <w:style w:type="paragraph" w:styleId="Piedepgina">
    <w:name w:val="footer"/>
    <w:basedOn w:val="Normal"/>
    <w:link w:val="Piedepgina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C3C64"/>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C3C6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C3C64"/>
    <w:pPr>
      <w:ind w:left="708"/>
    </w:pPr>
    <w:rPr>
      <w:sz w:val="22"/>
      <w:szCs w:val="22"/>
      <w:lang w:eastAsia="en-US"/>
    </w:rPr>
  </w:style>
  <w:style w:type="table" w:styleId="Tablaconcuadrcula">
    <w:name w:val="Table Grid"/>
    <w:basedOn w:val="Tablanormal"/>
    <w:uiPriority w:val="59"/>
    <w:rsid w:val="00AC3C64"/>
    <w:pPr>
      <w:spacing w:after="0" w:line="240" w:lineRule="auto"/>
    </w:pPr>
    <w:rPr>
      <w:rFonts w:eastAsiaTheme="minorEastAsia"/>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basedOn w:val="Fuentedeprrafopredeter"/>
    <w:rsid w:val="00AC3C64"/>
  </w:style>
  <w:style w:type="character" w:customStyle="1" w:styleId="apple-converted-space">
    <w:name w:val="apple-converted-space"/>
    <w:basedOn w:val="Fuentedeprrafopredeter"/>
    <w:rsid w:val="00AC3C64"/>
  </w:style>
  <w:style w:type="paragraph" w:customStyle="1" w:styleId="paragraph">
    <w:name w:val="paragraph"/>
    <w:basedOn w:val="Normal"/>
    <w:rsid w:val="00AC3C64"/>
    <w:pPr>
      <w:spacing w:before="100" w:beforeAutospacing="1" w:after="100" w:afterAutospacing="1"/>
    </w:pPr>
    <w:rPr>
      <w:lang w:val="es-MX" w:eastAsia="es-MX"/>
    </w:rPr>
  </w:style>
  <w:style w:type="character" w:customStyle="1" w:styleId="eop">
    <w:name w:val="eop"/>
    <w:basedOn w:val="Fuentedeprrafopredeter"/>
    <w:rsid w:val="00AC3C6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AC3C64"/>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AC3C64"/>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AC3C64"/>
    <w:rPr>
      <w:vertAlign w:val="superscript"/>
    </w:rPr>
  </w:style>
  <w:style w:type="character" w:styleId="Hipervnculo">
    <w:name w:val="Hyperlink"/>
    <w:basedOn w:val="Fuentedeprrafopredeter"/>
    <w:uiPriority w:val="99"/>
    <w:unhideWhenUsed/>
    <w:rsid w:val="00AC3C64"/>
    <w:rPr>
      <w:color w:val="0563C1" w:themeColor="hyperlink"/>
      <w:u w:val="single"/>
    </w:rPr>
  </w:style>
  <w:style w:type="paragraph" w:styleId="NormalWeb">
    <w:name w:val="Normal (Web)"/>
    <w:basedOn w:val="Normal"/>
    <w:uiPriority w:val="99"/>
    <w:unhideWhenUsed/>
    <w:rsid w:val="00AC3C64"/>
    <w:pPr>
      <w:spacing w:before="100" w:beforeAutospacing="1" w:after="100" w:afterAutospacing="1"/>
    </w:pPr>
    <w:rPr>
      <w:lang w:val="es-MX" w:eastAsia="es-MX"/>
    </w:rPr>
  </w:style>
  <w:style w:type="character" w:customStyle="1" w:styleId="Ttulo3Car">
    <w:name w:val="Título 3 Car"/>
    <w:basedOn w:val="Fuentedeprrafopredeter"/>
    <w:link w:val="Ttulo3"/>
    <w:uiPriority w:val="9"/>
    <w:rsid w:val="002D2EAC"/>
    <w:rPr>
      <w:rFonts w:ascii="Times New Roman" w:eastAsia="Times New Roman" w:hAnsi="Times New Roman" w:cs="Times New Roman"/>
      <w:b/>
      <w:bCs/>
      <w:sz w:val="27"/>
      <w:szCs w:val="27"/>
      <w:lang w:eastAsia="es-MX"/>
    </w:rPr>
  </w:style>
  <w:style w:type="character" w:customStyle="1" w:styleId="titulorubro">
    <w:name w:val="titulorubro"/>
    <w:basedOn w:val="Fuentedeprrafopredeter"/>
    <w:rsid w:val="002D2EAC"/>
  </w:style>
  <w:style w:type="paragraph" w:styleId="Textoindependiente">
    <w:name w:val="Body Text"/>
    <w:basedOn w:val="Normal"/>
    <w:link w:val="TextoindependienteCar"/>
    <w:uiPriority w:val="99"/>
    <w:qFormat/>
    <w:rsid w:val="006F3C93"/>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99"/>
    <w:rsid w:val="006F3C93"/>
    <w:rPr>
      <w:rFonts w:ascii="Times New Roman" w:hAnsi="Times New Roman" w:cs="Times New Roman"/>
      <w:sz w:val="23"/>
      <w:szCs w:val="23"/>
    </w:rPr>
  </w:style>
  <w:style w:type="paragraph" w:styleId="Textodeglobo">
    <w:name w:val="Balloon Text"/>
    <w:basedOn w:val="Normal"/>
    <w:link w:val="TextodegloboCar"/>
    <w:uiPriority w:val="99"/>
    <w:semiHidden/>
    <w:unhideWhenUsed/>
    <w:rsid w:val="00A037B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7B6"/>
    <w:rPr>
      <w:rFonts w:ascii="Segoe UI" w:eastAsia="Times New Roman" w:hAnsi="Segoe UI" w:cs="Segoe UI"/>
      <w:sz w:val="18"/>
      <w:szCs w:val="18"/>
      <w:lang w:val="es-ES" w:eastAsia="es-ES"/>
    </w:rPr>
  </w:style>
  <w:style w:type="paragraph" w:customStyle="1" w:styleId="Pa1">
    <w:name w:val="Pa1"/>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2">
    <w:name w:val="Pa2"/>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3">
    <w:name w:val="Pa3"/>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styleId="Sinespaciado">
    <w:name w:val="No Spacing"/>
    <w:aliases w:val="Francesa,INAI"/>
    <w:link w:val="SinespaciadoCar"/>
    <w:uiPriority w:val="1"/>
    <w:qFormat/>
    <w:rsid w:val="00CE2CFE"/>
    <w:pPr>
      <w:spacing w:after="0" w:line="240" w:lineRule="auto"/>
    </w:pPr>
  </w:style>
  <w:style w:type="character" w:customStyle="1" w:styleId="SinespaciadoCar">
    <w:name w:val="Sin espaciado Car"/>
    <w:aliases w:val="Francesa Car,INAI Car"/>
    <w:link w:val="Sinespaciado"/>
    <w:uiPriority w:val="1"/>
    <w:locked/>
    <w:rsid w:val="00CE2CFE"/>
  </w:style>
  <w:style w:type="table" w:styleId="Tabladelista1clara-nfasis1">
    <w:name w:val="List Table 1 Light Accent 1"/>
    <w:basedOn w:val="Tablanormal"/>
    <w:uiPriority w:val="46"/>
    <w:rsid w:val="00D30935"/>
    <w:pPr>
      <w:spacing w:after="0" w:line="240" w:lineRule="auto"/>
    </w:pPr>
    <w:rPr>
      <w:rFonts w:eastAsiaTheme="minorEastAsia"/>
      <w:sz w:val="24"/>
      <w:szCs w:val="24"/>
      <w:lang w:val="es-ES_tradnl" w:eastAsia="es-E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apple-tab-span">
    <w:name w:val="apple-tab-span"/>
    <w:basedOn w:val="Fuentedeprrafopredeter"/>
    <w:rsid w:val="00147361"/>
  </w:style>
  <w:style w:type="paragraph" w:customStyle="1" w:styleId="j">
    <w:name w:val="j"/>
    <w:basedOn w:val="Normal"/>
    <w:rsid w:val="00C2090B"/>
    <w:pPr>
      <w:spacing w:before="100" w:beforeAutospacing="1" w:after="100" w:afterAutospacing="1"/>
    </w:pPr>
    <w:rPr>
      <w:lang w:val="es-MX" w:eastAsia="es-MX"/>
    </w:rPr>
  </w:style>
  <w:style w:type="character" w:customStyle="1" w:styleId="Ttulo1Car">
    <w:name w:val="Título 1 Car"/>
    <w:basedOn w:val="Fuentedeprrafopredeter"/>
    <w:link w:val="Ttulo1"/>
    <w:uiPriority w:val="9"/>
    <w:rsid w:val="0039279D"/>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39279D"/>
    <w:rPr>
      <w:rFonts w:asciiTheme="majorHAnsi" w:eastAsiaTheme="majorEastAsia" w:hAnsiTheme="majorHAnsi" w:cstheme="majorBidi"/>
      <w:color w:val="2E74B5" w:themeColor="accent1" w:themeShade="BF"/>
      <w:sz w:val="26"/>
      <w:szCs w:val="26"/>
      <w:lang w:val="es-ES" w:eastAsia="es-ES"/>
    </w:rPr>
  </w:style>
  <w:style w:type="character" w:styleId="Textoennegrita">
    <w:name w:val="Strong"/>
    <w:uiPriority w:val="22"/>
    <w:qFormat/>
    <w:rsid w:val="0039279D"/>
    <w:rPr>
      <w:b/>
      <w:bCs/>
    </w:rPr>
  </w:style>
  <w:style w:type="paragraph" w:customStyle="1" w:styleId="Texto">
    <w:name w:val="Texto"/>
    <w:basedOn w:val="Normal"/>
    <w:link w:val="TextoCar"/>
    <w:qFormat/>
    <w:rsid w:val="0039279D"/>
    <w:pPr>
      <w:spacing w:after="101" w:line="216" w:lineRule="exact"/>
      <w:ind w:firstLine="288"/>
      <w:jc w:val="both"/>
    </w:pPr>
    <w:rPr>
      <w:rFonts w:ascii="Arial" w:hAnsi="Arial" w:cs="Arial"/>
      <w:sz w:val="18"/>
      <w:szCs w:val="18"/>
      <w:lang w:val="es-MX"/>
    </w:rPr>
  </w:style>
  <w:style w:type="character" w:customStyle="1" w:styleId="TextoCar">
    <w:name w:val="Texto Car"/>
    <w:link w:val="Texto"/>
    <w:locked/>
    <w:rsid w:val="0039279D"/>
    <w:rPr>
      <w:rFonts w:ascii="Arial" w:eastAsia="Times New Roman" w:hAnsi="Arial" w:cs="Arial"/>
      <w:sz w:val="18"/>
      <w:szCs w:val="18"/>
      <w:lang w:eastAsia="es-ES"/>
    </w:rPr>
  </w:style>
  <w:style w:type="paragraph" w:styleId="Textosinformato">
    <w:name w:val="Plain Text"/>
    <w:basedOn w:val="Normal"/>
    <w:link w:val="TextosinformatoCar"/>
    <w:rsid w:val="0039279D"/>
    <w:rPr>
      <w:rFonts w:ascii="Courier New" w:hAnsi="Courier New"/>
      <w:sz w:val="20"/>
      <w:szCs w:val="20"/>
    </w:rPr>
  </w:style>
  <w:style w:type="character" w:customStyle="1" w:styleId="TextosinformatoCar">
    <w:name w:val="Texto sin formato Car"/>
    <w:basedOn w:val="Fuentedeprrafopredeter"/>
    <w:link w:val="Textosinformato"/>
    <w:rsid w:val="0039279D"/>
    <w:rPr>
      <w:rFonts w:ascii="Courier New" w:eastAsia="Times New Roman" w:hAnsi="Courier New" w:cs="Times New Roman"/>
      <w:sz w:val="20"/>
      <w:szCs w:val="20"/>
      <w:lang w:val="es-ES" w:eastAsia="es-ES"/>
    </w:rPr>
  </w:style>
  <w:style w:type="paragraph" w:customStyle="1" w:styleId="Default">
    <w:name w:val="Default"/>
    <w:rsid w:val="0039279D"/>
    <w:pPr>
      <w:autoSpaceDE w:val="0"/>
      <w:autoSpaceDN w:val="0"/>
      <w:adjustRightInd w:val="0"/>
      <w:spacing w:after="0" w:line="240" w:lineRule="auto"/>
    </w:pPr>
    <w:rPr>
      <w:rFonts w:ascii="Arial" w:hAnsi="Arial" w:cs="Arial"/>
      <w:color w:val="000000"/>
      <w:sz w:val="24"/>
      <w:szCs w:val="24"/>
    </w:rPr>
  </w:style>
  <w:style w:type="paragraph" w:customStyle="1" w:styleId="Standard">
    <w:name w:val="Standard"/>
    <w:rsid w:val="0039279D"/>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paragraph" w:customStyle="1" w:styleId="q">
    <w:name w:val="q"/>
    <w:basedOn w:val="Normal"/>
    <w:rsid w:val="0039279D"/>
    <w:pPr>
      <w:spacing w:before="100" w:beforeAutospacing="1" w:after="100" w:afterAutospacing="1"/>
    </w:pPr>
    <w:rPr>
      <w:lang w:val="es-MX" w:eastAsia="es-MX"/>
    </w:rPr>
  </w:style>
  <w:style w:type="paragraph" w:styleId="Bibliografa">
    <w:name w:val="Bibliography"/>
    <w:basedOn w:val="Normal"/>
    <w:next w:val="Normal"/>
    <w:uiPriority w:val="37"/>
    <w:semiHidden/>
    <w:unhideWhenUsed/>
    <w:rsid w:val="0039279D"/>
  </w:style>
  <w:style w:type="character" w:customStyle="1" w:styleId="nacep">
    <w:name w:val="n_acep"/>
    <w:basedOn w:val="Fuentedeprrafopredeter"/>
    <w:rsid w:val="0039279D"/>
  </w:style>
  <w:style w:type="character" w:customStyle="1" w:styleId="m2871584667633129156gmail-apple-converted-space">
    <w:name w:val="m_2871584667633129156gmail-apple-converted-space"/>
    <w:basedOn w:val="Fuentedeprrafopredeter"/>
    <w:rsid w:val="0039279D"/>
  </w:style>
  <w:style w:type="character" w:customStyle="1" w:styleId="m2871584667633129156gmail-msofootnotereference">
    <w:name w:val="m_2871584667633129156gmail-msofootnotereference"/>
    <w:basedOn w:val="Fuentedeprrafopredeter"/>
    <w:rsid w:val="0039279D"/>
  </w:style>
  <w:style w:type="paragraph" w:customStyle="1" w:styleId="m2871584667633129156gmail-msofootnotetext">
    <w:name w:val="m_2871584667633129156gmail-msofootnotetext"/>
    <w:basedOn w:val="Normal"/>
    <w:rsid w:val="0039279D"/>
    <w:pPr>
      <w:spacing w:before="100" w:beforeAutospacing="1" w:after="100" w:afterAutospacing="1"/>
    </w:pPr>
    <w:rPr>
      <w:lang w:val="es-MX" w:eastAsia="es-MX"/>
    </w:rPr>
  </w:style>
  <w:style w:type="paragraph" w:styleId="Textoindependiente2">
    <w:name w:val="Body Text 2"/>
    <w:basedOn w:val="Normal"/>
    <w:link w:val="Textoindependiente2Car"/>
    <w:uiPriority w:val="99"/>
    <w:unhideWhenUsed/>
    <w:rsid w:val="0039279D"/>
    <w:pPr>
      <w:spacing w:after="120" w:line="480" w:lineRule="auto"/>
    </w:pPr>
    <w:rPr>
      <w:lang w:val="es-MX"/>
    </w:rPr>
  </w:style>
  <w:style w:type="character" w:customStyle="1" w:styleId="Textoindependiente2Car">
    <w:name w:val="Texto independiente 2 Car"/>
    <w:basedOn w:val="Fuentedeprrafopredeter"/>
    <w:link w:val="Textoindependiente2"/>
    <w:uiPriority w:val="99"/>
    <w:rsid w:val="0039279D"/>
    <w:rPr>
      <w:rFonts w:ascii="Times New Roman" w:eastAsia="Times New Roman" w:hAnsi="Times New Roman" w:cs="Times New Roman"/>
      <w:sz w:val="24"/>
      <w:szCs w:val="24"/>
      <w:lang w:eastAsia="es-ES"/>
    </w:rPr>
  </w:style>
  <w:style w:type="character" w:styleId="Hipervnculovisitado">
    <w:name w:val="FollowedHyperlink"/>
    <w:basedOn w:val="Fuentedeprrafopredeter"/>
    <w:uiPriority w:val="99"/>
    <w:semiHidden/>
    <w:unhideWhenUsed/>
    <w:rsid w:val="0039279D"/>
    <w:rPr>
      <w:color w:val="954F72" w:themeColor="followedHyperlink"/>
      <w:u w:val="single"/>
    </w:rPr>
  </w:style>
  <w:style w:type="paragraph" w:styleId="Lista">
    <w:name w:val="List"/>
    <w:basedOn w:val="Normal"/>
    <w:uiPriority w:val="99"/>
    <w:unhideWhenUsed/>
    <w:rsid w:val="0039279D"/>
    <w:pPr>
      <w:ind w:left="283" w:hanging="283"/>
      <w:contextualSpacing/>
    </w:pPr>
  </w:style>
  <w:style w:type="paragraph" w:styleId="Lista2">
    <w:name w:val="List 2"/>
    <w:basedOn w:val="Normal"/>
    <w:uiPriority w:val="99"/>
    <w:unhideWhenUsed/>
    <w:rsid w:val="0039279D"/>
    <w:pPr>
      <w:ind w:left="566" w:hanging="283"/>
      <w:contextualSpacing/>
    </w:pPr>
  </w:style>
  <w:style w:type="paragraph" w:styleId="Saludo">
    <w:name w:val="Salutation"/>
    <w:basedOn w:val="Normal"/>
    <w:next w:val="Normal"/>
    <w:link w:val="SaludoCar"/>
    <w:uiPriority w:val="99"/>
    <w:unhideWhenUsed/>
    <w:rsid w:val="0039279D"/>
  </w:style>
  <w:style w:type="character" w:customStyle="1" w:styleId="SaludoCar">
    <w:name w:val="Saludo Car"/>
    <w:basedOn w:val="Fuentedeprrafopredeter"/>
    <w:link w:val="Saludo"/>
    <w:uiPriority w:val="99"/>
    <w:rsid w:val="0039279D"/>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unhideWhenUsed/>
    <w:rsid w:val="0039279D"/>
    <w:pPr>
      <w:spacing w:after="120"/>
      <w:ind w:left="283"/>
    </w:pPr>
  </w:style>
  <w:style w:type="character" w:customStyle="1" w:styleId="SangradetextonormalCar">
    <w:name w:val="Sangría de texto normal Car"/>
    <w:basedOn w:val="Fuentedeprrafopredeter"/>
    <w:link w:val="Sangradetextonormal"/>
    <w:uiPriority w:val="99"/>
    <w:rsid w:val="0039279D"/>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uiPriority w:val="99"/>
    <w:unhideWhenUsed/>
    <w:rsid w:val="0039279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39279D"/>
    <w:rPr>
      <w:rFonts w:ascii="Times New Roman" w:eastAsia="Times New Roman" w:hAnsi="Times New Roman" w:cs="Times New Roman"/>
      <w:sz w:val="24"/>
      <w:szCs w:val="24"/>
      <w:lang w:val="es-ES" w:eastAsia="es-ES"/>
    </w:rPr>
  </w:style>
  <w:style w:type="character" w:customStyle="1" w:styleId="u">
    <w:name w:val="u"/>
    <w:basedOn w:val="Fuentedeprrafopredeter"/>
    <w:rsid w:val="0039279D"/>
  </w:style>
  <w:style w:type="character" w:customStyle="1" w:styleId="TextonotapieCar1">
    <w:name w:val="Texto nota pie Car1"/>
    <w:basedOn w:val="Fuentedeprrafopredeter"/>
    <w:uiPriority w:val="99"/>
    <w:rsid w:val="0039279D"/>
    <w:rPr>
      <w:sz w:val="20"/>
      <w:szCs w:val="20"/>
    </w:rPr>
  </w:style>
  <w:style w:type="paragraph" w:customStyle="1" w:styleId="rtejustify">
    <w:name w:val="rtejustify"/>
    <w:basedOn w:val="Normal"/>
    <w:rsid w:val="0039279D"/>
    <w:pPr>
      <w:spacing w:before="100" w:beforeAutospacing="1" w:after="100" w:afterAutospacing="1"/>
    </w:pPr>
    <w:rPr>
      <w:lang w:val="es-MX" w:eastAsia="es-MX"/>
    </w:rPr>
  </w:style>
  <w:style w:type="character" w:styleId="nfasis">
    <w:name w:val="Emphasis"/>
    <w:basedOn w:val="Fuentedeprrafopredeter"/>
    <w:uiPriority w:val="20"/>
    <w:qFormat/>
    <w:rsid w:val="0039279D"/>
    <w:rPr>
      <w:i/>
      <w:iCs/>
    </w:rPr>
  </w:style>
  <w:style w:type="paragraph" w:customStyle="1" w:styleId="j1">
    <w:name w:val="j1"/>
    <w:basedOn w:val="Normal"/>
    <w:rsid w:val="0039279D"/>
    <w:pPr>
      <w:spacing w:before="100" w:beforeAutospacing="1" w:after="100" w:afterAutospacing="1"/>
    </w:pPr>
    <w:rPr>
      <w:lang w:val="es-MX" w:eastAsia="es-MX"/>
    </w:rPr>
  </w:style>
  <w:style w:type="character" w:customStyle="1" w:styleId="d">
    <w:name w:val="d"/>
    <w:basedOn w:val="Fuentedeprrafopredeter"/>
    <w:rsid w:val="0039279D"/>
  </w:style>
  <w:style w:type="character" w:customStyle="1" w:styleId="m-7180717751901043621gmail-msofootnotereference">
    <w:name w:val="m_-7180717751901043621gmail-msofootnotereference"/>
    <w:basedOn w:val="Fuentedeprrafopredeter"/>
    <w:rsid w:val="0039279D"/>
  </w:style>
  <w:style w:type="character" w:customStyle="1" w:styleId="m-3579365149168697376gmail-msofootnotereference">
    <w:name w:val="m_-3579365149168697376gmail-msofootnotereference"/>
    <w:basedOn w:val="Fuentedeprrafopredeter"/>
    <w:rsid w:val="0039279D"/>
  </w:style>
  <w:style w:type="paragraph" w:customStyle="1" w:styleId="m-3579365149168697376gmail-msofootnotetext">
    <w:name w:val="m_-3579365149168697376gmail-msofootnotetext"/>
    <w:basedOn w:val="Normal"/>
    <w:rsid w:val="0039279D"/>
    <w:pPr>
      <w:spacing w:before="100" w:beforeAutospacing="1" w:after="100" w:afterAutospacing="1"/>
    </w:pPr>
    <w:rPr>
      <w:lang w:val="es-MX" w:eastAsia="es-MX"/>
    </w:rPr>
  </w:style>
  <w:style w:type="character" w:customStyle="1" w:styleId="ams">
    <w:name w:val="ams"/>
    <w:basedOn w:val="Fuentedeprrafopredeter"/>
    <w:rsid w:val="0039279D"/>
  </w:style>
  <w:style w:type="character" w:customStyle="1" w:styleId="apple-style-span">
    <w:name w:val="apple-style-span"/>
    <w:rsid w:val="00910B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622023">
      <w:bodyDiv w:val="1"/>
      <w:marLeft w:val="0"/>
      <w:marRight w:val="0"/>
      <w:marTop w:val="0"/>
      <w:marBottom w:val="0"/>
      <w:divBdr>
        <w:top w:val="none" w:sz="0" w:space="0" w:color="auto"/>
        <w:left w:val="none" w:sz="0" w:space="0" w:color="auto"/>
        <w:bottom w:val="none" w:sz="0" w:space="0" w:color="auto"/>
        <w:right w:val="none" w:sz="0" w:space="0" w:color="auto"/>
      </w:divBdr>
    </w:div>
    <w:div w:id="243151788">
      <w:bodyDiv w:val="1"/>
      <w:marLeft w:val="0"/>
      <w:marRight w:val="0"/>
      <w:marTop w:val="0"/>
      <w:marBottom w:val="0"/>
      <w:divBdr>
        <w:top w:val="none" w:sz="0" w:space="0" w:color="auto"/>
        <w:left w:val="none" w:sz="0" w:space="0" w:color="auto"/>
        <w:bottom w:val="none" w:sz="0" w:space="0" w:color="auto"/>
        <w:right w:val="none" w:sz="0" w:space="0" w:color="auto"/>
      </w:divBdr>
      <w:divsChild>
        <w:div w:id="1078747330">
          <w:marLeft w:val="0"/>
          <w:marRight w:val="0"/>
          <w:marTop w:val="0"/>
          <w:marBottom w:val="0"/>
          <w:divBdr>
            <w:top w:val="none" w:sz="0" w:space="0" w:color="auto"/>
            <w:left w:val="single" w:sz="6" w:space="0" w:color="7FCAD3"/>
            <w:bottom w:val="single" w:sz="6" w:space="0" w:color="7FCAD3"/>
            <w:right w:val="single" w:sz="6" w:space="0" w:color="7FCAD3"/>
          </w:divBdr>
        </w:div>
      </w:divsChild>
    </w:div>
    <w:div w:id="292445562">
      <w:bodyDiv w:val="1"/>
      <w:marLeft w:val="0"/>
      <w:marRight w:val="0"/>
      <w:marTop w:val="0"/>
      <w:marBottom w:val="0"/>
      <w:divBdr>
        <w:top w:val="none" w:sz="0" w:space="0" w:color="auto"/>
        <w:left w:val="none" w:sz="0" w:space="0" w:color="auto"/>
        <w:bottom w:val="none" w:sz="0" w:space="0" w:color="auto"/>
        <w:right w:val="none" w:sz="0" w:space="0" w:color="auto"/>
      </w:divBdr>
    </w:div>
    <w:div w:id="376274385">
      <w:bodyDiv w:val="1"/>
      <w:marLeft w:val="0"/>
      <w:marRight w:val="0"/>
      <w:marTop w:val="0"/>
      <w:marBottom w:val="0"/>
      <w:divBdr>
        <w:top w:val="none" w:sz="0" w:space="0" w:color="auto"/>
        <w:left w:val="none" w:sz="0" w:space="0" w:color="auto"/>
        <w:bottom w:val="none" w:sz="0" w:space="0" w:color="auto"/>
        <w:right w:val="none" w:sz="0" w:space="0" w:color="auto"/>
      </w:divBdr>
    </w:div>
    <w:div w:id="406193219">
      <w:bodyDiv w:val="1"/>
      <w:marLeft w:val="0"/>
      <w:marRight w:val="0"/>
      <w:marTop w:val="0"/>
      <w:marBottom w:val="0"/>
      <w:divBdr>
        <w:top w:val="none" w:sz="0" w:space="0" w:color="auto"/>
        <w:left w:val="none" w:sz="0" w:space="0" w:color="auto"/>
        <w:bottom w:val="none" w:sz="0" w:space="0" w:color="auto"/>
        <w:right w:val="none" w:sz="0" w:space="0" w:color="auto"/>
      </w:divBdr>
    </w:div>
    <w:div w:id="582419590">
      <w:bodyDiv w:val="1"/>
      <w:marLeft w:val="0"/>
      <w:marRight w:val="0"/>
      <w:marTop w:val="0"/>
      <w:marBottom w:val="0"/>
      <w:divBdr>
        <w:top w:val="none" w:sz="0" w:space="0" w:color="auto"/>
        <w:left w:val="none" w:sz="0" w:space="0" w:color="auto"/>
        <w:bottom w:val="none" w:sz="0" w:space="0" w:color="auto"/>
        <w:right w:val="none" w:sz="0" w:space="0" w:color="auto"/>
      </w:divBdr>
    </w:div>
    <w:div w:id="597719758">
      <w:bodyDiv w:val="1"/>
      <w:marLeft w:val="0"/>
      <w:marRight w:val="0"/>
      <w:marTop w:val="0"/>
      <w:marBottom w:val="0"/>
      <w:divBdr>
        <w:top w:val="none" w:sz="0" w:space="0" w:color="auto"/>
        <w:left w:val="none" w:sz="0" w:space="0" w:color="auto"/>
        <w:bottom w:val="none" w:sz="0" w:space="0" w:color="auto"/>
        <w:right w:val="none" w:sz="0" w:space="0" w:color="auto"/>
      </w:divBdr>
    </w:div>
    <w:div w:id="602227055">
      <w:bodyDiv w:val="1"/>
      <w:marLeft w:val="0"/>
      <w:marRight w:val="0"/>
      <w:marTop w:val="0"/>
      <w:marBottom w:val="0"/>
      <w:divBdr>
        <w:top w:val="none" w:sz="0" w:space="0" w:color="auto"/>
        <w:left w:val="none" w:sz="0" w:space="0" w:color="auto"/>
        <w:bottom w:val="none" w:sz="0" w:space="0" w:color="auto"/>
        <w:right w:val="none" w:sz="0" w:space="0" w:color="auto"/>
      </w:divBdr>
    </w:div>
    <w:div w:id="653264852">
      <w:bodyDiv w:val="1"/>
      <w:marLeft w:val="0"/>
      <w:marRight w:val="0"/>
      <w:marTop w:val="0"/>
      <w:marBottom w:val="0"/>
      <w:divBdr>
        <w:top w:val="none" w:sz="0" w:space="0" w:color="auto"/>
        <w:left w:val="none" w:sz="0" w:space="0" w:color="auto"/>
        <w:bottom w:val="none" w:sz="0" w:space="0" w:color="auto"/>
        <w:right w:val="none" w:sz="0" w:space="0" w:color="auto"/>
      </w:divBdr>
    </w:div>
    <w:div w:id="770049584">
      <w:bodyDiv w:val="1"/>
      <w:marLeft w:val="0"/>
      <w:marRight w:val="0"/>
      <w:marTop w:val="0"/>
      <w:marBottom w:val="0"/>
      <w:divBdr>
        <w:top w:val="none" w:sz="0" w:space="0" w:color="auto"/>
        <w:left w:val="none" w:sz="0" w:space="0" w:color="auto"/>
        <w:bottom w:val="none" w:sz="0" w:space="0" w:color="auto"/>
        <w:right w:val="none" w:sz="0" w:space="0" w:color="auto"/>
      </w:divBdr>
    </w:div>
    <w:div w:id="784807968">
      <w:bodyDiv w:val="1"/>
      <w:marLeft w:val="0"/>
      <w:marRight w:val="0"/>
      <w:marTop w:val="0"/>
      <w:marBottom w:val="0"/>
      <w:divBdr>
        <w:top w:val="none" w:sz="0" w:space="0" w:color="auto"/>
        <w:left w:val="none" w:sz="0" w:space="0" w:color="auto"/>
        <w:bottom w:val="none" w:sz="0" w:space="0" w:color="auto"/>
        <w:right w:val="none" w:sz="0" w:space="0" w:color="auto"/>
      </w:divBdr>
    </w:div>
    <w:div w:id="990862296">
      <w:bodyDiv w:val="1"/>
      <w:marLeft w:val="0"/>
      <w:marRight w:val="0"/>
      <w:marTop w:val="0"/>
      <w:marBottom w:val="0"/>
      <w:divBdr>
        <w:top w:val="none" w:sz="0" w:space="0" w:color="auto"/>
        <w:left w:val="none" w:sz="0" w:space="0" w:color="auto"/>
        <w:bottom w:val="none" w:sz="0" w:space="0" w:color="auto"/>
        <w:right w:val="none" w:sz="0" w:space="0" w:color="auto"/>
      </w:divBdr>
    </w:div>
    <w:div w:id="1018577316">
      <w:bodyDiv w:val="1"/>
      <w:marLeft w:val="0"/>
      <w:marRight w:val="0"/>
      <w:marTop w:val="0"/>
      <w:marBottom w:val="0"/>
      <w:divBdr>
        <w:top w:val="none" w:sz="0" w:space="0" w:color="auto"/>
        <w:left w:val="none" w:sz="0" w:space="0" w:color="auto"/>
        <w:bottom w:val="none" w:sz="0" w:space="0" w:color="auto"/>
        <w:right w:val="none" w:sz="0" w:space="0" w:color="auto"/>
      </w:divBdr>
    </w:div>
    <w:div w:id="1092049412">
      <w:bodyDiv w:val="1"/>
      <w:marLeft w:val="0"/>
      <w:marRight w:val="0"/>
      <w:marTop w:val="0"/>
      <w:marBottom w:val="0"/>
      <w:divBdr>
        <w:top w:val="none" w:sz="0" w:space="0" w:color="auto"/>
        <w:left w:val="none" w:sz="0" w:space="0" w:color="auto"/>
        <w:bottom w:val="none" w:sz="0" w:space="0" w:color="auto"/>
        <w:right w:val="none" w:sz="0" w:space="0" w:color="auto"/>
      </w:divBdr>
    </w:div>
    <w:div w:id="1129786518">
      <w:bodyDiv w:val="1"/>
      <w:marLeft w:val="0"/>
      <w:marRight w:val="0"/>
      <w:marTop w:val="0"/>
      <w:marBottom w:val="0"/>
      <w:divBdr>
        <w:top w:val="none" w:sz="0" w:space="0" w:color="auto"/>
        <w:left w:val="none" w:sz="0" w:space="0" w:color="auto"/>
        <w:bottom w:val="none" w:sz="0" w:space="0" w:color="auto"/>
        <w:right w:val="none" w:sz="0" w:space="0" w:color="auto"/>
      </w:divBdr>
    </w:div>
    <w:div w:id="1255474472">
      <w:bodyDiv w:val="1"/>
      <w:marLeft w:val="0"/>
      <w:marRight w:val="0"/>
      <w:marTop w:val="0"/>
      <w:marBottom w:val="0"/>
      <w:divBdr>
        <w:top w:val="none" w:sz="0" w:space="0" w:color="auto"/>
        <w:left w:val="none" w:sz="0" w:space="0" w:color="auto"/>
        <w:bottom w:val="none" w:sz="0" w:space="0" w:color="auto"/>
        <w:right w:val="none" w:sz="0" w:space="0" w:color="auto"/>
      </w:divBdr>
    </w:div>
    <w:div w:id="1576620818">
      <w:bodyDiv w:val="1"/>
      <w:marLeft w:val="0"/>
      <w:marRight w:val="0"/>
      <w:marTop w:val="0"/>
      <w:marBottom w:val="0"/>
      <w:divBdr>
        <w:top w:val="none" w:sz="0" w:space="0" w:color="auto"/>
        <w:left w:val="none" w:sz="0" w:space="0" w:color="auto"/>
        <w:bottom w:val="none" w:sz="0" w:space="0" w:color="auto"/>
        <w:right w:val="none" w:sz="0" w:space="0" w:color="auto"/>
      </w:divBdr>
    </w:div>
    <w:div w:id="1671715075">
      <w:bodyDiv w:val="1"/>
      <w:marLeft w:val="0"/>
      <w:marRight w:val="0"/>
      <w:marTop w:val="0"/>
      <w:marBottom w:val="0"/>
      <w:divBdr>
        <w:top w:val="none" w:sz="0" w:space="0" w:color="auto"/>
        <w:left w:val="none" w:sz="0" w:space="0" w:color="auto"/>
        <w:bottom w:val="none" w:sz="0" w:space="0" w:color="auto"/>
        <w:right w:val="none" w:sz="0" w:space="0" w:color="auto"/>
      </w:divBdr>
    </w:div>
    <w:div w:id="1676608261">
      <w:bodyDiv w:val="1"/>
      <w:marLeft w:val="0"/>
      <w:marRight w:val="0"/>
      <w:marTop w:val="0"/>
      <w:marBottom w:val="0"/>
      <w:divBdr>
        <w:top w:val="none" w:sz="0" w:space="0" w:color="auto"/>
        <w:left w:val="none" w:sz="0" w:space="0" w:color="auto"/>
        <w:bottom w:val="none" w:sz="0" w:space="0" w:color="auto"/>
        <w:right w:val="none" w:sz="0" w:space="0" w:color="auto"/>
      </w:divBdr>
      <w:divsChild>
        <w:div w:id="1713653307">
          <w:marLeft w:val="0"/>
          <w:marRight w:val="0"/>
          <w:marTop w:val="0"/>
          <w:marBottom w:val="0"/>
          <w:divBdr>
            <w:top w:val="none" w:sz="0" w:space="0" w:color="auto"/>
            <w:left w:val="single" w:sz="6" w:space="0" w:color="7FCAD3"/>
            <w:bottom w:val="single" w:sz="6" w:space="0" w:color="7FCAD3"/>
            <w:right w:val="single" w:sz="6" w:space="0" w:color="7FCAD3"/>
          </w:divBdr>
        </w:div>
      </w:divsChild>
    </w:div>
    <w:div w:id="1814983433">
      <w:bodyDiv w:val="1"/>
      <w:marLeft w:val="0"/>
      <w:marRight w:val="0"/>
      <w:marTop w:val="0"/>
      <w:marBottom w:val="0"/>
      <w:divBdr>
        <w:top w:val="none" w:sz="0" w:space="0" w:color="auto"/>
        <w:left w:val="none" w:sz="0" w:space="0" w:color="auto"/>
        <w:bottom w:val="none" w:sz="0" w:space="0" w:color="auto"/>
        <w:right w:val="none" w:sz="0" w:space="0" w:color="auto"/>
      </w:divBdr>
    </w:div>
    <w:div w:id="2099868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oleObject" Target="embeddings/oleObject6.bin"/><Relationship Id="rId26" Type="http://schemas.openxmlformats.org/officeDocument/2006/relationships/oleObject" Target="embeddings/oleObject11.bin"/><Relationship Id="rId39" Type="http://schemas.openxmlformats.org/officeDocument/2006/relationships/theme" Target="theme/theme1.xml"/><Relationship Id="rId21" Type="http://schemas.openxmlformats.org/officeDocument/2006/relationships/image" Target="media/image6.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header" Target="header1.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5.bin"/><Relationship Id="rId20" Type="http://schemas.openxmlformats.org/officeDocument/2006/relationships/oleObject" Target="embeddings/oleObject8.bin"/><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10.bin"/><Relationship Id="rId32" Type="http://schemas.openxmlformats.org/officeDocument/2006/relationships/image" Target="media/image13.png"/><Relationship Id="rId37"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7.png"/><Relationship Id="rId28" Type="http://schemas.openxmlformats.org/officeDocument/2006/relationships/oleObject" Target="embeddings/oleObject12.bin"/><Relationship Id="rId36" Type="http://schemas.openxmlformats.org/officeDocument/2006/relationships/footer" Target="footer2.xml"/><Relationship Id="rId10" Type="http://schemas.openxmlformats.org/officeDocument/2006/relationships/oleObject" Target="embeddings/oleObject1.bin"/><Relationship Id="rId19" Type="http://schemas.openxmlformats.org/officeDocument/2006/relationships/oleObject" Target="embeddings/oleObject7.bin"/><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oleObject" Target="embeddings/oleObject9.bin"/><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F34941-F288-41DB-B578-638082C064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13180</Words>
  <Characters>72494</Characters>
  <Application>Microsoft Office Word</Application>
  <DocSecurity>0</DocSecurity>
  <Lines>604</Lines>
  <Paragraphs>171</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85503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USUARIO</cp:lastModifiedBy>
  <cp:revision>2</cp:revision>
  <cp:lastPrinted>2022-04-24T16:41:00Z</cp:lastPrinted>
  <dcterms:created xsi:type="dcterms:W3CDTF">2022-06-06T18:34:00Z</dcterms:created>
  <dcterms:modified xsi:type="dcterms:W3CDTF">2022-06-06T18:34:00Z</dcterms:modified>
</cp:coreProperties>
</file>