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D0563" w14:textId="14AFCA88" w:rsidR="00191180" w:rsidRPr="00A3599E" w:rsidRDefault="00191180" w:rsidP="006F7BEF">
      <w:pPr>
        <w:suppressAutoHyphens w:val="0"/>
        <w:spacing w:line="360" w:lineRule="auto"/>
        <w:jc w:val="both"/>
        <w:rPr>
          <w:rFonts w:ascii="Palatino Linotype" w:hAnsi="Palatino Linotype"/>
          <w:lang w:val="es-ES_tradnl"/>
        </w:rPr>
      </w:pPr>
      <w:bookmarkStart w:id="0" w:name="_GoBack"/>
      <w:bookmarkEnd w:id="0"/>
      <w:r w:rsidRPr="00A3599E">
        <w:rPr>
          <w:rFonts w:ascii="Palatino Linotype" w:hAnsi="Palatino Linotype"/>
          <w:lang w:val="es-ES_tradnl"/>
        </w:rPr>
        <w:t>Resolución del Pleno del Instituto de Transparencia, Acceso a la Información Pública y Protección de Datos Personales del Estado de México y Municipios, con domicilio en M</w:t>
      </w:r>
      <w:r w:rsidR="00D07BFA" w:rsidRPr="00A3599E">
        <w:rPr>
          <w:rFonts w:ascii="Palatino Linotype" w:hAnsi="Palatino Linotype"/>
          <w:lang w:val="es-ES_tradnl"/>
        </w:rPr>
        <w:t xml:space="preserve">etepec, Estado </w:t>
      </w:r>
      <w:r w:rsidR="006F2D5B">
        <w:rPr>
          <w:rFonts w:ascii="Palatino Linotype" w:hAnsi="Palatino Linotype"/>
          <w:lang w:val="es-ES_tradnl"/>
        </w:rPr>
        <w:t>de México; de veinticinco (25</w:t>
      </w:r>
      <w:r w:rsidRPr="00A3599E">
        <w:rPr>
          <w:rFonts w:ascii="Palatino Linotype" w:hAnsi="Palatino Linotype"/>
          <w:lang w:val="es-ES_tradnl"/>
        </w:rPr>
        <w:t>) de</w:t>
      </w:r>
      <w:r w:rsidR="008065BC">
        <w:rPr>
          <w:rFonts w:ascii="Palatino Linotype" w:hAnsi="Palatino Linotype"/>
          <w:lang w:val="es-ES_tradnl"/>
        </w:rPr>
        <w:t xml:space="preserve"> mayo</w:t>
      </w:r>
      <w:r w:rsidR="00B73105">
        <w:rPr>
          <w:rFonts w:ascii="Palatino Linotype" w:hAnsi="Palatino Linotype"/>
          <w:lang w:val="es-ES_tradnl"/>
        </w:rPr>
        <w:t xml:space="preserve"> d</w:t>
      </w:r>
      <w:r w:rsidR="00F52421" w:rsidRPr="00A3599E">
        <w:rPr>
          <w:rFonts w:ascii="Palatino Linotype" w:hAnsi="Palatino Linotype"/>
          <w:lang w:val="es-ES_tradnl"/>
        </w:rPr>
        <w:t>e dos mil veintidós</w:t>
      </w:r>
      <w:r w:rsidRPr="00A3599E">
        <w:rPr>
          <w:rFonts w:ascii="Palatino Linotype" w:hAnsi="Palatino Linotype"/>
          <w:lang w:val="es-ES_tradnl"/>
        </w:rPr>
        <w:t>.</w:t>
      </w:r>
    </w:p>
    <w:p w14:paraId="6E4CA26C" w14:textId="6FBB9D51" w:rsidR="00093A2D" w:rsidRPr="008B4757" w:rsidRDefault="00B73105" w:rsidP="008065BC">
      <w:pPr>
        <w:tabs>
          <w:tab w:val="left" w:pos="3465"/>
        </w:tabs>
        <w:suppressAutoHyphens w:val="0"/>
        <w:spacing w:before="240" w:after="360" w:line="360" w:lineRule="auto"/>
        <w:jc w:val="both"/>
        <w:rPr>
          <w:rFonts w:ascii="Palatino Linotype" w:eastAsia="MS Mincho" w:hAnsi="Palatino Linotype"/>
          <w:color w:val="000000"/>
          <w:lang w:val="es-ES_tradnl"/>
        </w:rPr>
      </w:pPr>
      <w:r w:rsidRPr="00B73105">
        <w:rPr>
          <w:rFonts w:ascii="Palatino Linotype" w:eastAsia="MS Mincho" w:hAnsi="Palatino Linotype"/>
          <w:b/>
          <w:color w:val="000000"/>
          <w:lang w:val="es-ES_tradnl"/>
        </w:rPr>
        <w:t>VISTO</w:t>
      </w:r>
      <w:r w:rsidRPr="00B73105">
        <w:rPr>
          <w:rFonts w:ascii="Palatino Linotype" w:eastAsia="MS Mincho" w:hAnsi="Palatino Linotype"/>
          <w:color w:val="000000"/>
          <w:lang w:val="es-ES_tradnl"/>
        </w:rPr>
        <w:t xml:space="preserve"> el expediente electrónico formado con motivo del recurso de revisión</w:t>
      </w:r>
      <w:r w:rsidR="006F2D5B">
        <w:rPr>
          <w:rFonts w:ascii="Palatino Linotype" w:eastAsia="MS Mincho" w:hAnsi="Palatino Linotype"/>
          <w:color w:val="000000"/>
          <w:lang w:val="es-ES_tradnl"/>
        </w:rPr>
        <w:t xml:space="preserve"> </w:t>
      </w:r>
      <w:r w:rsidR="006F2D5B" w:rsidRPr="006F2D5B">
        <w:rPr>
          <w:rFonts w:ascii="Palatino Linotype" w:eastAsia="MS Mincho" w:hAnsi="Palatino Linotype"/>
          <w:b/>
          <w:bCs/>
          <w:color w:val="000000"/>
        </w:rPr>
        <w:t>04588/INFOEM/IP/RR/2022</w:t>
      </w:r>
      <w:r w:rsidRPr="00B73105">
        <w:rPr>
          <w:rFonts w:ascii="Palatino Linotype" w:eastAsia="MS Mincho" w:hAnsi="Palatino Linotype"/>
          <w:b/>
          <w:bCs/>
          <w:color w:val="000000"/>
          <w:lang w:val="es-ES_tradnl"/>
        </w:rPr>
        <w:t xml:space="preserve">, </w:t>
      </w:r>
      <w:r w:rsidRPr="00B73105">
        <w:rPr>
          <w:rFonts w:ascii="Palatino Linotype" w:eastAsia="MS Mincho" w:hAnsi="Palatino Linotype"/>
          <w:color w:val="000000"/>
          <w:lang w:val="es-ES_tradnl"/>
        </w:rPr>
        <w:t>promovido por</w:t>
      </w:r>
      <w:r w:rsidR="008B4757">
        <w:rPr>
          <w:rFonts w:ascii="Palatino Linotype" w:eastAsia="MS Mincho" w:hAnsi="Palatino Linotype"/>
          <w:color w:val="000000"/>
          <w:lang w:val="es-ES_tradnl"/>
        </w:rPr>
        <w:t xml:space="preserve"> </w:t>
      </w:r>
      <w:r w:rsidR="001232C7">
        <w:rPr>
          <w:rFonts w:ascii="Palatino Linotype" w:eastAsia="MS Mincho" w:hAnsi="Palatino Linotype"/>
          <w:b/>
          <w:color w:val="000000"/>
          <w:lang w:val="es-ES_tradnl"/>
        </w:rPr>
        <w:t xml:space="preserve">XXXX </w:t>
      </w:r>
      <w:proofErr w:type="spellStart"/>
      <w:r w:rsidR="001232C7">
        <w:rPr>
          <w:rFonts w:ascii="Palatino Linotype" w:eastAsia="MS Mincho" w:hAnsi="Palatino Linotype"/>
          <w:b/>
          <w:color w:val="000000"/>
          <w:lang w:val="es-ES_tradnl"/>
        </w:rPr>
        <w:t>XXXX</w:t>
      </w:r>
      <w:proofErr w:type="spellEnd"/>
      <w:r w:rsidR="001232C7">
        <w:rPr>
          <w:rFonts w:ascii="Palatino Linotype" w:eastAsia="MS Mincho" w:hAnsi="Palatino Linotype"/>
          <w:b/>
          <w:color w:val="000000"/>
          <w:lang w:val="es-ES_tradnl"/>
        </w:rPr>
        <w:t xml:space="preserve"> </w:t>
      </w:r>
      <w:proofErr w:type="spellStart"/>
      <w:r w:rsidR="001232C7">
        <w:rPr>
          <w:rFonts w:ascii="Palatino Linotype" w:eastAsia="MS Mincho" w:hAnsi="Palatino Linotype"/>
          <w:b/>
          <w:color w:val="000000"/>
          <w:lang w:val="es-ES_tradnl"/>
        </w:rPr>
        <w:t>XXXX</w:t>
      </w:r>
      <w:proofErr w:type="spellEnd"/>
      <w:r w:rsidR="006F2D5B">
        <w:rPr>
          <w:rFonts w:ascii="Palatino Linotype" w:eastAsia="MS Mincho" w:hAnsi="Palatino Linotype"/>
          <w:color w:val="000000"/>
          <w:lang w:val="es-ES_tradnl"/>
        </w:rPr>
        <w:t xml:space="preserve"> </w:t>
      </w:r>
      <w:r w:rsidRPr="00B73105">
        <w:rPr>
          <w:rFonts w:ascii="Palatino Linotype" w:eastAsia="MS Mincho" w:hAnsi="Palatino Linotype"/>
          <w:color w:val="000000"/>
          <w:lang w:val="es-ES_tradnl"/>
        </w:rPr>
        <w:t xml:space="preserve">en su calidad de </w:t>
      </w:r>
      <w:r w:rsidRPr="00B73105">
        <w:rPr>
          <w:rFonts w:ascii="Palatino Linotype" w:eastAsia="MS Mincho" w:hAnsi="Palatino Linotype"/>
          <w:b/>
          <w:color w:val="000000"/>
          <w:lang w:val="es-ES_tradnl"/>
        </w:rPr>
        <w:t>RECURRENTE</w:t>
      </w:r>
      <w:r w:rsidRPr="00B73105">
        <w:rPr>
          <w:rFonts w:ascii="Palatino Linotype" w:eastAsia="MS Mincho" w:hAnsi="Palatino Linotype"/>
          <w:color w:val="000000"/>
          <w:lang w:val="es-ES_tradnl"/>
        </w:rPr>
        <w:t>, en contra de la falta de respuesta del</w:t>
      </w:r>
      <w:r>
        <w:rPr>
          <w:rFonts w:ascii="Palatino Linotype" w:hAnsi="Palatino Linotype"/>
          <w:lang w:val="es-ES"/>
        </w:rPr>
        <w:t xml:space="preserve"> </w:t>
      </w:r>
      <w:r w:rsidR="006F2D5B">
        <w:rPr>
          <w:rFonts w:ascii="Palatino Linotype" w:hAnsi="Palatino Linotype"/>
          <w:b/>
          <w:bCs/>
          <w:lang w:val="es-ES"/>
        </w:rPr>
        <w:t xml:space="preserve">Ayuntamiento de </w:t>
      </w:r>
      <w:proofErr w:type="spellStart"/>
      <w:r w:rsidR="006F2D5B">
        <w:rPr>
          <w:rFonts w:ascii="Palatino Linotype" w:hAnsi="Palatino Linotype"/>
          <w:b/>
          <w:bCs/>
          <w:lang w:val="es-ES"/>
        </w:rPr>
        <w:t>Temamatla</w:t>
      </w:r>
      <w:proofErr w:type="spellEnd"/>
      <w:r w:rsidR="003A38E6">
        <w:rPr>
          <w:rFonts w:ascii="Palatino Linotype" w:hAnsi="Palatino Linotype"/>
          <w:b/>
          <w:bCs/>
          <w:lang w:val="es-ES"/>
        </w:rPr>
        <w:t xml:space="preserve"> </w:t>
      </w:r>
      <w:r w:rsidRPr="00B73105">
        <w:rPr>
          <w:rFonts w:ascii="Palatino Linotype" w:eastAsia="MS Mincho" w:hAnsi="Palatino Linotype"/>
          <w:color w:val="000000"/>
          <w:lang w:val="es-ES_tradnl"/>
        </w:rPr>
        <w:t>en lo sucesivo el</w:t>
      </w:r>
      <w:r w:rsidRPr="00B73105">
        <w:rPr>
          <w:rFonts w:ascii="Palatino Linotype" w:eastAsia="MS Mincho" w:hAnsi="Palatino Linotype"/>
          <w:b/>
          <w:color w:val="000000"/>
          <w:lang w:val="es-ES_tradnl"/>
        </w:rPr>
        <w:t xml:space="preserve"> SUJETO OBLIGADO, </w:t>
      </w:r>
      <w:r w:rsidRPr="00B73105">
        <w:rPr>
          <w:rFonts w:ascii="Palatino Linotype" w:eastAsia="MS Mincho" w:hAnsi="Palatino Linotype"/>
          <w:color w:val="000000"/>
          <w:lang w:val="es-ES_tradnl"/>
        </w:rPr>
        <w:t xml:space="preserve">se procede a dictar la presente resolución, con base en los siguientes: </w:t>
      </w:r>
    </w:p>
    <w:p w14:paraId="0689F468" w14:textId="23B0CB89" w:rsidR="00191180" w:rsidRDefault="00191180" w:rsidP="008065BC">
      <w:pPr>
        <w:keepNext/>
        <w:keepLines/>
        <w:suppressAutoHyphens w:val="0"/>
        <w:spacing w:before="240" w:line="360" w:lineRule="auto"/>
        <w:jc w:val="center"/>
        <w:outlineLvl w:val="0"/>
        <w:rPr>
          <w:rFonts w:ascii="Palatino Linotype" w:hAnsi="Palatino Linotype"/>
          <w:b/>
          <w:lang w:eastAsia="en-US"/>
        </w:rPr>
      </w:pPr>
      <w:bookmarkStart w:id="1" w:name="_Toc3467400"/>
      <w:bookmarkStart w:id="2" w:name="_Toc103178776"/>
      <w:r w:rsidRPr="00A3599E">
        <w:rPr>
          <w:rFonts w:ascii="Palatino Linotype" w:hAnsi="Palatino Linotype"/>
          <w:b/>
          <w:lang w:eastAsia="en-US"/>
        </w:rPr>
        <w:t>ANTECEDENTES</w:t>
      </w:r>
      <w:bookmarkEnd w:id="1"/>
      <w:bookmarkEnd w:id="2"/>
    </w:p>
    <w:p w14:paraId="507D1B23" w14:textId="77777777" w:rsidR="008065BC" w:rsidRPr="008065BC" w:rsidRDefault="008065BC" w:rsidP="008065BC">
      <w:pPr>
        <w:keepNext/>
        <w:keepLines/>
        <w:suppressAutoHyphens w:val="0"/>
        <w:spacing w:before="240" w:line="360" w:lineRule="auto"/>
        <w:jc w:val="center"/>
        <w:outlineLvl w:val="0"/>
        <w:rPr>
          <w:rFonts w:ascii="Palatino Linotype" w:hAnsi="Palatino Linotype"/>
          <w:b/>
          <w:lang w:eastAsia="en-US"/>
        </w:rPr>
      </w:pPr>
    </w:p>
    <w:p w14:paraId="7571E0F7" w14:textId="1F605A98" w:rsidR="00191180" w:rsidRPr="006F2D5B" w:rsidRDefault="007C0470" w:rsidP="006F2D5B">
      <w:pPr>
        <w:numPr>
          <w:ilvl w:val="0"/>
          <w:numId w:val="9"/>
        </w:numPr>
        <w:tabs>
          <w:tab w:val="left" w:pos="0"/>
        </w:tabs>
        <w:suppressAutoHyphens w:val="0"/>
        <w:spacing w:after="160" w:line="360" w:lineRule="auto"/>
        <w:ind w:left="0" w:firstLine="0"/>
        <w:contextualSpacing/>
        <w:jc w:val="both"/>
        <w:rPr>
          <w:rFonts w:ascii="Palatino Linotype" w:eastAsia="Calibri" w:hAnsi="Palatino Linotype" w:cs="Arial"/>
          <w:lang w:val="es-ES"/>
        </w:rPr>
      </w:pPr>
      <w:r w:rsidRPr="00A3599E">
        <w:rPr>
          <w:rFonts w:ascii="Palatino Linotype" w:eastAsia="Calibri" w:hAnsi="Palatino Linotype" w:cs="Arial"/>
          <w:lang w:val="es-ES"/>
        </w:rPr>
        <w:t>E</w:t>
      </w:r>
      <w:r w:rsidR="006F2D5B">
        <w:rPr>
          <w:rFonts w:ascii="Palatino Linotype" w:eastAsia="Calibri" w:hAnsi="Palatino Linotype" w:cs="Arial"/>
          <w:lang w:val="es-ES"/>
        </w:rPr>
        <w:t>l veintiséis (26</w:t>
      </w:r>
      <w:r w:rsidR="00191180" w:rsidRPr="00A3599E">
        <w:rPr>
          <w:rFonts w:ascii="Palatino Linotype" w:eastAsia="Calibri" w:hAnsi="Palatino Linotype" w:cs="Arial"/>
          <w:lang w:val="es-ES"/>
        </w:rPr>
        <w:t>) de</w:t>
      </w:r>
      <w:r w:rsidR="008065BC">
        <w:rPr>
          <w:rFonts w:ascii="Palatino Linotype" w:eastAsia="Calibri" w:hAnsi="Palatino Linotype" w:cs="Arial"/>
          <w:lang w:val="es-ES"/>
        </w:rPr>
        <w:t xml:space="preserve"> febrero </w:t>
      </w:r>
      <w:r w:rsidRPr="00A3599E">
        <w:rPr>
          <w:rFonts w:ascii="Palatino Linotype" w:eastAsia="Calibri" w:hAnsi="Palatino Linotype" w:cs="Arial"/>
          <w:lang w:val="es-ES"/>
        </w:rPr>
        <w:t>d</w:t>
      </w:r>
      <w:r w:rsidR="00F52421" w:rsidRPr="00A3599E">
        <w:rPr>
          <w:rFonts w:ascii="Palatino Linotype" w:eastAsia="Calibri" w:hAnsi="Palatino Linotype" w:cs="Arial"/>
          <w:lang w:val="es-ES"/>
        </w:rPr>
        <w:t>e dos mil veintidós</w:t>
      </w:r>
      <w:r w:rsidR="00534480" w:rsidRPr="00A3599E">
        <w:rPr>
          <w:rFonts w:ascii="Palatino Linotype" w:eastAsia="Calibri" w:hAnsi="Palatino Linotype" w:cs="Arial"/>
          <w:lang w:val="es-ES"/>
        </w:rPr>
        <w:t>, el</w:t>
      </w:r>
      <w:r w:rsidR="00191180" w:rsidRPr="00A3599E">
        <w:rPr>
          <w:rFonts w:ascii="Palatino Linotype" w:eastAsia="Calibri" w:hAnsi="Palatino Linotype" w:cs="Arial"/>
          <w:lang w:val="es-ES"/>
        </w:rPr>
        <w:t xml:space="preserve"> particular</w:t>
      </w:r>
      <w:r w:rsidR="009E7700" w:rsidRPr="00A3599E">
        <w:rPr>
          <w:rFonts w:ascii="Palatino Linotype" w:eastAsia="Calibri" w:hAnsi="Palatino Linotype" w:cs="Arial"/>
          <w:b/>
        </w:rPr>
        <w:t xml:space="preserve">, </w:t>
      </w:r>
      <w:r w:rsidR="00191180" w:rsidRPr="00A3599E">
        <w:rPr>
          <w:rFonts w:ascii="Palatino Linotype" w:eastAsia="Calibri" w:hAnsi="Palatino Linotype" w:cs="Arial"/>
        </w:rPr>
        <w:t xml:space="preserve">presentó </w:t>
      </w:r>
      <w:r w:rsidR="00191180" w:rsidRPr="00A3599E">
        <w:rPr>
          <w:rFonts w:ascii="Palatino Linotype" w:eastAsia="Calibri" w:hAnsi="Palatino Linotype" w:cs="Arial"/>
          <w:lang w:val="es-ES"/>
        </w:rPr>
        <w:t xml:space="preserve">ante el </w:t>
      </w:r>
      <w:r w:rsidR="00191180" w:rsidRPr="00A3599E">
        <w:rPr>
          <w:rFonts w:ascii="Palatino Linotype" w:eastAsia="Calibri" w:hAnsi="Palatino Linotype" w:cs="Arial"/>
          <w:b/>
          <w:lang w:val="es-ES"/>
        </w:rPr>
        <w:t>SUJETO OBLIGADO,</w:t>
      </w:r>
      <w:r w:rsidR="00191180" w:rsidRPr="00A3599E">
        <w:rPr>
          <w:rFonts w:ascii="Palatino Linotype" w:eastAsia="Calibri" w:hAnsi="Palatino Linotype" w:cs="Arial"/>
        </w:rPr>
        <w:t xml:space="preserve"> vía </w:t>
      </w:r>
      <w:r w:rsidR="00191180" w:rsidRPr="00A3599E">
        <w:rPr>
          <w:rFonts w:ascii="Palatino Linotype" w:eastAsia="Calibri" w:hAnsi="Palatino Linotype" w:cs="Arial"/>
          <w:lang w:val="es-ES"/>
        </w:rPr>
        <w:t>Sistema de Acceso a la Información Mexiquense (</w:t>
      </w:r>
      <w:r w:rsidR="00191180" w:rsidRPr="00A3599E">
        <w:rPr>
          <w:rFonts w:ascii="Palatino Linotype" w:eastAsia="Calibri" w:hAnsi="Palatino Linotype" w:cs="Arial"/>
          <w:b/>
          <w:lang w:val="es-ES"/>
        </w:rPr>
        <w:t>SAIMEX</w:t>
      </w:r>
      <w:r w:rsidRPr="00A3599E">
        <w:rPr>
          <w:rFonts w:ascii="Palatino Linotype" w:eastAsia="Calibri" w:hAnsi="Palatino Linotype" w:cs="Arial"/>
          <w:lang w:val="es-ES"/>
        </w:rPr>
        <w:t>), la solicitud</w:t>
      </w:r>
      <w:r w:rsidR="00191180" w:rsidRPr="00A3599E">
        <w:rPr>
          <w:rFonts w:ascii="Palatino Linotype" w:eastAsia="Calibri" w:hAnsi="Palatino Linotype" w:cs="Arial"/>
          <w:lang w:val="es-ES"/>
        </w:rPr>
        <w:t xml:space="preserve"> de información públic</w:t>
      </w:r>
      <w:r w:rsidRPr="00A3599E">
        <w:rPr>
          <w:rFonts w:ascii="Palatino Linotype" w:eastAsia="Calibri" w:hAnsi="Palatino Linotype" w:cs="Arial"/>
          <w:lang w:val="es-ES"/>
        </w:rPr>
        <w:t>a registrada con el número</w:t>
      </w:r>
      <w:r w:rsidR="006F2D5B">
        <w:rPr>
          <w:rFonts w:ascii="Palatino Linotype" w:eastAsia="Calibri" w:hAnsi="Palatino Linotype" w:cs="Arial"/>
          <w:lang w:val="es-ES"/>
        </w:rPr>
        <w:t xml:space="preserve"> </w:t>
      </w:r>
      <w:r w:rsidR="006F2D5B" w:rsidRPr="006F2D5B">
        <w:rPr>
          <w:rFonts w:ascii="Palatino Linotype" w:eastAsia="Calibri" w:hAnsi="Palatino Linotype" w:cs="Arial"/>
          <w:b/>
          <w:bCs/>
        </w:rPr>
        <w:t>00120/TEMAMATL/IP/2022</w:t>
      </w:r>
      <w:r w:rsidR="007C47ED" w:rsidRPr="006F2D5B">
        <w:rPr>
          <w:rFonts w:ascii="Palatino Linotype" w:eastAsia="Calibri" w:hAnsi="Palatino Linotype" w:cs="Arial"/>
          <w:lang w:val="es-ES"/>
        </w:rPr>
        <w:t xml:space="preserve">, </w:t>
      </w:r>
      <w:r w:rsidRPr="006F2D5B">
        <w:rPr>
          <w:rFonts w:ascii="Palatino Linotype" w:eastAsia="Calibri" w:hAnsi="Palatino Linotype" w:cs="Arial"/>
          <w:lang w:val="es-ES"/>
        </w:rPr>
        <w:t>en la</w:t>
      </w:r>
      <w:r w:rsidR="00191180" w:rsidRPr="006F2D5B">
        <w:rPr>
          <w:rFonts w:ascii="Palatino Linotype" w:eastAsia="Calibri" w:hAnsi="Palatino Linotype" w:cs="Arial"/>
          <w:lang w:val="es-ES"/>
        </w:rPr>
        <w:t xml:space="preserve"> que requirió lo siguiente:</w:t>
      </w:r>
    </w:p>
    <w:p w14:paraId="2CD063DC" w14:textId="77777777" w:rsidR="00191180" w:rsidRPr="00A3599E" w:rsidRDefault="00191180" w:rsidP="006F7BEF">
      <w:pPr>
        <w:suppressAutoHyphens w:val="0"/>
        <w:spacing w:line="360" w:lineRule="auto"/>
        <w:contextualSpacing/>
        <w:jc w:val="both"/>
        <w:rPr>
          <w:rFonts w:ascii="Palatino Linotype" w:eastAsia="Calibri" w:hAnsi="Palatino Linotype" w:cs="Arial"/>
          <w:lang w:val="es-ES"/>
        </w:rPr>
      </w:pPr>
    </w:p>
    <w:p w14:paraId="6F05049D" w14:textId="4B5200B5" w:rsidR="00D24BF4" w:rsidRPr="008065BC" w:rsidRDefault="007C0470" w:rsidP="008065BC">
      <w:pPr>
        <w:suppressAutoHyphens w:val="0"/>
        <w:spacing w:line="360" w:lineRule="auto"/>
        <w:ind w:left="567" w:right="567"/>
        <w:contextualSpacing/>
        <w:jc w:val="both"/>
        <w:rPr>
          <w:rFonts w:ascii="Palatino Linotype" w:hAnsi="Palatino Linotype"/>
          <w:iCs/>
          <w:color w:val="000000"/>
          <w:lang w:val="es-ES_tradnl"/>
        </w:rPr>
      </w:pPr>
      <w:r w:rsidRPr="00A3599E">
        <w:rPr>
          <w:rFonts w:ascii="Palatino Linotype" w:hAnsi="Palatino Linotype"/>
          <w:i/>
          <w:color w:val="000000"/>
          <w:lang w:val="es-ES_tradnl"/>
        </w:rPr>
        <w:t xml:space="preserve"> </w:t>
      </w:r>
      <w:r w:rsidR="00191180" w:rsidRPr="00A3599E">
        <w:rPr>
          <w:rFonts w:ascii="Palatino Linotype" w:hAnsi="Palatino Linotype"/>
          <w:i/>
          <w:color w:val="000000"/>
          <w:lang w:val="es-ES_tradnl"/>
        </w:rPr>
        <w:t>“</w:t>
      </w:r>
      <w:r w:rsidR="006F2D5B" w:rsidRPr="006F2D5B">
        <w:rPr>
          <w:rFonts w:ascii="Palatino Linotype" w:hAnsi="Palatino Linotype"/>
          <w:i/>
          <w:color w:val="000000"/>
          <w:lang w:val="es-ES_tradnl"/>
        </w:rPr>
        <w:t>Informe de proveedores del 01 de enero al 28 de febrero de 2022</w:t>
      </w:r>
      <w:r w:rsidR="009704EC" w:rsidRPr="00A3599E">
        <w:rPr>
          <w:rFonts w:ascii="Palatino Linotype" w:hAnsi="Palatino Linotype"/>
          <w:i/>
          <w:color w:val="000000"/>
          <w:lang w:val="es-ES_tradnl"/>
        </w:rPr>
        <w:t>.</w:t>
      </w:r>
      <w:r w:rsidR="00191180" w:rsidRPr="00A3599E">
        <w:rPr>
          <w:rFonts w:ascii="Palatino Linotype" w:hAnsi="Palatino Linotype"/>
          <w:i/>
          <w:color w:val="000000"/>
          <w:lang w:val="es-ES_tradnl"/>
        </w:rPr>
        <w:t>”</w:t>
      </w:r>
      <w:r w:rsidR="00191180" w:rsidRPr="00A3599E">
        <w:rPr>
          <w:rFonts w:ascii="Palatino Linotype" w:hAnsi="Palatino Linotype"/>
          <w:iCs/>
          <w:color w:val="000000"/>
          <w:lang w:val="es-ES_tradnl"/>
        </w:rPr>
        <w:t xml:space="preserve"> (Sic.)</w:t>
      </w:r>
    </w:p>
    <w:p w14:paraId="1AF8388B" w14:textId="77777777" w:rsidR="007F21B9" w:rsidRPr="008065BC" w:rsidRDefault="007F21B9" w:rsidP="003A38E6">
      <w:pPr>
        <w:pStyle w:val="Prrafodelista"/>
        <w:tabs>
          <w:tab w:val="left" w:pos="284"/>
        </w:tabs>
        <w:suppressAutoHyphens w:val="0"/>
        <w:spacing w:before="240" w:after="240" w:line="360" w:lineRule="auto"/>
        <w:ind w:left="142" w:hanging="142"/>
        <w:contextualSpacing/>
        <w:jc w:val="both"/>
        <w:rPr>
          <w:rFonts w:ascii="Palatino Linotype" w:eastAsia="MS Mincho" w:hAnsi="Palatino Linotype"/>
          <w:color w:val="000000"/>
          <w:sz w:val="24"/>
          <w:szCs w:val="24"/>
          <w:lang w:val="es-ES_tradnl"/>
        </w:rPr>
      </w:pPr>
    </w:p>
    <w:p w14:paraId="54C7E57E" w14:textId="757136E3" w:rsidR="007F21B9" w:rsidRPr="003A38E6" w:rsidRDefault="003A38E6" w:rsidP="003A38E6">
      <w:pPr>
        <w:pStyle w:val="Prrafodelista"/>
        <w:numPr>
          <w:ilvl w:val="0"/>
          <w:numId w:val="9"/>
        </w:numPr>
        <w:tabs>
          <w:tab w:val="left" w:pos="284"/>
        </w:tabs>
        <w:spacing w:line="360" w:lineRule="auto"/>
        <w:ind w:left="142" w:hanging="142"/>
        <w:jc w:val="both"/>
        <w:rPr>
          <w:rFonts w:ascii="Palatino Linotype" w:eastAsia="MS Mincho" w:hAnsi="Palatino Linotype"/>
          <w:color w:val="000000"/>
          <w:sz w:val="24"/>
          <w:szCs w:val="24"/>
          <w:lang w:val="es-ES_tradnl"/>
        </w:rPr>
      </w:pPr>
      <w:r w:rsidRPr="003A38E6">
        <w:rPr>
          <w:rFonts w:ascii="Palatino Linotype" w:eastAsia="MS Mincho" w:hAnsi="Palatino Linotype"/>
          <w:color w:val="000000"/>
          <w:sz w:val="24"/>
          <w:szCs w:val="24"/>
          <w:lang w:val="es-ES_tradnl"/>
        </w:rPr>
        <w:t xml:space="preserve">Se hace constar que el entonces </w:t>
      </w:r>
      <w:r w:rsidRPr="003A38E6">
        <w:rPr>
          <w:rFonts w:ascii="Palatino Linotype" w:eastAsia="MS Mincho" w:hAnsi="Palatino Linotype"/>
          <w:b/>
          <w:color w:val="000000"/>
          <w:sz w:val="24"/>
          <w:szCs w:val="24"/>
          <w:lang w:val="es-ES_tradnl"/>
        </w:rPr>
        <w:t>SOLICITANTE</w:t>
      </w:r>
      <w:r w:rsidRPr="003A38E6">
        <w:rPr>
          <w:rFonts w:ascii="Palatino Linotype" w:eastAsia="MS Mincho" w:hAnsi="Palatino Linotype"/>
          <w:color w:val="000000"/>
          <w:sz w:val="24"/>
          <w:szCs w:val="24"/>
          <w:lang w:val="es-ES_tradnl"/>
        </w:rPr>
        <w:t xml:space="preserve"> señaló como modalidad de entrega de la información: A través del </w:t>
      </w:r>
      <w:r w:rsidRPr="003A38E6">
        <w:rPr>
          <w:rFonts w:ascii="Palatino Linotype" w:eastAsia="MS Mincho" w:hAnsi="Palatino Linotype"/>
          <w:b/>
          <w:color w:val="000000"/>
          <w:sz w:val="24"/>
          <w:szCs w:val="24"/>
          <w:lang w:val="es-ES_tradnl"/>
        </w:rPr>
        <w:t>SAIMEX.</w:t>
      </w:r>
    </w:p>
    <w:p w14:paraId="05393EA8" w14:textId="77777777" w:rsidR="00F13B57" w:rsidRPr="00A3599E" w:rsidRDefault="00F13B57" w:rsidP="006F7BEF">
      <w:pPr>
        <w:tabs>
          <w:tab w:val="left" w:pos="426"/>
        </w:tabs>
        <w:suppressAutoHyphens w:val="0"/>
        <w:spacing w:after="160" w:line="360" w:lineRule="auto"/>
        <w:contextualSpacing/>
        <w:jc w:val="both"/>
        <w:rPr>
          <w:rFonts w:ascii="Palatino Linotype" w:hAnsi="Palatino Linotype" w:cs="Arial"/>
          <w:i/>
          <w:lang w:val="es-ES_tradnl"/>
        </w:rPr>
      </w:pPr>
    </w:p>
    <w:p w14:paraId="5AE2757E" w14:textId="374F16D5"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i/>
          <w:lang w:val="es-ES_tradnl"/>
        </w:rPr>
      </w:pPr>
      <w:r w:rsidRPr="00A3599E">
        <w:rPr>
          <w:rFonts w:ascii="Palatino Linotype" w:hAnsi="Palatino Linotype" w:cs="Arial"/>
          <w:lang w:val="es-ES_tradnl"/>
        </w:rPr>
        <w:t xml:space="preserve">El </w:t>
      </w:r>
      <w:r w:rsidRPr="00A3599E">
        <w:rPr>
          <w:rFonts w:ascii="Palatino Linotype" w:hAnsi="Palatino Linotype" w:cs="Arial"/>
          <w:b/>
        </w:rPr>
        <w:t xml:space="preserve">SUJETO OBLIGADO </w:t>
      </w:r>
      <w:r w:rsidR="00885757" w:rsidRPr="00A3599E">
        <w:rPr>
          <w:rFonts w:ascii="Palatino Linotype" w:hAnsi="Palatino Linotype" w:cs="Arial"/>
        </w:rPr>
        <w:t>no dio respuesta a la solicitud</w:t>
      </w:r>
      <w:r w:rsidRPr="00A3599E">
        <w:rPr>
          <w:rFonts w:ascii="Palatino Linotype" w:hAnsi="Palatino Linotype" w:cs="Arial"/>
        </w:rPr>
        <w:t xml:space="preserve"> de información.</w:t>
      </w:r>
    </w:p>
    <w:p w14:paraId="3CC2593C" w14:textId="41E9AAD7" w:rsidR="00191180" w:rsidRPr="00A3599E" w:rsidRDefault="00191180" w:rsidP="006F7BEF">
      <w:pPr>
        <w:tabs>
          <w:tab w:val="left" w:pos="426"/>
        </w:tabs>
        <w:suppressAutoHyphens w:val="0"/>
        <w:spacing w:line="360" w:lineRule="auto"/>
        <w:contextualSpacing/>
        <w:jc w:val="both"/>
        <w:rPr>
          <w:rFonts w:ascii="Palatino Linotype" w:hAnsi="Palatino Linotype" w:cs="Arial"/>
          <w:iCs/>
          <w:lang w:val="es-ES_tradnl"/>
        </w:rPr>
      </w:pPr>
    </w:p>
    <w:p w14:paraId="06E6334F" w14:textId="214CB5CA" w:rsidR="00191180" w:rsidRPr="006F2D5B" w:rsidRDefault="00191180" w:rsidP="006F2D5B">
      <w:pPr>
        <w:numPr>
          <w:ilvl w:val="0"/>
          <w:numId w:val="9"/>
        </w:numPr>
        <w:tabs>
          <w:tab w:val="left" w:pos="0"/>
        </w:tabs>
        <w:suppressAutoHyphens w:val="0"/>
        <w:spacing w:after="160" w:line="360" w:lineRule="auto"/>
        <w:ind w:left="0" w:firstLine="0"/>
        <w:contextualSpacing/>
        <w:jc w:val="both"/>
        <w:rPr>
          <w:rFonts w:ascii="Palatino Linotype" w:hAnsi="Palatino Linotype" w:cs="Arial"/>
          <w:i/>
          <w:lang w:val="es-ES_tradnl"/>
        </w:rPr>
      </w:pPr>
      <w:r w:rsidRPr="00A3599E">
        <w:rPr>
          <w:rFonts w:ascii="Palatino Linotype" w:eastAsia="Calibri" w:hAnsi="Palatino Linotype" w:cs="Arial"/>
          <w:lang w:val="es-AR"/>
        </w:rPr>
        <w:t xml:space="preserve">Derivado </w:t>
      </w:r>
      <w:bookmarkStart w:id="3" w:name="_Toc462307683"/>
      <w:bookmarkStart w:id="4" w:name="_Toc472427085"/>
      <w:bookmarkStart w:id="5" w:name="_Toc472500652"/>
      <w:r w:rsidRPr="00A3599E">
        <w:rPr>
          <w:rFonts w:ascii="Palatino Linotype" w:hAnsi="Palatino Linotype" w:cs="Arial"/>
          <w:lang w:val="es-AR"/>
        </w:rPr>
        <w:t xml:space="preserve">de la falta de respuesta por parte del </w:t>
      </w:r>
      <w:r w:rsidRPr="00A3599E">
        <w:rPr>
          <w:rFonts w:ascii="Palatino Linotype" w:hAnsi="Palatino Linotype" w:cs="Arial"/>
          <w:b/>
          <w:lang w:val="es-AR"/>
        </w:rPr>
        <w:t>SUJETO OBLIGADO</w:t>
      </w:r>
      <w:r w:rsidRPr="00A3599E">
        <w:rPr>
          <w:rFonts w:ascii="Palatino Linotype" w:hAnsi="Palatino Linotype" w:cs="Arial"/>
          <w:lang w:val="es-AR"/>
        </w:rPr>
        <w:t>, el</w:t>
      </w:r>
      <w:r w:rsidR="006F2D5B">
        <w:rPr>
          <w:rFonts w:ascii="Palatino Linotype" w:hAnsi="Palatino Linotype" w:cs="Arial"/>
          <w:lang w:val="es-ES"/>
        </w:rPr>
        <w:t xml:space="preserve"> veinticuatro (24</w:t>
      </w:r>
      <w:r w:rsidR="00FA7215" w:rsidRPr="00A3599E">
        <w:rPr>
          <w:rFonts w:ascii="Palatino Linotype" w:hAnsi="Palatino Linotype" w:cs="Arial"/>
          <w:lang w:val="es-ES"/>
        </w:rPr>
        <w:t>) de</w:t>
      </w:r>
      <w:r w:rsidR="00C060A8">
        <w:rPr>
          <w:rFonts w:ascii="Palatino Linotype" w:hAnsi="Palatino Linotype" w:cs="Arial"/>
          <w:lang w:val="es-ES"/>
        </w:rPr>
        <w:t xml:space="preserve"> marzo </w:t>
      </w:r>
      <w:r w:rsidR="00F52421" w:rsidRPr="00A3599E">
        <w:rPr>
          <w:rFonts w:ascii="Palatino Linotype" w:hAnsi="Palatino Linotype" w:cs="Arial"/>
          <w:lang w:val="es-ES"/>
        </w:rPr>
        <w:t>de dos mil veintidós</w:t>
      </w:r>
      <w:r w:rsidR="00FA7215" w:rsidRPr="00A3599E">
        <w:rPr>
          <w:rFonts w:ascii="Palatino Linotype" w:hAnsi="Palatino Linotype" w:cs="Arial"/>
          <w:lang w:val="es-ES"/>
        </w:rPr>
        <w:t xml:space="preserve">, el </w:t>
      </w:r>
      <w:r w:rsidR="00885757" w:rsidRPr="00A3599E">
        <w:rPr>
          <w:rFonts w:ascii="Palatino Linotype" w:hAnsi="Palatino Linotype" w:cs="Arial"/>
          <w:lang w:val="es-ES"/>
        </w:rPr>
        <w:t>particular interpuso el recurso</w:t>
      </w:r>
      <w:r w:rsidRPr="00A3599E">
        <w:rPr>
          <w:rFonts w:ascii="Palatino Linotype" w:hAnsi="Palatino Linotype" w:cs="Arial"/>
          <w:lang w:val="es-ES"/>
        </w:rPr>
        <w:t xml:space="preserve"> de </w:t>
      </w:r>
      <w:r w:rsidRPr="00C409EF">
        <w:rPr>
          <w:rFonts w:ascii="Palatino Linotype" w:hAnsi="Palatino Linotype" w:cs="Arial"/>
          <w:lang w:val="es-ES"/>
        </w:rPr>
        <w:t>revisión</w:t>
      </w:r>
      <w:r w:rsidR="006F2D5B">
        <w:rPr>
          <w:rFonts w:ascii="Palatino Linotype" w:hAnsi="Palatino Linotype" w:cs="Arial"/>
          <w:lang w:val="es-ES"/>
        </w:rPr>
        <w:t xml:space="preserve"> </w:t>
      </w:r>
      <w:r w:rsidR="006F2D5B" w:rsidRPr="006F2D5B">
        <w:rPr>
          <w:rFonts w:ascii="Palatino Linotype" w:eastAsia="Calibri" w:hAnsi="Palatino Linotype" w:cs="Arial"/>
          <w:b/>
        </w:rPr>
        <w:t>04588/INFOEM/IP/RR/2022</w:t>
      </w:r>
      <w:r w:rsidR="003A38E6" w:rsidRPr="006F2D5B">
        <w:rPr>
          <w:rFonts w:ascii="Palatino Linotype" w:eastAsia="Calibri" w:hAnsi="Palatino Linotype" w:cs="Arial"/>
          <w:lang w:val="es-ES"/>
        </w:rPr>
        <w:t xml:space="preserve">, </w:t>
      </w:r>
      <w:r w:rsidR="003A38E6" w:rsidRPr="006F2D5B">
        <w:rPr>
          <w:rFonts w:ascii="Palatino Linotype" w:hAnsi="Palatino Linotype" w:cs="Arial"/>
          <w:lang w:val="es-ES"/>
        </w:rPr>
        <w:t>en el</w:t>
      </w:r>
      <w:r w:rsidRPr="006F2D5B">
        <w:rPr>
          <w:rFonts w:ascii="Palatino Linotype" w:hAnsi="Palatino Linotype" w:cs="Arial"/>
          <w:lang w:val="es-ES"/>
        </w:rPr>
        <w:t xml:space="preserve"> que señaló lo siguiente:</w:t>
      </w:r>
    </w:p>
    <w:p w14:paraId="484B0F60" w14:textId="11EC53BD" w:rsidR="00191180" w:rsidRPr="00A3599E" w:rsidRDefault="00191180" w:rsidP="006F7BEF">
      <w:pPr>
        <w:suppressAutoHyphens w:val="0"/>
        <w:spacing w:line="360" w:lineRule="auto"/>
        <w:ind w:right="616"/>
        <w:contextualSpacing/>
        <w:jc w:val="both"/>
        <w:rPr>
          <w:rFonts w:ascii="Palatino Linotype" w:hAnsi="Palatino Linotype" w:cs="Arial"/>
          <w:i/>
          <w:lang w:val="es-ES_tradnl"/>
        </w:rPr>
      </w:pPr>
    </w:p>
    <w:p w14:paraId="59FF349D" w14:textId="720B26B8" w:rsidR="00191180" w:rsidRPr="003A38E6" w:rsidRDefault="00191180" w:rsidP="006F2D5B">
      <w:pPr>
        <w:pStyle w:val="Prrafodelista"/>
        <w:numPr>
          <w:ilvl w:val="0"/>
          <w:numId w:val="21"/>
        </w:numPr>
        <w:suppressAutoHyphens w:val="0"/>
        <w:spacing w:line="360" w:lineRule="auto"/>
        <w:ind w:left="993" w:right="616" w:hanging="284"/>
        <w:jc w:val="both"/>
        <w:rPr>
          <w:rFonts w:ascii="Palatino Linotype" w:hAnsi="Palatino Linotype"/>
          <w:b/>
          <w:i/>
          <w:sz w:val="24"/>
          <w:szCs w:val="24"/>
        </w:rPr>
      </w:pPr>
      <w:bookmarkStart w:id="6" w:name="_Toc475015152"/>
      <w:bookmarkStart w:id="7" w:name="_Toc476078667"/>
      <w:bookmarkStart w:id="8" w:name="_Toc476675983"/>
      <w:bookmarkStart w:id="9" w:name="_Toc477345124"/>
      <w:bookmarkStart w:id="10" w:name="_Toc477345202"/>
      <w:bookmarkStart w:id="11" w:name="_Toc480987168"/>
      <w:bookmarkStart w:id="12" w:name="_Toc480996301"/>
      <w:bookmarkStart w:id="13" w:name="_Toc485145203"/>
      <w:bookmarkStart w:id="14" w:name="_Toc526438768"/>
      <w:bookmarkStart w:id="15" w:name="_Toc526438809"/>
      <w:bookmarkStart w:id="16" w:name="_Toc526438924"/>
      <w:bookmarkStart w:id="17" w:name="_Toc3467401"/>
      <w:bookmarkStart w:id="18" w:name="_Toc3467935"/>
      <w:bookmarkStart w:id="19" w:name="_Toc492489253"/>
      <w:bookmarkStart w:id="20" w:name="_Toc492590383"/>
      <w:bookmarkStart w:id="21" w:name="_Toc496806999"/>
      <w:bookmarkStart w:id="22" w:name="_Toc496807889"/>
      <w:bookmarkStart w:id="23" w:name="_Toc498528853"/>
      <w:bookmarkStart w:id="24" w:name="_Toc498528941"/>
      <w:bookmarkStart w:id="25" w:name="_Toc499059264"/>
      <w:bookmarkStart w:id="26" w:name="_Toc499658725"/>
      <w:bookmarkStart w:id="27" w:name="_Toc499659072"/>
      <w:bookmarkStart w:id="28" w:name="_Toc499810483"/>
      <w:bookmarkStart w:id="29" w:name="_Toc500414595"/>
      <w:bookmarkStart w:id="30" w:name="_Toc500414652"/>
      <w:bookmarkStart w:id="31" w:name="_Toc503366327"/>
      <w:bookmarkStart w:id="32" w:name="_Toc503891593"/>
      <w:bookmarkStart w:id="33" w:name="_Toc504069531"/>
      <w:bookmarkStart w:id="34" w:name="_Toc504500686"/>
      <w:r w:rsidRPr="00A3599E">
        <w:rPr>
          <w:rFonts w:ascii="Palatino Linotype" w:hAnsi="Palatino Linotype"/>
          <w:b/>
          <w:sz w:val="24"/>
          <w:szCs w:val="24"/>
        </w:rPr>
        <w:t>Acto impugnado</w:t>
      </w:r>
      <w:r w:rsidRPr="00A3599E">
        <w:rPr>
          <w:rFonts w:ascii="Palatino Linotype" w:hAnsi="Palatino Linotype"/>
          <w:b/>
          <w:i/>
          <w:sz w:val="24"/>
          <w:szCs w:val="24"/>
        </w:rPr>
        <w:t>:</w:t>
      </w:r>
      <w:bookmarkEnd w:id="3"/>
      <w:bookmarkEnd w:id="4"/>
      <w:bookmarkEnd w:id="5"/>
      <w:r w:rsidRPr="00A3599E">
        <w:rPr>
          <w:rFonts w:ascii="Palatino Linotype" w:hAnsi="Palatino Linotype"/>
          <w:b/>
          <w:i/>
          <w:sz w:val="24"/>
          <w:szCs w:val="24"/>
        </w:rPr>
        <w:t xml:space="preserve"> </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3A38E6">
        <w:rPr>
          <w:rFonts w:ascii="Palatino Linotype" w:hAnsi="Palatino Linotype"/>
          <w:i/>
        </w:rPr>
        <w:t>“</w:t>
      </w:r>
      <w:r w:rsidR="006F2D5B" w:rsidRPr="006F2D5B">
        <w:rPr>
          <w:rFonts w:ascii="Palatino Linotype" w:hAnsi="Palatino Linotype"/>
          <w:i/>
        </w:rPr>
        <w:t>Informe de proveedores del 01 de enero al 28 de febrero de 2022</w:t>
      </w:r>
      <w:r w:rsidRPr="003A38E6">
        <w:rPr>
          <w:rFonts w:ascii="Palatino Linotype" w:eastAsia="Calibri" w:hAnsi="Palatino Linotype"/>
          <w:i/>
          <w:color w:val="000000"/>
        </w:rPr>
        <w:t>.”</w:t>
      </w:r>
      <w:r w:rsidRPr="003A38E6">
        <w:rPr>
          <w:rFonts w:ascii="Palatino Linotype" w:eastAsia="Calibri" w:hAnsi="Palatino Linotype" w:cs="Arial"/>
          <w:i/>
        </w:rPr>
        <w:t xml:space="preserve"> </w:t>
      </w:r>
      <w:r w:rsidRPr="003A38E6">
        <w:rPr>
          <w:rFonts w:ascii="Palatino Linotype" w:eastAsia="Calibri" w:hAnsi="Palatino Linotype" w:cs="Arial"/>
          <w:iCs/>
        </w:rPr>
        <w:t>(Sic)</w:t>
      </w:r>
      <w:r w:rsidRPr="003A38E6">
        <w:rPr>
          <w:rFonts w:ascii="Palatino Linotype" w:eastAsia="Calibri" w:hAnsi="Palatino Linotype" w:cs="Arial"/>
          <w:i/>
        </w:rPr>
        <w:t xml:space="preserve"> </w:t>
      </w:r>
    </w:p>
    <w:p w14:paraId="2E925596" w14:textId="77777777" w:rsidR="00191180" w:rsidRPr="00A3599E" w:rsidRDefault="00191180" w:rsidP="007C47ED">
      <w:pPr>
        <w:suppressAutoHyphens w:val="0"/>
        <w:spacing w:line="360" w:lineRule="auto"/>
        <w:ind w:left="900" w:right="616" w:hanging="180"/>
        <w:contextualSpacing/>
        <w:jc w:val="both"/>
        <w:rPr>
          <w:rFonts w:ascii="Palatino Linotype" w:hAnsi="Palatino Linotype" w:cs="Arial"/>
          <w:i/>
          <w:lang w:val="es-ES_tradnl"/>
        </w:rPr>
      </w:pPr>
    </w:p>
    <w:p w14:paraId="7015A5EF" w14:textId="314D4F1B" w:rsidR="00191180" w:rsidRPr="003A38E6" w:rsidRDefault="00191180" w:rsidP="006F2D5B">
      <w:pPr>
        <w:pStyle w:val="Prrafodelista"/>
        <w:numPr>
          <w:ilvl w:val="0"/>
          <w:numId w:val="21"/>
        </w:numPr>
        <w:suppressAutoHyphens w:val="0"/>
        <w:spacing w:line="360" w:lineRule="auto"/>
        <w:ind w:left="993" w:right="616" w:hanging="284"/>
        <w:jc w:val="both"/>
        <w:rPr>
          <w:rFonts w:ascii="Palatino Linotype" w:hAnsi="Palatino Linotype"/>
          <w:b/>
          <w:sz w:val="24"/>
          <w:szCs w:val="24"/>
        </w:rPr>
      </w:pPr>
      <w:bookmarkStart w:id="35" w:name="_Toc462307685"/>
      <w:bookmarkStart w:id="36" w:name="_Toc472427087"/>
      <w:bookmarkStart w:id="37" w:name="_Toc472500654"/>
      <w:bookmarkStart w:id="38" w:name="_Toc475015153"/>
      <w:bookmarkStart w:id="39" w:name="_Toc476078668"/>
      <w:bookmarkStart w:id="40" w:name="_Toc476675984"/>
      <w:bookmarkStart w:id="41" w:name="_Toc477345125"/>
      <w:bookmarkStart w:id="42" w:name="_Toc477345203"/>
      <w:bookmarkStart w:id="43" w:name="_Toc480987169"/>
      <w:bookmarkStart w:id="44" w:name="_Toc480996302"/>
      <w:bookmarkStart w:id="45" w:name="_Toc485145204"/>
      <w:bookmarkStart w:id="46" w:name="_Toc492489254"/>
      <w:bookmarkStart w:id="47" w:name="_Toc492590384"/>
      <w:bookmarkStart w:id="48" w:name="_Toc496807000"/>
      <w:bookmarkStart w:id="49" w:name="_Toc496807890"/>
      <w:bookmarkStart w:id="50" w:name="_Toc498528854"/>
      <w:bookmarkStart w:id="51" w:name="_Toc498528942"/>
      <w:bookmarkStart w:id="52" w:name="_Toc499059265"/>
      <w:bookmarkStart w:id="53" w:name="_Toc499658726"/>
      <w:bookmarkStart w:id="54" w:name="_Toc499659073"/>
      <w:bookmarkStart w:id="55" w:name="_Toc499810484"/>
      <w:bookmarkStart w:id="56" w:name="_Toc500414596"/>
      <w:bookmarkStart w:id="57" w:name="_Toc500414653"/>
      <w:bookmarkStart w:id="58" w:name="_Toc503366328"/>
      <w:bookmarkStart w:id="59" w:name="_Toc503891594"/>
      <w:bookmarkStart w:id="60" w:name="_Toc504069532"/>
      <w:bookmarkStart w:id="61" w:name="_Toc504500687"/>
      <w:bookmarkStart w:id="62" w:name="_Toc526438769"/>
      <w:bookmarkStart w:id="63" w:name="_Toc526438810"/>
      <w:bookmarkStart w:id="64" w:name="_Toc526438925"/>
      <w:bookmarkStart w:id="65" w:name="_Toc3467402"/>
      <w:bookmarkStart w:id="66" w:name="_Toc3467936"/>
      <w:r w:rsidRPr="00A3599E">
        <w:rPr>
          <w:rFonts w:ascii="Palatino Linotype" w:hAnsi="Palatino Linotype"/>
          <w:b/>
          <w:sz w:val="24"/>
          <w:szCs w:val="24"/>
        </w:rPr>
        <w:t>Razones o Motivos de inconformidad:</w:t>
      </w:r>
      <w:bookmarkEnd w:id="35"/>
      <w:bookmarkEnd w:id="36"/>
      <w:bookmarkEnd w:id="37"/>
      <w:bookmarkEnd w:id="38"/>
      <w:bookmarkEnd w:id="39"/>
      <w:bookmarkEnd w:id="40"/>
      <w:bookmarkEnd w:id="41"/>
      <w:bookmarkEnd w:id="42"/>
      <w:bookmarkEnd w:id="43"/>
      <w:bookmarkEnd w:id="44"/>
      <w:bookmarkEnd w:id="45"/>
      <w:bookmarkEnd w:id="46"/>
      <w:bookmarkEnd w:id="47"/>
      <w:r w:rsidRPr="00A3599E">
        <w:rPr>
          <w:rFonts w:ascii="Palatino Linotype" w:hAnsi="Palatino Linotype"/>
          <w:b/>
          <w:sz w:val="24"/>
          <w:szCs w:val="24"/>
        </w:rPr>
        <w:t xml:space="preserve"> </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sidR="00885757" w:rsidRPr="003A38E6">
        <w:rPr>
          <w:rFonts w:ascii="Palatino Linotype" w:eastAsia="Calibri" w:hAnsi="Palatino Linotype"/>
          <w:i/>
          <w:color w:val="000000"/>
        </w:rPr>
        <w:t>“</w:t>
      </w:r>
      <w:r w:rsidR="006F2D5B" w:rsidRPr="006F2D5B">
        <w:rPr>
          <w:rFonts w:ascii="Palatino Linotype" w:eastAsia="Calibri" w:hAnsi="Palatino Linotype"/>
          <w:i/>
          <w:color w:val="000000"/>
        </w:rPr>
        <w:t xml:space="preserve">la negativa a la </w:t>
      </w:r>
      <w:proofErr w:type="spellStart"/>
      <w:r w:rsidR="006F2D5B" w:rsidRPr="006F2D5B">
        <w:rPr>
          <w:rFonts w:ascii="Palatino Linotype" w:eastAsia="Calibri" w:hAnsi="Palatino Linotype"/>
          <w:i/>
          <w:color w:val="000000"/>
        </w:rPr>
        <w:t>informacion</w:t>
      </w:r>
      <w:proofErr w:type="spellEnd"/>
      <w:r w:rsidR="006F2D5B" w:rsidRPr="006F2D5B">
        <w:rPr>
          <w:rFonts w:ascii="Palatino Linotype" w:eastAsia="Calibri" w:hAnsi="Palatino Linotype"/>
          <w:i/>
          <w:color w:val="000000"/>
        </w:rPr>
        <w:t xml:space="preserve"> solicitada</w:t>
      </w:r>
      <w:r w:rsidRPr="003A38E6">
        <w:rPr>
          <w:rFonts w:ascii="Palatino Linotype" w:eastAsia="Calibri" w:hAnsi="Palatino Linotype"/>
          <w:i/>
          <w:color w:val="000000"/>
        </w:rPr>
        <w:t xml:space="preserve">.” </w:t>
      </w:r>
      <w:r w:rsidRPr="003A38E6">
        <w:rPr>
          <w:rFonts w:ascii="Palatino Linotype" w:eastAsia="Calibri" w:hAnsi="Palatino Linotype"/>
          <w:iCs/>
          <w:color w:val="000000"/>
        </w:rPr>
        <w:t>(</w:t>
      </w:r>
      <w:r w:rsidR="00FA7215" w:rsidRPr="003A38E6">
        <w:rPr>
          <w:rFonts w:ascii="Palatino Linotype" w:hAnsi="Palatino Linotype"/>
          <w:iCs/>
        </w:rPr>
        <w:t>Sic)</w:t>
      </w:r>
    </w:p>
    <w:p w14:paraId="28C59A4C" w14:textId="77777777" w:rsidR="00F52421" w:rsidRPr="00A3599E" w:rsidRDefault="00F52421" w:rsidP="006F7BEF">
      <w:pPr>
        <w:suppressAutoHyphens w:val="0"/>
        <w:spacing w:line="360" w:lineRule="auto"/>
        <w:ind w:left="709" w:right="616"/>
        <w:jc w:val="both"/>
        <w:rPr>
          <w:rFonts w:ascii="Palatino Linotype" w:hAnsi="Palatino Linotype"/>
          <w:iCs/>
          <w:lang w:val="es-ES"/>
        </w:rPr>
      </w:pPr>
    </w:p>
    <w:p w14:paraId="65E1F6CA" w14:textId="53967134" w:rsidR="00F52421" w:rsidRPr="00A3599E" w:rsidRDefault="00F52421" w:rsidP="00F52421">
      <w:pPr>
        <w:pStyle w:val="Prrafodelista"/>
        <w:numPr>
          <w:ilvl w:val="0"/>
          <w:numId w:val="9"/>
        </w:numPr>
        <w:tabs>
          <w:tab w:val="left" w:pos="426"/>
        </w:tabs>
        <w:suppressAutoHyphens w:val="0"/>
        <w:spacing w:line="360" w:lineRule="auto"/>
        <w:ind w:left="0" w:firstLine="0"/>
        <w:contextualSpacing/>
        <w:jc w:val="both"/>
        <w:rPr>
          <w:rFonts w:ascii="Palatino Linotype" w:eastAsia="Calibri" w:hAnsi="Palatino Linotype" w:cs="Arial"/>
          <w:color w:val="000000"/>
          <w:sz w:val="24"/>
          <w:szCs w:val="24"/>
        </w:rPr>
      </w:pPr>
      <w:r w:rsidRPr="00A3599E">
        <w:rPr>
          <w:rFonts w:ascii="Palatino Linotype" w:hAnsi="Palatino Linotype" w:cs="Arial"/>
          <w:color w:val="000000"/>
          <w:sz w:val="24"/>
          <w:szCs w:val="24"/>
        </w:rPr>
        <w:t xml:space="preserve">Se registró el recurso de revisión bajo el número de expediente </w:t>
      </w:r>
      <w:r w:rsidRPr="00A3599E">
        <w:rPr>
          <w:rFonts w:ascii="Palatino Linotype" w:eastAsia="MS Mincho" w:hAnsi="Palatino Linotype" w:cs="Arial"/>
          <w:bCs/>
          <w:color w:val="000000"/>
          <w:sz w:val="24"/>
          <w:szCs w:val="24"/>
          <w:lang w:val="es-ES_tradnl"/>
        </w:rPr>
        <w:t xml:space="preserve">al rubro indicado, asimismo, con fundamento en lo dispuesto por el </w:t>
      </w:r>
      <w:r w:rsidRPr="00A3599E">
        <w:rPr>
          <w:rFonts w:ascii="Palatino Linotype" w:eastAsia="Calibri" w:hAnsi="Palatino Linotype" w:cs="Arial"/>
          <w:color w:val="000000"/>
          <w:sz w:val="24"/>
          <w:szCs w:val="24"/>
        </w:rPr>
        <w:t xml:space="preserve">artículo 185 fracción I de la </w:t>
      </w:r>
      <w:r w:rsidRPr="00A3599E">
        <w:rPr>
          <w:rFonts w:ascii="Palatino Linotype" w:eastAsia="Calibri" w:hAnsi="Palatino Linotype" w:cs="Arial"/>
          <w:b/>
          <w:color w:val="000000"/>
          <w:sz w:val="24"/>
          <w:szCs w:val="24"/>
        </w:rPr>
        <w:t xml:space="preserve">Ley de Transparencia y Acceso a la Información Pública del Estado de México y Municipios </w:t>
      </w:r>
      <w:r w:rsidRPr="00A3599E">
        <w:rPr>
          <w:rFonts w:ascii="Palatino Linotype" w:hAnsi="Palatino Linotype" w:cs="Arial"/>
          <w:color w:val="000000"/>
          <w:sz w:val="24"/>
          <w:szCs w:val="24"/>
        </w:rPr>
        <w:t xml:space="preserve">se turnó a la </w:t>
      </w:r>
      <w:r w:rsidRPr="00A3599E">
        <w:rPr>
          <w:rFonts w:ascii="Palatino Linotype" w:hAnsi="Palatino Linotype" w:cs="Arial"/>
          <w:b/>
          <w:color w:val="000000"/>
          <w:sz w:val="24"/>
          <w:szCs w:val="24"/>
        </w:rPr>
        <w:t xml:space="preserve">Comisionada María del Rosario Mejía Ayala, </w:t>
      </w:r>
      <w:r w:rsidRPr="00A3599E">
        <w:rPr>
          <w:rFonts w:ascii="Palatino Linotype" w:hAnsi="Palatino Linotype" w:cs="Arial"/>
          <w:color w:val="000000"/>
          <w:sz w:val="24"/>
          <w:szCs w:val="24"/>
        </w:rPr>
        <w:t>con el objeto de su análisis.</w:t>
      </w:r>
    </w:p>
    <w:p w14:paraId="38E59B5C" w14:textId="77777777" w:rsidR="00FA7215" w:rsidRPr="00A3599E" w:rsidRDefault="00FA7215" w:rsidP="006F7BEF">
      <w:pPr>
        <w:suppressAutoHyphens w:val="0"/>
        <w:spacing w:line="360" w:lineRule="auto"/>
        <w:ind w:left="709" w:right="567"/>
        <w:jc w:val="both"/>
        <w:rPr>
          <w:rFonts w:ascii="Palatino Linotype" w:hAnsi="Palatino Linotype"/>
          <w:iCs/>
          <w:lang w:val="es-ES"/>
        </w:rPr>
      </w:pPr>
    </w:p>
    <w:p w14:paraId="59CC12F6" w14:textId="77777777" w:rsidR="00BE21C4" w:rsidRPr="00BE21C4" w:rsidRDefault="00885757" w:rsidP="00BE21C4">
      <w:pPr>
        <w:numPr>
          <w:ilvl w:val="0"/>
          <w:numId w:val="9"/>
        </w:numPr>
        <w:tabs>
          <w:tab w:val="left" w:pos="426"/>
        </w:tabs>
        <w:suppressAutoHyphens w:val="0"/>
        <w:spacing w:after="160" w:line="360" w:lineRule="auto"/>
        <w:ind w:left="0" w:firstLine="0"/>
        <w:contextualSpacing/>
        <w:jc w:val="both"/>
        <w:rPr>
          <w:rFonts w:ascii="Palatino Linotype" w:hAnsi="Palatino Linotype"/>
          <w:i/>
          <w:color w:val="000000"/>
          <w:lang w:val="es-ES_tradnl"/>
        </w:rPr>
      </w:pPr>
      <w:r w:rsidRPr="00A3599E">
        <w:rPr>
          <w:rFonts w:ascii="Palatino Linotype" w:hAnsi="Palatino Linotype"/>
          <w:iCs/>
          <w:color w:val="000000"/>
        </w:rPr>
        <w:t xml:space="preserve">La Comisionada </w:t>
      </w:r>
      <w:r w:rsidR="004A0A11" w:rsidRPr="00A3599E">
        <w:rPr>
          <w:rFonts w:ascii="Palatino Linotype" w:hAnsi="Palatino Linotype"/>
          <w:b/>
          <w:iCs/>
          <w:color w:val="000000"/>
        </w:rPr>
        <w:t>María del Rosario Mejía Ayala</w:t>
      </w:r>
      <w:r w:rsidR="00191180" w:rsidRPr="00A3599E">
        <w:rPr>
          <w:rFonts w:ascii="Palatino Linotype" w:hAnsi="Palatino Linotype"/>
          <w:iCs/>
          <w:color w:val="000000"/>
          <w:lang w:val="es-ES"/>
        </w:rPr>
        <w:t>, con fundamento en lo dispuesto por el artículo 185 fracción II de la</w:t>
      </w:r>
      <w:r w:rsidRPr="00A3599E">
        <w:rPr>
          <w:rFonts w:ascii="Palatino Linotype" w:hAnsi="Palatino Linotype"/>
          <w:iCs/>
          <w:color w:val="000000"/>
          <w:lang w:val="es-ES"/>
        </w:rPr>
        <w:t xml:space="preserve"> ley de la materia, a través del acuerdo</w:t>
      </w:r>
      <w:r w:rsidR="00191180" w:rsidRPr="00A3599E">
        <w:rPr>
          <w:rFonts w:ascii="Palatino Linotype" w:hAnsi="Palatino Linotype"/>
          <w:iCs/>
          <w:color w:val="000000"/>
          <w:lang w:val="es-ES"/>
        </w:rPr>
        <w:t xml:space="preserve"> de a</w:t>
      </w:r>
      <w:r w:rsidR="003036F7">
        <w:rPr>
          <w:rFonts w:ascii="Palatino Linotype" w:hAnsi="Palatino Linotype"/>
          <w:iCs/>
          <w:color w:val="000000"/>
          <w:lang w:val="es-ES"/>
        </w:rPr>
        <w:t>dmisión d</w:t>
      </w:r>
      <w:r w:rsidR="003A38E6">
        <w:rPr>
          <w:rFonts w:ascii="Palatino Linotype" w:hAnsi="Palatino Linotype"/>
          <w:iCs/>
          <w:color w:val="000000"/>
          <w:lang w:val="es-ES"/>
        </w:rPr>
        <w:t xml:space="preserve">e </w:t>
      </w:r>
      <w:r w:rsidR="007C47ED">
        <w:rPr>
          <w:rFonts w:ascii="Palatino Linotype" w:hAnsi="Palatino Linotype"/>
          <w:iCs/>
          <w:color w:val="000000"/>
          <w:lang w:val="es-ES"/>
        </w:rPr>
        <w:t>uno (01</w:t>
      </w:r>
      <w:r w:rsidRPr="00A3599E">
        <w:rPr>
          <w:rFonts w:ascii="Palatino Linotype" w:hAnsi="Palatino Linotype"/>
          <w:iCs/>
          <w:color w:val="000000"/>
          <w:lang w:val="es-ES"/>
        </w:rPr>
        <w:t>) de</w:t>
      </w:r>
      <w:r w:rsidR="003A38E6">
        <w:rPr>
          <w:rFonts w:ascii="Palatino Linotype" w:hAnsi="Palatino Linotype"/>
          <w:iCs/>
          <w:color w:val="000000"/>
          <w:lang w:val="es-ES"/>
        </w:rPr>
        <w:t xml:space="preserve"> abril</w:t>
      </w:r>
      <w:r w:rsidR="00F52421" w:rsidRPr="00A3599E">
        <w:rPr>
          <w:rFonts w:ascii="Palatino Linotype" w:hAnsi="Palatino Linotype"/>
          <w:iCs/>
          <w:color w:val="000000"/>
          <w:lang w:val="es-ES"/>
        </w:rPr>
        <w:t xml:space="preserve"> </w:t>
      </w:r>
      <w:r w:rsidRPr="00A3599E">
        <w:rPr>
          <w:rFonts w:ascii="Palatino Linotype" w:hAnsi="Palatino Linotype"/>
          <w:iCs/>
          <w:color w:val="000000"/>
          <w:lang w:val="es-ES"/>
        </w:rPr>
        <w:t xml:space="preserve">de dos mil </w:t>
      </w:r>
      <w:r w:rsidR="00F52421" w:rsidRPr="00A3599E">
        <w:rPr>
          <w:rFonts w:ascii="Palatino Linotype" w:hAnsi="Palatino Linotype"/>
          <w:iCs/>
          <w:color w:val="000000"/>
          <w:lang w:val="es-ES"/>
        </w:rPr>
        <w:t>veintidós</w:t>
      </w:r>
      <w:r w:rsidRPr="00A3599E">
        <w:rPr>
          <w:rFonts w:ascii="Palatino Linotype" w:hAnsi="Palatino Linotype"/>
          <w:iCs/>
          <w:color w:val="000000"/>
          <w:lang w:val="es-ES"/>
        </w:rPr>
        <w:t>, puso a disposición de las partes el expediente electrónico</w:t>
      </w:r>
      <w:r w:rsidR="00191180" w:rsidRPr="00A3599E">
        <w:rPr>
          <w:rFonts w:ascii="Palatino Linotype" w:hAnsi="Palatino Linotype"/>
          <w:iCs/>
          <w:color w:val="000000"/>
          <w:lang w:val="es-ES"/>
        </w:rPr>
        <w:t xml:space="preserve"> </w:t>
      </w:r>
      <w:r w:rsidR="00191180" w:rsidRPr="00A3599E">
        <w:rPr>
          <w:rFonts w:ascii="Palatino Linotype" w:hAnsi="Palatino Linotype"/>
          <w:iCs/>
          <w:color w:val="000000"/>
          <w:lang w:val="es-ES_tradnl"/>
        </w:rPr>
        <w:t xml:space="preserve">vía </w:t>
      </w:r>
      <w:r w:rsidR="00191180" w:rsidRPr="00A3599E">
        <w:rPr>
          <w:rFonts w:ascii="Palatino Linotype" w:hAnsi="Palatino Linotype"/>
          <w:iCs/>
          <w:color w:val="000000"/>
          <w:lang w:val="es-ES"/>
        </w:rPr>
        <w:t xml:space="preserve">Sistema de Acceso a la Información Mexiquense </w:t>
      </w:r>
      <w:r w:rsidR="00191180" w:rsidRPr="00A3599E">
        <w:rPr>
          <w:rFonts w:ascii="Palatino Linotype" w:hAnsi="Palatino Linotype"/>
          <w:b/>
          <w:iCs/>
          <w:color w:val="000000"/>
          <w:lang w:val="es-ES"/>
        </w:rPr>
        <w:t xml:space="preserve">(SAIMEX) </w:t>
      </w:r>
      <w:r w:rsidR="00191180" w:rsidRPr="00A3599E">
        <w:rPr>
          <w:rFonts w:ascii="Palatino Linotype" w:hAnsi="Palatino Linotype"/>
          <w:iCs/>
          <w:color w:val="000000"/>
          <w:lang w:val="es-ES"/>
        </w:rPr>
        <w:t xml:space="preserve">a efecto de que en un plazo máximo de siete días manifestaran lo que a derecho convinieran, ofrecieran pruebas y alegatos según corresponda a los casos concretos, de esta forma para que el </w:t>
      </w:r>
      <w:r w:rsidR="00191180" w:rsidRPr="00A3599E">
        <w:rPr>
          <w:rFonts w:ascii="Palatino Linotype" w:hAnsi="Palatino Linotype"/>
          <w:b/>
          <w:iCs/>
          <w:color w:val="000000"/>
          <w:lang w:val="es-ES"/>
        </w:rPr>
        <w:t>SUJETO OBLIGADO</w:t>
      </w:r>
      <w:r w:rsidR="00191180" w:rsidRPr="00A3599E">
        <w:rPr>
          <w:rFonts w:ascii="Palatino Linotype" w:hAnsi="Palatino Linotype"/>
          <w:iCs/>
          <w:color w:val="000000"/>
          <w:lang w:val="es-ES"/>
        </w:rPr>
        <w:t xml:space="preserve"> presentara</w:t>
      </w:r>
      <w:r w:rsidRPr="00A3599E">
        <w:rPr>
          <w:rFonts w:ascii="Palatino Linotype" w:hAnsi="Palatino Linotype"/>
          <w:iCs/>
          <w:color w:val="000000"/>
          <w:lang w:val="es-ES"/>
        </w:rPr>
        <w:t xml:space="preserve"> el Infor</w:t>
      </w:r>
      <w:r w:rsidR="006B4562" w:rsidRPr="00A3599E">
        <w:rPr>
          <w:rFonts w:ascii="Palatino Linotype" w:hAnsi="Palatino Linotype"/>
          <w:iCs/>
          <w:color w:val="000000"/>
          <w:lang w:val="es-ES"/>
        </w:rPr>
        <w:t>me Justificado Correspondiente, situación que no acont</w:t>
      </w:r>
      <w:r w:rsidR="00BE21C4">
        <w:rPr>
          <w:rFonts w:ascii="Palatino Linotype" w:hAnsi="Palatino Linotype"/>
          <w:iCs/>
          <w:color w:val="000000"/>
          <w:lang w:val="es-ES"/>
        </w:rPr>
        <w:t>eció por ninguna de las partes.</w:t>
      </w:r>
    </w:p>
    <w:p w14:paraId="78DD5CE0" w14:textId="77777777" w:rsidR="00BE21C4" w:rsidRDefault="00BE21C4" w:rsidP="00BE21C4">
      <w:pPr>
        <w:pStyle w:val="Prrafodelista"/>
        <w:rPr>
          <w:rFonts w:ascii="Palatino Linotype" w:hAnsi="Palatino Linotype"/>
        </w:rPr>
      </w:pPr>
    </w:p>
    <w:p w14:paraId="009B5FA6" w14:textId="05005584" w:rsidR="00BE21C4" w:rsidRPr="00BE21C4" w:rsidRDefault="00BE21C4" w:rsidP="00BE21C4">
      <w:pPr>
        <w:numPr>
          <w:ilvl w:val="0"/>
          <w:numId w:val="9"/>
        </w:numPr>
        <w:tabs>
          <w:tab w:val="left" w:pos="426"/>
        </w:tabs>
        <w:suppressAutoHyphens w:val="0"/>
        <w:spacing w:after="160" w:line="360" w:lineRule="auto"/>
        <w:ind w:left="0" w:firstLine="0"/>
        <w:contextualSpacing/>
        <w:jc w:val="both"/>
        <w:rPr>
          <w:rFonts w:ascii="Palatino Linotype" w:hAnsi="Palatino Linotype"/>
          <w:i/>
          <w:color w:val="000000"/>
          <w:lang w:val="es-ES_tradnl"/>
        </w:rPr>
      </w:pPr>
      <w:r w:rsidRPr="00BE21C4">
        <w:rPr>
          <w:rFonts w:ascii="Palatino Linotype" w:hAnsi="Palatino Linotype"/>
          <w:lang w:eastAsia="en-US"/>
        </w:rPr>
        <w:t xml:space="preserve">El doce (12) de mayo de dos mil veintidós, con fundamento en el artículo 181 tercer párrafo de la Ley de Transparencia y Acceso a la Información Pública del Estado de México y Municipios, se acordó el plazo de treinta (30) días para resolver el recurso de revisión, sería ampliado por un periodo de quince (15) días hábiles adicionales. </w:t>
      </w:r>
    </w:p>
    <w:p w14:paraId="1BCE55B1" w14:textId="77777777" w:rsidR="003036F7" w:rsidRPr="00A3599E" w:rsidRDefault="003036F7" w:rsidP="006F7BEF">
      <w:pPr>
        <w:tabs>
          <w:tab w:val="left" w:pos="426"/>
        </w:tabs>
        <w:suppressAutoHyphens w:val="0"/>
        <w:spacing w:after="160" w:line="360" w:lineRule="auto"/>
        <w:contextualSpacing/>
        <w:jc w:val="both"/>
        <w:rPr>
          <w:rFonts w:ascii="Palatino Linotype" w:hAnsi="Palatino Linotype"/>
          <w:i/>
          <w:color w:val="000000"/>
          <w:lang w:val="es-ES_tradnl"/>
        </w:rPr>
      </w:pPr>
    </w:p>
    <w:p w14:paraId="6D30657D" w14:textId="4AC31C5D" w:rsidR="00C9084A" w:rsidRPr="00A3599E" w:rsidRDefault="000E55D7" w:rsidP="006F7BEF">
      <w:pPr>
        <w:numPr>
          <w:ilvl w:val="0"/>
          <w:numId w:val="9"/>
        </w:numPr>
        <w:tabs>
          <w:tab w:val="left" w:pos="426"/>
        </w:tabs>
        <w:suppressAutoHyphens w:val="0"/>
        <w:spacing w:after="160" w:line="360" w:lineRule="auto"/>
        <w:ind w:left="0" w:firstLine="0"/>
        <w:contextualSpacing/>
        <w:jc w:val="both"/>
        <w:rPr>
          <w:rFonts w:ascii="Palatino Linotype" w:eastAsia="Calibri" w:hAnsi="Palatino Linotype" w:cs="Arial"/>
          <w:lang w:val="es-ES"/>
        </w:rPr>
      </w:pPr>
      <w:r w:rsidRPr="00A3599E">
        <w:rPr>
          <w:rFonts w:ascii="Palatino Linotype" w:hAnsi="Palatino Linotype"/>
          <w:lang w:val="es-ES_tradnl"/>
        </w:rPr>
        <w:t>E</w:t>
      </w:r>
      <w:r w:rsidR="006F2D5B">
        <w:rPr>
          <w:rFonts w:ascii="Palatino Linotype" w:hAnsi="Palatino Linotype"/>
          <w:lang w:val="es-ES_tradnl"/>
        </w:rPr>
        <w:t>l dieciocho (18</w:t>
      </w:r>
      <w:r w:rsidR="00191180" w:rsidRPr="00A3599E">
        <w:rPr>
          <w:rFonts w:ascii="Palatino Linotype" w:hAnsi="Palatino Linotype"/>
          <w:lang w:val="es-ES_tradnl"/>
        </w:rPr>
        <w:t>) de</w:t>
      </w:r>
      <w:r w:rsidR="00943AD9">
        <w:rPr>
          <w:rFonts w:ascii="Palatino Linotype" w:hAnsi="Palatino Linotype"/>
          <w:lang w:val="es-ES_tradnl"/>
        </w:rPr>
        <w:t xml:space="preserve"> mayo</w:t>
      </w:r>
      <w:r w:rsidR="00F52421" w:rsidRPr="00A3599E">
        <w:rPr>
          <w:rFonts w:ascii="Palatino Linotype" w:hAnsi="Palatino Linotype"/>
          <w:lang w:val="es-ES_tradnl"/>
        </w:rPr>
        <w:t xml:space="preserve"> de dos mil veintidós</w:t>
      </w:r>
      <w:r w:rsidR="00E96A2C" w:rsidRPr="00A3599E">
        <w:rPr>
          <w:rFonts w:ascii="Palatino Linotype" w:hAnsi="Palatino Linotype"/>
          <w:lang w:val="es-ES_tradnl"/>
        </w:rPr>
        <w:t>, la</w:t>
      </w:r>
      <w:r w:rsidR="006F2548" w:rsidRPr="00A3599E">
        <w:rPr>
          <w:rFonts w:ascii="Palatino Linotype" w:eastAsiaTheme="minorEastAsia" w:hAnsi="Palatino Linotype" w:cstheme="minorBidi"/>
          <w:b/>
          <w:color w:val="000000" w:themeColor="text1"/>
          <w:lang w:val="es-ES_tradnl"/>
        </w:rPr>
        <w:t xml:space="preserve"> </w:t>
      </w:r>
      <w:r w:rsidR="006F2548" w:rsidRPr="00A3599E">
        <w:rPr>
          <w:rFonts w:ascii="Palatino Linotype" w:hAnsi="Palatino Linotype"/>
          <w:b/>
          <w:lang w:val="es-ES_tradnl"/>
        </w:rPr>
        <w:t>Comisionada María del Rosario Mejía Ayala</w:t>
      </w:r>
      <w:r w:rsidR="006F2548" w:rsidRPr="00A3599E">
        <w:rPr>
          <w:rFonts w:ascii="Palatino Linotype" w:hAnsi="Palatino Linotype"/>
          <w:lang w:val="es-ES_tradnl"/>
        </w:rPr>
        <w:t xml:space="preserve"> </w:t>
      </w:r>
      <w:r w:rsidR="00E96A2C" w:rsidRPr="00A3599E">
        <w:rPr>
          <w:rFonts w:ascii="Palatino Linotype" w:hAnsi="Palatino Linotype"/>
          <w:lang w:val="es-ES_tradnl"/>
        </w:rPr>
        <w:t>decretó el cierre del periodo de instrucción del recurso</w:t>
      </w:r>
      <w:r w:rsidR="009A7C8F" w:rsidRPr="00A3599E">
        <w:rPr>
          <w:rFonts w:ascii="Palatino Linotype" w:hAnsi="Palatino Linotype"/>
          <w:lang w:val="es-ES_tradnl"/>
        </w:rPr>
        <w:t xml:space="preserve"> de revi</w:t>
      </w:r>
      <w:r w:rsidR="00AE3BDE" w:rsidRPr="00A3599E">
        <w:rPr>
          <w:rFonts w:ascii="Palatino Linotype" w:hAnsi="Palatino Linotype"/>
          <w:lang w:val="es-ES_tradnl"/>
        </w:rPr>
        <w:t>sión.</w:t>
      </w:r>
    </w:p>
    <w:p w14:paraId="74B24F76" w14:textId="77777777" w:rsidR="00C9084A" w:rsidRPr="00A3599E" w:rsidRDefault="00C9084A" w:rsidP="006F7BEF">
      <w:pPr>
        <w:tabs>
          <w:tab w:val="left" w:pos="426"/>
        </w:tabs>
        <w:suppressAutoHyphens w:val="0"/>
        <w:spacing w:after="160" w:line="360" w:lineRule="auto"/>
        <w:contextualSpacing/>
        <w:jc w:val="both"/>
        <w:rPr>
          <w:rFonts w:ascii="Palatino Linotype" w:eastAsia="Calibri" w:hAnsi="Palatino Linotype" w:cs="Arial"/>
          <w:lang w:val="es-ES"/>
        </w:rPr>
      </w:pPr>
    </w:p>
    <w:p w14:paraId="1651EB70" w14:textId="77777777" w:rsidR="00191180" w:rsidRPr="00A3599E" w:rsidRDefault="00191180" w:rsidP="006F7BEF">
      <w:pPr>
        <w:keepNext/>
        <w:keepLines/>
        <w:suppressAutoHyphens w:val="0"/>
        <w:spacing w:before="240" w:line="360" w:lineRule="auto"/>
        <w:jc w:val="center"/>
        <w:outlineLvl w:val="0"/>
        <w:rPr>
          <w:rFonts w:ascii="Palatino Linotype" w:hAnsi="Palatino Linotype"/>
          <w:b/>
          <w:lang w:eastAsia="en-US"/>
        </w:rPr>
      </w:pPr>
      <w:bookmarkStart w:id="67" w:name="_Toc103178777"/>
      <w:r w:rsidRPr="00A3599E">
        <w:rPr>
          <w:rFonts w:ascii="Palatino Linotype" w:hAnsi="Palatino Linotype"/>
          <w:b/>
          <w:lang w:eastAsia="en-US"/>
        </w:rPr>
        <w:t>CONSIDERANDO</w:t>
      </w:r>
      <w:bookmarkEnd w:id="67"/>
    </w:p>
    <w:p w14:paraId="5FC1DEAF" w14:textId="77777777" w:rsidR="00191180" w:rsidRPr="00A3599E" w:rsidRDefault="00191180" w:rsidP="006F7BEF">
      <w:pPr>
        <w:suppressAutoHyphens w:val="0"/>
        <w:spacing w:line="360" w:lineRule="auto"/>
        <w:rPr>
          <w:rFonts w:ascii="Palatino Linotype" w:hAnsi="Palatino Linotype"/>
          <w:lang w:eastAsia="en-US"/>
        </w:rPr>
      </w:pPr>
    </w:p>
    <w:p w14:paraId="2B88C5DA" w14:textId="77777777" w:rsidR="00191180" w:rsidRPr="00A3599E" w:rsidRDefault="00191180" w:rsidP="006F7BEF">
      <w:pPr>
        <w:keepNext/>
        <w:keepLines/>
        <w:suppressAutoHyphens w:val="0"/>
        <w:spacing w:before="40" w:line="360" w:lineRule="auto"/>
        <w:outlineLvl w:val="1"/>
        <w:rPr>
          <w:rFonts w:ascii="Palatino Linotype" w:hAnsi="Palatino Linotype"/>
          <w:b/>
          <w:lang w:eastAsia="en-US"/>
        </w:rPr>
      </w:pPr>
      <w:bookmarkStart w:id="68" w:name="_Toc103178778"/>
      <w:r w:rsidRPr="00A3599E">
        <w:rPr>
          <w:rFonts w:ascii="Palatino Linotype" w:hAnsi="Palatino Linotype"/>
          <w:b/>
          <w:lang w:eastAsia="en-US"/>
        </w:rPr>
        <w:t>PRIMERO. De la competencia.</w:t>
      </w:r>
      <w:bookmarkEnd w:id="68"/>
    </w:p>
    <w:p w14:paraId="391B13B6" w14:textId="77777777" w:rsidR="00191180" w:rsidRPr="00A3599E" w:rsidRDefault="00191180" w:rsidP="006F7BEF">
      <w:pPr>
        <w:suppressAutoHyphens w:val="0"/>
        <w:spacing w:line="360" w:lineRule="auto"/>
        <w:rPr>
          <w:rFonts w:ascii="Palatino Linotype" w:hAnsi="Palatino Linotype"/>
          <w:lang w:eastAsia="en-US"/>
        </w:rPr>
      </w:pPr>
    </w:p>
    <w:p w14:paraId="01E5EBE3" w14:textId="7C7FFFE7" w:rsidR="008F62D7" w:rsidRPr="00A3599E" w:rsidRDefault="008F62D7" w:rsidP="006F7BEF">
      <w:pPr>
        <w:pStyle w:val="Prrafodelista"/>
        <w:numPr>
          <w:ilvl w:val="0"/>
          <w:numId w:val="9"/>
        </w:numPr>
        <w:tabs>
          <w:tab w:val="left" w:pos="0"/>
        </w:tabs>
        <w:suppressAutoHyphens w:val="0"/>
        <w:spacing w:after="160" w:line="360" w:lineRule="auto"/>
        <w:ind w:left="0" w:firstLine="0"/>
        <w:contextualSpacing/>
        <w:jc w:val="both"/>
        <w:rPr>
          <w:rFonts w:ascii="Palatino Linotype" w:eastAsia="MS Mincho" w:hAnsi="Palatino Linotype"/>
          <w:sz w:val="24"/>
          <w:szCs w:val="24"/>
          <w:lang w:val="es-ES_tradnl"/>
        </w:rPr>
      </w:pPr>
      <w:r w:rsidRPr="00A3599E">
        <w:rPr>
          <w:rFonts w:ascii="Palatino Linotype" w:eastAsia="Calibri" w:hAnsi="Palatino Linotype"/>
          <w:sz w:val="24"/>
          <w:szCs w:val="24"/>
        </w:rPr>
        <w:t xml:space="preserve">Este Instituto de Transparencia, Acceso a la Información Pública y Protección de Datos Personales del Estado de México y Municipios, es competente para conocer y resolver del presente recurso de conformidad con el artículo: 6, apartado A, fracción IV de la </w:t>
      </w:r>
      <w:r w:rsidRPr="00A3599E">
        <w:rPr>
          <w:rFonts w:ascii="Palatino Linotype" w:eastAsia="Calibri" w:hAnsi="Palatino Linotype"/>
          <w:b/>
          <w:sz w:val="24"/>
          <w:szCs w:val="24"/>
        </w:rPr>
        <w:t>Constitución Política de los Estados Unidos Mexicanos</w:t>
      </w:r>
      <w:r w:rsidRPr="00A3599E">
        <w:rPr>
          <w:rFonts w:ascii="Palatino Linotype" w:eastAsia="Calibri" w:hAnsi="Palatino Linotype"/>
          <w:sz w:val="24"/>
          <w:szCs w:val="24"/>
        </w:rPr>
        <w:t xml:space="preserve">; </w:t>
      </w:r>
      <w:r w:rsidRPr="00A3599E">
        <w:rPr>
          <w:rFonts w:ascii="Palatino Linotype" w:eastAsia="Calibri" w:hAnsi="Palatino Linotype" w:cs="Arial"/>
          <w:bCs/>
          <w:color w:val="222222"/>
          <w:sz w:val="24"/>
          <w:szCs w:val="24"/>
          <w:shd w:val="clear" w:color="auto" w:fill="FFFFFF"/>
        </w:rPr>
        <w:t>5, párrafo</w:t>
      </w:r>
      <w:r w:rsidRPr="00A3599E">
        <w:rPr>
          <w:rFonts w:ascii="Palatino Linotype" w:eastAsia="Calibri" w:hAnsi="Palatino Linotype"/>
          <w:sz w:val="24"/>
          <w:szCs w:val="24"/>
        </w:rPr>
        <w:t xml:space="preserve"> trigésimo, trigésimo primero y trigésimo segundo, fracciones I, II, III, IV y V</w:t>
      </w:r>
      <w:r w:rsidRPr="00A3599E">
        <w:rPr>
          <w:rFonts w:ascii="Palatino Linotype" w:eastAsia="MS Mincho" w:hAnsi="Palatino Linotype"/>
          <w:sz w:val="24"/>
          <w:szCs w:val="24"/>
          <w:lang w:val="es-ES_tradnl"/>
        </w:rPr>
        <w:t xml:space="preserve"> </w:t>
      </w:r>
      <w:r w:rsidRPr="00A3599E">
        <w:rPr>
          <w:rFonts w:ascii="Palatino Linotype" w:eastAsia="Calibri" w:hAnsi="Palatino Linotype"/>
          <w:sz w:val="24"/>
          <w:szCs w:val="24"/>
        </w:rPr>
        <w:t xml:space="preserve">de la </w:t>
      </w:r>
      <w:r w:rsidRPr="00A3599E">
        <w:rPr>
          <w:rFonts w:ascii="Palatino Linotype" w:eastAsia="Calibri" w:hAnsi="Palatino Linotype"/>
          <w:b/>
          <w:sz w:val="24"/>
          <w:szCs w:val="24"/>
        </w:rPr>
        <w:t>Constitución Política del Estado Libre y Soberano de México</w:t>
      </w:r>
      <w:r w:rsidRPr="00A3599E">
        <w:rPr>
          <w:rFonts w:ascii="Palatino Linotype" w:eastAsia="Calibri" w:hAnsi="Palatino Linotype"/>
          <w:sz w:val="24"/>
          <w:szCs w:val="24"/>
        </w:rPr>
        <w:t xml:space="preserve">; artículos 1, 2 fracción II, 13, 29, 36 fracciones I y II, 176, 178, 179, 181 párrafo tercero y 185 </w:t>
      </w:r>
      <w:r w:rsidRPr="00A3599E">
        <w:rPr>
          <w:rFonts w:ascii="Palatino Linotype" w:eastAsia="Calibri" w:hAnsi="Palatino Linotype" w:cs="Arial"/>
          <w:sz w:val="24"/>
          <w:szCs w:val="24"/>
        </w:rPr>
        <w:t xml:space="preserve">de la </w:t>
      </w:r>
      <w:r w:rsidRPr="00A3599E">
        <w:rPr>
          <w:rFonts w:ascii="Palatino Linotype" w:eastAsia="Calibri" w:hAnsi="Palatino Linotype" w:cs="Arial"/>
          <w:b/>
          <w:sz w:val="24"/>
          <w:szCs w:val="24"/>
        </w:rPr>
        <w:t>Ley de Transparencia y Acceso a la Información Pública del Estado de México y Municipios</w:t>
      </w:r>
      <w:r w:rsidRPr="00A3599E">
        <w:rPr>
          <w:rFonts w:ascii="Palatino Linotype" w:eastAsia="Calibri" w:hAnsi="Palatino Linotype" w:cs="Arial"/>
          <w:sz w:val="24"/>
          <w:szCs w:val="24"/>
        </w:rPr>
        <w:t xml:space="preserve">; </w:t>
      </w:r>
      <w:r w:rsidRPr="00A3599E">
        <w:rPr>
          <w:rFonts w:ascii="Palatino Linotype" w:eastAsia="Calibri" w:hAnsi="Palatino Linotype" w:cs="Arial"/>
          <w:b/>
          <w:sz w:val="24"/>
          <w:szCs w:val="24"/>
        </w:rPr>
        <w:t>7, 9 fracciones I y XXIV, y 11</w:t>
      </w:r>
      <w:r w:rsidRPr="00A3599E">
        <w:rPr>
          <w:rFonts w:ascii="Palatino Linotype" w:eastAsia="Calibri" w:hAnsi="Palatino Linotype" w:cs="Arial"/>
          <w:sz w:val="24"/>
          <w:szCs w:val="24"/>
        </w:rPr>
        <w:t xml:space="preserve"> del </w:t>
      </w:r>
      <w:r w:rsidRPr="00A3599E">
        <w:rPr>
          <w:rFonts w:ascii="Palatino Linotype" w:eastAsia="Calibri" w:hAnsi="Palatino Linotype" w:cs="Arial"/>
          <w:b/>
          <w:sz w:val="24"/>
          <w:szCs w:val="24"/>
        </w:rPr>
        <w:t>Reglamento Interior del Instituto de Transparencia, Acceso a la Información Pública y Protección de Datos Personales del Estado de México y Municipios.</w:t>
      </w:r>
    </w:p>
    <w:p w14:paraId="6E8DAC54" w14:textId="77777777" w:rsidR="00191180" w:rsidRPr="00A3599E" w:rsidRDefault="00191180" w:rsidP="006F7BEF">
      <w:pPr>
        <w:tabs>
          <w:tab w:val="left" w:pos="0"/>
        </w:tabs>
        <w:suppressAutoHyphens w:val="0"/>
        <w:spacing w:before="240" w:after="240" w:line="360" w:lineRule="auto"/>
        <w:contextualSpacing/>
        <w:jc w:val="both"/>
        <w:rPr>
          <w:rFonts w:ascii="Palatino Linotype" w:hAnsi="Palatino Linotype"/>
          <w:lang w:val="es-ES_tradnl"/>
        </w:rPr>
      </w:pPr>
    </w:p>
    <w:p w14:paraId="4C18FB7D" w14:textId="77777777" w:rsidR="00191180" w:rsidRPr="00A3599E" w:rsidRDefault="00191180" w:rsidP="006F7BEF">
      <w:pPr>
        <w:keepNext/>
        <w:keepLines/>
        <w:suppressAutoHyphens w:val="0"/>
        <w:spacing w:before="40" w:line="360" w:lineRule="auto"/>
        <w:outlineLvl w:val="1"/>
        <w:rPr>
          <w:rFonts w:ascii="Palatino Linotype" w:hAnsi="Palatino Linotype"/>
          <w:b/>
          <w:lang w:eastAsia="en-US"/>
        </w:rPr>
      </w:pPr>
      <w:bookmarkStart w:id="69" w:name="_Toc103178779"/>
      <w:r w:rsidRPr="00A3599E">
        <w:rPr>
          <w:rFonts w:ascii="Palatino Linotype" w:hAnsi="Palatino Linotype"/>
          <w:b/>
          <w:lang w:eastAsia="en-US"/>
        </w:rPr>
        <w:t>SEGUNDO. De la oportunidad y procedencia.</w:t>
      </w:r>
      <w:bookmarkEnd w:id="69"/>
    </w:p>
    <w:p w14:paraId="60A0388C" w14:textId="77777777" w:rsidR="008F3853" w:rsidRPr="00A3599E" w:rsidRDefault="008F3853" w:rsidP="006F7BEF">
      <w:pPr>
        <w:keepNext/>
        <w:keepLines/>
        <w:suppressAutoHyphens w:val="0"/>
        <w:spacing w:before="40" w:line="360" w:lineRule="auto"/>
        <w:outlineLvl w:val="1"/>
        <w:rPr>
          <w:rFonts w:ascii="Palatino Linotype" w:hAnsi="Palatino Linotype"/>
          <w:b/>
          <w:lang w:eastAsia="en-US"/>
        </w:rPr>
      </w:pPr>
    </w:p>
    <w:p w14:paraId="7DA62BDF" w14:textId="3FAF646E" w:rsidR="008F3853" w:rsidRPr="00A3599E" w:rsidRDefault="008F3853" w:rsidP="006F7BEF">
      <w:pPr>
        <w:pStyle w:val="Ttulo1"/>
        <w:numPr>
          <w:ilvl w:val="1"/>
          <w:numId w:val="9"/>
        </w:numPr>
        <w:spacing w:line="360" w:lineRule="auto"/>
        <w:ind w:left="0" w:firstLine="0"/>
        <w:rPr>
          <w:rFonts w:ascii="Palatino Linotype" w:hAnsi="Palatino Linotype"/>
          <w:sz w:val="24"/>
          <w:szCs w:val="24"/>
          <w:lang w:eastAsia="en-US"/>
        </w:rPr>
      </w:pPr>
      <w:bookmarkStart w:id="70" w:name="_Toc103178780"/>
      <w:r w:rsidRPr="00A3599E">
        <w:rPr>
          <w:rFonts w:ascii="Palatino Linotype" w:hAnsi="Palatino Linotype"/>
          <w:b/>
          <w:color w:val="000000" w:themeColor="text1"/>
          <w:sz w:val="24"/>
          <w:szCs w:val="24"/>
        </w:rPr>
        <w:t>De la interposición del recurso</w:t>
      </w:r>
      <w:r w:rsidRPr="00A3599E">
        <w:rPr>
          <w:rFonts w:ascii="Palatino Linotype" w:hAnsi="Palatino Linotype"/>
          <w:sz w:val="24"/>
          <w:szCs w:val="24"/>
        </w:rPr>
        <w:t>.</w:t>
      </w:r>
      <w:bookmarkEnd w:id="70"/>
      <w:r w:rsidRPr="00A3599E">
        <w:rPr>
          <w:rFonts w:ascii="Palatino Linotype" w:hAnsi="Palatino Linotype"/>
          <w:sz w:val="24"/>
          <w:szCs w:val="24"/>
        </w:rPr>
        <w:t xml:space="preserve"> </w:t>
      </w:r>
    </w:p>
    <w:p w14:paraId="7574D6AE" w14:textId="77777777" w:rsidR="00191180" w:rsidRPr="00A3599E" w:rsidRDefault="00191180" w:rsidP="006F7BEF">
      <w:pPr>
        <w:suppressAutoHyphens w:val="0"/>
        <w:spacing w:line="360" w:lineRule="auto"/>
        <w:rPr>
          <w:rFonts w:ascii="Palatino Linotype" w:hAnsi="Palatino Linotype"/>
          <w:lang w:eastAsia="en-US"/>
        </w:rPr>
      </w:pPr>
    </w:p>
    <w:p w14:paraId="1E5CBD1C" w14:textId="32BD406E" w:rsidR="00191180" w:rsidRPr="00A3599E" w:rsidRDefault="00191180" w:rsidP="006F7BEF">
      <w:pPr>
        <w:pStyle w:val="Prrafodelista"/>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sz w:val="24"/>
          <w:szCs w:val="24"/>
          <w:lang w:val="es-ES_tradnl"/>
        </w:rPr>
      </w:pPr>
      <w:r w:rsidRPr="00A3599E">
        <w:rPr>
          <w:rFonts w:ascii="Palatino Linotype" w:eastAsia="Calibri" w:hAnsi="Palatino Linotype" w:cs="Arial"/>
          <w:sz w:val="24"/>
          <w:szCs w:val="24"/>
        </w:rPr>
        <w:t xml:space="preserve">Es de precisar, que la Ley de Transparencia y Acceso a la Información Pública del Estado de México y Municipios, en el artículo 178 describe la procedencia del recurso de revisión, asimismo señala que el plazo del </w:t>
      </w:r>
      <w:r w:rsidRPr="00A3599E">
        <w:rPr>
          <w:rFonts w:ascii="Palatino Linotype" w:eastAsia="Calibri" w:hAnsi="Palatino Linotype" w:cs="Arial"/>
          <w:b/>
          <w:sz w:val="24"/>
          <w:szCs w:val="24"/>
        </w:rPr>
        <w:t>SUJETO OBLIGADO</w:t>
      </w:r>
      <w:r w:rsidRPr="00A3599E">
        <w:rPr>
          <w:rFonts w:ascii="Palatino Linotype" w:eastAsia="Calibri" w:hAnsi="Palatino Linotype" w:cs="Arial"/>
          <w:sz w:val="24"/>
          <w:szCs w:val="24"/>
        </w:rPr>
        <w:t xml:space="preserve"> para entregar la respuesta a una solicitud de información pública, es de quince días hábiles posteriores a la presentación de ésta; por lo que, transcurrido este término, cuando no entregue la respuesta a la solicitud dentro del plazo previsto en la Ley, la solicitud se entenderá negada y el solicitante podrá interponer el recurso de revisión previsto en el ordenamiento en cita.  </w:t>
      </w:r>
    </w:p>
    <w:p w14:paraId="66CFA43A"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46DC22BB"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eastAsia="Calibri" w:hAnsi="Palatino Linotype" w:cs="Arial"/>
          <w:lang w:val="es-ES"/>
        </w:rPr>
        <w:t xml:space="preserve">Por ende, se constituye la figura jurídica de la </w:t>
      </w:r>
      <w:r w:rsidRPr="00A3599E">
        <w:rPr>
          <w:rFonts w:ascii="Palatino Linotype" w:eastAsia="Calibri" w:hAnsi="Palatino Linotype" w:cs="Arial"/>
          <w:i/>
          <w:lang w:val="es-ES"/>
        </w:rPr>
        <w:t>negativa ficta</w:t>
      </w:r>
      <w:r w:rsidRPr="00A3599E">
        <w:rPr>
          <w:rFonts w:ascii="Palatino Linotype" w:eastAsia="Calibri" w:hAnsi="Palatino Linotype" w:cs="Arial"/>
          <w:lang w:val="es-ES"/>
        </w:rPr>
        <w:t xml:space="preserve">, cuya esencia es atribuir un efecto negativo al silencio de la autoridad administrativa frente a las instancias y solicitudes que hagan los particulares, lo cual encuentra sustento en lo que establece el artículo </w:t>
      </w:r>
      <w:r w:rsidRPr="00A3599E">
        <w:rPr>
          <w:rFonts w:ascii="Palatino Linotype" w:eastAsia="Calibri" w:hAnsi="Palatino Linotype" w:cs="Arial"/>
          <w:b/>
          <w:lang w:val="es-ES"/>
        </w:rPr>
        <w:t>178</w:t>
      </w:r>
      <w:r w:rsidRPr="00A3599E">
        <w:rPr>
          <w:rFonts w:ascii="Palatino Linotype" w:eastAsia="Calibri" w:hAnsi="Palatino Linotype" w:cs="Arial"/>
          <w:lang w:val="es-ES"/>
        </w:rPr>
        <w:t xml:space="preserve"> segundo párrafo de </w:t>
      </w:r>
      <w:r w:rsidRPr="00A3599E">
        <w:rPr>
          <w:rFonts w:ascii="Palatino Linotype" w:eastAsia="Calibri" w:hAnsi="Palatino Linotype" w:cs="Arial"/>
          <w:b/>
          <w:lang w:val="es-ES"/>
        </w:rPr>
        <w:t>Ley de Transparencia y Acceso a la Información Pública del Estado de México y Municipios</w:t>
      </w:r>
      <w:r w:rsidRPr="00A3599E">
        <w:rPr>
          <w:rFonts w:ascii="Palatino Linotype" w:eastAsia="Calibri" w:hAnsi="Palatino Linotype"/>
          <w:color w:val="000000"/>
          <w:shd w:val="clear" w:color="auto" w:fill="FFFFFF"/>
          <w:lang w:eastAsia="en-US"/>
        </w:rPr>
        <w:t xml:space="preserve">, que dispone; ante la falta de respuesta del </w:t>
      </w:r>
      <w:r w:rsidRPr="00A3599E">
        <w:rPr>
          <w:rFonts w:ascii="Palatino Linotype" w:eastAsia="Calibri" w:hAnsi="Palatino Linotype"/>
          <w:b/>
          <w:color w:val="000000"/>
          <w:shd w:val="clear" w:color="auto" w:fill="FFFFFF"/>
          <w:lang w:eastAsia="en-US"/>
        </w:rPr>
        <w:t>SUJETO OBLIGADO,</w:t>
      </w:r>
      <w:r w:rsidRPr="00A3599E">
        <w:rPr>
          <w:rFonts w:ascii="Palatino Linotype" w:eastAsia="Calibri" w:hAnsi="Palatino Linotype"/>
          <w:color w:val="000000"/>
          <w:shd w:val="clear" w:color="auto" w:fill="FFFFFF"/>
          <w:lang w:eastAsia="en-US"/>
        </w:rPr>
        <w:t xml:space="preserve"> dentro de los plazos establecidos en esta Ley, a una solicitud de acceso a la información pública, el recurso </w:t>
      </w:r>
      <w:r w:rsidRPr="00A3599E">
        <w:rPr>
          <w:rFonts w:ascii="Palatino Linotype" w:eastAsia="Calibri" w:hAnsi="Palatino Linotype"/>
          <w:b/>
          <w:color w:val="000000"/>
          <w:shd w:val="clear" w:color="auto" w:fill="FFFFFF"/>
          <w:lang w:eastAsia="en-US"/>
        </w:rPr>
        <w:t xml:space="preserve">podrá ser interpuesto en cualquier momento. </w:t>
      </w:r>
    </w:p>
    <w:p w14:paraId="062D3BB9" w14:textId="77777777" w:rsidR="00191180" w:rsidRPr="00A3599E" w:rsidRDefault="00191180" w:rsidP="006F7BEF">
      <w:pPr>
        <w:tabs>
          <w:tab w:val="left" w:pos="426"/>
        </w:tabs>
        <w:suppressAutoHyphens w:val="0"/>
        <w:spacing w:line="360" w:lineRule="auto"/>
        <w:contextualSpacing/>
        <w:rPr>
          <w:rFonts w:ascii="Palatino Linotype" w:hAnsi="Palatino Linotype" w:cs="Arial"/>
          <w:color w:val="000000"/>
          <w:lang w:val="es-ES_tradnl"/>
        </w:rPr>
      </w:pPr>
    </w:p>
    <w:p w14:paraId="1058EF3E"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eastAsia="Calibri" w:hAnsi="Palatino Linotype" w:cs="Arial"/>
          <w:lang w:val="es-ES"/>
        </w:rPr>
        <w:lastRenderedPageBreak/>
        <w:t xml:space="preserve">Por lo que, tratándose de la </w:t>
      </w:r>
      <w:r w:rsidRPr="00A3599E">
        <w:rPr>
          <w:rFonts w:ascii="Palatino Linotype" w:eastAsia="Calibri" w:hAnsi="Palatino Linotype" w:cs="Arial"/>
          <w:i/>
          <w:lang w:val="es-ES"/>
        </w:rPr>
        <w:t>negativa ficta</w:t>
      </w:r>
      <w:r w:rsidRPr="00A3599E">
        <w:rPr>
          <w:rFonts w:ascii="Palatino Linotype" w:eastAsia="Calibri" w:hAnsi="Palatino Linotype" w:cs="Arial"/>
          <w:lang w:val="es-ES"/>
        </w:rPr>
        <w:t xml:space="preserve"> no existe respuesta que se haga del conocimiento al particular, a partir de la cual pueda computarse el plazo legal establecido, por tal motivo es pertinente señalar que no existe plazo para la interposición de los recursos de revisión, sirviendo de apoyo a lo anterior lo que dispone el Criterio de Interpretación en el orden administrativo número 001-15, emitido por el Pleno del Instituto de Transparencia y Acceso a la Información Pública del Estado de México y Municipios, en la Sexta Sesión Ordinaria, y publicada en el Periódico Oficial “Gaceta del Gobierno” el veintitrés (23) de abril de dos mil quince, relativo a la interposición del recurso de revisión en cualquier tiempo cuando exista </w:t>
      </w:r>
      <w:r w:rsidRPr="00A3599E">
        <w:rPr>
          <w:rFonts w:ascii="Palatino Linotype" w:eastAsia="Calibri" w:hAnsi="Palatino Linotype" w:cs="Arial"/>
          <w:i/>
          <w:lang w:val="es-ES"/>
        </w:rPr>
        <w:t>negativa ficta</w:t>
      </w:r>
      <w:r w:rsidRPr="00A3599E">
        <w:rPr>
          <w:rFonts w:ascii="Palatino Linotype" w:eastAsia="Calibri" w:hAnsi="Palatino Linotype" w:cs="Arial"/>
          <w:lang w:val="es-ES"/>
        </w:rPr>
        <w:t>, que señala:</w:t>
      </w:r>
    </w:p>
    <w:p w14:paraId="3EDED87E" w14:textId="77777777" w:rsidR="00191180" w:rsidRPr="00A3599E" w:rsidRDefault="00191180" w:rsidP="006F7BEF">
      <w:pPr>
        <w:suppressAutoHyphens w:val="0"/>
        <w:spacing w:line="360" w:lineRule="auto"/>
        <w:contextualSpacing/>
        <w:jc w:val="both"/>
        <w:rPr>
          <w:rFonts w:ascii="Palatino Linotype" w:hAnsi="Palatino Linotype" w:cs="Arial"/>
          <w:color w:val="000000"/>
          <w:lang w:val="es-ES_tradnl"/>
        </w:rPr>
      </w:pPr>
    </w:p>
    <w:p w14:paraId="062431BE" w14:textId="77777777" w:rsidR="00191180" w:rsidRPr="00A3599E" w:rsidRDefault="00191180" w:rsidP="006F7BEF">
      <w:pPr>
        <w:tabs>
          <w:tab w:val="left" w:pos="7655"/>
        </w:tabs>
        <w:suppressAutoHyphens w:val="0"/>
        <w:spacing w:after="240" w:line="360" w:lineRule="auto"/>
        <w:ind w:left="567" w:right="567"/>
        <w:jc w:val="center"/>
        <w:rPr>
          <w:rFonts w:ascii="Palatino Linotype" w:eastAsia="Calibri" w:hAnsi="Palatino Linotype" w:cs="Arial"/>
          <w:b/>
          <w:lang w:val="es-ES"/>
        </w:rPr>
      </w:pPr>
      <w:r w:rsidRPr="00A3599E">
        <w:rPr>
          <w:rFonts w:ascii="Palatino Linotype" w:eastAsia="Calibri" w:hAnsi="Palatino Linotype" w:cs="Arial"/>
          <w:b/>
          <w:lang w:val="es-ES"/>
        </w:rPr>
        <w:t>Criterio 0001-15</w:t>
      </w:r>
    </w:p>
    <w:p w14:paraId="359502F1" w14:textId="77777777" w:rsidR="00191180" w:rsidRPr="00A3599E" w:rsidRDefault="00191180" w:rsidP="006F7BEF">
      <w:pPr>
        <w:tabs>
          <w:tab w:val="left" w:pos="7655"/>
        </w:tabs>
        <w:suppressAutoHyphens w:val="0"/>
        <w:spacing w:before="240" w:after="240" w:line="360" w:lineRule="auto"/>
        <w:ind w:left="567" w:right="567"/>
        <w:jc w:val="both"/>
        <w:rPr>
          <w:rFonts w:ascii="Palatino Linotype" w:eastAsia="Calibri" w:hAnsi="Palatino Linotype" w:cs="Arial"/>
          <w:i/>
          <w:lang w:val="es-ES"/>
        </w:rPr>
      </w:pPr>
      <w:r w:rsidRPr="00A3599E">
        <w:rPr>
          <w:rFonts w:ascii="Palatino Linotype" w:eastAsia="Calibri" w:hAnsi="Palatino Linotype" w:cs="Arial"/>
          <w:b/>
          <w:i/>
          <w:lang w:val="es-ES"/>
        </w:rPr>
        <w:t>NEGATIVA FICTA. PLAZO PARA INTERPONER EL RECURSO DE REVISIÓN TRATÁNDOSE DE.</w:t>
      </w:r>
      <w:r w:rsidRPr="00A3599E">
        <w:rPr>
          <w:rFonts w:ascii="Palatino Linotype" w:eastAsia="Calibri" w:hAnsi="Palatino Linotype" w:cs="Arial"/>
          <w:i/>
          <w:lang w:val="es-ES"/>
        </w:rPr>
        <w:t xml:space="preserve"> “El artículo 48, párrafo tercero de la Ley de Transparencia y Acceso a la Información Pública del Estado de México y Municipios establece que, cuando no se entregue la respuesta a la solicitud dentro del plazo de 15 días establecidos en el artículo 46 de la Ley de la materia, se entenderá por negada la solicitud y podrá interponerse el recurso correspondiente. Por su parte, el artículo 72 del mismo ordenamiento legal establece el plazo de 15 días para interponer el recurso de revisión a partir del día siguiente al que tuvo conocimiento de la respuesta recaída a su solicitud, sin que se establezca excepción alguna tratándose de una falta de respuesta del sujeto obligado. Así, entonces, resulta evidente que, al no emitirse respuesta dentro del plazo establecido, se genera la </w:t>
      </w:r>
      <w:r w:rsidRPr="00A3599E">
        <w:rPr>
          <w:rFonts w:ascii="Palatino Linotype" w:eastAsia="Calibri" w:hAnsi="Palatino Linotype" w:cs="Arial"/>
          <w:i/>
          <w:lang w:val="es-ES"/>
        </w:rPr>
        <w:lastRenderedPageBreak/>
        <w:t>ficción legal de una respuesta en sentido negativo; en el entendido de que el plazo para impugnar esa negativa podrá ser en cualquier tiempo y hasta en tanto no se dicte resolución expresa; es decir, mientras no haya respuesta por parte del Sujeto Obligado, momento a partir del cual deberá computarse el plazo previsto en el artículo 72 de la citada Ley.”</w:t>
      </w:r>
    </w:p>
    <w:p w14:paraId="309EA4E1" w14:textId="77777777" w:rsidR="00191180" w:rsidRPr="00A3599E" w:rsidRDefault="00191180" w:rsidP="006F7BEF">
      <w:pPr>
        <w:tabs>
          <w:tab w:val="left" w:pos="7655"/>
        </w:tabs>
        <w:suppressAutoHyphens w:val="0"/>
        <w:spacing w:line="360" w:lineRule="auto"/>
        <w:ind w:left="567" w:right="567"/>
        <w:jc w:val="both"/>
        <w:rPr>
          <w:rFonts w:ascii="Palatino Linotype" w:eastAsia="Calibri" w:hAnsi="Palatino Linotype" w:cs="Arial"/>
          <w:i/>
          <w:lang w:val="es-ES"/>
        </w:rPr>
      </w:pPr>
    </w:p>
    <w:p w14:paraId="441894A4" w14:textId="19790770" w:rsidR="0053016B"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 w:eastAsia="es-MX"/>
        </w:rPr>
      </w:pPr>
      <w:r w:rsidRPr="00A3599E">
        <w:rPr>
          <w:rFonts w:ascii="Palatino Linotype" w:hAnsi="Palatino Linotype" w:cs="Arial"/>
          <w:color w:val="000000"/>
          <w:lang w:val="es-ES" w:eastAsia="es-MX"/>
        </w:rPr>
        <w:t xml:space="preserve">Lo anterior, se explica porque la </w:t>
      </w:r>
      <w:r w:rsidRPr="00A3599E">
        <w:rPr>
          <w:rFonts w:ascii="Palatino Linotype" w:hAnsi="Palatino Linotype" w:cs="Arial"/>
          <w:b/>
          <w:color w:val="000000"/>
          <w:lang w:val="es-ES" w:eastAsia="es-MX"/>
        </w:rPr>
        <w:t>ausencia</w:t>
      </w:r>
      <w:r w:rsidRPr="00A3599E">
        <w:rPr>
          <w:rFonts w:ascii="Palatino Linotype" w:hAnsi="Palatino Linotype" w:cs="Arial"/>
          <w:color w:val="000000"/>
          <w:lang w:val="es-ES" w:eastAsia="es-MX"/>
        </w:rPr>
        <w:t xml:space="preserve"> de una respuesta en las solicitudes constituye un acto que vulnera el derecho de manera continua y actualizable cada día, en tanto no se emita la respuesta a la que esté impuesto el </w:t>
      </w:r>
      <w:r w:rsidRPr="00A3599E">
        <w:rPr>
          <w:rFonts w:ascii="Palatino Linotype" w:hAnsi="Palatino Linotype" w:cs="Arial"/>
          <w:b/>
          <w:color w:val="000000"/>
          <w:lang w:val="es-ES" w:eastAsia="es-MX"/>
        </w:rPr>
        <w:t>SUJETO OBLIGADO</w:t>
      </w:r>
      <w:r w:rsidRPr="00A3599E">
        <w:rPr>
          <w:rFonts w:ascii="Palatino Linotype" w:hAnsi="Palatino Linotype" w:cs="Arial"/>
          <w:color w:val="000000"/>
          <w:lang w:val="es-ES" w:eastAsia="es-MX"/>
        </w:rPr>
        <w:t>.</w:t>
      </w:r>
    </w:p>
    <w:p w14:paraId="5E165E6B" w14:textId="4E9F19B8" w:rsidR="00191180" w:rsidRPr="00A3599E" w:rsidRDefault="008B4757" w:rsidP="006F7BEF">
      <w:pPr>
        <w:pStyle w:val="Ttulo1"/>
        <w:spacing w:line="360" w:lineRule="auto"/>
        <w:rPr>
          <w:rFonts w:ascii="Palatino Linotype" w:hAnsi="Palatino Linotype"/>
          <w:b/>
          <w:color w:val="000000" w:themeColor="text1"/>
          <w:sz w:val="24"/>
          <w:szCs w:val="24"/>
        </w:rPr>
      </w:pPr>
      <w:bookmarkStart w:id="71" w:name="_Toc103178781"/>
      <w:r>
        <w:rPr>
          <w:rFonts w:ascii="Palatino Linotype" w:hAnsi="Palatino Linotype"/>
          <w:b/>
          <w:color w:val="000000" w:themeColor="text1"/>
          <w:sz w:val="24"/>
          <w:szCs w:val="24"/>
        </w:rPr>
        <w:t>II</w:t>
      </w:r>
      <w:r w:rsidR="00F52421" w:rsidRPr="00A3599E">
        <w:rPr>
          <w:rFonts w:ascii="Palatino Linotype" w:hAnsi="Palatino Linotype"/>
          <w:b/>
          <w:color w:val="000000" w:themeColor="text1"/>
          <w:sz w:val="24"/>
          <w:szCs w:val="24"/>
        </w:rPr>
        <w:t xml:space="preserve">. </w:t>
      </w:r>
      <w:r w:rsidR="0053016B" w:rsidRPr="00A3599E">
        <w:rPr>
          <w:rFonts w:ascii="Palatino Linotype" w:hAnsi="Palatino Linotype"/>
          <w:b/>
          <w:color w:val="000000" w:themeColor="text1"/>
          <w:sz w:val="24"/>
          <w:szCs w:val="24"/>
        </w:rPr>
        <w:t xml:space="preserve">De la determinación sobre la </w:t>
      </w:r>
      <w:proofErr w:type="spellStart"/>
      <w:r w:rsidR="0053016B" w:rsidRPr="00A3599E">
        <w:rPr>
          <w:rFonts w:ascii="Palatino Linotype" w:hAnsi="Palatino Linotype"/>
          <w:b/>
          <w:color w:val="000000" w:themeColor="text1"/>
          <w:sz w:val="24"/>
          <w:szCs w:val="24"/>
        </w:rPr>
        <w:t>procedibilidad</w:t>
      </w:r>
      <w:proofErr w:type="spellEnd"/>
      <w:r w:rsidR="0053016B" w:rsidRPr="00A3599E">
        <w:rPr>
          <w:rFonts w:ascii="Palatino Linotype" w:hAnsi="Palatino Linotype"/>
          <w:b/>
          <w:color w:val="000000" w:themeColor="text1"/>
          <w:sz w:val="24"/>
          <w:szCs w:val="24"/>
        </w:rPr>
        <w:t xml:space="preserve"> del recurso.</w:t>
      </w:r>
      <w:bookmarkEnd w:id="71"/>
    </w:p>
    <w:p w14:paraId="1F25624C" w14:textId="77777777" w:rsidR="0053016B" w:rsidRPr="00A3599E" w:rsidRDefault="0053016B" w:rsidP="006F7BEF">
      <w:pPr>
        <w:tabs>
          <w:tab w:val="left" w:pos="426"/>
        </w:tabs>
        <w:suppressAutoHyphens w:val="0"/>
        <w:spacing w:line="360" w:lineRule="auto"/>
        <w:ind w:right="49"/>
        <w:contextualSpacing/>
        <w:jc w:val="both"/>
        <w:rPr>
          <w:rFonts w:ascii="Palatino Linotype" w:hAnsi="Palatino Linotype" w:cs="Arial"/>
          <w:b/>
          <w:lang w:val="es-ES_tradnl"/>
        </w:rPr>
      </w:pPr>
    </w:p>
    <w:p w14:paraId="1B31118E" w14:textId="2E66407A"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b/>
          <w:lang w:val="es-ES_tradnl"/>
        </w:rPr>
      </w:pPr>
      <w:r w:rsidRPr="00A3599E">
        <w:rPr>
          <w:rFonts w:ascii="Palatino Linotype" w:eastAsia="Calibri" w:hAnsi="Palatino Linotype" w:cs="Arial"/>
          <w:lang w:val="es-ES_tradnl"/>
        </w:rPr>
        <w:t xml:space="preserve">Consecuencia de lo anterior, </w:t>
      </w:r>
      <w:bookmarkStart w:id="72" w:name="_Toc445745137"/>
      <w:bookmarkStart w:id="73" w:name="_Toc447699318"/>
      <w:bookmarkStart w:id="74" w:name="_Toc452379730"/>
      <w:bookmarkStart w:id="75" w:name="_Toc459195482"/>
      <w:bookmarkStart w:id="76" w:name="_Toc461555892"/>
      <w:bookmarkStart w:id="77" w:name="_Toc462307689"/>
      <w:bookmarkStart w:id="78" w:name="_Toc473628138"/>
      <w:r w:rsidR="007C47ED">
        <w:rPr>
          <w:rFonts w:ascii="Palatino Linotype" w:eastAsia="Calibri" w:hAnsi="Palatino Linotype" w:cs="Arial"/>
          <w:lang w:val="es-ES_tradnl"/>
        </w:rPr>
        <w:t xml:space="preserve">este Órgano Garante </w:t>
      </w:r>
      <w:r w:rsidRPr="00A3599E">
        <w:rPr>
          <w:rFonts w:ascii="Palatino Linotype" w:eastAsia="Calibri" w:hAnsi="Palatino Linotype" w:cs="Arial"/>
          <w:lang w:val="es-ES_tradnl"/>
        </w:rPr>
        <w:t>advierte que el escrito contiene las formalidades previstas por el artículo 180 último párrafo de la Ley de Transparencia y Acceso a la Información Pública del Estado de México y Municipios, por lo que es procedente que este Instituto de Transparencia, Acceso a la Información Pública y Protección de Datos Personales del Estado de México y Municipios, conozca y resuelva el presente recurso.</w:t>
      </w:r>
    </w:p>
    <w:p w14:paraId="447B3087"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b/>
          <w:lang w:val="es-ES_tradnl"/>
        </w:rPr>
      </w:pPr>
    </w:p>
    <w:p w14:paraId="294DB354" w14:textId="7AAD55D1" w:rsidR="00191180" w:rsidRPr="00A3599E" w:rsidRDefault="00191180" w:rsidP="006F7BEF">
      <w:pPr>
        <w:keepNext/>
        <w:keepLines/>
        <w:suppressAutoHyphens w:val="0"/>
        <w:spacing w:before="240" w:line="360" w:lineRule="auto"/>
        <w:outlineLvl w:val="0"/>
        <w:rPr>
          <w:rFonts w:ascii="Palatino Linotype" w:hAnsi="Palatino Linotype"/>
          <w:lang w:val="es-ES"/>
        </w:rPr>
      </w:pPr>
      <w:bookmarkStart w:id="79" w:name="_Toc103178782"/>
      <w:r w:rsidRPr="00A3599E">
        <w:rPr>
          <w:rFonts w:ascii="Palatino Linotype" w:hAnsi="Palatino Linotype" w:cs="Arial"/>
          <w:b/>
          <w:bCs/>
          <w:lang w:val="es-ES_tradnl"/>
        </w:rPr>
        <w:t>TERCERO.</w:t>
      </w:r>
      <w:r w:rsidR="00D24BE3" w:rsidRPr="00A3599E">
        <w:rPr>
          <w:rFonts w:ascii="Palatino Linotype" w:hAnsi="Palatino Linotype" w:cs="Arial"/>
          <w:b/>
          <w:bCs/>
          <w:lang w:val="es-ES_tradnl"/>
        </w:rPr>
        <w:t xml:space="preserve"> </w:t>
      </w:r>
      <w:r w:rsidRPr="00A3599E">
        <w:rPr>
          <w:rFonts w:ascii="Palatino Linotype" w:eastAsia="Calibri" w:hAnsi="Palatino Linotype"/>
          <w:b/>
          <w:bCs/>
          <w:lang w:val="es-ES"/>
        </w:rPr>
        <w:t xml:space="preserve">Del planteamiento de la </w:t>
      </w:r>
      <w:r w:rsidRPr="00A3599E">
        <w:rPr>
          <w:rFonts w:ascii="Palatino Linotype" w:eastAsia="Calibri" w:hAnsi="Palatino Linotype"/>
          <w:b/>
          <w:bCs/>
          <w:i/>
          <w:lang w:val="es-ES"/>
        </w:rPr>
        <w:t>Litis</w:t>
      </w:r>
      <w:r w:rsidRPr="00A3599E">
        <w:rPr>
          <w:rFonts w:ascii="Palatino Linotype" w:eastAsia="Calibri" w:hAnsi="Palatino Linotype"/>
          <w:b/>
          <w:bCs/>
          <w:lang w:val="es-ES"/>
        </w:rPr>
        <w:t>.</w:t>
      </w:r>
      <w:bookmarkEnd w:id="79"/>
      <w:r w:rsidRPr="00A3599E">
        <w:rPr>
          <w:rFonts w:ascii="Palatino Linotype" w:eastAsia="Calibri" w:hAnsi="Palatino Linotype"/>
          <w:b/>
          <w:bCs/>
          <w:lang w:val="es-ES"/>
        </w:rPr>
        <w:t xml:space="preserve"> </w:t>
      </w:r>
    </w:p>
    <w:bookmarkEnd w:id="72"/>
    <w:bookmarkEnd w:id="73"/>
    <w:bookmarkEnd w:id="74"/>
    <w:bookmarkEnd w:id="75"/>
    <w:bookmarkEnd w:id="76"/>
    <w:bookmarkEnd w:id="77"/>
    <w:bookmarkEnd w:id="78"/>
    <w:p w14:paraId="24E554F7" w14:textId="77777777" w:rsidR="00191180" w:rsidRPr="00A3599E" w:rsidRDefault="00191180" w:rsidP="006F7BEF">
      <w:pPr>
        <w:suppressAutoHyphens w:val="0"/>
        <w:spacing w:before="240" w:after="240" w:line="360" w:lineRule="auto"/>
        <w:ind w:left="426"/>
        <w:contextualSpacing/>
        <w:jc w:val="both"/>
        <w:rPr>
          <w:rFonts w:ascii="Palatino Linotype" w:hAnsi="Palatino Linotype"/>
          <w:lang w:val="es-ES_tradnl"/>
        </w:rPr>
      </w:pPr>
    </w:p>
    <w:p w14:paraId="0CF94B18" w14:textId="6385A740" w:rsidR="00191180" w:rsidRPr="00A3599E" w:rsidRDefault="00A32B16"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lang w:val="es-ES_tradnl"/>
        </w:rPr>
      </w:pPr>
      <w:bookmarkStart w:id="80" w:name="_Toc454968928"/>
      <w:bookmarkStart w:id="81" w:name="_Toc455743517"/>
      <w:bookmarkStart w:id="82" w:name="_Toc458016386"/>
      <w:bookmarkStart w:id="83" w:name="_Toc461555893"/>
      <w:bookmarkStart w:id="84" w:name="_Toc462307690"/>
      <w:bookmarkStart w:id="85" w:name="_Toc475005143"/>
      <w:r w:rsidRPr="00A3599E">
        <w:rPr>
          <w:rFonts w:ascii="Palatino Linotype" w:hAnsi="Palatino Linotype" w:cs="Arial"/>
          <w:lang w:val="es-ES_tradnl"/>
        </w:rPr>
        <w:t>Se requirió</w:t>
      </w:r>
      <w:r w:rsidR="000E63C4" w:rsidRPr="00A3599E">
        <w:rPr>
          <w:rFonts w:ascii="Palatino Linotype" w:hAnsi="Palatino Linotype" w:cs="Arial"/>
          <w:lang w:val="es-ES_tradnl"/>
        </w:rPr>
        <w:t xml:space="preserve"> acceso a información relacionada</w:t>
      </w:r>
      <w:r w:rsidR="00B73105">
        <w:rPr>
          <w:rFonts w:ascii="Palatino Linotype" w:hAnsi="Palatino Linotype" w:cs="Arial"/>
          <w:lang w:val="es-ES_tradnl"/>
        </w:rPr>
        <w:t xml:space="preserve"> con</w:t>
      </w:r>
      <w:r w:rsidR="00F6114F">
        <w:rPr>
          <w:rFonts w:ascii="Palatino Linotype" w:hAnsi="Palatino Linotype" w:cs="Arial"/>
          <w:lang w:val="es-ES_tradnl"/>
        </w:rPr>
        <w:t xml:space="preserve"> diversa información </w:t>
      </w:r>
      <w:r w:rsidR="002312BA">
        <w:rPr>
          <w:rFonts w:ascii="Palatino Linotype" w:hAnsi="Palatino Linotype" w:cs="Arial"/>
          <w:lang w:val="es-ES_tradnl"/>
        </w:rPr>
        <w:t xml:space="preserve">relacionada con </w:t>
      </w:r>
      <w:r w:rsidR="00C060A8">
        <w:rPr>
          <w:rFonts w:ascii="Palatino Linotype" w:hAnsi="Palatino Linotype" w:cs="Arial"/>
          <w:lang w:val="es-ES_tradnl"/>
        </w:rPr>
        <w:t>un</w:t>
      </w:r>
      <w:r w:rsidR="002312BA">
        <w:rPr>
          <w:rFonts w:ascii="Palatino Linotype" w:hAnsi="Palatino Linotype" w:cs="Arial"/>
          <w:lang w:val="es-ES_tradnl"/>
        </w:rPr>
        <w:t xml:space="preserve"> informe de proveedores</w:t>
      </w:r>
      <w:r w:rsidR="003B795B">
        <w:rPr>
          <w:rFonts w:ascii="Palatino Linotype" w:hAnsi="Palatino Linotype" w:cs="Arial"/>
          <w:lang w:val="es-ES_tradnl"/>
        </w:rPr>
        <w:t xml:space="preserve">. </w:t>
      </w:r>
      <w:r w:rsidR="00191180" w:rsidRPr="00A3599E">
        <w:rPr>
          <w:rFonts w:ascii="Palatino Linotype" w:hAnsi="Palatino Linotype" w:cs="Arial"/>
          <w:lang w:val="es-ES_tradnl"/>
        </w:rPr>
        <w:t xml:space="preserve">El </w:t>
      </w:r>
      <w:r w:rsidR="00191180" w:rsidRPr="00A3599E">
        <w:rPr>
          <w:rFonts w:ascii="Palatino Linotype" w:hAnsi="Palatino Linotype" w:cs="Arial"/>
          <w:b/>
          <w:bCs/>
          <w:lang w:val="es-ES_tradnl"/>
        </w:rPr>
        <w:t>SUJETO OBLIGADO</w:t>
      </w:r>
      <w:r w:rsidR="00191180" w:rsidRPr="00A3599E">
        <w:rPr>
          <w:rFonts w:ascii="Palatino Linotype" w:hAnsi="Palatino Linotype" w:cs="Arial"/>
          <w:lang w:val="es-ES_tradnl"/>
        </w:rPr>
        <w:t xml:space="preserve"> no respondió</w:t>
      </w:r>
      <w:r w:rsidR="000313BF" w:rsidRPr="00A3599E">
        <w:rPr>
          <w:rFonts w:ascii="Palatino Linotype" w:hAnsi="Palatino Linotype" w:cs="Arial"/>
          <w:lang w:val="es-ES_tradnl"/>
        </w:rPr>
        <w:t xml:space="preserve"> a la solicitud </w:t>
      </w:r>
      <w:r w:rsidR="000313BF" w:rsidRPr="00A3599E">
        <w:rPr>
          <w:rFonts w:ascii="Palatino Linotype" w:hAnsi="Palatino Linotype" w:cs="Arial"/>
          <w:lang w:val="es-ES_tradnl"/>
        </w:rPr>
        <w:lastRenderedPageBreak/>
        <w:t>de información por lo que, el</w:t>
      </w:r>
      <w:r w:rsidR="00191180" w:rsidRPr="00A3599E">
        <w:rPr>
          <w:rFonts w:ascii="Palatino Linotype" w:hAnsi="Palatino Linotype" w:cs="Arial"/>
          <w:lang w:val="es-ES_tradnl"/>
        </w:rPr>
        <w:t xml:space="preserve"> ahora </w:t>
      </w:r>
      <w:r w:rsidR="00191180" w:rsidRPr="00A3599E">
        <w:rPr>
          <w:rFonts w:ascii="Palatino Linotype" w:hAnsi="Palatino Linotype" w:cs="Arial"/>
          <w:b/>
          <w:bCs/>
          <w:lang w:val="es-ES_tradnl"/>
        </w:rPr>
        <w:t>RECURRENTE</w:t>
      </w:r>
      <w:r w:rsidR="000313BF" w:rsidRPr="00A3599E">
        <w:rPr>
          <w:rFonts w:ascii="Palatino Linotype" w:hAnsi="Palatino Linotype" w:cs="Arial"/>
          <w:b/>
          <w:bCs/>
          <w:lang w:val="es-ES_tradnl"/>
        </w:rPr>
        <w:t>,</w:t>
      </w:r>
      <w:r w:rsidR="00191180" w:rsidRPr="00A3599E">
        <w:rPr>
          <w:rFonts w:ascii="Palatino Linotype" w:hAnsi="Palatino Linotype" w:cs="Arial"/>
          <w:lang w:val="es-ES_tradnl"/>
        </w:rPr>
        <w:t xml:space="preserve"> promovió</w:t>
      </w:r>
      <w:r w:rsidR="002C3A0B" w:rsidRPr="00A3599E">
        <w:rPr>
          <w:rFonts w:ascii="Palatino Linotype" w:hAnsi="Palatino Linotype" w:cs="Arial"/>
          <w:lang w:val="es-ES_tradnl"/>
        </w:rPr>
        <w:t xml:space="preserve"> el recurso de revisión indicado</w:t>
      </w:r>
      <w:r w:rsidR="00191180" w:rsidRPr="00A3599E">
        <w:rPr>
          <w:rFonts w:ascii="Palatino Linotype" w:hAnsi="Palatino Linotype" w:cs="Arial"/>
          <w:lang w:val="es-ES_tradnl"/>
        </w:rPr>
        <w:t xml:space="preserve"> al rubro, y en </w:t>
      </w:r>
      <w:r w:rsidR="002C3A0B" w:rsidRPr="00A3599E">
        <w:rPr>
          <w:rFonts w:ascii="Palatino Linotype" w:hAnsi="Palatino Linotype" w:cs="Arial"/>
          <w:lang w:val="es-ES_tradnl"/>
        </w:rPr>
        <w:t xml:space="preserve">el </w:t>
      </w:r>
      <w:r w:rsidR="00191180" w:rsidRPr="00A3599E">
        <w:rPr>
          <w:rFonts w:ascii="Palatino Linotype" w:hAnsi="Palatino Linotype" w:cs="Arial"/>
          <w:lang w:val="es-ES_tradnl"/>
        </w:rPr>
        <w:t>que señaló por agravios que no se le entregó la información solicitada.</w:t>
      </w:r>
    </w:p>
    <w:p w14:paraId="52C29682"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0E14DB50" w14:textId="41EA5873" w:rsidR="00191180" w:rsidRPr="00A3599E" w:rsidRDefault="00093A2D"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cs="Arial"/>
          <w:lang w:val="es-ES_tradnl"/>
        </w:rPr>
        <w:t xml:space="preserve">En ese sentido, este Órgano Garante </w:t>
      </w:r>
      <w:r w:rsidR="00191180" w:rsidRPr="00A3599E">
        <w:rPr>
          <w:rFonts w:ascii="Palatino Linotype" w:hAnsi="Palatino Linotype" w:cs="Arial"/>
          <w:lang w:val="es-ES_tradnl"/>
        </w:rPr>
        <w:t>advierte que l</w:t>
      </w:r>
      <w:r w:rsidR="002C3A0B" w:rsidRPr="00A3599E">
        <w:rPr>
          <w:rFonts w:ascii="Palatino Linotype" w:hAnsi="Palatino Linotype" w:cs="Arial"/>
          <w:lang w:val="es-ES_tradnl"/>
        </w:rPr>
        <w:t xml:space="preserve">os agravios manifestados por el </w:t>
      </w:r>
      <w:r w:rsidR="00191180" w:rsidRPr="00A3599E">
        <w:rPr>
          <w:rFonts w:ascii="Palatino Linotype" w:hAnsi="Palatino Linotype" w:cs="Arial"/>
          <w:b/>
          <w:bCs/>
          <w:lang w:val="es-ES_tradnl"/>
        </w:rPr>
        <w:t>RECURRENTE</w:t>
      </w:r>
      <w:r w:rsidR="002C3A0B" w:rsidRPr="00A3599E">
        <w:rPr>
          <w:rFonts w:ascii="Palatino Linotype" w:hAnsi="Palatino Linotype" w:cs="Arial"/>
          <w:lang w:val="es-ES_tradnl"/>
        </w:rPr>
        <w:t xml:space="preserve"> a través de</w:t>
      </w:r>
      <w:r w:rsidR="00191180" w:rsidRPr="00A3599E">
        <w:rPr>
          <w:rFonts w:ascii="Palatino Linotype" w:hAnsi="Palatino Linotype" w:cs="Arial"/>
          <w:lang w:val="es-ES_tradnl"/>
        </w:rPr>
        <w:t>l</w:t>
      </w:r>
      <w:r w:rsidR="002C3A0B" w:rsidRPr="00A3599E">
        <w:rPr>
          <w:rFonts w:ascii="Palatino Linotype" w:hAnsi="Palatino Linotype" w:cs="Arial"/>
          <w:lang w:val="es-ES_tradnl"/>
        </w:rPr>
        <w:t xml:space="preserve"> recurso</w:t>
      </w:r>
      <w:r w:rsidR="00191180" w:rsidRPr="00A3599E">
        <w:rPr>
          <w:rFonts w:ascii="Palatino Linotype" w:hAnsi="Palatino Linotype" w:cs="Arial"/>
          <w:lang w:val="es-ES_tradnl"/>
        </w:rPr>
        <w:t xml:space="preserve"> de </w:t>
      </w:r>
      <w:r w:rsidR="00191180" w:rsidRPr="00A3599E">
        <w:rPr>
          <w:rFonts w:ascii="Palatino Linotype" w:hAnsi="Palatino Linotype" w:cs="Arial"/>
          <w:color w:val="000000" w:themeColor="text1"/>
          <w:lang w:val="es-ES_tradnl"/>
        </w:rPr>
        <w:t>revisión</w:t>
      </w:r>
      <w:r w:rsidR="000E63C4" w:rsidRPr="00A3599E">
        <w:rPr>
          <w:rFonts w:ascii="Palatino Linotype" w:hAnsi="Palatino Linotype"/>
          <w:b/>
          <w:bCs/>
          <w:color w:val="000000" w:themeColor="text1"/>
        </w:rPr>
        <w:t xml:space="preserve">, </w:t>
      </w:r>
      <w:r w:rsidR="00191180" w:rsidRPr="00A3599E">
        <w:rPr>
          <w:rFonts w:ascii="Palatino Linotype" w:hAnsi="Palatino Linotype" w:cs="Arial"/>
          <w:color w:val="000000" w:themeColor="text1"/>
          <w:lang w:val="es-ES_tradnl"/>
        </w:rPr>
        <w:t xml:space="preserve">sugieren </w:t>
      </w:r>
      <w:r w:rsidR="00191180" w:rsidRPr="00A3599E">
        <w:rPr>
          <w:rFonts w:ascii="Palatino Linotype" w:hAnsi="Palatino Linotype" w:cs="Arial"/>
          <w:lang w:val="es-ES_tradnl"/>
        </w:rPr>
        <w:t xml:space="preserve">que la omisión del </w:t>
      </w:r>
      <w:r w:rsidR="00191180" w:rsidRPr="00A3599E">
        <w:rPr>
          <w:rFonts w:ascii="Palatino Linotype" w:hAnsi="Palatino Linotype" w:cs="Arial"/>
          <w:b/>
          <w:bCs/>
          <w:lang w:val="es-ES_tradnl"/>
        </w:rPr>
        <w:t>SUJETO OBLIGADO</w:t>
      </w:r>
      <w:r w:rsidR="00191180" w:rsidRPr="00A3599E">
        <w:rPr>
          <w:rFonts w:ascii="Palatino Linotype" w:hAnsi="Palatino Linotype" w:cs="Arial"/>
          <w:lang w:val="es-ES_tradnl"/>
        </w:rPr>
        <w:t xml:space="preserve"> no cumplió con el principio contendido en el artículo 11 de la Ley de Transparencia y Acceso a la Información Pública del Estado de México y Municipios, el cual señala que en la generación, publicación y entrega de información se deberá garantizar que ésta sea </w:t>
      </w:r>
      <w:r w:rsidR="00191180" w:rsidRPr="00A3599E">
        <w:rPr>
          <w:rFonts w:ascii="Palatino Linotype" w:hAnsi="Palatino Linotype" w:cs="Arial"/>
          <w:b/>
          <w:bCs/>
          <w:lang w:val="es-ES_tradnl"/>
        </w:rPr>
        <w:t>oportuna</w:t>
      </w:r>
      <w:r w:rsidR="00191180" w:rsidRPr="00A3599E">
        <w:rPr>
          <w:rFonts w:ascii="Palatino Linotype" w:hAnsi="Palatino Linotype" w:cs="Arial"/>
          <w:lang w:val="es-ES_tradnl"/>
        </w:rPr>
        <w:t>.</w:t>
      </w:r>
    </w:p>
    <w:p w14:paraId="512E369F"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0C54DE2A" w14:textId="4C3376B6"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cs="Arial"/>
          <w:lang w:val="es-ES_tradnl"/>
        </w:rPr>
        <w:t xml:space="preserve">Por lo anterior, la </w:t>
      </w:r>
      <w:r w:rsidRPr="00A3599E">
        <w:rPr>
          <w:rFonts w:ascii="Palatino Linotype" w:hAnsi="Palatino Linotype" w:cs="Arial"/>
          <w:i/>
          <w:lang w:val="es-ES_tradnl"/>
        </w:rPr>
        <w:t>Litis</w:t>
      </w:r>
      <w:r w:rsidRPr="00A3599E">
        <w:rPr>
          <w:rFonts w:ascii="Palatino Linotype" w:hAnsi="Palatino Linotype" w:cs="Arial"/>
          <w:lang w:val="es-ES_tradnl"/>
        </w:rPr>
        <w:t xml:space="preserve"> a resolver en el presente recurso se circunscribe en determinar si el </w:t>
      </w:r>
      <w:r w:rsidRPr="00A3599E">
        <w:rPr>
          <w:rFonts w:ascii="Palatino Linotype" w:hAnsi="Palatino Linotype" w:cs="Arial"/>
          <w:b/>
          <w:bCs/>
          <w:lang w:val="es-ES_tradnl"/>
        </w:rPr>
        <w:t>SUJETO OBLIGADO</w:t>
      </w:r>
      <w:r w:rsidRPr="00A3599E">
        <w:rPr>
          <w:rFonts w:ascii="Palatino Linotype" w:hAnsi="Palatino Linotype" w:cs="Arial"/>
          <w:lang w:val="es-ES_tradnl"/>
        </w:rPr>
        <w:t xml:space="preserve"> actualiza las causales de procedencia del recurso de revisión establecidas en el artículo 179 fracciones I y VII</w:t>
      </w:r>
      <w:r w:rsidR="00780970" w:rsidRPr="00A3599E">
        <w:rPr>
          <w:rStyle w:val="Refdenotaalpie"/>
          <w:rFonts w:ascii="Palatino Linotype" w:hAnsi="Palatino Linotype" w:cs="Arial"/>
          <w:lang w:val="es-ES_tradnl"/>
        </w:rPr>
        <w:footnoteReference w:id="1"/>
      </w:r>
      <w:r w:rsidRPr="00A3599E">
        <w:rPr>
          <w:rFonts w:ascii="Palatino Linotype" w:hAnsi="Palatino Linotype" w:cs="Arial"/>
          <w:lang w:val="es-ES_tradnl"/>
        </w:rPr>
        <w:t xml:space="preserve"> de la Ley de Transparencia y Acceso a la Información Pública del</w:t>
      </w:r>
      <w:r w:rsidR="00780970" w:rsidRPr="00A3599E">
        <w:rPr>
          <w:rFonts w:ascii="Palatino Linotype" w:hAnsi="Palatino Linotype" w:cs="Arial"/>
          <w:lang w:val="es-ES_tradnl"/>
        </w:rPr>
        <w:t xml:space="preserve"> Estado de México y Municipios. </w:t>
      </w:r>
    </w:p>
    <w:p w14:paraId="6D5DFFE7" w14:textId="77777777" w:rsidR="00780970" w:rsidRPr="00A3599E" w:rsidRDefault="00780970" w:rsidP="006F7BEF">
      <w:pPr>
        <w:tabs>
          <w:tab w:val="left" w:pos="426"/>
        </w:tabs>
        <w:suppressAutoHyphens w:val="0"/>
        <w:spacing w:before="240" w:after="240" w:line="360" w:lineRule="auto"/>
        <w:contextualSpacing/>
        <w:jc w:val="both"/>
        <w:rPr>
          <w:rFonts w:ascii="Palatino Linotype" w:hAnsi="Palatino Linotype"/>
          <w:lang w:val="es-ES_tradnl"/>
        </w:rPr>
      </w:pPr>
    </w:p>
    <w:p w14:paraId="2EDB9EAA" w14:textId="67DD06EF" w:rsidR="00191180" w:rsidRPr="00A3599E" w:rsidRDefault="00C1345F" w:rsidP="006F7BEF">
      <w:pPr>
        <w:keepNext/>
        <w:keepLines/>
        <w:suppressAutoHyphens w:val="0"/>
        <w:spacing w:before="240" w:line="360" w:lineRule="auto"/>
        <w:outlineLvl w:val="0"/>
        <w:rPr>
          <w:rFonts w:ascii="Palatino Linotype" w:eastAsia="MS Gothic" w:hAnsi="Palatino Linotype"/>
          <w:lang w:eastAsia="en-US"/>
        </w:rPr>
      </w:pPr>
      <w:bookmarkStart w:id="86" w:name="_Toc103178783"/>
      <w:bookmarkStart w:id="87" w:name="_Toc499659080"/>
      <w:r w:rsidRPr="00A3599E">
        <w:rPr>
          <w:rFonts w:ascii="Palatino Linotype" w:eastAsia="MS Gothic" w:hAnsi="Palatino Linotype"/>
          <w:b/>
          <w:lang w:eastAsia="en-US"/>
        </w:rPr>
        <w:lastRenderedPageBreak/>
        <w:t>CUARTO</w:t>
      </w:r>
      <w:r w:rsidR="00191180" w:rsidRPr="00A3599E">
        <w:rPr>
          <w:rFonts w:ascii="Palatino Linotype" w:eastAsia="MS Gothic" w:hAnsi="Palatino Linotype"/>
          <w:b/>
          <w:lang w:eastAsia="en-US"/>
        </w:rPr>
        <w:t>. Del estudio y resolución del asunto.</w:t>
      </w:r>
      <w:bookmarkEnd w:id="86"/>
    </w:p>
    <w:p w14:paraId="3A62BC72" w14:textId="77777777" w:rsidR="00191180" w:rsidRPr="00A3599E" w:rsidRDefault="00191180" w:rsidP="006F7BEF">
      <w:pPr>
        <w:keepNext/>
        <w:keepLines/>
        <w:suppressAutoHyphens w:val="0"/>
        <w:spacing w:before="40" w:line="360" w:lineRule="auto"/>
        <w:outlineLvl w:val="1"/>
        <w:rPr>
          <w:rFonts w:ascii="Palatino Linotype" w:eastAsia="MS Gothic" w:hAnsi="Palatino Linotype"/>
          <w:b/>
          <w:lang w:val="es-ES_tradnl"/>
        </w:rPr>
      </w:pPr>
    </w:p>
    <w:p w14:paraId="78E42F56" w14:textId="77777777" w:rsidR="00191180" w:rsidRPr="00A3599E" w:rsidRDefault="00191180" w:rsidP="006F7BEF">
      <w:pPr>
        <w:keepNext/>
        <w:keepLines/>
        <w:suppressAutoHyphens w:val="0"/>
        <w:spacing w:before="40" w:after="160" w:line="360" w:lineRule="auto"/>
        <w:jc w:val="both"/>
        <w:outlineLvl w:val="1"/>
        <w:rPr>
          <w:rFonts w:ascii="Palatino Linotype" w:eastAsia="MS Gothic" w:hAnsi="Palatino Linotype"/>
          <w:b/>
          <w:lang w:eastAsia="en-US"/>
        </w:rPr>
      </w:pPr>
      <w:bookmarkStart w:id="88" w:name="_Toc498528948"/>
      <w:bookmarkStart w:id="89" w:name="_Toc103178784"/>
      <w:r w:rsidRPr="00A3599E">
        <w:rPr>
          <w:rFonts w:ascii="Palatino Linotype" w:eastAsia="MS Gothic" w:hAnsi="Palatino Linotype"/>
          <w:b/>
          <w:lang w:eastAsia="en-US"/>
        </w:rPr>
        <w:t>I. Del deber de las autoridades de promover, respetar, proteger y garantizar el derecho de acceso a la información pública.</w:t>
      </w:r>
      <w:bookmarkEnd w:id="88"/>
      <w:bookmarkEnd w:id="89"/>
      <w:r w:rsidRPr="00A3599E">
        <w:rPr>
          <w:rFonts w:ascii="Palatino Linotype" w:eastAsia="MS Gothic" w:hAnsi="Palatino Linotype"/>
          <w:b/>
          <w:lang w:eastAsia="en-US"/>
        </w:rPr>
        <w:t xml:space="preserve"> </w:t>
      </w:r>
    </w:p>
    <w:p w14:paraId="64F8F2D9" w14:textId="77777777" w:rsidR="00191180" w:rsidRPr="00A3599E" w:rsidRDefault="00191180" w:rsidP="006F7BEF">
      <w:pPr>
        <w:suppressAutoHyphens w:val="0"/>
        <w:spacing w:line="360" w:lineRule="auto"/>
        <w:ind w:left="720"/>
        <w:contextualSpacing/>
        <w:rPr>
          <w:rFonts w:ascii="Palatino Linotype" w:eastAsia="MS Mincho" w:hAnsi="Palatino Linotype" w:cs="Arial"/>
          <w:lang w:val="es-ES_tradnl"/>
        </w:rPr>
      </w:pPr>
    </w:p>
    <w:p w14:paraId="3D894B5E"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eastAsia="MS Mincho" w:hAnsi="Palatino Linotype"/>
          <w:color w:val="000000"/>
          <w:lang w:val="es-ES_tradnl"/>
        </w:rPr>
      </w:pPr>
      <w:r w:rsidRPr="00A3599E">
        <w:rPr>
          <w:rFonts w:ascii="Palatino Linotype" w:hAnsi="Palatino Linotype"/>
          <w:lang w:val="es-ES_tradnl"/>
        </w:rPr>
        <w:t xml:space="preserve">Es menester precisar que este </w:t>
      </w:r>
      <w:r w:rsidRPr="00A3599E">
        <w:rPr>
          <w:rFonts w:ascii="Palatino Linotype" w:eastAsia="MS Mincho" w:hAnsi="Palatino Linotype"/>
          <w:color w:val="000000"/>
          <w:lang w:val="es-ES_tradnl"/>
        </w:rPr>
        <w:t xml:space="preserve">Órgano Garante parte de que </w:t>
      </w:r>
      <w:r w:rsidRPr="00A3599E">
        <w:rPr>
          <w:rFonts w:ascii="Palatino Linotype" w:hAnsi="Palatino Linotype" w:cs="Arial"/>
          <w:color w:val="000000"/>
          <w:lang w:val="es-ES_tradnl" w:eastAsia="es-MX"/>
        </w:rPr>
        <w:t>el Derecho de Acceso a la Información Pública, es un derecho humano reconocido en el Pacto de Derechos Civiles y Políticos en su artículo 19.2; en la Convención Americana sobre Derechos Humanos en su artículo 13.1; en el artículo sexto de la Constitución Política de los Estados Unidos Mexicanos y en el artículo quinto de la Particular del Estado de México, por lo que al respecto el</w:t>
      </w:r>
      <w:r w:rsidRPr="00A3599E">
        <w:rPr>
          <w:rFonts w:ascii="Palatino Linotype" w:hAnsi="Palatino Linotype" w:cs="Arial"/>
          <w:color w:val="000000"/>
          <w:lang w:val="es-ES_tradnl"/>
        </w:rPr>
        <w:t xml:space="preserve"> </w:t>
      </w:r>
      <w:r w:rsidRPr="00A3599E">
        <w:rPr>
          <w:rFonts w:ascii="Palatino Linotype" w:hAnsi="Palatino Linotype" w:cs="Arial"/>
          <w:b/>
          <w:color w:val="000000"/>
          <w:lang w:val="es-ES_tradnl"/>
        </w:rPr>
        <w:t>SUJETO OBLIGADO</w:t>
      </w:r>
      <w:r w:rsidRPr="00A3599E">
        <w:rPr>
          <w:rFonts w:ascii="Palatino Linotype" w:hAnsi="Palatino Linotype" w:cs="Arial"/>
          <w:color w:val="000000"/>
          <w:lang w:val="es-ES_tradnl"/>
        </w:rPr>
        <w:t xml:space="preserve"> debe ser cuidadoso del debido cumplimiento de las obligaciones constitucionales que se le imponen, en consecuencia, a todas las autoridades, en el ámbito de su competencia, según lo dispone el tercer párrafo del artículo primero de la </w:t>
      </w:r>
      <w:r w:rsidRPr="00A3599E">
        <w:rPr>
          <w:rFonts w:ascii="Palatino Linotype" w:hAnsi="Palatino Linotype" w:cs="Arial"/>
          <w:b/>
          <w:color w:val="000000"/>
          <w:lang w:val="es-ES_tradnl"/>
        </w:rPr>
        <w:t xml:space="preserve">Constitución Política de los Estados Unidos Mexicanos </w:t>
      </w:r>
      <w:r w:rsidRPr="00A3599E">
        <w:rPr>
          <w:rFonts w:ascii="Palatino Linotype" w:hAnsi="Palatino Linotype" w:cs="Arial"/>
          <w:color w:val="000000"/>
          <w:lang w:val="es-ES_tradnl"/>
        </w:rPr>
        <w:t xml:space="preserve">al señalar la obligación de “promover, </w:t>
      </w:r>
      <w:r w:rsidRPr="00A3599E">
        <w:rPr>
          <w:rFonts w:ascii="Palatino Linotype" w:hAnsi="Palatino Linotype" w:cs="Arial"/>
          <w:b/>
          <w:color w:val="000000"/>
          <w:lang w:val="es-ES_tradnl"/>
        </w:rPr>
        <w:t>respetar</w:t>
      </w:r>
      <w:r w:rsidRPr="00A3599E">
        <w:rPr>
          <w:rFonts w:ascii="Palatino Linotype" w:hAnsi="Palatino Linotype" w:cs="Arial"/>
          <w:color w:val="000000"/>
          <w:lang w:val="es-ES_tradnl"/>
        </w:rPr>
        <w:t xml:space="preserve">, proteger y </w:t>
      </w:r>
      <w:r w:rsidRPr="00A3599E">
        <w:rPr>
          <w:rFonts w:ascii="Palatino Linotype" w:hAnsi="Palatino Linotype" w:cs="Arial"/>
          <w:b/>
          <w:color w:val="000000"/>
          <w:lang w:val="es-ES_tradnl"/>
        </w:rPr>
        <w:t>garantizar</w:t>
      </w:r>
      <w:r w:rsidRPr="00A3599E">
        <w:rPr>
          <w:rFonts w:ascii="Palatino Linotype" w:hAnsi="Palatino Linotype" w:cs="Arial"/>
          <w:color w:val="000000"/>
          <w:lang w:val="es-ES_tradnl"/>
        </w:rPr>
        <w:t xml:space="preserve"> los derechos humanos”, entre los cuales se encuentra dicho derecho. </w:t>
      </w:r>
    </w:p>
    <w:p w14:paraId="571D3B80" w14:textId="77777777" w:rsidR="00191180" w:rsidRPr="00A3599E" w:rsidRDefault="00191180" w:rsidP="006F7BEF">
      <w:pPr>
        <w:tabs>
          <w:tab w:val="left" w:pos="426"/>
        </w:tabs>
        <w:suppressAutoHyphens w:val="0"/>
        <w:spacing w:line="360" w:lineRule="auto"/>
        <w:ind w:right="49"/>
        <w:contextualSpacing/>
        <w:jc w:val="both"/>
        <w:rPr>
          <w:rFonts w:ascii="Palatino Linotype" w:eastAsia="MS Mincho" w:hAnsi="Palatino Linotype"/>
          <w:color w:val="000000"/>
          <w:lang w:val="es-ES_tradnl"/>
        </w:rPr>
      </w:pPr>
    </w:p>
    <w:p w14:paraId="17807BFD"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 xml:space="preserve">Definiendo el Derecho de Acceso a la Información Pública como: </w:t>
      </w:r>
      <w:r w:rsidRPr="00A3599E">
        <w:rPr>
          <w:rFonts w:ascii="Palatino Linotype" w:hAnsi="Palatino Linotype"/>
          <w:i/>
          <w:color w:val="000000"/>
          <w:lang w:val="es-ES_tradnl"/>
        </w:rPr>
        <w:t>La igualdad de oportunidades para recibir, buscar e impartir información</w:t>
      </w:r>
      <w:r w:rsidRPr="00A3599E">
        <w:rPr>
          <w:rFonts w:ascii="Palatino Linotype" w:hAnsi="Palatino Linotype"/>
          <w:i/>
          <w:color w:val="000000"/>
          <w:vertAlign w:val="superscript"/>
          <w:lang w:val="es-ES_tradnl"/>
        </w:rPr>
        <w:footnoteReference w:id="2"/>
      </w:r>
      <w:r w:rsidRPr="00A3599E">
        <w:rPr>
          <w:rFonts w:ascii="Palatino Linotype" w:hAnsi="Palatino Linotype"/>
          <w:i/>
          <w:color w:val="000000"/>
          <w:lang w:val="es-ES_tradnl"/>
        </w:rPr>
        <w:t xml:space="preserve">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w:t>
      </w:r>
      <w:r w:rsidRPr="00A3599E">
        <w:rPr>
          <w:rFonts w:ascii="Palatino Linotype" w:hAnsi="Palatino Linotype"/>
          <w:i/>
          <w:color w:val="000000"/>
          <w:lang w:val="es-ES_tradnl"/>
        </w:rPr>
        <w:lastRenderedPageBreak/>
        <w:t>ámbito federal, estatal y municipal,</w:t>
      </w:r>
      <w:r w:rsidRPr="00A3599E">
        <w:rPr>
          <w:rFonts w:ascii="Palatino Linotype" w:hAnsi="Palatino Linotype"/>
          <w:i/>
          <w:color w:val="000000"/>
          <w:vertAlign w:val="superscript"/>
          <w:lang w:val="es-ES_tradnl"/>
        </w:rPr>
        <w:footnoteReference w:id="3"/>
      </w:r>
      <w:r w:rsidRPr="00A3599E">
        <w:rPr>
          <w:rFonts w:ascii="Palatino Linotype" w:hAnsi="Palatino Linotype"/>
          <w:color w:val="000000"/>
          <w:lang w:val="es-ES_tradnl"/>
        </w:rPr>
        <w:t>que se constituye como una herramienta fundamental para ejercer</w:t>
      </w:r>
      <w:r w:rsidRPr="00A3599E">
        <w:rPr>
          <w:rFonts w:ascii="Palatino Linotype" w:hAnsi="Palatino Linotype"/>
          <w:i/>
          <w:color w:val="000000"/>
          <w:lang w:val="es-ES_tradnl"/>
        </w:rPr>
        <w:t xml:space="preserve"> el control democrático de las gestiones estatales, de forma tal que puedan cuestionar, indagar y considerar si se está dando un adecuado cumplimiento a las funciones públicas,</w:t>
      </w:r>
      <w:r w:rsidRPr="00A3599E">
        <w:rPr>
          <w:rFonts w:ascii="Palatino Linotype" w:hAnsi="Palatino Linotype"/>
          <w:i/>
          <w:color w:val="000000"/>
          <w:vertAlign w:val="superscript"/>
          <w:lang w:val="es-ES_tradnl"/>
        </w:rPr>
        <w:footnoteReference w:id="4"/>
      </w:r>
      <w:r w:rsidRPr="00A3599E">
        <w:rPr>
          <w:rFonts w:ascii="Palatino Linotype" w:hAnsi="Palatino Linotype"/>
          <w:color w:val="000000"/>
          <w:lang w:val="es-ES_tradnl"/>
        </w:rPr>
        <w:t>fomentando</w:t>
      </w:r>
      <w:r w:rsidRPr="00A3599E">
        <w:rPr>
          <w:rFonts w:ascii="Palatino Linotype" w:hAnsi="Palatino Linotype"/>
          <w:i/>
          <w:color w:val="000000"/>
          <w:lang w:val="es-ES_tradnl"/>
        </w:rPr>
        <w:t xml:space="preserve"> la transparencia de las actividades estatales y </w:t>
      </w:r>
      <w:r w:rsidRPr="00A3599E">
        <w:rPr>
          <w:rFonts w:ascii="Palatino Linotype" w:hAnsi="Palatino Linotype"/>
          <w:color w:val="000000"/>
          <w:lang w:val="es-ES_tradnl"/>
        </w:rPr>
        <w:t>promoviendo</w:t>
      </w:r>
      <w:r w:rsidRPr="00A3599E">
        <w:rPr>
          <w:rFonts w:ascii="Palatino Linotype" w:hAnsi="Palatino Linotype"/>
          <w:i/>
          <w:color w:val="000000"/>
          <w:lang w:val="es-ES_tradnl"/>
        </w:rPr>
        <w:t xml:space="preserve"> la responsabilidad de los funcionarios sobre su gestión pública,</w:t>
      </w:r>
      <w:r w:rsidRPr="00A3599E">
        <w:rPr>
          <w:rFonts w:ascii="Palatino Linotype" w:hAnsi="Palatino Linotype"/>
          <w:i/>
          <w:color w:val="000000"/>
          <w:vertAlign w:val="superscript"/>
          <w:lang w:val="es-ES_tradnl"/>
        </w:rPr>
        <w:footnoteReference w:id="5"/>
      </w:r>
      <w:r w:rsidRPr="00A3599E">
        <w:rPr>
          <w:rFonts w:ascii="Palatino Linotype" w:hAnsi="Palatino Linotype"/>
          <w:color w:val="000000"/>
          <w:lang w:val="es-ES_tradnl"/>
        </w:rPr>
        <w:t>que permite</w:t>
      </w:r>
      <w:r w:rsidRPr="00A3599E">
        <w:rPr>
          <w:rFonts w:ascii="Palatino Linotype" w:hAnsi="Palatino Linotype"/>
          <w:i/>
          <w:color w:val="000000"/>
          <w:lang w:val="es-ES_tradnl"/>
        </w:rPr>
        <w:t xml:space="preserve"> saber qué están haciendo los gobiernos por sus pueblos, sin lo cual la verdad languidecería y la participación en el gobierno permanecería fragmentada.</w:t>
      </w:r>
    </w:p>
    <w:p w14:paraId="37214E43" w14:textId="77777777" w:rsidR="00191180" w:rsidRPr="00A3599E" w:rsidRDefault="00191180" w:rsidP="006F7BEF">
      <w:pPr>
        <w:tabs>
          <w:tab w:val="left" w:pos="426"/>
        </w:tabs>
        <w:suppressAutoHyphens w:val="0"/>
        <w:spacing w:line="360" w:lineRule="auto"/>
        <w:contextualSpacing/>
        <w:rPr>
          <w:rFonts w:ascii="Palatino Linotype" w:hAnsi="Palatino Linotype"/>
          <w:lang w:val="es-ES_tradnl"/>
        </w:rPr>
      </w:pPr>
    </w:p>
    <w:p w14:paraId="13C42068"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i/>
          <w:lang w:val="es-ES_tradnl"/>
        </w:rPr>
      </w:pPr>
      <w:r w:rsidRPr="00A3599E">
        <w:rPr>
          <w:rFonts w:ascii="Palatino Linotype" w:hAnsi="Palatino Linotype"/>
          <w:lang w:val="es-ES_tradnl"/>
        </w:rPr>
        <w:t>Por lo anterior, se deduce que el derecho de acceso a la información pública es un derecho humano constitucionalmente reconocido, en consecuencia todas las autoridades en el ámbito de sus competencias, funciones y atribuciones tienen la obligación de respetarlo, protegerlo y garantizarlo.</w:t>
      </w:r>
    </w:p>
    <w:p w14:paraId="661BF4DE"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i/>
          <w:lang w:val="es-ES_tradnl"/>
        </w:rPr>
      </w:pPr>
      <w:r w:rsidRPr="00A3599E">
        <w:rPr>
          <w:rFonts w:ascii="Palatino Linotype" w:hAnsi="Palatino Linotype"/>
          <w:i/>
          <w:lang w:val="es-ES_tradnl"/>
        </w:rPr>
        <w:t xml:space="preserve"> </w:t>
      </w:r>
    </w:p>
    <w:p w14:paraId="598DE69A" w14:textId="46E4F932"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lang w:val="es-ES_tradnl"/>
        </w:rPr>
        <w:t>Por lo tanto, derivado de lo señalado con anterioridad, la actuación</w:t>
      </w:r>
      <w:r w:rsidR="00E20089" w:rsidRPr="00A3599E">
        <w:rPr>
          <w:rFonts w:ascii="Palatino Linotype" w:hAnsi="Palatino Linotype"/>
        </w:rPr>
        <w:t xml:space="preserve"> del</w:t>
      </w:r>
      <w:r w:rsidR="00A3599E" w:rsidRPr="00A3599E">
        <w:rPr>
          <w:rFonts w:ascii="Verdana" w:hAnsi="Verdana"/>
          <w:b/>
          <w:bCs/>
          <w:color w:val="000000"/>
          <w:sz w:val="14"/>
          <w:szCs w:val="14"/>
        </w:rPr>
        <w:t xml:space="preserve"> </w:t>
      </w:r>
      <w:r w:rsidR="004025A2">
        <w:rPr>
          <w:rFonts w:ascii="Palatino Linotype" w:hAnsi="Palatino Linotype"/>
          <w:b/>
          <w:bCs/>
        </w:rPr>
        <w:t xml:space="preserve">SUJETO OBLIGADO </w:t>
      </w:r>
      <w:r w:rsidRPr="00A3599E">
        <w:rPr>
          <w:rFonts w:ascii="Palatino Linotype" w:hAnsi="Palatino Linotype" w:cs="Arial"/>
          <w:lang w:val="es-ES_tradnl"/>
        </w:rPr>
        <w:t xml:space="preserve">constituye una afectación al derecho humano de acceso a la información pública de la particular, toda vez que incumple el mandato constitucional al no dar trámite a las solicitudes y por ello entregar la información ni en respuesta ni en informe justificado, dos momentos procesales que antes del cierre de instrucción de los asuntos a resolver, puede ser entregada la información para reparar el derecho afectado. </w:t>
      </w:r>
    </w:p>
    <w:p w14:paraId="33D488BF" w14:textId="77777777" w:rsidR="00191180" w:rsidRPr="00A3599E" w:rsidRDefault="00191180" w:rsidP="006F7BEF">
      <w:pPr>
        <w:tabs>
          <w:tab w:val="left" w:pos="426"/>
        </w:tabs>
        <w:suppressAutoHyphens w:val="0"/>
        <w:spacing w:line="360" w:lineRule="auto"/>
        <w:contextualSpacing/>
        <w:rPr>
          <w:rFonts w:ascii="Palatino Linotype" w:hAnsi="Palatino Linotype" w:cs="Arial"/>
          <w:lang w:val="es-ES_tradnl"/>
        </w:rPr>
      </w:pPr>
    </w:p>
    <w:p w14:paraId="7B8EE951"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cs="Arial"/>
          <w:lang w:val="es-ES_tradnl"/>
        </w:rPr>
        <w:lastRenderedPageBreak/>
        <w:t xml:space="preserve">Ante tal afectación, el artículo primero Constitucional de forma clara y precisa dispone que como consecuencia de la obligación que tienen las autoridades de promover, respetar, proteger y garantizar el derecho humano; el Estado deberá prevenir, investigar, sancionar y reparar las violaciones a los derechos humanos. </w:t>
      </w:r>
    </w:p>
    <w:p w14:paraId="3499B1C7"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0745E1C2" w14:textId="77777777" w:rsidR="00191180" w:rsidRPr="00A3599E" w:rsidRDefault="00191180" w:rsidP="006F7BEF">
      <w:pPr>
        <w:numPr>
          <w:ilvl w:val="0"/>
          <w:numId w:val="9"/>
        </w:numPr>
        <w:tabs>
          <w:tab w:val="left" w:pos="426"/>
        </w:tabs>
        <w:suppressAutoHyphens w:val="0"/>
        <w:spacing w:before="240" w:after="160" w:line="360" w:lineRule="auto"/>
        <w:ind w:left="0" w:firstLine="0"/>
        <w:contextualSpacing/>
        <w:jc w:val="both"/>
        <w:rPr>
          <w:rFonts w:ascii="Palatino Linotype" w:hAnsi="Palatino Linotype"/>
          <w:lang w:val="es-ES_tradnl"/>
        </w:rPr>
      </w:pPr>
      <w:r w:rsidRPr="00A3599E">
        <w:rPr>
          <w:rFonts w:ascii="Palatino Linotype" w:hAnsi="Palatino Linotype" w:cs="Arial"/>
          <w:lang w:val="es-ES_tradnl"/>
        </w:rPr>
        <w:t xml:space="preserve"> En tal sentido, el derecho de acceso a la información constituye una garantía primaria, tal y como lo señala el artículo 150 de la Ley de Transparencia y Acceso a la Información del Estado de México y Municipios, que además, establece que se regirá </w:t>
      </w:r>
      <w:r w:rsidRPr="00A3599E">
        <w:rPr>
          <w:rFonts w:ascii="Palatino Linotype" w:hAnsi="Palatino Linotype" w:cs="Arial"/>
          <w:i/>
          <w:lang w:val="es-ES_tradnl"/>
        </w:rPr>
        <w:t>por los principios de simplicidad, rapidez gratuidad del procedimiento, auxilio y orientación a los particulares</w:t>
      </w:r>
      <w:r w:rsidRPr="00A3599E">
        <w:rPr>
          <w:rFonts w:ascii="Palatino Linotype" w:hAnsi="Palatino Linotype" w:cs="Arial"/>
          <w:lang w:val="es-ES_tradnl"/>
        </w:rPr>
        <w:t xml:space="preserve">, contemplando el derecho de las personas con discapacidad y hablantes de lengua indígena. </w:t>
      </w:r>
    </w:p>
    <w:p w14:paraId="1EF28760" w14:textId="77777777" w:rsidR="00191180" w:rsidRPr="00A3599E" w:rsidRDefault="00191180" w:rsidP="006F7BEF">
      <w:pPr>
        <w:tabs>
          <w:tab w:val="left" w:pos="426"/>
        </w:tabs>
        <w:suppressAutoHyphens w:val="0"/>
        <w:spacing w:before="240" w:line="360" w:lineRule="auto"/>
        <w:contextualSpacing/>
        <w:jc w:val="both"/>
        <w:rPr>
          <w:rFonts w:ascii="Palatino Linotype" w:hAnsi="Palatino Linotype"/>
          <w:lang w:val="es-ES_tradnl"/>
        </w:rPr>
      </w:pPr>
    </w:p>
    <w:p w14:paraId="594034AE"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 xml:space="preserve">Es así que la </w:t>
      </w:r>
      <w:r w:rsidRPr="00A3599E">
        <w:rPr>
          <w:rFonts w:ascii="Palatino Linotype" w:hAnsi="Palatino Linotype"/>
          <w:b/>
          <w:lang w:val="es-ES_tradnl"/>
        </w:rPr>
        <w:t xml:space="preserve">Ley de Transparencia y Acceso a la Información Pública del Estado de México y Municipios, </w:t>
      </w:r>
      <w:r w:rsidRPr="00A3599E">
        <w:rPr>
          <w:rFonts w:ascii="Palatino Linotype" w:hAnsi="Palatino Linotype"/>
          <w:lang w:val="es-ES_tradnl"/>
        </w:rPr>
        <w:t>cuyo objeto es establecer principios, bases generales y procedimientos para tutelar y garantizar la transparencia y el derecho humano de acceso a la información pública en posesión de los Sujetos Obligados; en su artículo 176</w:t>
      </w:r>
      <w:r w:rsidRPr="00A3599E">
        <w:rPr>
          <w:rFonts w:ascii="Palatino Linotype" w:hAnsi="Palatino Linotype"/>
          <w:b/>
          <w:lang w:val="es-ES_tradnl"/>
        </w:rPr>
        <w:t xml:space="preserve"> </w:t>
      </w:r>
      <w:r w:rsidRPr="00A3599E">
        <w:rPr>
          <w:rFonts w:ascii="Palatino Linotype" w:hAnsi="Palatino Linotype"/>
          <w:lang w:val="es-ES_tradnl"/>
        </w:rPr>
        <w:t xml:space="preserve">establece que </w:t>
      </w:r>
      <w:r w:rsidRPr="00A3599E">
        <w:rPr>
          <w:rFonts w:ascii="Palatino Linotype" w:hAnsi="Palatino Linotype"/>
          <w:b/>
          <w:i/>
          <w:lang w:val="es-ES_tradnl"/>
        </w:rPr>
        <w:t>el recurso de revisión es la garantía secundaria mediante la cual se pretende reparar cualquier posible afectación al derecho de acceso a la información pública</w:t>
      </w:r>
      <w:r w:rsidRPr="00A3599E">
        <w:rPr>
          <w:rFonts w:ascii="Palatino Linotype" w:hAnsi="Palatino Linotype"/>
          <w:bCs/>
          <w:lang w:val="es-ES_tradnl"/>
        </w:rPr>
        <w:t>, s</w:t>
      </w:r>
      <w:r w:rsidRPr="00A3599E">
        <w:rPr>
          <w:rFonts w:ascii="Palatino Linotype" w:hAnsi="Palatino Linotype"/>
          <w:lang w:val="es-ES_tradnl"/>
        </w:rPr>
        <w:t xml:space="preserve">iendo éste el medio a través del cual, este Órgano Garante después de realizar el análisis al procedimiento de acceso a la información, podrá determinar la posible afectación y de ser el caso ordenar la reparación a la violación del derecho en cuestión. </w:t>
      </w:r>
    </w:p>
    <w:p w14:paraId="0F31EA01" w14:textId="77777777" w:rsidR="00191180" w:rsidRPr="00A3599E" w:rsidRDefault="00191180" w:rsidP="006F7BEF">
      <w:pPr>
        <w:tabs>
          <w:tab w:val="left" w:pos="426"/>
        </w:tabs>
        <w:suppressAutoHyphens w:val="0"/>
        <w:spacing w:line="360" w:lineRule="auto"/>
        <w:rPr>
          <w:rFonts w:ascii="Palatino Linotype" w:eastAsia="MS Mincho" w:hAnsi="Palatino Linotype" w:cs="Arial"/>
          <w:lang w:val="es-ES_tradnl"/>
        </w:rPr>
      </w:pPr>
    </w:p>
    <w:p w14:paraId="08EAE655"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eastAsia="Calibri" w:hAnsi="Palatino Linotype"/>
          <w:lang w:val="es-ES_tradnl"/>
        </w:rPr>
      </w:pPr>
      <w:r w:rsidRPr="00A3599E">
        <w:rPr>
          <w:rFonts w:ascii="Palatino Linotype" w:eastAsia="Calibri" w:hAnsi="Palatino Linotype"/>
          <w:lang w:val="es-ES_tradnl"/>
        </w:rPr>
        <w:t xml:space="preserve">Establecido lo anterior, resulta evidente que las razones o motivos de inconformidad hechos valer en el recurso de revisión resultan </w:t>
      </w:r>
      <w:r w:rsidRPr="00A3599E">
        <w:rPr>
          <w:rFonts w:ascii="Palatino Linotype" w:eastAsia="Calibri" w:hAnsi="Palatino Linotype"/>
          <w:b/>
          <w:lang w:val="es-ES_tradnl"/>
        </w:rPr>
        <w:t>fundadas y procedentes</w:t>
      </w:r>
      <w:r w:rsidRPr="00A3599E">
        <w:rPr>
          <w:rFonts w:ascii="Palatino Linotype" w:eastAsia="Calibri" w:hAnsi="Palatino Linotype"/>
          <w:lang w:val="es-ES_tradnl"/>
        </w:rPr>
        <w:t xml:space="preserve">, </w:t>
      </w:r>
      <w:r w:rsidRPr="00A3599E">
        <w:rPr>
          <w:rFonts w:ascii="Palatino Linotype" w:eastAsia="Calibri" w:hAnsi="Palatino Linotype"/>
          <w:lang w:val="es-ES_tradnl"/>
        </w:rPr>
        <w:lastRenderedPageBreak/>
        <w:t xml:space="preserve">debido a que el </w:t>
      </w:r>
      <w:r w:rsidRPr="00A3599E">
        <w:rPr>
          <w:rFonts w:ascii="Palatino Linotype" w:eastAsia="Calibri" w:hAnsi="Palatino Linotype"/>
          <w:b/>
          <w:lang w:val="es-ES_tradnl"/>
        </w:rPr>
        <w:t>SUJETO OBLIGADO</w:t>
      </w:r>
      <w:r w:rsidRPr="00A3599E">
        <w:rPr>
          <w:rFonts w:ascii="Palatino Linotype" w:eastAsia="Calibri" w:hAnsi="Palatino Linotype"/>
          <w:lang w:val="es-ES_tradnl"/>
        </w:rPr>
        <w:t xml:space="preserve"> fue omiso en responder las solicitudes de información en cuestión, es decir, NO proporcionó respuesta alguna, negando así el acceso a cualquier tipo de información sin ofrecer mayores explicaciones, es decir, no fundó ni motivó su omisión, su falta de actuación en relación a sus obligaciones de garantizar el acceso a la información pública. </w:t>
      </w:r>
    </w:p>
    <w:p w14:paraId="369306AC" w14:textId="77777777" w:rsidR="00191180" w:rsidRPr="00A3599E" w:rsidRDefault="00191180" w:rsidP="006F7BEF">
      <w:pPr>
        <w:tabs>
          <w:tab w:val="left" w:pos="426"/>
        </w:tabs>
        <w:suppressAutoHyphens w:val="0"/>
        <w:spacing w:before="240" w:after="240" w:line="360" w:lineRule="auto"/>
        <w:contextualSpacing/>
        <w:jc w:val="both"/>
        <w:rPr>
          <w:rFonts w:ascii="Palatino Linotype" w:eastAsia="Calibri" w:hAnsi="Palatino Linotype"/>
          <w:lang w:val="es-ES_tradnl"/>
        </w:rPr>
      </w:pPr>
    </w:p>
    <w:p w14:paraId="4173CC60" w14:textId="0D9DEF7D"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eastAsia="Calibri" w:hAnsi="Palatino Linotype"/>
          <w:lang w:val="es-ES_tradnl"/>
        </w:rPr>
      </w:pPr>
      <w:r w:rsidRPr="00A3599E">
        <w:rPr>
          <w:rFonts w:ascii="Palatino Linotype" w:eastAsia="Calibri" w:hAnsi="Palatino Linotype"/>
          <w:lang w:val="es-ES_tradnl"/>
        </w:rPr>
        <w:t>Dicha omisión implica un incumplimiento de las obligaciones que la Ley de Transparencia y Acceso a la Información del Estado de M</w:t>
      </w:r>
      <w:r w:rsidR="00E20089" w:rsidRPr="00A3599E">
        <w:rPr>
          <w:rFonts w:ascii="Palatino Linotype" w:eastAsia="Calibri" w:hAnsi="Palatino Linotype"/>
          <w:lang w:val="es-ES_tradnl"/>
        </w:rPr>
        <w:t xml:space="preserve">éxico y Municipios le impone al </w:t>
      </w:r>
      <w:r w:rsidR="00A3599E" w:rsidRPr="00A3599E">
        <w:rPr>
          <w:rFonts w:ascii="Palatino Linotype" w:eastAsia="Calibri" w:hAnsi="Palatino Linotype"/>
          <w:b/>
          <w:bCs/>
        </w:rPr>
        <w:t xml:space="preserve">Ayuntamiento de </w:t>
      </w:r>
      <w:proofErr w:type="spellStart"/>
      <w:r w:rsidR="002312BA">
        <w:rPr>
          <w:rFonts w:ascii="Palatino Linotype" w:eastAsia="Calibri" w:hAnsi="Palatino Linotype"/>
          <w:b/>
          <w:bCs/>
        </w:rPr>
        <w:t>Temamatla</w:t>
      </w:r>
      <w:proofErr w:type="spellEnd"/>
      <w:r w:rsidR="004025A2">
        <w:rPr>
          <w:rFonts w:ascii="Palatino Linotype" w:eastAsia="Calibri" w:hAnsi="Palatino Linotype"/>
          <w:b/>
          <w:bCs/>
        </w:rPr>
        <w:t xml:space="preserve"> </w:t>
      </w:r>
      <w:r w:rsidRPr="00A3599E">
        <w:rPr>
          <w:rFonts w:ascii="Palatino Linotype" w:eastAsia="Calibri" w:hAnsi="Palatino Linotype"/>
          <w:lang w:val="es-ES_tradnl"/>
        </w:rPr>
        <w:t xml:space="preserve">como </w:t>
      </w:r>
      <w:r w:rsidRPr="00A3599E">
        <w:rPr>
          <w:rFonts w:ascii="Palatino Linotype" w:eastAsia="Calibri" w:hAnsi="Palatino Linotype"/>
          <w:b/>
          <w:bCs/>
          <w:lang w:val="es-ES_tradnl"/>
        </w:rPr>
        <w:t>SUJETO OBLIGADO</w:t>
      </w:r>
      <w:r w:rsidRPr="00A3599E">
        <w:rPr>
          <w:rFonts w:ascii="Palatino Linotype" w:eastAsia="Calibri" w:hAnsi="Palatino Linotype"/>
          <w:lang w:val="es-ES_tradnl"/>
        </w:rPr>
        <w:t>, de conformidad con el artículo 23 fracción IV, que a la letra dice:</w:t>
      </w:r>
    </w:p>
    <w:p w14:paraId="12745B31" w14:textId="77777777" w:rsidR="00191180" w:rsidRPr="00A3599E" w:rsidRDefault="00191180" w:rsidP="006F7BEF">
      <w:pPr>
        <w:suppressAutoHyphens w:val="0"/>
        <w:spacing w:line="360" w:lineRule="auto"/>
        <w:ind w:left="720"/>
        <w:contextualSpacing/>
        <w:rPr>
          <w:rFonts w:ascii="Palatino Linotype" w:eastAsia="Calibri" w:hAnsi="Palatino Linotype"/>
          <w:lang w:val="es-ES_tradnl"/>
        </w:rPr>
      </w:pPr>
    </w:p>
    <w:p w14:paraId="14DB11E3" w14:textId="77777777" w:rsidR="00191180" w:rsidRPr="00A3599E" w:rsidRDefault="00191180" w:rsidP="006F7BEF">
      <w:pPr>
        <w:suppressAutoHyphens w:val="0"/>
        <w:spacing w:before="240" w:after="240" w:line="360" w:lineRule="auto"/>
        <w:ind w:left="567" w:right="567"/>
        <w:contextualSpacing/>
        <w:rPr>
          <w:rFonts w:ascii="Palatino Linotype" w:eastAsia="Calibri" w:hAnsi="Palatino Linotype"/>
          <w:b/>
          <w:bCs/>
          <w:i/>
          <w:lang w:val="es-ES_tradnl"/>
        </w:rPr>
      </w:pPr>
      <w:r w:rsidRPr="00A3599E">
        <w:rPr>
          <w:rFonts w:ascii="Palatino Linotype" w:eastAsia="Calibri" w:hAnsi="Palatino Linotype"/>
          <w:b/>
          <w:bCs/>
          <w:i/>
          <w:lang w:val="es-ES_tradnl"/>
        </w:rPr>
        <w:t>“Artículo 23.</w:t>
      </w:r>
      <w:r w:rsidRPr="00A3599E">
        <w:rPr>
          <w:rFonts w:ascii="Palatino Linotype" w:eastAsia="Calibri" w:hAnsi="Palatino Linotype"/>
          <w:bCs/>
          <w:i/>
          <w:lang w:val="es-ES_tradnl"/>
        </w:rPr>
        <w:t xml:space="preserve"> </w:t>
      </w:r>
      <w:r w:rsidRPr="00A3599E">
        <w:rPr>
          <w:rFonts w:ascii="Palatino Linotype" w:eastAsia="Calibri" w:hAnsi="Palatino Linotype"/>
          <w:b/>
          <w:bCs/>
          <w:i/>
          <w:lang w:val="es-ES_tradnl"/>
        </w:rPr>
        <w:t xml:space="preserve">Son sujetos obligados a transparentar y permitir el acceso a su información y proteger los datos personales que obren en su poder: </w:t>
      </w:r>
    </w:p>
    <w:p w14:paraId="0472FCC4" w14:textId="77777777" w:rsidR="00780970" w:rsidRPr="00A3599E" w:rsidRDefault="00780970" w:rsidP="006F7BEF">
      <w:pPr>
        <w:suppressAutoHyphens w:val="0"/>
        <w:spacing w:before="240" w:after="240" w:line="360" w:lineRule="auto"/>
        <w:ind w:left="567" w:right="567"/>
        <w:contextualSpacing/>
        <w:rPr>
          <w:rFonts w:ascii="Palatino Linotype" w:eastAsia="Calibri" w:hAnsi="Palatino Linotype"/>
          <w:b/>
          <w:bCs/>
          <w:i/>
          <w:lang w:val="es-ES_tradnl"/>
        </w:rPr>
      </w:pPr>
    </w:p>
    <w:p w14:paraId="3349F5F3" w14:textId="77777777" w:rsidR="00191180" w:rsidRPr="00A3599E" w:rsidRDefault="00191180" w:rsidP="006F7BEF">
      <w:pPr>
        <w:suppressAutoHyphens w:val="0"/>
        <w:spacing w:before="240" w:after="240" w:line="360" w:lineRule="auto"/>
        <w:ind w:left="567" w:right="567"/>
        <w:contextualSpacing/>
        <w:rPr>
          <w:rFonts w:ascii="Palatino Linotype" w:eastAsia="Calibri" w:hAnsi="Palatino Linotype"/>
          <w:bCs/>
          <w:i/>
          <w:lang w:val="es-ES_tradnl"/>
        </w:rPr>
      </w:pPr>
      <w:r w:rsidRPr="00A3599E">
        <w:rPr>
          <w:rFonts w:ascii="Palatino Linotype" w:eastAsia="Calibri" w:hAnsi="Palatino Linotype"/>
          <w:bCs/>
          <w:i/>
          <w:lang w:val="es-ES_tradnl"/>
        </w:rPr>
        <w:t>(…)</w:t>
      </w:r>
    </w:p>
    <w:p w14:paraId="376D45DE" w14:textId="77777777" w:rsidR="00191180" w:rsidRPr="00A3599E" w:rsidRDefault="00191180" w:rsidP="006F7BEF">
      <w:pPr>
        <w:suppressAutoHyphens w:val="0"/>
        <w:spacing w:before="240" w:after="240" w:line="360" w:lineRule="auto"/>
        <w:ind w:left="567" w:right="567"/>
        <w:contextualSpacing/>
        <w:rPr>
          <w:rFonts w:ascii="Palatino Linotype" w:eastAsia="Calibri" w:hAnsi="Palatino Linotype"/>
          <w:bCs/>
          <w:i/>
          <w:lang w:val="es-ES_tradnl"/>
        </w:rPr>
      </w:pPr>
      <w:r w:rsidRPr="00A3599E">
        <w:rPr>
          <w:rFonts w:ascii="Palatino Linotype" w:eastAsia="Calibri" w:hAnsi="Palatino Linotype"/>
          <w:b/>
          <w:i/>
          <w:lang w:val="es-ES_tradnl"/>
        </w:rPr>
        <w:t>IV.</w:t>
      </w:r>
      <w:r w:rsidRPr="00A3599E">
        <w:rPr>
          <w:rFonts w:ascii="Palatino Linotype" w:eastAsia="Calibri" w:hAnsi="Palatino Linotype"/>
          <w:bCs/>
          <w:i/>
          <w:lang w:val="es-ES_tradnl"/>
        </w:rPr>
        <w:t xml:space="preserve"> </w:t>
      </w:r>
      <w:r w:rsidRPr="00A3599E">
        <w:rPr>
          <w:rFonts w:ascii="Palatino Linotype" w:eastAsia="Calibri" w:hAnsi="Palatino Linotype"/>
          <w:b/>
          <w:i/>
          <w:lang w:val="es-ES_tradnl"/>
        </w:rPr>
        <w:t>Los ayuntamientos</w:t>
      </w:r>
      <w:r w:rsidRPr="00A3599E">
        <w:rPr>
          <w:rFonts w:ascii="Palatino Linotype" w:eastAsia="Calibri" w:hAnsi="Palatino Linotype"/>
          <w:bCs/>
          <w:i/>
          <w:lang w:val="es-ES_tradnl"/>
        </w:rPr>
        <w:t xml:space="preserve"> y las dependencias, organismos, órganos y entidades de la administración municipal;</w:t>
      </w:r>
    </w:p>
    <w:p w14:paraId="761E2046" w14:textId="77777777" w:rsidR="00191180" w:rsidRPr="00A3599E" w:rsidRDefault="00191180" w:rsidP="006F7BEF">
      <w:pPr>
        <w:suppressAutoHyphens w:val="0"/>
        <w:spacing w:before="240" w:after="240" w:line="360" w:lineRule="auto"/>
        <w:ind w:left="567" w:right="567"/>
        <w:contextualSpacing/>
        <w:rPr>
          <w:rFonts w:ascii="Palatino Linotype" w:eastAsia="Calibri" w:hAnsi="Palatino Linotype"/>
          <w:bCs/>
          <w:iCs/>
          <w:lang w:val="es-ES_tradnl"/>
        </w:rPr>
      </w:pPr>
      <w:r w:rsidRPr="00A3599E">
        <w:rPr>
          <w:rFonts w:ascii="Palatino Linotype" w:eastAsia="Calibri" w:hAnsi="Palatino Linotype"/>
          <w:bCs/>
          <w:i/>
          <w:lang w:val="es-ES_tradnl"/>
        </w:rPr>
        <w:t>(…)”</w:t>
      </w:r>
    </w:p>
    <w:p w14:paraId="7CC91A55" w14:textId="77777777" w:rsidR="00191180" w:rsidRPr="00A3599E" w:rsidRDefault="00191180" w:rsidP="006F7BEF">
      <w:pPr>
        <w:suppressAutoHyphens w:val="0"/>
        <w:spacing w:before="240" w:after="240" w:line="360" w:lineRule="auto"/>
        <w:ind w:left="567" w:right="567"/>
        <w:contextualSpacing/>
        <w:rPr>
          <w:rFonts w:ascii="Palatino Linotype" w:eastAsia="Calibri" w:hAnsi="Palatino Linotype"/>
          <w:bCs/>
          <w:iCs/>
          <w:lang w:val="es-ES_tradnl"/>
        </w:rPr>
      </w:pPr>
      <w:r w:rsidRPr="00A3599E">
        <w:rPr>
          <w:rFonts w:ascii="Palatino Linotype" w:eastAsia="Calibri" w:hAnsi="Palatino Linotype"/>
          <w:bCs/>
          <w:iCs/>
          <w:lang w:val="es-ES_tradnl"/>
        </w:rPr>
        <w:t>(Énfasis añadido)</w:t>
      </w:r>
    </w:p>
    <w:p w14:paraId="4A04274A" w14:textId="77777777" w:rsidR="00191180" w:rsidRPr="00A3599E" w:rsidRDefault="00191180" w:rsidP="006F7BEF">
      <w:pPr>
        <w:suppressAutoHyphens w:val="0"/>
        <w:spacing w:line="360" w:lineRule="auto"/>
        <w:ind w:left="720"/>
        <w:contextualSpacing/>
        <w:rPr>
          <w:rFonts w:ascii="Palatino Linotype" w:eastAsia="Calibri" w:hAnsi="Palatino Linotype"/>
          <w:lang w:val="es-ES_tradnl"/>
        </w:rPr>
      </w:pPr>
    </w:p>
    <w:p w14:paraId="1C6417D4" w14:textId="5623B8B1"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eastAsia="Calibri" w:hAnsi="Palatino Linotype"/>
          <w:lang w:val="es-ES_tradnl"/>
        </w:rPr>
      </w:pPr>
      <w:r w:rsidRPr="00A3599E">
        <w:rPr>
          <w:rFonts w:ascii="Palatino Linotype" w:eastAsia="Calibri" w:hAnsi="Palatino Linotype"/>
          <w:lang w:val="es-ES_tradnl"/>
        </w:rPr>
        <w:t xml:space="preserve">Así, en calidad de </w:t>
      </w:r>
      <w:r w:rsidRPr="00A3599E">
        <w:rPr>
          <w:rFonts w:ascii="Palatino Linotype" w:eastAsia="Calibri" w:hAnsi="Palatino Linotype"/>
          <w:b/>
          <w:lang w:val="es-ES_tradnl"/>
        </w:rPr>
        <w:t>SUJETO OBLIGADO</w:t>
      </w:r>
      <w:r w:rsidRPr="00A3599E">
        <w:rPr>
          <w:rFonts w:ascii="Palatino Linotype" w:eastAsia="Calibri" w:hAnsi="Palatino Linotype"/>
          <w:lang w:val="es-ES_tradnl"/>
        </w:rPr>
        <w:t xml:space="preserve">, el </w:t>
      </w:r>
      <w:r w:rsidR="00A3599E" w:rsidRPr="00A3599E">
        <w:rPr>
          <w:rFonts w:ascii="Palatino Linotype" w:eastAsia="Calibri" w:hAnsi="Palatino Linotype"/>
          <w:b/>
          <w:bCs/>
        </w:rPr>
        <w:t xml:space="preserve">Ayuntamiento de </w:t>
      </w:r>
      <w:proofErr w:type="spellStart"/>
      <w:r w:rsidR="002312BA">
        <w:rPr>
          <w:rFonts w:ascii="Palatino Linotype" w:eastAsia="Calibri" w:hAnsi="Palatino Linotype"/>
          <w:b/>
          <w:bCs/>
        </w:rPr>
        <w:t>Temamatla</w:t>
      </w:r>
      <w:proofErr w:type="spellEnd"/>
      <w:r w:rsidR="002312BA">
        <w:rPr>
          <w:rFonts w:ascii="Palatino Linotype" w:eastAsia="Calibri" w:hAnsi="Palatino Linotype"/>
          <w:b/>
          <w:bCs/>
        </w:rPr>
        <w:t xml:space="preserve"> </w:t>
      </w:r>
      <w:r w:rsidRPr="00A3599E">
        <w:rPr>
          <w:rFonts w:ascii="Palatino Linotype" w:eastAsia="Calibri" w:hAnsi="Palatino Linotype"/>
          <w:lang w:val="es-ES_tradnl"/>
        </w:rPr>
        <w:t xml:space="preserve">se encuentra constreñido a respetar y cumplir el Derecho Humano de Acceso a la Información Pública consignado de igual forma como ya se refirió por la Constitución </w:t>
      </w:r>
      <w:r w:rsidRPr="00A3599E">
        <w:rPr>
          <w:rFonts w:ascii="Palatino Linotype" w:eastAsia="Calibri" w:hAnsi="Palatino Linotype"/>
          <w:lang w:val="es-ES_tradnl"/>
        </w:rPr>
        <w:lastRenderedPageBreak/>
        <w:t xml:space="preserve">Política de los Estados Unidos Mexicanos y la Constitución Política del Estado Libre y Soberano de México respectivamente: </w:t>
      </w:r>
    </w:p>
    <w:p w14:paraId="46F2E09B" w14:textId="77777777" w:rsidR="00191180" w:rsidRPr="00A3599E" w:rsidRDefault="00191180" w:rsidP="006F7BEF">
      <w:pPr>
        <w:suppressAutoHyphens w:val="0"/>
        <w:spacing w:before="240" w:after="240" w:line="360" w:lineRule="auto"/>
        <w:contextualSpacing/>
        <w:jc w:val="both"/>
        <w:rPr>
          <w:rFonts w:ascii="Palatino Linotype" w:eastAsia="Calibri" w:hAnsi="Palatino Linotype"/>
          <w:lang w:val="es-ES_tradnl"/>
        </w:rPr>
      </w:pPr>
    </w:p>
    <w:p w14:paraId="6E9F63D0" w14:textId="77777777" w:rsidR="00191180" w:rsidRPr="00A3599E" w:rsidRDefault="00191180" w:rsidP="006F7BEF">
      <w:pPr>
        <w:suppressAutoHyphens w:val="0"/>
        <w:spacing w:line="360" w:lineRule="auto"/>
        <w:ind w:left="567" w:right="567"/>
        <w:jc w:val="center"/>
        <w:rPr>
          <w:rFonts w:ascii="Palatino Linotype" w:hAnsi="Palatino Linotype" w:cs="Arial"/>
          <w:b/>
          <w:bCs/>
          <w:i/>
          <w:lang w:val="es-ES_tradnl"/>
        </w:rPr>
      </w:pPr>
      <w:r w:rsidRPr="00A3599E">
        <w:rPr>
          <w:rFonts w:ascii="Palatino Linotype" w:hAnsi="Palatino Linotype" w:cs="Arial"/>
          <w:b/>
          <w:bCs/>
          <w:i/>
          <w:lang w:val="es-ES_tradnl"/>
        </w:rPr>
        <w:t>Constitución Política de los Estados Unidos Mexicanos</w:t>
      </w:r>
    </w:p>
    <w:p w14:paraId="73C503AB"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p>
    <w:p w14:paraId="682AA08B" w14:textId="77777777" w:rsidR="00191180" w:rsidRPr="00A3599E" w:rsidRDefault="00191180" w:rsidP="006F7BEF">
      <w:pPr>
        <w:suppressAutoHyphens w:val="0"/>
        <w:spacing w:line="360" w:lineRule="auto"/>
        <w:ind w:left="567" w:right="567"/>
        <w:jc w:val="both"/>
        <w:rPr>
          <w:rFonts w:ascii="Palatino Linotype" w:hAnsi="Palatino Linotype" w:cs="Arial"/>
          <w:b/>
          <w:bCs/>
          <w:i/>
          <w:lang w:val="es-ES_tradnl"/>
        </w:rPr>
      </w:pPr>
      <w:r w:rsidRPr="00A3599E">
        <w:rPr>
          <w:rFonts w:ascii="Palatino Linotype" w:hAnsi="Palatino Linotype" w:cs="Arial"/>
          <w:b/>
          <w:bCs/>
          <w:i/>
          <w:lang w:val="es-ES_tradnl"/>
        </w:rPr>
        <w:t>“Artículo 6.</w:t>
      </w:r>
      <w:r w:rsidRPr="00A3599E">
        <w:rPr>
          <w:rFonts w:ascii="Palatino Linotype" w:hAnsi="Palatino Linotype" w:cs="Arial"/>
          <w:bCs/>
          <w:i/>
          <w:lang w:val="es-ES_tradnl"/>
        </w:rPr>
        <w:t xml:space="preserve"> …</w:t>
      </w:r>
    </w:p>
    <w:p w14:paraId="465DE437" w14:textId="1E9D48D1" w:rsidR="00191180" w:rsidRPr="00A3599E" w:rsidRDefault="0078097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Cs/>
          <w:i/>
          <w:lang w:val="es-ES_tradnl"/>
        </w:rPr>
        <w:t>(</w:t>
      </w:r>
      <w:r w:rsidR="00191180" w:rsidRPr="00A3599E">
        <w:rPr>
          <w:rFonts w:ascii="Palatino Linotype" w:hAnsi="Palatino Linotype" w:cs="Arial"/>
          <w:bCs/>
          <w:i/>
          <w:lang w:val="es-ES_tradnl"/>
        </w:rPr>
        <w:t>…</w:t>
      </w:r>
      <w:r w:rsidRPr="00A3599E">
        <w:rPr>
          <w:rFonts w:ascii="Palatino Linotype" w:hAnsi="Palatino Linotype" w:cs="Arial"/>
          <w:bCs/>
          <w:i/>
          <w:lang w:val="es-ES_tradnl"/>
        </w:rPr>
        <w:t>)</w:t>
      </w:r>
    </w:p>
    <w:p w14:paraId="12FF37BF" w14:textId="77777777" w:rsidR="00780970" w:rsidRPr="00A3599E" w:rsidRDefault="00780970" w:rsidP="006F7BEF">
      <w:pPr>
        <w:suppressAutoHyphens w:val="0"/>
        <w:spacing w:line="360" w:lineRule="auto"/>
        <w:ind w:left="567" w:right="567"/>
        <w:jc w:val="both"/>
        <w:rPr>
          <w:rFonts w:ascii="Palatino Linotype" w:hAnsi="Palatino Linotype" w:cs="Arial"/>
          <w:bCs/>
          <w:i/>
          <w:lang w:val="es-ES_tradnl"/>
        </w:rPr>
      </w:pPr>
    </w:p>
    <w:p w14:paraId="1B08E527"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Cs/>
          <w:i/>
          <w:lang w:val="es-ES_tradnl"/>
        </w:rPr>
        <w:t>Para efectos de lo dispuesto en el presente artículo se observará lo siguiente:</w:t>
      </w:r>
    </w:p>
    <w:p w14:paraId="3F4BD479" w14:textId="77777777" w:rsidR="00191180" w:rsidRPr="00A3599E" w:rsidRDefault="00191180" w:rsidP="006F7BEF">
      <w:pPr>
        <w:suppressAutoHyphens w:val="0"/>
        <w:spacing w:line="360" w:lineRule="auto"/>
        <w:ind w:left="567" w:right="567"/>
        <w:jc w:val="both"/>
        <w:rPr>
          <w:rFonts w:ascii="Palatino Linotype" w:hAnsi="Palatino Linotype" w:cs="Arial"/>
          <w:b/>
          <w:bCs/>
          <w:i/>
          <w:lang w:val="es-ES_tradnl"/>
        </w:rPr>
      </w:pPr>
      <w:r w:rsidRPr="00A3599E">
        <w:rPr>
          <w:rFonts w:ascii="Palatino Linotype" w:hAnsi="Palatino Linotype" w:cs="Arial"/>
          <w:b/>
          <w:bCs/>
          <w:i/>
          <w:lang w:val="es-ES_tradnl"/>
        </w:rPr>
        <w:t>A</w:t>
      </w:r>
      <w:r w:rsidRPr="00A3599E">
        <w:rPr>
          <w:rFonts w:ascii="Palatino Linotype" w:hAnsi="Palatino Linotype" w:cs="Arial"/>
          <w:bCs/>
          <w:i/>
          <w:lang w:val="es-ES_tradnl"/>
        </w:rPr>
        <w:t xml:space="preserve">. </w:t>
      </w:r>
      <w:r w:rsidRPr="00A3599E">
        <w:rPr>
          <w:rFonts w:ascii="Palatino Linotype" w:hAnsi="Palatino Linotype" w:cs="Arial"/>
          <w:b/>
          <w:bCs/>
          <w:i/>
          <w:lang w:val="es-ES_tradnl"/>
        </w:rPr>
        <w:t>Para el ejercicio del derecho de acceso a la información</w:t>
      </w:r>
      <w:r w:rsidRPr="00A3599E">
        <w:rPr>
          <w:rFonts w:ascii="Palatino Linotype" w:hAnsi="Palatino Linotype" w:cs="Arial"/>
          <w:bCs/>
          <w:i/>
          <w:lang w:val="es-ES_tradnl"/>
        </w:rPr>
        <w:t xml:space="preserve">, la Federación y </w:t>
      </w:r>
      <w:r w:rsidRPr="00A3599E">
        <w:rPr>
          <w:rFonts w:ascii="Palatino Linotype" w:hAnsi="Palatino Linotype" w:cs="Arial"/>
          <w:b/>
          <w:bCs/>
          <w:i/>
          <w:lang w:val="es-ES_tradnl"/>
        </w:rPr>
        <w:t>las entidades federativas, en el ámbito de sus respectivas competencias, se regirán por los siguientes principios y bases:</w:t>
      </w:r>
    </w:p>
    <w:p w14:paraId="5B22EE7C" w14:textId="77777777" w:rsidR="00191180" w:rsidRPr="00A3599E" w:rsidRDefault="00191180" w:rsidP="006F7BEF">
      <w:pPr>
        <w:suppressAutoHyphens w:val="0"/>
        <w:spacing w:line="360" w:lineRule="auto"/>
        <w:ind w:left="567" w:right="567"/>
        <w:jc w:val="both"/>
        <w:rPr>
          <w:rFonts w:ascii="Palatino Linotype" w:hAnsi="Palatino Linotype" w:cs="Arial"/>
          <w:b/>
          <w:bCs/>
          <w:i/>
          <w:lang w:val="es-ES_tradnl"/>
        </w:rPr>
      </w:pPr>
    </w:p>
    <w:p w14:paraId="662404A7"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
          <w:bCs/>
          <w:i/>
          <w:lang w:val="es-ES_tradnl"/>
        </w:rPr>
        <w:t xml:space="preserve">I. </w:t>
      </w:r>
      <w:r w:rsidRPr="00A3599E">
        <w:rPr>
          <w:rFonts w:ascii="Palatino Linotype" w:hAnsi="Palatino Linotype" w:cs="Arial"/>
          <w:b/>
          <w:bCs/>
          <w:i/>
          <w:lang w:val="es-ES_tradnl"/>
        </w:rPr>
        <w:tab/>
        <w:t>Toda la información en posesión de cualquier</w:t>
      </w:r>
      <w:r w:rsidRPr="00A3599E">
        <w:rPr>
          <w:rFonts w:ascii="Palatino Linotype" w:hAnsi="Palatino Linotype" w:cs="Arial"/>
          <w:bCs/>
          <w:i/>
          <w:lang w:val="es-ES_tradnl"/>
        </w:rPr>
        <w:t xml:space="preserve"> </w:t>
      </w:r>
      <w:r w:rsidRPr="00A3599E">
        <w:rPr>
          <w:rFonts w:ascii="Palatino Linotype" w:hAnsi="Palatino Linotype" w:cs="Arial"/>
          <w:b/>
          <w:bCs/>
          <w:i/>
          <w:lang w:val="es-ES_tradnl"/>
        </w:rPr>
        <w:t>autoridad</w:t>
      </w:r>
      <w:r w:rsidRPr="00A3599E">
        <w:rPr>
          <w:rFonts w:ascii="Palatino Linotype" w:hAnsi="Palatino Linotype" w:cs="Arial"/>
          <w:bCs/>
          <w:i/>
          <w:lang w:val="es-ES_tradnl"/>
        </w:rPr>
        <w:t xml:space="preserve">,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w:t>
      </w:r>
      <w:r w:rsidRPr="00A3599E">
        <w:rPr>
          <w:rFonts w:ascii="Palatino Linotype" w:hAnsi="Palatino Linotype" w:cs="Arial"/>
          <w:b/>
          <w:bCs/>
          <w:i/>
          <w:lang w:val="es-ES_tradnl"/>
        </w:rPr>
        <w:t>municipal</w:t>
      </w:r>
      <w:r w:rsidRPr="00A3599E">
        <w:rPr>
          <w:rFonts w:ascii="Palatino Linotype" w:hAnsi="Palatino Linotype" w:cs="Arial"/>
          <w:bCs/>
          <w:i/>
          <w:lang w:val="es-ES_tradnl"/>
        </w:rPr>
        <w:t xml:space="preserve">, </w:t>
      </w:r>
      <w:r w:rsidRPr="00A3599E">
        <w:rPr>
          <w:rFonts w:ascii="Palatino Linotype" w:hAnsi="Palatino Linotype" w:cs="Arial"/>
          <w:b/>
          <w:bCs/>
          <w:i/>
          <w:lang w:val="es-ES_tradnl"/>
        </w:rPr>
        <w:t>es pública</w:t>
      </w:r>
      <w:r w:rsidRPr="00A3599E">
        <w:rPr>
          <w:rFonts w:ascii="Palatino Linotype" w:hAnsi="Palatino Linotype" w:cs="Arial"/>
          <w:bCs/>
          <w:i/>
          <w:lang w:val="es-ES_tradnl"/>
        </w:rPr>
        <w:t xml:space="preserve"> y sólo podrá ser reservada temporalmente por razones de interés público y seguridad nacional, en los términos que fijen las leyes. </w:t>
      </w:r>
      <w:r w:rsidRPr="00A3599E">
        <w:rPr>
          <w:rFonts w:ascii="Palatino Linotype" w:hAnsi="Palatino Linotype" w:cs="Arial"/>
          <w:b/>
          <w:bCs/>
          <w:i/>
          <w:lang w:val="es-ES_tradnl"/>
        </w:rPr>
        <w:t>En la interpretación de este derecho deberá prevalecer el principio de máxima publicidad. Los sujetos obligados deberán documentar todo acto que derive del ejercicio de sus facultades, competencias o funciones</w:t>
      </w:r>
      <w:r w:rsidRPr="00A3599E">
        <w:rPr>
          <w:rFonts w:ascii="Palatino Linotype" w:hAnsi="Palatino Linotype" w:cs="Arial"/>
          <w:bCs/>
          <w:i/>
          <w:lang w:val="es-ES_tradnl"/>
        </w:rPr>
        <w:t>, la ley determinará los supuestos específicos bajo los cuales procederá la declaración de inexistencia de la información.”</w:t>
      </w:r>
    </w:p>
    <w:p w14:paraId="0ED3734E"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Cs/>
          <w:i/>
          <w:lang w:val="es-ES_tradnl"/>
        </w:rPr>
        <w:lastRenderedPageBreak/>
        <w:t xml:space="preserve">(Énfasis añadido) </w:t>
      </w:r>
    </w:p>
    <w:p w14:paraId="44FE357A" w14:textId="77777777" w:rsidR="00191180" w:rsidRPr="00A3599E" w:rsidRDefault="00191180" w:rsidP="006F7BEF">
      <w:pPr>
        <w:suppressAutoHyphens w:val="0"/>
        <w:spacing w:line="360" w:lineRule="auto"/>
        <w:ind w:right="567"/>
        <w:jc w:val="both"/>
        <w:rPr>
          <w:rFonts w:ascii="Palatino Linotype" w:hAnsi="Palatino Linotype" w:cs="Arial"/>
          <w:b/>
          <w:bCs/>
          <w:i/>
          <w:lang w:val="es-ES_tradnl"/>
        </w:rPr>
      </w:pPr>
    </w:p>
    <w:p w14:paraId="67565F7C" w14:textId="77777777" w:rsidR="00191180" w:rsidRPr="00A3599E" w:rsidRDefault="00191180" w:rsidP="006F7BEF">
      <w:pPr>
        <w:suppressAutoHyphens w:val="0"/>
        <w:spacing w:line="360" w:lineRule="auto"/>
        <w:ind w:left="567" w:right="567"/>
        <w:jc w:val="center"/>
        <w:rPr>
          <w:rFonts w:ascii="Palatino Linotype" w:hAnsi="Palatino Linotype" w:cs="Arial"/>
          <w:b/>
          <w:bCs/>
          <w:i/>
          <w:lang w:val="es-ES_tradnl"/>
        </w:rPr>
      </w:pPr>
      <w:r w:rsidRPr="00A3599E">
        <w:rPr>
          <w:rFonts w:ascii="Palatino Linotype" w:hAnsi="Palatino Linotype" w:cs="Arial"/>
          <w:b/>
          <w:bCs/>
          <w:i/>
          <w:lang w:val="es-ES_tradnl"/>
        </w:rPr>
        <w:t>Constitución Política del Estado Libre y Soberano de México</w:t>
      </w:r>
    </w:p>
    <w:p w14:paraId="0E3479DB" w14:textId="77777777" w:rsidR="00B45C3B" w:rsidRPr="00A3599E" w:rsidRDefault="00B45C3B" w:rsidP="006F7BEF">
      <w:pPr>
        <w:suppressAutoHyphens w:val="0"/>
        <w:spacing w:line="360" w:lineRule="auto"/>
        <w:ind w:right="567"/>
        <w:jc w:val="both"/>
        <w:rPr>
          <w:rFonts w:ascii="Palatino Linotype" w:hAnsi="Palatino Linotype" w:cs="Arial"/>
          <w:b/>
          <w:bCs/>
          <w:i/>
          <w:lang w:val="es-ES_tradnl"/>
        </w:rPr>
      </w:pPr>
    </w:p>
    <w:p w14:paraId="733F5C93" w14:textId="0E338940" w:rsidR="00B45C3B"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
          <w:bCs/>
          <w:i/>
          <w:lang w:val="es-ES_tradnl"/>
        </w:rPr>
        <w:t>“Artículo 5</w:t>
      </w:r>
      <w:r w:rsidR="00B45C3B" w:rsidRPr="00A3599E">
        <w:rPr>
          <w:rFonts w:ascii="Palatino Linotype" w:hAnsi="Palatino Linotype" w:cs="Arial"/>
          <w:bCs/>
          <w:i/>
          <w:lang w:val="es-ES_tradnl"/>
        </w:rPr>
        <w:t>.-</w:t>
      </w:r>
    </w:p>
    <w:p w14:paraId="5D84D977" w14:textId="76068593" w:rsidR="00191180" w:rsidRPr="00A3599E" w:rsidRDefault="00B45C3B"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Cs/>
          <w:i/>
          <w:lang w:val="es-ES_tradnl"/>
        </w:rPr>
        <w:t>(</w:t>
      </w:r>
      <w:r w:rsidR="00191180" w:rsidRPr="00A3599E">
        <w:rPr>
          <w:rFonts w:ascii="Palatino Linotype" w:hAnsi="Palatino Linotype" w:cs="Arial"/>
          <w:bCs/>
          <w:i/>
          <w:lang w:val="es-ES_tradnl"/>
        </w:rPr>
        <w:t>…</w:t>
      </w:r>
      <w:r w:rsidRPr="00A3599E">
        <w:rPr>
          <w:rFonts w:ascii="Palatino Linotype" w:hAnsi="Palatino Linotype" w:cs="Arial"/>
          <w:bCs/>
          <w:i/>
          <w:lang w:val="es-ES_tradnl"/>
        </w:rPr>
        <w:t>)</w:t>
      </w:r>
    </w:p>
    <w:p w14:paraId="4C97892A"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
          <w:bCs/>
          <w:i/>
          <w:lang w:val="es-ES_tradnl"/>
        </w:rPr>
        <w:t>El derecho a la información será garantizado por el Estado. La ley establecerá las previsiones que permitan asegurar la protección, el respeto y la difusión de este derecho</w:t>
      </w:r>
      <w:r w:rsidRPr="00A3599E">
        <w:rPr>
          <w:rFonts w:ascii="Palatino Linotype" w:hAnsi="Palatino Linotype" w:cs="Arial"/>
          <w:bCs/>
          <w:i/>
          <w:lang w:val="es-ES_tradnl"/>
        </w:rPr>
        <w:t>.</w:t>
      </w:r>
    </w:p>
    <w:p w14:paraId="6C75EF6A"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Cs/>
          <w:i/>
          <w:lang w:val="es-ES_tradnl"/>
        </w:rPr>
        <w:t>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w:t>
      </w:r>
    </w:p>
    <w:p w14:paraId="036EA993"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
          <w:bCs/>
          <w:i/>
          <w:lang w:val="es-ES_tradnl"/>
        </w:rPr>
        <w:t>Este derecho se regirá por los principios y bases siguientes</w:t>
      </w:r>
      <w:r w:rsidRPr="00A3599E">
        <w:rPr>
          <w:rFonts w:ascii="Palatino Linotype" w:hAnsi="Palatino Linotype" w:cs="Arial"/>
          <w:bCs/>
          <w:i/>
          <w:lang w:val="es-ES_tradnl"/>
        </w:rPr>
        <w:t>:</w:t>
      </w:r>
    </w:p>
    <w:p w14:paraId="476C2DD1"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
          <w:bCs/>
          <w:i/>
          <w:lang w:val="es-ES_tradnl"/>
        </w:rPr>
        <w:t>I. Toda la información en posesión de cualquier autoridad, entidad, órgano y organismos de los</w:t>
      </w:r>
      <w:r w:rsidRPr="00A3599E">
        <w:rPr>
          <w:rFonts w:ascii="Palatino Linotype" w:hAnsi="Palatino Linotype" w:cs="Arial"/>
          <w:bCs/>
          <w:i/>
          <w:lang w:val="es-ES_tradnl"/>
        </w:rPr>
        <w:t xml:space="preserve"> Poderes Ejecutivo, Legislativo y Judicial, órganos autónomos, partidos políticos, fideicomisos y fondos públicos estatales y </w:t>
      </w:r>
      <w:r w:rsidRPr="00A3599E">
        <w:rPr>
          <w:rFonts w:ascii="Palatino Linotype" w:hAnsi="Palatino Linotype" w:cs="Arial"/>
          <w:b/>
          <w:bCs/>
          <w:i/>
          <w:lang w:val="es-ES_tradnl"/>
        </w:rPr>
        <w:t>municipales</w:t>
      </w:r>
      <w:r w:rsidRPr="00A3599E">
        <w:rPr>
          <w:rFonts w:ascii="Palatino Linotype" w:hAnsi="Palatino Linotype" w:cs="Arial"/>
          <w:bCs/>
          <w:i/>
          <w:lang w:val="es-ES_tradnl"/>
        </w:rPr>
        <w:t xml:space="preserve">, así como del gobierno y de la administración pública municipal y sus organismos descentralizados, asimismo de cualquier persona física, jurídica colectiva o sindicato que reciba y ejerza recursos públicos o realice actos de autoridad en el ámbito estatal y municipal, </w:t>
      </w:r>
      <w:r w:rsidRPr="00A3599E">
        <w:rPr>
          <w:rFonts w:ascii="Palatino Linotype" w:hAnsi="Palatino Linotype" w:cs="Arial"/>
          <w:b/>
          <w:bCs/>
          <w:i/>
          <w:lang w:val="es-ES_tradnl"/>
        </w:rPr>
        <w:t>es pública</w:t>
      </w:r>
      <w:r w:rsidRPr="00A3599E">
        <w:rPr>
          <w:rFonts w:ascii="Palatino Linotype" w:hAnsi="Palatino Linotype" w:cs="Arial"/>
          <w:bCs/>
          <w:i/>
          <w:lang w:val="es-ES_tradnl"/>
        </w:rPr>
        <w:t xml:space="preserve"> y sólo podrá ser reservada temporalmente por razones previstas en la Constitución Política de los Estados Unidos Mexicanos de interés público y seguridad, en los términos que fijen las leyes. </w:t>
      </w:r>
      <w:r w:rsidRPr="00A3599E">
        <w:rPr>
          <w:rFonts w:ascii="Palatino Linotype" w:hAnsi="Palatino Linotype" w:cs="Arial"/>
          <w:b/>
          <w:bCs/>
          <w:i/>
          <w:lang w:val="es-ES_tradnl"/>
        </w:rPr>
        <w:t>En la interpretación de este derecho deberá prevalecer el principio de máxima publicidad</w:t>
      </w:r>
      <w:r w:rsidRPr="00A3599E">
        <w:rPr>
          <w:rFonts w:ascii="Palatino Linotype" w:hAnsi="Palatino Linotype" w:cs="Arial"/>
          <w:bCs/>
          <w:i/>
          <w:lang w:val="es-ES_tradnl"/>
        </w:rPr>
        <w:t xml:space="preserve">. </w:t>
      </w:r>
      <w:r w:rsidRPr="00A3599E">
        <w:rPr>
          <w:rFonts w:ascii="Palatino Linotype" w:hAnsi="Palatino Linotype" w:cs="Arial"/>
          <w:b/>
          <w:bCs/>
          <w:i/>
          <w:lang w:val="es-ES_tradnl"/>
        </w:rPr>
        <w:t xml:space="preserve">Los </w:t>
      </w:r>
      <w:r w:rsidRPr="00A3599E">
        <w:rPr>
          <w:rFonts w:ascii="Palatino Linotype" w:hAnsi="Palatino Linotype" w:cs="Arial"/>
          <w:b/>
          <w:bCs/>
          <w:i/>
          <w:lang w:val="es-ES_tradnl"/>
        </w:rPr>
        <w:lastRenderedPageBreak/>
        <w:t>sujetos obligados deberán documentar todo acto que derive del ejercicio de sus facultades, competencias o funciones</w:t>
      </w:r>
      <w:r w:rsidRPr="00A3599E">
        <w:rPr>
          <w:rFonts w:ascii="Palatino Linotype" w:hAnsi="Palatino Linotype" w:cs="Arial"/>
          <w:bCs/>
          <w:i/>
          <w:lang w:val="es-ES_tradnl"/>
        </w:rPr>
        <w:t>, la ley determinará los supuestos específicos bajo los cuales procederá la declaración de inexistencia de la información.”</w:t>
      </w:r>
    </w:p>
    <w:p w14:paraId="640A483E" w14:textId="77777777" w:rsidR="00780970" w:rsidRPr="00A3599E" w:rsidRDefault="00780970" w:rsidP="006F7BEF">
      <w:pPr>
        <w:suppressAutoHyphens w:val="0"/>
        <w:spacing w:line="360" w:lineRule="auto"/>
        <w:ind w:left="567" w:right="567"/>
        <w:jc w:val="both"/>
        <w:rPr>
          <w:rFonts w:ascii="Palatino Linotype" w:hAnsi="Palatino Linotype" w:cs="Arial"/>
          <w:bCs/>
          <w:i/>
          <w:lang w:val="es-ES_tradnl"/>
        </w:rPr>
      </w:pPr>
    </w:p>
    <w:p w14:paraId="1C26745C" w14:textId="77777777" w:rsidR="00191180" w:rsidRPr="00A3599E" w:rsidRDefault="00191180" w:rsidP="006F7BEF">
      <w:pPr>
        <w:suppressAutoHyphens w:val="0"/>
        <w:spacing w:line="360" w:lineRule="auto"/>
        <w:ind w:left="567" w:right="567"/>
        <w:jc w:val="both"/>
        <w:rPr>
          <w:rFonts w:ascii="Palatino Linotype" w:hAnsi="Palatino Linotype" w:cs="Arial"/>
          <w:bCs/>
          <w:i/>
          <w:lang w:val="es-ES_tradnl"/>
        </w:rPr>
      </w:pPr>
      <w:r w:rsidRPr="00A3599E">
        <w:rPr>
          <w:rFonts w:ascii="Palatino Linotype" w:hAnsi="Palatino Linotype" w:cs="Arial"/>
          <w:bCs/>
          <w:i/>
          <w:lang w:val="es-ES_tradnl"/>
        </w:rPr>
        <w:t xml:space="preserve">(Énfasis añadido) </w:t>
      </w:r>
    </w:p>
    <w:p w14:paraId="0A4AA133" w14:textId="77777777" w:rsidR="00191180" w:rsidRPr="00A3599E" w:rsidRDefault="00191180" w:rsidP="006F7BEF">
      <w:pPr>
        <w:suppressAutoHyphens w:val="0"/>
        <w:spacing w:line="360" w:lineRule="auto"/>
        <w:ind w:left="720"/>
        <w:contextualSpacing/>
        <w:rPr>
          <w:rFonts w:ascii="Palatino Linotype" w:eastAsia="Calibri" w:hAnsi="Palatino Linotype"/>
          <w:lang w:val="es-ES_tradnl"/>
        </w:rPr>
      </w:pPr>
    </w:p>
    <w:p w14:paraId="6C16E8B5"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En virtud de ello, la información en posesión de cualquier organismo o dependencia municipal tiene el carácter de pública, en ese sentido, debe privilegiarse en todo momento el principio de máxima publicidad, establecido en el artículo 8 de la multicitada Ley de Transparencia: </w:t>
      </w:r>
    </w:p>
    <w:p w14:paraId="45EA5706" w14:textId="77777777" w:rsidR="00191180" w:rsidRPr="00A3599E" w:rsidRDefault="00191180" w:rsidP="006F7BEF">
      <w:pPr>
        <w:suppressAutoHyphens w:val="0"/>
        <w:spacing w:before="240" w:after="240" w:line="360" w:lineRule="auto"/>
        <w:contextualSpacing/>
        <w:jc w:val="both"/>
        <w:rPr>
          <w:rFonts w:ascii="Palatino Linotype" w:hAnsi="Palatino Linotype" w:cs="Arial"/>
          <w:lang w:val="es-ES_tradnl"/>
        </w:rPr>
      </w:pPr>
    </w:p>
    <w:p w14:paraId="4A1950FA"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w:t>
      </w:r>
      <w:r w:rsidRPr="00A3599E">
        <w:rPr>
          <w:rFonts w:ascii="Palatino Linotype" w:hAnsi="Palatino Linotype" w:cs="Arial"/>
          <w:b/>
          <w:i/>
          <w:lang w:val="es-ES_tradnl"/>
        </w:rPr>
        <w:t>Artículo 8.</w:t>
      </w:r>
      <w:r w:rsidRPr="00A3599E">
        <w:rPr>
          <w:rFonts w:ascii="Palatino Linotype" w:hAnsi="Palatino Linotype" w:cs="Arial"/>
          <w:i/>
          <w:lang w:val="es-ES_tradnl"/>
        </w:rPr>
        <w:t xml:space="preserve"> El derecho de acceso a la información o la clasificación de la información se interpretarán conforme a los principios establecidos en la Constitución Federal, los tratados internacionales de los que el Estado mexicano sea parte, la Ley General, la Constitución Local y la presente Ley. </w:t>
      </w:r>
    </w:p>
    <w:p w14:paraId="484471D1"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p>
    <w:p w14:paraId="04CF4774"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b/>
          <w:i/>
          <w:lang w:val="es-ES_tradnl"/>
        </w:rPr>
        <w:t>En la aplicación e interpretación de la presente Ley deberá prevalecer el principio de máxima publicidad</w:t>
      </w:r>
      <w:r w:rsidRPr="00A3599E">
        <w:rPr>
          <w:rFonts w:ascii="Palatino Linotype" w:hAnsi="Palatino Linotype" w:cs="Arial"/>
          <w:i/>
          <w:lang w:val="es-ES_tradnl"/>
        </w:rPr>
        <w:t xml:space="preserve">, conforme a lo dispuesto en la Constitución Federal, en los tratados internacionales de los que el Estado mexicano sea parte, la Ley General, la Constitución Local, así como en las resoluciones y sentencias vinculantes que emitan los órganos nacionales e internacionales especializados, favoreciendo en todo tiempo a las personas la protección más amplia, atendiendo al principio </w:t>
      </w:r>
      <w:proofErr w:type="spellStart"/>
      <w:r w:rsidRPr="00A3599E">
        <w:rPr>
          <w:rFonts w:ascii="Palatino Linotype" w:hAnsi="Palatino Linotype" w:cs="Arial"/>
          <w:i/>
          <w:lang w:val="es-ES_tradnl"/>
        </w:rPr>
        <w:t>pro</w:t>
      </w:r>
      <w:proofErr w:type="spellEnd"/>
      <w:r w:rsidRPr="00A3599E">
        <w:rPr>
          <w:rFonts w:ascii="Palatino Linotype" w:hAnsi="Palatino Linotype" w:cs="Arial"/>
          <w:i/>
          <w:lang w:val="es-ES_tradnl"/>
        </w:rPr>
        <w:t xml:space="preserve"> persona.</w:t>
      </w:r>
    </w:p>
    <w:p w14:paraId="1EF4EF88"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p>
    <w:p w14:paraId="3595E556"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 xml:space="preserve"> Para el caso de la interpretación se podrá tomar en cuenta los criterios, determinaciones y opiniones de los organismos nacionales e internacionales, en materia de transparencia y el derecho de acceso a la información.”</w:t>
      </w:r>
    </w:p>
    <w:p w14:paraId="528BDF2B"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Cs/>
          <w:lang w:val="es-ES_tradnl"/>
        </w:rPr>
      </w:pPr>
      <w:r w:rsidRPr="00A3599E">
        <w:rPr>
          <w:rFonts w:ascii="Palatino Linotype" w:hAnsi="Palatino Linotype" w:cs="Arial"/>
          <w:iCs/>
          <w:lang w:val="es-ES_tradnl"/>
        </w:rPr>
        <w:t xml:space="preserve">(Énfasis añadido) </w:t>
      </w:r>
    </w:p>
    <w:p w14:paraId="5AFD6709"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p>
    <w:p w14:paraId="012B37C1" w14:textId="42332472" w:rsidR="00112B0A" w:rsidRPr="00A3599E" w:rsidRDefault="00191180" w:rsidP="006F7BEF">
      <w:pPr>
        <w:numPr>
          <w:ilvl w:val="0"/>
          <w:numId w:val="9"/>
        </w:numPr>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Por tanto, en cumplimiento a las obligaciones que la Constitución Federal , la Constitución Estatal y la Ley de la materia, el </w:t>
      </w:r>
      <w:r w:rsidRPr="00A3599E">
        <w:rPr>
          <w:rFonts w:ascii="Palatino Linotype" w:hAnsi="Palatino Linotype" w:cs="Arial"/>
          <w:b/>
          <w:lang w:val="es-ES_tradnl"/>
        </w:rPr>
        <w:t>SUJETO OBLIGADO</w:t>
      </w:r>
      <w:r w:rsidRPr="00A3599E">
        <w:rPr>
          <w:rFonts w:ascii="Palatino Linotype" w:hAnsi="Palatino Linotype" w:cs="Arial"/>
          <w:lang w:val="es-ES_tradnl"/>
        </w:rPr>
        <w:t xml:space="preserve"> está constreñido a dar atención a las solicitudes de información que a través del </w:t>
      </w:r>
      <w:r w:rsidRPr="00A3599E">
        <w:rPr>
          <w:rFonts w:ascii="Palatino Linotype" w:hAnsi="Palatino Linotype" w:cs="Arial"/>
          <w:b/>
          <w:lang w:val="es-ES_tradnl"/>
        </w:rPr>
        <w:t>SAIMEX</w:t>
      </w:r>
      <w:r w:rsidR="00A84BC3" w:rsidRPr="00A3599E">
        <w:rPr>
          <w:rFonts w:ascii="Palatino Linotype" w:hAnsi="Palatino Linotype" w:cs="Arial"/>
          <w:lang w:val="es-ES_tradnl"/>
        </w:rPr>
        <w:t xml:space="preserve"> o </w:t>
      </w:r>
      <w:r w:rsidRPr="00A3599E">
        <w:rPr>
          <w:rFonts w:ascii="Palatino Linotype" w:hAnsi="Palatino Linotype" w:cs="Arial"/>
          <w:lang w:val="es-ES_tradnl"/>
        </w:rPr>
        <w:t xml:space="preserve">vía directa que le sean presentadas en ejercicio del derecho humano de acceso a la información pública, lo cual en el presente asunto no aconteció, pues tal y como se ha acreditado en la revisión del expediente electrónico formado en el </w:t>
      </w:r>
      <w:r w:rsidRPr="00A3599E">
        <w:rPr>
          <w:rFonts w:ascii="Palatino Linotype" w:hAnsi="Palatino Linotype" w:cs="Arial"/>
          <w:b/>
          <w:lang w:val="es-ES_tradnl"/>
        </w:rPr>
        <w:t>SAIME</w:t>
      </w:r>
      <w:r w:rsidRPr="00A3599E">
        <w:rPr>
          <w:rFonts w:ascii="Palatino Linotype" w:hAnsi="Palatino Linotype" w:cs="Arial"/>
          <w:lang w:val="es-ES_tradnl"/>
        </w:rPr>
        <w:t xml:space="preserve">X, el </w:t>
      </w:r>
      <w:r w:rsidRPr="00A3599E">
        <w:rPr>
          <w:rFonts w:ascii="Palatino Linotype" w:hAnsi="Palatino Linotype" w:cs="Arial"/>
          <w:b/>
          <w:lang w:val="es-ES_tradnl"/>
        </w:rPr>
        <w:t>SUJETO OBLIGADO</w:t>
      </w:r>
      <w:r w:rsidRPr="00A3599E">
        <w:rPr>
          <w:rFonts w:ascii="Palatino Linotype" w:hAnsi="Palatino Linotype" w:cs="Arial"/>
          <w:lang w:val="es-ES_tradnl"/>
        </w:rPr>
        <w:t xml:space="preserve"> </w:t>
      </w:r>
      <w:r w:rsidR="00112B0A" w:rsidRPr="00A3599E">
        <w:rPr>
          <w:rFonts w:ascii="Palatino Linotype" w:hAnsi="Palatino Linotype" w:cs="Arial"/>
          <w:lang w:val="es-ES_tradnl"/>
        </w:rPr>
        <w:t xml:space="preserve">fue omiso en dar respuesta a la solicitud. </w:t>
      </w:r>
    </w:p>
    <w:p w14:paraId="64F03E25"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color w:val="000000"/>
          <w:lang w:val="es-ES_tradnl"/>
        </w:rPr>
      </w:pPr>
    </w:p>
    <w:p w14:paraId="5A9B233B" w14:textId="7961271C"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En ese tenor, es elemental recordar que la Ley de Transparencia y Acceso a la Información Pública del Estado de México y Municipios, en su artículo 163 establece que la Unidad de Transparencia deberá notificar la respuesta a la solicitud de información en el menor tiempo posible, el cual no podrá exceder de </w:t>
      </w:r>
      <w:r w:rsidRPr="00A3599E">
        <w:rPr>
          <w:rFonts w:ascii="Palatino Linotype" w:hAnsi="Palatino Linotype" w:cs="Arial"/>
          <w:b/>
          <w:bCs/>
          <w:color w:val="000000"/>
          <w:lang w:val="es-ES_tradnl"/>
        </w:rPr>
        <w:t>15 días hábiles</w:t>
      </w:r>
      <w:r w:rsidRPr="00A3599E">
        <w:rPr>
          <w:rFonts w:ascii="Palatino Linotype" w:hAnsi="Palatino Linotype" w:cs="Arial"/>
          <w:color w:val="000000"/>
          <w:lang w:val="es-ES_tradnl"/>
        </w:rPr>
        <w:t xml:space="preserve">; y, excepcionalmente, siempre y cuando existan razones fundadas y motivadas, el plazo referido podrá ampliarse hasta por siete días hábiles adicionales, sin embargo, esta decisión deberá ser aprobada por el Comité de Transparencia del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mediante la emisión de una resolución (o acuerdo) que deberá notificarse a la particular previo al vencimiento ordinario.</w:t>
      </w:r>
      <w:r w:rsidR="0075136F" w:rsidRPr="00A3599E">
        <w:rPr>
          <w:rFonts w:ascii="Palatino Linotype" w:hAnsi="Palatino Linotype" w:cs="Arial"/>
          <w:color w:val="000000"/>
          <w:lang w:val="es-ES_tradnl"/>
        </w:rPr>
        <w:t xml:space="preserve"> </w:t>
      </w:r>
      <w:r w:rsidRPr="00A3599E">
        <w:rPr>
          <w:rFonts w:ascii="Palatino Linotype" w:hAnsi="Palatino Linotype" w:cs="Arial"/>
          <w:color w:val="000000"/>
          <w:lang w:val="es-ES_tradnl"/>
        </w:rPr>
        <w:t>As</w:t>
      </w:r>
      <w:r w:rsidR="00112B0A" w:rsidRPr="00A3599E">
        <w:rPr>
          <w:rFonts w:ascii="Palatino Linotype" w:hAnsi="Palatino Linotype" w:cs="Arial"/>
          <w:color w:val="000000"/>
          <w:lang w:val="es-ES_tradnl"/>
        </w:rPr>
        <w:t xml:space="preserve">í las cosas, se concluye que las </w:t>
      </w:r>
      <w:r w:rsidR="0075136F" w:rsidRPr="00A3599E">
        <w:rPr>
          <w:rFonts w:ascii="Palatino Linotype" w:hAnsi="Palatino Linotype" w:cs="Arial"/>
          <w:color w:val="000000"/>
          <w:lang w:val="es-ES_tradnl"/>
        </w:rPr>
        <w:lastRenderedPageBreak/>
        <w:t xml:space="preserve">actuaciones realizadas </w:t>
      </w:r>
      <w:r w:rsidR="00112B0A" w:rsidRPr="00A3599E">
        <w:rPr>
          <w:rFonts w:ascii="Palatino Linotype" w:hAnsi="Palatino Linotype" w:cs="Arial"/>
          <w:color w:val="000000"/>
          <w:lang w:val="es-ES_tradnl"/>
        </w:rPr>
        <w:t xml:space="preserve">por el </w:t>
      </w:r>
      <w:r w:rsidR="00112B0A" w:rsidRPr="00A3599E">
        <w:rPr>
          <w:rFonts w:ascii="Palatino Linotype" w:hAnsi="Palatino Linotype" w:cs="Arial"/>
          <w:b/>
          <w:color w:val="000000"/>
          <w:lang w:val="es-ES_tradnl"/>
        </w:rPr>
        <w:t>SUJETO OBLIGADO</w:t>
      </w:r>
      <w:r w:rsidR="0075136F" w:rsidRPr="00A3599E">
        <w:rPr>
          <w:rFonts w:ascii="Palatino Linotype" w:hAnsi="Palatino Linotype" w:cs="Arial"/>
          <w:b/>
          <w:color w:val="000000"/>
          <w:lang w:val="es-ES_tradnl"/>
        </w:rPr>
        <w:t xml:space="preserve"> </w:t>
      </w:r>
      <w:r w:rsidR="0075136F" w:rsidRPr="00A3599E">
        <w:rPr>
          <w:rFonts w:ascii="Palatino Linotype" w:hAnsi="Palatino Linotype" w:cs="Arial"/>
          <w:color w:val="000000"/>
          <w:lang w:val="es-ES_tradnl"/>
        </w:rPr>
        <w:t xml:space="preserve">no atienden lo solicitado por el particular. </w:t>
      </w:r>
    </w:p>
    <w:p w14:paraId="1BFD8F73" w14:textId="77777777" w:rsidR="008A4ACF" w:rsidRPr="00A3599E" w:rsidRDefault="008A4ACF" w:rsidP="006F7BEF">
      <w:pPr>
        <w:tabs>
          <w:tab w:val="left" w:pos="426"/>
        </w:tabs>
        <w:suppressAutoHyphens w:val="0"/>
        <w:spacing w:after="160" w:line="360" w:lineRule="auto"/>
        <w:ind w:right="49"/>
        <w:contextualSpacing/>
        <w:jc w:val="both"/>
        <w:rPr>
          <w:rFonts w:ascii="Palatino Linotype" w:hAnsi="Palatino Linotype" w:cs="Arial"/>
          <w:color w:val="000000"/>
          <w:lang w:val="es-ES_tradnl"/>
        </w:rPr>
      </w:pPr>
    </w:p>
    <w:p w14:paraId="0CA372FE"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En ese sentido, conviene señalar que uno de los objetivos con los que cuenta la Ley de Transparencia es el de garantizar a toda persona el derecho de acceso a la información pública, mediante los procedimientos establecidos, de forma sencilla, expedita, oportuna y gratuita, y con ello contribuir a la mejora de procedimientos y mecanismos que permitan trasparentar la gestión pública y mejorar la toma decisiones, a través de la difusión de la información que obra en poder de los Sujetos Obligados.</w:t>
      </w:r>
    </w:p>
    <w:p w14:paraId="757F249B"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color w:val="000000"/>
          <w:lang w:val="es-ES_tradnl"/>
        </w:rPr>
      </w:pPr>
    </w:p>
    <w:p w14:paraId="29AC4034"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eastAsia="Calibri" w:hAnsi="Palatino Linotype"/>
          <w:lang w:val="es-ES"/>
        </w:rPr>
        <w:t xml:space="preserve">Así las cosas, la omisión del Titular de la Unidad de Transparencia, como primer responsable de verificar que el procedimiento de acceso a la información se realice, de acuerdo a lo dispuesto por el artículo 53 fracción II de la Ley de la materia, vulnera el derecho fundamental de acceso a la información: </w:t>
      </w:r>
    </w:p>
    <w:p w14:paraId="5027C1F6" w14:textId="77777777" w:rsidR="00191180" w:rsidRPr="00A3599E" w:rsidRDefault="00191180" w:rsidP="006F7BEF">
      <w:pPr>
        <w:suppressAutoHyphens w:val="0"/>
        <w:spacing w:line="360" w:lineRule="auto"/>
        <w:contextualSpacing/>
        <w:rPr>
          <w:rFonts w:ascii="Palatino Linotype" w:hAnsi="Palatino Linotype" w:cs="Arial"/>
          <w:color w:val="000000"/>
          <w:lang w:val="es-ES_tradnl"/>
        </w:rPr>
      </w:pPr>
    </w:p>
    <w:p w14:paraId="2048E79D"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b/>
          <w:i/>
          <w:lang w:val="es-ES_tradnl"/>
        </w:rPr>
        <w:t>“Artículo 53.</w:t>
      </w:r>
      <w:r w:rsidRPr="00A3599E">
        <w:rPr>
          <w:rFonts w:ascii="Palatino Linotype" w:hAnsi="Palatino Linotype"/>
          <w:i/>
          <w:lang w:val="es-ES_tradnl"/>
        </w:rPr>
        <w:t xml:space="preserve"> Las Unidades de Transparencia tendrán las siguientes funciones:</w:t>
      </w:r>
    </w:p>
    <w:p w14:paraId="27EA456F"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i/>
          <w:lang w:val="es-ES_tradnl"/>
        </w:rPr>
        <w:t>…</w:t>
      </w:r>
    </w:p>
    <w:p w14:paraId="61766D2B"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b/>
          <w:i/>
          <w:lang w:val="es-ES_tradnl"/>
        </w:rPr>
        <w:t>II. Recibir, tramitar y dar respuesta a las solicitudes de acceso a la información</w:t>
      </w:r>
      <w:r w:rsidRPr="00A3599E">
        <w:rPr>
          <w:rFonts w:ascii="Palatino Linotype" w:hAnsi="Palatino Linotype"/>
          <w:i/>
          <w:lang w:val="es-ES_tradnl"/>
        </w:rPr>
        <w:t>;</w:t>
      </w:r>
    </w:p>
    <w:p w14:paraId="1746ED28"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i/>
          <w:lang w:val="es-ES_tradnl"/>
        </w:rPr>
        <w:t>…</w:t>
      </w:r>
    </w:p>
    <w:p w14:paraId="1704C58A"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b/>
          <w:bCs/>
          <w:i/>
          <w:lang w:val="es-ES_tradnl"/>
        </w:rPr>
        <w:t>IV.</w:t>
      </w:r>
      <w:r w:rsidRPr="00A3599E">
        <w:rPr>
          <w:rFonts w:ascii="Palatino Linotype" w:hAnsi="Palatino Linotype"/>
          <w:i/>
          <w:lang w:val="es-ES_tradnl"/>
        </w:rPr>
        <w:t xml:space="preserve"> Realizar, con efectividad, los trámites internos necesarios para la atención de las solicitudes de acceso a la información;</w:t>
      </w:r>
    </w:p>
    <w:p w14:paraId="2D1B06D7"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i/>
          <w:lang w:val="es-ES_tradnl"/>
        </w:rPr>
        <w:t>…</w:t>
      </w:r>
    </w:p>
    <w:p w14:paraId="00E2396E" w14:textId="77777777" w:rsidR="00191180" w:rsidRPr="00A3599E" w:rsidRDefault="00191180" w:rsidP="006F7BEF">
      <w:pPr>
        <w:suppressAutoHyphens w:val="0"/>
        <w:spacing w:line="360" w:lineRule="auto"/>
        <w:ind w:left="567" w:right="616"/>
        <w:jc w:val="both"/>
        <w:rPr>
          <w:rFonts w:ascii="Palatino Linotype" w:hAnsi="Palatino Linotype"/>
          <w:i/>
          <w:lang w:val="es-ES_tradnl"/>
        </w:rPr>
      </w:pPr>
      <w:r w:rsidRPr="00A3599E">
        <w:rPr>
          <w:rFonts w:ascii="Palatino Linotype" w:hAnsi="Palatino Linotype"/>
          <w:b/>
          <w:bCs/>
          <w:i/>
          <w:lang w:val="es-ES_tradnl"/>
        </w:rPr>
        <w:t>XII.</w:t>
      </w:r>
      <w:r w:rsidRPr="00A3599E">
        <w:rPr>
          <w:rFonts w:ascii="Palatino Linotype" w:hAnsi="Palatino Linotype"/>
          <w:i/>
          <w:lang w:val="es-ES_tradnl"/>
        </w:rPr>
        <w:t xml:space="preserve"> Fomentar la transparencia y accesibilidad al interior del sujeto obligado;”</w:t>
      </w:r>
    </w:p>
    <w:p w14:paraId="01C1E3D7" w14:textId="77777777" w:rsidR="00191180" w:rsidRPr="00A3599E" w:rsidRDefault="00191180" w:rsidP="006F7BEF">
      <w:pPr>
        <w:suppressAutoHyphens w:val="0"/>
        <w:spacing w:line="360" w:lineRule="auto"/>
        <w:ind w:left="567" w:right="616"/>
        <w:jc w:val="both"/>
        <w:rPr>
          <w:rFonts w:ascii="Palatino Linotype" w:hAnsi="Palatino Linotype"/>
          <w:iCs/>
          <w:lang w:val="es-ES_tradnl"/>
        </w:rPr>
      </w:pPr>
      <w:r w:rsidRPr="00A3599E">
        <w:rPr>
          <w:rFonts w:ascii="Palatino Linotype" w:hAnsi="Palatino Linotype"/>
          <w:iCs/>
          <w:lang w:val="es-ES_tradnl"/>
        </w:rPr>
        <w:lastRenderedPageBreak/>
        <w:t>(Énfasis añadido)</w:t>
      </w:r>
    </w:p>
    <w:p w14:paraId="064E6F66" w14:textId="77777777" w:rsidR="00191180" w:rsidRPr="00A3599E" w:rsidRDefault="00191180" w:rsidP="006F7BEF">
      <w:pPr>
        <w:suppressAutoHyphens w:val="0"/>
        <w:spacing w:line="360" w:lineRule="auto"/>
        <w:ind w:right="49"/>
        <w:contextualSpacing/>
        <w:jc w:val="both"/>
        <w:rPr>
          <w:rFonts w:ascii="Palatino Linotype" w:hAnsi="Palatino Linotype" w:cs="Arial"/>
          <w:color w:val="000000"/>
          <w:lang w:val="es-ES_tradnl"/>
        </w:rPr>
      </w:pPr>
    </w:p>
    <w:p w14:paraId="0A145530" w14:textId="77777777" w:rsidR="00191180" w:rsidRPr="00A3599E" w:rsidRDefault="00191180" w:rsidP="006F7BEF">
      <w:pPr>
        <w:numPr>
          <w:ilvl w:val="0"/>
          <w:numId w:val="9"/>
        </w:numPr>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eastAsia="Calibri" w:hAnsi="Palatino Linotype"/>
          <w:lang w:val="es-ES"/>
        </w:rPr>
        <w:t xml:space="preserve">No sobra decir que al actuar de esta forma, el </w:t>
      </w:r>
      <w:r w:rsidRPr="00A3599E">
        <w:rPr>
          <w:rFonts w:ascii="Palatino Linotype" w:eastAsia="Calibri" w:hAnsi="Palatino Linotype"/>
          <w:b/>
          <w:bCs/>
          <w:lang w:val="es-ES"/>
        </w:rPr>
        <w:t>SUJETO OBLIGADO</w:t>
      </w:r>
      <w:r w:rsidRPr="00A3599E">
        <w:rPr>
          <w:rFonts w:ascii="Palatino Linotype" w:eastAsia="Calibri" w:hAnsi="Palatino Linotype"/>
          <w:lang w:val="es-ES"/>
        </w:rPr>
        <w:t xml:space="preserve"> incumple con el primer mandato contenido en el párrafo tercero del artículo primero de la Constitución Política de los Estados Unidos Mexicanos que establece el deber de todas las autoridades, </w:t>
      </w:r>
      <w:r w:rsidRPr="00A3599E">
        <w:rPr>
          <w:rFonts w:ascii="Palatino Linotype" w:eastAsia="Calibri" w:hAnsi="Palatino Linotype"/>
          <w:i/>
          <w:lang w:val="es-ES"/>
        </w:rPr>
        <w:t xml:space="preserve">en el ámbito de sus atribuciones, </w:t>
      </w:r>
      <w:r w:rsidRPr="00A3599E">
        <w:rPr>
          <w:rFonts w:ascii="Palatino Linotype" w:eastAsia="Calibri" w:hAnsi="Palatino Linotype"/>
          <w:b/>
          <w:i/>
          <w:lang w:val="es-ES"/>
        </w:rPr>
        <w:t>de promover</w:t>
      </w:r>
      <w:r w:rsidRPr="00A3599E">
        <w:rPr>
          <w:rFonts w:ascii="Palatino Linotype" w:eastAsia="Calibri" w:hAnsi="Palatino Linotype"/>
          <w:i/>
          <w:lang w:val="es-ES"/>
        </w:rPr>
        <w:t xml:space="preserve">, </w:t>
      </w:r>
      <w:r w:rsidRPr="00A3599E">
        <w:rPr>
          <w:rFonts w:ascii="Palatino Linotype" w:eastAsia="Calibri" w:hAnsi="Palatino Linotype"/>
          <w:b/>
          <w:i/>
          <w:lang w:val="es-ES"/>
        </w:rPr>
        <w:t>respetar, proteger y</w:t>
      </w:r>
      <w:r w:rsidRPr="00A3599E">
        <w:rPr>
          <w:rFonts w:ascii="Palatino Linotype" w:eastAsia="Calibri" w:hAnsi="Palatino Linotype"/>
          <w:i/>
          <w:lang w:val="es-ES"/>
        </w:rPr>
        <w:t xml:space="preserve"> </w:t>
      </w:r>
      <w:r w:rsidRPr="00A3599E">
        <w:rPr>
          <w:rFonts w:ascii="Palatino Linotype" w:eastAsia="Calibri" w:hAnsi="Palatino Linotype"/>
          <w:b/>
          <w:i/>
          <w:lang w:val="es-ES"/>
        </w:rPr>
        <w:t>garantizar</w:t>
      </w:r>
      <w:r w:rsidRPr="00A3599E">
        <w:rPr>
          <w:rFonts w:ascii="Palatino Linotype" w:eastAsia="Calibri" w:hAnsi="Palatino Linotype"/>
          <w:i/>
          <w:lang w:val="es-ES"/>
        </w:rPr>
        <w:t xml:space="preserve"> los derechos humanos. </w:t>
      </w:r>
      <w:r w:rsidRPr="00A3599E">
        <w:rPr>
          <w:rFonts w:ascii="Palatino Linotype" w:eastAsia="Calibri" w:hAnsi="Palatino Linotype"/>
          <w:lang w:val="es-ES"/>
        </w:rPr>
        <w:t xml:space="preserve">Por ello, debe considerarse que según lo dispuesto por el artículo 150 de la Ley de Transparencia y Acceso a la Información Pública del Estado de México y Municipios, el </w:t>
      </w:r>
      <w:r w:rsidRPr="00A3599E">
        <w:rPr>
          <w:rFonts w:ascii="Palatino Linotype" w:eastAsia="Calibri" w:hAnsi="Palatino Linotype"/>
          <w:i/>
          <w:lang w:val="es-ES"/>
        </w:rPr>
        <w:t xml:space="preserve">procedimiento de acceso a </w:t>
      </w:r>
      <w:r w:rsidRPr="00A3599E">
        <w:rPr>
          <w:rFonts w:ascii="Palatino Linotype" w:eastAsia="Calibri" w:hAnsi="Palatino Linotype"/>
          <w:b/>
          <w:i/>
          <w:lang w:val="es-ES"/>
        </w:rPr>
        <w:t>la información es la garantía</w:t>
      </w:r>
      <w:r w:rsidRPr="00A3599E">
        <w:rPr>
          <w:rFonts w:ascii="Palatino Linotype" w:eastAsia="Calibri" w:hAnsi="Palatino Linotype"/>
          <w:i/>
          <w:lang w:val="es-ES"/>
        </w:rPr>
        <w:t xml:space="preserve"> primaria del derecho en cuestión.</w:t>
      </w:r>
      <w:r w:rsidRPr="00A3599E">
        <w:rPr>
          <w:rFonts w:ascii="Palatino Linotype" w:eastAsia="Calibri" w:hAnsi="Palatino Linotype"/>
          <w:lang w:val="es-ES"/>
        </w:rPr>
        <w:t xml:space="preserve"> Por lo tanto, la falta de respuesta a una solicitud de acceso a la información constituye un incumplimiento del </w:t>
      </w:r>
      <w:r w:rsidRPr="00A3599E">
        <w:rPr>
          <w:rFonts w:ascii="Palatino Linotype" w:eastAsia="Calibri" w:hAnsi="Palatino Linotype"/>
          <w:b/>
          <w:bCs/>
          <w:lang w:val="es-ES"/>
        </w:rPr>
        <w:t>SUJETO OBLIGADO</w:t>
      </w:r>
      <w:r w:rsidRPr="00A3599E">
        <w:rPr>
          <w:rFonts w:ascii="Palatino Linotype" w:eastAsia="Calibri" w:hAnsi="Palatino Linotype"/>
          <w:lang w:val="es-ES"/>
        </w:rPr>
        <w:t xml:space="preserve"> a su deber de garantizar el derecho, lo que constituye una vulneración al mismo y resulta, totalmente aplicable, el último mandato del mismo párrafo del artículo constitucional antes citado que establece la obligación del Estado Mexicano, de </w:t>
      </w:r>
      <w:r w:rsidRPr="00A3599E">
        <w:rPr>
          <w:rFonts w:ascii="Palatino Linotype" w:eastAsia="Calibri" w:hAnsi="Palatino Linotype"/>
          <w:i/>
          <w:lang w:val="es-ES"/>
        </w:rPr>
        <w:t>investigar, sancionar y reparar las violaciones a los derechos humanos.</w:t>
      </w:r>
      <w:r w:rsidRPr="00A3599E">
        <w:rPr>
          <w:rFonts w:ascii="Palatino Linotype" w:eastAsia="Calibri" w:hAnsi="Palatino Linotype"/>
          <w:lang w:val="es-ES"/>
        </w:rPr>
        <w:t xml:space="preserve"> </w:t>
      </w:r>
    </w:p>
    <w:p w14:paraId="4914D552" w14:textId="77777777" w:rsidR="00191180" w:rsidRPr="00A3599E" w:rsidRDefault="00191180" w:rsidP="006F7BEF">
      <w:pPr>
        <w:suppressAutoHyphens w:val="0"/>
        <w:spacing w:line="360" w:lineRule="auto"/>
        <w:contextualSpacing/>
        <w:rPr>
          <w:rFonts w:ascii="Palatino Linotype" w:eastAsia="Calibri" w:hAnsi="Palatino Linotype"/>
          <w:lang w:val="es-ES"/>
        </w:rPr>
      </w:pPr>
    </w:p>
    <w:p w14:paraId="048929F0" w14:textId="4970AB64" w:rsidR="00DF320E" w:rsidRPr="00B73105" w:rsidRDefault="00191180" w:rsidP="006F7BEF">
      <w:pPr>
        <w:numPr>
          <w:ilvl w:val="0"/>
          <w:numId w:val="9"/>
        </w:numPr>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eastAsia="Calibri" w:hAnsi="Palatino Linotype"/>
          <w:lang w:val="es-ES"/>
        </w:rPr>
        <w:t xml:space="preserve">Éste Órgano Garante, como institución pública que forma parte del Estado Mexicano y en cuya representación actúa al substanciar el recurso de revisión, como garantía secundaria, es decir, como remedio materialmente jurisdiccional ante las posibles afectaciones al derecho de acceso a la información, según el artículo 176 de la norma estatal antes citada, para reparar la violación al derecho humano de acceso a la información que se deriva del incumplimiento del </w:t>
      </w:r>
      <w:r w:rsidRPr="00A3599E">
        <w:rPr>
          <w:rFonts w:ascii="Palatino Linotype" w:eastAsia="Calibri" w:hAnsi="Palatino Linotype"/>
          <w:b/>
          <w:bCs/>
          <w:lang w:val="es-ES"/>
        </w:rPr>
        <w:t>SUJETO OBLIGADO</w:t>
      </w:r>
      <w:r w:rsidRPr="00A3599E">
        <w:rPr>
          <w:rFonts w:ascii="Palatino Linotype" w:eastAsia="Calibri" w:hAnsi="Palatino Linotype"/>
          <w:lang w:val="es-ES"/>
        </w:rPr>
        <w:t xml:space="preserve">, cumple con su alto deber de repararlo ordenando, en consecuencia, que el </w:t>
      </w:r>
      <w:r w:rsidRPr="00A3599E">
        <w:rPr>
          <w:rFonts w:ascii="Palatino Linotype" w:eastAsia="Calibri" w:hAnsi="Palatino Linotype"/>
          <w:b/>
          <w:bCs/>
          <w:lang w:val="es-ES"/>
        </w:rPr>
        <w:t>SUJETO OBLIGADO</w:t>
      </w:r>
      <w:r w:rsidRPr="00A3599E">
        <w:rPr>
          <w:rFonts w:ascii="Palatino Linotype" w:eastAsia="Calibri" w:hAnsi="Palatino Linotype"/>
          <w:lang w:val="es-ES"/>
        </w:rPr>
        <w:t xml:space="preserve"> responda a las solicitudes de acceso a la información pública. </w:t>
      </w:r>
    </w:p>
    <w:p w14:paraId="4C3EE8D1" w14:textId="67E756F9" w:rsidR="00191180" w:rsidRPr="00A3599E" w:rsidRDefault="00191180" w:rsidP="00B73105">
      <w:pPr>
        <w:pStyle w:val="Prrafodelista"/>
        <w:keepNext/>
        <w:keepLines/>
        <w:numPr>
          <w:ilvl w:val="0"/>
          <w:numId w:val="9"/>
        </w:numPr>
        <w:suppressAutoHyphens w:val="0"/>
        <w:spacing w:before="240" w:line="360" w:lineRule="auto"/>
        <w:ind w:left="0" w:firstLine="0"/>
        <w:jc w:val="both"/>
        <w:outlineLvl w:val="0"/>
        <w:rPr>
          <w:rFonts w:ascii="Palatino Linotype" w:hAnsi="Palatino Linotype"/>
          <w:b/>
          <w:sz w:val="24"/>
          <w:szCs w:val="24"/>
        </w:rPr>
      </w:pPr>
      <w:bookmarkStart w:id="90" w:name="_Toc536106972"/>
      <w:bookmarkStart w:id="91" w:name="_Toc103178785"/>
      <w:r w:rsidRPr="00A3599E">
        <w:rPr>
          <w:rFonts w:ascii="Palatino Linotype" w:hAnsi="Palatino Linotype"/>
          <w:b/>
          <w:sz w:val="24"/>
          <w:szCs w:val="24"/>
        </w:rPr>
        <w:lastRenderedPageBreak/>
        <w:t>II. Sobre las respuestas que se emita a las solicitudes.</w:t>
      </w:r>
      <w:bookmarkEnd w:id="90"/>
      <w:bookmarkEnd w:id="91"/>
    </w:p>
    <w:p w14:paraId="24766DB3" w14:textId="77777777" w:rsidR="00191180" w:rsidRPr="00A3599E" w:rsidRDefault="00191180" w:rsidP="006F7BEF">
      <w:pPr>
        <w:suppressAutoHyphens w:val="0"/>
        <w:spacing w:line="360" w:lineRule="auto"/>
        <w:ind w:right="49"/>
        <w:contextualSpacing/>
        <w:jc w:val="both"/>
        <w:rPr>
          <w:rFonts w:ascii="Palatino Linotype" w:hAnsi="Palatino Linotype" w:cs="Arial"/>
          <w:b/>
          <w:color w:val="000000"/>
          <w:lang w:val="es-ES_tradnl"/>
        </w:rPr>
      </w:pPr>
    </w:p>
    <w:p w14:paraId="6E5B2259"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b/>
          <w:color w:val="000000"/>
          <w:lang w:val="es-ES_tradnl"/>
        </w:rPr>
      </w:pPr>
      <w:r w:rsidRPr="00A3599E">
        <w:rPr>
          <w:rFonts w:ascii="Palatino Linotype" w:hAnsi="Palatino Linotype" w:cs="Arial"/>
          <w:color w:val="000000"/>
          <w:lang w:val="es-ES_tradnl"/>
        </w:rPr>
        <w:t xml:space="preserve">En cumplimiento a esta resolución, el </w:t>
      </w:r>
      <w:r w:rsidRPr="00A3599E">
        <w:rPr>
          <w:rFonts w:ascii="Palatino Linotype" w:hAnsi="Palatino Linotype" w:cs="Arial"/>
          <w:b/>
          <w:color w:val="000000"/>
          <w:lang w:val="es-ES_tradnl"/>
        </w:rPr>
        <w:t>SUJETO OBLIGADO</w:t>
      </w:r>
      <w:r w:rsidRPr="00A3599E">
        <w:rPr>
          <w:rFonts w:ascii="Palatino Linotype" w:hAnsi="Palatino Linotype" w:cs="Arial"/>
          <w:color w:val="000000"/>
          <w:lang w:val="es-ES_tradnl"/>
        </w:rPr>
        <w:t xml:space="preserve"> deberá dar atención </w:t>
      </w:r>
      <w:r w:rsidRPr="00A3599E">
        <w:rPr>
          <w:rFonts w:ascii="Palatino Linotype" w:hAnsi="Palatino Linotype" w:cs="Arial"/>
          <w:lang w:val="es-ES_tradnl"/>
        </w:rPr>
        <w:t>a las solicitudes de información, sin que sea materia de este recurso</w:t>
      </w:r>
      <w:r w:rsidRPr="00A3599E">
        <w:rPr>
          <w:rFonts w:ascii="Palatino Linotype" w:hAnsi="Palatino Linotype" w:cs="Arial"/>
          <w:b/>
          <w:lang w:val="es-ES_tradnl"/>
        </w:rPr>
        <w:t xml:space="preserve"> </w:t>
      </w:r>
      <w:r w:rsidRPr="00A3599E">
        <w:rPr>
          <w:rFonts w:ascii="Palatino Linotype" w:hAnsi="Palatino Linotype" w:cs="Arial"/>
          <w:lang w:val="es-ES_tradnl"/>
        </w:rPr>
        <w:t>analizar o</w:t>
      </w:r>
      <w:r w:rsidRPr="00A3599E">
        <w:rPr>
          <w:rFonts w:ascii="Palatino Linotype" w:hAnsi="Palatino Linotype" w:cs="Arial"/>
          <w:b/>
          <w:lang w:val="es-ES_tradnl"/>
        </w:rPr>
        <w:t xml:space="preserve"> </w:t>
      </w:r>
      <w:r w:rsidRPr="00A3599E">
        <w:rPr>
          <w:rFonts w:ascii="Palatino Linotype" w:hAnsi="Palatino Linotype" w:cs="Arial"/>
          <w:lang w:val="es-ES_tradnl"/>
        </w:rPr>
        <w:t>prejuzgar si la información que le fue solicitada se encuentra en sus archivos o le corresponde generarla, puesto que el silencio administrativo que hizo patente al omitir dar respuesta, trae como consecuencia que se le ordene dar atención a las solicitudes, lo cual deberá llevar a cabo en ejercicio de sus competencias, atribuciones y funciones y con arreglo a lo dispuesto por la Ley de la materia.</w:t>
      </w:r>
    </w:p>
    <w:p w14:paraId="3941A49F"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b/>
          <w:color w:val="000000"/>
          <w:lang w:val="es-ES_tradnl"/>
        </w:rPr>
      </w:pPr>
    </w:p>
    <w:p w14:paraId="26553E02"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b/>
          <w:color w:val="000000"/>
          <w:lang w:val="es-ES_tradnl"/>
        </w:rPr>
      </w:pPr>
      <w:r w:rsidRPr="00A3599E">
        <w:rPr>
          <w:rFonts w:ascii="Palatino Linotype" w:hAnsi="Palatino Linotype" w:cs="Arial"/>
          <w:lang w:val="es-ES_tradnl"/>
        </w:rPr>
        <w:t xml:space="preserve">En este caso, el </w:t>
      </w:r>
      <w:r w:rsidRPr="00A3599E">
        <w:rPr>
          <w:rFonts w:ascii="Palatino Linotype" w:hAnsi="Palatino Linotype" w:cs="Arial"/>
          <w:b/>
          <w:bCs/>
          <w:lang w:val="es-ES_tradnl"/>
        </w:rPr>
        <w:t>SUJETO OBLIGADO</w:t>
      </w:r>
      <w:r w:rsidRPr="00A3599E">
        <w:rPr>
          <w:rFonts w:ascii="Palatino Linotype" w:hAnsi="Palatino Linotype" w:cs="Arial"/>
          <w:lang w:val="es-ES_tradnl"/>
        </w:rPr>
        <w:t xml:space="preserve"> deberá de sustanciar todo el procedimiento de acceso a la información pública verificando si la información que le ha sido requerida corresponde al ejercicio de sus facultades, competencias o funciones.</w:t>
      </w:r>
    </w:p>
    <w:p w14:paraId="2F3888D3"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b/>
          <w:color w:val="000000"/>
          <w:lang w:val="es-ES_tradnl"/>
        </w:rPr>
      </w:pPr>
    </w:p>
    <w:p w14:paraId="26E5E60A"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Si dentro de las facultades, atribuciones y competencias no se encuentra  la de poseer la información requerida, deberá hacerlo del conocimiento del particular  de forma clara y precisa, fundado y motivando su actuación y en su caso orientar a la </w:t>
      </w:r>
      <w:r w:rsidRPr="00A3599E">
        <w:rPr>
          <w:rFonts w:ascii="Palatino Linotype" w:hAnsi="Palatino Linotype" w:cs="Arial"/>
          <w:b/>
          <w:bCs/>
          <w:lang w:val="es-ES_tradnl"/>
        </w:rPr>
        <w:t>RECURRENTE</w:t>
      </w:r>
      <w:r w:rsidRPr="00A3599E">
        <w:rPr>
          <w:rFonts w:ascii="Palatino Linotype" w:hAnsi="Palatino Linotype" w:cs="Arial"/>
          <w:lang w:val="es-ES_tradnl"/>
        </w:rPr>
        <w:t xml:space="preserve"> sobre el o los Sujetos Obligados competentes, sin pasar desapercibido que tal orientación debe realizarse dentro de los tres días hábiles posteriores a la recepción de la solicitud, o de lo contrario deberá hacerlo a través del Acuerdo de Incompetencia de acuerdo a lo dispuesto en el artículo 49 fracción II y el artículo 167 de la Ley de Transparencia y Acceso a la Información Pública del Estado de México y Municipios. </w:t>
      </w:r>
    </w:p>
    <w:p w14:paraId="5CB6C9E0"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_tradnl"/>
        </w:rPr>
      </w:pPr>
    </w:p>
    <w:p w14:paraId="6B6B71B6"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lang w:val="es-ES_tradnl"/>
        </w:rPr>
        <w:lastRenderedPageBreak/>
        <w:t xml:space="preserve">No está por demás señalar que la obligación constitucional de documentar todo acto que derive del ejercicio de las facultades, competencias o funciones de los Sujetos Obligados, encuentra expresión legal en los artículos 19 de la Ley General de Transparencia y de la Ley de Transparencia y Acceso a la Información Pública del Estado de México y Municipios. </w:t>
      </w:r>
    </w:p>
    <w:p w14:paraId="13F63D12"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lang w:val="es-ES_tradnl"/>
        </w:rPr>
      </w:pPr>
    </w:p>
    <w:p w14:paraId="68918905"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lang w:val="es-ES_tradnl"/>
        </w:rPr>
        <w:t>Disposiciones que en su primer párrafo establecen que se presume la existencia de la información cuando ésta se encuentre relacionada con las facultades, competencias o funciones señaladas en la Ley. Esta presunción puede ser explícita, cuando las disposiciones jurídicas expresamente señalan el tipo concreto de información, por ejemplo, cuando se establece la facultad de un Sujeto Obligado de aprobar un presupuesto de egresos; o implícita, cuando se infiere directa o indirectamente del propio texto normativo la existencia de la información, aun cuando ésta no se enuncie de manera precisa en la norma, por ejemplo, un decreto que sin crear a un Sujeto Obligado, le cambia el nombre, que de manera expresa no se encuentra enlistado en la primera fracción de los artículos que establecen las obligaciones de transparencia comunes pero que si forma parte del marco normativo aplicable.</w:t>
      </w:r>
    </w:p>
    <w:p w14:paraId="32426879"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38AEB3C3"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Es importante también señalar que las respuestas que darán en cumplimiento a la presente resolución </w:t>
      </w:r>
      <w:r w:rsidRPr="00A3599E">
        <w:rPr>
          <w:rFonts w:ascii="Palatino Linotype" w:hAnsi="Palatino Linotype" w:cs="Arial"/>
          <w:b/>
          <w:color w:val="000000"/>
          <w:lang w:val="es-ES_tradnl"/>
        </w:rPr>
        <w:t>deberá ajustarse a lo dispuesto a los criterios y precedentes que este Órgano Garante ha resuelto y aprobado,</w:t>
      </w:r>
      <w:r w:rsidRPr="00A3599E">
        <w:rPr>
          <w:rFonts w:ascii="Palatino Linotype" w:hAnsi="Palatino Linotype" w:cs="Arial"/>
          <w:color w:val="000000"/>
          <w:lang w:val="es-ES_tradnl"/>
        </w:rPr>
        <w:t xml:space="preserve"> es decir, por lo que constituye una alta responsabilidad del </w:t>
      </w:r>
      <w:r w:rsidRPr="00A3599E">
        <w:rPr>
          <w:rFonts w:ascii="Palatino Linotype" w:hAnsi="Palatino Linotype" w:cs="Arial"/>
          <w:b/>
          <w:color w:val="000000"/>
          <w:lang w:val="es-ES_tradnl"/>
        </w:rPr>
        <w:t>SUJETO OBLIGADO</w:t>
      </w:r>
      <w:r w:rsidRPr="00A3599E">
        <w:rPr>
          <w:rFonts w:ascii="Palatino Linotype" w:hAnsi="Palatino Linotype" w:cs="Arial"/>
          <w:color w:val="000000"/>
          <w:lang w:val="es-ES_tradnl"/>
        </w:rPr>
        <w:t xml:space="preserve"> proporcionar la información que atienda la presente, ajustándose a la normatividad establecida y a los distintos asuntos de los cuales este Órgano Colegiado ha conocido. </w:t>
      </w:r>
    </w:p>
    <w:p w14:paraId="21331676"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3FF15F72"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Por lo que tratándose del tema o temas que se requieran en las solicitudes, 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deberá en todo momento ajustarse además de la normatividad aplicable a los asuntos, a las resoluciones aprobadas.</w:t>
      </w:r>
    </w:p>
    <w:p w14:paraId="29E76332"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color w:val="000000"/>
          <w:lang w:val="es-ES_tradnl"/>
        </w:rPr>
      </w:pPr>
    </w:p>
    <w:p w14:paraId="2CD53348"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 xml:space="preserve">En consecuencia, para responder a las solicitudes de acceso a la información en cuestión 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w:t>
      </w:r>
      <w:r w:rsidRPr="00A3599E">
        <w:rPr>
          <w:rFonts w:ascii="Palatino Linotype" w:hAnsi="Palatino Linotype" w:cs="Arial"/>
          <w:lang w:val="es-ES"/>
        </w:rPr>
        <w:t>deberá de verificar si éstas corresponden a una facultad, competencia o función explícita o implícita. Si no estuvieran comprendidas en éstas, bastará con que su respuesta señale lo anterior. Pero si la información corresponde al ejercicio de sus facultades, competencias o funciones, deberá de proceder, según lo establecido en el artículo 162 de la Ley de Transparencia y Acceso a la Información Pública del Estado de México, turnando las solicitudes a todas las áreas competentes que cuenten o deban tener la información, con objeto de que realicen una búsqueda exhaustiva y razonable de la información solicitada.</w:t>
      </w:r>
    </w:p>
    <w:p w14:paraId="0A1D1AE4"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
        </w:rPr>
      </w:pPr>
    </w:p>
    <w:p w14:paraId="199D461E"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 xml:space="preserve">Una vez que la información sea localizada, los servidores públicos habilitados deberán de valorar si se entrega en su totalidad, en versión pública o si es susceptible de clasificarse, según lo que se describe en la sección siguiente. </w:t>
      </w:r>
    </w:p>
    <w:p w14:paraId="4197A399"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
        </w:rPr>
      </w:pPr>
    </w:p>
    <w:p w14:paraId="716BEEFC"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 xml:space="preserve">No obstante, también debe considerarse que aun cuando la información requerida corresponda a alguna función, facultad o competencia del </w:t>
      </w:r>
      <w:r w:rsidRPr="00A3599E">
        <w:rPr>
          <w:rFonts w:ascii="Palatino Linotype" w:hAnsi="Palatino Linotype" w:cs="Arial"/>
          <w:b/>
          <w:bCs/>
          <w:color w:val="000000"/>
          <w:lang w:val="es-ES_tradnl"/>
        </w:rPr>
        <w:t>SUJETO OBLIGADO</w:t>
      </w:r>
      <w:r w:rsidRPr="00A3599E">
        <w:rPr>
          <w:rFonts w:ascii="Palatino Linotype" w:hAnsi="Palatino Linotype" w:cs="Arial"/>
          <w:lang w:val="es-ES"/>
        </w:rPr>
        <w:t>, es posible que esta información no se localice, bien porque no se haya generado o porque no se encuentre disponible, en el momento de su búsqueda.</w:t>
      </w:r>
    </w:p>
    <w:p w14:paraId="54BC218C"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lang w:val="es-ES"/>
        </w:rPr>
      </w:pPr>
    </w:p>
    <w:p w14:paraId="505FD632"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lastRenderedPageBreak/>
        <w:t xml:space="preserve">A diferencia de la Ley General, la Ley de Transparencia y Acceso a la Información Pública del Estado de México y Municipios establece, en su artículo 19,  dos supuestos generales para proceder en el caso de información inexistente pero cuya existencia se presume por relacionarse con las facultades, competencias y funciones legales de los sujetos obligados, como a continuación se observa: </w:t>
      </w:r>
    </w:p>
    <w:p w14:paraId="07A909F2" w14:textId="77777777" w:rsidR="00191180" w:rsidRPr="00A3599E" w:rsidRDefault="00191180" w:rsidP="006F7BEF">
      <w:pPr>
        <w:suppressAutoHyphens w:val="0"/>
        <w:spacing w:before="240" w:after="240" w:line="360" w:lineRule="auto"/>
        <w:contextualSpacing/>
        <w:jc w:val="both"/>
        <w:rPr>
          <w:rFonts w:ascii="Palatino Linotype" w:hAnsi="Palatino Linotype" w:cs="Arial"/>
          <w:lang w:val="es-ES_tradnl"/>
        </w:rPr>
      </w:pPr>
    </w:p>
    <w:p w14:paraId="7AEF2ADA" w14:textId="77777777" w:rsidR="00191180" w:rsidRPr="00A3599E" w:rsidRDefault="00191180" w:rsidP="006F7BEF">
      <w:pPr>
        <w:tabs>
          <w:tab w:val="left" w:pos="8080"/>
        </w:tabs>
        <w:suppressAutoHyphens w:val="0"/>
        <w:spacing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w:t>
      </w:r>
      <w:r w:rsidRPr="00A3599E">
        <w:rPr>
          <w:rFonts w:ascii="Palatino Linotype" w:hAnsi="Palatino Linotype" w:cs="Arial"/>
          <w:b/>
          <w:i/>
          <w:lang w:val="es-ES_tradnl"/>
        </w:rPr>
        <w:t>Artículo 19.</w:t>
      </w:r>
      <w:r w:rsidRPr="00A3599E">
        <w:rPr>
          <w:rFonts w:ascii="Palatino Linotype" w:hAnsi="Palatino Linotype" w:cs="Arial"/>
          <w:i/>
          <w:lang w:val="es-ES_tradnl"/>
        </w:rPr>
        <w:t xml:space="preserve"> Se presume que la información debe existir si se refiere a las facultades, competencias y funciones que los ordenamientos jurídicos aplicables otorgan a los sujetos obligados.</w:t>
      </w:r>
    </w:p>
    <w:p w14:paraId="444BF843" w14:textId="77777777" w:rsidR="00191180" w:rsidRPr="00A3599E" w:rsidRDefault="00191180" w:rsidP="006F7BEF">
      <w:pPr>
        <w:tabs>
          <w:tab w:val="left" w:pos="8080"/>
        </w:tabs>
        <w:suppressAutoHyphens w:val="0"/>
        <w:spacing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 xml:space="preserve"> En los casos en que ciertas facultades, competencias o funciones no se hayan ejercido, se debe motivar la respuesta en función de las causas que motiven tal circunstancia. </w:t>
      </w:r>
    </w:p>
    <w:p w14:paraId="16B23A1C" w14:textId="08A3EF1A" w:rsidR="00191180" w:rsidRPr="00A3599E" w:rsidRDefault="00191180" w:rsidP="006F7BEF">
      <w:pPr>
        <w:tabs>
          <w:tab w:val="left" w:pos="8080"/>
        </w:tabs>
        <w:suppressAutoHyphens w:val="0"/>
        <w:spacing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Si el sujeto obligado, en el ejercicio de sus atribuciones, debía generar, poseer o administrar la información, pero ésta no se encuentra, el Comité de transparencia deberá emitir un acuerdo de inexistencia, debidamente fundado y motivado, en el que detalle las razones del po</w:t>
      </w:r>
      <w:r w:rsidR="000D0723" w:rsidRPr="00A3599E">
        <w:rPr>
          <w:rFonts w:ascii="Palatino Linotype" w:hAnsi="Palatino Linotype" w:cs="Arial"/>
          <w:i/>
          <w:lang w:val="es-ES_tradnl"/>
        </w:rPr>
        <w:t>r qué no obra en sus archivos.”</w:t>
      </w:r>
    </w:p>
    <w:p w14:paraId="4E6BFBFE" w14:textId="77777777" w:rsidR="00191180" w:rsidRPr="00A3599E" w:rsidRDefault="00191180" w:rsidP="006F7BEF">
      <w:pPr>
        <w:suppressAutoHyphens w:val="0"/>
        <w:spacing w:line="360" w:lineRule="auto"/>
        <w:rPr>
          <w:rFonts w:ascii="Palatino Linotype" w:hAnsi="Palatino Linotype" w:cs="Arial"/>
          <w:lang w:val="es-ES_tradnl"/>
        </w:rPr>
      </w:pPr>
    </w:p>
    <w:p w14:paraId="1FAF257A"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El primer supuesto, que corresponde a lo señalado en su segundo párrafo, alude a actos no realizados y contemplados en alguna hipótesis jurídica: </w:t>
      </w:r>
    </w:p>
    <w:p w14:paraId="1D3D89DF" w14:textId="77777777" w:rsidR="00191180" w:rsidRPr="00A3599E" w:rsidRDefault="00191180" w:rsidP="006F7BEF">
      <w:pPr>
        <w:suppressAutoHyphens w:val="0"/>
        <w:spacing w:before="240" w:after="240" w:line="360" w:lineRule="auto"/>
        <w:ind w:right="567"/>
        <w:contextualSpacing/>
        <w:jc w:val="both"/>
        <w:rPr>
          <w:rFonts w:ascii="Palatino Linotype" w:hAnsi="Palatino Linotype" w:cs="Arial"/>
          <w:lang w:val="es-ES_tradnl"/>
        </w:rPr>
      </w:pPr>
    </w:p>
    <w:p w14:paraId="5CDEED9A" w14:textId="77777777" w:rsidR="00191180" w:rsidRPr="00A3599E" w:rsidRDefault="00191180" w:rsidP="006F7BEF">
      <w:pPr>
        <w:numPr>
          <w:ilvl w:val="0"/>
          <w:numId w:val="10"/>
        </w:numPr>
        <w:suppressAutoHyphens w:val="0"/>
        <w:spacing w:before="240" w:after="240" w:line="360" w:lineRule="auto"/>
        <w:ind w:right="709"/>
        <w:contextualSpacing/>
        <w:jc w:val="both"/>
        <w:rPr>
          <w:rFonts w:ascii="Palatino Linotype" w:hAnsi="Palatino Linotype" w:cs="Arial"/>
          <w:lang w:val="es-ES_tradnl"/>
        </w:rPr>
      </w:pPr>
      <w:r w:rsidRPr="00A3599E">
        <w:rPr>
          <w:rFonts w:ascii="Palatino Linotype" w:hAnsi="Palatino Linotype" w:cs="Arial"/>
          <w:lang w:val="es-ES_tradnl"/>
        </w:rPr>
        <w:t xml:space="preserve">Cuya realización dependa de que un tercero demande la emisión de un acto de autoridad, la expedición de una licencia, por ejemplo; </w:t>
      </w:r>
    </w:p>
    <w:p w14:paraId="6F4E129F" w14:textId="77777777" w:rsidR="00191180" w:rsidRPr="00A3599E" w:rsidRDefault="00191180" w:rsidP="006F7BEF">
      <w:pPr>
        <w:numPr>
          <w:ilvl w:val="0"/>
          <w:numId w:val="10"/>
        </w:numPr>
        <w:suppressAutoHyphens w:val="0"/>
        <w:spacing w:before="240" w:after="240" w:line="360" w:lineRule="auto"/>
        <w:ind w:right="709"/>
        <w:contextualSpacing/>
        <w:jc w:val="both"/>
        <w:rPr>
          <w:rFonts w:ascii="Palatino Linotype" w:hAnsi="Palatino Linotype" w:cs="Arial"/>
          <w:lang w:val="es-ES_tradnl"/>
        </w:rPr>
      </w:pPr>
      <w:r w:rsidRPr="00A3599E">
        <w:rPr>
          <w:rFonts w:ascii="Palatino Linotype" w:hAnsi="Palatino Linotype" w:cs="Arial"/>
          <w:lang w:val="es-ES_tradnl"/>
        </w:rPr>
        <w:t>De un acontecimiento de realización probable, la Cuenta Pública correspondiente a un ejercicio fiscal en curso; o</w:t>
      </w:r>
    </w:p>
    <w:p w14:paraId="212D4A43" w14:textId="77777777" w:rsidR="00191180" w:rsidRPr="00A3599E" w:rsidRDefault="00191180" w:rsidP="006F7BEF">
      <w:pPr>
        <w:numPr>
          <w:ilvl w:val="0"/>
          <w:numId w:val="10"/>
        </w:numPr>
        <w:suppressAutoHyphens w:val="0"/>
        <w:spacing w:before="240" w:after="240" w:line="360" w:lineRule="auto"/>
        <w:ind w:right="709"/>
        <w:contextualSpacing/>
        <w:jc w:val="both"/>
        <w:rPr>
          <w:rFonts w:ascii="Palatino Linotype" w:hAnsi="Palatino Linotype" w:cs="Arial"/>
          <w:lang w:val="es-ES_tradnl"/>
        </w:rPr>
      </w:pPr>
      <w:r w:rsidRPr="00A3599E">
        <w:rPr>
          <w:rFonts w:ascii="Palatino Linotype" w:hAnsi="Palatino Linotype" w:cs="Arial"/>
          <w:lang w:val="es-ES_tradnl"/>
        </w:rPr>
        <w:lastRenderedPageBreak/>
        <w:t>Una facultad potestativa, la firma de convenio de colaboración.</w:t>
      </w:r>
    </w:p>
    <w:p w14:paraId="6186A06A" w14:textId="77777777" w:rsidR="00191180" w:rsidRPr="00A3599E" w:rsidRDefault="00191180" w:rsidP="006F7BEF">
      <w:pPr>
        <w:suppressAutoHyphens w:val="0"/>
        <w:spacing w:before="240" w:line="360" w:lineRule="auto"/>
        <w:ind w:right="567"/>
        <w:jc w:val="both"/>
        <w:rPr>
          <w:rFonts w:ascii="Palatino Linotype" w:hAnsi="Palatino Linotype" w:cs="Arial"/>
          <w:lang w:val="es-ES_tradnl"/>
        </w:rPr>
      </w:pPr>
    </w:p>
    <w:p w14:paraId="04C4E591"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 En estos casos, el </w:t>
      </w:r>
      <w:r w:rsidRPr="00A3599E">
        <w:rPr>
          <w:rFonts w:ascii="Palatino Linotype" w:hAnsi="Palatino Linotype" w:cs="Arial"/>
          <w:b/>
          <w:bCs/>
          <w:color w:val="000000"/>
          <w:lang w:val="es-ES_tradnl"/>
        </w:rPr>
        <w:t>SUJETO OBLIGADO</w:t>
      </w:r>
      <w:r w:rsidRPr="00A3599E">
        <w:rPr>
          <w:rFonts w:ascii="Palatino Linotype" w:hAnsi="Palatino Linotype" w:cs="Arial"/>
          <w:lang w:val="es-ES_tradnl"/>
        </w:rPr>
        <w:t>, al emitir su respuesta o cumplir con una resolución emitida por este Órgano Garante, deberá manifestar, de manera precisa y clara, las razones que expliquen las causas por las que no se ha realizado el acto de autoridad y, en consecuencia, no se ha documentado decisión alguna.</w:t>
      </w:r>
    </w:p>
    <w:p w14:paraId="10A7A41A"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_tradnl"/>
        </w:rPr>
      </w:pPr>
    </w:p>
    <w:p w14:paraId="0A4F244F"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El segundo supuesto, que corresponde a lo señalado en su último párrafo del artículo antes referido, alude a: </w:t>
      </w:r>
    </w:p>
    <w:p w14:paraId="19309A48" w14:textId="77777777" w:rsidR="00191180" w:rsidRPr="00A3599E" w:rsidRDefault="00191180" w:rsidP="006F7BEF">
      <w:pPr>
        <w:suppressAutoHyphens w:val="0"/>
        <w:spacing w:line="360" w:lineRule="auto"/>
        <w:ind w:left="720"/>
        <w:contextualSpacing/>
        <w:rPr>
          <w:rFonts w:ascii="Palatino Linotype" w:hAnsi="Palatino Linotype" w:cs="Arial"/>
          <w:lang w:val="es-ES_tradnl"/>
        </w:rPr>
      </w:pPr>
    </w:p>
    <w:p w14:paraId="789B7CBE" w14:textId="77777777" w:rsidR="00191180" w:rsidRPr="00A3599E" w:rsidRDefault="00191180" w:rsidP="006F7BEF">
      <w:pPr>
        <w:tabs>
          <w:tab w:val="left" w:pos="7655"/>
        </w:tabs>
        <w:suppressAutoHyphens w:val="0"/>
        <w:spacing w:before="240" w:after="240" w:line="360" w:lineRule="auto"/>
        <w:ind w:left="851" w:right="709" w:hanging="284"/>
        <w:contextualSpacing/>
        <w:jc w:val="both"/>
        <w:rPr>
          <w:rFonts w:ascii="Palatino Linotype" w:hAnsi="Palatino Linotype" w:cs="Arial"/>
          <w:lang w:val="es-ES_tradnl"/>
        </w:rPr>
      </w:pPr>
      <w:r w:rsidRPr="00A3599E">
        <w:rPr>
          <w:rFonts w:ascii="Palatino Linotype" w:hAnsi="Palatino Linotype" w:cs="Arial"/>
          <w:b/>
          <w:bCs/>
          <w:lang w:val="es-ES_tradnl"/>
        </w:rPr>
        <w:t>I.-</w:t>
      </w:r>
      <w:r w:rsidRPr="00A3599E">
        <w:rPr>
          <w:rFonts w:ascii="Palatino Linotype" w:hAnsi="Palatino Linotype" w:cs="Arial"/>
          <w:lang w:val="es-ES_tradnl"/>
        </w:rPr>
        <w:t xml:space="preserve"> Actos realizados sobre los cuales: </w:t>
      </w:r>
    </w:p>
    <w:p w14:paraId="000D74E5" w14:textId="77777777" w:rsidR="00191180" w:rsidRPr="00A3599E" w:rsidRDefault="00191180" w:rsidP="006F7BEF">
      <w:pPr>
        <w:tabs>
          <w:tab w:val="left" w:pos="1418"/>
          <w:tab w:val="left" w:pos="7655"/>
        </w:tabs>
        <w:suppressAutoHyphens w:val="0"/>
        <w:spacing w:before="240" w:after="240" w:line="360" w:lineRule="auto"/>
        <w:ind w:left="1134" w:right="709"/>
        <w:contextualSpacing/>
        <w:jc w:val="both"/>
        <w:rPr>
          <w:rFonts w:ascii="Palatino Linotype" w:hAnsi="Palatino Linotype" w:cs="Arial"/>
          <w:lang w:val="es-ES_tradnl"/>
        </w:rPr>
      </w:pPr>
      <w:r w:rsidRPr="00A3599E">
        <w:rPr>
          <w:rFonts w:ascii="Palatino Linotype" w:hAnsi="Palatino Linotype" w:cs="Arial"/>
          <w:b/>
          <w:bCs/>
          <w:lang w:val="es-ES_tradnl"/>
        </w:rPr>
        <w:t>a)</w:t>
      </w:r>
      <w:r w:rsidRPr="00A3599E">
        <w:rPr>
          <w:rFonts w:ascii="Palatino Linotype" w:hAnsi="Palatino Linotype" w:cs="Arial"/>
          <w:lang w:val="es-ES_tradnl"/>
        </w:rPr>
        <w:t xml:space="preserve"> No se generó, poseyó o administró el documento que registre la información solicitada; </w:t>
      </w:r>
    </w:p>
    <w:p w14:paraId="1F4A3003" w14:textId="77777777" w:rsidR="00191180" w:rsidRPr="00A3599E" w:rsidRDefault="00191180" w:rsidP="006F7BEF">
      <w:pPr>
        <w:tabs>
          <w:tab w:val="left" w:pos="1418"/>
          <w:tab w:val="left" w:pos="7655"/>
        </w:tabs>
        <w:suppressAutoHyphens w:val="0"/>
        <w:spacing w:before="240" w:after="240" w:line="360" w:lineRule="auto"/>
        <w:ind w:left="1134" w:right="709"/>
        <w:contextualSpacing/>
        <w:jc w:val="both"/>
        <w:rPr>
          <w:rFonts w:ascii="Palatino Linotype" w:hAnsi="Palatino Linotype" w:cs="Arial"/>
          <w:lang w:val="es-ES_tradnl"/>
        </w:rPr>
      </w:pPr>
      <w:r w:rsidRPr="00A3599E">
        <w:rPr>
          <w:rFonts w:ascii="Palatino Linotype" w:hAnsi="Palatino Linotype" w:cs="Arial"/>
          <w:b/>
          <w:bCs/>
          <w:lang w:val="es-ES_tradnl"/>
        </w:rPr>
        <w:t>b)</w:t>
      </w:r>
      <w:r w:rsidRPr="00A3599E">
        <w:rPr>
          <w:rFonts w:ascii="Palatino Linotype" w:hAnsi="Palatino Linotype" w:cs="Arial"/>
          <w:lang w:val="es-ES_tradnl"/>
        </w:rPr>
        <w:t xml:space="preserve"> Habiendo sido generada, poseída o administrada, no se cuenta con la información solicitada.</w:t>
      </w:r>
    </w:p>
    <w:p w14:paraId="1AD24453" w14:textId="77777777" w:rsidR="00C1345F" w:rsidRPr="00A3599E" w:rsidRDefault="00C1345F" w:rsidP="006F7BEF">
      <w:pPr>
        <w:tabs>
          <w:tab w:val="left" w:pos="1418"/>
          <w:tab w:val="left" w:pos="7655"/>
        </w:tabs>
        <w:suppressAutoHyphens w:val="0"/>
        <w:spacing w:before="240" w:after="240" w:line="360" w:lineRule="auto"/>
        <w:ind w:left="1134" w:right="709"/>
        <w:contextualSpacing/>
        <w:jc w:val="both"/>
        <w:rPr>
          <w:rFonts w:ascii="Palatino Linotype" w:hAnsi="Palatino Linotype" w:cs="Arial"/>
          <w:lang w:val="es-ES_tradnl"/>
        </w:rPr>
      </w:pPr>
    </w:p>
    <w:p w14:paraId="7C20AD1E" w14:textId="77777777" w:rsidR="00191180" w:rsidRPr="00A3599E" w:rsidRDefault="00191180" w:rsidP="006F7BEF">
      <w:pPr>
        <w:tabs>
          <w:tab w:val="left" w:pos="7655"/>
        </w:tabs>
        <w:suppressAutoHyphens w:val="0"/>
        <w:spacing w:before="240" w:after="240" w:line="360" w:lineRule="auto"/>
        <w:ind w:left="851" w:right="567" w:hanging="284"/>
        <w:contextualSpacing/>
        <w:jc w:val="both"/>
        <w:rPr>
          <w:rFonts w:ascii="Palatino Linotype" w:hAnsi="Palatino Linotype" w:cs="Arial"/>
          <w:lang w:val="es-ES_tradnl"/>
        </w:rPr>
      </w:pPr>
      <w:r w:rsidRPr="00A3599E">
        <w:rPr>
          <w:rFonts w:ascii="Palatino Linotype" w:hAnsi="Palatino Linotype" w:cs="Arial"/>
          <w:b/>
          <w:bCs/>
          <w:lang w:val="es-ES_tradnl"/>
        </w:rPr>
        <w:t>II.-</w:t>
      </w:r>
      <w:r w:rsidRPr="00A3599E">
        <w:rPr>
          <w:rFonts w:ascii="Palatino Linotype" w:hAnsi="Palatino Linotype" w:cs="Arial"/>
          <w:lang w:val="es-ES_tradnl"/>
        </w:rPr>
        <w:t xml:space="preserve"> 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w:t>
      </w:r>
      <w:r w:rsidRPr="00A3599E">
        <w:rPr>
          <w:rFonts w:ascii="Palatino Linotype" w:hAnsi="Palatino Linotype" w:cs="Arial"/>
          <w:lang w:val="es-ES_tradnl"/>
        </w:rPr>
        <w:t xml:space="preserve">fue omiso en el ejercicio de una facultad, competencia o atribución inexcusable. </w:t>
      </w:r>
    </w:p>
    <w:p w14:paraId="0C9E5110" w14:textId="77777777" w:rsidR="00191180" w:rsidRPr="00A3599E" w:rsidRDefault="00191180" w:rsidP="006F7BEF">
      <w:pPr>
        <w:suppressAutoHyphens w:val="0"/>
        <w:spacing w:before="240" w:after="240" w:line="360" w:lineRule="auto"/>
        <w:contextualSpacing/>
        <w:jc w:val="both"/>
        <w:rPr>
          <w:rFonts w:ascii="Palatino Linotype" w:hAnsi="Palatino Linotype" w:cs="Arial"/>
          <w:lang w:val="es-ES_tradnl"/>
        </w:rPr>
      </w:pPr>
    </w:p>
    <w:p w14:paraId="30987B5A"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En estos casos, será necesario acreditar que se cumplieron los supuestos del artículo 169 del citado ordenamiento y emitir la resolución que confirme la inexistencia cumpliendo con las formalidades señaladas en el artículo 170 de la misma norma. </w:t>
      </w:r>
    </w:p>
    <w:p w14:paraId="64C0E96F" w14:textId="77777777" w:rsidR="00191180" w:rsidRPr="00A3599E" w:rsidRDefault="00191180" w:rsidP="006F7BEF">
      <w:pPr>
        <w:tabs>
          <w:tab w:val="left" w:pos="426"/>
        </w:tabs>
        <w:suppressAutoHyphens w:val="0"/>
        <w:spacing w:line="360" w:lineRule="auto"/>
        <w:contextualSpacing/>
        <w:rPr>
          <w:rFonts w:ascii="Palatino Linotype" w:hAnsi="Palatino Linotype" w:cs="Arial"/>
          <w:lang w:val="es-ES_tradnl"/>
        </w:rPr>
      </w:pPr>
    </w:p>
    <w:p w14:paraId="57C83AF0"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lang w:val="es-ES_tradnl"/>
        </w:rPr>
        <w:lastRenderedPageBreak/>
        <w:t xml:space="preserve">En cualquiera de los casos, imperativamente, 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w:t>
      </w:r>
      <w:r w:rsidRPr="00A3599E">
        <w:rPr>
          <w:rFonts w:ascii="Palatino Linotype" w:hAnsi="Palatino Linotype" w:cs="Arial"/>
          <w:lang w:val="es-ES_tradnl"/>
        </w:rPr>
        <w:t xml:space="preserve">debe de responder a la solicitud de acceso a la información pública, ya sea señalando que no cuenta con la información porque esta no corresponde al ejercicio de sus facultades, competencias o funciones, o bien, si la información sí corresponde a cualquiera de éstas, buscando, localizando y entregando la información de manera íntegra, parcial o clasificándola en su totalidad por los supuestos que se señalan en la sección siguiente o, en su defecto, </w:t>
      </w:r>
      <w:r w:rsidRPr="00A3599E">
        <w:rPr>
          <w:rFonts w:ascii="Palatino Linotype" w:hAnsi="Palatino Linotype" w:cs="Arial"/>
          <w:b/>
          <w:lang w:val="es-ES_tradnl"/>
        </w:rPr>
        <w:t>de no localizar la información que debía tener, procediendo según lo refieren los párrafos segundo o tercero del artículo 19 de la Ley de Transparencia y Acceso a la Información Pública</w:t>
      </w:r>
      <w:r w:rsidRPr="00A3599E">
        <w:rPr>
          <w:rFonts w:ascii="Palatino Linotype" w:hAnsi="Palatino Linotype" w:cs="Arial"/>
          <w:lang w:val="es-ES_tradnl"/>
        </w:rPr>
        <w:t>, pero emitiendo una respuesta.</w:t>
      </w:r>
    </w:p>
    <w:p w14:paraId="2328772D" w14:textId="77777777" w:rsidR="00191180" w:rsidRPr="00A3599E" w:rsidRDefault="00191180" w:rsidP="006F7BEF">
      <w:pPr>
        <w:suppressAutoHyphens w:val="0"/>
        <w:spacing w:line="360" w:lineRule="auto"/>
        <w:ind w:right="49"/>
        <w:contextualSpacing/>
        <w:jc w:val="both"/>
        <w:rPr>
          <w:rFonts w:ascii="Palatino Linotype" w:hAnsi="Palatino Linotype" w:cs="Arial"/>
          <w:color w:val="000000"/>
          <w:lang w:val="es-ES_tradnl"/>
        </w:rPr>
      </w:pPr>
    </w:p>
    <w:p w14:paraId="6270AEEB" w14:textId="77777777" w:rsidR="00191180" w:rsidRPr="00A3599E" w:rsidRDefault="00191180" w:rsidP="006F7BEF">
      <w:pPr>
        <w:keepNext/>
        <w:keepLines/>
        <w:suppressAutoHyphens w:val="0"/>
        <w:spacing w:before="40" w:after="160" w:line="360" w:lineRule="auto"/>
        <w:outlineLvl w:val="1"/>
        <w:rPr>
          <w:rFonts w:ascii="Palatino Linotype" w:hAnsi="Palatino Linotype"/>
          <w:b/>
          <w:lang w:eastAsia="en-US"/>
        </w:rPr>
      </w:pPr>
      <w:bookmarkStart w:id="92" w:name="_Toc524344194"/>
      <w:bookmarkStart w:id="93" w:name="_Toc526271199"/>
      <w:bookmarkStart w:id="94" w:name="_Toc536105846"/>
      <w:bookmarkStart w:id="95" w:name="_Toc536106973"/>
      <w:bookmarkStart w:id="96" w:name="_Toc103178786"/>
      <w:r w:rsidRPr="00A3599E">
        <w:rPr>
          <w:rFonts w:ascii="Palatino Linotype" w:hAnsi="Palatino Linotype"/>
          <w:b/>
          <w:lang w:eastAsia="en-US"/>
        </w:rPr>
        <w:t>III. Análisis al que debe someterse la información antes de su entrega.</w:t>
      </w:r>
      <w:bookmarkEnd w:id="92"/>
      <w:bookmarkEnd w:id="93"/>
      <w:bookmarkEnd w:id="94"/>
      <w:bookmarkEnd w:id="95"/>
      <w:bookmarkEnd w:id="96"/>
    </w:p>
    <w:p w14:paraId="17F368B5" w14:textId="77777777" w:rsidR="00191180" w:rsidRPr="00A3599E" w:rsidRDefault="00191180" w:rsidP="006F7BEF">
      <w:pPr>
        <w:suppressAutoHyphens w:val="0"/>
        <w:spacing w:line="360" w:lineRule="auto"/>
        <w:ind w:right="49"/>
        <w:contextualSpacing/>
        <w:jc w:val="both"/>
        <w:rPr>
          <w:rFonts w:ascii="Palatino Linotype" w:hAnsi="Palatino Linotype" w:cs="Arial"/>
          <w:color w:val="000000"/>
          <w:lang w:val="es-ES_tradnl"/>
        </w:rPr>
      </w:pPr>
    </w:p>
    <w:p w14:paraId="70049A7A"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Considerando que las disposiciones constitucionales previamente citadas le otorgan, a todos los documentos en posesión de las autoridades, la calidad de públicos y que únicamente pueden ser protegidos permanentemente los datos personales y reservados temporalmente, cierta información pública por razones de interés público y en los términos expresamente señalados en la ley, debe manifestarse que el derecho de acceso a la información pública no es absoluto pero cualquier restricción debe de estar sujeta a un sistema rígido de excepciones, en el que los Sujetos Obligados deben fundamentar y argumentar las causas de interés público que se ponen en riesgo al liberarse la información.</w:t>
      </w:r>
    </w:p>
    <w:p w14:paraId="7BA73965"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
        </w:rPr>
      </w:pPr>
    </w:p>
    <w:p w14:paraId="5951DA4A"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lastRenderedPageBreak/>
        <w:t>En armonía con la Constitución Local, la Ley de Transparencia y Acceso a la Información Pública del Estado de México y Municipios establece las únicas dos limitantes que se pueden actualizar para restringir el acceso a los documentos en posesión de los entes públicos, así como un catálogo limitado de premisas para que la información sea reservada por causas de interés público:</w:t>
      </w:r>
    </w:p>
    <w:p w14:paraId="343039CD" w14:textId="77777777" w:rsidR="00191180" w:rsidRPr="00A3599E" w:rsidRDefault="00191180" w:rsidP="006F7BEF">
      <w:pPr>
        <w:suppressAutoHyphens w:val="0"/>
        <w:spacing w:line="360" w:lineRule="auto"/>
        <w:ind w:left="720"/>
        <w:contextualSpacing/>
        <w:rPr>
          <w:rFonts w:ascii="Palatino Linotype" w:hAnsi="Palatino Linotype" w:cs="Arial"/>
          <w:lang w:val="es-ES"/>
        </w:rPr>
      </w:pPr>
    </w:p>
    <w:p w14:paraId="39263D0C"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i/>
          <w:color w:val="000000"/>
        </w:rPr>
        <w:t>“Artículo 4.</w:t>
      </w:r>
      <w:r w:rsidRPr="00A3599E">
        <w:rPr>
          <w:rFonts w:ascii="Palatino Linotype" w:hAnsi="Palatino Linotype" w:cs="Arial"/>
          <w:i/>
          <w:color w:val="000000"/>
        </w:rPr>
        <w:t xml:space="preserve"> El derecho humano de acceso a la información pública es la prerrogativa de las personas para buscar, difundir, investigar, recabar, recibir y solicitar información pública, sin necesidad de acreditar personalidad ni interés jurídico.</w:t>
      </w:r>
    </w:p>
    <w:p w14:paraId="0B00CB75"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14:paraId="3889EFAB"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Los sujetos obligados deben poner en práctica, políticas y programas de acceso a la información que se apeguen a criterios de publicidad, veracidad, oportunidad, precisión y suficiencia en beneficio de los solicitantes.</w:t>
      </w:r>
    </w:p>
    <w:p w14:paraId="1EBC3463"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w:t>
      </w:r>
    </w:p>
    <w:p w14:paraId="35327575"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p>
    <w:p w14:paraId="6BD0EBE2"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lastRenderedPageBreak/>
        <w:t>“</w:t>
      </w:r>
      <w:r w:rsidRPr="00A3599E">
        <w:rPr>
          <w:rFonts w:ascii="Palatino Linotype" w:hAnsi="Palatino Linotype" w:cs="Arial"/>
          <w:b/>
          <w:i/>
          <w:color w:val="000000"/>
        </w:rPr>
        <w:t>Artículo 122.</w:t>
      </w:r>
      <w:r w:rsidRPr="00A3599E">
        <w:rPr>
          <w:rFonts w:ascii="Palatino Linotype" w:hAnsi="Palatino Linotype" w:cs="Arial"/>
          <w:i/>
          <w:color w:val="000000"/>
        </w:rPr>
        <w:t xml:space="preserve"> La clasificación es el proceso mediante el cual el sujeto obligado determina que la información en su poder </w:t>
      </w:r>
      <w:proofErr w:type="spellStart"/>
      <w:r w:rsidRPr="00A3599E">
        <w:rPr>
          <w:rFonts w:ascii="Palatino Linotype" w:hAnsi="Palatino Linotype" w:cs="Arial"/>
          <w:i/>
          <w:color w:val="000000"/>
        </w:rPr>
        <w:t>actualiza</w:t>
      </w:r>
      <w:proofErr w:type="spellEnd"/>
      <w:r w:rsidRPr="00A3599E">
        <w:rPr>
          <w:rFonts w:ascii="Palatino Linotype" w:hAnsi="Palatino Linotype" w:cs="Arial"/>
          <w:i/>
          <w:color w:val="000000"/>
        </w:rPr>
        <w:t xml:space="preserve"> alguno de los supuestos de reserva o confidencialidad, de conformidad con lo dispuesto en el presente título.</w:t>
      </w:r>
    </w:p>
    <w:p w14:paraId="48F629E6"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Los supuestos de reserva o confidencialidad previstos en las leyes deberán ser acordes con las bases, principios y disposiciones establecidos en la Ley General y, en ningún caso, podrán contravenirla.</w:t>
      </w:r>
    </w:p>
    <w:p w14:paraId="26B22C81"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Los titulares de las áreas de los sujetos obligados serán los responsables de clasificar la información, de conformidad con lo dispuesto en la presente Ley y demás disposiciones jurídicas aplicables.</w:t>
      </w:r>
    </w:p>
    <w:p w14:paraId="1C622370"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w:t>
      </w:r>
    </w:p>
    <w:p w14:paraId="7BF6399B"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p>
    <w:p w14:paraId="300CD8CF"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w:t>
      </w:r>
      <w:r w:rsidRPr="00A3599E">
        <w:rPr>
          <w:rFonts w:ascii="Palatino Linotype" w:hAnsi="Palatino Linotype" w:cs="Arial"/>
          <w:b/>
          <w:i/>
          <w:color w:val="000000"/>
        </w:rPr>
        <w:t>Artículo 140.</w:t>
      </w:r>
      <w:r w:rsidRPr="00A3599E">
        <w:rPr>
          <w:rFonts w:ascii="Palatino Linotype" w:hAnsi="Palatino Linotype" w:cs="Arial"/>
          <w:i/>
          <w:color w:val="000000"/>
        </w:rPr>
        <w:t xml:space="preserve"> El acceso a la información pública será restringido excepcionalmente, cuando por razones de interés público, ésta sea clasificada como reservada, conforme a los criterios siguientes:</w:t>
      </w:r>
    </w:p>
    <w:p w14:paraId="77E64D72"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I.</w:t>
      </w:r>
      <w:r w:rsidRPr="00A3599E">
        <w:rPr>
          <w:rFonts w:ascii="Palatino Linotype" w:hAnsi="Palatino Linotype" w:cs="Arial"/>
          <w:i/>
          <w:color w:val="000000"/>
        </w:rPr>
        <w:t xml:space="preserve"> Comprometa la seguridad pública y cuente con un propósito genuino y un efecto demostrable;</w:t>
      </w:r>
    </w:p>
    <w:p w14:paraId="5935FCDB"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II.</w:t>
      </w:r>
      <w:r w:rsidRPr="00A3599E">
        <w:rPr>
          <w:rFonts w:ascii="Palatino Linotype" w:hAnsi="Palatino Linotype" w:cs="Arial"/>
          <w:i/>
          <w:color w:val="000000"/>
        </w:rPr>
        <w:t xml:space="preserve"> Pueda menoscabar la conducción de las negociaciones y relaciones internacionales;</w:t>
      </w:r>
    </w:p>
    <w:p w14:paraId="073253E0"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III.</w:t>
      </w:r>
      <w:r w:rsidRPr="00A3599E">
        <w:rPr>
          <w:rFonts w:ascii="Palatino Linotype" w:hAnsi="Palatino Linotype" w:cs="Arial"/>
          <w:i/>
          <w:color w:val="000000"/>
        </w:rPr>
        <w:t xml:space="preserve"> Se entregue a la Entidad expresamente con ese carácter o el de confidencialidad por otro u otros sujetos de derecho internacional, excepto cuando se trate de violaciones graves de derechos humanos o delitos de lesa humanidad de conformidad con el derecho internacional;</w:t>
      </w:r>
    </w:p>
    <w:p w14:paraId="30C86495"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IV.</w:t>
      </w:r>
      <w:r w:rsidRPr="00A3599E">
        <w:rPr>
          <w:rFonts w:ascii="Palatino Linotype" w:hAnsi="Palatino Linotype" w:cs="Arial"/>
          <w:i/>
          <w:color w:val="000000"/>
        </w:rPr>
        <w:t xml:space="preserve"> Ponga en riesgo la vida, la seguridad o la salud de una persona física;</w:t>
      </w:r>
    </w:p>
    <w:p w14:paraId="12C7886A"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V.</w:t>
      </w:r>
      <w:r w:rsidRPr="00A3599E">
        <w:rPr>
          <w:rFonts w:ascii="Palatino Linotype" w:hAnsi="Palatino Linotype" w:cs="Arial"/>
          <w:i/>
          <w:color w:val="000000"/>
        </w:rPr>
        <w:t xml:space="preserve"> Aquella cuya divulgación obstruya o pueda causar un serio perjuicio a:</w:t>
      </w:r>
    </w:p>
    <w:p w14:paraId="0BC90DA6" w14:textId="77777777" w:rsidR="00191180" w:rsidRPr="00A3599E" w:rsidRDefault="00191180" w:rsidP="006F7BEF">
      <w:pPr>
        <w:suppressAutoHyphens w:val="0"/>
        <w:spacing w:line="360" w:lineRule="auto"/>
        <w:ind w:left="851" w:right="567"/>
        <w:contextualSpacing/>
        <w:jc w:val="both"/>
        <w:rPr>
          <w:rFonts w:ascii="Palatino Linotype" w:hAnsi="Palatino Linotype" w:cs="Arial"/>
          <w:i/>
          <w:color w:val="000000"/>
        </w:rPr>
      </w:pPr>
      <w:r w:rsidRPr="00A3599E">
        <w:rPr>
          <w:rFonts w:ascii="Palatino Linotype" w:hAnsi="Palatino Linotype" w:cs="Arial"/>
          <w:b/>
          <w:bCs/>
          <w:i/>
          <w:color w:val="000000"/>
        </w:rPr>
        <w:lastRenderedPageBreak/>
        <w:t>1.</w:t>
      </w:r>
      <w:r w:rsidRPr="00A3599E">
        <w:rPr>
          <w:rFonts w:ascii="Palatino Linotype" w:hAnsi="Palatino Linotype" w:cs="Arial"/>
          <w:i/>
          <w:color w:val="000000"/>
        </w:rPr>
        <w:t xml:space="preserve"> Las actividades de fiscalización, verificación, inspección, comprobación y auditoría sobre el cumplimiento de las Leyes; o</w:t>
      </w:r>
    </w:p>
    <w:p w14:paraId="3B1D4331" w14:textId="77777777" w:rsidR="00191180" w:rsidRPr="00A3599E" w:rsidRDefault="00191180" w:rsidP="006F7BEF">
      <w:pPr>
        <w:suppressAutoHyphens w:val="0"/>
        <w:spacing w:line="360" w:lineRule="auto"/>
        <w:ind w:left="851" w:right="567"/>
        <w:contextualSpacing/>
        <w:jc w:val="both"/>
        <w:rPr>
          <w:rFonts w:ascii="Palatino Linotype" w:hAnsi="Palatino Linotype" w:cs="Arial"/>
          <w:i/>
          <w:color w:val="000000"/>
        </w:rPr>
      </w:pPr>
      <w:r w:rsidRPr="00A3599E">
        <w:rPr>
          <w:rFonts w:ascii="Palatino Linotype" w:hAnsi="Palatino Linotype" w:cs="Arial"/>
          <w:b/>
          <w:bCs/>
          <w:i/>
          <w:color w:val="000000"/>
        </w:rPr>
        <w:t>2.</w:t>
      </w:r>
      <w:r w:rsidRPr="00A3599E">
        <w:rPr>
          <w:rFonts w:ascii="Palatino Linotype" w:hAnsi="Palatino Linotype" w:cs="Arial"/>
          <w:i/>
          <w:color w:val="000000"/>
        </w:rPr>
        <w:t xml:space="preserve"> La recaudación de las contribuciones.</w:t>
      </w:r>
    </w:p>
    <w:p w14:paraId="6CA776E1"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VI.</w:t>
      </w:r>
      <w:r w:rsidRPr="00A3599E">
        <w:rPr>
          <w:rFonts w:ascii="Palatino Linotype" w:hAnsi="Palatino Linotype" w:cs="Arial"/>
          <w:i/>
          <w:color w:val="000000"/>
        </w:rPr>
        <w:t xml:space="preserve"> Pueda causar daño u obstruya la prevención o persecución de los delitos, altere el proceso de investigación de las carpetas de investigación, afecte o vulnere la conducción o los derechos del debido proceso en los procedimientos judiciales o administrativos, incluidos los de quejas, denuncias, inconformidades, responsabilidades administrativas y resarcitorias en tanto no hayan quedado firmes o afecte la administración de justicia o la seguridad de un denunciante, querellante o testigo, así como sus familias, en los términos de las disposiciones jurídicas aplicables;</w:t>
      </w:r>
    </w:p>
    <w:p w14:paraId="6F888BE6"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 xml:space="preserve">VII. </w:t>
      </w:r>
      <w:r w:rsidRPr="00A3599E">
        <w:rPr>
          <w:rFonts w:ascii="Palatino Linotype" w:hAnsi="Palatino Linotype" w:cs="Arial"/>
          <w:i/>
          <w:color w:val="000000"/>
        </w:rPr>
        <w:t>La que contengan las opiniones, recomendaciones o puntos de vista que formen parte del proceso deliberativo de los servidores públicos, hasta en tanto sea adoptada la decisión definitiva, la cual deberá estar documentada;</w:t>
      </w:r>
    </w:p>
    <w:p w14:paraId="646BE1A0"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VIII.</w:t>
      </w:r>
      <w:r w:rsidRPr="00A3599E">
        <w:rPr>
          <w:rFonts w:ascii="Palatino Linotype" w:hAnsi="Palatino Linotype" w:cs="Arial"/>
          <w:i/>
          <w:color w:val="000000"/>
        </w:rPr>
        <w:t xml:space="preserve"> Vulnere la conducción de los expedientes judiciales o de los procedimientos administrativos seguidos en forma de juicio, en tanto no hayan quedado firmes;</w:t>
      </w:r>
    </w:p>
    <w:p w14:paraId="19BBA6B2"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IX.</w:t>
      </w:r>
      <w:r w:rsidRPr="00A3599E">
        <w:rPr>
          <w:rFonts w:ascii="Palatino Linotype" w:hAnsi="Palatino Linotype" w:cs="Arial"/>
          <w:i/>
          <w:color w:val="000000"/>
        </w:rPr>
        <w:t xml:space="preserve"> Se encuentre contenida dentro de las investigaciones de hechos que la Ley señale como delitos y se tramiten ante el Ministerio Público;</w:t>
      </w:r>
    </w:p>
    <w:p w14:paraId="4EF6BFE6"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X.</w:t>
      </w:r>
      <w:r w:rsidRPr="00A3599E">
        <w:rPr>
          <w:rFonts w:ascii="Palatino Linotype" w:hAnsi="Palatino Linotype" w:cs="Arial"/>
          <w:i/>
          <w:color w:val="000000"/>
        </w:rPr>
        <w:t xml:space="preserve"> El daño que pueda producirse con la publicación de la información sea mayor que el interés público de conocer la información de referencia, siempre que esté directamente relacionado con procesos o procedimientos administrativos o judiciales que no hayan quedado firmes;</w:t>
      </w:r>
    </w:p>
    <w:p w14:paraId="6B2CAE19"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i/>
          <w:color w:val="000000"/>
        </w:rPr>
        <w:t xml:space="preserve">Cuando se trate de información sobre estudios y proyectos cuya divulgación pueda causar daños al interés del Estado o suponga un riesgo para su realización, siempre </w:t>
      </w:r>
      <w:r w:rsidRPr="00A3599E">
        <w:rPr>
          <w:rFonts w:ascii="Palatino Linotype" w:hAnsi="Palatino Linotype" w:cs="Arial"/>
          <w:i/>
          <w:color w:val="000000"/>
        </w:rPr>
        <w:lastRenderedPageBreak/>
        <w:t>que esté directamente relacionado con procesos o procedimientos administrativos o judiciales que no hayan quedado firmes; y</w:t>
      </w:r>
    </w:p>
    <w:p w14:paraId="2C1FE33A"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r w:rsidRPr="00A3599E">
        <w:rPr>
          <w:rFonts w:ascii="Palatino Linotype" w:hAnsi="Palatino Linotype" w:cs="Arial"/>
          <w:b/>
          <w:bCs/>
          <w:i/>
          <w:color w:val="000000"/>
        </w:rPr>
        <w:t>XI.</w:t>
      </w:r>
      <w:r w:rsidRPr="00A3599E">
        <w:rPr>
          <w:rFonts w:ascii="Palatino Linotype" w:hAnsi="Palatino Linotype" w:cs="Arial"/>
          <w:i/>
          <w:color w:val="000000"/>
        </w:rPr>
        <w:t xml:space="preserve"> Las que por disposición expresa de una ley tengan tal carácter, siempre que sean acordes con las bases, principios y disposiciones establecidos en esta Ley y no la contravengan; así como las previstas en tratados internacionales.”</w:t>
      </w:r>
    </w:p>
    <w:p w14:paraId="5E5D0282"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rPr>
      </w:pPr>
    </w:p>
    <w:p w14:paraId="31361848" w14:textId="77777777" w:rsidR="00191180" w:rsidRPr="00A3599E" w:rsidRDefault="00191180" w:rsidP="006F7BEF">
      <w:pPr>
        <w:suppressAutoHyphens w:val="0"/>
        <w:spacing w:line="360" w:lineRule="auto"/>
        <w:ind w:left="567" w:right="567"/>
        <w:contextualSpacing/>
        <w:jc w:val="both"/>
        <w:rPr>
          <w:rFonts w:ascii="Palatino Linotype" w:hAnsi="Palatino Linotype" w:cs="Arial"/>
          <w:b/>
          <w:i/>
          <w:color w:val="000000"/>
        </w:rPr>
      </w:pPr>
      <w:r w:rsidRPr="00A3599E">
        <w:rPr>
          <w:rFonts w:ascii="Palatino Linotype" w:hAnsi="Palatino Linotype" w:cs="Arial"/>
          <w:i/>
          <w:color w:val="000000"/>
        </w:rPr>
        <w:t>“</w:t>
      </w:r>
      <w:r w:rsidRPr="00A3599E">
        <w:rPr>
          <w:rFonts w:ascii="Palatino Linotype" w:hAnsi="Palatino Linotype" w:cs="Arial"/>
          <w:b/>
          <w:i/>
          <w:color w:val="000000"/>
        </w:rPr>
        <w:t>Artículo 141.</w:t>
      </w:r>
      <w:r w:rsidRPr="00A3599E">
        <w:rPr>
          <w:rFonts w:ascii="Palatino Linotype" w:hAnsi="Palatino Linotype" w:cs="Arial"/>
          <w:i/>
          <w:color w:val="000000"/>
        </w:rPr>
        <w:t xml:space="preserve"> </w:t>
      </w:r>
      <w:r w:rsidRPr="00A3599E">
        <w:rPr>
          <w:rFonts w:ascii="Palatino Linotype" w:hAnsi="Palatino Linotype" w:cs="Arial"/>
          <w:b/>
          <w:i/>
          <w:color w:val="000000"/>
        </w:rPr>
        <w:t>Las causales de reserva previstas en este Capítulo se deberán fundar y motivar, a través de la aplicación de la prueba de daño a la que se hace referencia en el presente Título.”</w:t>
      </w:r>
    </w:p>
    <w:p w14:paraId="034E60F2" w14:textId="77777777" w:rsidR="00191180" w:rsidRPr="00A3599E" w:rsidRDefault="00191180" w:rsidP="006F7BEF">
      <w:pPr>
        <w:suppressAutoHyphens w:val="0"/>
        <w:spacing w:line="360" w:lineRule="auto"/>
        <w:ind w:left="567" w:right="567"/>
        <w:contextualSpacing/>
        <w:jc w:val="both"/>
        <w:rPr>
          <w:rFonts w:ascii="Palatino Linotype" w:hAnsi="Palatino Linotype" w:cs="Arial"/>
          <w:b/>
          <w:i/>
          <w:color w:val="000000"/>
        </w:rPr>
      </w:pPr>
      <w:r w:rsidRPr="00A3599E">
        <w:rPr>
          <w:rFonts w:ascii="Palatino Linotype" w:hAnsi="Palatino Linotype" w:cs="Arial"/>
          <w:i/>
          <w:color w:val="000000"/>
        </w:rPr>
        <w:t xml:space="preserve">(Énfasis añadido) </w:t>
      </w:r>
    </w:p>
    <w:p w14:paraId="70E9CEC5" w14:textId="77777777" w:rsidR="00191180" w:rsidRPr="00A3599E" w:rsidRDefault="00191180" w:rsidP="006F7BEF">
      <w:pPr>
        <w:suppressAutoHyphens w:val="0"/>
        <w:autoSpaceDE w:val="0"/>
        <w:autoSpaceDN w:val="0"/>
        <w:adjustRightInd w:val="0"/>
        <w:spacing w:line="360" w:lineRule="auto"/>
        <w:ind w:right="50" w:firstLine="1418"/>
        <w:jc w:val="both"/>
        <w:rPr>
          <w:rFonts w:ascii="Palatino Linotype" w:hAnsi="Palatino Linotype" w:cs="Arial"/>
          <w:bCs/>
          <w:color w:val="000000"/>
          <w:lang w:val="es-ES_tradnl"/>
        </w:rPr>
      </w:pPr>
    </w:p>
    <w:p w14:paraId="54AE57E0"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De estas disposiciones legales se deduce que la información clasificada como reservada no pierde su categoría de “pública”, sino que existe una restricción en su difusión por causas que pudieran vulnerar al Estado, a sus instituciones o a la colectividad, sin embargo, esta condición no es en automático, dado que el mismo artículo 141 precisa que las causales de reserva deberán fundarse y motivarse y deben de ser acompañadas de la aplicación de la prueba de daño.</w:t>
      </w:r>
    </w:p>
    <w:p w14:paraId="3F6E03F7"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
        </w:rPr>
      </w:pPr>
    </w:p>
    <w:p w14:paraId="7A9B0187"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 xml:space="preserve">Ahora bien, para que la información pública sea puesta a disposición de los particulares se requiere que no se genere daño a los intereses nacionales o estatales, que no se atente contra la seguridad nacional o contra la sociedad y que no se viole el derecho a la vida o a la privacidad de los gobernados. De ahí que es obligación de la autoridad analizar el contenido de cada solicitud para determinar, en caso de no </w:t>
      </w:r>
      <w:r w:rsidRPr="00A3599E">
        <w:rPr>
          <w:rFonts w:ascii="Palatino Linotype" w:hAnsi="Palatino Linotype" w:cs="Arial"/>
          <w:lang w:val="es-ES"/>
        </w:rPr>
        <w:lastRenderedPageBreak/>
        <w:t>entregar la información, que efectivamente se vulneraría cualquiera de los supuestos consagrados en la ley.</w:t>
      </w:r>
    </w:p>
    <w:p w14:paraId="2796A057" w14:textId="77777777" w:rsidR="00191180" w:rsidRPr="00A3599E" w:rsidRDefault="00191180" w:rsidP="006F7BEF">
      <w:pPr>
        <w:tabs>
          <w:tab w:val="left" w:pos="426"/>
        </w:tabs>
        <w:suppressAutoHyphens w:val="0"/>
        <w:spacing w:line="360" w:lineRule="auto"/>
        <w:contextualSpacing/>
        <w:rPr>
          <w:rFonts w:ascii="Palatino Linotype" w:hAnsi="Palatino Linotype" w:cs="Arial"/>
          <w:lang w:val="es-ES"/>
        </w:rPr>
      </w:pPr>
    </w:p>
    <w:p w14:paraId="5891ECAA" w14:textId="77777777" w:rsidR="00191180" w:rsidRPr="00A3599E" w:rsidRDefault="00191180" w:rsidP="006F7BEF">
      <w:pPr>
        <w:numPr>
          <w:ilvl w:val="0"/>
          <w:numId w:val="9"/>
        </w:numPr>
        <w:tabs>
          <w:tab w:val="left" w:pos="426"/>
        </w:tabs>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lang w:val="es-ES"/>
        </w:rPr>
        <w:t>En consecuencia, para que se establezca válidamente una limitante al derecho de acceso a la información pública, debe existir un supuesto jurídico que así lo disponga, que exista una prueba de daño por medio de una justificación racional basada en el interés general, social o en la protección de los particulares, que el acto de autoridad tenga la debida fundamentación y motivación y que de la ponderación realizada se determine que predomina el interés general por proteger la información que el derecho particular de conocerla.</w:t>
      </w:r>
    </w:p>
    <w:p w14:paraId="71312566" w14:textId="77777777" w:rsidR="00191180" w:rsidRPr="00A3599E" w:rsidRDefault="00191180" w:rsidP="006F7BEF">
      <w:pPr>
        <w:tabs>
          <w:tab w:val="left" w:pos="426"/>
        </w:tabs>
        <w:suppressAutoHyphens w:val="0"/>
        <w:spacing w:line="360" w:lineRule="auto"/>
        <w:ind w:right="49"/>
        <w:contextualSpacing/>
        <w:jc w:val="both"/>
        <w:rPr>
          <w:rFonts w:ascii="Palatino Linotype" w:hAnsi="Palatino Linotype" w:cs="Arial"/>
          <w:color w:val="000000"/>
          <w:lang w:val="es-ES_tradnl"/>
        </w:rPr>
      </w:pPr>
    </w:p>
    <w:p w14:paraId="0574ACA0"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En ese mismo sentido, las limitaciones al derecho de acceso a la información tampoco pueden considerarse como una regla absoluta, porque en aquellos supuestos en los cuales su difusión producirá mayores beneficios para la sociedad que los daños que pudieran provocarse con su divulgación, debe quedar superado dicho límite y privilegiar la transparencia y difusión de la información respectiva, en virtud de que se trata de datos o de información de relevancia pública.</w:t>
      </w:r>
    </w:p>
    <w:p w14:paraId="680F1F42"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
        </w:rPr>
      </w:pPr>
    </w:p>
    <w:p w14:paraId="272F1C77"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
        </w:rPr>
      </w:pPr>
      <w:r w:rsidRPr="00A3599E">
        <w:rPr>
          <w:rFonts w:ascii="Palatino Linotype" w:hAnsi="Palatino Linotype" w:cs="Arial"/>
          <w:lang w:val="es-ES"/>
        </w:rPr>
        <w:t>No hay que perder de vista que el derecho de acceso se rige por el principio de máxima publicidad, es decir, la información que generan, administren o posean los organismos públicos deben ser puesto a disposición de cualquier persona y para su limitante debe existir un bien jurídico mayor que proteger.</w:t>
      </w:r>
    </w:p>
    <w:p w14:paraId="5563D3E0" w14:textId="77777777" w:rsidR="00191180" w:rsidRPr="00A3599E" w:rsidRDefault="00191180" w:rsidP="006F7BEF">
      <w:pPr>
        <w:tabs>
          <w:tab w:val="left" w:pos="426"/>
        </w:tabs>
        <w:suppressAutoHyphens w:val="0"/>
        <w:spacing w:line="360" w:lineRule="auto"/>
        <w:contextualSpacing/>
        <w:rPr>
          <w:rFonts w:ascii="Palatino Linotype" w:hAnsi="Palatino Linotype" w:cs="Arial"/>
          <w:lang w:val="es-ES"/>
        </w:rPr>
      </w:pPr>
    </w:p>
    <w:p w14:paraId="71C41FA0"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
        </w:rPr>
        <w:lastRenderedPageBreak/>
        <w:t>De</w:t>
      </w:r>
      <w:r w:rsidRPr="00A3599E">
        <w:rPr>
          <w:rFonts w:ascii="Palatino Linotype" w:hAnsi="Palatino Linotype" w:cs="Arial"/>
          <w:lang w:val="es-ES_tradnl"/>
        </w:rPr>
        <w:t xml:space="preserve"> tal manera que el </w:t>
      </w:r>
      <w:r w:rsidRPr="00A3599E">
        <w:rPr>
          <w:rFonts w:ascii="Palatino Linotype" w:hAnsi="Palatino Linotype" w:cs="Arial"/>
          <w:b/>
          <w:lang w:val="es-ES_tradnl"/>
        </w:rPr>
        <w:t>SUJETO OBLIGADO</w:t>
      </w:r>
      <w:r w:rsidRPr="00A3599E">
        <w:rPr>
          <w:rFonts w:ascii="Palatino Linotype" w:hAnsi="Palatino Linotype" w:cs="Arial"/>
          <w:lang w:val="es-ES_tradnl"/>
        </w:rPr>
        <w:t xml:space="preserve"> deberá dar atención a la solicitud de información, lo cual deberá realizar con arreglo al procedimiento establecido en la Ley que ha sido descrito en esta resolución y de manera fundada y motivada.</w:t>
      </w:r>
    </w:p>
    <w:p w14:paraId="0BFE2282"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_tradnl"/>
        </w:rPr>
      </w:pPr>
    </w:p>
    <w:p w14:paraId="2F7E7F90"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color w:val="222222"/>
          <w:lang w:val="es-ES_tradnl" w:eastAsia="es-MX"/>
        </w:rPr>
      </w:pPr>
      <w:r w:rsidRPr="00A3599E">
        <w:rPr>
          <w:rFonts w:ascii="Palatino Linotype" w:hAnsi="Palatino Linotype" w:cs="Arial"/>
          <w:color w:val="222222"/>
          <w:lang w:val="es-ES_tradnl" w:eastAsia="es-MX"/>
        </w:rPr>
        <w:t>Para precisar los alcances de la fundamentación y motivación a que están sujetos todos los actos de autoridad, es oportuno remitirnos al artículo 16, primer párrafo de la Constitución Política de los Estados Unidos Mexicanos, en el que se impone a las autoridades la obligación de fundar y motivar todo acto que implique una molestia en la esfera de derecho de las personas:</w:t>
      </w:r>
    </w:p>
    <w:p w14:paraId="22F082D8" w14:textId="77777777" w:rsidR="00191180" w:rsidRPr="00A3599E" w:rsidRDefault="00191180" w:rsidP="006F7BEF">
      <w:pPr>
        <w:suppressAutoHyphens w:val="0"/>
        <w:spacing w:before="240" w:after="240" w:line="360" w:lineRule="auto"/>
        <w:contextualSpacing/>
        <w:jc w:val="both"/>
        <w:rPr>
          <w:rFonts w:ascii="Palatino Linotype" w:hAnsi="Palatino Linotype" w:cs="Arial"/>
          <w:color w:val="222222"/>
          <w:lang w:val="es-ES_tradnl" w:eastAsia="es-MX"/>
        </w:rPr>
      </w:pPr>
    </w:p>
    <w:p w14:paraId="7FD84F8A"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lang w:val="es-ES_tradnl"/>
        </w:rPr>
      </w:pPr>
      <w:r w:rsidRPr="00A3599E">
        <w:rPr>
          <w:rFonts w:ascii="Palatino Linotype" w:hAnsi="Palatino Linotype" w:cs="Arial"/>
          <w:b/>
          <w:i/>
          <w:color w:val="000000"/>
          <w:lang w:val="es-ES_tradnl"/>
        </w:rPr>
        <w:t>“Artículo 16.</w:t>
      </w:r>
      <w:r w:rsidRPr="00A3599E">
        <w:rPr>
          <w:rFonts w:ascii="Palatino Linotype" w:hAnsi="Palatino Linotype" w:cs="Arial"/>
          <w:i/>
          <w:color w:val="000000"/>
          <w:lang w:val="es-ES_tradnl"/>
        </w:rPr>
        <w:t xml:space="preserve"> Nadie puede ser molestado en su persona, familia, domicilio, papeles o posesiones, </w:t>
      </w:r>
      <w:r w:rsidRPr="00A3599E">
        <w:rPr>
          <w:rFonts w:ascii="Palatino Linotype" w:hAnsi="Palatino Linotype" w:cs="Arial"/>
          <w:b/>
          <w:i/>
          <w:color w:val="000000"/>
          <w:lang w:val="es-ES_tradnl"/>
        </w:rPr>
        <w:t>sino en virtud de mandamiento escrito de la autoridad competente, que funde y motive la causa legal del procedimiento</w:t>
      </w:r>
      <w:r w:rsidRPr="00A3599E">
        <w:rPr>
          <w:rFonts w:ascii="Palatino Linotype" w:hAnsi="Palatino Linotype" w:cs="Arial"/>
          <w:i/>
          <w:color w:val="000000"/>
          <w:lang w:val="es-ES_tradnl"/>
        </w:rPr>
        <w:t>.</w:t>
      </w:r>
    </w:p>
    <w:p w14:paraId="28704E61"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lang w:val="es-ES_tradnl"/>
        </w:rPr>
      </w:pPr>
      <w:r w:rsidRPr="00A3599E">
        <w:rPr>
          <w:rFonts w:ascii="Palatino Linotype" w:hAnsi="Palatino Linotype" w:cs="Arial"/>
          <w:i/>
          <w:color w:val="000000"/>
          <w:lang w:val="es-ES_tradnl"/>
        </w:rPr>
        <w:t>(…)”</w:t>
      </w:r>
    </w:p>
    <w:p w14:paraId="777BB2C8" w14:textId="77777777" w:rsidR="00191180" w:rsidRPr="00A3599E" w:rsidRDefault="00191180" w:rsidP="006F7BEF">
      <w:pPr>
        <w:suppressAutoHyphens w:val="0"/>
        <w:spacing w:line="360" w:lineRule="auto"/>
        <w:ind w:left="567" w:right="567"/>
        <w:contextualSpacing/>
        <w:jc w:val="both"/>
        <w:rPr>
          <w:rFonts w:ascii="Palatino Linotype" w:hAnsi="Palatino Linotype" w:cs="Arial"/>
          <w:i/>
          <w:color w:val="000000"/>
          <w:lang w:val="es-ES_tradnl"/>
        </w:rPr>
      </w:pPr>
      <w:r w:rsidRPr="00A3599E">
        <w:rPr>
          <w:rFonts w:ascii="Palatino Linotype" w:hAnsi="Palatino Linotype" w:cs="Arial"/>
          <w:i/>
          <w:color w:val="000000"/>
          <w:lang w:val="es-ES_tradnl"/>
        </w:rPr>
        <w:t xml:space="preserve">(Énfasis añadido) </w:t>
      </w:r>
    </w:p>
    <w:p w14:paraId="5F8690CD" w14:textId="77777777" w:rsidR="00191180" w:rsidRPr="00A3599E" w:rsidRDefault="00191180" w:rsidP="006F7BEF">
      <w:pPr>
        <w:shd w:val="clear" w:color="auto" w:fill="FFFFFF"/>
        <w:suppressAutoHyphens w:val="0"/>
        <w:spacing w:line="360" w:lineRule="auto"/>
        <w:contextualSpacing/>
        <w:jc w:val="both"/>
        <w:rPr>
          <w:rFonts w:ascii="Palatino Linotype" w:hAnsi="Palatino Linotype" w:cs="Arial"/>
          <w:color w:val="222222"/>
          <w:lang w:val="es-ES_tradnl" w:eastAsia="es-MX"/>
        </w:rPr>
      </w:pPr>
    </w:p>
    <w:p w14:paraId="486DE2E9" w14:textId="77777777" w:rsidR="00191180" w:rsidRPr="00A3599E" w:rsidRDefault="00191180" w:rsidP="006F7BEF">
      <w:pPr>
        <w:numPr>
          <w:ilvl w:val="0"/>
          <w:numId w:val="9"/>
        </w:numPr>
        <w:suppressAutoHyphens w:val="0"/>
        <w:spacing w:before="240" w:after="240" w:line="360" w:lineRule="auto"/>
        <w:ind w:left="0" w:firstLine="0"/>
        <w:contextualSpacing/>
        <w:jc w:val="both"/>
        <w:rPr>
          <w:rFonts w:ascii="Palatino Linotype" w:hAnsi="Palatino Linotype" w:cs="Arial"/>
          <w:color w:val="222222"/>
          <w:lang w:val="es-ES_tradnl" w:eastAsia="es-MX"/>
        </w:rPr>
      </w:pPr>
      <w:r w:rsidRPr="00A3599E">
        <w:rPr>
          <w:rFonts w:ascii="Palatino Linotype" w:hAnsi="Palatino Linotype" w:cs="Arial"/>
          <w:color w:val="222222"/>
          <w:lang w:val="es-ES_tradnl" w:eastAsia="es-MX"/>
        </w:rPr>
        <w:t>De este precepto se deduce que, en el régimen jurídico mexicano, la fundamentación y motivación de los actos o resoluciones no es exclusiva de los órganos judiciales o jurisdiccionales, sino que se extiende a todas las autoridades. En este contexto, en todo acto que la autoridad pronuncie en el ejercicio de sus atribuciones, debe expresar los fundamentos legales que le dieron origen y las razones por las que se deben aplicar al caso concreto.</w:t>
      </w:r>
    </w:p>
    <w:p w14:paraId="3AA6E7B3" w14:textId="77777777" w:rsidR="00191180" w:rsidRPr="00A3599E" w:rsidRDefault="00191180" w:rsidP="006F7BEF">
      <w:pPr>
        <w:suppressAutoHyphens w:val="0"/>
        <w:spacing w:before="240" w:after="240" w:line="360" w:lineRule="auto"/>
        <w:contextualSpacing/>
        <w:jc w:val="both"/>
        <w:rPr>
          <w:rFonts w:ascii="Palatino Linotype" w:hAnsi="Palatino Linotype" w:cs="Arial"/>
          <w:color w:val="222222"/>
          <w:lang w:val="es-ES_tradnl" w:eastAsia="es-MX"/>
        </w:rPr>
      </w:pPr>
    </w:p>
    <w:p w14:paraId="30139CD0" w14:textId="77777777" w:rsidR="00191180" w:rsidRPr="00A3599E" w:rsidRDefault="00191180" w:rsidP="006F7BEF">
      <w:pPr>
        <w:numPr>
          <w:ilvl w:val="0"/>
          <w:numId w:val="9"/>
        </w:numPr>
        <w:suppressAutoHyphens w:val="0"/>
        <w:spacing w:before="240" w:after="240" w:line="360" w:lineRule="auto"/>
        <w:ind w:left="0" w:firstLine="0"/>
        <w:contextualSpacing/>
        <w:jc w:val="both"/>
        <w:rPr>
          <w:rFonts w:ascii="Palatino Linotype" w:hAnsi="Palatino Linotype" w:cs="Arial"/>
          <w:color w:val="222222"/>
          <w:lang w:val="es-ES_tradnl" w:eastAsia="es-MX"/>
        </w:rPr>
      </w:pPr>
      <w:r w:rsidRPr="00A3599E">
        <w:rPr>
          <w:rFonts w:ascii="Palatino Linotype" w:hAnsi="Palatino Linotype" w:cs="Arial"/>
          <w:color w:val="222222"/>
          <w:lang w:val="es-ES_tradnl" w:eastAsia="es-MX"/>
        </w:rPr>
        <w:lastRenderedPageBreak/>
        <w:t>Entonces, la fundamentación y motivación consiste en la obligación que tiene todo ente público de expresar los preceptos jurídicos aplicables al asunto motivo del acto y las razones o argumentos de su actuar.</w:t>
      </w:r>
    </w:p>
    <w:p w14:paraId="7B73A8C8" w14:textId="77777777" w:rsidR="00191180" w:rsidRPr="00A3599E" w:rsidRDefault="00191180" w:rsidP="006F7BEF">
      <w:pPr>
        <w:suppressAutoHyphens w:val="0"/>
        <w:spacing w:before="240" w:after="240" w:line="360" w:lineRule="auto"/>
        <w:contextualSpacing/>
        <w:jc w:val="both"/>
        <w:rPr>
          <w:rFonts w:ascii="Palatino Linotype" w:hAnsi="Palatino Linotype" w:cs="Arial"/>
          <w:color w:val="222222"/>
          <w:lang w:val="es-ES_tradnl" w:eastAsia="es-MX"/>
        </w:rPr>
      </w:pPr>
    </w:p>
    <w:p w14:paraId="1F1EFCF7" w14:textId="77777777" w:rsidR="00191180" w:rsidRPr="00A3599E" w:rsidRDefault="00191180" w:rsidP="006F7BEF">
      <w:pPr>
        <w:numPr>
          <w:ilvl w:val="0"/>
          <w:numId w:val="9"/>
        </w:numPr>
        <w:tabs>
          <w:tab w:val="left" w:pos="284"/>
        </w:tabs>
        <w:suppressAutoHyphens w:val="0"/>
        <w:spacing w:before="240" w:after="240" w:line="360" w:lineRule="auto"/>
        <w:ind w:left="0" w:firstLine="0"/>
        <w:contextualSpacing/>
        <w:jc w:val="both"/>
        <w:rPr>
          <w:rFonts w:ascii="Palatino Linotype" w:hAnsi="Palatino Linotype" w:cs="Arial"/>
          <w:color w:val="222222"/>
          <w:lang w:val="es-ES_tradnl" w:eastAsia="es-MX"/>
        </w:rPr>
      </w:pPr>
      <w:r w:rsidRPr="00A3599E">
        <w:rPr>
          <w:rFonts w:ascii="Palatino Linotype" w:hAnsi="Palatino Linotype" w:cs="Arial"/>
          <w:color w:val="222222"/>
          <w:lang w:val="es-ES_tradnl" w:eastAsia="es-MX"/>
        </w:rPr>
        <w:t>Han sido vastos los estudios doctrinarios relativos a estos derechos fundamentales y al principio de legalidad en ellos contenidos; como ejemplo, el procesalista José Ovalle Fabela, en su obra “Garantías Constitucionales del Proceso”, refiere que “...</w:t>
      </w:r>
      <w:r w:rsidRPr="00A3599E">
        <w:rPr>
          <w:rFonts w:ascii="Palatino Linotype" w:hAnsi="Palatino Linotype" w:cs="Arial"/>
          <w:i/>
          <w:iCs/>
          <w:color w:val="222222"/>
          <w:lang w:val="es-ES_tradnl" w:eastAsia="es-MX"/>
        </w:rPr>
        <w:t>la garantía de fundamentación impone a las autoridades el deber de precisar las disposiciones jurídicas que aplican a los hechos de que se trate y que sustenten su competencia, así como de manifestar los razonamientos que demuestren la aplicabilidad de dichas disposiciones, todo lo cual se debe traducir en una argumentación o juicio de derecho. Pero de igual manera, la garantía de motivación exige que las autoridades expongan los razonamientos con base en los cuales llegaron a la conclusión de que esos hechos son ciertos, normalmente a partir del análisis de las pruebas, lo cual se debe exteriorizar en una argumentación o juicio de hecho…</w:t>
      </w:r>
      <w:r w:rsidRPr="00A3599E">
        <w:rPr>
          <w:rFonts w:ascii="Palatino Linotype" w:hAnsi="Palatino Linotype" w:cs="Arial"/>
          <w:color w:val="222222"/>
          <w:lang w:val="es-ES_tradnl" w:eastAsia="es-MX"/>
        </w:rPr>
        <w:t>”</w:t>
      </w:r>
    </w:p>
    <w:p w14:paraId="02DB5066" w14:textId="77777777" w:rsidR="00191180" w:rsidRPr="00A3599E" w:rsidRDefault="00191180" w:rsidP="006F7BEF">
      <w:pPr>
        <w:suppressAutoHyphens w:val="0"/>
        <w:spacing w:before="240" w:after="240" w:line="360" w:lineRule="auto"/>
        <w:contextualSpacing/>
        <w:jc w:val="both"/>
        <w:rPr>
          <w:rFonts w:ascii="Palatino Linotype" w:hAnsi="Palatino Linotype" w:cs="Arial"/>
          <w:color w:val="222222"/>
          <w:lang w:val="es-ES_tradnl" w:eastAsia="es-MX"/>
        </w:rPr>
      </w:pPr>
    </w:p>
    <w:p w14:paraId="32A8032A" w14:textId="77777777" w:rsidR="00191180" w:rsidRPr="00A3599E" w:rsidRDefault="00191180" w:rsidP="006F7BEF">
      <w:pPr>
        <w:numPr>
          <w:ilvl w:val="0"/>
          <w:numId w:val="9"/>
        </w:numPr>
        <w:suppressAutoHyphens w:val="0"/>
        <w:spacing w:before="240" w:after="240" w:line="360" w:lineRule="auto"/>
        <w:ind w:left="0" w:firstLine="0"/>
        <w:contextualSpacing/>
        <w:jc w:val="both"/>
        <w:rPr>
          <w:rFonts w:ascii="Palatino Linotype" w:hAnsi="Palatino Linotype" w:cs="Arial"/>
          <w:color w:val="222222"/>
          <w:lang w:val="es-ES_tradnl" w:eastAsia="es-MX"/>
        </w:rPr>
      </w:pPr>
      <w:r w:rsidRPr="00A3599E">
        <w:rPr>
          <w:rFonts w:ascii="Palatino Linotype" w:hAnsi="Palatino Linotype" w:cs="Arial"/>
          <w:color w:val="222222"/>
          <w:lang w:val="es-ES_tradnl" w:eastAsia="es-MX"/>
        </w:rPr>
        <w:t>Así, en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w:t>
      </w:r>
    </w:p>
    <w:p w14:paraId="728E3F3E" w14:textId="77777777" w:rsidR="00191180" w:rsidRPr="00A3599E" w:rsidRDefault="00191180" w:rsidP="006F7BEF">
      <w:pPr>
        <w:suppressAutoHyphens w:val="0"/>
        <w:spacing w:line="360" w:lineRule="auto"/>
        <w:contextualSpacing/>
        <w:rPr>
          <w:rFonts w:ascii="Palatino Linotype" w:hAnsi="Palatino Linotype" w:cs="Arial"/>
          <w:color w:val="222222"/>
          <w:lang w:val="es-ES_tradnl" w:eastAsia="es-MX"/>
        </w:rPr>
      </w:pPr>
    </w:p>
    <w:p w14:paraId="561D2E53" w14:textId="77777777" w:rsidR="00191180" w:rsidRPr="00A3599E" w:rsidRDefault="00191180" w:rsidP="006F7BEF">
      <w:pPr>
        <w:numPr>
          <w:ilvl w:val="0"/>
          <w:numId w:val="9"/>
        </w:numPr>
        <w:suppressAutoHyphens w:val="0"/>
        <w:spacing w:after="16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222222"/>
          <w:lang w:val="es-ES_tradnl" w:eastAsia="es-MX"/>
        </w:rPr>
        <w:t xml:space="preserve">Es así que a través de la presente resolución, se hace del conocimiento del </w:t>
      </w:r>
      <w:r w:rsidRPr="00A3599E">
        <w:rPr>
          <w:rFonts w:ascii="Palatino Linotype" w:hAnsi="Palatino Linotype" w:cs="Arial"/>
          <w:b/>
          <w:color w:val="222222"/>
          <w:lang w:val="es-ES_tradnl" w:eastAsia="es-MX"/>
        </w:rPr>
        <w:t>SUJETO OBLIGADO</w:t>
      </w:r>
      <w:r w:rsidRPr="00A3599E">
        <w:rPr>
          <w:rFonts w:ascii="Palatino Linotype" w:hAnsi="Palatino Linotype" w:cs="Arial"/>
          <w:color w:val="222222"/>
          <w:lang w:val="es-ES_tradnl" w:eastAsia="es-MX"/>
        </w:rPr>
        <w:t xml:space="preserve"> que deberá atender las solicitudes de información y resulta procedente ordenar la entrega de la información requerida, ajustándose a lo dispuesto </w:t>
      </w:r>
      <w:r w:rsidRPr="00A3599E">
        <w:rPr>
          <w:rFonts w:ascii="Palatino Linotype" w:hAnsi="Palatino Linotype" w:cs="Arial"/>
          <w:color w:val="222222"/>
          <w:lang w:val="es-ES_tradnl" w:eastAsia="es-MX"/>
        </w:rPr>
        <w:lastRenderedPageBreak/>
        <w:t>por el artículo 186 fracción IV de la ley de la materia, lo anterior para resarcir la afectación que le fue realizada al derecho de acceso a la información de la persona.</w:t>
      </w:r>
    </w:p>
    <w:p w14:paraId="38870949" w14:textId="77777777" w:rsidR="00191180" w:rsidRPr="00A3599E" w:rsidRDefault="00191180" w:rsidP="006F7BEF">
      <w:pPr>
        <w:suppressAutoHyphens w:val="0"/>
        <w:spacing w:line="360" w:lineRule="auto"/>
        <w:ind w:left="720"/>
        <w:contextualSpacing/>
        <w:rPr>
          <w:rFonts w:ascii="Palatino Linotype" w:hAnsi="Palatino Linotype" w:cs="Arial"/>
          <w:color w:val="000000"/>
          <w:lang w:val="es-ES_tradnl"/>
        </w:rPr>
      </w:pPr>
    </w:p>
    <w:p w14:paraId="2F7BF4E9" w14:textId="35904F7D" w:rsidR="00191180" w:rsidRPr="00A3599E" w:rsidRDefault="00C1345F" w:rsidP="006F7BEF">
      <w:pPr>
        <w:keepNext/>
        <w:keepLines/>
        <w:suppressAutoHyphens w:val="0"/>
        <w:spacing w:before="240" w:line="360" w:lineRule="auto"/>
        <w:outlineLvl w:val="0"/>
        <w:rPr>
          <w:rFonts w:ascii="Palatino Linotype" w:hAnsi="Palatino Linotype"/>
          <w:lang w:eastAsia="en-US"/>
        </w:rPr>
      </w:pPr>
      <w:bookmarkStart w:id="97" w:name="_Toc524344195"/>
      <w:bookmarkStart w:id="98" w:name="_Toc526271200"/>
      <w:bookmarkStart w:id="99" w:name="_Toc536106974"/>
      <w:bookmarkStart w:id="100" w:name="_Toc103178787"/>
      <w:r w:rsidRPr="00A3599E">
        <w:rPr>
          <w:rFonts w:ascii="Palatino Linotype" w:hAnsi="Palatino Linotype"/>
          <w:b/>
          <w:lang w:eastAsia="en-US"/>
        </w:rPr>
        <w:t>QUINTO</w:t>
      </w:r>
      <w:r w:rsidR="00191180" w:rsidRPr="00A3599E">
        <w:rPr>
          <w:rFonts w:ascii="Palatino Linotype" w:hAnsi="Palatino Linotype"/>
          <w:b/>
          <w:lang w:eastAsia="en-US"/>
        </w:rPr>
        <w:t>. El cumplimiento a esta resolución es susceptible de ser impugnado</w:t>
      </w:r>
      <w:bookmarkEnd w:id="97"/>
      <w:bookmarkEnd w:id="98"/>
      <w:r w:rsidR="00191180" w:rsidRPr="00A3599E">
        <w:rPr>
          <w:rFonts w:ascii="Palatino Linotype" w:hAnsi="Palatino Linotype"/>
          <w:b/>
          <w:lang w:eastAsia="en-US"/>
        </w:rPr>
        <w:t>.</w:t>
      </w:r>
      <w:bookmarkEnd w:id="99"/>
      <w:bookmarkEnd w:id="100"/>
    </w:p>
    <w:p w14:paraId="416F5BBF" w14:textId="77777777" w:rsidR="00191180" w:rsidRPr="00A3599E" w:rsidRDefault="00191180" w:rsidP="006F7BEF">
      <w:pPr>
        <w:suppressAutoHyphens w:val="0"/>
        <w:spacing w:line="360" w:lineRule="auto"/>
        <w:ind w:right="49"/>
        <w:contextualSpacing/>
        <w:jc w:val="both"/>
        <w:rPr>
          <w:rFonts w:ascii="Palatino Linotype" w:hAnsi="Palatino Linotype" w:cs="Arial"/>
          <w:b/>
          <w:color w:val="000000"/>
          <w:lang w:val="es-ES_tradnl"/>
        </w:rPr>
      </w:pPr>
    </w:p>
    <w:p w14:paraId="681F84B4"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Cabe señalar que, atento a lo dispuesto al artículo 179 de la Ley de la materia, el cual contempla de manera puntual las causales en las cuales será procedente el recurso de revisión que se interponga por cualquier persona como un medio de protección para que se le garantice el derecho de acceder a la información pública, este mismo artículo señala en el párrafo final lo siguiente:</w:t>
      </w:r>
    </w:p>
    <w:p w14:paraId="1C32D0D3"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p>
    <w:p w14:paraId="6481E38D"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w:t>
      </w:r>
    </w:p>
    <w:p w14:paraId="66037B33"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b/>
          <w:i/>
          <w:lang w:val="es-ES_tradnl"/>
        </w:rPr>
        <w:t>La respuesta que den los sujetos obligados derivada de la resolución</w:t>
      </w:r>
      <w:r w:rsidRPr="00A3599E">
        <w:rPr>
          <w:rFonts w:ascii="Palatino Linotype" w:hAnsi="Palatino Linotype" w:cs="Arial"/>
          <w:i/>
          <w:lang w:val="es-ES_tradnl"/>
        </w:rPr>
        <w:t xml:space="preserve"> a un recurso de revisión que proceda por las causales señaladas en las fracciones IV, VII, IX, X, XI y XII es susceptible de ser impugnada de nueva cuenta, mediante recurso de revisión, ante el Instituto. “</w:t>
      </w:r>
    </w:p>
    <w:p w14:paraId="2E9A51B5"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Cs/>
          <w:lang w:val="es-ES_tradnl"/>
        </w:rPr>
      </w:pPr>
      <w:r w:rsidRPr="00A3599E">
        <w:rPr>
          <w:rFonts w:ascii="Palatino Linotype" w:hAnsi="Palatino Linotype" w:cs="Arial"/>
          <w:iCs/>
          <w:lang w:val="es-ES_tradnl"/>
        </w:rPr>
        <w:t>(Énfasis añadido)</w:t>
      </w:r>
    </w:p>
    <w:p w14:paraId="713D6218" w14:textId="77777777" w:rsidR="00191180" w:rsidRPr="00A3599E" w:rsidRDefault="00191180" w:rsidP="006F7BEF">
      <w:pPr>
        <w:suppressAutoHyphens w:val="0"/>
        <w:spacing w:before="240" w:after="240" w:line="360" w:lineRule="auto"/>
        <w:ind w:left="360"/>
        <w:contextualSpacing/>
        <w:jc w:val="both"/>
        <w:rPr>
          <w:rFonts w:ascii="Palatino Linotype" w:hAnsi="Palatino Linotype" w:cs="Arial"/>
          <w:lang w:val="es-ES_tradnl"/>
        </w:rPr>
      </w:pPr>
    </w:p>
    <w:p w14:paraId="5AE92EA6"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 Es así que en este asunto en el que se está ante la presencia de una falta de respuesta a la solicitud de información por parte del </w:t>
      </w:r>
      <w:r w:rsidRPr="00A3599E">
        <w:rPr>
          <w:rFonts w:ascii="Palatino Linotype" w:hAnsi="Palatino Linotype" w:cs="Arial"/>
          <w:b/>
          <w:lang w:val="es-ES_tradnl"/>
        </w:rPr>
        <w:t>SUJETO OBLIGADO</w:t>
      </w:r>
      <w:r w:rsidRPr="00A3599E">
        <w:rPr>
          <w:rFonts w:ascii="Palatino Linotype" w:hAnsi="Palatino Linotype" w:cs="Arial"/>
          <w:lang w:val="es-ES_tradnl"/>
        </w:rPr>
        <w:t>, se encuadra en el supuesto que contempla el artículo 179 en su fracción VII, misma que señala lo siguiente:</w:t>
      </w:r>
    </w:p>
    <w:p w14:paraId="3EAF80EE" w14:textId="77777777" w:rsidR="00191180" w:rsidRPr="00A3599E" w:rsidRDefault="00191180" w:rsidP="006F7BEF">
      <w:pPr>
        <w:suppressAutoHyphens w:val="0"/>
        <w:spacing w:before="240" w:line="360" w:lineRule="auto"/>
        <w:ind w:left="360"/>
        <w:contextualSpacing/>
        <w:jc w:val="both"/>
        <w:rPr>
          <w:rFonts w:ascii="Palatino Linotype" w:hAnsi="Palatino Linotype" w:cs="Arial"/>
          <w:lang w:val="es-ES_tradnl"/>
        </w:rPr>
      </w:pPr>
    </w:p>
    <w:p w14:paraId="6DF1F024" w14:textId="77777777" w:rsidR="00191180" w:rsidRPr="00A3599E" w:rsidRDefault="00191180" w:rsidP="006F7BEF">
      <w:pPr>
        <w:suppressAutoHyphens w:val="0"/>
        <w:spacing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lastRenderedPageBreak/>
        <w:t>“</w:t>
      </w:r>
      <w:r w:rsidRPr="00A3599E">
        <w:rPr>
          <w:rFonts w:ascii="Palatino Linotype" w:hAnsi="Palatino Linotype" w:cs="Arial"/>
          <w:b/>
          <w:bCs/>
          <w:i/>
          <w:lang w:val="es-ES_tradnl"/>
        </w:rPr>
        <w:t>Artículo 179.</w:t>
      </w:r>
      <w:r w:rsidRPr="00A3599E">
        <w:rPr>
          <w:rFonts w:ascii="Palatino Linotype" w:hAnsi="Palatino Linotype" w:cs="Arial"/>
          <w:i/>
          <w:lang w:val="es-ES_tradnl"/>
        </w:rPr>
        <w:t xml:space="preserve"> El recurso de revisión es un medio de protección que la Ley otorga a los particulares, para hacer valer su derecho de acceso a la información pública, y procederá en contra de las siguientes causas:</w:t>
      </w:r>
    </w:p>
    <w:p w14:paraId="7596926E"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w:t>
      </w:r>
    </w:p>
    <w:p w14:paraId="2C7C81D2"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b/>
          <w:i/>
          <w:lang w:val="es-ES_tradnl"/>
        </w:rPr>
      </w:pPr>
      <w:r w:rsidRPr="00A3599E">
        <w:rPr>
          <w:rFonts w:ascii="Palatino Linotype" w:hAnsi="Palatino Linotype" w:cs="Arial"/>
          <w:b/>
          <w:i/>
          <w:lang w:val="es-ES_tradnl"/>
        </w:rPr>
        <w:t>VII. La falta de respuesta a una solicitud de acceso a la información;</w:t>
      </w:r>
    </w:p>
    <w:p w14:paraId="3F8D1281"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lang w:val="es-ES_tradnl"/>
        </w:rPr>
      </w:pPr>
      <w:r w:rsidRPr="00A3599E">
        <w:rPr>
          <w:rFonts w:ascii="Palatino Linotype" w:hAnsi="Palatino Linotype" w:cs="Arial"/>
          <w:i/>
          <w:lang w:val="es-ES_tradnl"/>
        </w:rPr>
        <w:t>(…)”</w:t>
      </w:r>
    </w:p>
    <w:p w14:paraId="14185C7D" w14:textId="77777777" w:rsidR="000D0723" w:rsidRPr="00A3599E" w:rsidRDefault="000D0723" w:rsidP="006F7BEF">
      <w:pPr>
        <w:suppressAutoHyphens w:val="0"/>
        <w:spacing w:before="240" w:after="240" w:line="360" w:lineRule="auto"/>
        <w:ind w:left="567" w:right="567"/>
        <w:contextualSpacing/>
        <w:jc w:val="both"/>
        <w:rPr>
          <w:rFonts w:ascii="Palatino Linotype" w:hAnsi="Palatino Linotype" w:cs="Arial"/>
          <w:i/>
          <w:iCs/>
          <w:lang w:val="es-ES_tradnl"/>
        </w:rPr>
      </w:pPr>
    </w:p>
    <w:p w14:paraId="220BC811" w14:textId="77777777" w:rsidR="00191180" w:rsidRPr="00A3599E" w:rsidRDefault="00191180" w:rsidP="006F7BEF">
      <w:pPr>
        <w:suppressAutoHyphens w:val="0"/>
        <w:spacing w:before="240" w:after="240" w:line="360" w:lineRule="auto"/>
        <w:ind w:left="567" w:right="567"/>
        <w:contextualSpacing/>
        <w:jc w:val="both"/>
        <w:rPr>
          <w:rFonts w:ascii="Palatino Linotype" w:hAnsi="Palatino Linotype" w:cs="Arial"/>
          <w:i/>
          <w:iCs/>
          <w:lang w:val="es-ES_tradnl"/>
        </w:rPr>
      </w:pPr>
      <w:r w:rsidRPr="00A3599E">
        <w:rPr>
          <w:rFonts w:ascii="Palatino Linotype" w:hAnsi="Palatino Linotype" w:cs="Arial"/>
          <w:i/>
          <w:iCs/>
          <w:lang w:val="es-ES_tradnl"/>
        </w:rPr>
        <w:t>(Énfasis añadido)</w:t>
      </w:r>
    </w:p>
    <w:p w14:paraId="3906E88D" w14:textId="77777777" w:rsidR="00191180" w:rsidRPr="00A3599E" w:rsidRDefault="00191180" w:rsidP="006F7BEF">
      <w:pPr>
        <w:suppressAutoHyphens w:val="0"/>
        <w:spacing w:before="240" w:after="240" w:line="360" w:lineRule="auto"/>
        <w:ind w:left="360"/>
        <w:contextualSpacing/>
        <w:jc w:val="both"/>
        <w:rPr>
          <w:rFonts w:ascii="Palatino Linotype" w:hAnsi="Palatino Linotype" w:cs="Arial"/>
          <w:lang w:val="es-ES_tradnl"/>
        </w:rPr>
      </w:pPr>
    </w:p>
    <w:p w14:paraId="591441C9"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En ese tenor, en el asunto particular derivado de la negativa por parte de la Unidad de Transparencia del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w:t>
      </w:r>
      <w:r w:rsidRPr="00A3599E">
        <w:rPr>
          <w:rFonts w:ascii="Palatino Linotype" w:hAnsi="Palatino Linotype" w:cs="Arial"/>
          <w:lang w:val="es-ES_tradnl"/>
        </w:rPr>
        <w:t xml:space="preserve">a dar respuesta a la solicitud se configura de manera clara la fracción señalada con anterioridad y este Órgano Garante procede a </w:t>
      </w:r>
      <w:r w:rsidRPr="00A3599E">
        <w:rPr>
          <w:rFonts w:ascii="Palatino Linotype" w:hAnsi="Palatino Linotype" w:cs="Arial"/>
          <w:b/>
          <w:bCs/>
          <w:lang w:val="es-ES_tradnl"/>
        </w:rPr>
        <w:t>ordenar</w:t>
      </w:r>
      <w:r w:rsidRPr="00A3599E">
        <w:rPr>
          <w:rFonts w:ascii="Palatino Linotype" w:hAnsi="Palatino Linotype" w:cs="Arial"/>
          <w:lang w:val="es-ES_tradnl"/>
        </w:rPr>
        <w:t>, a través de la presente resolución, dar atención a la solicitud de información y además de ello entregar la información correspondiente, con las formalidades en tiempo y forma que dispone la normatividad aplicable.</w:t>
      </w:r>
    </w:p>
    <w:p w14:paraId="792CB0AE"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_tradnl"/>
        </w:rPr>
      </w:pPr>
    </w:p>
    <w:p w14:paraId="4282FC4C"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cs="Arial"/>
          <w:lang w:val="es-ES_tradnl"/>
        </w:rPr>
      </w:pPr>
      <w:r w:rsidRPr="00A3599E">
        <w:rPr>
          <w:rFonts w:ascii="Palatino Linotype" w:hAnsi="Palatino Linotype" w:cs="Arial"/>
          <w:lang w:val="es-ES_tradnl"/>
        </w:rPr>
        <w:t xml:space="preserve">El último párrafo del artículo 179 de la Ley de la materia, se configura entonces en aquellos casos en donde los </w:t>
      </w:r>
      <w:r w:rsidRPr="00A3599E">
        <w:rPr>
          <w:rFonts w:ascii="Palatino Linotype" w:hAnsi="Palatino Linotype" w:cs="Arial"/>
          <w:b/>
          <w:lang w:val="es-ES_tradnl"/>
        </w:rPr>
        <w:t>Sujetos Obligados emiten respuesta derivada de una resolución a un recurso de revisión que proceda por la causal prevista en la fracción VII de la Ley en cita como es este el caso</w:t>
      </w:r>
      <w:r w:rsidRPr="00A3599E">
        <w:rPr>
          <w:rFonts w:ascii="Palatino Linotype" w:hAnsi="Palatino Linotype" w:cs="Arial"/>
          <w:lang w:val="es-ES_tradnl"/>
        </w:rPr>
        <w:t xml:space="preserve">, dicha respuesta es susceptible de ser impugnada de nueva cuenta, mediante recurso de revisión ante el Instituto. Esto es, que el acto que genere el </w:t>
      </w:r>
      <w:r w:rsidRPr="00A3599E">
        <w:rPr>
          <w:rFonts w:ascii="Palatino Linotype" w:hAnsi="Palatino Linotype" w:cs="Arial"/>
          <w:b/>
          <w:lang w:val="es-ES_tradnl"/>
        </w:rPr>
        <w:t>SUJETO OBLIGADO</w:t>
      </w:r>
      <w:r w:rsidRPr="00A3599E">
        <w:rPr>
          <w:rFonts w:ascii="Palatino Linotype" w:hAnsi="Palatino Linotype" w:cs="Arial"/>
          <w:lang w:val="es-ES_tradnl"/>
        </w:rPr>
        <w:t xml:space="preserve"> en cumplimiento a esta resolución, dicho en otras palabras, la respuesta que genere al dar atención a la solicitud de información con arreglo a los principios establecidos por la Ley de la materia en los </w:t>
      </w:r>
      <w:r w:rsidRPr="00A3599E">
        <w:rPr>
          <w:rFonts w:ascii="Palatino Linotype" w:hAnsi="Palatino Linotype" w:cs="Arial"/>
          <w:lang w:val="es-ES_tradnl"/>
        </w:rPr>
        <w:lastRenderedPageBreak/>
        <w:t xml:space="preserve">términos planteados en esta resolución, no es definitivo puesto que en caso de que la información que entregue no sea satisfactoria del derecho de acceso a la información pública, </w:t>
      </w:r>
      <w:r w:rsidRPr="00A3599E">
        <w:rPr>
          <w:rFonts w:ascii="Palatino Linotype" w:hAnsi="Palatino Linotype" w:cs="Arial"/>
          <w:b/>
          <w:lang w:val="es-ES_tradnl"/>
        </w:rPr>
        <w:t>queda al alcance de la persona la interposición de un nuevo recurso de revisión</w:t>
      </w:r>
      <w:r w:rsidRPr="00A3599E">
        <w:rPr>
          <w:rFonts w:ascii="Palatino Linotype" w:hAnsi="Palatino Linotype" w:cs="Arial"/>
          <w:lang w:val="es-ES_tradnl"/>
        </w:rPr>
        <w:t xml:space="preserve"> que independiente del que se resuelve en este instrumento, versará sobre la revisión de la respuesta que le sea entregada. Lo cual proporciona al particular una herramienta para defender su Derecho de Acceso a la Información ante un posible cumplimiento defectuoso de la presente.</w:t>
      </w:r>
    </w:p>
    <w:p w14:paraId="3615B777"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cs="Arial"/>
          <w:lang w:val="es-ES_tradnl"/>
        </w:rPr>
      </w:pPr>
    </w:p>
    <w:p w14:paraId="7A2C317C" w14:textId="3919FBA6" w:rsidR="00191180" w:rsidRPr="00A3599E" w:rsidRDefault="00C1345F" w:rsidP="006F7BEF">
      <w:pPr>
        <w:keepNext/>
        <w:keepLines/>
        <w:suppressAutoHyphens w:val="0"/>
        <w:spacing w:before="240" w:line="360" w:lineRule="auto"/>
        <w:outlineLvl w:val="0"/>
        <w:rPr>
          <w:rFonts w:ascii="Palatino Linotype" w:eastAsia="MS Gothic" w:hAnsi="Palatino Linotype"/>
          <w:b/>
          <w:lang w:eastAsia="en-US"/>
        </w:rPr>
      </w:pPr>
      <w:bookmarkStart w:id="101" w:name="_Toc487739452"/>
      <w:bookmarkStart w:id="102" w:name="_Toc524344196"/>
      <w:bookmarkStart w:id="103" w:name="_Toc526271201"/>
      <w:bookmarkStart w:id="104" w:name="_Toc536106975"/>
      <w:bookmarkStart w:id="105" w:name="_Toc103178788"/>
      <w:r w:rsidRPr="00A3599E">
        <w:rPr>
          <w:rFonts w:ascii="Palatino Linotype" w:eastAsia="MS Gothic" w:hAnsi="Palatino Linotype"/>
          <w:b/>
          <w:lang w:eastAsia="en-US"/>
        </w:rPr>
        <w:t>SEXTO</w:t>
      </w:r>
      <w:r w:rsidR="00191180" w:rsidRPr="00A3599E">
        <w:rPr>
          <w:rFonts w:ascii="Palatino Linotype" w:eastAsia="MS Gothic" w:hAnsi="Palatino Linotype"/>
          <w:b/>
          <w:lang w:eastAsia="en-US"/>
        </w:rPr>
        <w:t>. Vista a los órganos de control interno</w:t>
      </w:r>
      <w:bookmarkEnd w:id="101"/>
      <w:r w:rsidR="00191180" w:rsidRPr="00A3599E">
        <w:rPr>
          <w:rFonts w:ascii="Palatino Linotype" w:eastAsia="MS Gothic" w:hAnsi="Palatino Linotype"/>
          <w:b/>
          <w:lang w:eastAsia="en-US"/>
        </w:rPr>
        <w:t>.</w:t>
      </w:r>
      <w:bookmarkEnd w:id="102"/>
      <w:bookmarkEnd w:id="103"/>
      <w:bookmarkEnd w:id="104"/>
      <w:bookmarkEnd w:id="105"/>
    </w:p>
    <w:p w14:paraId="0C735969" w14:textId="77777777" w:rsidR="00191180" w:rsidRPr="00A3599E" w:rsidRDefault="00191180" w:rsidP="006F7BEF">
      <w:pPr>
        <w:suppressAutoHyphens w:val="0"/>
        <w:spacing w:line="360" w:lineRule="auto"/>
        <w:rPr>
          <w:rFonts w:ascii="Palatino Linotype" w:hAnsi="Palatino Linotype"/>
          <w:lang w:eastAsia="en-US"/>
        </w:rPr>
      </w:pPr>
    </w:p>
    <w:p w14:paraId="4039D242"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La Ley de Transparencia y Acceso a la Información Pública del Estado de México y Municipios, en su artículo 36, fracción X, señala que este Órgano Garante tiene la facultad de hacer del conocimiento del órgano de control interno (o equivalente) de los Sujetos Obligados las infracciones a la propia Ley.</w:t>
      </w:r>
    </w:p>
    <w:p w14:paraId="054401E6"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1D0998D1"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Correlativo a lo anterior, los artículos 190 y 223 de la Ley de Transparencia y Acceso a la Información Pública del Estado de México y Municipios señalan lo siguiente:</w:t>
      </w:r>
    </w:p>
    <w:p w14:paraId="14384F9D"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4F52EAAA" w14:textId="77777777"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i/>
          <w:lang w:val="es-ES_tradnl"/>
        </w:rPr>
        <w:t>“</w:t>
      </w:r>
      <w:r w:rsidRPr="00A3599E">
        <w:rPr>
          <w:rFonts w:ascii="Palatino Linotype" w:hAnsi="Palatino Linotype"/>
          <w:b/>
          <w:i/>
          <w:lang w:val="es-ES_tradnl"/>
        </w:rPr>
        <w:t>Artículo 190.</w:t>
      </w:r>
      <w:r w:rsidRPr="00A3599E">
        <w:rPr>
          <w:rFonts w:ascii="Palatino Linotype" w:hAnsi="Palatino Linotype"/>
          <w:i/>
          <w:lang w:val="es-ES_tradnl"/>
        </w:rPr>
        <w:t xml:space="preserve"> Cuando el Instituto determine durante la sustanciación del recurso de revisión que pudo haberse incurrido en una probable responsabilidad por el incumplimiento a las obligaciones previstas en esta Ley y las demás disposiciones jurídicas aplicables en la materia, deberá hacerlo del conocimiento del órgano de control interno de la instancia competente para que éste inicie, en su caso, el </w:t>
      </w:r>
      <w:r w:rsidRPr="00A3599E">
        <w:rPr>
          <w:rFonts w:ascii="Palatino Linotype" w:hAnsi="Palatino Linotype"/>
          <w:i/>
          <w:lang w:val="es-ES_tradnl"/>
        </w:rPr>
        <w:lastRenderedPageBreak/>
        <w:t>procedimiento de responsabilidad respectivo, cuyo resultado deberá de ser informado al Instituto.</w:t>
      </w:r>
    </w:p>
    <w:p w14:paraId="3B01512D" w14:textId="77777777"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p>
    <w:p w14:paraId="3C9407E2" w14:textId="77777777"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b/>
          <w:bCs/>
          <w:i/>
          <w:lang w:val="es-ES_tradnl"/>
        </w:rPr>
        <w:t>Artículo 223.</w:t>
      </w:r>
      <w:r w:rsidRPr="00A3599E">
        <w:rPr>
          <w:rFonts w:ascii="Palatino Linotype" w:hAnsi="Palatino Linotype"/>
          <w:i/>
          <w:lang w:val="es-ES_tradnl"/>
        </w:rPr>
        <w:t xml:space="preserve"> El Instituto dará vista a la Contraloría Interna y Órgano de Control y Vigilancia en términos de la Ley de Responsabilidades de los Servidores Públicos del Estado y Municipios, para que determine el grado de responsabilidad de quienes incumplan con las obligaciones de la presente Ley.</w:t>
      </w:r>
    </w:p>
    <w:p w14:paraId="15FF4F75" w14:textId="77777777"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i/>
          <w:lang w:val="es-ES_tradnl"/>
        </w:rPr>
        <w:t>(…)”</w:t>
      </w:r>
    </w:p>
    <w:p w14:paraId="7E97F39F"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266A1CD7"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 xml:space="preserve">Del análisis a los dispositivos normativos señalados </w:t>
      </w:r>
      <w:r w:rsidRPr="00A3599E">
        <w:rPr>
          <w:rFonts w:ascii="Palatino Linotype" w:hAnsi="Palatino Linotype"/>
          <w:i/>
          <w:iCs/>
          <w:lang w:val="es-ES_tradnl"/>
        </w:rPr>
        <w:t>supra</w:t>
      </w:r>
      <w:r w:rsidRPr="00A3599E">
        <w:rPr>
          <w:rFonts w:ascii="Palatino Linotype" w:hAnsi="Palatino Linotype"/>
          <w:lang w:val="es-ES_tradnl"/>
        </w:rPr>
        <w:t>, se observa entonces que la Ley de Transparencia Estatal prevé que, si durante el estudio y sustanciación de un recurso de revisión, se advierta que pudo haberse incurrido en una probable responsabilidad por el incumplimiento a las disposiciones contenidas en el texto normativo, se deberá hacer del conocimiento del órgano de control interno competente para que éste inicie, en su caso, el procedimiento de responsabilidad que conforme a derecho proceda.</w:t>
      </w:r>
    </w:p>
    <w:p w14:paraId="4FE1242B"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0B356B14" w14:textId="77777777" w:rsidR="00191180" w:rsidRPr="00A3599E" w:rsidRDefault="00191180" w:rsidP="006F7BEF">
      <w:pPr>
        <w:numPr>
          <w:ilvl w:val="0"/>
          <w:numId w:val="9"/>
        </w:numPr>
        <w:suppressAutoHyphens w:val="0"/>
        <w:spacing w:after="12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En consecuencia, el recurso de revisión consiste en una garantía secundaria</w:t>
      </w:r>
      <w:r w:rsidRPr="00A3599E">
        <w:rPr>
          <w:rFonts w:ascii="Palatino Linotype" w:hAnsi="Palatino Linotype" w:cs="Arial"/>
          <w:i/>
          <w:color w:val="000000"/>
          <w:lang w:val="es-ES_tradnl"/>
        </w:rPr>
        <w:t xml:space="preserve"> de la anulabilidad de los actos inválidos y de la responsabilidad de los actos ilícitos, que constituyen las desobediencias de sus garantías primarias</w:t>
      </w:r>
      <w:r w:rsidRPr="00A3599E">
        <w:rPr>
          <w:rFonts w:ascii="Palatino Linotype" w:hAnsi="Palatino Linotype" w:cs="Arial"/>
          <w:color w:val="000000"/>
          <w:vertAlign w:val="superscript"/>
          <w:lang w:val="es-ES_tradnl"/>
        </w:rPr>
        <w:footnoteReference w:id="6"/>
      </w:r>
      <w:r w:rsidRPr="00A3599E">
        <w:rPr>
          <w:rFonts w:ascii="Palatino Linotype" w:hAnsi="Palatino Linotype" w:cs="Arial"/>
          <w:color w:val="000000"/>
          <w:lang w:val="es-ES_tradnl"/>
        </w:rPr>
        <w:t xml:space="preserve">, esto refiere que, ante la falta de respuesta por parte del </w:t>
      </w:r>
      <w:r w:rsidRPr="00A3599E">
        <w:rPr>
          <w:rFonts w:ascii="Palatino Linotype" w:hAnsi="Palatino Linotype" w:cs="Arial"/>
          <w:b/>
          <w:color w:val="000000"/>
          <w:lang w:val="es-ES_tradnl"/>
        </w:rPr>
        <w:t>SUJETO OBLIGADO</w:t>
      </w:r>
      <w:r w:rsidRPr="00A3599E">
        <w:rPr>
          <w:rFonts w:ascii="Palatino Linotype" w:hAnsi="Palatino Linotype" w:cs="Arial"/>
          <w:color w:val="000000"/>
          <w:lang w:val="es-ES_tradnl"/>
        </w:rPr>
        <w:t xml:space="preserve">, la </w:t>
      </w:r>
      <w:r w:rsidRPr="00A3599E">
        <w:rPr>
          <w:rFonts w:ascii="Palatino Linotype" w:hAnsi="Palatino Linotype" w:cs="Arial"/>
          <w:b/>
          <w:color w:val="000000"/>
          <w:lang w:val="es-ES_tradnl"/>
        </w:rPr>
        <w:t>RECURRENTE</w:t>
      </w:r>
      <w:r w:rsidRPr="00A3599E">
        <w:rPr>
          <w:rFonts w:ascii="Palatino Linotype" w:hAnsi="Palatino Linotype" w:cs="Arial"/>
          <w:color w:val="000000"/>
          <w:lang w:val="es-ES_tradnl"/>
        </w:rPr>
        <w:t xml:space="preserve"> interpuso los recursos de revisión con el objeto de que este Órgano Garante determine si existió una violación al </w:t>
      </w:r>
      <w:r w:rsidRPr="00A3599E">
        <w:rPr>
          <w:rFonts w:ascii="Palatino Linotype" w:hAnsi="Palatino Linotype" w:cs="Arial"/>
          <w:color w:val="000000"/>
          <w:lang w:val="es-ES_tradnl"/>
        </w:rPr>
        <w:lastRenderedPageBreak/>
        <w:t>derecho de acceso a la información pública y que esta violación sea reparada por la autoridad competente.</w:t>
      </w:r>
    </w:p>
    <w:p w14:paraId="1B598F7F"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55E2BB93" w14:textId="77777777"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 xml:space="preserve">Correlativo a lo anterior, por cuanto hace a las causales de responsabilidad administrativa que pueden infringir los servidores públicos de los Sujetos Obligados, el artículo 222 de la Ley de la materia señala lo siguiente: </w:t>
      </w:r>
    </w:p>
    <w:p w14:paraId="7642D855"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7D721E3A" w14:textId="0DB00713" w:rsidR="00191180" w:rsidRPr="00A3599E" w:rsidRDefault="00D0026E"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b/>
          <w:i/>
          <w:lang w:val="es-ES_tradnl"/>
        </w:rPr>
        <w:t>“</w:t>
      </w:r>
      <w:r w:rsidR="00191180" w:rsidRPr="00A3599E">
        <w:rPr>
          <w:rFonts w:ascii="Palatino Linotype" w:hAnsi="Palatino Linotype"/>
          <w:b/>
          <w:i/>
          <w:lang w:val="es-ES_tradnl"/>
        </w:rPr>
        <w:t>Artículo 222.</w:t>
      </w:r>
      <w:r w:rsidR="00191180" w:rsidRPr="00A3599E">
        <w:rPr>
          <w:rFonts w:ascii="Palatino Linotype" w:hAnsi="Palatino Linotype"/>
          <w:i/>
          <w:lang w:val="es-ES_tradnl"/>
        </w:rPr>
        <w:t xml:space="preserve"> Son causas de responsabilidad administrativa de los servidores públicos de los sujetos obligados, por incumplimiento de las obligaciones establecidas en la materia de la presente Ley, las siguientes:</w:t>
      </w:r>
    </w:p>
    <w:p w14:paraId="1DFE7FE6" w14:textId="77777777"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b/>
          <w:i/>
          <w:lang w:val="es-ES_tradnl"/>
        </w:rPr>
        <w:t>I. Cualquier acto u omisión que provoque la suspensión o deficiencia en la atención de las solicitudes de información</w:t>
      </w:r>
      <w:r w:rsidRPr="00A3599E">
        <w:rPr>
          <w:rFonts w:ascii="Palatino Linotype" w:hAnsi="Palatino Linotype"/>
          <w:i/>
          <w:lang w:val="es-ES_tradnl"/>
        </w:rPr>
        <w:t>;</w:t>
      </w:r>
    </w:p>
    <w:p w14:paraId="477D5287" w14:textId="77777777"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b/>
          <w:i/>
          <w:lang w:val="es-ES_tradnl"/>
        </w:rPr>
        <w:t>II. La falta de respuesta a las solicitudes de información en los plazos señalados en la normatividad aplicable</w:t>
      </w:r>
      <w:r w:rsidRPr="00A3599E">
        <w:rPr>
          <w:rFonts w:ascii="Palatino Linotype" w:hAnsi="Palatino Linotype"/>
          <w:i/>
          <w:lang w:val="es-ES_tradnl"/>
        </w:rPr>
        <w:t>;</w:t>
      </w:r>
    </w:p>
    <w:p w14:paraId="2DD3D2D2" w14:textId="08B2F61F" w:rsidR="00191180" w:rsidRPr="00A3599E" w:rsidRDefault="00191180" w:rsidP="006F7BEF">
      <w:pPr>
        <w:suppressAutoHyphens w:val="0"/>
        <w:spacing w:line="360" w:lineRule="auto"/>
        <w:ind w:left="567" w:right="567"/>
        <w:contextualSpacing/>
        <w:jc w:val="both"/>
        <w:rPr>
          <w:rFonts w:ascii="Palatino Linotype" w:hAnsi="Palatino Linotype"/>
          <w:i/>
          <w:lang w:val="es-ES_tradnl"/>
        </w:rPr>
      </w:pPr>
      <w:r w:rsidRPr="00A3599E">
        <w:rPr>
          <w:rFonts w:ascii="Palatino Linotype" w:hAnsi="Palatino Linotype"/>
          <w:i/>
          <w:lang w:val="es-ES_tradnl"/>
        </w:rPr>
        <w:t>(…)</w:t>
      </w:r>
      <w:r w:rsidR="00D0026E" w:rsidRPr="00A3599E">
        <w:rPr>
          <w:rFonts w:ascii="Palatino Linotype" w:hAnsi="Palatino Linotype"/>
          <w:i/>
          <w:lang w:val="es-ES_tradnl"/>
        </w:rPr>
        <w:t xml:space="preserve">” </w:t>
      </w:r>
    </w:p>
    <w:p w14:paraId="5EDBEDC0" w14:textId="77777777" w:rsidR="00D0026E" w:rsidRPr="00A3599E" w:rsidRDefault="00D0026E" w:rsidP="006F7BEF">
      <w:pPr>
        <w:suppressAutoHyphens w:val="0"/>
        <w:spacing w:line="360" w:lineRule="auto"/>
        <w:ind w:left="567" w:right="567"/>
        <w:contextualSpacing/>
        <w:jc w:val="both"/>
        <w:rPr>
          <w:rFonts w:ascii="Palatino Linotype" w:hAnsi="Palatino Linotype"/>
          <w:iCs/>
          <w:lang w:val="es-ES_tradnl"/>
        </w:rPr>
      </w:pPr>
    </w:p>
    <w:p w14:paraId="324B8A99" w14:textId="77777777" w:rsidR="00191180" w:rsidRPr="00A3599E" w:rsidRDefault="00191180" w:rsidP="006F7BEF">
      <w:pPr>
        <w:suppressAutoHyphens w:val="0"/>
        <w:spacing w:line="360" w:lineRule="auto"/>
        <w:ind w:left="567" w:right="567"/>
        <w:contextualSpacing/>
        <w:jc w:val="both"/>
        <w:rPr>
          <w:rFonts w:ascii="Palatino Linotype" w:hAnsi="Palatino Linotype"/>
          <w:i/>
          <w:iCs/>
          <w:lang w:val="es-ES_tradnl"/>
        </w:rPr>
      </w:pPr>
      <w:r w:rsidRPr="00A3599E">
        <w:rPr>
          <w:rFonts w:ascii="Palatino Linotype" w:hAnsi="Palatino Linotype"/>
          <w:i/>
          <w:iCs/>
          <w:lang w:val="es-ES_tradnl"/>
        </w:rPr>
        <w:t>(Énfasis añadido)</w:t>
      </w:r>
    </w:p>
    <w:p w14:paraId="1710CDED" w14:textId="77777777" w:rsidR="00191180" w:rsidRPr="00A3599E" w:rsidRDefault="00191180" w:rsidP="006F7BEF">
      <w:pPr>
        <w:tabs>
          <w:tab w:val="left" w:pos="426"/>
        </w:tabs>
        <w:suppressAutoHyphens w:val="0"/>
        <w:spacing w:before="240" w:after="240" w:line="360" w:lineRule="auto"/>
        <w:contextualSpacing/>
        <w:jc w:val="both"/>
        <w:rPr>
          <w:rFonts w:ascii="Palatino Linotype" w:hAnsi="Palatino Linotype"/>
          <w:lang w:val="es-ES_tradnl"/>
        </w:rPr>
      </w:pPr>
    </w:p>
    <w:p w14:paraId="5830D706" w14:textId="2AED8544" w:rsidR="00191180" w:rsidRPr="00A3599E" w:rsidRDefault="00191180" w:rsidP="006F7BEF">
      <w:pPr>
        <w:numPr>
          <w:ilvl w:val="0"/>
          <w:numId w:val="9"/>
        </w:numPr>
        <w:tabs>
          <w:tab w:val="left" w:pos="426"/>
        </w:tabs>
        <w:suppressAutoHyphens w:val="0"/>
        <w:spacing w:before="240" w:after="240" w:line="360" w:lineRule="auto"/>
        <w:ind w:left="0" w:firstLine="0"/>
        <w:contextualSpacing/>
        <w:jc w:val="both"/>
        <w:rPr>
          <w:rFonts w:ascii="Palatino Linotype" w:hAnsi="Palatino Linotype"/>
          <w:lang w:val="es-ES_tradnl"/>
        </w:rPr>
      </w:pPr>
      <w:r w:rsidRPr="00A3599E">
        <w:rPr>
          <w:rFonts w:ascii="Palatino Linotype" w:hAnsi="Palatino Linotype"/>
          <w:lang w:val="es-ES_tradnl"/>
        </w:rPr>
        <w:t>En el presente asunto, de c</w:t>
      </w:r>
      <w:r w:rsidR="000D0723" w:rsidRPr="00A3599E">
        <w:rPr>
          <w:rFonts w:ascii="Palatino Linotype" w:hAnsi="Palatino Linotype"/>
          <w:lang w:val="es-ES_tradnl"/>
        </w:rPr>
        <w:t>onstancias de autos que obran en el expediente digital</w:t>
      </w:r>
      <w:r w:rsidRPr="00A3599E">
        <w:rPr>
          <w:rFonts w:ascii="Palatino Linotype" w:hAnsi="Palatino Linotype"/>
          <w:lang w:val="es-ES_tradnl"/>
        </w:rPr>
        <w:t xml:space="preserve"> del </w:t>
      </w:r>
      <w:r w:rsidRPr="00A3599E">
        <w:rPr>
          <w:rFonts w:ascii="Palatino Linotype" w:hAnsi="Palatino Linotype"/>
          <w:b/>
          <w:lang w:val="es-ES_tradnl"/>
        </w:rPr>
        <w:t>SAIMEX</w:t>
      </w:r>
      <w:r w:rsidRPr="00A3599E">
        <w:rPr>
          <w:rFonts w:ascii="Palatino Linotype" w:hAnsi="Palatino Linotype"/>
          <w:lang w:val="es-ES_tradnl"/>
        </w:rPr>
        <w:t>, para el caso del recurso de revisión</w:t>
      </w:r>
      <w:r w:rsidR="004025A2">
        <w:rPr>
          <w:rFonts w:ascii="Palatino Linotype" w:hAnsi="Palatino Linotype"/>
          <w:lang w:val="es-ES_tradnl"/>
        </w:rPr>
        <w:t xml:space="preserve"> </w:t>
      </w:r>
      <w:r w:rsidR="004025A2" w:rsidRPr="004025A2">
        <w:rPr>
          <w:rFonts w:ascii="Palatino Linotype" w:hAnsi="Palatino Linotype"/>
          <w:bCs/>
        </w:rPr>
        <w:t>al rubro indicado</w:t>
      </w:r>
      <w:r w:rsidRPr="00A3599E">
        <w:rPr>
          <w:rFonts w:ascii="Palatino Linotype" w:hAnsi="Palatino Linotype"/>
          <w:lang w:val="es-ES_tradnl"/>
        </w:rPr>
        <w:t xml:space="preserve">, </w:t>
      </w:r>
      <w:r w:rsidR="00E750ED" w:rsidRPr="00A3599E">
        <w:rPr>
          <w:rFonts w:ascii="Palatino Linotype" w:hAnsi="Palatino Linotype"/>
          <w:lang w:val="es-ES_tradnl"/>
        </w:rPr>
        <w:t xml:space="preserve">no se atendió la solitud de información por </w:t>
      </w:r>
      <w:r w:rsidRPr="00A3599E">
        <w:rPr>
          <w:rFonts w:ascii="Palatino Linotype" w:hAnsi="Palatino Linotype"/>
          <w:lang w:val="es-ES_tradnl"/>
        </w:rPr>
        <w:t>el</w:t>
      </w:r>
      <w:r w:rsidR="004025A2">
        <w:rPr>
          <w:rFonts w:ascii="Palatino Linotype" w:hAnsi="Palatino Linotype"/>
          <w:b/>
          <w:bCs/>
        </w:rPr>
        <w:t xml:space="preserve"> </w:t>
      </w:r>
      <w:r w:rsidR="004025A2">
        <w:rPr>
          <w:rFonts w:ascii="Palatino Linotype" w:hAnsi="Palatino Linotype"/>
          <w:bCs/>
        </w:rPr>
        <w:t>ente recurrido</w:t>
      </w:r>
      <w:r w:rsidRPr="00A3599E">
        <w:rPr>
          <w:rFonts w:ascii="Palatino Linotype" w:hAnsi="Palatino Linotype"/>
          <w:lang w:val="es-ES_tradnl"/>
        </w:rPr>
        <w:t xml:space="preserve">, se dará vista al área competente para que, en ejercicio de sus atribuciones, realice las investigaciones pertinentes por las omisiones detectadas atribuibles al </w:t>
      </w:r>
      <w:r w:rsidRPr="00A3599E">
        <w:rPr>
          <w:rFonts w:ascii="Palatino Linotype" w:hAnsi="Palatino Linotype"/>
          <w:b/>
          <w:lang w:val="es-ES_tradnl"/>
        </w:rPr>
        <w:t>SUJETO OBLIGADO</w:t>
      </w:r>
      <w:r w:rsidRPr="00A3599E">
        <w:rPr>
          <w:rFonts w:ascii="Palatino Linotype" w:hAnsi="Palatino Linotype"/>
          <w:lang w:val="es-ES_tradnl"/>
        </w:rPr>
        <w:t xml:space="preserve">, de conformidad con lo dispuesto por la </w:t>
      </w:r>
      <w:r w:rsidRPr="00A3599E">
        <w:rPr>
          <w:rFonts w:ascii="Palatino Linotype" w:hAnsi="Palatino Linotype"/>
          <w:b/>
          <w:lang w:val="es-ES_tradnl"/>
        </w:rPr>
        <w:t>fracción</w:t>
      </w:r>
      <w:r w:rsidRPr="00A3599E">
        <w:rPr>
          <w:rFonts w:ascii="Palatino Linotype" w:hAnsi="Palatino Linotype"/>
          <w:lang w:val="es-ES_tradnl"/>
        </w:rPr>
        <w:t xml:space="preserve"> X, del artículo 36, de la Ley de Transparencia y Acceso a la </w:t>
      </w:r>
      <w:r w:rsidRPr="00A3599E">
        <w:rPr>
          <w:rFonts w:ascii="Palatino Linotype" w:hAnsi="Palatino Linotype"/>
          <w:lang w:val="es-ES_tradnl"/>
        </w:rPr>
        <w:lastRenderedPageBreak/>
        <w:t xml:space="preserve">Información Pública del Estado de México y Municipios. Asimismo, este Pleno hará del conocimiento del Órgano de Control de este Instituto de las infracciones en que el </w:t>
      </w:r>
      <w:r w:rsidRPr="00A3599E">
        <w:rPr>
          <w:rFonts w:ascii="Palatino Linotype" w:hAnsi="Palatino Linotype"/>
          <w:b/>
          <w:lang w:val="es-ES_tradnl"/>
        </w:rPr>
        <w:t>SUJETO OBLIGADO</w:t>
      </w:r>
      <w:r w:rsidRPr="00A3599E">
        <w:rPr>
          <w:rFonts w:ascii="Palatino Linotype" w:hAnsi="Palatino Linotype"/>
          <w:lang w:val="es-ES_tradnl"/>
        </w:rPr>
        <w:t xml:space="preserve"> incurrió, toda vez que la naturaleza de investigar y sancionar corresponde a un ente distinto a éste a través de un procedimiento diferente al recurso de revisión, lo cual, como hemos analizado, se encuentra previsto </w:t>
      </w:r>
      <w:r w:rsidRPr="00A3599E">
        <w:rPr>
          <w:rFonts w:ascii="Palatino Linotype" w:eastAsia="MS Mincho" w:hAnsi="Palatino Linotype" w:cs="Arial"/>
          <w:lang w:val="es-ES_tradnl"/>
        </w:rPr>
        <w:t>en la Ley de Transparencia Acceso a la Información Pública del Estado de México y Municipios específicamente en sus artículos 190, 222 y 223.</w:t>
      </w:r>
    </w:p>
    <w:p w14:paraId="64B5D53F" w14:textId="77777777" w:rsidR="00191180" w:rsidRPr="00A3599E" w:rsidRDefault="00191180" w:rsidP="006F7BEF">
      <w:pPr>
        <w:suppressAutoHyphens w:val="0"/>
        <w:spacing w:before="240" w:after="240" w:line="360" w:lineRule="auto"/>
        <w:contextualSpacing/>
        <w:jc w:val="both"/>
        <w:rPr>
          <w:rFonts w:ascii="Palatino Linotype" w:eastAsia="MS Mincho" w:hAnsi="Palatino Linotype" w:cs="Arial"/>
          <w:lang w:val="es-ES_tradnl"/>
        </w:rPr>
      </w:pPr>
    </w:p>
    <w:p w14:paraId="2EC2CA73" w14:textId="199A0468" w:rsidR="00191180" w:rsidRPr="00A3599E" w:rsidRDefault="00C1345F" w:rsidP="006F7BEF">
      <w:pPr>
        <w:keepNext/>
        <w:keepLines/>
        <w:suppressAutoHyphens w:val="0"/>
        <w:spacing w:before="240" w:line="360" w:lineRule="auto"/>
        <w:outlineLvl w:val="0"/>
        <w:rPr>
          <w:rFonts w:ascii="Palatino Linotype" w:hAnsi="Palatino Linotype" w:cs="Arial"/>
          <w:b/>
          <w:color w:val="000000"/>
          <w:lang w:val="es-ES_tradnl"/>
        </w:rPr>
      </w:pPr>
      <w:bookmarkStart w:id="106" w:name="_Toc103178789"/>
      <w:r w:rsidRPr="00A3599E">
        <w:rPr>
          <w:rFonts w:ascii="Palatino Linotype" w:hAnsi="Palatino Linotype" w:cs="Arial"/>
          <w:b/>
          <w:color w:val="000000"/>
          <w:lang w:val="es-ES_tradnl"/>
        </w:rPr>
        <w:t>SÉPTIMO</w:t>
      </w:r>
      <w:r w:rsidR="00191180" w:rsidRPr="00A3599E">
        <w:rPr>
          <w:rFonts w:ascii="Palatino Linotype" w:hAnsi="Palatino Linotype" w:cs="Arial"/>
          <w:b/>
          <w:color w:val="000000"/>
          <w:lang w:val="es-ES_tradnl"/>
        </w:rPr>
        <w:t>. De la versión pública.</w:t>
      </w:r>
      <w:bookmarkEnd w:id="106"/>
    </w:p>
    <w:p w14:paraId="01DD5B39" w14:textId="77777777" w:rsidR="00191180" w:rsidRPr="00A3599E" w:rsidRDefault="00191180" w:rsidP="006F7BEF">
      <w:pPr>
        <w:suppressAutoHyphens w:val="0"/>
        <w:spacing w:after="120" w:line="360" w:lineRule="auto"/>
        <w:ind w:left="360" w:right="49"/>
        <w:contextualSpacing/>
        <w:jc w:val="both"/>
        <w:rPr>
          <w:rFonts w:ascii="Palatino Linotype" w:hAnsi="Palatino Linotype" w:cs="Arial"/>
          <w:color w:val="000000"/>
          <w:lang w:val="es-ES_tradnl"/>
        </w:rPr>
      </w:pPr>
    </w:p>
    <w:p w14:paraId="24014B16" w14:textId="77777777" w:rsidR="00191180" w:rsidRPr="00A3599E" w:rsidRDefault="00191180" w:rsidP="006F7BEF">
      <w:pPr>
        <w:numPr>
          <w:ilvl w:val="0"/>
          <w:numId w:val="9"/>
        </w:numPr>
        <w:tabs>
          <w:tab w:val="left" w:pos="426"/>
        </w:tabs>
        <w:suppressAutoHyphens w:val="0"/>
        <w:spacing w:after="120" w:line="360" w:lineRule="auto"/>
        <w:ind w:left="0" w:right="49"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Por otro lado, debe destacarse que debido a la naturaleza de la información solicitada</w:t>
      </w:r>
      <w:r w:rsidRPr="00A3599E">
        <w:rPr>
          <w:rFonts w:ascii="Palatino Linotype" w:hAnsi="Palatino Linotype" w:cs="Arial"/>
          <w:b/>
          <w:color w:val="000000"/>
          <w:lang w:val="es-ES_tradnl"/>
        </w:rPr>
        <w:t xml:space="preserve">, </w:t>
      </w:r>
      <w:r w:rsidRPr="00A3599E">
        <w:rPr>
          <w:rFonts w:ascii="Palatino Linotype" w:hAnsi="Palatino Linotype" w:cs="Arial"/>
          <w:color w:val="000000"/>
          <w:lang w:val="es-ES_tradnl"/>
        </w:rPr>
        <w:t xml:space="preserve">eventualmente pudieran obrar datos personales susceptibles de protegerse, y toda vez que este Instituto de Transparencia, Acceso a la Información Pública y Protección de Datos Personales del Estado de México tiene el deber de velar por la protección de los datos personales aun tratándose de servidores públicos y en su caso generar la </w:t>
      </w:r>
      <w:r w:rsidRPr="00A3599E">
        <w:rPr>
          <w:rFonts w:ascii="Palatino Linotype" w:hAnsi="Palatino Linotype" w:cs="Arial"/>
          <w:b/>
          <w:color w:val="000000"/>
          <w:lang w:val="es-ES_tradnl"/>
        </w:rPr>
        <w:t>versión pública</w:t>
      </w:r>
      <w:r w:rsidRPr="00A3599E">
        <w:rPr>
          <w:rFonts w:ascii="Palatino Linotype" w:hAnsi="Palatino Linotype" w:cs="Arial"/>
          <w:color w:val="000000"/>
          <w:lang w:val="es-ES_tradnl"/>
        </w:rPr>
        <w:t xml:space="preserve"> del documento por las consideraciones que se estimen pertinentes.</w:t>
      </w:r>
    </w:p>
    <w:p w14:paraId="60AA595E" w14:textId="77777777" w:rsidR="00191180" w:rsidRPr="00A3599E" w:rsidRDefault="00191180" w:rsidP="006F7BEF">
      <w:pPr>
        <w:tabs>
          <w:tab w:val="left" w:pos="426"/>
        </w:tabs>
        <w:suppressAutoHyphens w:val="0"/>
        <w:spacing w:after="120" w:line="360" w:lineRule="auto"/>
        <w:ind w:right="49"/>
        <w:contextualSpacing/>
        <w:jc w:val="both"/>
        <w:rPr>
          <w:rFonts w:ascii="Palatino Linotype" w:hAnsi="Palatino Linotype" w:cs="Arial"/>
          <w:color w:val="000000"/>
          <w:lang w:val="es-ES_tradnl"/>
        </w:rPr>
      </w:pPr>
    </w:p>
    <w:p w14:paraId="02335BD8" w14:textId="77777777" w:rsidR="00191180" w:rsidRPr="00A3599E" w:rsidRDefault="00191180" w:rsidP="006F7BEF">
      <w:pPr>
        <w:numPr>
          <w:ilvl w:val="0"/>
          <w:numId w:val="9"/>
        </w:numPr>
        <w:shd w:val="clear" w:color="auto" w:fill="FFFFFF"/>
        <w:tabs>
          <w:tab w:val="left" w:pos="284"/>
          <w:tab w:val="left" w:pos="426"/>
        </w:tabs>
        <w:suppressAutoHyphens w:val="0"/>
        <w:spacing w:before="240" w:after="200" w:line="360" w:lineRule="auto"/>
        <w:ind w:left="0" w:firstLine="0"/>
        <w:contextualSpacing/>
        <w:jc w:val="both"/>
        <w:rPr>
          <w:rFonts w:ascii="Palatino Linotype" w:hAnsi="Palatino Linotype" w:cs="Arial"/>
          <w:color w:val="000000"/>
          <w:lang w:val="es-ES_tradnl"/>
        </w:rPr>
      </w:pPr>
      <w:r w:rsidRPr="00A3599E">
        <w:rPr>
          <w:rFonts w:ascii="Palatino Linotype" w:eastAsia="Calibri" w:hAnsi="Palatino Linotype" w:cs="Arial"/>
          <w:color w:val="000000"/>
          <w:lang w:val="es-ES" w:eastAsia="es-MX"/>
        </w:rPr>
        <w:t xml:space="preserve">Es de señalar que, por lo que hace a las versiones públicas, el </w:t>
      </w:r>
      <w:r w:rsidRPr="00A3599E">
        <w:rPr>
          <w:rFonts w:ascii="Palatino Linotype" w:eastAsia="Calibri" w:hAnsi="Palatino Linotype" w:cs="Arial"/>
          <w:b/>
          <w:color w:val="000000"/>
          <w:lang w:val="es-ES" w:eastAsia="es-MX"/>
        </w:rPr>
        <w:t>SUJETO OBLIGADO</w:t>
      </w:r>
      <w:r w:rsidRPr="00A3599E">
        <w:rPr>
          <w:rFonts w:ascii="Palatino Linotype" w:eastAsia="Calibri" w:hAnsi="Palatino Linotype" w:cs="Arial"/>
          <w:color w:val="000000"/>
          <w:lang w:val="es-ES" w:eastAsia="es-MX"/>
        </w:rPr>
        <w:t xml:space="preserve"> debe cumplir con las formalidades exigidas en la Ley, por lo que </w:t>
      </w:r>
      <w:r w:rsidRPr="00A3599E">
        <w:rPr>
          <w:rFonts w:ascii="Palatino Linotype" w:hAnsi="Palatino Linotype" w:cs="Arial"/>
          <w:color w:val="000000"/>
          <w:lang w:val="es-ES_tradnl" w:eastAsia="es-MX"/>
        </w:rPr>
        <w:t xml:space="preserve">para tal efecto emitirá el </w:t>
      </w:r>
      <w:r w:rsidRPr="00A3599E">
        <w:rPr>
          <w:rFonts w:ascii="Palatino Linotype" w:eastAsia="Calibri" w:hAnsi="Palatino Linotype" w:cs="Arial"/>
          <w:color w:val="000000"/>
          <w:lang w:val="es-ES" w:eastAsia="es-MX"/>
        </w:rPr>
        <w:t>Acuerdo del Comité de Transparencia en términos de los artículos 49 fracción</w:t>
      </w:r>
      <w:r w:rsidRPr="00A3599E">
        <w:rPr>
          <w:rFonts w:ascii="Palatino Linotype" w:eastAsia="Calibri" w:hAnsi="Palatino Linotype" w:cs="Arial"/>
          <w:bCs/>
          <w:color w:val="000000"/>
          <w:lang w:val="es-ES_tradnl"/>
        </w:rPr>
        <w:t xml:space="preserve"> VIII,</w:t>
      </w:r>
      <w:r w:rsidRPr="00A3599E">
        <w:rPr>
          <w:rFonts w:ascii="Palatino Linotype" w:eastAsia="Calibri" w:hAnsi="Palatino Linotype" w:cs="Arial"/>
          <w:color w:val="000000"/>
          <w:lang w:val="es-ES" w:eastAsia="es-MX"/>
        </w:rPr>
        <w:t xml:space="preserve"> </w:t>
      </w:r>
      <w:r w:rsidRPr="00A3599E">
        <w:rPr>
          <w:rFonts w:ascii="Palatino Linotype" w:eastAsia="Calibri" w:hAnsi="Palatino Linotype" w:cs="Arial"/>
          <w:color w:val="000000"/>
          <w:lang w:val="es-ES" w:eastAsia="es-MX"/>
        </w:rPr>
        <w:lastRenderedPageBreak/>
        <w:t>122</w:t>
      </w:r>
      <w:r w:rsidRPr="00A3599E">
        <w:rPr>
          <w:rFonts w:ascii="Palatino Linotype" w:hAnsi="Palatino Linotype"/>
          <w:vertAlign w:val="superscript"/>
          <w:lang w:val="es-ES" w:eastAsia="es-MX"/>
        </w:rPr>
        <w:footnoteReference w:id="7"/>
      </w:r>
      <w:r w:rsidRPr="00A3599E">
        <w:rPr>
          <w:rFonts w:ascii="Palatino Linotype" w:eastAsia="Calibri" w:hAnsi="Palatino Linotype" w:cs="Arial"/>
          <w:color w:val="000000"/>
          <w:lang w:val="es-ES" w:eastAsia="es-MX"/>
        </w:rPr>
        <w:t>, 135</w:t>
      </w:r>
      <w:r w:rsidRPr="00A3599E">
        <w:rPr>
          <w:rFonts w:ascii="Palatino Linotype" w:hAnsi="Palatino Linotype"/>
          <w:vertAlign w:val="superscript"/>
          <w:lang w:val="es-ES" w:eastAsia="es-MX"/>
        </w:rPr>
        <w:footnoteReference w:id="8"/>
      </w:r>
      <w:r w:rsidRPr="00A3599E">
        <w:rPr>
          <w:rFonts w:ascii="Palatino Linotype" w:eastAsia="Calibri" w:hAnsi="Palatino Linotype" w:cs="Arial"/>
          <w:color w:val="000000"/>
          <w:lang w:val="es-ES" w:eastAsia="es-MX"/>
        </w:rPr>
        <w:t xml:space="preserve"> y 149 de la </w:t>
      </w:r>
      <w:r w:rsidRPr="00A3599E">
        <w:rPr>
          <w:rFonts w:ascii="Palatino Linotype" w:eastAsia="Calibri" w:hAnsi="Palatino Linotype" w:cs="Arial"/>
          <w:b/>
          <w:color w:val="000000"/>
          <w:lang w:val="es-ES" w:eastAsia="es-MX"/>
        </w:rPr>
        <w:t>Ley de Transparencia y Acceso a la Información Pública del Estado de México y Municipios</w:t>
      </w:r>
      <w:r w:rsidRPr="00A3599E">
        <w:rPr>
          <w:rFonts w:ascii="Palatino Linotype" w:eastAsia="Calibri" w:hAnsi="Palatino Linotype" w:cs="Arial"/>
          <w:color w:val="000000"/>
          <w:lang w:val="es-ES" w:eastAsia="es-MX"/>
        </w:rPr>
        <w:t>, con el cual sustentara de forma fundada y motivada la clasificación de datos y con ello la "versión pública" de los documentos materia de la solicitud.</w:t>
      </w:r>
    </w:p>
    <w:p w14:paraId="07572824" w14:textId="77777777" w:rsidR="00191180" w:rsidRPr="00A3599E" w:rsidRDefault="00191180" w:rsidP="006F7BEF">
      <w:pPr>
        <w:shd w:val="clear" w:color="auto" w:fill="FFFFFF"/>
        <w:tabs>
          <w:tab w:val="left" w:pos="284"/>
          <w:tab w:val="left" w:pos="426"/>
        </w:tabs>
        <w:suppressAutoHyphens w:val="0"/>
        <w:spacing w:before="240" w:after="200" w:line="360" w:lineRule="auto"/>
        <w:contextualSpacing/>
        <w:jc w:val="both"/>
        <w:rPr>
          <w:rFonts w:ascii="Palatino Linotype" w:hAnsi="Palatino Linotype" w:cs="Arial"/>
          <w:color w:val="000000"/>
          <w:lang w:val="es-ES_tradnl"/>
        </w:rPr>
      </w:pPr>
    </w:p>
    <w:p w14:paraId="35ABA92D" w14:textId="77777777" w:rsidR="00191180" w:rsidRPr="00A3599E" w:rsidRDefault="00191180" w:rsidP="006F7BEF">
      <w:pPr>
        <w:keepNext/>
        <w:keepLines/>
        <w:suppressAutoHyphens w:val="0"/>
        <w:spacing w:before="40" w:line="360" w:lineRule="auto"/>
        <w:outlineLvl w:val="1"/>
        <w:rPr>
          <w:rFonts w:ascii="Palatino Linotype" w:hAnsi="Palatino Linotype"/>
          <w:b/>
          <w:color w:val="000000"/>
          <w:lang w:eastAsia="en-US"/>
        </w:rPr>
      </w:pPr>
      <w:bookmarkStart w:id="107" w:name="_Toc500756709"/>
      <w:bookmarkStart w:id="108" w:name="_Toc536691777"/>
      <w:bookmarkStart w:id="109" w:name="_Toc103178790"/>
      <w:r w:rsidRPr="00A3599E">
        <w:rPr>
          <w:rFonts w:ascii="Palatino Linotype" w:hAnsi="Palatino Linotype"/>
          <w:b/>
          <w:color w:val="000000"/>
          <w:lang w:eastAsia="en-US"/>
        </w:rPr>
        <w:t>I. De la clasificación de la información.</w:t>
      </w:r>
      <w:bookmarkEnd w:id="107"/>
      <w:bookmarkEnd w:id="108"/>
      <w:bookmarkEnd w:id="109"/>
    </w:p>
    <w:p w14:paraId="1585E162" w14:textId="77777777" w:rsidR="00191180" w:rsidRPr="00A3599E" w:rsidRDefault="00191180" w:rsidP="006F7BEF">
      <w:pPr>
        <w:suppressAutoHyphens w:val="0"/>
        <w:spacing w:line="360" w:lineRule="auto"/>
        <w:rPr>
          <w:rFonts w:ascii="Palatino Linotype" w:hAnsi="Palatino Linotype"/>
          <w:color w:val="000000"/>
          <w:lang w:eastAsia="en-US"/>
        </w:rPr>
      </w:pPr>
    </w:p>
    <w:p w14:paraId="4C242014"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La clasificación total o parcial de la información requerida, mediante solicitud de acceso a la información pública, constituye una restricción al derecho humano de acceso a la información. Como reiteradamente han dicho, diversos órganos jurisdiccionales, ningún derecho es absoluto</w:t>
      </w:r>
      <w:r w:rsidRPr="00A3599E">
        <w:rPr>
          <w:rFonts w:ascii="Palatino Linotype" w:hAnsi="Palatino Linotype"/>
          <w:vertAlign w:val="superscript"/>
          <w:lang w:val="es-ES_tradnl"/>
        </w:rPr>
        <w:footnoteReference w:id="9"/>
      </w:r>
      <w:r w:rsidRPr="00A3599E">
        <w:rPr>
          <w:rFonts w:ascii="Palatino Linotype" w:hAnsi="Palatino Linotype"/>
          <w:color w:val="000000"/>
          <w:lang w:val="es-ES_tradnl"/>
        </w:rPr>
        <w:t xml:space="preserve"> aunque cualquier límite o restricción, </w:t>
      </w:r>
      <w:r w:rsidRPr="00A3599E">
        <w:rPr>
          <w:rFonts w:ascii="Palatino Linotype" w:hAnsi="Palatino Linotype"/>
          <w:color w:val="000000"/>
          <w:lang w:val="es-ES_tradnl"/>
        </w:rPr>
        <w:lastRenderedPageBreak/>
        <w:t>para ser legítimo, debe reunir con tres requisitos: primero, debe de estar establecida en un ordenamiento legal, antes de su aplicación; debe de corresponder a un fin legítimo y ser estrictamente proporcional con el principio o valor que se pretende preservar.</w:t>
      </w:r>
      <w:r w:rsidRPr="00A3599E">
        <w:rPr>
          <w:rFonts w:ascii="Palatino Linotype" w:hAnsi="Palatino Linotype"/>
          <w:vertAlign w:val="superscript"/>
          <w:lang w:val="es-ES_tradnl"/>
        </w:rPr>
        <w:footnoteReference w:id="10"/>
      </w:r>
      <w:r w:rsidRPr="00A3599E">
        <w:rPr>
          <w:rFonts w:ascii="Palatino Linotype" w:hAnsi="Palatino Linotype"/>
          <w:color w:val="000000"/>
          <w:lang w:val="es-ES_tradnl"/>
        </w:rPr>
        <w:t xml:space="preserve"> En este caso, la clasificación total o parcial de la información es un supuesto que tanto la Ley General de Transparencia y Acceso a la Información Pública, en adelante, la Ley General, como la Ley de Transparencia y Acceso a la Información Pública del Estado de México y Municipios, en adelante, la Ley Estatal, establecen, y agotar el procedimiento legalmente establecido, es precisamente lo que permite acreditar el cumplimiento de los otros dos requisitos.</w:t>
      </w:r>
    </w:p>
    <w:p w14:paraId="20EF70F1"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olor w:val="000000"/>
          <w:lang w:val="es-ES_tradnl"/>
        </w:rPr>
      </w:pPr>
    </w:p>
    <w:p w14:paraId="1CCC8094"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 xml:space="preserve">El grave problema que enfrentamos todos los días al resolver los recursos de revisión que se presentan, consiste en que a pesar de que han pasado más de dos años desde la entrada en vigor de la Ley General, y poco más de un año de la entrada en </w:t>
      </w:r>
      <w:r w:rsidRPr="00A3599E">
        <w:rPr>
          <w:rFonts w:ascii="Palatino Linotype" w:hAnsi="Palatino Linotype"/>
          <w:color w:val="000000"/>
          <w:lang w:val="es-ES_tradnl"/>
        </w:rPr>
        <w:lastRenderedPageBreak/>
        <w:t>vigor de Ley Estatal, y de que dichos ordenamientos señalan los pasos, requisitos y formalidades que deben de cumplirse, en general, los acuerdos de clasificación de la información que emiten los Sujetos Obligados siguen sin observar los requisitos, tanto por la complejidad del procedimiento como por la falta de atención de los operadores jurídicos.</w:t>
      </w:r>
    </w:p>
    <w:p w14:paraId="6C6D7BFD" w14:textId="77777777" w:rsidR="00191180" w:rsidRPr="00A3599E" w:rsidRDefault="00191180" w:rsidP="006F7BEF">
      <w:pPr>
        <w:tabs>
          <w:tab w:val="left" w:pos="426"/>
        </w:tabs>
        <w:suppressAutoHyphens w:val="0"/>
        <w:spacing w:after="160" w:line="360" w:lineRule="auto"/>
        <w:contextualSpacing/>
        <w:jc w:val="both"/>
        <w:rPr>
          <w:rFonts w:ascii="Palatino Linotype" w:hAnsi="Palatino Linotype"/>
          <w:color w:val="000000"/>
          <w:lang w:val="es-ES_tradnl"/>
        </w:rPr>
      </w:pPr>
    </w:p>
    <w:p w14:paraId="3F3A8B07"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 xml:space="preserve">Por esa razón, es que en esta ocasión se presenta un apretado resumen de las formalidades, elementos y procedimientos que debe considerar 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w:t>
      </w:r>
      <w:r w:rsidRPr="00A3599E">
        <w:rPr>
          <w:rFonts w:ascii="Palatino Linotype" w:hAnsi="Palatino Linotype"/>
          <w:color w:val="000000"/>
          <w:lang w:val="es-ES_tradnl"/>
        </w:rPr>
        <w:t>para emitir este tipo de acuerdos y que el Órgano Garante debe verificar que se cumplan.</w:t>
      </w:r>
    </w:p>
    <w:p w14:paraId="43F45798" w14:textId="77777777" w:rsidR="00191180" w:rsidRPr="00A3599E" w:rsidRDefault="00191180" w:rsidP="006F7BEF">
      <w:pPr>
        <w:suppressAutoHyphens w:val="0"/>
        <w:spacing w:line="360" w:lineRule="auto"/>
        <w:jc w:val="both"/>
        <w:rPr>
          <w:rFonts w:ascii="Palatino Linotype" w:hAnsi="Palatino Linotype"/>
          <w:color w:val="000000"/>
          <w:lang w:val="es-ES_tradnl"/>
        </w:rPr>
      </w:pPr>
    </w:p>
    <w:p w14:paraId="0FD14A13" w14:textId="77777777" w:rsidR="00191180" w:rsidRPr="00A3599E" w:rsidRDefault="00191180" w:rsidP="006F7BEF">
      <w:pPr>
        <w:keepNext/>
        <w:keepLines/>
        <w:pBdr>
          <w:top w:val="nil"/>
          <w:left w:val="nil"/>
          <w:bottom w:val="nil"/>
          <w:right w:val="nil"/>
          <w:between w:val="nil"/>
          <w:bar w:val="nil"/>
        </w:pBdr>
        <w:suppressAutoHyphens w:val="0"/>
        <w:spacing w:before="240" w:line="360" w:lineRule="auto"/>
        <w:contextualSpacing/>
        <w:outlineLvl w:val="0"/>
        <w:rPr>
          <w:rFonts w:ascii="Palatino Linotype" w:hAnsi="Palatino Linotype"/>
          <w:b/>
          <w:color w:val="000000"/>
          <w:lang w:eastAsia="en-US"/>
        </w:rPr>
      </w:pPr>
      <w:bookmarkStart w:id="110" w:name="_Toc485631700"/>
      <w:bookmarkStart w:id="111" w:name="_Toc500756710"/>
      <w:bookmarkStart w:id="112" w:name="_Toc536691778"/>
      <w:bookmarkStart w:id="113" w:name="_Toc103178791"/>
      <w:r w:rsidRPr="00A3599E">
        <w:rPr>
          <w:rFonts w:ascii="Palatino Linotype" w:hAnsi="Palatino Linotype"/>
          <w:b/>
          <w:color w:val="000000"/>
          <w:lang w:eastAsia="en-US"/>
        </w:rPr>
        <w:t>a) Requisitos previos.</w:t>
      </w:r>
      <w:bookmarkEnd w:id="110"/>
      <w:bookmarkEnd w:id="111"/>
      <w:bookmarkEnd w:id="112"/>
      <w:bookmarkEnd w:id="113"/>
    </w:p>
    <w:p w14:paraId="6B1364EF" w14:textId="77777777" w:rsidR="00191180" w:rsidRPr="00A3599E" w:rsidRDefault="00191180" w:rsidP="006F7BEF">
      <w:pPr>
        <w:suppressAutoHyphens w:val="0"/>
        <w:spacing w:line="360" w:lineRule="auto"/>
        <w:contextualSpacing/>
        <w:jc w:val="both"/>
        <w:rPr>
          <w:rFonts w:ascii="Palatino Linotype" w:hAnsi="Palatino Linotype" w:cs="Arial"/>
          <w:color w:val="000000"/>
          <w:lang w:val="es-ES_tradnl"/>
        </w:rPr>
      </w:pPr>
    </w:p>
    <w:p w14:paraId="62142134"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Los </w:t>
      </w:r>
      <w:r w:rsidRPr="00A3599E">
        <w:rPr>
          <w:rFonts w:ascii="Palatino Linotype" w:hAnsi="Palatino Linotype"/>
          <w:color w:val="000000"/>
          <w:lang w:val="es-ES_tradnl"/>
        </w:rPr>
        <w:t>artículos</w:t>
      </w:r>
      <w:r w:rsidRPr="00A3599E">
        <w:rPr>
          <w:rFonts w:ascii="Palatino Linotype" w:hAnsi="Palatino Linotype" w:cs="Arial"/>
          <w:color w:val="000000"/>
          <w:lang w:val="es-ES_tradnl"/>
        </w:rPr>
        <w:t xml:space="preserve"> 122 y 100 de la Ley Estatal y de la Ley General, respectivamente, señalan que los Sujetos Obligados determinan que la información actualiza alguno de los supuestos de clasificación y que son los titulares de las áreas los encargados de clasificar la información. En consecuencia, son los titulares de las áreas que administran la información los que aprueban su clasificación y no el Comité de Transparencia. Al hacerlo tienen que precisar de qué información se trata (nombre, registro federal de contribuyentes, edad, fotografía, entre otros) que forme parte de algún documento o el documento que se pretende reservar (contrato, licencia, póliza, entre otros), señalando el supuesto de clasificación (confidencialidad o reserva).</w:t>
      </w:r>
    </w:p>
    <w:p w14:paraId="394AB5D0"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022DB1F3"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lastRenderedPageBreak/>
        <w:t>Además, se debe señalar el procedimiento, de los tres que establecen los artículos 132 y 106 de la Ley Estatal y General, respectivamente, por el que se realiza dicha clasificación, a saber, cuando se atiende una solicitud de acceso a la información, porque lo determina una autoridad competente o porque se va a generar una versión pública para cumplir con sus obligaciones.</w:t>
      </w:r>
    </w:p>
    <w:p w14:paraId="2E107266"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48017299"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El último de estos requisitos previos consiste en que no se pueden emitir acuerdos de carácter general ni particular, según lo disponen los artículos 134 y 108 de la Ley Estatal y de la Ley General, respectivamente, esto es, no se puede hacer un acuerdo para clasificar de manera general todos los documentos de un expediente o área, sin individualizar su análisis y tampoco se puede hacer un acuerdo por cada dato que se vaya a clasificar dentro de un documento con diez datos, por ejemplo, susceptibles de ser clasificados.</w:t>
      </w:r>
    </w:p>
    <w:p w14:paraId="7A962342" w14:textId="77777777" w:rsidR="00191180" w:rsidRPr="00A3599E" w:rsidRDefault="00191180" w:rsidP="006F7BEF">
      <w:pPr>
        <w:suppressAutoHyphens w:val="0"/>
        <w:spacing w:after="160" w:line="360" w:lineRule="auto"/>
        <w:contextualSpacing/>
        <w:jc w:val="both"/>
        <w:rPr>
          <w:rFonts w:ascii="Palatino Linotype" w:hAnsi="Palatino Linotype" w:cs="Arial"/>
          <w:color w:val="000000"/>
          <w:lang w:val="es-ES_tradnl"/>
        </w:rPr>
      </w:pPr>
    </w:p>
    <w:p w14:paraId="6CD38659" w14:textId="77777777" w:rsidR="00191180" w:rsidRPr="00A3599E" w:rsidRDefault="00191180" w:rsidP="006F7BEF">
      <w:pPr>
        <w:keepNext/>
        <w:keepLines/>
        <w:pBdr>
          <w:top w:val="nil"/>
          <w:left w:val="nil"/>
          <w:bottom w:val="nil"/>
          <w:right w:val="nil"/>
          <w:between w:val="nil"/>
          <w:bar w:val="nil"/>
        </w:pBdr>
        <w:suppressAutoHyphens w:val="0"/>
        <w:spacing w:before="240" w:line="360" w:lineRule="auto"/>
        <w:contextualSpacing/>
        <w:outlineLvl w:val="0"/>
        <w:rPr>
          <w:rFonts w:ascii="Palatino Linotype" w:hAnsi="Palatino Linotype"/>
          <w:b/>
          <w:color w:val="000000"/>
          <w:lang w:eastAsia="en-US"/>
        </w:rPr>
      </w:pPr>
      <w:bookmarkStart w:id="114" w:name="_Toc485631701"/>
      <w:bookmarkStart w:id="115" w:name="_Toc500756711"/>
      <w:bookmarkStart w:id="116" w:name="_Toc536691779"/>
      <w:bookmarkStart w:id="117" w:name="_Toc103178792"/>
      <w:r w:rsidRPr="00A3599E">
        <w:rPr>
          <w:rFonts w:ascii="Palatino Linotype" w:hAnsi="Palatino Linotype"/>
          <w:b/>
          <w:color w:val="000000"/>
          <w:lang w:eastAsia="en-US"/>
        </w:rPr>
        <w:t>b) Supuestos de clasificación.</w:t>
      </w:r>
      <w:bookmarkEnd w:id="114"/>
      <w:bookmarkEnd w:id="115"/>
      <w:bookmarkEnd w:id="116"/>
      <w:bookmarkEnd w:id="117"/>
    </w:p>
    <w:p w14:paraId="09D5E96A" w14:textId="77777777" w:rsidR="00191180" w:rsidRPr="00A3599E" w:rsidRDefault="00191180" w:rsidP="006F7BEF">
      <w:pPr>
        <w:suppressAutoHyphens w:val="0"/>
        <w:spacing w:line="360" w:lineRule="auto"/>
        <w:jc w:val="both"/>
        <w:rPr>
          <w:rFonts w:ascii="Palatino Linotype" w:hAnsi="Palatino Linotype" w:cs="Arial"/>
          <w:color w:val="000000"/>
          <w:lang w:val="es-ES_tradnl"/>
        </w:rPr>
      </w:pPr>
    </w:p>
    <w:p w14:paraId="6E683C54"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Las disposiciones constitucionales y legales en la materia establecen los dos supuestos generales para clasificar la información: por reserva y por confidencialidad.</w:t>
      </w:r>
    </w:p>
    <w:p w14:paraId="2FDF64E4"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282E5AC4"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Mientras que los artículos 143 y 116 de la Ley Estatal y de la Ley General, respectivamente, señalan los supuestos para que la información pueda ser clasificada como confidencial:</w:t>
      </w:r>
    </w:p>
    <w:p w14:paraId="155CE62D" w14:textId="77777777" w:rsidR="00191180" w:rsidRPr="00A3599E" w:rsidRDefault="00191180" w:rsidP="006F7BEF">
      <w:pPr>
        <w:suppressAutoHyphens w:val="0"/>
        <w:spacing w:line="360" w:lineRule="auto"/>
        <w:jc w:val="both"/>
        <w:rPr>
          <w:rFonts w:ascii="Palatino Linotype" w:hAnsi="Palatino Linotype" w:cs="Arial"/>
          <w:color w:val="000000"/>
          <w:lang w:val="es-ES_tradnl"/>
        </w:rPr>
      </w:pPr>
    </w:p>
    <w:p w14:paraId="27F6FF13" w14:textId="77777777" w:rsidR="00191180" w:rsidRPr="00A3599E" w:rsidRDefault="00191180" w:rsidP="006F7BEF">
      <w:pPr>
        <w:widowControl w:val="0"/>
        <w:suppressAutoHyphens w:val="0"/>
        <w:autoSpaceDE w:val="0"/>
        <w:autoSpaceDN w:val="0"/>
        <w:adjustRightInd w:val="0"/>
        <w:spacing w:line="360" w:lineRule="auto"/>
        <w:ind w:left="567" w:right="616"/>
        <w:jc w:val="both"/>
        <w:rPr>
          <w:rFonts w:ascii="Palatino Linotype" w:hAnsi="Palatino Linotype" w:cs="Times"/>
          <w:i/>
          <w:iCs/>
          <w:color w:val="000000"/>
          <w:lang w:val="es-ES_tradnl"/>
        </w:rPr>
      </w:pPr>
      <w:r w:rsidRPr="00A3599E">
        <w:rPr>
          <w:rFonts w:ascii="Palatino Linotype" w:hAnsi="Palatino Linotype" w:cs="Bookman Old Style"/>
          <w:bCs/>
          <w:i/>
          <w:iCs/>
          <w:color w:val="000000"/>
          <w:lang w:val="es-ES_tradnl"/>
        </w:rPr>
        <w:t>“</w:t>
      </w:r>
      <w:r w:rsidRPr="00A3599E">
        <w:rPr>
          <w:rFonts w:ascii="Palatino Linotype" w:hAnsi="Palatino Linotype" w:cs="Bookman Old Style"/>
          <w:b/>
          <w:i/>
          <w:iCs/>
          <w:color w:val="000000"/>
          <w:lang w:val="es-ES_tradnl"/>
        </w:rPr>
        <w:t>I.</w:t>
      </w:r>
      <w:r w:rsidRPr="00A3599E">
        <w:rPr>
          <w:rFonts w:ascii="Palatino Linotype" w:hAnsi="Palatino Linotype" w:cs="Bookman Old Style"/>
          <w:bCs/>
          <w:i/>
          <w:iCs/>
          <w:color w:val="000000"/>
          <w:lang w:val="es-ES_tradnl"/>
        </w:rPr>
        <w:t xml:space="preserve"> </w:t>
      </w:r>
      <w:r w:rsidRPr="00A3599E">
        <w:rPr>
          <w:rFonts w:ascii="Palatino Linotype" w:hAnsi="Palatino Linotype" w:cs="Bookman Old Style"/>
          <w:i/>
          <w:iCs/>
          <w:color w:val="000000"/>
          <w:lang w:val="es-ES_tradnl"/>
        </w:rPr>
        <w:t xml:space="preserve">Se refiera a la información privada y los datos personales concernientes a una </w:t>
      </w:r>
      <w:r w:rsidRPr="00A3599E">
        <w:rPr>
          <w:rFonts w:ascii="Palatino Linotype" w:hAnsi="Palatino Linotype" w:cs="Bookman Old Style"/>
          <w:i/>
          <w:iCs/>
          <w:color w:val="000000"/>
          <w:lang w:val="es-ES_tradnl"/>
        </w:rPr>
        <w:lastRenderedPageBreak/>
        <w:t xml:space="preserve">persona física o jurídico colectiva identificada o identificable; </w:t>
      </w:r>
    </w:p>
    <w:p w14:paraId="49A4549E" w14:textId="77777777" w:rsidR="00191180" w:rsidRPr="00A3599E" w:rsidRDefault="00191180" w:rsidP="006F7BEF">
      <w:pPr>
        <w:widowControl w:val="0"/>
        <w:suppressAutoHyphens w:val="0"/>
        <w:autoSpaceDE w:val="0"/>
        <w:autoSpaceDN w:val="0"/>
        <w:adjustRightInd w:val="0"/>
        <w:spacing w:line="360" w:lineRule="auto"/>
        <w:ind w:left="567" w:right="616"/>
        <w:jc w:val="both"/>
        <w:rPr>
          <w:rFonts w:ascii="Palatino Linotype" w:hAnsi="Palatino Linotype" w:cs="Times"/>
          <w:i/>
          <w:iCs/>
          <w:color w:val="000000"/>
          <w:lang w:val="es-ES_tradnl"/>
        </w:rPr>
      </w:pPr>
      <w:r w:rsidRPr="00A3599E">
        <w:rPr>
          <w:rFonts w:ascii="Palatino Linotype" w:hAnsi="Palatino Linotype" w:cs="Bookman Old Style"/>
          <w:b/>
          <w:i/>
          <w:iCs/>
          <w:color w:val="000000"/>
          <w:lang w:val="es-ES_tradnl"/>
        </w:rPr>
        <w:t>II.</w:t>
      </w:r>
      <w:r w:rsidRPr="00A3599E">
        <w:rPr>
          <w:rFonts w:ascii="Palatino Linotype" w:hAnsi="Palatino Linotype" w:cs="Bookman Old Style"/>
          <w:bCs/>
          <w:i/>
          <w:iCs/>
          <w:color w:val="000000"/>
          <w:lang w:val="es-ES_tradnl"/>
        </w:rPr>
        <w:t xml:space="preserve"> </w:t>
      </w:r>
      <w:r w:rsidRPr="00A3599E">
        <w:rPr>
          <w:rFonts w:ascii="Palatino Linotype" w:hAnsi="Palatino Linotype" w:cs="Bookman Old Style"/>
          <w:i/>
          <w:iCs/>
          <w:color w:val="000000"/>
          <w:lang w:val="es-ES_tradnl"/>
        </w:rPr>
        <w:t xml:space="preserve">Los secretos bancario, fiduciario, industrial, comercial, fiscal, bursátil y postal, cuya titularidad corresponda a particulares, sujetos de derecho internacional o a sujetos obligados cuando no involucren el ejercicio de recursos públicos; y </w:t>
      </w:r>
    </w:p>
    <w:p w14:paraId="404F0DA3" w14:textId="77777777" w:rsidR="00191180" w:rsidRPr="00A3599E" w:rsidRDefault="00191180" w:rsidP="006F7BEF">
      <w:pPr>
        <w:widowControl w:val="0"/>
        <w:suppressAutoHyphens w:val="0"/>
        <w:autoSpaceDE w:val="0"/>
        <w:autoSpaceDN w:val="0"/>
        <w:adjustRightInd w:val="0"/>
        <w:spacing w:line="360" w:lineRule="auto"/>
        <w:ind w:left="567" w:right="616"/>
        <w:jc w:val="both"/>
        <w:rPr>
          <w:rFonts w:ascii="Palatino Linotype" w:hAnsi="Palatino Linotype" w:cs="Times"/>
          <w:i/>
          <w:iCs/>
          <w:color w:val="000000"/>
          <w:lang w:val="es-ES_tradnl"/>
        </w:rPr>
      </w:pPr>
      <w:r w:rsidRPr="00A3599E">
        <w:rPr>
          <w:rFonts w:ascii="Palatino Linotype" w:hAnsi="Palatino Linotype" w:cs="Bookman Old Style"/>
          <w:b/>
          <w:i/>
          <w:iCs/>
          <w:color w:val="000000"/>
          <w:lang w:val="es-ES_tradnl"/>
        </w:rPr>
        <w:t>III.</w:t>
      </w:r>
      <w:r w:rsidRPr="00A3599E">
        <w:rPr>
          <w:rFonts w:ascii="Palatino Linotype" w:hAnsi="Palatino Linotype" w:cs="Bookman Old Style"/>
          <w:bCs/>
          <w:i/>
          <w:iCs/>
          <w:color w:val="000000"/>
          <w:lang w:val="es-ES_tradnl"/>
        </w:rPr>
        <w:t xml:space="preserve"> </w:t>
      </w:r>
      <w:r w:rsidRPr="00A3599E">
        <w:rPr>
          <w:rFonts w:ascii="Palatino Linotype" w:hAnsi="Palatino Linotype" w:cs="Bookman Old Style"/>
          <w:i/>
          <w:iCs/>
          <w:color w:val="000000"/>
          <w:lang w:val="es-ES_tradnl"/>
        </w:rPr>
        <w:t xml:space="preserve">La que presenten los particulares a los sujetos obligados, de conformidad con lo dispuesto por las leyes o los tratados internacionales. </w:t>
      </w:r>
    </w:p>
    <w:p w14:paraId="33CAF0B2" w14:textId="77777777" w:rsidR="00191180" w:rsidRPr="00A3599E" w:rsidRDefault="00191180" w:rsidP="006F7BEF">
      <w:pPr>
        <w:widowControl w:val="0"/>
        <w:suppressAutoHyphens w:val="0"/>
        <w:autoSpaceDE w:val="0"/>
        <w:autoSpaceDN w:val="0"/>
        <w:adjustRightInd w:val="0"/>
        <w:spacing w:line="360" w:lineRule="auto"/>
        <w:ind w:left="567" w:right="616"/>
        <w:jc w:val="both"/>
        <w:rPr>
          <w:rFonts w:ascii="Palatino Linotype" w:hAnsi="Palatino Linotype" w:cs="Times"/>
          <w:i/>
          <w:iCs/>
          <w:color w:val="000000"/>
          <w:lang w:val="es-ES_tradnl"/>
        </w:rPr>
      </w:pPr>
      <w:r w:rsidRPr="00A3599E">
        <w:rPr>
          <w:rFonts w:ascii="Palatino Linotype" w:hAnsi="Palatino Linotype" w:cs="Bookman Old Style"/>
          <w:i/>
          <w:iCs/>
          <w:color w:val="000000"/>
          <w:lang w:val="es-ES_tradnl"/>
        </w:rPr>
        <w:t xml:space="preserve">La información confidencial no estará sujeta a temporalidad alguna y sólo podrán tener acceso a ella los titulares de la misma, sus representantes y los servidores públicos facultados para ello. </w:t>
      </w:r>
    </w:p>
    <w:p w14:paraId="0B80A546" w14:textId="77777777" w:rsidR="00191180" w:rsidRPr="00A3599E" w:rsidRDefault="00191180" w:rsidP="006F7BEF">
      <w:pPr>
        <w:widowControl w:val="0"/>
        <w:suppressAutoHyphens w:val="0"/>
        <w:autoSpaceDE w:val="0"/>
        <w:autoSpaceDN w:val="0"/>
        <w:adjustRightInd w:val="0"/>
        <w:spacing w:line="360" w:lineRule="auto"/>
        <w:ind w:left="567" w:right="616"/>
        <w:jc w:val="both"/>
        <w:rPr>
          <w:rFonts w:ascii="Palatino Linotype" w:hAnsi="Palatino Linotype" w:cs="Times"/>
          <w:i/>
          <w:iCs/>
          <w:color w:val="000000"/>
          <w:lang w:val="es-ES_tradnl"/>
        </w:rPr>
      </w:pPr>
      <w:r w:rsidRPr="00A3599E">
        <w:rPr>
          <w:rFonts w:ascii="Palatino Linotype" w:hAnsi="Palatino Linotype" w:cs="Bookman Old Style"/>
          <w:i/>
          <w:iCs/>
          <w:color w:val="000000"/>
          <w:lang w:val="es-ES_tradnl"/>
        </w:rPr>
        <w:t>No se considerará confidencial la información que se encuentre en los registros públicos o en fuentes de acceso público, ni tampoco la que sea considerada por la presente ley como información pública.”</w:t>
      </w:r>
    </w:p>
    <w:p w14:paraId="61512247" w14:textId="77777777" w:rsidR="00191180" w:rsidRPr="00A3599E" w:rsidRDefault="00191180" w:rsidP="006F7BEF">
      <w:pPr>
        <w:suppressAutoHyphens w:val="0"/>
        <w:spacing w:line="360" w:lineRule="auto"/>
        <w:jc w:val="both"/>
        <w:rPr>
          <w:rFonts w:ascii="Palatino Linotype" w:hAnsi="Palatino Linotype" w:cs="Arial"/>
          <w:color w:val="000000"/>
          <w:lang w:val="es-ES_tradnl"/>
        </w:rPr>
      </w:pPr>
    </w:p>
    <w:p w14:paraId="009CF250"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Mientras que los artículos 130 y 105 de la Ley Estatal y de la Ley General, respectivamente, señalan que la aplicación de estos supuestos debe de realizarse de manera restrictiva y limitada, por lo que debe acreditarse que se cumple con esta condición y no se pueden ampliar las excepciones o supuestos de clasificación aduciendo analogía o mayoría de razón.</w:t>
      </w:r>
    </w:p>
    <w:p w14:paraId="2008857C"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01F5B627"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Como consecuencia de lo anterior, el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debe identificar claramente el tipo de información y hacer un juicio de subsunción o encaje</w:t>
      </w:r>
      <w:r w:rsidRPr="00A3599E">
        <w:rPr>
          <w:rFonts w:ascii="Palatino Linotype" w:hAnsi="Palatino Linotype" w:cs="Arial"/>
          <w:color w:val="000000"/>
          <w:vertAlign w:val="superscript"/>
          <w:lang w:val="es-ES_tradnl"/>
        </w:rPr>
        <w:footnoteReference w:id="11"/>
      </w:r>
      <w:r w:rsidRPr="00A3599E">
        <w:rPr>
          <w:rFonts w:ascii="Palatino Linotype" w:hAnsi="Palatino Linotype" w:cs="Arial"/>
          <w:color w:val="000000"/>
          <w:lang w:val="es-ES_tradnl"/>
        </w:rPr>
        <w:t xml:space="preserve"> para </w:t>
      </w:r>
      <w:r w:rsidRPr="00A3599E">
        <w:rPr>
          <w:rFonts w:ascii="Palatino Linotype" w:hAnsi="Palatino Linotype" w:cs="Arial"/>
          <w:color w:val="000000"/>
          <w:lang w:val="es-ES_tradnl"/>
        </w:rPr>
        <w:lastRenderedPageBreak/>
        <w:t>acreditar que el supuesto de hecho corresponde estrictamente con la hipótesis jurídica. Esto también lo debe de realizar el servidor público habilitado y el titular del área que administra la información.</w:t>
      </w:r>
    </w:p>
    <w:p w14:paraId="4A599573"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69C74377"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Una vez hecho lo anterior, se remite la información al Titular de la Unidad de Transparencia, con el acuerdo de clasificación correspondiente, para que sea sometido al conocimiento del Comité de Transparencia.</w:t>
      </w:r>
    </w:p>
    <w:p w14:paraId="1C742DDC" w14:textId="77777777" w:rsidR="00191180" w:rsidRPr="00A3599E" w:rsidRDefault="00191180" w:rsidP="006F7BEF">
      <w:pPr>
        <w:suppressAutoHyphens w:val="0"/>
        <w:spacing w:line="360" w:lineRule="auto"/>
        <w:contextualSpacing/>
        <w:jc w:val="both"/>
        <w:rPr>
          <w:rFonts w:ascii="Palatino Linotype" w:hAnsi="Palatino Linotype"/>
          <w:b/>
          <w:color w:val="000000"/>
          <w:lang w:val="es-ES_tradnl"/>
        </w:rPr>
      </w:pPr>
    </w:p>
    <w:p w14:paraId="30100D8A" w14:textId="77777777" w:rsidR="00191180" w:rsidRPr="00A3599E" w:rsidRDefault="00191180" w:rsidP="006F7BEF">
      <w:pPr>
        <w:keepNext/>
        <w:keepLines/>
        <w:pBdr>
          <w:top w:val="nil"/>
          <w:left w:val="nil"/>
          <w:bottom w:val="nil"/>
          <w:right w:val="nil"/>
          <w:between w:val="nil"/>
          <w:bar w:val="nil"/>
        </w:pBdr>
        <w:suppressAutoHyphens w:val="0"/>
        <w:spacing w:before="240" w:line="360" w:lineRule="auto"/>
        <w:contextualSpacing/>
        <w:jc w:val="both"/>
        <w:outlineLvl w:val="0"/>
        <w:rPr>
          <w:rFonts w:ascii="Palatino Linotype" w:hAnsi="Palatino Linotype"/>
          <w:b/>
          <w:color w:val="000000"/>
          <w:lang w:eastAsia="en-US"/>
        </w:rPr>
      </w:pPr>
      <w:bookmarkStart w:id="118" w:name="_Toc485631702"/>
      <w:bookmarkStart w:id="119" w:name="_Toc500756712"/>
      <w:bookmarkStart w:id="120" w:name="_Toc536691780"/>
      <w:bookmarkStart w:id="121" w:name="_Toc103178793"/>
      <w:r w:rsidRPr="00A3599E">
        <w:rPr>
          <w:rFonts w:ascii="Palatino Linotype" w:hAnsi="Palatino Linotype"/>
          <w:b/>
          <w:color w:val="000000"/>
          <w:lang w:eastAsia="en-US"/>
        </w:rPr>
        <w:t>c) Excepciones a los supuestos de clasificación de la información como reservada.</w:t>
      </w:r>
      <w:bookmarkEnd w:id="118"/>
      <w:bookmarkEnd w:id="119"/>
      <w:bookmarkEnd w:id="120"/>
      <w:bookmarkEnd w:id="121"/>
    </w:p>
    <w:p w14:paraId="72E43EF2" w14:textId="77777777" w:rsidR="00191180" w:rsidRPr="00A3599E" w:rsidRDefault="00191180" w:rsidP="006F7BEF">
      <w:pPr>
        <w:suppressAutoHyphens w:val="0"/>
        <w:spacing w:line="360" w:lineRule="auto"/>
        <w:rPr>
          <w:rFonts w:ascii="Palatino Linotype" w:hAnsi="Palatino Linotype"/>
          <w:color w:val="000000"/>
          <w:lang w:val="es-ES_tradnl"/>
        </w:rPr>
      </w:pPr>
    </w:p>
    <w:p w14:paraId="394FC59F" w14:textId="77777777" w:rsidR="00191180" w:rsidRPr="00A3599E" w:rsidRDefault="00191180" w:rsidP="006F7BEF">
      <w:pPr>
        <w:numPr>
          <w:ilvl w:val="0"/>
          <w:numId w:val="9"/>
        </w:numPr>
        <w:tabs>
          <w:tab w:val="left" w:pos="426"/>
        </w:tabs>
        <w:suppressAutoHyphens w:val="0"/>
        <w:spacing w:before="100" w:beforeAutospacing="1" w:after="100" w:afterAutospacing="1" w:line="360" w:lineRule="auto"/>
        <w:ind w:left="0" w:firstLine="0"/>
        <w:jc w:val="both"/>
        <w:rPr>
          <w:rFonts w:ascii="Palatino Linotype" w:hAnsi="Palatino Linotype"/>
          <w:color w:val="000000"/>
          <w:lang w:val="es-ES"/>
        </w:rPr>
      </w:pPr>
      <w:r w:rsidRPr="00A3599E">
        <w:rPr>
          <w:rFonts w:ascii="Palatino Linotype" w:hAnsi="Palatino Linotype"/>
          <w:color w:val="000000"/>
          <w:lang w:val="es-ES"/>
        </w:rPr>
        <w:t xml:space="preserve">En todos aquellos casos en los que se pretende adoptar una clasificación de la información como reservada, hay que considerar lo señalado por los artículos 5, 140 y 142 de la Ley Estatal y 5, 113 fracción III y 115 de la Ley General, que establecen </w:t>
      </w:r>
      <w:r w:rsidRPr="00A3599E">
        <w:rPr>
          <w:rFonts w:ascii="Palatino Linotype" w:hAnsi="Palatino Linotype"/>
          <w:b/>
          <w:color w:val="000000"/>
          <w:lang w:val="es-ES"/>
        </w:rPr>
        <w:t>qué no puede clasificarse como información reservada:</w:t>
      </w:r>
    </w:p>
    <w:p w14:paraId="445D3A68" w14:textId="77777777" w:rsidR="00191180" w:rsidRPr="00A3599E" w:rsidRDefault="00191180" w:rsidP="006F7BEF">
      <w:pPr>
        <w:suppressAutoHyphens w:val="0"/>
        <w:spacing w:before="100" w:beforeAutospacing="1" w:after="100" w:afterAutospacing="1" w:line="360" w:lineRule="auto"/>
        <w:ind w:left="567" w:right="567"/>
        <w:contextualSpacing/>
        <w:jc w:val="both"/>
        <w:rPr>
          <w:rFonts w:ascii="Palatino Linotype" w:hAnsi="Palatino Linotype"/>
          <w:b/>
          <w:i/>
          <w:iCs/>
          <w:color w:val="000000"/>
          <w:lang w:val="es-ES"/>
        </w:rPr>
      </w:pPr>
      <w:r w:rsidRPr="00A3599E">
        <w:rPr>
          <w:rFonts w:ascii="Palatino Linotype" w:hAnsi="Palatino Linotype"/>
          <w:bCs/>
          <w:color w:val="000000"/>
          <w:lang w:val="es-ES"/>
        </w:rPr>
        <w:t>“</w:t>
      </w:r>
      <w:r w:rsidRPr="00A3599E">
        <w:rPr>
          <w:rFonts w:ascii="Palatino Linotype" w:hAnsi="Palatino Linotype"/>
          <w:b/>
          <w:i/>
          <w:iCs/>
          <w:color w:val="000000"/>
          <w:lang w:val="es-ES"/>
        </w:rPr>
        <w:t>I. Se trate de violaciones graves de derechos humanos, calificada así por autoridad competente;</w:t>
      </w:r>
    </w:p>
    <w:p w14:paraId="479672DC" w14:textId="77777777" w:rsidR="00191180" w:rsidRPr="00A3599E" w:rsidRDefault="00191180" w:rsidP="006F7BEF">
      <w:pPr>
        <w:suppressAutoHyphens w:val="0"/>
        <w:spacing w:before="100" w:beforeAutospacing="1" w:after="100" w:afterAutospacing="1" w:line="360" w:lineRule="auto"/>
        <w:ind w:left="567" w:right="567"/>
        <w:contextualSpacing/>
        <w:jc w:val="both"/>
        <w:rPr>
          <w:rFonts w:ascii="Palatino Linotype" w:hAnsi="Palatino Linotype"/>
          <w:b/>
          <w:i/>
          <w:iCs/>
          <w:color w:val="000000"/>
          <w:lang w:val="es-ES"/>
        </w:rPr>
      </w:pPr>
      <w:r w:rsidRPr="00A3599E">
        <w:rPr>
          <w:rFonts w:ascii="Palatino Linotype" w:hAnsi="Palatino Linotype"/>
          <w:b/>
          <w:i/>
          <w:iCs/>
          <w:color w:val="000000"/>
          <w:lang w:val="es-ES"/>
        </w:rPr>
        <w:lastRenderedPageBreak/>
        <w:t>II. Se trate de la investigación de posibles violaciones graves de derechos humanos aun cuando no exista pronunciamiento previo de autoridad competente, cuando se determine, a partir de criterios cuantitativos y cualitativos la trascendencia social de las violaciones;</w:t>
      </w:r>
    </w:p>
    <w:p w14:paraId="71C13BE8" w14:textId="77777777" w:rsidR="00191180" w:rsidRPr="00A3599E" w:rsidRDefault="00191180" w:rsidP="006F7BEF">
      <w:pPr>
        <w:suppressAutoHyphens w:val="0"/>
        <w:spacing w:before="100" w:beforeAutospacing="1" w:after="100" w:afterAutospacing="1" w:line="360" w:lineRule="auto"/>
        <w:ind w:left="567" w:right="567"/>
        <w:contextualSpacing/>
        <w:jc w:val="both"/>
        <w:rPr>
          <w:rFonts w:ascii="Palatino Linotype" w:hAnsi="Palatino Linotype"/>
          <w:b/>
          <w:i/>
          <w:iCs/>
          <w:color w:val="000000"/>
          <w:lang w:val="es-ES"/>
        </w:rPr>
      </w:pPr>
      <w:r w:rsidRPr="00A3599E">
        <w:rPr>
          <w:rFonts w:ascii="Palatino Linotype" w:hAnsi="Palatino Linotype"/>
          <w:b/>
          <w:i/>
          <w:iCs/>
          <w:color w:val="000000"/>
          <w:lang w:val="es-ES"/>
        </w:rPr>
        <w:t>III. Se trate de delitos de lesa humanidad conforme a los tratados ratificados por el Senado de la República, las resoluciones emitidas por organismos internacionales cuya competencia sea reconocida por el Estado Mexicano, así como en las disposiciones jurídicas aplicables; y</w:t>
      </w:r>
    </w:p>
    <w:p w14:paraId="1D243941" w14:textId="77777777" w:rsidR="00191180" w:rsidRPr="00A3599E" w:rsidRDefault="00191180" w:rsidP="006F7BEF">
      <w:pPr>
        <w:suppressAutoHyphens w:val="0"/>
        <w:spacing w:before="100" w:beforeAutospacing="1" w:after="100" w:afterAutospacing="1" w:line="360" w:lineRule="auto"/>
        <w:ind w:left="567" w:right="567"/>
        <w:contextualSpacing/>
        <w:jc w:val="both"/>
        <w:rPr>
          <w:rFonts w:ascii="Palatino Linotype" w:hAnsi="Palatino Linotype"/>
          <w:bCs/>
          <w:color w:val="000000"/>
          <w:lang w:val="es-ES"/>
        </w:rPr>
      </w:pPr>
      <w:r w:rsidRPr="00A3599E">
        <w:rPr>
          <w:rFonts w:ascii="Palatino Linotype" w:hAnsi="Palatino Linotype"/>
          <w:b/>
          <w:i/>
          <w:iCs/>
          <w:color w:val="000000"/>
          <w:lang w:val="es-ES"/>
        </w:rPr>
        <w:t>IV. Se trate de información relacionada con actos de corrupción de conformidad con las disposiciones jurídicas aplicables.</w:t>
      </w:r>
      <w:r w:rsidRPr="00A3599E">
        <w:rPr>
          <w:rFonts w:ascii="Palatino Linotype" w:hAnsi="Palatino Linotype"/>
          <w:bCs/>
          <w:color w:val="000000"/>
          <w:lang w:val="es-ES"/>
        </w:rPr>
        <w:t>”</w:t>
      </w:r>
    </w:p>
    <w:p w14:paraId="11B543C4" w14:textId="77777777" w:rsidR="00191180" w:rsidRPr="00A3599E" w:rsidRDefault="00191180" w:rsidP="006F7BEF">
      <w:pPr>
        <w:suppressAutoHyphens w:val="0"/>
        <w:spacing w:before="100" w:beforeAutospacing="1" w:after="100" w:afterAutospacing="1" w:line="360" w:lineRule="auto"/>
        <w:ind w:left="720"/>
        <w:contextualSpacing/>
        <w:jc w:val="both"/>
        <w:rPr>
          <w:rFonts w:ascii="Palatino Linotype" w:hAnsi="Palatino Linotype"/>
          <w:b/>
          <w:color w:val="000000"/>
          <w:lang w:val="es-ES"/>
        </w:rPr>
      </w:pPr>
    </w:p>
    <w:p w14:paraId="71F55ED0" w14:textId="77777777" w:rsidR="00191180" w:rsidRPr="00A3599E" w:rsidRDefault="00191180" w:rsidP="006F7BEF">
      <w:pPr>
        <w:numPr>
          <w:ilvl w:val="0"/>
          <w:numId w:val="9"/>
        </w:numPr>
        <w:tabs>
          <w:tab w:val="left" w:pos="426"/>
        </w:tabs>
        <w:suppressAutoHyphens w:val="0"/>
        <w:spacing w:before="100" w:beforeAutospacing="1" w:after="100" w:afterAutospacing="1" w:line="360" w:lineRule="auto"/>
        <w:ind w:left="0" w:firstLine="0"/>
        <w:contextualSpacing/>
        <w:jc w:val="both"/>
        <w:rPr>
          <w:rFonts w:ascii="Palatino Linotype" w:hAnsi="Palatino Linotype"/>
          <w:color w:val="000000"/>
          <w:lang w:val="es-ES"/>
        </w:rPr>
      </w:pPr>
      <w:r w:rsidRPr="00A3599E">
        <w:rPr>
          <w:rFonts w:ascii="Palatino Linotype" w:hAnsi="Palatino Linotype"/>
          <w:color w:val="000000"/>
          <w:lang w:val="es-ES"/>
        </w:rPr>
        <w:t xml:space="preserve">En ese tenor, si la información solicitada encuadra en cualquiera de los supuestos señalados con anterioridad, no será procedente la clasificación de la información bajo ninguna circunstancia; dicho de otro modo, no aplica la excepción a la regla general, derivado que este tipo de casos, deberá de ser del escrutinio público, lo cual ayudará a tener un país informado, que posibilita la población cuestione, indague y verifique los actos de autoridad. </w:t>
      </w:r>
    </w:p>
    <w:p w14:paraId="6D433CA2" w14:textId="77777777" w:rsidR="00191180" w:rsidRPr="00A3599E" w:rsidRDefault="00191180" w:rsidP="006F7BEF">
      <w:pPr>
        <w:suppressAutoHyphens w:val="0"/>
        <w:spacing w:before="100" w:beforeAutospacing="1" w:after="100" w:afterAutospacing="1" w:line="360" w:lineRule="auto"/>
        <w:ind w:left="360"/>
        <w:contextualSpacing/>
        <w:jc w:val="both"/>
        <w:rPr>
          <w:rFonts w:ascii="Palatino Linotype" w:hAnsi="Palatino Linotype"/>
          <w:color w:val="000000"/>
          <w:lang w:val="es-ES"/>
        </w:rPr>
      </w:pPr>
    </w:p>
    <w:p w14:paraId="477A026B" w14:textId="77777777" w:rsidR="00191180" w:rsidRPr="00A3599E" w:rsidRDefault="00191180" w:rsidP="006F7BEF">
      <w:pPr>
        <w:keepNext/>
        <w:keepLines/>
        <w:pBdr>
          <w:top w:val="nil"/>
          <w:left w:val="nil"/>
          <w:bottom w:val="nil"/>
          <w:right w:val="nil"/>
          <w:between w:val="nil"/>
          <w:bar w:val="nil"/>
        </w:pBdr>
        <w:suppressAutoHyphens w:val="0"/>
        <w:spacing w:before="240" w:line="360" w:lineRule="auto"/>
        <w:outlineLvl w:val="0"/>
        <w:rPr>
          <w:rFonts w:ascii="Palatino Linotype" w:hAnsi="Palatino Linotype"/>
          <w:b/>
          <w:color w:val="000000"/>
          <w:lang w:eastAsia="en-US"/>
        </w:rPr>
      </w:pPr>
      <w:bookmarkStart w:id="122" w:name="_Toc485631703"/>
      <w:bookmarkStart w:id="123" w:name="_Toc500756713"/>
      <w:bookmarkStart w:id="124" w:name="_Toc536691781"/>
      <w:bookmarkStart w:id="125" w:name="_Toc103178794"/>
      <w:r w:rsidRPr="00A3599E">
        <w:rPr>
          <w:rFonts w:ascii="Palatino Linotype" w:hAnsi="Palatino Linotype"/>
          <w:b/>
          <w:color w:val="000000"/>
          <w:lang w:eastAsia="en-US"/>
        </w:rPr>
        <w:t>II. La intervención del Comité de Transparencia.</w:t>
      </w:r>
      <w:bookmarkEnd w:id="122"/>
      <w:bookmarkEnd w:id="123"/>
      <w:bookmarkEnd w:id="124"/>
      <w:bookmarkEnd w:id="125"/>
    </w:p>
    <w:p w14:paraId="2EBBAE8B" w14:textId="77777777" w:rsidR="00191180" w:rsidRPr="00A3599E" w:rsidRDefault="00191180" w:rsidP="006F7BEF">
      <w:pPr>
        <w:suppressAutoHyphens w:val="0"/>
        <w:spacing w:line="360" w:lineRule="auto"/>
        <w:contextualSpacing/>
        <w:jc w:val="both"/>
        <w:rPr>
          <w:rFonts w:ascii="Palatino Linotype" w:hAnsi="Palatino Linotype" w:cs="Arial"/>
          <w:b/>
          <w:color w:val="000000"/>
          <w:lang w:val="es-ES_tradnl"/>
        </w:rPr>
      </w:pPr>
    </w:p>
    <w:p w14:paraId="7123E502" w14:textId="77777777" w:rsidR="00191180" w:rsidRPr="00A3599E" w:rsidRDefault="00191180" w:rsidP="006F7BEF">
      <w:pPr>
        <w:keepNext/>
        <w:keepLines/>
        <w:pBdr>
          <w:top w:val="nil"/>
          <w:left w:val="nil"/>
          <w:bottom w:val="nil"/>
          <w:right w:val="nil"/>
          <w:between w:val="nil"/>
          <w:bar w:val="nil"/>
        </w:pBdr>
        <w:suppressAutoHyphens w:val="0"/>
        <w:spacing w:before="40" w:line="360" w:lineRule="auto"/>
        <w:contextualSpacing/>
        <w:outlineLvl w:val="1"/>
        <w:rPr>
          <w:rFonts w:ascii="Palatino Linotype" w:hAnsi="Palatino Linotype"/>
          <w:b/>
          <w:color w:val="000000"/>
          <w:lang w:eastAsia="en-US"/>
        </w:rPr>
      </w:pPr>
      <w:bookmarkStart w:id="126" w:name="_Toc485631704"/>
      <w:bookmarkStart w:id="127" w:name="_Toc500756714"/>
      <w:bookmarkStart w:id="128" w:name="_Toc536691782"/>
      <w:bookmarkStart w:id="129" w:name="_Toc103178795"/>
      <w:r w:rsidRPr="00A3599E">
        <w:rPr>
          <w:rFonts w:ascii="Palatino Linotype" w:hAnsi="Palatino Linotype"/>
          <w:b/>
          <w:color w:val="000000"/>
          <w:lang w:eastAsia="en-US"/>
        </w:rPr>
        <w:t>a) Formalidades para emitir el acuerdo de clasificación.</w:t>
      </w:r>
      <w:bookmarkEnd w:id="126"/>
      <w:bookmarkEnd w:id="127"/>
      <w:bookmarkEnd w:id="128"/>
      <w:bookmarkEnd w:id="129"/>
    </w:p>
    <w:p w14:paraId="091567C1" w14:textId="77777777" w:rsidR="00191180" w:rsidRPr="00A3599E" w:rsidRDefault="00191180" w:rsidP="006F7BEF">
      <w:pPr>
        <w:tabs>
          <w:tab w:val="left" w:pos="7770"/>
        </w:tabs>
        <w:suppressAutoHyphens w:val="0"/>
        <w:spacing w:line="360" w:lineRule="auto"/>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ab/>
      </w:r>
    </w:p>
    <w:p w14:paraId="153A0B7E"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eastAsia="es-ES_tradnl"/>
        </w:rPr>
      </w:pPr>
      <w:r w:rsidRPr="00A3599E">
        <w:rPr>
          <w:rFonts w:ascii="Palatino Linotype" w:hAnsi="Palatino Linotype" w:cs="Arial"/>
          <w:color w:val="000000"/>
          <w:lang w:val="es-ES_tradnl"/>
        </w:rPr>
        <w:t xml:space="preserve">El Comité de Transparencia, según lo dispuesto en los artículos 128 y 103 de la Ley Estatal y de la Ley General, respectivamente, y </w:t>
      </w:r>
      <w:r w:rsidRPr="00A3599E">
        <w:rPr>
          <w:rFonts w:ascii="Palatino Linotype" w:hAnsi="Palatino Linotype"/>
          <w:color w:val="000000"/>
          <w:lang w:val="es-ES_tradnl"/>
        </w:rPr>
        <w:t xml:space="preserve">la fracción III del numeral Segundo de </w:t>
      </w:r>
      <w:r w:rsidRPr="00A3599E">
        <w:rPr>
          <w:rFonts w:ascii="Palatino Linotype" w:hAnsi="Palatino Linotype"/>
          <w:color w:val="000000"/>
          <w:lang w:val="es-ES_tradnl"/>
        </w:rPr>
        <w:lastRenderedPageBreak/>
        <w:t xml:space="preserve">los </w:t>
      </w:r>
      <w:r w:rsidRPr="00A3599E">
        <w:rPr>
          <w:rFonts w:ascii="Palatino Linotype" w:hAnsi="Palatino Linotype" w:cs="Arial"/>
          <w:color w:val="000000"/>
          <w:lang w:val="es-ES_tradnl"/>
        </w:rPr>
        <w:t>Lineamientos Generales en Materia de Clasificación y Desclasificación de la Información, así como para la Elaboración de Versiones Públicas (en adelante los Lineamientos Generales),</w:t>
      </w:r>
      <w:r w:rsidRPr="00A3599E">
        <w:rPr>
          <w:rFonts w:ascii="Palatino Linotype" w:hAnsi="Palatino Linotype"/>
          <w:color w:val="000000"/>
          <w:lang w:val="es-ES_tradnl"/>
        </w:rPr>
        <w:t xml:space="preserve"> </w:t>
      </w:r>
      <w:r w:rsidRPr="00A3599E">
        <w:rPr>
          <w:rFonts w:ascii="Palatino Linotype" w:hAnsi="Palatino Linotype" w:cs="Arial"/>
          <w:color w:val="000000"/>
          <w:lang w:val="es-ES_tradnl"/>
        </w:rPr>
        <w:t>cuenta con las facultades para confirmar, modificar o revocar la clasificación de la información que ha hecho el titular del área que administra la información. Por lo tanto, el Comité no aprueba la clasificación, sino que revisa lo que ha hecho el titular del área y confirma, modifica o revoca la decisión a través de un acuerdo.</w:t>
      </w:r>
    </w:p>
    <w:p w14:paraId="6ED792F9"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s="Arial"/>
          <w:color w:val="000000"/>
          <w:lang w:val="es-ES_tradnl"/>
        </w:rPr>
      </w:pPr>
    </w:p>
    <w:p w14:paraId="5F2E4F1E"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Evidentemente, esta decisión implica una restricción a un derecho humano, por lo tanto, puede generar un agravio al particular y, en consecuencia, es necesario que el acto reúna con los requisitos elementales, entre ellos, que la autoridad que va a emitir el acto de autoridad sea la legalmente facultada para ello, es decir, que cumpla con el principio de reserva de ley,  por lo que no está demás señalar que el artículo 45 de la Ley Estatal, claramente señala que el Comité de Transparencia, legalmente facultado para emitir el acuerdo de clasificación, se integra por el Titular de la Unidad de Transparencia, el responsable del área coordinadora de archivos y el titular del órgano interno de control, integrado siempre por un número impar y que no debe de existir dependencia jerárquica entre sus integrantes. Cualquier otra composición del Comité puede generar vicios de legalidad de origen en el acto que restringe un derecho humano.</w:t>
      </w:r>
    </w:p>
    <w:p w14:paraId="0E9E2B10" w14:textId="77777777" w:rsidR="00191180" w:rsidRPr="00A3599E" w:rsidRDefault="00191180" w:rsidP="006F7BEF">
      <w:pPr>
        <w:tabs>
          <w:tab w:val="left" w:pos="426"/>
        </w:tabs>
        <w:suppressAutoHyphens w:val="0"/>
        <w:spacing w:line="360" w:lineRule="auto"/>
        <w:jc w:val="both"/>
        <w:rPr>
          <w:rFonts w:ascii="Palatino Linotype" w:hAnsi="Palatino Linotype"/>
          <w:color w:val="000000"/>
          <w:lang w:val="es-ES_tradnl"/>
        </w:rPr>
      </w:pPr>
    </w:p>
    <w:p w14:paraId="64E6AD46"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 xml:space="preserve">La decisión de confirmar, modificar o revocar la clasificación deberá de asentarse en un documento que registre la determinación a la que se llegue después de un análisis minucioso a partir de lo aprobado por el Titular del área que administra la información, </w:t>
      </w:r>
      <w:r w:rsidRPr="00A3599E">
        <w:rPr>
          <w:rFonts w:ascii="Palatino Linotype" w:hAnsi="Palatino Linotype"/>
          <w:color w:val="000000"/>
          <w:lang w:val="es-ES_tradnl"/>
        </w:rPr>
        <w:lastRenderedPageBreak/>
        <w:t xml:space="preserve">cuyo análisis debe integrarse en la agenda de los asuntos a tratar en las sesiones, se insiste, a partir de las decisiones adoptadas previamente por los titulares de áreas y que son sujetas a control, en primera instancia, por el Comité de Transparencia. </w:t>
      </w:r>
    </w:p>
    <w:p w14:paraId="00923392" w14:textId="77777777" w:rsidR="00191180" w:rsidRPr="00A3599E" w:rsidRDefault="00191180" w:rsidP="006F7BEF">
      <w:pPr>
        <w:suppressAutoHyphens w:val="0"/>
        <w:spacing w:line="360" w:lineRule="auto"/>
        <w:jc w:val="both"/>
        <w:rPr>
          <w:rFonts w:ascii="Palatino Linotype" w:hAnsi="Palatino Linotype"/>
          <w:color w:val="000000"/>
          <w:lang w:val="es-ES_tradnl"/>
        </w:rPr>
      </w:pPr>
    </w:p>
    <w:p w14:paraId="03D1130D" w14:textId="77777777" w:rsidR="00191180" w:rsidRPr="00A3599E" w:rsidRDefault="00191180" w:rsidP="006F7BEF">
      <w:pPr>
        <w:keepNext/>
        <w:keepLines/>
        <w:pBdr>
          <w:top w:val="nil"/>
          <w:left w:val="nil"/>
          <w:bottom w:val="nil"/>
          <w:right w:val="nil"/>
          <w:between w:val="nil"/>
          <w:bar w:val="nil"/>
        </w:pBdr>
        <w:suppressAutoHyphens w:val="0"/>
        <w:spacing w:before="40" w:line="360" w:lineRule="auto"/>
        <w:contextualSpacing/>
        <w:outlineLvl w:val="1"/>
        <w:rPr>
          <w:rFonts w:ascii="Palatino Linotype" w:hAnsi="Palatino Linotype"/>
          <w:b/>
          <w:color w:val="000000"/>
          <w:lang w:eastAsia="en-US"/>
        </w:rPr>
      </w:pPr>
      <w:bookmarkStart w:id="130" w:name="_Toc485631705"/>
      <w:bookmarkStart w:id="131" w:name="_Toc500756715"/>
      <w:bookmarkStart w:id="132" w:name="_Toc536691783"/>
      <w:bookmarkStart w:id="133" w:name="_Toc103178796"/>
      <w:r w:rsidRPr="00A3599E">
        <w:rPr>
          <w:rFonts w:ascii="Palatino Linotype" w:hAnsi="Palatino Linotype"/>
          <w:b/>
          <w:color w:val="000000"/>
          <w:lang w:eastAsia="en-US"/>
        </w:rPr>
        <w:t>b) Requisitos de fondo del acuerdo de clasificación.</w:t>
      </w:r>
      <w:bookmarkEnd w:id="130"/>
      <w:bookmarkEnd w:id="131"/>
      <w:bookmarkEnd w:id="132"/>
      <w:bookmarkEnd w:id="133"/>
    </w:p>
    <w:p w14:paraId="06D4973E" w14:textId="77777777" w:rsidR="00191180" w:rsidRPr="00A3599E" w:rsidRDefault="00191180" w:rsidP="006F7BEF">
      <w:pPr>
        <w:suppressAutoHyphens w:val="0"/>
        <w:spacing w:line="360" w:lineRule="auto"/>
        <w:contextualSpacing/>
        <w:jc w:val="both"/>
        <w:rPr>
          <w:rFonts w:ascii="Palatino Linotype" w:hAnsi="Palatino Linotype" w:cs="Arial"/>
          <w:color w:val="000000"/>
          <w:lang w:val="es-ES_tradnl"/>
        </w:rPr>
      </w:pPr>
    </w:p>
    <w:p w14:paraId="24BAE95E"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Como se ha señalado antes, al hacer el juicio de subsunción o encaje entre el supuesto de hecho y la hipótesis jurídica, se debe acreditar la estricta correspondencia entre un elemento y otro. Ahora, en esta parte del procedimiento, que se desahoga en sede del Comité de Transparencia, la ley nos aporta mayores luces para cumplir con dicha acreditación. En los artículos 131 y 105, segundo párrafo, de la Ley Estatal y de la Ley General respectivamente, y el lineamiento sexagésimo segundo de los Lineamientos Generales,  al señalar que la carga de la prueba, para justificar las restricciones, corresponde a los Sujetos Obligados, por lo que deberán fundar y motivar debidamente la clasificación. </w:t>
      </w:r>
    </w:p>
    <w:p w14:paraId="31978C6E"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olor w:val="000000"/>
          <w:lang w:val="es-ES_tradnl"/>
        </w:rPr>
      </w:pPr>
    </w:p>
    <w:p w14:paraId="1DF31661"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De lo anterior, se desprende que para una correcta clasificación total o parcial, esto es, determinar los datos que se suprimen en las versiones públicas, es necesario fundar y motivar, de manera correcta, la clasificación; considerando que todo acto que la autoridad pronuncie en el ejercicio de sus atribuciones, debe expresar los fundamentos legales que le dieron origen y las razones por las que se deben aplicar al caso concreto.</w:t>
      </w:r>
    </w:p>
    <w:p w14:paraId="11AE467B" w14:textId="77777777" w:rsidR="00191180" w:rsidRPr="00A3599E" w:rsidRDefault="00191180" w:rsidP="006F7BEF">
      <w:pPr>
        <w:shd w:val="clear" w:color="auto" w:fill="FFFFFF"/>
        <w:tabs>
          <w:tab w:val="left" w:pos="426"/>
        </w:tabs>
        <w:suppressAutoHyphens w:val="0"/>
        <w:spacing w:line="360" w:lineRule="auto"/>
        <w:contextualSpacing/>
        <w:jc w:val="both"/>
        <w:rPr>
          <w:rFonts w:ascii="Palatino Linotype" w:hAnsi="Palatino Linotype" w:cs="Arial"/>
          <w:color w:val="000000"/>
          <w:lang w:val="es-ES_tradnl" w:eastAsia="es-MX"/>
        </w:rPr>
      </w:pPr>
    </w:p>
    <w:p w14:paraId="65D29BD9" w14:textId="77777777" w:rsidR="00191180" w:rsidRPr="00A3599E" w:rsidRDefault="00191180" w:rsidP="006F7BEF">
      <w:pPr>
        <w:numPr>
          <w:ilvl w:val="0"/>
          <w:numId w:val="9"/>
        </w:numPr>
        <w:shd w:val="clear" w:color="auto" w:fill="FFFFFF"/>
        <w:tabs>
          <w:tab w:val="left" w:pos="426"/>
        </w:tabs>
        <w:suppressAutoHyphens w:val="0"/>
        <w:spacing w:after="160" w:line="360" w:lineRule="auto"/>
        <w:ind w:left="0" w:firstLine="0"/>
        <w:contextualSpacing/>
        <w:jc w:val="both"/>
        <w:rPr>
          <w:rFonts w:ascii="Palatino Linotype" w:hAnsi="Palatino Linotype" w:cs="Arial"/>
          <w:color w:val="000000"/>
          <w:lang w:val="es-ES_tradnl" w:eastAsia="es-MX"/>
        </w:rPr>
      </w:pPr>
      <w:r w:rsidRPr="00A3599E">
        <w:rPr>
          <w:rFonts w:ascii="Palatino Linotype" w:hAnsi="Palatino Linotype" w:cs="Arial"/>
          <w:color w:val="000000"/>
          <w:lang w:val="es-ES_tradnl" w:eastAsia="es-MX"/>
        </w:rPr>
        <w:t xml:space="preserve">Han sido vastos los estudios doctrinarios relativos a estos derechos fundamentales y al principio de legalidad en ellos contenidos; como ejemplo, el procesalista José </w:t>
      </w:r>
      <w:r w:rsidRPr="00A3599E">
        <w:rPr>
          <w:rFonts w:ascii="Palatino Linotype" w:hAnsi="Palatino Linotype" w:cs="Arial"/>
          <w:color w:val="000000"/>
          <w:lang w:val="es-ES_tradnl" w:eastAsia="es-MX"/>
        </w:rPr>
        <w:lastRenderedPageBreak/>
        <w:t>Ovalle Fabela, en su obra “Garantías Constitucionales del Proceso”, refiere que “...</w:t>
      </w:r>
      <w:r w:rsidRPr="00A3599E">
        <w:rPr>
          <w:rFonts w:ascii="Palatino Linotype" w:hAnsi="Palatino Linotype" w:cs="Arial"/>
          <w:i/>
          <w:iCs/>
          <w:color w:val="000000"/>
          <w:lang w:val="es-ES_tradnl" w:eastAsia="es-MX"/>
        </w:rPr>
        <w:t>la garantía de fundamentación impone a las autoridades el deber de precisar las disposiciones jurídicas que aplican a los hechos de que se trate y que sustenten su competencia, así como de manifestar los razonamientos que demuestren la aplicabilidad de dichas disposiciones, todo lo cual se debe traducir en una argumentación o juicio de derecho. Pero de igual manera, la garantía de motivación exige que las autoridades expongan los razonamientos con base en los cuales llegaron a la conclusión de que esos hechos son ciertos, normalmente a partir del análisis de las pruebas, lo cual se debe exteriorizar en una argumentación o juicio de hecho</w:t>
      </w:r>
      <w:r w:rsidRPr="00A3599E">
        <w:rPr>
          <w:rFonts w:ascii="Palatino Linotype" w:hAnsi="Palatino Linotype" w:cs="Arial"/>
          <w:color w:val="000000"/>
          <w:lang w:val="es-ES_tradnl" w:eastAsia="es-MX"/>
        </w:rPr>
        <w:t>...”.</w:t>
      </w:r>
      <w:r w:rsidRPr="00A3599E">
        <w:rPr>
          <w:rFonts w:ascii="Palatino Linotype" w:hAnsi="Palatino Linotype" w:cs="Arial"/>
          <w:color w:val="000000"/>
          <w:vertAlign w:val="superscript"/>
          <w:lang w:val="es-ES_tradnl" w:eastAsia="es-MX"/>
        </w:rPr>
        <w:footnoteReference w:id="12"/>
      </w:r>
    </w:p>
    <w:p w14:paraId="5BB1B264" w14:textId="77777777" w:rsidR="00191180" w:rsidRPr="00A3599E" w:rsidRDefault="00191180" w:rsidP="006F7BEF">
      <w:pPr>
        <w:shd w:val="clear" w:color="auto" w:fill="FFFFFF"/>
        <w:tabs>
          <w:tab w:val="left" w:pos="426"/>
        </w:tabs>
        <w:suppressAutoHyphens w:val="0"/>
        <w:spacing w:line="360" w:lineRule="auto"/>
        <w:contextualSpacing/>
        <w:jc w:val="both"/>
        <w:rPr>
          <w:rFonts w:ascii="Palatino Linotype" w:hAnsi="Palatino Linotype" w:cs="Arial"/>
          <w:color w:val="000000"/>
          <w:lang w:val="es-ES_tradnl" w:eastAsia="es-MX"/>
        </w:rPr>
      </w:pPr>
    </w:p>
    <w:p w14:paraId="4B158902" w14:textId="77777777" w:rsidR="00191180" w:rsidRPr="00A3599E" w:rsidRDefault="00191180" w:rsidP="006F7BEF">
      <w:pPr>
        <w:numPr>
          <w:ilvl w:val="0"/>
          <w:numId w:val="9"/>
        </w:numPr>
        <w:shd w:val="clear" w:color="auto" w:fill="FFFFFF"/>
        <w:tabs>
          <w:tab w:val="left" w:pos="426"/>
        </w:tabs>
        <w:suppressAutoHyphens w:val="0"/>
        <w:spacing w:after="160" w:line="360" w:lineRule="auto"/>
        <w:ind w:left="0" w:firstLine="0"/>
        <w:contextualSpacing/>
        <w:jc w:val="both"/>
        <w:rPr>
          <w:rFonts w:ascii="Palatino Linotype" w:hAnsi="Palatino Linotype" w:cs="Arial"/>
          <w:color w:val="000000"/>
          <w:lang w:val="es-ES_tradnl" w:eastAsia="es-MX"/>
        </w:rPr>
      </w:pPr>
      <w:r w:rsidRPr="00A3599E">
        <w:rPr>
          <w:rFonts w:ascii="Palatino Linotype" w:hAnsi="Palatino Linotype" w:cs="Arial"/>
          <w:color w:val="000000"/>
          <w:lang w:val="es-ES_tradnl" w:eastAsia="es-MX"/>
        </w:rPr>
        <w:t>Por su parte, el intérprete judicial del país ha establecido una jurisprudencia respecto a qué debe entenderse por fundamentación y motivación, en los siguientes términos</w:t>
      </w:r>
      <w:r w:rsidRPr="00A3599E">
        <w:rPr>
          <w:rFonts w:ascii="Palatino Linotype" w:hAnsi="Palatino Linotype" w:cs="Arial"/>
          <w:i/>
          <w:color w:val="000000"/>
          <w:vertAlign w:val="superscript"/>
          <w:lang w:val="es-ES_tradnl"/>
        </w:rPr>
        <w:footnoteReference w:id="13"/>
      </w:r>
      <w:r w:rsidRPr="00A3599E">
        <w:rPr>
          <w:rFonts w:ascii="Palatino Linotype" w:hAnsi="Palatino Linotype" w:cs="Arial"/>
          <w:color w:val="000000"/>
          <w:lang w:val="es-ES_tradnl" w:eastAsia="es-MX"/>
        </w:rPr>
        <w:t>:</w:t>
      </w:r>
    </w:p>
    <w:p w14:paraId="1435F409" w14:textId="77777777" w:rsidR="00191180" w:rsidRPr="00A3599E" w:rsidRDefault="00191180" w:rsidP="006F7BEF">
      <w:pPr>
        <w:suppressAutoHyphens w:val="0"/>
        <w:spacing w:line="360" w:lineRule="auto"/>
        <w:ind w:right="618"/>
        <w:contextualSpacing/>
        <w:jc w:val="both"/>
        <w:rPr>
          <w:rFonts w:ascii="Palatino Linotype" w:hAnsi="Palatino Linotype" w:cs="Arial"/>
          <w:color w:val="000000"/>
          <w:lang w:val="es-ES_tradnl"/>
        </w:rPr>
      </w:pPr>
    </w:p>
    <w:p w14:paraId="74DFBCBB" w14:textId="77777777" w:rsidR="00191180" w:rsidRPr="00A3599E" w:rsidRDefault="00191180" w:rsidP="006F7BEF">
      <w:pPr>
        <w:suppressAutoHyphens w:val="0"/>
        <w:spacing w:line="360" w:lineRule="auto"/>
        <w:ind w:left="567" w:right="618"/>
        <w:contextualSpacing/>
        <w:jc w:val="both"/>
        <w:rPr>
          <w:rFonts w:ascii="Palatino Linotype" w:hAnsi="Palatino Linotype" w:cs="Arial"/>
          <w:i/>
          <w:color w:val="000000"/>
          <w:lang w:val="es-ES_tradnl"/>
        </w:rPr>
      </w:pPr>
      <w:r w:rsidRPr="00A3599E">
        <w:rPr>
          <w:rFonts w:ascii="Palatino Linotype" w:hAnsi="Palatino Linotype" w:cs="Arial"/>
          <w:b/>
          <w:i/>
          <w:color w:val="000000"/>
          <w:lang w:val="es-ES_tradnl"/>
        </w:rPr>
        <w:t>FUNDAMENTACIÓN Y MOTIVACIÓN.</w:t>
      </w:r>
      <w:r w:rsidRPr="00A3599E">
        <w:rPr>
          <w:rFonts w:ascii="Palatino Linotype" w:hAnsi="Palatino Linotype" w:cs="Arial"/>
          <w:i/>
          <w:color w:val="000000"/>
          <w:lang w:val="es-ES_tradnl"/>
        </w:rPr>
        <w:t xml:space="preserve"> “La debida fundamentación y motivación legal, deben entenderse, por lo primero, la cita del precepto legal aplicable al caso, y por lo segundo, las razones, motivos o circunstancias especiales que llevaron a la autoridad a concluir que el caso particular encuadra en el supuesto previsto por la norma legal invocada como fundamento.”</w:t>
      </w:r>
    </w:p>
    <w:p w14:paraId="46584C5E" w14:textId="77777777" w:rsidR="00191180" w:rsidRPr="00A3599E" w:rsidRDefault="00191180" w:rsidP="006F7BEF">
      <w:pPr>
        <w:suppressAutoHyphens w:val="0"/>
        <w:spacing w:line="360" w:lineRule="auto"/>
        <w:ind w:left="567"/>
        <w:contextualSpacing/>
        <w:jc w:val="both"/>
        <w:rPr>
          <w:rFonts w:ascii="Palatino Linotype" w:hAnsi="Palatino Linotype" w:cs="Arial"/>
          <w:color w:val="000000"/>
          <w:lang w:val="es-ES"/>
        </w:rPr>
      </w:pPr>
    </w:p>
    <w:p w14:paraId="4476847F" w14:textId="77777777" w:rsidR="00191180" w:rsidRPr="00A3599E" w:rsidRDefault="00191180" w:rsidP="006F7BEF">
      <w:pPr>
        <w:numPr>
          <w:ilvl w:val="0"/>
          <w:numId w:val="9"/>
        </w:numPr>
        <w:shd w:val="clear" w:color="auto" w:fill="FFFFFF"/>
        <w:tabs>
          <w:tab w:val="left" w:pos="426"/>
        </w:tabs>
        <w:suppressAutoHyphens w:val="0"/>
        <w:spacing w:after="160" w:line="360" w:lineRule="auto"/>
        <w:ind w:left="0" w:firstLine="0"/>
        <w:contextualSpacing/>
        <w:jc w:val="both"/>
        <w:rPr>
          <w:rFonts w:ascii="Palatino Linotype" w:hAnsi="Palatino Linotype" w:cs="Arial"/>
          <w:color w:val="000000"/>
          <w:lang w:val="es-ES_tradnl" w:eastAsia="es-MX"/>
        </w:rPr>
      </w:pPr>
      <w:r w:rsidRPr="00A3599E">
        <w:rPr>
          <w:rFonts w:ascii="Palatino Linotype" w:hAnsi="Palatino Linotype" w:cs="Arial"/>
          <w:color w:val="000000"/>
          <w:lang w:val="es-ES_tradnl" w:eastAsia="es-MX"/>
        </w:rPr>
        <w:lastRenderedPageBreak/>
        <w:t>Así, en un acto de autoridad se cumple con la debida fundamentación cuando se cita el precepto legal aplicable al caso concreto y la debida motivación cuando se expresan las razones, motivos o circunstancias que tomó en cuenta la autoridad para adecuar el hecho a los fundamentos de derecho.</w:t>
      </w:r>
    </w:p>
    <w:p w14:paraId="11C5C785" w14:textId="77777777" w:rsidR="00191180" w:rsidRPr="00A3599E" w:rsidRDefault="00191180" w:rsidP="006F7BEF">
      <w:pPr>
        <w:shd w:val="clear" w:color="auto" w:fill="FFFFFF"/>
        <w:tabs>
          <w:tab w:val="left" w:pos="426"/>
        </w:tabs>
        <w:suppressAutoHyphens w:val="0"/>
        <w:spacing w:line="360" w:lineRule="auto"/>
        <w:contextualSpacing/>
        <w:jc w:val="both"/>
        <w:rPr>
          <w:rFonts w:ascii="Palatino Linotype" w:hAnsi="Palatino Linotype" w:cs="Arial"/>
          <w:color w:val="000000"/>
          <w:lang w:val="es-ES_tradnl" w:eastAsia="es-MX"/>
        </w:rPr>
      </w:pPr>
    </w:p>
    <w:p w14:paraId="6B83E273" w14:textId="77777777" w:rsidR="00191180" w:rsidRPr="00A3599E" w:rsidRDefault="00191180" w:rsidP="006F7BEF">
      <w:pPr>
        <w:numPr>
          <w:ilvl w:val="0"/>
          <w:numId w:val="9"/>
        </w:numPr>
        <w:shd w:val="clear" w:color="auto" w:fill="FFFFFF"/>
        <w:tabs>
          <w:tab w:val="left" w:pos="426"/>
        </w:tabs>
        <w:suppressAutoHyphens w:val="0"/>
        <w:spacing w:after="160" w:line="360" w:lineRule="auto"/>
        <w:ind w:left="0" w:firstLine="0"/>
        <w:contextualSpacing/>
        <w:jc w:val="both"/>
        <w:rPr>
          <w:rFonts w:ascii="Palatino Linotype" w:hAnsi="Palatino Linotype" w:cs="Arial"/>
          <w:color w:val="000000"/>
          <w:lang w:val="es-ES_tradnl" w:eastAsia="es-MX"/>
        </w:rPr>
      </w:pPr>
      <w:r w:rsidRPr="00A3599E">
        <w:rPr>
          <w:rFonts w:ascii="Palatino Linotype" w:hAnsi="Palatino Linotype" w:cs="Arial"/>
          <w:color w:val="000000"/>
          <w:lang w:val="es-ES_tradnl" w:eastAsia="es-MX"/>
        </w:rPr>
        <w:t>En consecuencia, la fundamentación y motivación implica que, en el acto de autoridad, además de contenerse los supuestos jurídicos aplicables se expliquen claramente por qué a través de la utilización de la norma se emitió el acto. De este modo, la persona que se sienta afectada pueda impugnar la decisión, permitiéndole una real y auténtica defensa.</w:t>
      </w:r>
    </w:p>
    <w:p w14:paraId="3D934B44" w14:textId="77777777" w:rsidR="00191180" w:rsidRPr="00A3599E" w:rsidRDefault="00191180" w:rsidP="006F7BEF">
      <w:pPr>
        <w:shd w:val="clear" w:color="auto" w:fill="FFFFFF"/>
        <w:tabs>
          <w:tab w:val="left" w:pos="426"/>
        </w:tabs>
        <w:suppressAutoHyphens w:val="0"/>
        <w:spacing w:line="360" w:lineRule="auto"/>
        <w:contextualSpacing/>
        <w:jc w:val="both"/>
        <w:rPr>
          <w:rFonts w:ascii="Palatino Linotype" w:hAnsi="Palatino Linotype" w:cs="Arial"/>
          <w:color w:val="000000"/>
          <w:lang w:val="es-ES_tradnl" w:eastAsia="es-MX"/>
        </w:rPr>
      </w:pPr>
    </w:p>
    <w:p w14:paraId="56BB4259" w14:textId="77777777" w:rsidR="00191180" w:rsidRPr="00A3599E" w:rsidRDefault="00191180" w:rsidP="006F7BEF">
      <w:pPr>
        <w:numPr>
          <w:ilvl w:val="0"/>
          <w:numId w:val="9"/>
        </w:numPr>
        <w:shd w:val="clear" w:color="auto" w:fill="FFFFFF"/>
        <w:tabs>
          <w:tab w:val="left" w:pos="426"/>
        </w:tabs>
        <w:suppressAutoHyphens w:val="0"/>
        <w:spacing w:after="160" w:line="360" w:lineRule="auto"/>
        <w:ind w:left="0" w:firstLine="0"/>
        <w:contextualSpacing/>
        <w:jc w:val="both"/>
        <w:rPr>
          <w:rFonts w:ascii="Palatino Linotype" w:hAnsi="Palatino Linotype" w:cs="Arial"/>
          <w:color w:val="000000"/>
          <w:lang w:val="es-ES_tradnl" w:eastAsia="es-MX"/>
        </w:rPr>
      </w:pPr>
      <w:r w:rsidRPr="00A3599E">
        <w:rPr>
          <w:rFonts w:ascii="Palatino Linotype" w:hAnsi="Palatino Linotype" w:cs="Arial"/>
          <w:color w:val="000000"/>
          <w:lang w:val="es-ES_tradnl" w:eastAsia="es-MX"/>
        </w:rPr>
        <w:t>En ese mismo sentido, el lineamiento trigésimo tercero fracción V de los Lineamientos Generales, precisa que para motivar la clasificación se deben acreditar las circunstancias de tiempo, modo y lugar.</w:t>
      </w:r>
    </w:p>
    <w:p w14:paraId="68ED3795" w14:textId="77777777" w:rsidR="00191180" w:rsidRPr="00A3599E" w:rsidRDefault="00191180" w:rsidP="006F7BEF">
      <w:pPr>
        <w:shd w:val="clear" w:color="auto" w:fill="FFFFFF"/>
        <w:tabs>
          <w:tab w:val="left" w:pos="426"/>
        </w:tabs>
        <w:suppressAutoHyphens w:val="0"/>
        <w:spacing w:after="200" w:line="360" w:lineRule="auto"/>
        <w:contextualSpacing/>
        <w:jc w:val="both"/>
        <w:rPr>
          <w:rFonts w:ascii="Palatino Linotype" w:hAnsi="Palatino Linotype" w:cs="Arial"/>
          <w:color w:val="000000"/>
          <w:lang w:val="es-ES_tradnl" w:eastAsia="es-MX"/>
        </w:rPr>
      </w:pPr>
    </w:p>
    <w:p w14:paraId="6F7A3481" w14:textId="77777777" w:rsidR="00191180" w:rsidRPr="00A3599E" w:rsidRDefault="00191180" w:rsidP="006F7BEF">
      <w:pPr>
        <w:numPr>
          <w:ilvl w:val="0"/>
          <w:numId w:val="9"/>
        </w:numPr>
        <w:shd w:val="clear" w:color="auto" w:fill="FFFFFF"/>
        <w:tabs>
          <w:tab w:val="left" w:pos="426"/>
        </w:tabs>
        <w:suppressAutoHyphens w:val="0"/>
        <w:spacing w:after="200" w:line="360" w:lineRule="auto"/>
        <w:ind w:left="0" w:firstLine="0"/>
        <w:contextualSpacing/>
        <w:jc w:val="both"/>
        <w:rPr>
          <w:rFonts w:ascii="Palatino Linotype" w:hAnsi="Palatino Linotype" w:cs="Arial"/>
          <w:color w:val="000000"/>
          <w:lang w:val="es-ES_tradnl" w:eastAsia="es-MX"/>
        </w:rPr>
      </w:pPr>
      <w:r w:rsidRPr="00A3599E">
        <w:rPr>
          <w:rFonts w:ascii="Palatino Linotype" w:hAnsi="Palatino Linotype" w:cs="Arial"/>
          <w:color w:val="000000"/>
          <w:lang w:val="es-ES_tradnl" w:eastAsia="es-MX"/>
        </w:rPr>
        <w:t>Ahora bien, para cada caso además de fundar y motivar, se debe identificar con claridad que datos contenidos en las documentales que son susceptibles de suprimirse, por ejemplo, si una documental de naturaleza pública como lo es la nómina general, si bien el dato de sus remuneraciones es eminentemente público, no así todos los datos contenidos en dicho documento que son</w:t>
      </w:r>
      <w:r w:rsidRPr="00A3599E">
        <w:rPr>
          <w:rFonts w:ascii="Palatino Linotype" w:hAnsi="Palatino Linotype"/>
          <w:color w:val="000000"/>
          <w:lang w:val="es-ES_tradnl"/>
        </w:rPr>
        <w:t xml:space="preserve"> </w:t>
      </w:r>
      <w:r w:rsidRPr="00A3599E">
        <w:rPr>
          <w:rFonts w:ascii="Palatino Linotype" w:hAnsi="Palatino Linotype" w:cs="Arial"/>
          <w:color w:val="000000"/>
          <w:lang w:val="es-ES_tradnl" w:eastAsia="es-MX"/>
        </w:rPr>
        <w:t>datos personales</w:t>
      </w:r>
      <w:r w:rsidRPr="00A3599E">
        <w:rPr>
          <w:rFonts w:ascii="Palatino Linotype" w:hAnsi="Palatino Linotype" w:cs="Arial"/>
          <w:color w:val="000000"/>
          <w:vertAlign w:val="superscript"/>
          <w:lang w:val="es-ES_tradnl" w:eastAsia="es-MX"/>
        </w:rPr>
        <w:footnoteReference w:id="14"/>
      </w:r>
      <w:r w:rsidRPr="00A3599E">
        <w:rPr>
          <w:rFonts w:ascii="Palatino Linotype" w:hAnsi="Palatino Linotype" w:cs="Arial"/>
          <w:color w:val="000000"/>
          <w:lang w:val="es-ES_tradnl" w:eastAsia="es-MX"/>
        </w:rPr>
        <w:t xml:space="preserve"> del servidor público que no tienen ninguna injerencia en el tema de la transparencia y la rendición de cuentas,  por </w:t>
      </w:r>
      <w:r w:rsidRPr="00A3599E">
        <w:rPr>
          <w:rFonts w:ascii="Palatino Linotype" w:hAnsi="Palatino Linotype" w:cs="Arial"/>
          <w:color w:val="000000"/>
          <w:lang w:val="es-ES_tradnl" w:eastAsia="es-MX"/>
        </w:rPr>
        <w:lastRenderedPageBreak/>
        <w:t xml:space="preserve">ejemplo, </w:t>
      </w:r>
      <w:r w:rsidRPr="00A3599E">
        <w:rPr>
          <w:rFonts w:ascii="Palatino Linotype" w:eastAsia="Calibri" w:hAnsi="Palatino Linotype" w:cs="Arial"/>
          <w:color w:val="000000"/>
          <w:lang w:val="es-ES" w:eastAsia="es-MX"/>
        </w:rPr>
        <w:t xml:space="preserve">Clave Única de Registro de Población (CURP), Registro Federal de Contribuyentes (R.F.C.), clave de ISSEMYM, número de cuenta, deducciones (concepto y monto) de sindicato, mutualidad, ayuda por defunción, fondo de resistencia sindical, caja de ahorro, seguro de vida,  ausentismo, Cadenas Originales del Sellos Digitales y los Códigos Bidimensionales, también denominados Códigos QR, estos son datos  susceptibles de clasificarse como confidenciales mediante una versión pública que deje a la vista los datos que ofrezcan la información requerida.  </w:t>
      </w:r>
    </w:p>
    <w:p w14:paraId="3E3D2FDA" w14:textId="77777777" w:rsidR="00191180" w:rsidRPr="00A3599E" w:rsidRDefault="00191180" w:rsidP="006F7BEF">
      <w:pPr>
        <w:shd w:val="clear" w:color="auto" w:fill="FFFFFF"/>
        <w:tabs>
          <w:tab w:val="left" w:pos="426"/>
        </w:tabs>
        <w:suppressAutoHyphens w:val="0"/>
        <w:spacing w:after="200" w:line="360" w:lineRule="auto"/>
        <w:contextualSpacing/>
        <w:jc w:val="both"/>
        <w:rPr>
          <w:rFonts w:ascii="Palatino Linotype" w:eastAsia="Calibri" w:hAnsi="Palatino Linotype" w:cs="Arial"/>
          <w:color w:val="000000"/>
          <w:lang w:val="es-ES" w:eastAsia="es-MX"/>
        </w:rPr>
      </w:pPr>
    </w:p>
    <w:p w14:paraId="4C6182C1" w14:textId="77777777" w:rsidR="00191180" w:rsidRPr="00A3599E" w:rsidRDefault="00191180" w:rsidP="006F7BEF">
      <w:pPr>
        <w:numPr>
          <w:ilvl w:val="0"/>
          <w:numId w:val="9"/>
        </w:numPr>
        <w:shd w:val="clear" w:color="auto" w:fill="FFFFFF"/>
        <w:tabs>
          <w:tab w:val="left" w:pos="426"/>
        </w:tabs>
        <w:suppressAutoHyphens w:val="0"/>
        <w:spacing w:after="200" w:line="360" w:lineRule="auto"/>
        <w:ind w:left="0" w:firstLine="0"/>
        <w:contextualSpacing/>
        <w:jc w:val="both"/>
        <w:rPr>
          <w:rFonts w:ascii="Palatino Linotype" w:eastAsia="Calibri" w:hAnsi="Palatino Linotype" w:cs="Arial"/>
          <w:color w:val="000000"/>
          <w:lang w:val="es-ES" w:eastAsia="es-MX"/>
        </w:rPr>
      </w:pPr>
      <w:r w:rsidRPr="00A3599E">
        <w:rPr>
          <w:rFonts w:ascii="Palatino Linotype" w:eastAsia="Calibri" w:hAnsi="Palatino Linotype" w:cs="Arial"/>
          <w:color w:val="000000"/>
          <w:lang w:val="es-ES" w:eastAsia="es-MX"/>
        </w:rPr>
        <w:t>Otro tipo de información confidencial constituyen los secretos bancario, fiduciario, industrial, comercial, fiscal, bursátil y postal, cuya titularidad corresponda a particulares, sujetos de derecho internacional o a Sujetos Obligados cuando no involucren el ejercicio de recursos públicos, así lo define la fracción XXI del artículo 3 de la Ley Estatal.</w:t>
      </w:r>
    </w:p>
    <w:p w14:paraId="53E207AB" w14:textId="77777777" w:rsidR="00191180" w:rsidRPr="00A3599E" w:rsidRDefault="00191180" w:rsidP="006F7BEF">
      <w:pPr>
        <w:suppressAutoHyphens w:val="0"/>
        <w:spacing w:line="360" w:lineRule="auto"/>
        <w:contextualSpacing/>
        <w:jc w:val="both"/>
        <w:rPr>
          <w:rFonts w:ascii="Palatino Linotype" w:hAnsi="Palatino Linotype" w:cs="Arial"/>
          <w:color w:val="000000"/>
          <w:lang w:val="es-ES_tradnl"/>
        </w:rPr>
      </w:pPr>
    </w:p>
    <w:p w14:paraId="214D17FE" w14:textId="77777777" w:rsidR="00191180" w:rsidRPr="00A3599E" w:rsidRDefault="00191180" w:rsidP="006F7BEF">
      <w:pPr>
        <w:keepNext/>
        <w:keepLines/>
        <w:pBdr>
          <w:top w:val="nil"/>
          <w:left w:val="nil"/>
          <w:bottom w:val="nil"/>
          <w:right w:val="nil"/>
          <w:between w:val="nil"/>
          <w:bar w:val="nil"/>
        </w:pBdr>
        <w:suppressAutoHyphens w:val="0"/>
        <w:spacing w:before="40" w:line="360" w:lineRule="auto"/>
        <w:jc w:val="both"/>
        <w:outlineLvl w:val="1"/>
        <w:rPr>
          <w:rFonts w:ascii="Palatino Linotype" w:hAnsi="Palatino Linotype"/>
          <w:b/>
          <w:color w:val="000000"/>
          <w:lang w:eastAsia="en-US"/>
        </w:rPr>
      </w:pPr>
      <w:bookmarkStart w:id="134" w:name="_Toc485631706"/>
      <w:bookmarkStart w:id="135" w:name="_Toc500756716"/>
      <w:bookmarkStart w:id="136" w:name="_Toc536691784"/>
      <w:bookmarkStart w:id="137" w:name="_Toc103178797"/>
      <w:r w:rsidRPr="00A3599E">
        <w:rPr>
          <w:rFonts w:ascii="Palatino Linotype" w:hAnsi="Palatino Linotype"/>
          <w:b/>
          <w:color w:val="000000"/>
          <w:lang w:eastAsia="en-US"/>
        </w:rPr>
        <w:t>III. Condiciones especiales de la clasificación de la información como reservada</w:t>
      </w:r>
      <w:bookmarkEnd w:id="134"/>
      <w:bookmarkEnd w:id="135"/>
      <w:bookmarkEnd w:id="136"/>
      <w:bookmarkEnd w:id="137"/>
      <w:r w:rsidRPr="00A3599E">
        <w:rPr>
          <w:rFonts w:ascii="Palatino Linotype" w:hAnsi="Palatino Linotype"/>
          <w:b/>
          <w:color w:val="000000"/>
          <w:lang w:eastAsia="en-US"/>
        </w:rPr>
        <w:t xml:space="preserve"> </w:t>
      </w:r>
    </w:p>
    <w:p w14:paraId="259E4231" w14:textId="77777777" w:rsidR="00191180" w:rsidRPr="00A3599E" w:rsidRDefault="00191180" w:rsidP="006F7BEF">
      <w:pPr>
        <w:suppressAutoHyphens w:val="0"/>
        <w:spacing w:line="360" w:lineRule="auto"/>
        <w:contextualSpacing/>
        <w:jc w:val="both"/>
        <w:rPr>
          <w:rFonts w:ascii="Palatino Linotype" w:hAnsi="Palatino Linotype" w:cs="Arial"/>
          <w:b/>
          <w:color w:val="000000"/>
          <w:lang w:val="es-ES_tradnl"/>
        </w:rPr>
      </w:pPr>
    </w:p>
    <w:p w14:paraId="435E2040" w14:textId="77777777" w:rsidR="00191180" w:rsidRPr="00A3599E" w:rsidRDefault="00191180" w:rsidP="006F7BEF">
      <w:pPr>
        <w:pStyle w:val="Ttulo1"/>
        <w:spacing w:line="360" w:lineRule="auto"/>
        <w:rPr>
          <w:rFonts w:ascii="Palatino Linotype" w:hAnsi="Palatino Linotype"/>
          <w:b/>
          <w:color w:val="000000" w:themeColor="text1"/>
          <w:sz w:val="24"/>
          <w:szCs w:val="24"/>
        </w:rPr>
      </w:pPr>
      <w:bookmarkStart w:id="138" w:name="_Toc485631707"/>
      <w:bookmarkStart w:id="139" w:name="_Toc500756717"/>
      <w:bookmarkStart w:id="140" w:name="_Toc536691785"/>
      <w:bookmarkStart w:id="141" w:name="_Toc103178798"/>
      <w:r w:rsidRPr="00A3599E">
        <w:rPr>
          <w:rFonts w:ascii="Palatino Linotype" w:hAnsi="Palatino Linotype"/>
          <w:b/>
          <w:color w:val="000000" w:themeColor="text1"/>
          <w:sz w:val="24"/>
          <w:szCs w:val="24"/>
        </w:rPr>
        <w:t>a) La fundamentación específica.</w:t>
      </w:r>
      <w:bookmarkEnd w:id="138"/>
      <w:bookmarkEnd w:id="139"/>
      <w:bookmarkEnd w:id="140"/>
      <w:bookmarkEnd w:id="141"/>
    </w:p>
    <w:p w14:paraId="0D0817E9" w14:textId="77777777" w:rsidR="00191180" w:rsidRPr="00A3599E" w:rsidRDefault="00191180" w:rsidP="006F7BEF">
      <w:pPr>
        <w:suppressAutoHyphens w:val="0"/>
        <w:spacing w:line="360" w:lineRule="auto"/>
        <w:contextualSpacing/>
        <w:jc w:val="both"/>
        <w:rPr>
          <w:rFonts w:ascii="Palatino Linotype" w:hAnsi="Palatino Linotype" w:cs="Arial"/>
          <w:color w:val="000000"/>
          <w:lang w:val="es-ES_tradnl"/>
        </w:rPr>
      </w:pPr>
    </w:p>
    <w:p w14:paraId="536498E2" w14:textId="4C4C8C2C" w:rsidR="003B5B03"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Más aún, los artículos 128, segundo párrafo, y 103, segundo párrafo, de las Leyes Estatal y General, respectivamente, señalan que en el caso de la información reservada, se deben de señalar las razones, motivos o circunstancias especiales que llevan al </w:t>
      </w:r>
      <w:r w:rsidRPr="00A3599E">
        <w:rPr>
          <w:rFonts w:ascii="Palatino Linotype" w:hAnsi="Palatino Linotype" w:cs="Arial"/>
          <w:b/>
          <w:bCs/>
          <w:color w:val="000000"/>
          <w:lang w:val="es-ES_tradnl"/>
        </w:rPr>
        <w:t>SUJETO OBLIGADO</w:t>
      </w:r>
      <w:r w:rsidRPr="00A3599E">
        <w:rPr>
          <w:rFonts w:ascii="Palatino Linotype" w:hAnsi="Palatino Linotype" w:cs="Arial"/>
          <w:color w:val="000000"/>
          <w:lang w:val="es-ES_tradnl"/>
        </w:rPr>
        <w:t xml:space="preserve"> a concluir que el caso fáctico se corresponde con la norma. Por esta razón, la motivación del acto, el juicio de subsunción, para acreditar la estricta </w:t>
      </w:r>
      <w:r w:rsidRPr="00A3599E">
        <w:rPr>
          <w:rFonts w:ascii="Palatino Linotype" w:hAnsi="Palatino Linotype" w:cs="Arial"/>
          <w:color w:val="000000"/>
          <w:lang w:val="es-ES_tradnl"/>
        </w:rPr>
        <w:lastRenderedPageBreak/>
        <w:t>correspondencia entre el supuesto de hecho y la hipótesis normativa, deberá señalar las razones, motivos o circunstancias que lo justifiquen, lo que no es lo mismo que repetir el supuesto de hecho y la hipótesis normativa, sino que se debe generar un juicio demostrativo, no uno autorreferencial en el que primero se dice algo, después se dice lo mismo y al final exactamente lo mismo, cambiando sólo el orden de las palabras.</w:t>
      </w:r>
    </w:p>
    <w:p w14:paraId="3AC50B80" w14:textId="705E22B7" w:rsidR="00191180" w:rsidRPr="00A3599E" w:rsidRDefault="00350E91" w:rsidP="006F7BEF">
      <w:pPr>
        <w:pStyle w:val="Ttulo1"/>
        <w:spacing w:line="360" w:lineRule="auto"/>
        <w:rPr>
          <w:rFonts w:ascii="Palatino Linotype" w:hAnsi="Palatino Linotype"/>
          <w:b/>
          <w:color w:val="000000" w:themeColor="text1"/>
          <w:sz w:val="24"/>
          <w:szCs w:val="24"/>
        </w:rPr>
      </w:pPr>
      <w:bookmarkStart w:id="142" w:name="_Toc485631708"/>
      <w:bookmarkStart w:id="143" w:name="_Toc500756718"/>
      <w:bookmarkStart w:id="144" w:name="_Toc536691786"/>
      <w:bookmarkStart w:id="145" w:name="_Toc103178799"/>
      <w:r w:rsidRPr="00A3599E">
        <w:rPr>
          <w:rFonts w:ascii="Palatino Linotype" w:hAnsi="Palatino Linotype"/>
          <w:b/>
          <w:color w:val="000000" w:themeColor="text1"/>
          <w:sz w:val="24"/>
          <w:szCs w:val="24"/>
        </w:rPr>
        <w:t>b</w:t>
      </w:r>
      <w:r w:rsidR="00191180" w:rsidRPr="00A3599E">
        <w:rPr>
          <w:rFonts w:ascii="Palatino Linotype" w:hAnsi="Palatino Linotype"/>
          <w:b/>
          <w:color w:val="000000" w:themeColor="text1"/>
          <w:sz w:val="24"/>
          <w:szCs w:val="24"/>
        </w:rPr>
        <w:t>) La prueba de daño.</w:t>
      </w:r>
      <w:bookmarkEnd w:id="142"/>
      <w:bookmarkEnd w:id="143"/>
      <w:bookmarkEnd w:id="144"/>
      <w:bookmarkEnd w:id="145"/>
    </w:p>
    <w:p w14:paraId="34571221" w14:textId="77777777" w:rsidR="00191180" w:rsidRPr="00A3599E" w:rsidRDefault="00191180" w:rsidP="006F7BEF">
      <w:pPr>
        <w:suppressAutoHyphens w:val="0"/>
        <w:spacing w:line="360" w:lineRule="auto"/>
        <w:contextualSpacing/>
        <w:jc w:val="both"/>
        <w:rPr>
          <w:rFonts w:ascii="Palatino Linotype" w:hAnsi="Palatino Linotype"/>
          <w:color w:val="000000"/>
          <w:lang w:val="es-ES_tradnl"/>
        </w:rPr>
      </w:pPr>
    </w:p>
    <w:p w14:paraId="0B5F53A8"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Las mismas disposiciones referidas en el párrafo anterior precisan que, además de señalar las razones, motivos o circunstancias, se deberá aplicar la prueba de daño.  Adicionalmente los artículos 129 y 134 último párrafo de la Ley Estatal y 104 y 108 último párrafo de la Ley General, respectivamente, determinan que se debe realizar un análisis caso por caso, aplicando la prueba de daño. Esto implica que la motivación, que acredite la correspondencia entre el supuesto de hecho y la hipótesis normativa señalando las razones, motivos o circunstancias es una parte del acuerdo y otra parte, distinta, es la que corresponde a la prueba de daño, la que debe aplicarse caso por caso, esto es, no se puede hacer una prueba de daño de un expediente completo, sino de cada uno de los documentos que lo integran.</w:t>
      </w:r>
    </w:p>
    <w:p w14:paraId="63191B70" w14:textId="77777777" w:rsidR="00191180" w:rsidRPr="00A3599E" w:rsidRDefault="00191180" w:rsidP="006F7BEF">
      <w:pPr>
        <w:tabs>
          <w:tab w:val="left" w:pos="426"/>
        </w:tabs>
        <w:suppressAutoHyphens w:val="0"/>
        <w:spacing w:after="160" w:line="360" w:lineRule="auto"/>
        <w:contextualSpacing/>
        <w:jc w:val="both"/>
        <w:rPr>
          <w:rFonts w:ascii="Palatino Linotype" w:hAnsi="Palatino Linotype"/>
          <w:color w:val="000000"/>
          <w:lang w:val="es-ES_tradnl"/>
        </w:rPr>
      </w:pPr>
    </w:p>
    <w:p w14:paraId="553E757F"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Para aplicar la prueba de daño, se deberán de precisar las razones objetivas por las que la apertura genera una afectación, acreditando que:</w:t>
      </w:r>
    </w:p>
    <w:p w14:paraId="0137FEF4" w14:textId="77777777" w:rsidR="00C211C5" w:rsidRPr="00A3599E" w:rsidRDefault="00C211C5" w:rsidP="006F7BEF">
      <w:pPr>
        <w:tabs>
          <w:tab w:val="left" w:pos="426"/>
        </w:tabs>
        <w:suppressAutoHyphens w:val="0"/>
        <w:spacing w:after="160" w:line="360" w:lineRule="auto"/>
        <w:contextualSpacing/>
        <w:jc w:val="both"/>
        <w:rPr>
          <w:rFonts w:ascii="Palatino Linotype" w:hAnsi="Palatino Linotype"/>
          <w:color w:val="000000"/>
          <w:lang w:val="es-ES_tradnl"/>
        </w:rPr>
      </w:pPr>
    </w:p>
    <w:p w14:paraId="582E72DC" w14:textId="77777777" w:rsidR="00191180" w:rsidRPr="00A3599E" w:rsidRDefault="00191180" w:rsidP="006F7BEF">
      <w:pPr>
        <w:numPr>
          <w:ilvl w:val="1"/>
          <w:numId w:val="9"/>
        </w:numPr>
        <w:tabs>
          <w:tab w:val="left" w:pos="426"/>
        </w:tabs>
        <w:suppressAutoHyphens w:val="0"/>
        <w:spacing w:after="160" w:line="360" w:lineRule="auto"/>
        <w:ind w:left="1134" w:hanging="436"/>
        <w:contextualSpacing/>
        <w:jc w:val="both"/>
        <w:rPr>
          <w:rFonts w:ascii="Palatino Linotype" w:hAnsi="Palatino Linotype"/>
          <w:iCs/>
          <w:color w:val="000000"/>
          <w:lang w:val="es-ES_tradnl"/>
        </w:rPr>
      </w:pPr>
      <w:r w:rsidRPr="00A3599E">
        <w:rPr>
          <w:rFonts w:ascii="Palatino Linotype" w:hAnsi="Palatino Linotype"/>
          <w:color w:val="000000"/>
          <w:lang w:val="es-ES_tradnl"/>
        </w:rPr>
        <w:lastRenderedPageBreak/>
        <w:t xml:space="preserve">La </w:t>
      </w:r>
      <w:r w:rsidRPr="00A3599E">
        <w:rPr>
          <w:rFonts w:ascii="Palatino Linotype" w:hAnsi="Palatino Linotype"/>
          <w:iCs/>
          <w:color w:val="000000"/>
          <w:lang w:val="es-ES_tradnl"/>
        </w:rPr>
        <w:t xml:space="preserve">divulgación de la información representa un riesgo real, demostrable e identificable del perjuicio significativo al interés público o a la seguridad pública; </w:t>
      </w:r>
    </w:p>
    <w:p w14:paraId="08F94714" w14:textId="77777777" w:rsidR="00191180" w:rsidRPr="00A3599E" w:rsidRDefault="00191180" w:rsidP="006F7BEF">
      <w:pPr>
        <w:numPr>
          <w:ilvl w:val="1"/>
          <w:numId w:val="9"/>
        </w:numPr>
        <w:tabs>
          <w:tab w:val="left" w:pos="426"/>
        </w:tabs>
        <w:suppressAutoHyphens w:val="0"/>
        <w:spacing w:after="160" w:line="360" w:lineRule="auto"/>
        <w:ind w:left="1134" w:hanging="436"/>
        <w:contextualSpacing/>
        <w:jc w:val="both"/>
        <w:rPr>
          <w:rFonts w:ascii="Palatino Linotype" w:hAnsi="Palatino Linotype"/>
          <w:iCs/>
          <w:color w:val="000000"/>
          <w:lang w:val="es-ES_tradnl"/>
        </w:rPr>
      </w:pPr>
      <w:r w:rsidRPr="00A3599E">
        <w:rPr>
          <w:rFonts w:ascii="Palatino Linotype" w:hAnsi="Palatino Linotype"/>
          <w:iCs/>
          <w:color w:val="000000"/>
          <w:lang w:val="es-ES_tradnl"/>
        </w:rPr>
        <w:t xml:space="preserve">El riesgo de perjuicio que supondría la divulgación supera el interés público general de que se difunda; y </w:t>
      </w:r>
    </w:p>
    <w:p w14:paraId="5E2885FB" w14:textId="77777777" w:rsidR="00191180" w:rsidRPr="00A3599E" w:rsidRDefault="00191180" w:rsidP="006F7BEF">
      <w:pPr>
        <w:numPr>
          <w:ilvl w:val="1"/>
          <w:numId w:val="9"/>
        </w:numPr>
        <w:tabs>
          <w:tab w:val="left" w:pos="426"/>
        </w:tabs>
        <w:suppressAutoHyphens w:val="0"/>
        <w:spacing w:after="160" w:line="360" w:lineRule="auto"/>
        <w:ind w:left="1134" w:hanging="436"/>
        <w:contextualSpacing/>
        <w:jc w:val="both"/>
        <w:rPr>
          <w:rFonts w:ascii="Palatino Linotype" w:hAnsi="Palatino Linotype"/>
          <w:iCs/>
          <w:color w:val="000000"/>
          <w:lang w:val="es-ES_tradnl"/>
        </w:rPr>
      </w:pPr>
      <w:r w:rsidRPr="00A3599E">
        <w:rPr>
          <w:rFonts w:ascii="Palatino Linotype" w:hAnsi="Palatino Linotype"/>
          <w:iCs/>
          <w:color w:val="000000"/>
          <w:lang w:val="es-ES_tradnl"/>
        </w:rPr>
        <w:t>La limitación se adecua al principio de proporcionalidad y representa el medio menos restrictivo disponible para evitar el perjuicio.</w:t>
      </w:r>
    </w:p>
    <w:p w14:paraId="53A8E578" w14:textId="77777777" w:rsidR="00191180" w:rsidRPr="00A3599E" w:rsidRDefault="00191180" w:rsidP="006F7BEF">
      <w:pPr>
        <w:tabs>
          <w:tab w:val="left" w:pos="426"/>
        </w:tabs>
        <w:suppressAutoHyphens w:val="0"/>
        <w:spacing w:line="360" w:lineRule="auto"/>
        <w:ind w:left="1134"/>
        <w:contextualSpacing/>
        <w:jc w:val="both"/>
        <w:rPr>
          <w:rFonts w:ascii="Palatino Linotype" w:hAnsi="Palatino Linotype"/>
          <w:iCs/>
          <w:color w:val="000000"/>
          <w:lang w:val="es-ES_tradnl"/>
        </w:rPr>
      </w:pPr>
    </w:p>
    <w:p w14:paraId="4598969E" w14:textId="456E2816" w:rsidR="00191180" w:rsidRPr="00A3599E" w:rsidRDefault="00191180" w:rsidP="006F7BEF">
      <w:pPr>
        <w:numPr>
          <w:ilvl w:val="0"/>
          <w:numId w:val="9"/>
        </w:numPr>
        <w:shd w:val="clear" w:color="auto" w:fill="FFFFFF"/>
        <w:tabs>
          <w:tab w:val="left" w:pos="426"/>
        </w:tabs>
        <w:suppressAutoHyphens w:val="0"/>
        <w:spacing w:after="160" w:line="360" w:lineRule="auto"/>
        <w:ind w:left="0" w:firstLine="0"/>
        <w:jc w:val="both"/>
        <w:textAlignment w:val="baseline"/>
        <w:rPr>
          <w:rFonts w:ascii="Palatino Linotype" w:eastAsia="Calibri" w:hAnsi="Palatino Linotype"/>
          <w:color w:val="000000"/>
          <w:lang w:val="es-ES_tradnl" w:eastAsia="es-ES_tradnl"/>
        </w:rPr>
      </w:pPr>
      <w:r w:rsidRPr="00A3599E">
        <w:rPr>
          <w:rFonts w:ascii="Palatino Linotype" w:eastAsia="Calibri" w:hAnsi="Palatino Linotype"/>
          <w:color w:val="000000"/>
          <w:lang w:val="es-ES_tradnl" w:eastAsia="es-ES_tradnl"/>
        </w:rPr>
        <w:t>Sobre el primer supuesto consideremos que según el diccionario del español jurídico, por riesgo podemos entender “la contingencia o proximidad de un daño”,</w:t>
      </w:r>
      <w:r w:rsidRPr="00A3599E">
        <w:rPr>
          <w:rFonts w:ascii="Palatino Linotype" w:eastAsia="Calibri" w:hAnsi="Palatino Linotype"/>
          <w:color w:val="000000"/>
          <w:vertAlign w:val="superscript"/>
          <w:lang w:val="es-ES_tradnl" w:eastAsia="es-ES_tradnl"/>
        </w:rPr>
        <w:footnoteReference w:id="15"/>
      </w:r>
      <w:r w:rsidRPr="00A3599E">
        <w:rPr>
          <w:rFonts w:ascii="Palatino Linotype" w:eastAsia="Calibri" w:hAnsi="Palatino Linotype"/>
          <w:color w:val="000000"/>
          <w:lang w:val="es-ES_tradnl" w:eastAsia="es-ES_tradnl"/>
        </w:rPr>
        <w:t xml:space="preserve"> mientras que el daño es considerado como un “perjuicio o lesión”</w:t>
      </w:r>
      <w:r w:rsidRPr="00A3599E">
        <w:rPr>
          <w:rFonts w:ascii="Palatino Linotype" w:eastAsia="Calibri" w:hAnsi="Palatino Linotype"/>
          <w:color w:val="000000"/>
          <w:vertAlign w:val="superscript"/>
          <w:lang w:val="es-ES_tradnl" w:eastAsia="es-ES_tradnl"/>
        </w:rPr>
        <w:footnoteReference w:id="16"/>
      </w:r>
      <w:r w:rsidRPr="00A3599E">
        <w:rPr>
          <w:rFonts w:ascii="Palatino Linotype" w:eastAsia="Calibri" w:hAnsi="Palatino Linotype"/>
          <w:color w:val="000000"/>
          <w:lang w:val="es-ES_tradnl" w:eastAsia="es-ES_tradnl"/>
        </w:rPr>
        <w:t>, mientras que según el Diccionario de la Lengua Española, lo real es</w:t>
      </w:r>
      <w:r w:rsidRPr="00A3599E">
        <w:rPr>
          <w:rFonts w:ascii="Palatino Linotype" w:eastAsia="Arial Unicode MS" w:hAnsi="Palatino Linotype" w:cs="Arial Unicode MS"/>
          <w:color w:val="000000"/>
          <w:spacing w:val="4"/>
          <w:shd w:val="clear" w:color="auto" w:fill="FFFFFF"/>
          <w:lang w:val="es-ES_tradnl" w:eastAsia="es-ES_tradnl"/>
        </w:rPr>
        <w:t xml:space="preserve"> lo “</w:t>
      </w:r>
      <w:r w:rsidRPr="00A3599E">
        <w:rPr>
          <w:rFonts w:ascii="Palatino Linotype" w:hAnsi="Palatino Linotype"/>
          <w:color w:val="000000"/>
          <w:lang w:val="es-ES_tradnl" w:eastAsia="es-ES_tradnl"/>
        </w:rPr>
        <w:t>(que</w:t>
      </w:r>
      <w:r w:rsidRPr="00A3599E">
        <w:rPr>
          <w:rFonts w:ascii="Palatino Linotype" w:eastAsia="Arial Unicode MS" w:hAnsi="Palatino Linotype" w:cs="Arial Unicode MS"/>
          <w:color w:val="000000"/>
          <w:spacing w:val="4"/>
          <w:shd w:val="clear" w:color="auto" w:fill="FFFFFF"/>
          <w:lang w:val="es-ES_tradnl" w:eastAsia="es-ES_tradnl"/>
        </w:rPr>
        <w:t xml:space="preserve"> </w:t>
      </w:r>
      <w:r w:rsidRPr="00A3599E">
        <w:rPr>
          <w:rFonts w:ascii="Palatino Linotype" w:hAnsi="Palatino Linotype"/>
          <w:color w:val="000000"/>
          <w:lang w:val="es-ES_tradnl" w:eastAsia="es-ES_tradnl"/>
        </w:rPr>
        <w:t>tiene</w:t>
      </w:r>
      <w:r w:rsidRPr="00A3599E">
        <w:rPr>
          <w:rFonts w:ascii="Palatino Linotype" w:eastAsia="Arial Unicode MS" w:hAnsi="Palatino Linotype" w:cs="Arial Unicode MS"/>
          <w:color w:val="000000"/>
          <w:spacing w:val="4"/>
          <w:shd w:val="clear" w:color="auto" w:fill="FFFFFF"/>
          <w:lang w:val="es-ES_tradnl" w:eastAsia="es-ES_tradnl"/>
        </w:rPr>
        <w:t xml:space="preserve"> </w:t>
      </w:r>
      <w:r w:rsidRPr="00A3599E">
        <w:rPr>
          <w:rFonts w:ascii="Palatino Linotype" w:hAnsi="Palatino Linotype"/>
          <w:color w:val="000000"/>
          <w:lang w:val="es-ES_tradnl" w:eastAsia="es-ES_tradnl"/>
        </w:rPr>
        <w:t>existencia</w:t>
      </w:r>
      <w:r w:rsidRPr="00A3599E">
        <w:rPr>
          <w:rFonts w:ascii="Palatino Linotype" w:eastAsia="Arial Unicode MS" w:hAnsi="Palatino Linotype" w:cs="Arial Unicode MS"/>
          <w:color w:val="000000"/>
          <w:spacing w:val="4"/>
          <w:shd w:val="clear" w:color="auto" w:fill="FFFFFF"/>
          <w:lang w:val="es-ES_tradnl" w:eastAsia="es-ES_tradnl"/>
        </w:rPr>
        <w:t xml:space="preserve"> </w:t>
      </w:r>
      <w:r w:rsidRPr="00A3599E">
        <w:rPr>
          <w:rFonts w:ascii="Palatino Linotype" w:hAnsi="Palatino Linotype"/>
          <w:color w:val="000000"/>
          <w:lang w:val="es-ES_tradnl" w:eastAsia="es-ES_tradnl"/>
        </w:rPr>
        <w:t>objetiva”,</w:t>
      </w:r>
      <w:r w:rsidRPr="00A3599E">
        <w:rPr>
          <w:rFonts w:ascii="Palatino Linotype" w:hAnsi="Palatino Linotype"/>
          <w:color w:val="000000"/>
          <w:vertAlign w:val="superscript"/>
          <w:lang w:val="es-ES_tradnl" w:eastAsia="es-ES_tradnl"/>
        </w:rPr>
        <w:footnoteReference w:id="17"/>
      </w:r>
      <w:r w:rsidRPr="00A3599E">
        <w:rPr>
          <w:rFonts w:ascii="Palatino Linotype" w:hAnsi="Palatino Linotype"/>
          <w:color w:val="000000"/>
          <w:lang w:val="es-ES_tradnl" w:eastAsia="es-ES_tradnl"/>
        </w:rPr>
        <w:t xml:space="preserve"> </w:t>
      </w:r>
      <w:r w:rsidRPr="00A3599E">
        <w:rPr>
          <w:rFonts w:ascii="Palatino Linotype" w:eastAsia="Arial Unicode MS" w:hAnsi="Palatino Linotype" w:cs="Arial Unicode MS"/>
          <w:color w:val="000000"/>
          <w:spacing w:val="4"/>
          <w:shd w:val="clear" w:color="auto" w:fill="FFFFFF"/>
          <w:lang w:val="es-ES_tradnl" w:eastAsia="es-ES_tradnl"/>
        </w:rPr>
        <w:t>mientras que lo demostrables es, según la misma fuente, aquello que se puede demostrar,</w:t>
      </w:r>
      <w:r w:rsidRPr="00A3599E">
        <w:rPr>
          <w:rFonts w:ascii="Palatino Linotype" w:eastAsia="Arial Unicode MS" w:hAnsi="Palatino Linotype" w:cs="Arial Unicode MS"/>
          <w:color w:val="000000"/>
          <w:spacing w:val="4"/>
          <w:shd w:val="clear" w:color="auto" w:fill="FFFFFF"/>
          <w:vertAlign w:val="superscript"/>
          <w:lang w:val="es-ES_tradnl" w:eastAsia="es-ES_tradnl"/>
        </w:rPr>
        <w:footnoteReference w:id="18"/>
      </w:r>
      <w:r w:rsidRPr="00A3599E">
        <w:rPr>
          <w:rFonts w:ascii="Palatino Linotype" w:eastAsia="Arial Unicode MS" w:hAnsi="Palatino Linotype" w:cs="Arial Unicode MS"/>
          <w:color w:val="000000"/>
          <w:spacing w:val="4"/>
          <w:shd w:val="clear" w:color="auto" w:fill="FFFFFF"/>
          <w:lang w:val="es-ES_tradnl" w:eastAsia="es-ES_tradnl"/>
        </w:rPr>
        <w:t xml:space="preserve"> es decir, </w:t>
      </w:r>
      <w:r w:rsidRPr="00A3599E">
        <w:rPr>
          <w:rFonts w:ascii="Palatino Linotype" w:eastAsia="Calibri" w:hAnsi="Palatino Linotype"/>
          <w:color w:val="000000"/>
          <w:lang w:eastAsia="en-US"/>
        </w:rPr>
        <w:t xml:space="preserve">“(manifestar, declarar. Probar, sirviéndose de cualquier género de demostración, </w:t>
      </w:r>
      <w:hyperlink r:id="rId8" w:anchor="6nAyKjE" w:history="1">
        <w:r w:rsidRPr="00A3599E">
          <w:rPr>
            <w:rFonts w:ascii="Palatino Linotype" w:eastAsia="Calibri" w:hAnsi="Palatino Linotype"/>
            <w:color w:val="000000"/>
            <w:lang w:eastAsia="en-US"/>
          </w:rPr>
          <w:t>enseñar</w:t>
        </w:r>
      </w:hyperlink>
      <w:r w:rsidRPr="00A3599E">
        <w:rPr>
          <w:rFonts w:ascii="Palatino Linotype" w:eastAsia="Calibri" w:hAnsi="Palatino Linotype"/>
          <w:color w:val="000000"/>
          <w:lang w:eastAsia="en-US"/>
        </w:rPr>
        <w:t xml:space="preserve"> mostrar o exponer algo)”.</w:t>
      </w:r>
      <w:r w:rsidRPr="00A3599E">
        <w:rPr>
          <w:rFonts w:ascii="Palatino Linotype" w:eastAsia="Calibri" w:hAnsi="Palatino Linotype"/>
          <w:color w:val="000000"/>
          <w:vertAlign w:val="superscript"/>
          <w:lang w:eastAsia="en-US"/>
        </w:rPr>
        <w:footnoteReference w:id="19"/>
      </w:r>
      <w:r w:rsidRPr="00A3599E">
        <w:rPr>
          <w:rFonts w:ascii="Palatino Linotype" w:eastAsia="Calibri" w:hAnsi="Palatino Linotype"/>
          <w:color w:val="000000"/>
          <w:lang w:eastAsia="en-US"/>
        </w:rPr>
        <w:t xml:space="preserve"> Mientras que lo identificable es lo que puede ser identificado,</w:t>
      </w:r>
      <w:r w:rsidRPr="00A3599E">
        <w:rPr>
          <w:rFonts w:ascii="Palatino Linotype" w:eastAsia="Calibri" w:hAnsi="Palatino Linotype"/>
          <w:color w:val="000000"/>
          <w:vertAlign w:val="superscript"/>
          <w:lang w:eastAsia="en-US"/>
        </w:rPr>
        <w:footnoteReference w:id="20"/>
      </w:r>
      <w:r w:rsidRPr="00A3599E">
        <w:rPr>
          <w:rFonts w:ascii="Palatino Linotype" w:eastAsia="Calibri" w:hAnsi="Palatino Linotype"/>
          <w:color w:val="000000"/>
          <w:lang w:eastAsia="en-US"/>
        </w:rPr>
        <w:t xml:space="preserve"> esto es,</w:t>
      </w:r>
      <w:r w:rsidRPr="00A3599E">
        <w:rPr>
          <w:rFonts w:ascii="Palatino Linotype" w:eastAsia="Calibri" w:hAnsi="Palatino Linotype"/>
          <w:color w:val="000000"/>
          <w:lang w:val="es-ES_tradnl" w:eastAsia="es-ES_tradnl"/>
        </w:rPr>
        <w:t xml:space="preserve"> “(dar los datos necesarios para ser reconocido”.</w:t>
      </w:r>
      <w:r w:rsidRPr="00A3599E">
        <w:rPr>
          <w:rFonts w:ascii="Palatino Linotype" w:eastAsia="Calibri" w:hAnsi="Palatino Linotype"/>
          <w:color w:val="000000"/>
          <w:vertAlign w:val="superscript"/>
          <w:lang w:val="es-ES_tradnl" w:eastAsia="es-ES_tradnl"/>
        </w:rPr>
        <w:footnoteReference w:id="21"/>
      </w:r>
    </w:p>
    <w:p w14:paraId="09D6F368"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 xml:space="preserve">Por lo que entonces, el primer supuesto de la prueba de daño consiste en acreditar que la entrega de la información provoca tres aspectos concurrentes: 1) la contingencia </w:t>
      </w:r>
      <w:r w:rsidRPr="00A3599E">
        <w:rPr>
          <w:rFonts w:ascii="Palatino Linotype" w:hAnsi="Palatino Linotype"/>
          <w:color w:val="000000"/>
          <w:lang w:val="es-ES_tradnl"/>
        </w:rPr>
        <w:lastRenderedPageBreak/>
        <w:t>o proximidad de un daño, un perjuicio o lesión que tiene existencia objetiva, que se puede manifestar, declarar o probar mediante cualquier género de demostración a partir de proporcionar datos necesarios para reconocer el daño, perjuicio o lesión que provocaría a un interés público o a la seguridad pública.</w:t>
      </w:r>
    </w:p>
    <w:p w14:paraId="1644A59D"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olor w:val="000000"/>
          <w:lang w:val="es-ES_tradnl"/>
        </w:rPr>
      </w:pPr>
    </w:p>
    <w:p w14:paraId="629240CA"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 xml:space="preserve">Identificado ese riesgo, se debe demostrar que el mismo supera el interés público general porque se difunda dicha información. </w:t>
      </w:r>
    </w:p>
    <w:p w14:paraId="1FCC6D89"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olor w:val="000000"/>
          <w:lang w:val="es-ES_tradnl"/>
        </w:rPr>
      </w:pPr>
    </w:p>
    <w:p w14:paraId="1EA866BF" w14:textId="3C08724B"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Y, por último,  que la limitación es acorde con el principio de proporcionalidad, para ello, se sugiere emplear los tres juicios propuestos por la Corte Constitucional Colombiana</w:t>
      </w:r>
      <w:r w:rsidRPr="00A3599E">
        <w:rPr>
          <w:rFonts w:ascii="Palatino Linotype" w:hAnsi="Palatino Linotype"/>
          <w:color w:val="000000"/>
          <w:vertAlign w:val="superscript"/>
          <w:lang w:val="es-ES_tradnl"/>
        </w:rPr>
        <w:footnoteReference w:id="22"/>
      </w:r>
      <w:r w:rsidRPr="00A3599E">
        <w:rPr>
          <w:rFonts w:ascii="Palatino Linotype" w:hAnsi="Palatino Linotype"/>
          <w:color w:val="000000"/>
          <w:lang w:val="es-ES_tradnl"/>
        </w:rPr>
        <w:t>, siguiendo el principio de ponderación propuesto por el Tribunal Constitucional Alemán,</w:t>
      </w:r>
      <w:r w:rsidRPr="00A3599E">
        <w:rPr>
          <w:rFonts w:ascii="Palatino Linotype" w:hAnsi="Palatino Linotype"/>
          <w:color w:val="000000"/>
          <w:vertAlign w:val="superscript"/>
          <w:lang w:val="es-ES_tradnl"/>
        </w:rPr>
        <w:footnoteReference w:id="23"/>
      </w:r>
      <w:r w:rsidRPr="00A3599E">
        <w:rPr>
          <w:rFonts w:ascii="Palatino Linotype" w:hAnsi="Palatino Linotype"/>
          <w:color w:val="000000"/>
          <w:lang w:val="es-ES_tradnl"/>
        </w:rPr>
        <w:t xml:space="preserve"> el juicio de idoneidad, que la medida adoptada sea la idónea </w:t>
      </w:r>
      <w:r w:rsidRPr="00A3599E">
        <w:rPr>
          <w:rFonts w:ascii="Palatino Linotype" w:hAnsi="Palatino Linotype"/>
          <w:color w:val="000000"/>
          <w:lang w:val="es-ES_tradnl"/>
        </w:rPr>
        <w:lastRenderedPageBreak/>
        <w:t>para el ejercicio del derecho; de necesidad, que sea necearía para que el derecho que prevalece se ejerza y el de estricta proporcionalidad esto es, que el derecho que prevalezca sea en la dimensión estrictamente proporcional al derecho que retrocede.</w:t>
      </w:r>
    </w:p>
    <w:p w14:paraId="3D7A7672" w14:textId="0D54769B" w:rsidR="00191180" w:rsidRPr="00A3599E" w:rsidRDefault="00350E91" w:rsidP="006F7BEF">
      <w:pPr>
        <w:pStyle w:val="Ttulo1"/>
        <w:spacing w:line="360" w:lineRule="auto"/>
        <w:rPr>
          <w:rFonts w:ascii="Palatino Linotype" w:hAnsi="Palatino Linotype"/>
          <w:b/>
          <w:sz w:val="24"/>
          <w:szCs w:val="24"/>
          <w:lang w:eastAsia="en-US"/>
        </w:rPr>
      </w:pPr>
      <w:bookmarkStart w:id="146" w:name="_Toc485631709"/>
      <w:bookmarkStart w:id="147" w:name="_Toc500756719"/>
      <w:bookmarkStart w:id="148" w:name="_Toc536691787"/>
      <w:bookmarkStart w:id="149" w:name="_Toc103178800"/>
      <w:r w:rsidRPr="00A3599E">
        <w:rPr>
          <w:rFonts w:ascii="Palatino Linotype" w:hAnsi="Palatino Linotype"/>
          <w:b/>
          <w:color w:val="000000" w:themeColor="text1"/>
          <w:sz w:val="24"/>
          <w:szCs w:val="24"/>
          <w:lang w:eastAsia="en-US"/>
        </w:rPr>
        <w:t>c</w:t>
      </w:r>
      <w:r w:rsidR="00191180" w:rsidRPr="00A3599E">
        <w:rPr>
          <w:rFonts w:ascii="Palatino Linotype" w:hAnsi="Palatino Linotype"/>
          <w:b/>
          <w:color w:val="000000" w:themeColor="text1"/>
          <w:sz w:val="24"/>
          <w:szCs w:val="24"/>
          <w:lang w:eastAsia="en-US"/>
        </w:rPr>
        <w:t>) La clasificación de la información reservada debe ser de manera temporal.</w:t>
      </w:r>
      <w:bookmarkEnd w:id="146"/>
      <w:bookmarkEnd w:id="147"/>
      <w:bookmarkEnd w:id="148"/>
      <w:bookmarkEnd w:id="149"/>
    </w:p>
    <w:p w14:paraId="1E1EB637" w14:textId="77777777" w:rsidR="00191180" w:rsidRPr="00A3599E" w:rsidRDefault="00191180" w:rsidP="006F7BEF">
      <w:pPr>
        <w:suppressAutoHyphens w:val="0"/>
        <w:spacing w:line="360" w:lineRule="auto"/>
        <w:jc w:val="both"/>
        <w:rPr>
          <w:rFonts w:ascii="Palatino Linotype" w:hAnsi="Palatino Linotype"/>
          <w:b/>
          <w:color w:val="000000"/>
          <w:lang w:val="es-ES_tradnl"/>
        </w:rPr>
      </w:pPr>
    </w:p>
    <w:p w14:paraId="1B412005"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La información que ha sido clasificada como reservada, tiene la cualidad de que esta debe ser de carácter temporal, es decir, no debe perpetuarse o petrificarse su clasificación y que esto traiga como consecuencia el no acceso a la misma y por tanto pierda en definitiva su calidad de pública.</w:t>
      </w:r>
    </w:p>
    <w:p w14:paraId="2C761099" w14:textId="77777777" w:rsidR="00191180" w:rsidRPr="00A3599E" w:rsidRDefault="00191180" w:rsidP="006F7BEF">
      <w:pPr>
        <w:tabs>
          <w:tab w:val="left" w:pos="426"/>
        </w:tabs>
        <w:suppressAutoHyphens w:val="0"/>
        <w:spacing w:line="360" w:lineRule="auto"/>
        <w:contextualSpacing/>
        <w:jc w:val="both"/>
        <w:rPr>
          <w:rFonts w:ascii="Palatino Linotype" w:hAnsi="Palatino Linotype"/>
          <w:color w:val="000000"/>
          <w:lang w:val="es-ES_tradnl"/>
        </w:rPr>
      </w:pPr>
    </w:p>
    <w:p w14:paraId="48677A93"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 xml:space="preserve">La temporalidad de la clasificación de la información se encuentra señalada en el artículo 125 de la Ley Estatal y en el 101 de la Ley General, artículos que contemplan que dicha información podrá permanecer con tal carácter hasta por un periodo de cinco años, contados a partir de su clasificación, salvo que antes del cumplimiento del periodo de restricción, dejaran de existir los motivos de su reserva. </w:t>
      </w:r>
    </w:p>
    <w:p w14:paraId="44D62DB2" w14:textId="77777777" w:rsidR="00191180" w:rsidRPr="00A3599E" w:rsidRDefault="00191180" w:rsidP="006F7BEF">
      <w:pPr>
        <w:tabs>
          <w:tab w:val="left" w:pos="426"/>
        </w:tabs>
        <w:suppressAutoHyphens w:val="0"/>
        <w:spacing w:line="360" w:lineRule="auto"/>
        <w:contextualSpacing/>
        <w:rPr>
          <w:rFonts w:ascii="Palatino Linotype" w:hAnsi="Palatino Linotype"/>
          <w:color w:val="000000"/>
          <w:lang w:val="es-ES_tradnl"/>
        </w:rPr>
      </w:pPr>
    </w:p>
    <w:p w14:paraId="67A3ECC3"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Ahora bien, los titulares de las áreas tienen la alta responsabilidad de determinar que el plazo de reserva sea el estrictamente necesario para proteger la información mientras subsistan las causas que dieron origen a la clasificación, salvaguardando el interés público protegido y tomarán en cuenta las razones que justifican el periodo de reserva establecido.</w:t>
      </w:r>
    </w:p>
    <w:p w14:paraId="16BEF2A6" w14:textId="77777777" w:rsidR="00191180" w:rsidRPr="00A3599E" w:rsidRDefault="00191180" w:rsidP="006F7BEF">
      <w:pPr>
        <w:tabs>
          <w:tab w:val="left" w:pos="426"/>
        </w:tabs>
        <w:suppressAutoHyphens w:val="0"/>
        <w:spacing w:line="360" w:lineRule="auto"/>
        <w:contextualSpacing/>
        <w:rPr>
          <w:rFonts w:ascii="Palatino Linotype" w:hAnsi="Palatino Linotype"/>
          <w:b/>
          <w:color w:val="000000"/>
          <w:lang w:val="es-ES_tradnl"/>
        </w:rPr>
      </w:pPr>
    </w:p>
    <w:p w14:paraId="366F7CCF"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lastRenderedPageBreak/>
        <w:t>De</w:t>
      </w:r>
      <w:r w:rsidRPr="00A3599E">
        <w:rPr>
          <w:rFonts w:ascii="Palatino Linotype" w:hAnsi="Palatino Linotype"/>
          <w:b/>
          <w:color w:val="000000"/>
          <w:lang w:val="es-ES_tradnl"/>
        </w:rPr>
        <w:t xml:space="preserve"> </w:t>
      </w:r>
      <w:r w:rsidRPr="00A3599E">
        <w:rPr>
          <w:rFonts w:ascii="Palatino Linotype" w:hAnsi="Palatino Linotype"/>
          <w:color w:val="000000"/>
          <w:lang w:val="es-ES_tradnl"/>
        </w:rPr>
        <w:t xml:space="preserve">manera excepcional los sujetos obligados con la aprobación de su Comité de Transparencia, podrán ampliar el periodo de reserva hasta por un plazo de cinco años adicionales y por una sola vez, siempre y cuando justifiquen que subsisten las causas que dieron origen a su clasificación, mediante la aplicación de una prueba de daño. </w:t>
      </w:r>
    </w:p>
    <w:p w14:paraId="6E13D502" w14:textId="77777777" w:rsidR="00191180" w:rsidRPr="00A3599E" w:rsidRDefault="00191180" w:rsidP="006F7BEF">
      <w:pPr>
        <w:tabs>
          <w:tab w:val="left" w:pos="426"/>
        </w:tabs>
        <w:suppressAutoHyphens w:val="0"/>
        <w:spacing w:line="360" w:lineRule="auto"/>
        <w:contextualSpacing/>
        <w:rPr>
          <w:rFonts w:ascii="Palatino Linotype" w:hAnsi="Palatino Linotype"/>
          <w:color w:val="000000"/>
          <w:lang w:val="es-ES_tradnl"/>
        </w:rPr>
      </w:pPr>
    </w:p>
    <w:p w14:paraId="09DF9655" w14:textId="77777777" w:rsidR="00191180" w:rsidRPr="00A3599E" w:rsidRDefault="00191180" w:rsidP="006F7BEF">
      <w:pPr>
        <w:numPr>
          <w:ilvl w:val="0"/>
          <w:numId w:val="9"/>
        </w:numPr>
        <w:tabs>
          <w:tab w:val="left" w:pos="426"/>
        </w:tabs>
        <w:suppressAutoHyphens w:val="0"/>
        <w:spacing w:after="160" w:line="360" w:lineRule="auto"/>
        <w:ind w:left="0" w:firstLine="0"/>
        <w:contextualSpacing/>
        <w:jc w:val="both"/>
        <w:rPr>
          <w:rFonts w:ascii="Palatino Linotype" w:hAnsi="Palatino Linotype"/>
          <w:color w:val="000000"/>
          <w:lang w:val="es-ES_tradnl"/>
        </w:rPr>
      </w:pPr>
      <w:r w:rsidRPr="00A3599E">
        <w:rPr>
          <w:rFonts w:ascii="Palatino Linotype" w:hAnsi="Palatino Linotype"/>
          <w:color w:val="000000"/>
          <w:lang w:val="es-ES_tradnl"/>
        </w:rPr>
        <w:t>Cuando expiren los plazos de clasificación o se trate de información cuya publicación pueda ocasionar la destrucción o inhabilitación de la infraestructura de carácter estratégico para la provisión de bienes o servicios públicos, que a juicio de un Sujeto Obligado sea necesario ampliar nuevamente el periodo de reserva de la información, el Comité de Transparencia respectivo deberá hacer la solicitud correspondiente al Instituto, debidamente fundada y motivada, aplicando la prueba de daño y señalando el plazo de reserva, por lo menos con tres meses de anticipación al vencimiento del periodo.</w:t>
      </w:r>
    </w:p>
    <w:p w14:paraId="6196DDDE" w14:textId="77777777" w:rsidR="00191180" w:rsidRPr="00A3599E" w:rsidRDefault="00191180" w:rsidP="006F7BEF">
      <w:pPr>
        <w:suppressAutoHyphens w:val="0"/>
        <w:spacing w:line="360" w:lineRule="auto"/>
        <w:jc w:val="both"/>
        <w:rPr>
          <w:rFonts w:ascii="Palatino Linotype" w:hAnsi="Palatino Linotype" w:cs="Arial"/>
          <w:b/>
          <w:color w:val="000000"/>
          <w:lang w:val="es-ES_tradnl"/>
        </w:rPr>
      </w:pPr>
    </w:p>
    <w:p w14:paraId="753C79AD" w14:textId="77777777" w:rsidR="003A6731" w:rsidRPr="00A3599E" w:rsidRDefault="00191180" w:rsidP="006F7BEF">
      <w:pPr>
        <w:keepNext/>
        <w:keepLines/>
        <w:numPr>
          <w:ilvl w:val="0"/>
          <w:numId w:val="14"/>
        </w:numPr>
        <w:pBdr>
          <w:top w:val="nil"/>
          <w:left w:val="nil"/>
          <w:bottom w:val="nil"/>
          <w:right w:val="nil"/>
          <w:between w:val="nil"/>
          <w:bar w:val="nil"/>
        </w:pBdr>
        <w:suppressAutoHyphens w:val="0"/>
        <w:spacing w:before="40" w:after="160" w:line="360" w:lineRule="auto"/>
        <w:ind w:left="426" w:hanging="426"/>
        <w:contextualSpacing/>
        <w:jc w:val="both"/>
        <w:outlineLvl w:val="1"/>
        <w:rPr>
          <w:rFonts w:ascii="Palatino Linotype" w:hAnsi="Palatino Linotype"/>
          <w:b/>
          <w:color w:val="000000"/>
          <w:lang w:eastAsia="en-US"/>
        </w:rPr>
      </w:pPr>
      <w:bookmarkStart w:id="150" w:name="_Toc485631710"/>
      <w:bookmarkStart w:id="151" w:name="_Toc500756720"/>
      <w:bookmarkStart w:id="152" w:name="_Toc536691788"/>
      <w:bookmarkStart w:id="153" w:name="_Toc103178801"/>
      <w:r w:rsidRPr="00A3599E">
        <w:rPr>
          <w:rFonts w:ascii="Palatino Linotype" w:hAnsi="Palatino Linotype"/>
          <w:b/>
          <w:color w:val="000000"/>
          <w:lang w:eastAsia="en-US"/>
        </w:rPr>
        <w:t>Condiciones especiales de la clasificación de la información como confidencial.</w:t>
      </w:r>
      <w:bookmarkEnd w:id="150"/>
      <w:bookmarkEnd w:id="151"/>
      <w:bookmarkEnd w:id="152"/>
      <w:bookmarkEnd w:id="153"/>
    </w:p>
    <w:p w14:paraId="39B6EA7E" w14:textId="2C14E307" w:rsidR="00765427" w:rsidRPr="00A3599E" w:rsidRDefault="002E43DF" w:rsidP="006F7BEF">
      <w:pPr>
        <w:keepNext/>
        <w:keepLines/>
        <w:pBdr>
          <w:top w:val="nil"/>
          <w:left w:val="nil"/>
          <w:bottom w:val="nil"/>
          <w:right w:val="nil"/>
          <w:between w:val="nil"/>
          <w:bar w:val="nil"/>
        </w:pBdr>
        <w:suppressAutoHyphens w:val="0"/>
        <w:spacing w:before="40" w:after="160" w:line="360" w:lineRule="auto"/>
        <w:ind w:left="426"/>
        <w:contextualSpacing/>
        <w:jc w:val="both"/>
        <w:outlineLvl w:val="1"/>
        <w:rPr>
          <w:rFonts w:ascii="Palatino Linotype" w:hAnsi="Palatino Linotype"/>
          <w:b/>
          <w:color w:val="000000"/>
          <w:lang w:eastAsia="en-US"/>
        </w:rPr>
      </w:pPr>
      <w:r w:rsidRPr="00A3599E">
        <w:rPr>
          <w:rFonts w:ascii="Palatino Linotype" w:hAnsi="Palatino Linotype"/>
          <w:b/>
          <w:color w:val="000000"/>
        </w:rPr>
        <w:t xml:space="preserve"> </w:t>
      </w:r>
    </w:p>
    <w:p w14:paraId="3BB0E161" w14:textId="77777777" w:rsidR="00191180" w:rsidRPr="00A3599E" w:rsidRDefault="00191180" w:rsidP="006F7BEF">
      <w:pPr>
        <w:numPr>
          <w:ilvl w:val="0"/>
          <w:numId w:val="9"/>
        </w:numPr>
        <w:shd w:val="clear" w:color="auto" w:fill="FFFFFF"/>
        <w:tabs>
          <w:tab w:val="left" w:pos="426"/>
        </w:tabs>
        <w:suppressAutoHyphens w:val="0"/>
        <w:spacing w:beforeAutospacing="1" w:after="160" w:afterAutospacing="1" w:line="360" w:lineRule="auto"/>
        <w:ind w:left="0" w:firstLine="0"/>
        <w:jc w:val="both"/>
        <w:textAlignment w:val="baseline"/>
        <w:rPr>
          <w:rFonts w:ascii="Palatino Linotype" w:eastAsia="Calibri" w:hAnsi="Palatino Linotype"/>
          <w:color w:val="000000"/>
          <w:lang w:eastAsia="en-US"/>
        </w:rPr>
      </w:pPr>
      <w:r w:rsidRPr="00A3599E">
        <w:rPr>
          <w:rFonts w:ascii="Palatino Linotype" w:eastAsia="Calibri" w:hAnsi="Palatino Linotype"/>
          <w:color w:val="000000"/>
          <w:lang w:eastAsia="en-US"/>
        </w:rPr>
        <w:t xml:space="preserve">Los artículos 148 y 120 de la Ley Estatal y de la Ley General, respectivamente, establecen que aun tratándose de datos personales, se podrán proporcionar, incluso sin solicitar el consentimiento de su titular, cuando dichos datos correspondan a los siguientes supuestos: </w:t>
      </w:r>
    </w:p>
    <w:p w14:paraId="0BC30ED9" w14:textId="77777777" w:rsidR="00191180" w:rsidRPr="00A3599E" w:rsidRDefault="00191180" w:rsidP="006F7BEF">
      <w:pPr>
        <w:suppressAutoHyphens w:val="0"/>
        <w:spacing w:line="360" w:lineRule="auto"/>
        <w:ind w:left="567" w:right="567"/>
        <w:jc w:val="both"/>
        <w:rPr>
          <w:rFonts w:ascii="Palatino Linotype" w:hAnsi="Palatino Linotype"/>
          <w:bCs/>
          <w:i/>
          <w:iCs/>
          <w:color w:val="000000"/>
          <w:lang w:val="es-ES"/>
        </w:rPr>
      </w:pPr>
      <w:r w:rsidRPr="00A3599E">
        <w:rPr>
          <w:rFonts w:ascii="Palatino Linotype" w:hAnsi="Palatino Linotype"/>
          <w:bCs/>
          <w:i/>
          <w:iCs/>
          <w:color w:val="000000"/>
          <w:lang w:val="es-ES"/>
        </w:rPr>
        <w:t>“</w:t>
      </w:r>
      <w:r w:rsidRPr="00A3599E">
        <w:rPr>
          <w:rFonts w:ascii="Palatino Linotype" w:hAnsi="Palatino Linotype"/>
          <w:b/>
          <w:i/>
          <w:iCs/>
          <w:color w:val="000000"/>
          <w:lang w:val="es-ES"/>
        </w:rPr>
        <w:t>I.</w:t>
      </w:r>
      <w:r w:rsidRPr="00A3599E">
        <w:rPr>
          <w:rFonts w:ascii="Palatino Linotype" w:hAnsi="Palatino Linotype"/>
          <w:i/>
          <w:iCs/>
          <w:color w:val="000000"/>
          <w:lang w:val="es-ES"/>
        </w:rPr>
        <w:t xml:space="preserve"> La información se encuentre en registros públicos o fuentes de acceso público;</w:t>
      </w:r>
    </w:p>
    <w:p w14:paraId="551D4EAE" w14:textId="77777777" w:rsidR="00191180" w:rsidRPr="00A3599E" w:rsidRDefault="00191180" w:rsidP="006F7BEF">
      <w:pPr>
        <w:suppressAutoHyphens w:val="0"/>
        <w:spacing w:line="360" w:lineRule="auto"/>
        <w:ind w:left="567" w:right="567"/>
        <w:jc w:val="both"/>
        <w:rPr>
          <w:rFonts w:ascii="Palatino Linotype" w:hAnsi="Palatino Linotype"/>
          <w:bCs/>
          <w:i/>
          <w:iCs/>
          <w:color w:val="000000"/>
          <w:lang w:val="es-ES"/>
        </w:rPr>
      </w:pPr>
      <w:r w:rsidRPr="00A3599E">
        <w:rPr>
          <w:rFonts w:ascii="Palatino Linotype" w:hAnsi="Palatino Linotype"/>
          <w:b/>
          <w:i/>
          <w:iCs/>
          <w:color w:val="000000"/>
          <w:lang w:val="es-ES"/>
        </w:rPr>
        <w:t>II.</w:t>
      </w:r>
      <w:r w:rsidRPr="00A3599E">
        <w:rPr>
          <w:rFonts w:ascii="Palatino Linotype" w:hAnsi="Palatino Linotype"/>
          <w:bCs/>
          <w:i/>
          <w:iCs/>
          <w:color w:val="000000"/>
          <w:lang w:val="es-ES"/>
        </w:rPr>
        <w:t xml:space="preserve"> </w:t>
      </w:r>
      <w:r w:rsidRPr="00A3599E">
        <w:rPr>
          <w:rFonts w:ascii="Palatino Linotype" w:hAnsi="Palatino Linotype"/>
          <w:i/>
          <w:iCs/>
          <w:color w:val="000000"/>
          <w:lang w:val="es-ES"/>
        </w:rPr>
        <w:t>Por Ley tenga el carácter de pública;</w:t>
      </w:r>
    </w:p>
    <w:p w14:paraId="60605DB9" w14:textId="77777777" w:rsidR="00191180" w:rsidRPr="00A3599E" w:rsidRDefault="00191180" w:rsidP="006F7BEF">
      <w:pPr>
        <w:suppressAutoHyphens w:val="0"/>
        <w:spacing w:line="360" w:lineRule="auto"/>
        <w:ind w:left="567" w:right="567"/>
        <w:jc w:val="both"/>
        <w:rPr>
          <w:rFonts w:ascii="Palatino Linotype" w:hAnsi="Palatino Linotype"/>
          <w:i/>
          <w:iCs/>
          <w:color w:val="000000"/>
          <w:lang w:val="es-ES"/>
        </w:rPr>
      </w:pPr>
      <w:r w:rsidRPr="00A3599E">
        <w:rPr>
          <w:rFonts w:ascii="Palatino Linotype" w:hAnsi="Palatino Linotype"/>
          <w:b/>
          <w:i/>
          <w:iCs/>
          <w:color w:val="000000"/>
          <w:lang w:val="es-ES"/>
        </w:rPr>
        <w:t>III.</w:t>
      </w:r>
      <w:r w:rsidRPr="00A3599E">
        <w:rPr>
          <w:rFonts w:ascii="Palatino Linotype" w:hAnsi="Palatino Linotype"/>
          <w:bCs/>
          <w:i/>
          <w:iCs/>
          <w:color w:val="000000"/>
          <w:lang w:val="es-ES"/>
        </w:rPr>
        <w:t xml:space="preserve"> </w:t>
      </w:r>
      <w:r w:rsidRPr="00A3599E">
        <w:rPr>
          <w:rFonts w:ascii="Palatino Linotype" w:hAnsi="Palatino Linotype"/>
          <w:i/>
          <w:iCs/>
          <w:color w:val="000000"/>
          <w:lang w:val="es-ES"/>
        </w:rPr>
        <w:t xml:space="preserve">Exista una orden judicial; </w:t>
      </w:r>
    </w:p>
    <w:p w14:paraId="6BF86D5A" w14:textId="77777777" w:rsidR="00191180" w:rsidRPr="00A3599E" w:rsidRDefault="00191180" w:rsidP="006F7BEF">
      <w:pPr>
        <w:suppressAutoHyphens w:val="0"/>
        <w:spacing w:line="360" w:lineRule="auto"/>
        <w:ind w:left="567" w:right="567"/>
        <w:jc w:val="both"/>
        <w:rPr>
          <w:rFonts w:ascii="Palatino Linotype" w:hAnsi="Palatino Linotype"/>
          <w:i/>
          <w:iCs/>
          <w:color w:val="000000"/>
          <w:lang w:val="es-ES"/>
        </w:rPr>
      </w:pPr>
      <w:r w:rsidRPr="00A3599E">
        <w:rPr>
          <w:rFonts w:ascii="Palatino Linotype" w:hAnsi="Palatino Linotype"/>
          <w:b/>
          <w:i/>
          <w:iCs/>
          <w:color w:val="000000"/>
          <w:lang w:val="es-ES"/>
        </w:rPr>
        <w:lastRenderedPageBreak/>
        <w:t>IV.</w:t>
      </w:r>
      <w:r w:rsidRPr="00A3599E">
        <w:rPr>
          <w:rFonts w:ascii="Palatino Linotype" w:hAnsi="Palatino Linotype"/>
          <w:bCs/>
          <w:i/>
          <w:iCs/>
          <w:color w:val="000000"/>
          <w:lang w:val="es-ES"/>
        </w:rPr>
        <w:t xml:space="preserve"> </w:t>
      </w:r>
      <w:r w:rsidRPr="00A3599E">
        <w:rPr>
          <w:rFonts w:ascii="Palatino Linotype" w:hAnsi="Palatino Linotype"/>
          <w:i/>
          <w:iCs/>
          <w:color w:val="000000"/>
          <w:lang w:val="es-ES"/>
        </w:rPr>
        <w:t xml:space="preserve">Por razones de seguridad pública, o para proteger los derechos de terceros, se requiera su publicación; o </w:t>
      </w:r>
    </w:p>
    <w:p w14:paraId="34880C28" w14:textId="77777777" w:rsidR="00191180" w:rsidRPr="00A3599E" w:rsidRDefault="00191180" w:rsidP="006F7BEF">
      <w:pPr>
        <w:suppressAutoHyphens w:val="0"/>
        <w:spacing w:line="360" w:lineRule="auto"/>
        <w:ind w:left="567" w:right="567"/>
        <w:jc w:val="both"/>
        <w:rPr>
          <w:rFonts w:ascii="Palatino Linotype" w:hAnsi="Palatino Linotype"/>
          <w:i/>
          <w:iCs/>
          <w:color w:val="000000"/>
          <w:lang w:val="es-ES"/>
        </w:rPr>
      </w:pPr>
      <w:r w:rsidRPr="00A3599E">
        <w:rPr>
          <w:rFonts w:ascii="Palatino Linotype" w:hAnsi="Palatino Linotype"/>
          <w:b/>
          <w:i/>
          <w:iCs/>
          <w:color w:val="000000"/>
          <w:lang w:val="es-ES"/>
        </w:rPr>
        <w:t>V.</w:t>
      </w:r>
      <w:r w:rsidRPr="00A3599E">
        <w:rPr>
          <w:rFonts w:ascii="Palatino Linotype" w:hAnsi="Palatino Linotype"/>
          <w:bCs/>
          <w:i/>
          <w:iCs/>
          <w:color w:val="000000"/>
          <w:lang w:val="es-ES"/>
        </w:rPr>
        <w:t xml:space="preserve"> </w:t>
      </w:r>
      <w:r w:rsidRPr="00A3599E">
        <w:rPr>
          <w:rFonts w:ascii="Palatino Linotype" w:hAnsi="Palatino Linotype"/>
          <w:i/>
          <w:iCs/>
          <w:color w:val="000000"/>
          <w:lang w:val="es-ES"/>
        </w:rPr>
        <w:t>Cuando se transmita entre sujetos obligados y entre éstos y los sujetos de derecho internacional, en términos de los tratados y los acuerdos interinstitucionales, siempre y cuando la información se utilice para el ejercicio de facultades propias de los mismos.”</w:t>
      </w:r>
    </w:p>
    <w:p w14:paraId="62473B1D" w14:textId="77777777" w:rsidR="00191180" w:rsidRPr="00A3599E" w:rsidRDefault="00191180" w:rsidP="006F7BEF">
      <w:pPr>
        <w:numPr>
          <w:ilvl w:val="0"/>
          <w:numId w:val="9"/>
        </w:numPr>
        <w:shd w:val="clear" w:color="auto" w:fill="FFFFFF"/>
        <w:suppressAutoHyphens w:val="0"/>
        <w:spacing w:beforeAutospacing="1" w:after="160" w:afterAutospacing="1" w:line="360" w:lineRule="auto"/>
        <w:ind w:left="0" w:firstLine="0"/>
        <w:jc w:val="both"/>
        <w:textAlignment w:val="baseline"/>
        <w:rPr>
          <w:rFonts w:ascii="Palatino Linotype" w:eastAsia="Calibri" w:hAnsi="Palatino Linotype"/>
          <w:color w:val="000000"/>
          <w:lang w:val="es-ES_tradnl" w:eastAsia="es-ES_tradnl"/>
        </w:rPr>
      </w:pPr>
      <w:r w:rsidRPr="00A3599E">
        <w:rPr>
          <w:rFonts w:ascii="Palatino Linotype" w:eastAsia="Calibri" w:hAnsi="Palatino Linotype"/>
          <w:color w:val="000000"/>
          <w:lang w:eastAsia="en-US"/>
        </w:rPr>
        <w:t>En</w:t>
      </w:r>
      <w:r w:rsidRPr="00A3599E">
        <w:rPr>
          <w:rFonts w:ascii="Palatino Linotype" w:eastAsia="Calibri" w:hAnsi="Palatino Linotype"/>
          <w:color w:val="000000"/>
          <w:lang w:val="es-ES_tradnl" w:eastAsia="es-ES_tradnl"/>
        </w:rPr>
        <w:t xml:space="preserve"> el caso de lo señalado en la fracción IV, será el Instituto quien deba aplicar la prueba de interés público, considerando también que como recientemente ha discutido la Suprema Corte de Justicia de la Nación, los servidores públicos nos encontramos sujetos a un régimen menor de protección. </w:t>
      </w:r>
    </w:p>
    <w:p w14:paraId="61B3A68B" w14:textId="77777777" w:rsidR="00191180" w:rsidRPr="00A3599E" w:rsidRDefault="00191180" w:rsidP="006F7BEF">
      <w:pPr>
        <w:shd w:val="clear" w:color="auto" w:fill="FFFFFF"/>
        <w:suppressAutoHyphens w:val="0"/>
        <w:spacing w:afterAutospacing="1" w:line="360" w:lineRule="auto"/>
        <w:contextualSpacing/>
        <w:jc w:val="both"/>
        <w:textAlignment w:val="baseline"/>
        <w:rPr>
          <w:rFonts w:ascii="Palatino Linotype" w:hAnsi="Palatino Linotype"/>
          <w:color w:val="000000"/>
          <w:lang w:val="es-ES_tradnl"/>
        </w:rPr>
      </w:pPr>
    </w:p>
    <w:p w14:paraId="440908A0" w14:textId="77777777" w:rsidR="00191180" w:rsidRPr="00A3599E" w:rsidRDefault="00191180" w:rsidP="006F7BEF">
      <w:pPr>
        <w:numPr>
          <w:ilvl w:val="0"/>
          <w:numId w:val="9"/>
        </w:numPr>
        <w:shd w:val="clear" w:color="auto" w:fill="FFFFFF"/>
        <w:suppressAutoHyphens w:val="0"/>
        <w:spacing w:after="160" w:afterAutospacing="1" w:line="360" w:lineRule="auto"/>
        <w:ind w:left="0" w:firstLine="0"/>
        <w:contextualSpacing/>
        <w:jc w:val="both"/>
        <w:textAlignment w:val="baseline"/>
        <w:rPr>
          <w:rFonts w:ascii="Palatino Linotype" w:hAnsi="Palatino Linotype"/>
          <w:color w:val="000000"/>
          <w:lang w:val="es-ES_tradnl"/>
        </w:rPr>
      </w:pPr>
      <w:r w:rsidRPr="00A3599E">
        <w:rPr>
          <w:rFonts w:ascii="Palatino Linotype" w:eastAsia="Calibri" w:hAnsi="Palatino Linotype"/>
          <w:color w:val="000000"/>
          <w:lang w:eastAsia="en-US"/>
        </w:rPr>
        <w:t>Pero</w:t>
      </w:r>
      <w:r w:rsidRPr="00A3599E">
        <w:rPr>
          <w:rFonts w:ascii="Palatino Linotype" w:eastAsia="Calibri" w:hAnsi="Palatino Linotype"/>
          <w:color w:val="000000"/>
          <w:lang w:val="es-ES_tradnl" w:eastAsia="es-ES_tradnl"/>
        </w:rPr>
        <w:t xml:space="preserve"> si la información que se pretende clasificar como confidencial no se encuentra en los supuestos antes señalados y es posible, se deberá consultar al titular de los datos si permite o no el acceso. De no ser posible, la realización de la consulta procede, fundando y motivando la clasificación.</w:t>
      </w:r>
    </w:p>
    <w:p w14:paraId="299CABB5" w14:textId="77777777" w:rsidR="00191180" w:rsidRPr="00A3599E" w:rsidRDefault="00191180" w:rsidP="006F7BEF">
      <w:pPr>
        <w:shd w:val="clear" w:color="auto" w:fill="FFFFFF"/>
        <w:suppressAutoHyphens w:val="0"/>
        <w:spacing w:before="240" w:after="160" w:afterAutospacing="1" w:line="360" w:lineRule="auto"/>
        <w:contextualSpacing/>
        <w:jc w:val="both"/>
        <w:textAlignment w:val="baseline"/>
        <w:rPr>
          <w:rFonts w:ascii="Palatino Linotype" w:hAnsi="Palatino Linotype"/>
          <w:color w:val="000000"/>
          <w:lang w:val="es-ES_tradnl"/>
        </w:rPr>
      </w:pPr>
    </w:p>
    <w:p w14:paraId="7A740076" w14:textId="77777777" w:rsidR="00191180" w:rsidRPr="00A3599E" w:rsidRDefault="00191180" w:rsidP="006F7BEF">
      <w:pPr>
        <w:numPr>
          <w:ilvl w:val="0"/>
          <w:numId w:val="9"/>
        </w:numPr>
        <w:shd w:val="clear" w:color="auto" w:fill="FFFFFF"/>
        <w:suppressAutoHyphens w:val="0"/>
        <w:spacing w:before="240" w:after="160" w:afterAutospacing="1" w:line="360" w:lineRule="auto"/>
        <w:ind w:left="0" w:firstLine="0"/>
        <w:contextualSpacing/>
        <w:jc w:val="both"/>
        <w:textAlignment w:val="baseline"/>
        <w:rPr>
          <w:rFonts w:ascii="Palatino Linotype" w:hAnsi="Palatino Linotype"/>
          <w:color w:val="000000"/>
          <w:lang w:val="es-ES_tradnl"/>
        </w:rPr>
      </w:pPr>
      <w:r w:rsidRPr="00A3599E">
        <w:rPr>
          <w:rFonts w:ascii="Palatino Linotype" w:hAnsi="Palatino Linotype"/>
          <w:color w:val="000000"/>
          <w:lang w:val="es-ES_tradnl"/>
        </w:rPr>
        <w:t xml:space="preserve">Los elementos que brevemente se han señalado son todos los que deben de integrar el proceso de clasificación total o parcial de la información para, especialmente, responder a las solicitudes de acceso a la información pública. La falta de cualquiera de ellos puede provocar que el acto que limita o restringe el derecho de acceso a la información sea considerada infundado y se proceda a ordenar la desclasificación de la información por el incumplimiento de las formalidades, es decir, </w:t>
      </w:r>
      <w:r w:rsidRPr="00A3599E">
        <w:rPr>
          <w:rFonts w:ascii="Palatino Linotype" w:hAnsi="Palatino Linotype"/>
          <w:color w:val="000000"/>
          <w:lang w:val="es-ES_tradnl"/>
        </w:rPr>
        <w:lastRenderedPageBreak/>
        <w:t>por vicios de legalidad o a la reposición del acto.  Para tratar de ser aún más gráficos y propiciar el mejor entendimiento de esta materia, se anexa la siguiente tabla.</w:t>
      </w:r>
    </w:p>
    <w:p w14:paraId="4F42BA88" w14:textId="77777777" w:rsidR="00191180" w:rsidRPr="00A3599E" w:rsidRDefault="00191180" w:rsidP="006F7BEF">
      <w:pPr>
        <w:suppressAutoHyphens w:val="0"/>
        <w:spacing w:line="360" w:lineRule="auto"/>
        <w:rPr>
          <w:rFonts w:ascii="Palatino Linotype" w:hAnsi="Palatino Linotype"/>
          <w:color w:val="000000"/>
          <w:lang w:val="es-ES_tradnl"/>
        </w:rPr>
      </w:pPr>
    </w:p>
    <w:tbl>
      <w:tblPr>
        <w:tblStyle w:val="Tablaconcuadrcula27"/>
        <w:tblW w:w="8451" w:type="dxa"/>
        <w:tblLook w:val="04A0" w:firstRow="1" w:lastRow="0" w:firstColumn="1" w:lastColumn="0" w:noHBand="0" w:noVBand="1"/>
      </w:tblPr>
      <w:tblGrid>
        <w:gridCol w:w="2100"/>
        <w:gridCol w:w="1731"/>
        <w:gridCol w:w="2418"/>
        <w:gridCol w:w="2202"/>
      </w:tblGrid>
      <w:tr w:rsidR="00191180" w:rsidRPr="00A3599E" w14:paraId="35CD711E" w14:textId="77777777" w:rsidTr="00191180">
        <w:tc>
          <w:tcPr>
            <w:tcW w:w="2155" w:type="dxa"/>
            <w:vMerge w:val="restart"/>
            <w:shd w:val="clear" w:color="auto" w:fill="D5DCE4"/>
          </w:tcPr>
          <w:p w14:paraId="4DFAE36C"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Requisitos previos</w:t>
            </w:r>
          </w:p>
        </w:tc>
        <w:tc>
          <w:tcPr>
            <w:tcW w:w="1759" w:type="dxa"/>
          </w:tcPr>
          <w:p w14:paraId="2CF39548"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Los sujetos obligados determinan que la información actualiza alguno de los supuestos de clasificación:</w:t>
            </w:r>
          </w:p>
        </w:tc>
        <w:tc>
          <w:tcPr>
            <w:tcW w:w="2269" w:type="dxa"/>
          </w:tcPr>
          <w:p w14:paraId="17B2A5FA" w14:textId="77777777" w:rsidR="00191180" w:rsidRPr="00A3599E" w:rsidRDefault="00191180" w:rsidP="006F7BEF">
            <w:pPr>
              <w:suppressAutoHyphens w:val="0"/>
              <w:spacing w:line="360" w:lineRule="auto"/>
              <w:jc w:val="both"/>
              <w:rPr>
                <w:rFonts w:ascii="Palatino Linotype" w:hAnsi="Palatino Linotype"/>
                <w:color w:val="000000"/>
              </w:rPr>
            </w:pPr>
          </w:p>
          <w:p w14:paraId="3B9631DA" w14:textId="77777777" w:rsidR="00191180" w:rsidRPr="00A3599E" w:rsidRDefault="00191180" w:rsidP="006F7BEF">
            <w:pPr>
              <w:numPr>
                <w:ilvl w:val="0"/>
                <w:numId w:val="12"/>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t xml:space="preserve">Confidencialidad </w:t>
            </w:r>
          </w:p>
          <w:p w14:paraId="0C033D5C" w14:textId="77777777" w:rsidR="00191180" w:rsidRPr="00A3599E" w:rsidRDefault="00191180" w:rsidP="006F7BEF">
            <w:pPr>
              <w:numPr>
                <w:ilvl w:val="0"/>
                <w:numId w:val="12"/>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t>Reserva</w:t>
            </w:r>
          </w:p>
        </w:tc>
        <w:tc>
          <w:tcPr>
            <w:tcW w:w="2268" w:type="dxa"/>
          </w:tcPr>
          <w:p w14:paraId="735598A2"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6BC117BC" w14:textId="77777777" w:rsidTr="00191180">
        <w:tc>
          <w:tcPr>
            <w:tcW w:w="2155" w:type="dxa"/>
            <w:vMerge/>
            <w:shd w:val="clear" w:color="auto" w:fill="D5DCE4"/>
          </w:tcPr>
          <w:p w14:paraId="257965E4"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tcPr>
          <w:p w14:paraId="3D469513"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Los titulares de las áreas que administran la información son los que aprueban la clasificación </w:t>
            </w:r>
          </w:p>
        </w:tc>
        <w:tc>
          <w:tcPr>
            <w:tcW w:w="2269" w:type="dxa"/>
          </w:tcPr>
          <w:p w14:paraId="57D1CB0C"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8" w:type="dxa"/>
          </w:tcPr>
          <w:p w14:paraId="266780B3"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1B5CE14E" w14:textId="77777777" w:rsidTr="00191180">
        <w:tc>
          <w:tcPr>
            <w:tcW w:w="2155" w:type="dxa"/>
            <w:vMerge/>
            <w:shd w:val="clear" w:color="auto" w:fill="D5DCE4"/>
          </w:tcPr>
          <w:p w14:paraId="69B876CA"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tcPr>
          <w:p w14:paraId="64B20802"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La clasificación </w:t>
            </w:r>
            <w:r w:rsidRPr="00A3599E">
              <w:rPr>
                <w:rFonts w:ascii="Palatino Linotype" w:hAnsi="Palatino Linotype"/>
                <w:color w:val="000000"/>
              </w:rPr>
              <w:lastRenderedPageBreak/>
              <w:t>de la información se realiza al momento de:</w:t>
            </w:r>
          </w:p>
        </w:tc>
        <w:tc>
          <w:tcPr>
            <w:tcW w:w="2269" w:type="dxa"/>
          </w:tcPr>
          <w:p w14:paraId="1CEA32C2" w14:textId="77777777" w:rsidR="00191180" w:rsidRPr="00A3599E" w:rsidRDefault="00191180" w:rsidP="006F7BEF">
            <w:pPr>
              <w:numPr>
                <w:ilvl w:val="0"/>
                <w:numId w:val="11"/>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lastRenderedPageBreak/>
              <w:t>Atender una solicitud</w:t>
            </w:r>
          </w:p>
          <w:p w14:paraId="5FAA03E2" w14:textId="77777777" w:rsidR="00191180" w:rsidRPr="00A3599E" w:rsidRDefault="00191180" w:rsidP="006F7BEF">
            <w:pPr>
              <w:numPr>
                <w:ilvl w:val="0"/>
                <w:numId w:val="11"/>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lastRenderedPageBreak/>
              <w:t>Por mandato de una autoridad competente</w:t>
            </w:r>
          </w:p>
          <w:p w14:paraId="1863D2EA" w14:textId="77777777" w:rsidR="00191180" w:rsidRPr="00A3599E" w:rsidRDefault="00191180" w:rsidP="006F7BEF">
            <w:pPr>
              <w:numPr>
                <w:ilvl w:val="0"/>
                <w:numId w:val="11"/>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t>Para elaborar una versión pública y cumplir una obligación de transparencia</w:t>
            </w:r>
          </w:p>
        </w:tc>
        <w:tc>
          <w:tcPr>
            <w:tcW w:w="2268" w:type="dxa"/>
          </w:tcPr>
          <w:p w14:paraId="489F1E5E"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42BE32F8" w14:textId="77777777" w:rsidTr="00191180">
        <w:tc>
          <w:tcPr>
            <w:tcW w:w="2155" w:type="dxa"/>
            <w:vMerge/>
            <w:shd w:val="clear" w:color="auto" w:fill="D5DCE4"/>
          </w:tcPr>
          <w:p w14:paraId="553C290E"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tcPr>
          <w:p w14:paraId="7FFFCF01"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No se pueden emitir acuerdos de carácter general ni particular</w:t>
            </w:r>
          </w:p>
        </w:tc>
        <w:tc>
          <w:tcPr>
            <w:tcW w:w="2269" w:type="dxa"/>
          </w:tcPr>
          <w:p w14:paraId="13B5602A"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El </w:t>
            </w:r>
            <w:r w:rsidRPr="00A3599E">
              <w:rPr>
                <w:rFonts w:ascii="Palatino Linotype" w:hAnsi="Palatino Linotype"/>
                <w:b/>
                <w:bCs/>
                <w:color w:val="000000"/>
              </w:rPr>
              <w:t>SUJETO OBLIGADO</w:t>
            </w:r>
            <w:r w:rsidRPr="00A3599E">
              <w:rPr>
                <w:rFonts w:ascii="Palatino Linotype" w:hAnsi="Palatino Linotype"/>
                <w:color w:val="000000"/>
              </w:rPr>
              <w:t xml:space="preserve"> debe emitir un acuerdo describiendo y analizando cada documento de un expediente y todos los datos incluidos en un documento </w:t>
            </w:r>
          </w:p>
        </w:tc>
        <w:tc>
          <w:tcPr>
            <w:tcW w:w="2268" w:type="dxa"/>
          </w:tcPr>
          <w:p w14:paraId="3036D60B"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34121BC0" w14:textId="77777777" w:rsidTr="00191180">
        <w:tc>
          <w:tcPr>
            <w:tcW w:w="2155" w:type="dxa"/>
            <w:vMerge w:val="restart"/>
            <w:shd w:val="clear" w:color="auto" w:fill="D5DCE4"/>
          </w:tcPr>
          <w:p w14:paraId="15B63F2B"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Supuestos de clasificación</w:t>
            </w:r>
          </w:p>
        </w:tc>
        <w:tc>
          <w:tcPr>
            <w:tcW w:w="1759" w:type="dxa"/>
          </w:tcPr>
          <w:p w14:paraId="0BA21DC1"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Para clasificar la información como reservada hay</w:t>
            </w:r>
          </w:p>
        </w:tc>
        <w:tc>
          <w:tcPr>
            <w:tcW w:w="2269" w:type="dxa"/>
          </w:tcPr>
          <w:p w14:paraId="655C3360" w14:textId="77777777" w:rsidR="00191180" w:rsidRPr="00A3599E" w:rsidRDefault="00191180" w:rsidP="006F7BEF">
            <w:pPr>
              <w:numPr>
                <w:ilvl w:val="0"/>
                <w:numId w:val="13"/>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t>11 supuestos en la Ley Estatal</w:t>
            </w:r>
          </w:p>
          <w:p w14:paraId="1D2BE7E8" w14:textId="77777777" w:rsidR="00191180" w:rsidRPr="00A3599E" w:rsidRDefault="00191180" w:rsidP="006F7BEF">
            <w:pPr>
              <w:numPr>
                <w:ilvl w:val="0"/>
                <w:numId w:val="13"/>
              </w:numPr>
              <w:suppressAutoHyphens w:val="0"/>
              <w:spacing w:line="360" w:lineRule="auto"/>
              <w:contextualSpacing/>
              <w:jc w:val="both"/>
              <w:rPr>
                <w:rFonts w:ascii="Palatino Linotype" w:hAnsi="Palatino Linotype"/>
                <w:color w:val="000000"/>
              </w:rPr>
            </w:pPr>
            <w:r w:rsidRPr="00A3599E">
              <w:rPr>
                <w:rFonts w:ascii="Palatino Linotype" w:hAnsi="Palatino Linotype"/>
                <w:color w:val="000000"/>
              </w:rPr>
              <w:t>13 supuestos en la Ley General</w:t>
            </w:r>
          </w:p>
        </w:tc>
        <w:tc>
          <w:tcPr>
            <w:tcW w:w="2268" w:type="dxa"/>
          </w:tcPr>
          <w:p w14:paraId="386C76B0"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El </w:t>
            </w:r>
            <w:r w:rsidRPr="00A3599E">
              <w:rPr>
                <w:rFonts w:ascii="Palatino Linotype" w:hAnsi="Palatino Linotype"/>
                <w:b/>
                <w:bCs/>
                <w:color w:val="000000"/>
              </w:rPr>
              <w:t>SUJETO OBLIGADO</w:t>
            </w:r>
            <w:r w:rsidRPr="00A3599E">
              <w:rPr>
                <w:rFonts w:ascii="Palatino Linotype" w:hAnsi="Palatino Linotype"/>
                <w:color w:val="000000"/>
              </w:rPr>
              <w:t xml:space="preserve"> debe identificar claramente la información que </w:t>
            </w:r>
            <w:r w:rsidRPr="00A3599E">
              <w:rPr>
                <w:rFonts w:ascii="Palatino Linotype" w:hAnsi="Palatino Linotype"/>
                <w:color w:val="000000"/>
              </w:rPr>
              <w:lastRenderedPageBreak/>
              <w:t>se pretende clasificar y realizar un juicio de subsunción o encaje</w:t>
            </w:r>
          </w:p>
        </w:tc>
      </w:tr>
      <w:tr w:rsidR="00191180" w:rsidRPr="00A3599E" w14:paraId="08FFF648" w14:textId="77777777" w:rsidTr="00191180">
        <w:tc>
          <w:tcPr>
            <w:tcW w:w="2155" w:type="dxa"/>
            <w:vMerge/>
            <w:shd w:val="clear" w:color="auto" w:fill="D5DCE4"/>
          </w:tcPr>
          <w:p w14:paraId="35BF581D"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tcPr>
          <w:p w14:paraId="08A40F54"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Para clasificar la información como confidencial hay</w:t>
            </w:r>
          </w:p>
        </w:tc>
        <w:tc>
          <w:tcPr>
            <w:tcW w:w="2269" w:type="dxa"/>
          </w:tcPr>
          <w:p w14:paraId="18ECC53C"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que considerar la definición de dato personal</w:t>
            </w:r>
          </w:p>
        </w:tc>
        <w:tc>
          <w:tcPr>
            <w:tcW w:w="2268" w:type="dxa"/>
          </w:tcPr>
          <w:p w14:paraId="4E575FB8"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616A693F" w14:textId="77777777" w:rsidTr="00191180">
        <w:tc>
          <w:tcPr>
            <w:tcW w:w="2155" w:type="dxa"/>
            <w:vMerge/>
            <w:shd w:val="clear" w:color="auto" w:fill="D5DCE4"/>
          </w:tcPr>
          <w:p w14:paraId="5E97D2DD"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tcPr>
          <w:p w14:paraId="018156A9"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Estos supuestos se aplican de manera restrictiva y estricta, no pueden ampliarse</w:t>
            </w:r>
          </w:p>
        </w:tc>
        <w:tc>
          <w:tcPr>
            <w:tcW w:w="2269" w:type="dxa"/>
          </w:tcPr>
          <w:p w14:paraId="59E633DC"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8" w:type="dxa"/>
          </w:tcPr>
          <w:p w14:paraId="6F606E0A"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2C6D2336" w14:textId="77777777" w:rsidTr="00191180">
        <w:tc>
          <w:tcPr>
            <w:tcW w:w="2155" w:type="dxa"/>
            <w:vMerge w:val="restart"/>
            <w:shd w:val="clear" w:color="auto" w:fill="D5DCE4"/>
          </w:tcPr>
          <w:p w14:paraId="4A547A37"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Excepciones a la clasificación de reserva</w:t>
            </w:r>
          </w:p>
        </w:tc>
        <w:tc>
          <w:tcPr>
            <w:tcW w:w="1759" w:type="dxa"/>
            <w:vMerge w:val="restart"/>
          </w:tcPr>
          <w:p w14:paraId="25E17223"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No puede clasificarse como </w:t>
            </w:r>
            <w:r w:rsidRPr="00A3599E">
              <w:rPr>
                <w:rFonts w:ascii="Palatino Linotype" w:hAnsi="Palatino Linotype"/>
                <w:color w:val="000000"/>
              </w:rPr>
              <w:lastRenderedPageBreak/>
              <w:t>información reservada la concerniente a:</w:t>
            </w:r>
          </w:p>
        </w:tc>
        <w:tc>
          <w:tcPr>
            <w:tcW w:w="2269" w:type="dxa"/>
          </w:tcPr>
          <w:p w14:paraId="54E4809B"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lastRenderedPageBreak/>
              <w:t xml:space="preserve">Actos (probados o en investigación) graves de </w:t>
            </w:r>
            <w:r w:rsidRPr="00A3599E">
              <w:rPr>
                <w:rFonts w:ascii="Palatino Linotype" w:hAnsi="Palatino Linotype"/>
                <w:color w:val="000000"/>
              </w:rPr>
              <w:lastRenderedPageBreak/>
              <w:t>violaciones a derechos humanos</w:t>
            </w:r>
          </w:p>
        </w:tc>
        <w:tc>
          <w:tcPr>
            <w:tcW w:w="2268" w:type="dxa"/>
          </w:tcPr>
          <w:p w14:paraId="5D26969E"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28A78EF2" w14:textId="77777777" w:rsidTr="00191180">
        <w:tc>
          <w:tcPr>
            <w:tcW w:w="2155" w:type="dxa"/>
            <w:vMerge/>
            <w:shd w:val="clear" w:color="auto" w:fill="D5DCE4"/>
          </w:tcPr>
          <w:p w14:paraId="71EC9319"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vMerge/>
          </w:tcPr>
          <w:p w14:paraId="1BD42709"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9" w:type="dxa"/>
          </w:tcPr>
          <w:p w14:paraId="34EA4EF9"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Delitos de </w:t>
            </w:r>
            <w:proofErr w:type="spellStart"/>
            <w:r w:rsidRPr="00A3599E">
              <w:rPr>
                <w:rFonts w:ascii="Palatino Linotype" w:hAnsi="Palatino Linotype"/>
                <w:color w:val="000000"/>
              </w:rPr>
              <w:t>lessa</w:t>
            </w:r>
            <w:proofErr w:type="spellEnd"/>
            <w:r w:rsidRPr="00A3599E">
              <w:rPr>
                <w:rFonts w:ascii="Palatino Linotype" w:hAnsi="Palatino Linotype"/>
                <w:color w:val="000000"/>
              </w:rPr>
              <w:t xml:space="preserve"> humanidad</w:t>
            </w:r>
          </w:p>
        </w:tc>
        <w:tc>
          <w:tcPr>
            <w:tcW w:w="2268" w:type="dxa"/>
          </w:tcPr>
          <w:p w14:paraId="1BE483F8"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53D6173C" w14:textId="77777777" w:rsidTr="00191180">
        <w:tc>
          <w:tcPr>
            <w:tcW w:w="2155" w:type="dxa"/>
            <w:vMerge/>
            <w:shd w:val="clear" w:color="auto" w:fill="D5DCE4"/>
          </w:tcPr>
          <w:p w14:paraId="3F23A930"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vMerge/>
          </w:tcPr>
          <w:p w14:paraId="561E7705"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9" w:type="dxa"/>
          </w:tcPr>
          <w:p w14:paraId="69C8D9D3"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Actos de Corrupción</w:t>
            </w:r>
          </w:p>
        </w:tc>
        <w:tc>
          <w:tcPr>
            <w:tcW w:w="2268" w:type="dxa"/>
          </w:tcPr>
          <w:p w14:paraId="595959C7"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Los comprendidos en el Título Sexto del Código Penal del Estado</w:t>
            </w:r>
          </w:p>
        </w:tc>
      </w:tr>
      <w:tr w:rsidR="00191180" w:rsidRPr="00A3599E" w14:paraId="78431307" w14:textId="77777777" w:rsidTr="00191180">
        <w:tc>
          <w:tcPr>
            <w:tcW w:w="2155" w:type="dxa"/>
            <w:vMerge w:val="restart"/>
            <w:shd w:val="clear" w:color="auto" w:fill="D5DCE4"/>
          </w:tcPr>
          <w:p w14:paraId="574640DF"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Participación del Comité de Transparencia</w:t>
            </w:r>
          </w:p>
        </w:tc>
        <w:tc>
          <w:tcPr>
            <w:tcW w:w="1759" w:type="dxa"/>
            <w:vMerge w:val="restart"/>
          </w:tcPr>
          <w:p w14:paraId="3D339051"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Formalidades</w:t>
            </w:r>
          </w:p>
        </w:tc>
        <w:tc>
          <w:tcPr>
            <w:tcW w:w="2269" w:type="dxa"/>
          </w:tcPr>
          <w:p w14:paraId="7E343D14"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El Comité debe de estar debidamente integrado</w:t>
            </w:r>
          </w:p>
        </w:tc>
        <w:tc>
          <w:tcPr>
            <w:tcW w:w="2268" w:type="dxa"/>
          </w:tcPr>
          <w:p w14:paraId="3518174F"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203DBED0" w14:textId="77777777" w:rsidTr="00191180">
        <w:tc>
          <w:tcPr>
            <w:tcW w:w="2155" w:type="dxa"/>
            <w:vMerge/>
            <w:shd w:val="clear" w:color="auto" w:fill="D5DCE4"/>
          </w:tcPr>
          <w:p w14:paraId="403DF1DF"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vMerge/>
          </w:tcPr>
          <w:p w14:paraId="2374DB72"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9" w:type="dxa"/>
          </w:tcPr>
          <w:p w14:paraId="55135950"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El Comité no aprueba la clasificación, sólo: confirma, modifica o revoca la decisión de las áreas </w:t>
            </w:r>
          </w:p>
        </w:tc>
        <w:tc>
          <w:tcPr>
            <w:tcW w:w="2268" w:type="dxa"/>
          </w:tcPr>
          <w:p w14:paraId="6256350A"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315C686E" w14:textId="77777777" w:rsidTr="00191180">
        <w:tc>
          <w:tcPr>
            <w:tcW w:w="2155" w:type="dxa"/>
            <w:shd w:val="clear" w:color="auto" w:fill="D5DCE4"/>
          </w:tcPr>
          <w:p w14:paraId="7BCE06E7"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Fondo del acuerdo de clasificación</w:t>
            </w:r>
          </w:p>
        </w:tc>
        <w:tc>
          <w:tcPr>
            <w:tcW w:w="1759" w:type="dxa"/>
          </w:tcPr>
          <w:p w14:paraId="29EBC7DA"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La carga de la prueba para justificar la restricción corresponde </w:t>
            </w:r>
            <w:r w:rsidRPr="00A3599E">
              <w:rPr>
                <w:rFonts w:ascii="Palatino Linotype" w:hAnsi="Palatino Linotype"/>
                <w:color w:val="000000"/>
              </w:rPr>
              <w:lastRenderedPageBreak/>
              <w:t xml:space="preserve">al </w:t>
            </w:r>
            <w:r w:rsidRPr="00A3599E">
              <w:rPr>
                <w:rFonts w:ascii="Palatino Linotype" w:hAnsi="Palatino Linotype"/>
                <w:b/>
                <w:bCs/>
                <w:color w:val="000000"/>
              </w:rPr>
              <w:t>SUJETO OBLIGADO</w:t>
            </w:r>
          </w:p>
        </w:tc>
        <w:tc>
          <w:tcPr>
            <w:tcW w:w="2269" w:type="dxa"/>
          </w:tcPr>
          <w:p w14:paraId="555EBA74"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lastRenderedPageBreak/>
              <w:t>Deber de fundar y motivar</w:t>
            </w:r>
          </w:p>
        </w:tc>
        <w:tc>
          <w:tcPr>
            <w:tcW w:w="2268" w:type="dxa"/>
          </w:tcPr>
          <w:p w14:paraId="2E23E030"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359D8447" w14:textId="77777777" w:rsidTr="00191180">
        <w:trPr>
          <w:trHeight w:val="486"/>
        </w:trPr>
        <w:tc>
          <w:tcPr>
            <w:tcW w:w="2155" w:type="dxa"/>
            <w:vMerge w:val="restart"/>
            <w:shd w:val="clear" w:color="auto" w:fill="D5DCE4"/>
          </w:tcPr>
          <w:p w14:paraId="411F1961"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lastRenderedPageBreak/>
              <w:t>Condiciones especiales de la reserva</w:t>
            </w:r>
          </w:p>
        </w:tc>
        <w:tc>
          <w:tcPr>
            <w:tcW w:w="1759" w:type="dxa"/>
            <w:vMerge w:val="restart"/>
          </w:tcPr>
          <w:p w14:paraId="611D7AC6"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Motivar implica</w:t>
            </w:r>
          </w:p>
          <w:p w14:paraId="42FBE448"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Además se debe aplicar, caso por caso, una prueba de daño.</w:t>
            </w:r>
          </w:p>
        </w:tc>
        <w:tc>
          <w:tcPr>
            <w:tcW w:w="2269" w:type="dxa"/>
            <w:vMerge w:val="restart"/>
          </w:tcPr>
          <w:p w14:paraId="54717CA4"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Señalar las razones, motivos o circunstancias.</w:t>
            </w:r>
          </w:p>
          <w:p w14:paraId="20C77B4B"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Se deben señalar las razones objetivas y acreditar.</w:t>
            </w:r>
          </w:p>
          <w:p w14:paraId="1FD1AC50" w14:textId="77777777" w:rsidR="00191180" w:rsidRPr="00A3599E" w:rsidRDefault="00191180" w:rsidP="006F7BEF">
            <w:pPr>
              <w:suppressAutoHyphens w:val="0"/>
              <w:spacing w:line="360" w:lineRule="auto"/>
              <w:jc w:val="both"/>
              <w:rPr>
                <w:rFonts w:ascii="Palatino Linotype" w:hAnsi="Palatino Linotype"/>
                <w:color w:val="000000"/>
              </w:rPr>
            </w:pPr>
          </w:p>
          <w:p w14:paraId="49CC3827"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*Adquiere la condición especial de ser temporal por un periodo de 5 años con la posibilidad de ampliarse por un periodo igual.</w:t>
            </w:r>
          </w:p>
        </w:tc>
        <w:tc>
          <w:tcPr>
            <w:tcW w:w="2268" w:type="dxa"/>
            <w:vMerge w:val="restart"/>
          </w:tcPr>
          <w:p w14:paraId="3A9307C3"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Que entregar la información provoca un riesgo real, demostrable e identificable al interés público o a la seguridad pública</w:t>
            </w:r>
          </w:p>
        </w:tc>
      </w:tr>
      <w:tr w:rsidR="00191180" w:rsidRPr="00A3599E" w14:paraId="1778F197" w14:textId="77777777" w:rsidTr="00191180">
        <w:trPr>
          <w:trHeight w:val="486"/>
        </w:trPr>
        <w:tc>
          <w:tcPr>
            <w:tcW w:w="2155" w:type="dxa"/>
            <w:vMerge/>
            <w:shd w:val="clear" w:color="auto" w:fill="D5DCE4"/>
          </w:tcPr>
          <w:p w14:paraId="76E879B9"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vMerge/>
          </w:tcPr>
          <w:p w14:paraId="4F92978E"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9" w:type="dxa"/>
            <w:vMerge/>
          </w:tcPr>
          <w:p w14:paraId="45CD0B69"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8" w:type="dxa"/>
            <w:vMerge/>
          </w:tcPr>
          <w:p w14:paraId="663B9967"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25659DF8" w14:textId="77777777" w:rsidTr="00191180">
        <w:tc>
          <w:tcPr>
            <w:tcW w:w="2155" w:type="dxa"/>
            <w:vMerge/>
            <w:shd w:val="clear" w:color="auto" w:fill="D5DCE4"/>
          </w:tcPr>
          <w:p w14:paraId="15D8FA49"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vMerge/>
          </w:tcPr>
          <w:p w14:paraId="4006807C"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9" w:type="dxa"/>
            <w:vMerge/>
          </w:tcPr>
          <w:p w14:paraId="547BF734"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8" w:type="dxa"/>
          </w:tcPr>
          <w:p w14:paraId="32C75DC8"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El riesgo por divulgar es mayor que el interés público de que se difunda  </w:t>
            </w:r>
          </w:p>
        </w:tc>
      </w:tr>
      <w:tr w:rsidR="00191180" w:rsidRPr="00A3599E" w14:paraId="5F21AD6F" w14:textId="77777777" w:rsidTr="00191180">
        <w:trPr>
          <w:trHeight w:val="1454"/>
        </w:trPr>
        <w:tc>
          <w:tcPr>
            <w:tcW w:w="2155" w:type="dxa"/>
            <w:vMerge/>
            <w:shd w:val="clear" w:color="auto" w:fill="D5DCE4"/>
          </w:tcPr>
          <w:p w14:paraId="466A048A"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vMerge/>
          </w:tcPr>
          <w:p w14:paraId="6C3D0CFA"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9" w:type="dxa"/>
            <w:vMerge/>
          </w:tcPr>
          <w:p w14:paraId="7D27D3C5"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8" w:type="dxa"/>
          </w:tcPr>
          <w:p w14:paraId="7BF41DA1"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El principio de proporcionalidad</w:t>
            </w:r>
          </w:p>
        </w:tc>
      </w:tr>
      <w:tr w:rsidR="00191180" w:rsidRPr="00A3599E" w14:paraId="1A0ED26F" w14:textId="77777777" w:rsidTr="00191180">
        <w:tc>
          <w:tcPr>
            <w:tcW w:w="2155" w:type="dxa"/>
            <w:vMerge w:val="restart"/>
            <w:shd w:val="clear" w:color="auto" w:fill="D5DCE4"/>
          </w:tcPr>
          <w:p w14:paraId="2A077695"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Condiciones especiales de la confidencialidad</w:t>
            </w:r>
          </w:p>
        </w:tc>
        <w:tc>
          <w:tcPr>
            <w:tcW w:w="1759" w:type="dxa"/>
          </w:tcPr>
          <w:p w14:paraId="7B5D043F"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 xml:space="preserve">Para clasificar se debe verificar que no se encuentre en </w:t>
            </w:r>
            <w:r w:rsidRPr="00A3599E">
              <w:rPr>
                <w:rFonts w:ascii="Palatino Linotype" w:hAnsi="Palatino Linotype"/>
                <w:color w:val="000000"/>
              </w:rPr>
              <w:lastRenderedPageBreak/>
              <w:t xml:space="preserve">los supuestos del artículo 148 de la ley Estatal </w:t>
            </w:r>
          </w:p>
        </w:tc>
        <w:tc>
          <w:tcPr>
            <w:tcW w:w="2269" w:type="dxa"/>
          </w:tcPr>
          <w:p w14:paraId="3A78E816"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lastRenderedPageBreak/>
              <w:t xml:space="preserve">Si se encuentra en los supuestos de dicho artículo se entrega aún sin consentimiento del </w:t>
            </w:r>
            <w:r w:rsidRPr="00A3599E">
              <w:rPr>
                <w:rFonts w:ascii="Palatino Linotype" w:hAnsi="Palatino Linotype"/>
                <w:color w:val="000000"/>
              </w:rPr>
              <w:lastRenderedPageBreak/>
              <w:t xml:space="preserve">titular del dato personal </w:t>
            </w:r>
          </w:p>
        </w:tc>
        <w:tc>
          <w:tcPr>
            <w:tcW w:w="2268" w:type="dxa"/>
          </w:tcPr>
          <w:p w14:paraId="4B6C6FEE" w14:textId="77777777" w:rsidR="00191180" w:rsidRPr="00A3599E" w:rsidRDefault="00191180" w:rsidP="006F7BEF">
            <w:pPr>
              <w:suppressAutoHyphens w:val="0"/>
              <w:spacing w:line="360" w:lineRule="auto"/>
              <w:jc w:val="both"/>
              <w:rPr>
                <w:rFonts w:ascii="Palatino Linotype" w:hAnsi="Palatino Linotype"/>
                <w:color w:val="000000"/>
              </w:rPr>
            </w:pPr>
          </w:p>
        </w:tc>
      </w:tr>
      <w:tr w:rsidR="00191180" w:rsidRPr="00A3599E" w14:paraId="6494D65F" w14:textId="77777777" w:rsidTr="00191180">
        <w:trPr>
          <w:trHeight w:val="3404"/>
        </w:trPr>
        <w:tc>
          <w:tcPr>
            <w:tcW w:w="2155" w:type="dxa"/>
            <w:vMerge/>
            <w:shd w:val="clear" w:color="auto" w:fill="D5DCE4"/>
          </w:tcPr>
          <w:p w14:paraId="45AB9F0D" w14:textId="77777777" w:rsidR="00191180" w:rsidRPr="00A3599E" w:rsidRDefault="00191180" w:rsidP="006F7BEF">
            <w:pPr>
              <w:suppressAutoHyphens w:val="0"/>
              <w:spacing w:line="360" w:lineRule="auto"/>
              <w:jc w:val="both"/>
              <w:rPr>
                <w:rFonts w:ascii="Palatino Linotype" w:hAnsi="Palatino Linotype"/>
                <w:color w:val="000000"/>
              </w:rPr>
            </w:pPr>
          </w:p>
        </w:tc>
        <w:tc>
          <w:tcPr>
            <w:tcW w:w="1759" w:type="dxa"/>
          </w:tcPr>
          <w:p w14:paraId="64018E70" w14:textId="77777777" w:rsidR="00191180" w:rsidRPr="00A3599E" w:rsidRDefault="00191180" w:rsidP="006F7BEF">
            <w:pPr>
              <w:suppressAutoHyphens w:val="0"/>
              <w:spacing w:line="360" w:lineRule="auto"/>
              <w:jc w:val="both"/>
              <w:rPr>
                <w:rFonts w:ascii="Palatino Linotype" w:hAnsi="Palatino Linotype"/>
                <w:color w:val="000000"/>
              </w:rPr>
            </w:pPr>
            <w:r w:rsidRPr="00A3599E">
              <w:rPr>
                <w:rFonts w:ascii="Palatino Linotype" w:hAnsi="Palatino Linotype"/>
                <w:color w:val="000000"/>
              </w:rPr>
              <w:t>Si es posible, se debe consultar al titular de los datos para requerir su autorización para entregarlo</w:t>
            </w:r>
          </w:p>
        </w:tc>
        <w:tc>
          <w:tcPr>
            <w:tcW w:w="2269" w:type="dxa"/>
          </w:tcPr>
          <w:p w14:paraId="2AC23AED" w14:textId="77777777" w:rsidR="00191180" w:rsidRPr="00A3599E" w:rsidRDefault="00191180" w:rsidP="006F7BEF">
            <w:pPr>
              <w:suppressAutoHyphens w:val="0"/>
              <w:spacing w:line="360" w:lineRule="auto"/>
              <w:jc w:val="both"/>
              <w:rPr>
                <w:rFonts w:ascii="Palatino Linotype" w:hAnsi="Palatino Linotype"/>
                <w:color w:val="000000"/>
              </w:rPr>
            </w:pPr>
          </w:p>
        </w:tc>
        <w:tc>
          <w:tcPr>
            <w:tcW w:w="2268" w:type="dxa"/>
          </w:tcPr>
          <w:p w14:paraId="785B6093" w14:textId="77777777" w:rsidR="00191180" w:rsidRPr="00A3599E" w:rsidRDefault="00191180" w:rsidP="006F7BEF">
            <w:pPr>
              <w:suppressAutoHyphens w:val="0"/>
              <w:spacing w:line="360" w:lineRule="auto"/>
              <w:jc w:val="both"/>
              <w:rPr>
                <w:rFonts w:ascii="Palatino Linotype" w:hAnsi="Palatino Linotype"/>
                <w:color w:val="000000"/>
              </w:rPr>
            </w:pPr>
          </w:p>
        </w:tc>
      </w:tr>
    </w:tbl>
    <w:p w14:paraId="427E34E2" w14:textId="39C9C6CF" w:rsidR="00191180" w:rsidRPr="00A3599E" w:rsidRDefault="00191180" w:rsidP="006F7BEF">
      <w:pPr>
        <w:numPr>
          <w:ilvl w:val="0"/>
          <w:numId w:val="9"/>
        </w:numPr>
        <w:shd w:val="clear" w:color="auto" w:fill="FFFFFF"/>
        <w:tabs>
          <w:tab w:val="left" w:pos="426"/>
        </w:tabs>
        <w:suppressAutoHyphens w:val="0"/>
        <w:spacing w:beforeAutospacing="1" w:after="240" w:line="360" w:lineRule="auto"/>
        <w:ind w:left="0" w:firstLine="0"/>
        <w:jc w:val="both"/>
        <w:textAlignment w:val="baseline"/>
        <w:rPr>
          <w:rFonts w:ascii="Palatino Linotype" w:hAnsi="Palatino Linotype" w:cs="Arial"/>
          <w:color w:val="000000"/>
          <w:lang w:val="es-ES_tradnl"/>
        </w:rPr>
      </w:pPr>
      <w:r w:rsidRPr="00A3599E">
        <w:rPr>
          <w:rFonts w:ascii="Palatino Linotype" w:eastAsia="Calibri" w:hAnsi="Palatino Linotype"/>
          <w:color w:val="000000"/>
          <w:lang w:eastAsia="en-US"/>
        </w:rPr>
        <w:t>Pero</w:t>
      </w:r>
      <w:r w:rsidRPr="00A3599E">
        <w:rPr>
          <w:rFonts w:ascii="Palatino Linotype" w:eastAsia="Calibri" w:hAnsi="Palatino Linotype"/>
          <w:color w:val="000000"/>
          <w:lang w:val="es-ES_tradnl" w:eastAsia="es-ES_tradnl"/>
        </w:rPr>
        <w:t xml:space="preserve"> si la información que se pretende clasificar como confidencial no se encuentra en los supuestos antes señalados y es posible, se deberá consultar al titular de los datos si permite o no el acceso. </w:t>
      </w:r>
    </w:p>
    <w:p w14:paraId="0CDCC70C" w14:textId="72595B8B" w:rsidR="00795F38" w:rsidRPr="00A3599E" w:rsidRDefault="00C1345F" w:rsidP="006F7BEF">
      <w:pPr>
        <w:pStyle w:val="Ttulo1"/>
        <w:spacing w:line="360" w:lineRule="auto"/>
        <w:rPr>
          <w:rFonts w:ascii="Palatino Linotype" w:hAnsi="Palatino Linotype"/>
          <w:b/>
          <w:color w:val="000000" w:themeColor="text1"/>
          <w:sz w:val="24"/>
          <w:szCs w:val="24"/>
        </w:rPr>
      </w:pPr>
      <w:bookmarkStart w:id="154" w:name="_Toc103178802"/>
      <w:r w:rsidRPr="00A3599E">
        <w:rPr>
          <w:rFonts w:ascii="Palatino Linotype" w:hAnsi="Palatino Linotype"/>
          <w:b/>
          <w:color w:val="000000" w:themeColor="text1"/>
          <w:sz w:val="24"/>
          <w:szCs w:val="24"/>
        </w:rPr>
        <w:t>OCTAVO</w:t>
      </w:r>
      <w:r w:rsidR="00795F38" w:rsidRPr="00A3599E">
        <w:rPr>
          <w:rFonts w:ascii="Palatino Linotype" w:hAnsi="Palatino Linotype"/>
          <w:b/>
          <w:color w:val="000000" w:themeColor="text1"/>
          <w:sz w:val="24"/>
          <w:szCs w:val="24"/>
        </w:rPr>
        <w:t xml:space="preserve">. </w:t>
      </w:r>
      <w:r w:rsidR="006406C1" w:rsidRPr="00A3599E">
        <w:rPr>
          <w:rFonts w:ascii="Palatino Linotype" w:hAnsi="Palatino Linotype"/>
          <w:b/>
          <w:color w:val="000000" w:themeColor="text1"/>
          <w:sz w:val="24"/>
          <w:szCs w:val="24"/>
        </w:rPr>
        <w:t>De la d</w:t>
      </w:r>
      <w:r w:rsidR="00795F38" w:rsidRPr="00A3599E">
        <w:rPr>
          <w:rFonts w:ascii="Palatino Linotype" w:hAnsi="Palatino Linotype"/>
          <w:b/>
          <w:color w:val="000000" w:themeColor="text1"/>
          <w:sz w:val="24"/>
          <w:szCs w:val="24"/>
        </w:rPr>
        <w:t>ecisión.</w:t>
      </w:r>
      <w:bookmarkEnd w:id="154"/>
      <w:r w:rsidR="00795F38" w:rsidRPr="00A3599E">
        <w:rPr>
          <w:rFonts w:ascii="Palatino Linotype" w:hAnsi="Palatino Linotype"/>
          <w:b/>
          <w:color w:val="000000" w:themeColor="text1"/>
          <w:sz w:val="24"/>
          <w:szCs w:val="24"/>
        </w:rPr>
        <w:t xml:space="preserve"> </w:t>
      </w:r>
    </w:p>
    <w:p w14:paraId="2EE79603" w14:textId="2742EA78" w:rsidR="006406C1" w:rsidRPr="00A3599E" w:rsidRDefault="006406C1" w:rsidP="006F7BEF">
      <w:pPr>
        <w:numPr>
          <w:ilvl w:val="0"/>
          <w:numId w:val="9"/>
        </w:numPr>
        <w:suppressAutoHyphens w:val="0"/>
        <w:spacing w:before="240" w:after="240" w:line="360" w:lineRule="auto"/>
        <w:ind w:left="0" w:right="49" w:firstLine="0"/>
        <w:contextualSpacing/>
        <w:jc w:val="both"/>
        <w:rPr>
          <w:rFonts w:ascii="Palatino Linotype" w:hAnsi="Palatino Linotype" w:cs="Arial"/>
          <w:lang w:eastAsia="es-ES_tradnl"/>
        </w:rPr>
      </w:pPr>
      <w:r w:rsidRPr="00A3599E">
        <w:rPr>
          <w:rFonts w:ascii="Palatino Linotype" w:hAnsi="Palatino Linotype" w:cs="Tahoma"/>
        </w:rPr>
        <w:t xml:space="preserve">Con base en todo lo expuesto, y toda vez que no se atendió la solicitud de información, con fundamento en el artículo 186, fracción IV, de la Ley de Transparencia y Acceso a la Información Pública del Estado de México y Municipios, este Instituto considera procedente </w:t>
      </w:r>
      <w:r w:rsidRPr="00A3599E">
        <w:rPr>
          <w:rFonts w:ascii="Palatino Linotype" w:hAnsi="Palatino Linotype" w:cs="Tahoma"/>
          <w:b/>
        </w:rPr>
        <w:t xml:space="preserve">ORDENAR </w:t>
      </w:r>
      <w:r w:rsidRPr="00A3599E">
        <w:rPr>
          <w:rFonts w:ascii="Palatino Linotype" w:hAnsi="Palatino Linotype" w:cs="Tahoma"/>
        </w:rPr>
        <w:t xml:space="preserve">la entrega de la información solicitada, de </w:t>
      </w:r>
      <w:r w:rsidR="001A6FF4">
        <w:rPr>
          <w:rFonts w:ascii="Palatino Linotype" w:hAnsi="Palatino Linotype" w:cs="Tahoma"/>
        </w:rPr>
        <w:t>ser el caso en versión pública.</w:t>
      </w:r>
    </w:p>
    <w:p w14:paraId="5B9B8239" w14:textId="77777777" w:rsidR="006406C1" w:rsidRPr="00A3599E" w:rsidRDefault="006406C1" w:rsidP="006F7BEF">
      <w:pPr>
        <w:suppressAutoHyphens w:val="0"/>
        <w:spacing w:before="240" w:after="240" w:line="360" w:lineRule="auto"/>
        <w:ind w:right="49"/>
        <w:contextualSpacing/>
        <w:jc w:val="both"/>
        <w:rPr>
          <w:rFonts w:ascii="Palatino Linotype" w:hAnsi="Palatino Linotype" w:cs="Arial"/>
          <w:lang w:eastAsia="es-ES_tradnl"/>
        </w:rPr>
      </w:pPr>
    </w:p>
    <w:p w14:paraId="1669CE43" w14:textId="24FB10A4" w:rsidR="00191180" w:rsidRPr="00A3599E" w:rsidRDefault="00191180" w:rsidP="006F7BEF">
      <w:pPr>
        <w:numPr>
          <w:ilvl w:val="0"/>
          <w:numId w:val="9"/>
        </w:numPr>
        <w:tabs>
          <w:tab w:val="left" w:pos="426"/>
        </w:tabs>
        <w:suppressAutoHyphens w:val="0"/>
        <w:spacing w:after="120" w:line="360" w:lineRule="auto"/>
        <w:ind w:left="0" w:right="49" w:firstLine="0"/>
        <w:jc w:val="both"/>
        <w:rPr>
          <w:rFonts w:ascii="Palatino Linotype" w:hAnsi="Palatino Linotype" w:cs="Arial"/>
          <w:color w:val="000000"/>
          <w:lang w:val="es-ES_tradnl"/>
        </w:rPr>
      </w:pPr>
      <w:r w:rsidRPr="00A3599E">
        <w:rPr>
          <w:rFonts w:ascii="Palatino Linotype" w:hAnsi="Palatino Linotype" w:cs="Arial"/>
          <w:color w:val="000000"/>
          <w:lang w:val="es-ES_tradnl"/>
        </w:rPr>
        <w:t xml:space="preserve">Por lo anteriormente expuesto y fundado, este </w:t>
      </w:r>
      <w:r w:rsidRPr="00A3599E">
        <w:rPr>
          <w:rFonts w:ascii="Palatino Linotype" w:hAnsi="Palatino Linotype" w:cs="Arial"/>
          <w:b/>
          <w:color w:val="000000"/>
          <w:lang w:val="es-ES_tradnl"/>
        </w:rPr>
        <w:t>ÓRGANO GARANTE</w:t>
      </w:r>
      <w:r w:rsidRPr="00A3599E">
        <w:rPr>
          <w:rFonts w:ascii="Palatino Linotype" w:hAnsi="Palatino Linotype" w:cs="Arial"/>
          <w:color w:val="000000"/>
          <w:lang w:val="es-ES_tradnl"/>
        </w:rPr>
        <w:t xml:space="preserve"> emite los siguientes: --------------------------------------------------------------------------------------------</w:t>
      </w:r>
      <w:r w:rsidR="003F047F" w:rsidRPr="00A3599E">
        <w:rPr>
          <w:rFonts w:ascii="Palatino Linotype" w:hAnsi="Palatino Linotype" w:cs="Arial"/>
          <w:color w:val="000000"/>
          <w:lang w:val="es-ES_tradnl"/>
        </w:rPr>
        <w:t>------</w:t>
      </w:r>
    </w:p>
    <w:p w14:paraId="741A9FCD" w14:textId="77777777" w:rsidR="00191180" w:rsidRPr="00A3599E" w:rsidRDefault="00191180" w:rsidP="006F7BEF">
      <w:pPr>
        <w:keepNext/>
        <w:keepLines/>
        <w:suppressAutoHyphens w:val="0"/>
        <w:spacing w:before="240" w:line="360" w:lineRule="auto"/>
        <w:jc w:val="center"/>
        <w:outlineLvl w:val="0"/>
        <w:rPr>
          <w:rFonts w:ascii="Palatino Linotype" w:eastAsia="Calibri" w:hAnsi="Palatino Linotype"/>
          <w:lang w:val="es-ES"/>
        </w:rPr>
      </w:pPr>
      <w:bookmarkStart w:id="155" w:name="_Toc524344198"/>
      <w:bookmarkStart w:id="156" w:name="_Toc526271203"/>
      <w:bookmarkStart w:id="157" w:name="_Toc536106982"/>
      <w:bookmarkStart w:id="158" w:name="_Toc103178803"/>
      <w:r w:rsidRPr="00A3599E">
        <w:rPr>
          <w:rFonts w:ascii="Palatino Linotype" w:eastAsia="Calibri" w:hAnsi="Palatino Linotype"/>
          <w:b/>
          <w:lang w:val="es-ES"/>
        </w:rPr>
        <w:t>R E S O L U T I V O S</w:t>
      </w:r>
      <w:bookmarkEnd w:id="155"/>
      <w:bookmarkEnd w:id="156"/>
      <w:bookmarkEnd w:id="157"/>
      <w:bookmarkEnd w:id="158"/>
      <w:r w:rsidRPr="00A3599E">
        <w:rPr>
          <w:rFonts w:ascii="Palatino Linotype" w:eastAsia="Calibri" w:hAnsi="Palatino Linotype"/>
          <w:b/>
          <w:lang w:val="es-ES"/>
        </w:rPr>
        <w:t xml:space="preserve"> </w:t>
      </w:r>
    </w:p>
    <w:p w14:paraId="3C7175E8" w14:textId="77777777" w:rsidR="00191180" w:rsidRPr="00A3599E" w:rsidRDefault="00191180" w:rsidP="006F7BEF">
      <w:pPr>
        <w:suppressAutoHyphens w:val="0"/>
        <w:spacing w:line="360" w:lineRule="auto"/>
        <w:rPr>
          <w:rFonts w:ascii="Palatino Linotype" w:hAnsi="Palatino Linotype"/>
          <w:lang w:val="es-ES"/>
        </w:rPr>
      </w:pPr>
    </w:p>
    <w:p w14:paraId="67C517A0" w14:textId="4C96D4D3" w:rsidR="00191180" w:rsidRPr="00A3599E" w:rsidRDefault="00191180" w:rsidP="006F7BEF">
      <w:pPr>
        <w:suppressAutoHyphens w:val="0"/>
        <w:spacing w:line="360" w:lineRule="auto"/>
        <w:jc w:val="both"/>
        <w:rPr>
          <w:rFonts w:ascii="Palatino Linotype" w:hAnsi="Palatino Linotype" w:cs="Arial"/>
          <w:bCs/>
          <w:lang w:val="es-ES_tradnl" w:eastAsia="es-MX"/>
        </w:rPr>
      </w:pPr>
      <w:r w:rsidRPr="00A3599E">
        <w:rPr>
          <w:rFonts w:ascii="Palatino Linotype" w:hAnsi="Palatino Linotype" w:cs="Arial"/>
          <w:b/>
          <w:lang w:val="es-ES_tradnl"/>
        </w:rPr>
        <w:t xml:space="preserve">PRIMERO. </w:t>
      </w:r>
      <w:r w:rsidRPr="00A3599E">
        <w:rPr>
          <w:rFonts w:ascii="Palatino Linotype" w:hAnsi="Palatino Linotype" w:cs="Arial"/>
          <w:lang w:val="es-ES_tradnl"/>
        </w:rPr>
        <w:t>Resultan fundadas las</w:t>
      </w:r>
      <w:r w:rsidRPr="00A3599E">
        <w:rPr>
          <w:rFonts w:ascii="Palatino Linotype" w:hAnsi="Palatino Linotype" w:cs="Arial"/>
          <w:b/>
          <w:lang w:val="es-ES_tradnl"/>
        </w:rPr>
        <w:t xml:space="preserve"> </w:t>
      </w:r>
      <w:r w:rsidRPr="00A3599E">
        <w:rPr>
          <w:rFonts w:ascii="Palatino Linotype" w:hAnsi="Palatino Linotype" w:cs="Arial"/>
          <w:lang w:val="es-ES"/>
        </w:rPr>
        <w:t xml:space="preserve">razones o motivos de inconformidad hechos valer en </w:t>
      </w:r>
      <w:r w:rsidR="00C211C5" w:rsidRPr="00A3599E">
        <w:rPr>
          <w:rFonts w:ascii="Palatino Linotype" w:hAnsi="Palatino Linotype" w:cs="Arial"/>
          <w:lang w:val="es-ES"/>
        </w:rPr>
        <w:t xml:space="preserve">el </w:t>
      </w:r>
      <w:r w:rsidR="00DC24D9" w:rsidRPr="00A3599E">
        <w:rPr>
          <w:rFonts w:ascii="Palatino Linotype" w:hAnsi="Palatino Linotype" w:cs="Arial"/>
          <w:lang w:val="es-ES"/>
        </w:rPr>
        <w:t>recurso</w:t>
      </w:r>
      <w:r w:rsidRPr="00A3599E">
        <w:rPr>
          <w:rFonts w:ascii="Palatino Linotype" w:hAnsi="Palatino Linotype" w:cs="Arial"/>
          <w:lang w:val="es-ES"/>
        </w:rPr>
        <w:t xml:space="preserve"> de revisión</w:t>
      </w:r>
      <w:r w:rsidR="003E3235">
        <w:rPr>
          <w:rFonts w:ascii="Verdana" w:hAnsi="Verdana"/>
          <w:b/>
          <w:bCs/>
          <w:color w:val="FF0000"/>
        </w:rPr>
        <w:t> </w:t>
      </w:r>
      <w:r w:rsidR="002312BA" w:rsidRPr="002312BA">
        <w:rPr>
          <w:rFonts w:ascii="Palatino Linotype" w:hAnsi="Palatino Linotype"/>
          <w:b/>
          <w:bCs/>
          <w:color w:val="000000" w:themeColor="text1"/>
        </w:rPr>
        <w:t>04588/INFOEM/IP/RR/2022</w:t>
      </w:r>
      <w:r w:rsidR="00B73105" w:rsidRPr="002312BA">
        <w:rPr>
          <w:rFonts w:ascii="Verdana" w:hAnsi="Verdana"/>
          <w:b/>
          <w:bCs/>
          <w:color w:val="000000" w:themeColor="text1"/>
        </w:rPr>
        <w:t xml:space="preserve"> </w:t>
      </w:r>
      <w:r w:rsidRPr="00A3599E">
        <w:rPr>
          <w:rFonts w:ascii="Palatino Linotype" w:hAnsi="Palatino Linotype" w:cs="Arial"/>
          <w:bCs/>
          <w:lang w:val="es-ES_tradnl" w:eastAsia="es-MX"/>
        </w:rPr>
        <w:t xml:space="preserve">en términos del </w:t>
      </w:r>
      <w:r w:rsidR="001B030B" w:rsidRPr="00A3599E">
        <w:rPr>
          <w:rFonts w:ascii="Palatino Linotype" w:hAnsi="Palatino Linotype" w:cs="Arial"/>
          <w:b/>
          <w:bCs/>
          <w:lang w:val="es-ES_tradnl" w:eastAsia="es-MX"/>
        </w:rPr>
        <w:t>Considerando CUARTO</w:t>
      </w:r>
      <w:r w:rsidRPr="00A3599E">
        <w:rPr>
          <w:rFonts w:ascii="Palatino Linotype" w:hAnsi="Palatino Linotype" w:cs="Arial"/>
          <w:b/>
          <w:bCs/>
          <w:lang w:val="es-ES_tradnl" w:eastAsia="es-MX"/>
        </w:rPr>
        <w:t xml:space="preserve"> </w:t>
      </w:r>
      <w:r w:rsidRPr="00A3599E">
        <w:rPr>
          <w:rFonts w:ascii="Palatino Linotype" w:hAnsi="Palatino Linotype" w:cs="Arial"/>
          <w:bCs/>
          <w:lang w:val="es-ES_tradnl" w:eastAsia="es-MX"/>
        </w:rPr>
        <w:t>de la presente resolución.</w:t>
      </w:r>
    </w:p>
    <w:p w14:paraId="0F2846DF" w14:textId="77777777" w:rsidR="00191180" w:rsidRPr="00A3599E" w:rsidRDefault="00191180" w:rsidP="006F7BEF">
      <w:pPr>
        <w:suppressAutoHyphens w:val="0"/>
        <w:spacing w:line="360" w:lineRule="auto"/>
        <w:jc w:val="both"/>
        <w:rPr>
          <w:rFonts w:ascii="Palatino Linotype" w:hAnsi="Palatino Linotype" w:cs="Arial"/>
          <w:bCs/>
          <w:lang w:val="es-ES_tradnl" w:eastAsia="es-MX"/>
        </w:rPr>
      </w:pPr>
    </w:p>
    <w:p w14:paraId="17338226" w14:textId="757D9151" w:rsidR="00191180" w:rsidRPr="00C60801" w:rsidRDefault="00191180" w:rsidP="006F7BEF">
      <w:pPr>
        <w:suppressAutoHyphens w:val="0"/>
        <w:spacing w:line="360" w:lineRule="auto"/>
        <w:jc w:val="both"/>
        <w:rPr>
          <w:rFonts w:ascii="Palatino Linotype" w:eastAsia="Calibri" w:hAnsi="Palatino Linotype" w:cs="Arial"/>
          <w:lang w:val="es-ES"/>
        </w:rPr>
      </w:pPr>
      <w:r w:rsidRPr="00A3599E">
        <w:rPr>
          <w:rFonts w:ascii="Palatino Linotype" w:eastAsia="Calibri" w:hAnsi="Palatino Linotype" w:cs="Arial"/>
          <w:b/>
          <w:bCs/>
          <w:lang w:val="es-ES"/>
        </w:rPr>
        <w:t xml:space="preserve">SEGUNDO. </w:t>
      </w:r>
      <w:r w:rsidRPr="00A3599E">
        <w:rPr>
          <w:rFonts w:ascii="Palatino Linotype" w:eastAsia="Calibri" w:hAnsi="Palatino Linotype" w:cs="Arial"/>
          <w:lang w:val="es-ES"/>
        </w:rPr>
        <w:t xml:space="preserve">Se </w:t>
      </w:r>
      <w:r w:rsidRPr="00A3599E">
        <w:rPr>
          <w:rFonts w:ascii="Palatino Linotype" w:eastAsia="Calibri" w:hAnsi="Palatino Linotype" w:cs="Arial"/>
          <w:b/>
          <w:lang w:val="es-ES"/>
        </w:rPr>
        <w:t xml:space="preserve">ORDENA </w:t>
      </w:r>
      <w:r w:rsidRPr="00A3599E">
        <w:rPr>
          <w:rFonts w:ascii="Palatino Linotype" w:eastAsia="Calibri" w:hAnsi="Palatino Linotype" w:cs="Arial"/>
          <w:lang w:val="es-ES"/>
        </w:rPr>
        <w:t>al</w:t>
      </w:r>
      <w:r w:rsidRPr="00A3599E">
        <w:rPr>
          <w:rFonts w:ascii="Palatino Linotype" w:eastAsia="Calibri" w:hAnsi="Palatino Linotype" w:cs="Arial"/>
          <w:b/>
          <w:lang w:val="es-ES"/>
        </w:rPr>
        <w:t xml:space="preserve"> </w:t>
      </w:r>
      <w:r w:rsidR="002312BA">
        <w:rPr>
          <w:rFonts w:ascii="Palatino Linotype" w:eastAsia="Calibri" w:hAnsi="Palatino Linotype" w:cs="Arial"/>
          <w:b/>
          <w:lang w:val="es-ES"/>
        </w:rPr>
        <w:t xml:space="preserve">Ayuntamiento de </w:t>
      </w:r>
      <w:proofErr w:type="spellStart"/>
      <w:r w:rsidR="002312BA">
        <w:rPr>
          <w:rFonts w:ascii="Palatino Linotype" w:eastAsia="Calibri" w:hAnsi="Palatino Linotype" w:cs="Arial"/>
          <w:b/>
          <w:lang w:val="es-ES"/>
        </w:rPr>
        <w:t>Temamatla</w:t>
      </w:r>
      <w:proofErr w:type="spellEnd"/>
      <w:r w:rsidR="003E3235">
        <w:rPr>
          <w:rFonts w:ascii="Palatino Linotype" w:eastAsia="Calibri" w:hAnsi="Palatino Linotype" w:cs="Arial"/>
          <w:b/>
          <w:lang w:val="es-ES"/>
        </w:rPr>
        <w:t xml:space="preserve"> </w:t>
      </w:r>
      <w:r w:rsidRPr="00A3599E">
        <w:rPr>
          <w:rFonts w:ascii="Palatino Linotype" w:eastAsia="Calibri" w:hAnsi="Palatino Linotype" w:cs="Arial"/>
          <w:lang w:val="es-ES"/>
        </w:rPr>
        <w:t>dar atenció</w:t>
      </w:r>
      <w:r w:rsidR="00C211C5" w:rsidRPr="00A3599E">
        <w:rPr>
          <w:rFonts w:ascii="Palatino Linotype" w:eastAsia="Calibri" w:hAnsi="Palatino Linotype" w:cs="Arial"/>
          <w:lang w:val="es-ES"/>
        </w:rPr>
        <w:t>n a la solicitud</w:t>
      </w:r>
      <w:r w:rsidRPr="00A3599E">
        <w:rPr>
          <w:rFonts w:ascii="Palatino Linotype" w:eastAsia="Calibri" w:hAnsi="Palatino Linotype" w:cs="Arial"/>
          <w:lang w:val="es-ES"/>
        </w:rPr>
        <w:t xml:space="preserve"> de información</w:t>
      </w:r>
      <w:r w:rsidR="00C060A8">
        <w:rPr>
          <w:rFonts w:ascii="Palatino Linotype" w:eastAsia="Calibri" w:hAnsi="Palatino Linotype" w:cs="Arial"/>
          <w:lang w:val="es-ES"/>
        </w:rPr>
        <w:t xml:space="preserve"> </w:t>
      </w:r>
      <w:r w:rsidR="00C60801" w:rsidRPr="00C60801">
        <w:rPr>
          <w:rFonts w:ascii="Palatino Linotype" w:eastAsia="Calibri" w:hAnsi="Palatino Linotype" w:cs="Arial"/>
          <w:b/>
        </w:rPr>
        <w:t>00120/TEMAMATL/IP/2022</w:t>
      </w:r>
      <w:r w:rsidRPr="00A3599E">
        <w:rPr>
          <w:rFonts w:ascii="Palatino Linotype" w:eastAsia="Calibri" w:hAnsi="Palatino Linotype" w:cs="Arial"/>
          <w:bCs/>
          <w:lang w:val="es-ES"/>
        </w:rPr>
        <w:t>;</w:t>
      </w:r>
      <w:r w:rsidRPr="00A3599E">
        <w:rPr>
          <w:rFonts w:ascii="Palatino Linotype" w:hAnsi="Palatino Linotype"/>
          <w:b/>
          <w:bCs/>
          <w:color w:val="FF0000"/>
          <w:lang w:val="es-ES_tradnl"/>
        </w:rPr>
        <w:t xml:space="preserve"> </w:t>
      </w:r>
      <w:r w:rsidRPr="00A3599E">
        <w:rPr>
          <w:rFonts w:ascii="Palatino Linotype" w:eastAsia="Calibri" w:hAnsi="Palatino Linotype" w:cs="Arial"/>
          <w:lang w:val="es-ES"/>
        </w:rPr>
        <w:t xml:space="preserve">y, en su caso, entregar la información en la modalidad </w:t>
      </w:r>
      <w:r w:rsidRPr="00A3599E">
        <w:rPr>
          <w:rFonts w:ascii="Palatino Linotype" w:eastAsia="Calibri" w:hAnsi="Palatino Linotype" w:cs="Arial"/>
          <w:lang w:val="es-ES_tradnl"/>
        </w:rPr>
        <w:t>Sistema de Acceso a Información Mexiquense (</w:t>
      </w:r>
      <w:r w:rsidRPr="00A3599E">
        <w:rPr>
          <w:rFonts w:ascii="Palatino Linotype" w:eastAsia="Calibri" w:hAnsi="Palatino Linotype" w:cs="Arial"/>
          <w:b/>
          <w:lang w:val="es-ES"/>
        </w:rPr>
        <w:t>SAIMEX)</w:t>
      </w:r>
      <w:r w:rsidR="00484489">
        <w:rPr>
          <w:rFonts w:ascii="Palatino Linotype" w:eastAsia="Calibri" w:hAnsi="Palatino Linotype" w:cs="Arial"/>
          <w:b/>
          <w:lang w:val="es-ES"/>
        </w:rPr>
        <w:t>.</w:t>
      </w:r>
    </w:p>
    <w:p w14:paraId="2E14BAEE" w14:textId="77777777" w:rsidR="00191180" w:rsidRPr="00A3599E" w:rsidRDefault="00191180" w:rsidP="006F7BEF">
      <w:pPr>
        <w:suppressAutoHyphens w:val="0"/>
        <w:spacing w:line="360" w:lineRule="auto"/>
        <w:jc w:val="both"/>
        <w:rPr>
          <w:rFonts w:ascii="Palatino Linotype" w:eastAsia="Calibri" w:hAnsi="Palatino Linotype" w:cs="Arial"/>
          <w:lang w:val="es-ES"/>
        </w:rPr>
      </w:pPr>
    </w:p>
    <w:p w14:paraId="6C540F1B" w14:textId="3E7ADAE0" w:rsidR="00191180" w:rsidRPr="00A3599E" w:rsidRDefault="00191180" w:rsidP="006F7BEF">
      <w:pPr>
        <w:tabs>
          <w:tab w:val="left" w:pos="8080"/>
        </w:tabs>
        <w:suppressAutoHyphens w:val="0"/>
        <w:spacing w:line="360" w:lineRule="auto"/>
        <w:ind w:right="49"/>
        <w:contextualSpacing/>
        <w:jc w:val="both"/>
        <w:rPr>
          <w:rFonts w:ascii="Palatino Linotype" w:eastAsia="Palatino Linotype" w:hAnsi="Palatino Linotype" w:cs="Palatino Linotype"/>
          <w:b/>
          <w:lang w:val="es-ES_tradnl"/>
        </w:rPr>
      </w:pPr>
      <w:r w:rsidRPr="00A3599E">
        <w:rPr>
          <w:rFonts w:ascii="Palatino Linotype" w:eastAsia="Palatino Linotype" w:hAnsi="Palatino Linotype" w:cs="Palatino Linotype"/>
          <w:b/>
          <w:lang w:val="es-ES_tradnl"/>
        </w:rPr>
        <w:t xml:space="preserve">TERCERO. Notifíquese </w:t>
      </w:r>
      <w:r w:rsidRPr="00A3599E">
        <w:rPr>
          <w:rFonts w:ascii="Palatino Linotype" w:eastAsia="Palatino Linotype" w:hAnsi="Palatino Linotype" w:cs="Palatino Linotype"/>
          <w:lang w:val="es-ES_tradnl"/>
        </w:rPr>
        <w:t>al Titular de la Unidad de Transparencia</w:t>
      </w:r>
      <w:r w:rsidR="00F032A7" w:rsidRPr="00A3599E">
        <w:rPr>
          <w:rFonts w:ascii="Palatino Linotype" w:eastAsia="Palatino Linotype" w:hAnsi="Palatino Linotype" w:cs="Palatino Linotype"/>
          <w:lang w:val="es-ES_tradnl"/>
        </w:rPr>
        <w:t xml:space="preserve"> del </w:t>
      </w:r>
      <w:r w:rsidR="00F032A7" w:rsidRPr="00A3599E">
        <w:rPr>
          <w:rFonts w:ascii="Palatino Linotype" w:eastAsia="Palatino Linotype" w:hAnsi="Palatino Linotype" w:cs="Palatino Linotype"/>
          <w:b/>
          <w:lang w:val="es-ES_tradnl"/>
        </w:rPr>
        <w:t>SUJETO OBLIGADO</w:t>
      </w:r>
      <w:r w:rsidR="00F032A7" w:rsidRPr="00A3599E">
        <w:rPr>
          <w:rFonts w:ascii="Palatino Linotype" w:eastAsia="Palatino Linotype" w:hAnsi="Palatino Linotype" w:cs="Palatino Linotype"/>
          <w:lang w:val="es-ES_tradnl"/>
        </w:rPr>
        <w:t xml:space="preserve"> la presente resolución vía Sistema de Acceso a Información Mexiquense (</w:t>
      </w:r>
      <w:r w:rsidR="00F032A7" w:rsidRPr="00A3599E">
        <w:rPr>
          <w:rFonts w:ascii="Palatino Linotype" w:eastAsia="Palatino Linotype" w:hAnsi="Palatino Linotype" w:cs="Palatino Linotype"/>
          <w:b/>
          <w:lang w:val="es-ES"/>
        </w:rPr>
        <w:t>SAIMEX)</w:t>
      </w:r>
      <w:r w:rsidR="00F032A7" w:rsidRPr="00A3599E">
        <w:rPr>
          <w:rFonts w:ascii="Palatino Linotype" w:eastAsia="Palatino Linotype" w:hAnsi="Palatino Linotype" w:cs="Palatino Linotype"/>
          <w:lang w:val="es-ES_tradnl"/>
        </w:rPr>
        <w:t xml:space="preserve"> </w:t>
      </w:r>
      <w:r w:rsidRPr="00A3599E">
        <w:rPr>
          <w:rFonts w:ascii="Palatino Linotype" w:eastAsia="Palatino Linotype" w:hAnsi="Palatino Linotype" w:cs="Palatino Linotype"/>
          <w:lang w:val="es-ES_tradnl"/>
        </w:rPr>
        <w:t xml:space="preserve"> para que conforme a los artículos 186 último párrafo, 189 párrafo segundo y 199 de la Ley de Transparencia y Acceso a la Información Pública del Estado de México y Municipios, </w:t>
      </w:r>
      <w:r w:rsidRPr="00A3599E">
        <w:rPr>
          <w:rFonts w:ascii="Palatino Linotype" w:hAnsi="Palatino Linotype"/>
          <w:color w:val="222222"/>
          <w:shd w:val="clear" w:color="auto" w:fill="FFFFFF"/>
          <w:lang w:val="es-ES_tradnl"/>
        </w:rPr>
        <w:t>vigente, dé cumplimiento a lo ordenado dentro del plazo de diez días hábiles, debiendo rendir a este Instituto el informe de cumplimiento de la resolución en un plazo de tres días hábiles posteriores.</w:t>
      </w:r>
    </w:p>
    <w:p w14:paraId="6FD4660F" w14:textId="77777777" w:rsidR="00191180" w:rsidRPr="00A3599E" w:rsidRDefault="00191180" w:rsidP="006F7BEF">
      <w:pPr>
        <w:shd w:val="clear" w:color="auto" w:fill="FFFFFF"/>
        <w:suppressAutoHyphens w:val="0"/>
        <w:spacing w:line="360" w:lineRule="auto"/>
        <w:jc w:val="both"/>
        <w:rPr>
          <w:rFonts w:ascii="Palatino Linotype" w:hAnsi="Palatino Linotype" w:cs="Arial"/>
          <w:b/>
          <w:lang w:val="es-ES_tradnl"/>
        </w:rPr>
      </w:pPr>
    </w:p>
    <w:p w14:paraId="425C32FA" w14:textId="6D051CFD" w:rsidR="00191180" w:rsidRPr="00A3599E" w:rsidRDefault="00191180" w:rsidP="006F7BEF">
      <w:pPr>
        <w:shd w:val="clear" w:color="auto" w:fill="FFFFFF"/>
        <w:suppressAutoHyphens w:val="0"/>
        <w:spacing w:line="360" w:lineRule="auto"/>
        <w:jc w:val="both"/>
        <w:rPr>
          <w:rFonts w:ascii="Palatino Linotype" w:eastAsia="MS Mincho" w:hAnsi="Palatino Linotype"/>
          <w:lang w:val="es-ES_tradnl"/>
        </w:rPr>
      </w:pPr>
      <w:r w:rsidRPr="00A3599E">
        <w:rPr>
          <w:rFonts w:ascii="Palatino Linotype" w:hAnsi="Palatino Linotype" w:cs="Arial"/>
          <w:b/>
          <w:lang w:val="es-ES_tradnl"/>
        </w:rPr>
        <w:t xml:space="preserve">CUARTO. </w:t>
      </w:r>
      <w:r w:rsidRPr="00A3599E">
        <w:rPr>
          <w:rFonts w:ascii="Palatino Linotype" w:hAnsi="Palatino Linotype"/>
          <w:b/>
          <w:bCs/>
          <w:color w:val="222222"/>
          <w:lang w:val="es-ES"/>
        </w:rPr>
        <w:t xml:space="preserve">Notifíquese </w:t>
      </w:r>
      <w:r w:rsidRPr="00A3599E">
        <w:rPr>
          <w:rFonts w:ascii="Palatino Linotype" w:hAnsi="Palatino Linotype"/>
          <w:bCs/>
          <w:color w:val="222222"/>
          <w:lang w:val="es-ES"/>
        </w:rPr>
        <w:t>a</w:t>
      </w:r>
      <w:r w:rsidR="00526F88" w:rsidRPr="00A3599E">
        <w:rPr>
          <w:rFonts w:ascii="Palatino Linotype" w:hAnsi="Palatino Linotype"/>
          <w:lang w:val="es-ES_tradnl"/>
        </w:rPr>
        <w:t xml:space="preserve"> la parte </w:t>
      </w:r>
      <w:r w:rsidR="00526F88" w:rsidRPr="00A3599E">
        <w:rPr>
          <w:rFonts w:ascii="Palatino Linotype" w:hAnsi="Palatino Linotype"/>
          <w:b/>
          <w:lang w:val="es-ES_tradnl"/>
        </w:rPr>
        <w:t>RECURRENTE</w:t>
      </w:r>
      <w:r w:rsidR="00526F88" w:rsidRPr="00A3599E">
        <w:rPr>
          <w:rFonts w:ascii="Palatino Linotype" w:hAnsi="Palatino Linotype"/>
          <w:lang w:val="es-ES_tradnl"/>
        </w:rPr>
        <w:t xml:space="preserve"> </w:t>
      </w:r>
      <w:r w:rsidRPr="00A3599E">
        <w:rPr>
          <w:rFonts w:ascii="Palatino Linotype" w:hAnsi="Palatino Linotype"/>
          <w:lang w:val="es-ES_tradnl"/>
        </w:rPr>
        <w:t>la presente resolución</w:t>
      </w:r>
      <w:r w:rsidR="00F032A7" w:rsidRPr="00A3599E">
        <w:rPr>
          <w:rFonts w:ascii="Palatino Linotype" w:eastAsia="MS Mincho" w:hAnsi="Palatino Linotype"/>
          <w:lang w:val="es-ES_tradnl"/>
        </w:rPr>
        <w:t xml:space="preserve"> vía Sistema de Acceso a Información Mexiquense (</w:t>
      </w:r>
      <w:r w:rsidR="008B4757">
        <w:rPr>
          <w:rFonts w:ascii="Palatino Linotype" w:eastAsia="MS Mincho" w:hAnsi="Palatino Linotype"/>
          <w:b/>
          <w:lang w:val="es-ES"/>
        </w:rPr>
        <w:t>SAIMEX).</w:t>
      </w:r>
    </w:p>
    <w:p w14:paraId="661C7F74" w14:textId="77777777" w:rsidR="00191180" w:rsidRPr="00A3599E" w:rsidRDefault="00191180" w:rsidP="006F7BEF">
      <w:pPr>
        <w:shd w:val="clear" w:color="auto" w:fill="FFFFFF"/>
        <w:suppressAutoHyphens w:val="0"/>
        <w:spacing w:line="360" w:lineRule="auto"/>
        <w:jc w:val="both"/>
        <w:rPr>
          <w:rFonts w:ascii="Palatino Linotype" w:eastAsia="MS Mincho" w:hAnsi="Palatino Linotype"/>
          <w:lang w:val="es-ES_tradnl"/>
        </w:rPr>
      </w:pPr>
    </w:p>
    <w:p w14:paraId="6E526EC9" w14:textId="21DE1017" w:rsidR="00191180" w:rsidRPr="00A3599E" w:rsidRDefault="00191180" w:rsidP="006F7BEF">
      <w:pPr>
        <w:shd w:val="clear" w:color="auto" w:fill="FFFFFF"/>
        <w:suppressAutoHyphens w:val="0"/>
        <w:spacing w:line="360" w:lineRule="auto"/>
        <w:jc w:val="both"/>
        <w:rPr>
          <w:rFonts w:ascii="Palatino Linotype" w:eastAsia="MS Mincho" w:hAnsi="Palatino Linotype"/>
          <w:lang w:val="es-ES"/>
        </w:rPr>
      </w:pPr>
      <w:r w:rsidRPr="00A3599E">
        <w:rPr>
          <w:rFonts w:ascii="Palatino Linotype" w:eastAsia="MS Mincho" w:hAnsi="Palatino Linotype"/>
          <w:b/>
        </w:rPr>
        <w:t>QUINTO.</w:t>
      </w:r>
      <w:r w:rsidRPr="00A3599E">
        <w:rPr>
          <w:rFonts w:ascii="Palatino Linotype" w:eastAsia="MS Mincho" w:hAnsi="Palatino Linotype"/>
        </w:rPr>
        <w:t xml:space="preserve"> </w:t>
      </w:r>
      <w:r w:rsidRPr="00A3599E">
        <w:rPr>
          <w:rFonts w:ascii="Palatino Linotype" w:eastAsia="MS Mincho" w:hAnsi="Palatino Linotype"/>
          <w:lang w:val="es-ES"/>
        </w:rPr>
        <w:t>Se hace del conocimiento de</w:t>
      </w:r>
      <w:r w:rsidR="00526F88" w:rsidRPr="00A3599E">
        <w:rPr>
          <w:rFonts w:ascii="Palatino Linotype" w:eastAsia="MS Mincho" w:hAnsi="Palatino Linotype"/>
          <w:lang w:val="es-ES"/>
        </w:rPr>
        <w:t xml:space="preserve"> la parte</w:t>
      </w:r>
      <w:r w:rsidR="00526F88" w:rsidRPr="00A3599E">
        <w:rPr>
          <w:rFonts w:ascii="Palatino Linotype" w:hAnsi="Palatino Linotype"/>
          <w:b/>
          <w:lang w:val="es-ES_tradnl"/>
        </w:rPr>
        <w:t xml:space="preserve"> </w:t>
      </w:r>
      <w:r w:rsidR="00526F88" w:rsidRPr="00A3599E">
        <w:rPr>
          <w:rFonts w:ascii="Palatino Linotype" w:eastAsia="MS Mincho" w:hAnsi="Palatino Linotype"/>
          <w:b/>
          <w:lang w:val="es-ES_tradnl"/>
        </w:rPr>
        <w:t>RECURRENTE</w:t>
      </w:r>
      <w:r w:rsidR="00FB5766" w:rsidRPr="00A3599E">
        <w:rPr>
          <w:rFonts w:ascii="Palatino Linotype" w:eastAsia="MS Mincho" w:hAnsi="Palatino Linotype"/>
          <w:lang w:val="es-ES"/>
        </w:rPr>
        <w:t xml:space="preserve"> </w:t>
      </w:r>
      <w:r w:rsidRPr="00A3599E">
        <w:rPr>
          <w:rFonts w:ascii="Palatino Linotype" w:eastAsia="MS Mincho" w:hAnsi="Palatino Linotype"/>
          <w:lang w:val="es-ES"/>
        </w:rPr>
        <w:t>que, de conformidad con lo establecido en el artículo 196 de la Ley de Transparencia y Acceso a la Información Pública del Estado de México y Municipios, en caso de que considere que la resolución le cause algún perjuicio podrá impugnarla </w:t>
      </w:r>
      <w:r w:rsidRPr="00A3599E">
        <w:rPr>
          <w:rFonts w:ascii="Palatino Linotype" w:eastAsia="MS Mincho" w:hAnsi="Palatino Linotype"/>
          <w:bCs/>
          <w:lang w:val="es-ES"/>
        </w:rPr>
        <w:t>vía juicio de amparo</w:t>
      </w:r>
      <w:r w:rsidRPr="00A3599E">
        <w:rPr>
          <w:rFonts w:ascii="Palatino Linotype" w:eastAsia="MS Mincho" w:hAnsi="Palatino Linotype"/>
          <w:lang w:val="es-ES"/>
        </w:rPr>
        <w:t> en los términos de las leyes aplicables.</w:t>
      </w:r>
    </w:p>
    <w:p w14:paraId="6B711991" w14:textId="77777777" w:rsidR="00191180" w:rsidRPr="00A3599E" w:rsidRDefault="00191180" w:rsidP="006F7BEF">
      <w:pPr>
        <w:suppressAutoHyphens w:val="0"/>
        <w:spacing w:line="360" w:lineRule="auto"/>
        <w:jc w:val="both"/>
        <w:rPr>
          <w:rFonts w:ascii="Palatino Linotype" w:eastAsia="MS Mincho" w:hAnsi="Palatino Linotype"/>
          <w:b/>
          <w:lang w:val="es-ES_tradnl"/>
        </w:rPr>
      </w:pPr>
    </w:p>
    <w:p w14:paraId="6CEEB5F3" w14:textId="29012A72" w:rsidR="00191180" w:rsidRPr="00A3599E" w:rsidRDefault="00191180" w:rsidP="006F7BEF">
      <w:pPr>
        <w:suppressAutoHyphens w:val="0"/>
        <w:spacing w:line="360" w:lineRule="auto"/>
        <w:jc w:val="both"/>
        <w:rPr>
          <w:rFonts w:ascii="Palatino Linotype" w:eastAsia="MS Mincho" w:hAnsi="Palatino Linotype"/>
          <w:lang w:val="es-ES"/>
        </w:rPr>
      </w:pPr>
      <w:r w:rsidRPr="00A3599E">
        <w:rPr>
          <w:rFonts w:ascii="Palatino Linotype" w:eastAsia="MS Mincho" w:hAnsi="Palatino Linotype"/>
          <w:b/>
          <w:lang w:val="es-ES_tradnl"/>
        </w:rPr>
        <w:t xml:space="preserve">SEXTO. </w:t>
      </w:r>
      <w:r w:rsidRPr="00A3599E">
        <w:rPr>
          <w:rFonts w:ascii="Palatino Linotype" w:eastAsia="MS Mincho" w:hAnsi="Palatino Linotype"/>
          <w:lang w:val="es-ES"/>
        </w:rPr>
        <w:t>Hágase del conocimiento de</w:t>
      </w:r>
      <w:r w:rsidR="00526F88" w:rsidRPr="00A3599E">
        <w:rPr>
          <w:rFonts w:ascii="Palatino Linotype" w:hAnsi="Palatino Linotype"/>
          <w:b/>
          <w:lang w:val="es-ES_tradnl"/>
        </w:rPr>
        <w:t xml:space="preserve"> </w:t>
      </w:r>
      <w:r w:rsidR="00526F88" w:rsidRPr="00A3599E">
        <w:rPr>
          <w:rFonts w:ascii="Palatino Linotype" w:hAnsi="Palatino Linotype"/>
          <w:b/>
          <w:lang w:val="es-ES"/>
        </w:rPr>
        <w:t>la parte</w:t>
      </w:r>
      <w:r w:rsidR="00526F88" w:rsidRPr="00A3599E">
        <w:rPr>
          <w:rFonts w:ascii="Palatino Linotype" w:hAnsi="Palatino Linotype"/>
          <w:b/>
          <w:lang w:val="es-ES_tradnl"/>
        </w:rPr>
        <w:t xml:space="preserve"> RECURRENTE</w:t>
      </w:r>
      <w:r w:rsidR="00C16632">
        <w:rPr>
          <w:rFonts w:ascii="Palatino Linotype" w:hAnsi="Palatino Linotype"/>
          <w:b/>
          <w:lang w:val="es-ES"/>
        </w:rPr>
        <w:t xml:space="preserve"> </w:t>
      </w:r>
      <w:r w:rsidRPr="00A3599E">
        <w:rPr>
          <w:rFonts w:ascii="Palatino Linotype" w:eastAsia="MS Mincho" w:hAnsi="Palatino Linotype"/>
          <w:lang w:val="es-ES"/>
        </w:rPr>
        <w:t>que las respuestas que dé el</w:t>
      </w:r>
      <w:r w:rsidRPr="00A3599E">
        <w:rPr>
          <w:rFonts w:ascii="Palatino Linotype" w:eastAsia="MS Mincho" w:hAnsi="Palatino Linotype"/>
          <w:b/>
          <w:lang w:val="es-ES"/>
        </w:rPr>
        <w:t xml:space="preserve"> SUJETO OBLIGADO</w:t>
      </w:r>
      <w:r w:rsidRPr="00A3599E">
        <w:rPr>
          <w:rFonts w:ascii="Palatino Linotype" w:eastAsia="MS Mincho" w:hAnsi="Palatino Linotype"/>
          <w:lang w:val="es-ES"/>
        </w:rPr>
        <w:t xml:space="preserve"> derivada de la presente resolución son susceptibles de ser impugnadas nuevamente, mediante recurso de revisión, ante el Instituto, en términos del artículo 179, último párrafo de la Ley de Transparencia y Acceso a la Información Pública del Estado de México y Municipios.</w:t>
      </w:r>
    </w:p>
    <w:p w14:paraId="1CC7293C" w14:textId="77777777" w:rsidR="00191180" w:rsidRPr="00A3599E" w:rsidRDefault="00191180" w:rsidP="006F7BEF">
      <w:pPr>
        <w:suppressAutoHyphens w:val="0"/>
        <w:spacing w:line="360" w:lineRule="auto"/>
        <w:jc w:val="both"/>
        <w:rPr>
          <w:rFonts w:ascii="Palatino Linotype" w:eastAsia="MS Mincho" w:hAnsi="Palatino Linotype"/>
          <w:b/>
          <w:lang w:val="es-ES_tradnl"/>
        </w:rPr>
      </w:pPr>
    </w:p>
    <w:p w14:paraId="1F85A350" w14:textId="42C2704F" w:rsidR="00191180" w:rsidRPr="00A3599E" w:rsidRDefault="00191180" w:rsidP="006F7BEF">
      <w:pPr>
        <w:suppressAutoHyphens w:val="0"/>
        <w:spacing w:line="360" w:lineRule="auto"/>
        <w:jc w:val="both"/>
        <w:rPr>
          <w:rFonts w:ascii="Palatino Linotype" w:eastAsia="MS Mincho" w:hAnsi="Palatino Linotype"/>
          <w:b/>
          <w:lang w:val="es-ES_tradnl"/>
        </w:rPr>
      </w:pPr>
      <w:r w:rsidRPr="00A3599E">
        <w:rPr>
          <w:rFonts w:ascii="Palatino Linotype" w:eastAsia="MS Mincho" w:hAnsi="Palatino Linotype"/>
          <w:b/>
          <w:lang w:val="es-ES_tradnl"/>
        </w:rPr>
        <w:t>SÉPTIMO.</w:t>
      </w:r>
      <w:r w:rsidRPr="00A3599E">
        <w:rPr>
          <w:rFonts w:ascii="Palatino Linotype" w:eastAsia="MS Mincho" w:hAnsi="Palatino Linotype"/>
          <w:lang w:val="es-ES_tradnl"/>
        </w:rPr>
        <w:t xml:space="preserve"> Gírese oficio al Contralor Interno y Órgano de Control y Vigilancia de este Instituto para hacer de su conocimiento la presente resolución a fin de que en ejercicio de sus atribuciones y de conformidad al artículo 190 de la Ley de Transparencia y Acceso a la Información Pública del Estado de México y Municipios, determine lo conducente en términos del </w:t>
      </w:r>
      <w:r w:rsidR="00C1345F" w:rsidRPr="00A3599E">
        <w:rPr>
          <w:rFonts w:ascii="Palatino Linotype" w:eastAsia="MS Mincho" w:hAnsi="Palatino Linotype"/>
          <w:b/>
          <w:lang w:val="es-ES_tradnl"/>
        </w:rPr>
        <w:t>Considerando SEXTO</w:t>
      </w:r>
      <w:r w:rsidRPr="00A3599E">
        <w:rPr>
          <w:rFonts w:ascii="Palatino Linotype" w:eastAsia="MS Mincho" w:hAnsi="Palatino Linotype"/>
          <w:b/>
          <w:lang w:val="es-ES_tradnl"/>
        </w:rPr>
        <w:t>.</w:t>
      </w:r>
    </w:p>
    <w:p w14:paraId="64D6F699" w14:textId="77777777" w:rsidR="00191180" w:rsidRPr="00A3599E" w:rsidRDefault="00191180" w:rsidP="006F7BEF">
      <w:pPr>
        <w:suppressAutoHyphens w:val="0"/>
        <w:spacing w:line="360" w:lineRule="auto"/>
        <w:jc w:val="both"/>
        <w:rPr>
          <w:rFonts w:ascii="Palatino Linotype" w:eastAsia="MS Mincho" w:hAnsi="Palatino Linotype"/>
          <w:b/>
          <w:lang w:val="es-ES_tradnl"/>
        </w:rPr>
      </w:pPr>
    </w:p>
    <w:p w14:paraId="32C05E40" w14:textId="41277A6D" w:rsidR="00191180" w:rsidRPr="00A3599E" w:rsidRDefault="00191180" w:rsidP="006F7BEF">
      <w:pPr>
        <w:suppressAutoHyphens w:val="0"/>
        <w:spacing w:line="360" w:lineRule="auto"/>
        <w:jc w:val="both"/>
        <w:rPr>
          <w:rFonts w:ascii="Palatino Linotype" w:eastAsia="MS Mincho" w:hAnsi="Palatino Linotype"/>
          <w:bCs/>
          <w:lang w:val="es-ES_tradnl"/>
        </w:rPr>
      </w:pPr>
      <w:r w:rsidRPr="00A3599E">
        <w:rPr>
          <w:rFonts w:ascii="Palatino Linotype" w:eastAsia="MS Mincho" w:hAnsi="Palatino Linotype"/>
          <w:b/>
          <w:lang w:val="es-ES_tradnl"/>
        </w:rPr>
        <w:t>OCTAVO.</w:t>
      </w:r>
      <w:r w:rsidRPr="00A3599E">
        <w:rPr>
          <w:rFonts w:ascii="Palatino Linotype" w:eastAsia="MS Mincho" w:hAnsi="Palatino Linotype"/>
          <w:bCs/>
          <w:lang w:val="es-ES_tradnl"/>
        </w:rPr>
        <w:t xml:space="preserve"> Con fundamento en el artículo 198 de la Ley de Transparencia y Acceso a la Información Pública del Estado de México y Municipios, se apercibe al </w:t>
      </w:r>
      <w:r w:rsidRPr="00A3599E">
        <w:rPr>
          <w:rFonts w:ascii="Palatino Linotype" w:eastAsia="MS Mincho" w:hAnsi="Palatino Linotype"/>
          <w:b/>
          <w:bCs/>
          <w:lang w:val="es-ES_tradnl"/>
        </w:rPr>
        <w:t xml:space="preserve">SUJETO OBLIGADO </w:t>
      </w:r>
      <w:r w:rsidRPr="00A3599E">
        <w:rPr>
          <w:rFonts w:ascii="Palatino Linotype" w:eastAsia="MS Mincho" w:hAnsi="Palatino Linotype"/>
          <w:bCs/>
          <w:lang w:val="es-ES_tradnl"/>
        </w:rPr>
        <w:t>de que, en caso de incumplimiento total o parcial de la presente resolución, se actuará de conformidad con lo dispuesto en los artículos 213, 214, 21</w:t>
      </w:r>
      <w:r w:rsidR="00E95992" w:rsidRPr="00A3599E">
        <w:rPr>
          <w:rFonts w:ascii="Palatino Linotype" w:eastAsia="MS Mincho" w:hAnsi="Palatino Linotype"/>
          <w:bCs/>
          <w:lang w:val="es-ES_tradnl"/>
        </w:rPr>
        <w:t>5, 216 y 217 de la Ley en cita.</w:t>
      </w:r>
    </w:p>
    <w:bookmarkEnd w:id="80"/>
    <w:bookmarkEnd w:id="81"/>
    <w:bookmarkEnd w:id="82"/>
    <w:bookmarkEnd w:id="83"/>
    <w:bookmarkEnd w:id="84"/>
    <w:bookmarkEnd w:id="85"/>
    <w:bookmarkEnd w:id="87"/>
    <w:p w14:paraId="2B7CC34D" w14:textId="77777777" w:rsidR="00061089" w:rsidRDefault="00061089" w:rsidP="00061089">
      <w:pPr>
        <w:spacing w:before="240" w:after="240" w:line="360" w:lineRule="auto"/>
        <w:ind w:firstLine="1"/>
        <w:jc w:val="both"/>
        <w:rPr>
          <w:rFonts w:ascii="Palatino Linotype" w:hAnsi="Palatino Linotype"/>
        </w:rPr>
      </w:pPr>
      <w:r w:rsidRPr="00A0054B">
        <w:rPr>
          <w:rFonts w:ascii="Palatino Linotype" w:hAnsi="Palatino Linotype"/>
        </w:rPr>
        <w:lastRenderedPageBreak/>
        <w:t>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w:t>
      </w:r>
      <w:r>
        <w:rPr>
          <w:rFonts w:ascii="Palatino Linotype" w:hAnsi="Palatino Linotype"/>
        </w:rPr>
        <w:t xml:space="preserve">; </w:t>
      </w:r>
      <w:r w:rsidRPr="00A0054B">
        <w:rPr>
          <w:rFonts w:ascii="Palatino Linotype" w:hAnsi="Palatino Linotype"/>
        </w:rPr>
        <w:t xml:space="preserve">LUIS GUSTAVO PARRA NORIEGA Y GUADALUPE RAMÍREZ PEÑA EN LA </w:t>
      </w:r>
      <w:r>
        <w:rPr>
          <w:rFonts w:ascii="Palatino Linotype" w:hAnsi="Palatino Linotype"/>
        </w:rPr>
        <w:t>DÉCIMA</w:t>
      </w:r>
      <w:r w:rsidRPr="00A0054B">
        <w:rPr>
          <w:rFonts w:ascii="Palatino Linotype" w:hAnsi="Palatino Linotype"/>
        </w:rPr>
        <w:t xml:space="preserve"> </w:t>
      </w:r>
      <w:r>
        <w:rPr>
          <w:rFonts w:ascii="Palatino Linotype" w:hAnsi="Palatino Linotype"/>
        </w:rPr>
        <w:t xml:space="preserve">NOVENA </w:t>
      </w:r>
      <w:r w:rsidRPr="00A0054B">
        <w:rPr>
          <w:rFonts w:ascii="Palatino Linotype" w:hAnsi="Palatino Linotype"/>
        </w:rPr>
        <w:t xml:space="preserve">SESIÓN ORDINARIA CELEBRADA EL </w:t>
      </w:r>
      <w:r>
        <w:rPr>
          <w:rFonts w:ascii="Palatino Linotype" w:hAnsi="Palatino Linotype"/>
        </w:rPr>
        <w:t>VEINTICINCO (25)</w:t>
      </w:r>
      <w:r w:rsidRPr="00A0054B">
        <w:rPr>
          <w:rFonts w:ascii="Palatino Linotype" w:hAnsi="Palatino Linotype"/>
        </w:rPr>
        <w:t xml:space="preserve"> DE </w:t>
      </w:r>
      <w:r>
        <w:rPr>
          <w:rFonts w:ascii="Palatino Linotype" w:hAnsi="Palatino Linotype"/>
        </w:rPr>
        <w:t>MAYO</w:t>
      </w:r>
      <w:r w:rsidRPr="00A0054B">
        <w:rPr>
          <w:rFonts w:ascii="Palatino Linotype" w:hAnsi="Palatino Linotype"/>
        </w:rPr>
        <w:t xml:space="preserve"> DE DOS MIL VEINTIDÓS, ANTE EL SECRETARIO TÉCNICO DEL PLENO ALEXIS TAPIA RAMÍREZ</w:t>
      </w:r>
      <w:r>
        <w:rPr>
          <w:rFonts w:ascii="Palatino Linotype" w:hAnsi="Palatino Linotype"/>
        </w:rPr>
        <w:t>.</w:t>
      </w:r>
      <w:r w:rsidRPr="00624AAD">
        <w:rPr>
          <w:rFonts w:ascii="Palatino Linotype" w:hAnsi="Palatino Linotype"/>
        </w:rPr>
        <w:t xml:space="preserve"> </w:t>
      </w:r>
    </w:p>
    <w:p w14:paraId="4578F588" w14:textId="7DAE1896" w:rsidR="00191180" w:rsidRPr="00A3599E" w:rsidRDefault="00191180" w:rsidP="006F7BEF">
      <w:pPr>
        <w:suppressAutoHyphens w:val="0"/>
        <w:spacing w:before="240" w:after="240" w:line="360" w:lineRule="auto"/>
        <w:ind w:firstLine="1"/>
        <w:jc w:val="both"/>
        <w:rPr>
          <w:rFonts w:ascii="Palatino Linotype" w:hAnsi="Palatino Linotype"/>
          <w:lang w:val="es-ES_tradnl"/>
        </w:rPr>
      </w:pPr>
    </w:p>
    <w:sectPr w:rsidR="00191180" w:rsidRPr="00A3599E">
      <w:headerReference w:type="default" r:id="rId9"/>
      <w:footerReference w:type="default" r:id="rId10"/>
      <w:headerReference w:type="first" r:id="rId11"/>
      <w:footerReference w:type="first" r:id="rId12"/>
      <w:pgSz w:w="12240" w:h="15840"/>
      <w:pgMar w:top="1418" w:right="1418" w:bottom="1418" w:left="1701" w:header="709" w:footer="10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7D45E" w14:textId="77777777" w:rsidR="00AB2464" w:rsidRDefault="00AB2464" w:rsidP="00B41C9D">
      <w:r>
        <w:separator/>
      </w:r>
    </w:p>
  </w:endnote>
  <w:endnote w:type="continuationSeparator" w:id="0">
    <w:p w14:paraId="3815A020" w14:textId="77777777" w:rsidR="00AB2464" w:rsidRDefault="00AB2464" w:rsidP="00B41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Palatino">
    <w:charset w:val="00"/>
    <w:family w:val="auto"/>
    <w:pitch w:val="variable"/>
    <w:sig w:usb0="A00002FF" w:usb1="7800205A" w:usb2="14600000" w:usb3="00000000" w:csb0="00000193"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4BB49" w14:textId="2F633885" w:rsidR="006F2D5B" w:rsidRDefault="006F2D5B">
    <w:pPr>
      <w:pStyle w:val="Piedepgina"/>
      <w:jc w:val="right"/>
      <w:rPr>
        <w:rFonts w:ascii="Palatino Linotype" w:hAnsi="Palatino Linotype" w:cs="Arial"/>
        <w:bCs/>
      </w:rPr>
    </w:pPr>
    <w:r>
      <w:rPr>
        <w:rFonts w:ascii="Palatino Linotype" w:hAnsi="Palatino Linotype" w:cs="Arial"/>
        <w:bCs/>
      </w:rPr>
      <w:t xml:space="preserve">Página </w:t>
    </w:r>
    <w:r>
      <w:rPr>
        <w:rFonts w:ascii="Palatino Linotype" w:hAnsi="Palatino Linotype" w:cs="Arial"/>
        <w:bCs/>
      </w:rPr>
      <w:fldChar w:fldCharType="begin"/>
    </w:r>
    <w:r>
      <w:rPr>
        <w:rFonts w:ascii="Palatino Linotype" w:hAnsi="Palatino Linotype" w:cs="Arial"/>
        <w:bCs/>
      </w:rPr>
      <w:instrText>PAGE</w:instrText>
    </w:r>
    <w:r>
      <w:rPr>
        <w:rFonts w:ascii="Palatino Linotype" w:hAnsi="Palatino Linotype" w:cs="Arial"/>
        <w:bCs/>
      </w:rPr>
      <w:fldChar w:fldCharType="separate"/>
    </w:r>
    <w:r w:rsidR="001232C7">
      <w:rPr>
        <w:rFonts w:ascii="Palatino Linotype" w:hAnsi="Palatino Linotype" w:cs="Arial"/>
        <w:bCs/>
        <w:noProof/>
      </w:rPr>
      <w:t>21</w:t>
    </w:r>
    <w:r>
      <w:rPr>
        <w:rFonts w:ascii="Palatino Linotype" w:hAnsi="Palatino Linotype" w:cs="Arial"/>
        <w:bCs/>
      </w:rPr>
      <w:fldChar w:fldCharType="end"/>
    </w:r>
    <w:r>
      <w:rPr>
        <w:rFonts w:ascii="Palatino Linotype" w:hAnsi="Palatino Linotype" w:cs="Arial"/>
        <w:bCs/>
      </w:rPr>
      <w:t xml:space="preserve"> de </w:t>
    </w:r>
    <w:r>
      <w:rPr>
        <w:rFonts w:ascii="Palatino Linotype" w:hAnsi="Palatino Linotype" w:cs="Arial"/>
        <w:bCs/>
      </w:rPr>
      <w:fldChar w:fldCharType="begin"/>
    </w:r>
    <w:r>
      <w:rPr>
        <w:rFonts w:ascii="Palatino Linotype" w:hAnsi="Palatino Linotype" w:cs="Arial"/>
        <w:bCs/>
      </w:rPr>
      <w:instrText>NUMPAGES</w:instrText>
    </w:r>
    <w:r>
      <w:rPr>
        <w:rFonts w:ascii="Palatino Linotype" w:hAnsi="Palatino Linotype" w:cs="Arial"/>
        <w:bCs/>
      </w:rPr>
      <w:fldChar w:fldCharType="separate"/>
    </w:r>
    <w:r w:rsidR="001232C7">
      <w:rPr>
        <w:rFonts w:ascii="Palatino Linotype" w:hAnsi="Palatino Linotype" w:cs="Arial"/>
        <w:bCs/>
        <w:noProof/>
      </w:rPr>
      <w:t>63</w:t>
    </w:r>
    <w:r>
      <w:rPr>
        <w:rFonts w:ascii="Palatino Linotype" w:hAnsi="Palatino Linotype" w:cs="Arial"/>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B1A9B" w14:textId="4D1D04B9" w:rsidR="006F2D5B" w:rsidRDefault="006F2D5B">
    <w:pPr>
      <w:pStyle w:val="Piedepgina"/>
      <w:spacing w:before="120"/>
      <w:jc w:val="right"/>
      <w:rPr>
        <w:rFonts w:ascii="Palatino Linotype" w:hAnsi="Palatino Linotype" w:cs="Arial"/>
        <w:bCs/>
      </w:rPr>
    </w:pPr>
    <w:r>
      <w:rPr>
        <w:rFonts w:ascii="Palatino Linotype" w:hAnsi="Palatino Linotype" w:cs="Arial"/>
        <w:bCs/>
      </w:rPr>
      <w:t xml:space="preserve">Página </w:t>
    </w:r>
    <w:r>
      <w:rPr>
        <w:rFonts w:ascii="Palatino Linotype" w:hAnsi="Palatino Linotype" w:cs="Arial"/>
        <w:bCs/>
      </w:rPr>
      <w:fldChar w:fldCharType="begin"/>
    </w:r>
    <w:r>
      <w:rPr>
        <w:rFonts w:ascii="Palatino Linotype" w:hAnsi="Palatino Linotype" w:cs="Arial"/>
        <w:bCs/>
      </w:rPr>
      <w:instrText>PAGE</w:instrText>
    </w:r>
    <w:r>
      <w:rPr>
        <w:rFonts w:ascii="Palatino Linotype" w:hAnsi="Palatino Linotype" w:cs="Arial"/>
        <w:bCs/>
      </w:rPr>
      <w:fldChar w:fldCharType="separate"/>
    </w:r>
    <w:r w:rsidR="001232C7">
      <w:rPr>
        <w:rFonts w:ascii="Palatino Linotype" w:hAnsi="Palatino Linotype" w:cs="Arial"/>
        <w:bCs/>
        <w:noProof/>
      </w:rPr>
      <w:t>1</w:t>
    </w:r>
    <w:r>
      <w:rPr>
        <w:rFonts w:ascii="Palatino Linotype" w:hAnsi="Palatino Linotype" w:cs="Arial"/>
        <w:bCs/>
      </w:rPr>
      <w:fldChar w:fldCharType="end"/>
    </w:r>
    <w:r>
      <w:rPr>
        <w:rFonts w:ascii="Palatino Linotype" w:hAnsi="Palatino Linotype" w:cs="Arial"/>
      </w:rPr>
      <w:t xml:space="preserve"> de </w:t>
    </w:r>
    <w:r>
      <w:rPr>
        <w:rFonts w:ascii="Palatino Linotype" w:hAnsi="Palatino Linotype" w:cs="Arial"/>
        <w:bCs/>
      </w:rPr>
      <w:fldChar w:fldCharType="begin"/>
    </w:r>
    <w:r>
      <w:rPr>
        <w:rFonts w:ascii="Palatino Linotype" w:hAnsi="Palatino Linotype" w:cs="Arial"/>
        <w:bCs/>
      </w:rPr>
      <w:instrText>NUMPAGES</w:instrText>
    </w:r>
    <w:r>
      <w:rPr>
        <w:rFonts w:ascii="Palatino Linotype" w:hAnsi="Palatino Linotype" w:cs="Arial"/>
        <w:bCs/>
      </w:rPr>
      <w:fldChar w:fldCharType="separate"/>
    </w:r>
    <w:r w:rsidR="001232C7">
      <w:rPr>
        <w:rFonts w:ascii="Palatino Linotype" w:hAnsi="Palatino Linotype" w:cs="Arial"/>
        <w:bCs/>
        <w:noProof/>
      </w:rPr>
      <w:t>63</w:t>
    </w:r>
    <w:r>
      <w:rPr>
        <w:rFonts w:ascii="Palatino Linotype" w:hAnsi="Palatino Linotype"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1E232" w14:textId="77777777" w:rsidR="00AB2464" w:rsidRDefault="00AB2464" w:rsidP="00B41C9D">
      <w:r>
        <w:separator/>
      </w:r>
    </w:p>
  </w:footnote>
  <w:footnote w:type="continuationSeparator" w:id="0">
    <w:p w14:paraId="6C3127FB" w14:textId="77777777" w:rsidR="00AB2464" w:rsidRDefault="00AB2464" w:rsidP="00B41C9D">
      <w:r>
        <w:continuationSeparator/>
      </w:r>
    </w:p>
  </w:footnote>
  <w:footnote w:id="1">
    <w:p w14:paraId="4E420C67" w14:textId="06C62EDB" w:rsidR="006F2D5B" w:rsidRPr="00780970" w:rsidRDefault="006F2D5B" w:rsidP="00780970">
      <w:pPr>
        <w:tabs>
          <w:tab w:val="left" w:pos="0"/>
        </w:tabs>
        <w:suppressAutoHyphens w:val="0"/>
        <w:ind w:right="567"/>
        <w:jc w:val="both"/>
        <w:rPr>
          <w:rFonts w:ascii="Palatino Linotype" w:hAnsi="Palatino Linotype"/>
          <w:i/>
          <w:color w:val="000000"/>
          <w:sz w:val="20"/>
          <w:lang w:val="es-ES_tradnl"/>
        </w:rPr>
      </w:pPr>
      <w:r w:rsidRPr="00780970">
        <w:rPr>
          <w:rStyle w:val="Refdenotaalpie"/>
          <w:sz w:val="20"/>
        </w:rPr>
        <w:footnoteRef/>
      </w:r>
      <w:r w:rsidRPr="00780970">
        <w:rPr>
          <w:sz w:val="20"/>
        </w:rPr>
        <w:t xml:space="preserve"> </w:t>
      </w:r>
      <w:r w:rsidRPr="00780970">
        <w:rPr>
          <w:rFonts w:ascii="Palatino Linotype" w:hAnsi="Palatino Linotype"/>
          <w:i/>
          <w:color w:val="000000"/>
          <w:sz w:val="20"/>
          <w:lang w:val="es-ES_tradnl"/>
        </w:rPr>
        <w:t>“</w:t>
      </w:r>
      <w:r w:rsidRPr="00780970">
        <w:rPr>
          <w:rFonts w:ascii="Palatino Linotype" w:hAnsi="Palatino Linotype"/>
          <w:b/>
          <w:i/>
          <w:color w:val="000000"/>
          <w:sz w:val="20"/>
          <w:lang w:val="es-ES_tradnl"/>
        </w:rPr>
        <w:t>Artículo 179.</w:t>
      </w:r>
      <w:r w:rsidRPr="00780970">
        <w:rPr>
          <w:rFonts w:ascii="Palatino Linotype" w:hAnsi="Palatino Linotype"/>
          <w:i/>
          <w:color w:val="000000"/>
          <w:sz w:val="20"/>
          <w:lang w:val="es-ES_tradnl"/>
        </w:rPr>
        <w:t xml:space="preserve"> El recurso de revisión es un medio de protección que la Ley otorga a los particulares, para hacer valer su derecho de acceso a la información pública, y procederá en contra de las siguientes causas:</w:t>
      </w:r>
    </w:p>
    <w:p w14:paraId="56E2AEEC" w14:textId="77777777" w:rsidR="006F2D5B" w:rsidRPr="00780970" w:rsidRDefault="006F2D5B" w:rsidP="00780970">
      <w:pPr>
        <w:tabs>
          <w:tab w:val="left" w:pos="0"/>
        </w:tabs>
        <w:suppressAutoHyphens w:val="0"/>
        <w:ind w:right="567"/>
        <w:jc w:val="both"/>
        <w:rPr>
          <w:rFonts w:ascii="Palatino Linotype" w:hAnsi="Palatino Linotype"/>
          <w:i/>
          <w:color w:val="000000"/>
          <w:sz w:val="20"/>
          <w:lang w:val="es-ES_tradnl"/>
        </w:rPr>
      </w:pPr>
      <w:r w:rsidRPr="00780970">
        <w:rPr>
          <w:rFonts w:ascii="Palatino Linotype" w:hAnsi="Palatino Linotype"/>
          <w:b/>
          <w:bCs/>
          <w:i/>
          <w:color w:val="000000"/>
          <w:sz w:val="20"/>
          <w:lang w:val="es-ES_tradnl"/>
        </w:rPr>
        <w:t>I.</w:t>
      </w:r>
      <w:r w:rsidRPr="00780970">
        <w:rPr>
          <w:rFonts w:ascii="Palatino Linotype" w:hAnsi="Palatino Linotype"/>
          <w:i/>
          <w:color w:val="000000"/>
          <w:sz w:val="20"/>
          <w:lang w:val="es-ES_tradnl"/>
        </w:rPr>
        <w:t xml:space="preserve"> La negativa a la información solicitada;</w:t>
      </w:r>
    </w:p>
    <w:p w14:paraId="515D75F7" w14:textId="77777777" w:rsidR="006F2D5B" w:rsidRPr="00780970" w:rsidRDefault="006F2D5B" w:rsidP="00780970">
      <w:pPr>
        <w:tabs>
          <w:tab w:val="left" w:pos="0"/>
        </w:tabs>
        <w:suppressAutoHyphens w:val="0"/>
        <w:ind w:right="567"/>
        <w:jc w:val="both"/>
        <w:rPr>
          <w:rFonts w:ascii="Palatino Linotype" w:hAnsi="Palatino Linotype"/>
          <w:i/>
          <w:color w:val="000000"/>
          <w:sz w:val="20"/>
          <w:lang w:val="es-ES_tradnl"/>
        </w:rPr>
      </w:pPr>
      <w:r w:rsidRPr="00780970">
        <w:rPr>
          <w:rFonts w:ascii="Palatino Linotype" w:hAnsi="Palatino Linotype"/>
          <w:i/>
          <w:color w:val="000000"/>
          <w:sz w:val="20"/>
          <w:lang w:val="es-ES_tradnl"/>
        </w:rPr>
        <w:t>(…)</w:t>
      </w:r>
    </w:p>
    <w:p w14:paraId="09836398" w14:textId="77777777" w:rsidR="006F2D5B" w:rsidRPr="00780970" w:rsidRDefault="006F2D5B" w:rsidP="00780970">
      <w:pPr>
        <w:tabs>
          <w:tab w:val="left" w:pos="0"/>
        </w:tabs>
        <w:suppressAutoHyphens w:val="0"/>
        <w:ind w:right="567"/>
        <w:jc w:val="both"/>
        <w:rPr>
          <w:rFonts w:ascii="Palatino Linotype" w:hAnsi="Palatino Linotype"/>
          <w:i/>
          <w:color w:val="000000"/>
          <w:sz w:val="20"/>
          <w:lang w:val="es-ES_tradnl"/>
        </w:rPr>
      </w:pPr>
      <w:r w:rsidRPr="00780970">
        <w:rPr>
          <w:rFonts w:ascii="Palatino Linotype" w:hAnsi="Palatino Linotype"/>
          <w:b/>
          <w:bCs/>
          <w:i/>
          <w:color w:val="000000"/>
          <w:sz w:val="20"/>
          <w:lang w:val="es-ES_tradnl"/>
        </w:rPr>
        <w:t>VII.</w:t>
      </w:r>
      <w:r w:rsidRPr="00780970">
        <w:rPr>
          <w:rFonts w:ascii="Palatino Linotype" w:hAnsi="Palatino Linotype"/>
          <w:i/>
          <w:color w:val="000000"/>
          <w:sz w:val="20"/>
          <w:lang w:val="es-ES_tradnl"/>
        </w:rPr>
        <w:t xml:space="preserve"> La falta de respuesta a una solicitud de acceso a la información;</w:t>
      </w:r>
    </w:p>
    <w:p w14:paraId="1090700D" w14:textId="77777777" w:rsidR="006F2D5B" w:rsidRPr="00780970" w:rsidRDefault="006F2D5B" w:rsidP="00780970">
      <w:pPr>
        <w:tabs>
          <w:tab w:val="left" w:pos="0"/>
        </w:tabs>
        <w:suppressAutoHyphens w:val="0"/>
        <w:ind w:right="567"/>
        <w:jc w:val="both"/>
        <w:rPr>
          <w:rFonts w:ascii="Palatino Linotype" w:hAnsi="Palatino Linotype"/>
          <w:i/>
          <w:color w:val="000000"/>
          <w:sz w:val="20"/>
          <w:lang w:val="es-ES_tradnl"/>
        </w:rPr>
      </w:pPr>
      <w:r w:rsidRPr="00780970">
        <w:rPr>
          <w:rFonts w:ascii="Palatino Linotype" w:hAnsi="Palatino Linotype"/>
          <w:i/>
          <w:color w:val="000000"/>
          <w:sz w:val="20"/>
          <w:lang w:val="es-ES_tradnl"/>
        </w:rPr>
        <w:t>(…)”</w:t>
      </w:r>
    </w:p>
    <w:p w14:paraId="21FBCC2E" w14:textId="2458ECDC" w:rsidR="006F2D5B" w:rsidRDefault="006F2D5B">
      <w:pPr>
        <w:pStyle w:val="Textonotapie"/>
      </w:pPr>
    </w:p>
  </w:footnote>
  <w:footnote w:id="2">
    <w:p w14:paraId="4371D73E" w14:textId="77777777" w:rsidR="006F2D5B" w:rsidRDefault="006F2D5B" w:rsidP="00191180">
      <w:pPr>
        <w:pStyle w:val="Textonotapie"/>
      </w:pPr>
      <w:r>
        <w:rPr>
          <w:rStyle w:val="Refdenotaalpie"/>
        </w:rPr>
        <w:footnoteRef/>
      </w:r>
      <w:r>
        <w:t xml:space="preserve"> Convención Americana sobre Derechos Humanos. Artículo 13.</w:t>
      </w:r>
    </w:p>
  </w:footnote>
  <w:footnote w:id="3">
    <w:p w14:paraId="015B3E2B" w14:textId="77777777" w:rsidR="006F2D5B" w:rsidRDefault="006F2D5B" w:rsidP="00191180">
      <w:pPr>
        <w:pStyle w:val="Textonotapie"/>
      </w:pPr>
      <w:r>
        <w:rPr>
          <w:rStyle w:val="Refdenotaalpie"/>
        </w:rPr>
        <w:footnoteRef/>
      </w:r>
      <w:r>
        <w:t xml:space="preserve"> Constitución Política de los Estados Unidos Mexicanos. Artículo sexto, sección A, fracción I.</w:t>
      </w:r>
    </w:p>
  </w:footnote>
  <w:footnote w:id="4">
    <w:p w14:paraId="246CA687" w14:textId="77777777" w:rsidR="006F2D5B" w:rsidRDefault="006F2D5B" w:rsidP="00191180">
      <w:pPr>
        <w:pStyle w:val="Textonotapie"/>
      </w:pPr>
      <w:r>
        <w:rPr>
          <w:rStyle w:val="Refdenotaalpie"/>
        </w:rPr>
        <w:footnoteRef/>
      </w:r>
      <w:r>
        <w:t xml:space="preserve"> Corte Interamericana de Derechos Humanos. Caso Claude Reyes y otros vs. Chile. Sentencia de 19 de septiembre de 2006. Serie C. No. 151. Párr. 86.</w:t>
      </w:r>
    </w:p>
  </w:footnote>
  <w:footnote w:id="5">
    <w:p w14:paraId="773D57A4" w14:textId="77777777" w:rsidR="006F2D5B" w:rsidRDefault="006F2D5B" w:rsidP="00191180">
      <w:pPr>
        <w:pStyle w:val="Textonotapie"/>
      </w:pPr>
      <w:r>
        <w:rPr>
          <w:rStyle w:val="Refdenotaalpie"/>
        </w:rPr>
        <w:footnoteRef/>
      </w:r>
      <w:r>
        <w:t xml:space="preserve"> Ibídem. </w:t>
      </w:r>
      <w:proofErr w:type="spellStart"/>
      <w:r>
        <w:t>Parr</w:t>
      </w:r>
      <w:proofErr w:type="spellEnd"/>
      <w:r>
        <w:t>. 87.</w:t>
      </w:r>
    </w:p>
  </w:footnote>
  <w:footnote w:id="6">
    <w:p w14:paraId="075828AD" w14:textId="77777777" w:rsidR="006F2D5B" w:rsidRDefault="006F2D5B" w:rsidP="00191180">
      <w:pPr>
        <w:pStyle w:val="Textonotapie"/>
      </w:pPr>
      <w:r>
        <w:rPr>
          <w:rStyle w:val="Refdenotaalpie"/>
        </w:rPr>
        <w:footnoteRef/>
      </w:r>
      <w:r>
        <w:t xml:space="preserve"> </w:t>
      </w:r>
      <w:proofErr w:type="spellStart"/>
      <w:r>
        <w:t>Ferrajoli</w:t>
      </w:r>
      <w:proofErr w:type="spellEnd"/>
      <w:r>
        <w:t>, Luigi</w:t>
      </w:r>
      <w:proofErr w:type="gramStart"/>
      <w:r>
        <w:t>.(</w:t>
      </w:r>
      <w:proofErr w:type="gramEnd"/>
      <w:r>
        <w:t xml:space="preserve">2013). </w:t>
      </w:r>
      <w:r w:rsidRPr="00A55292">
        <w:rPr>
          <w:i/>
        </w:rPr>
        <w:t xml:space="preserve">Tomo </w:t>
      </w:r>
      <w:proofErr w:type="gramStart"/>
      <w:r w:rsidRPr="00A55292">
        <w:rPr>
          <w:i/>
        </w:rPr>
        <w:t>I ,Principia</w:t>
      </w:r>
      <w:proofErr w:type="gramEnd"/>
      <w:r w:rsidRPr="00A55292">
        <w:rPr>
          <w:i/>
        </w:rPr>
        <w:t xml:space="preserve"> iuris Teoría del derecho y de la democracia. Teoría del derecho</w:t>
      </w:r>
      <w:r>
        <w:t>. Madrid</w:t>
      </w:r>
      <w:proofErr w:type="gramStart"/>
      <w:r>
        <w:t>:Trotta,676</w:t>
      </w:r>
      <w:proofErr w:type="gramEnd"/>
      <w:r>
        <w:t xml:space="preserve"> páginas. </w:t>
      </w:r>
    </w:p>
  </w:footnote>
  <w:footnote w:id="7">
    <w:p w14:paraId="5C1D3AE7" w14:textId="77777777" w:rsidR="006F2D5B" w:rsidRPr="00985DD4" w:rsidRDefault="006F2D5B" w:rsidP="00191180">
      <w:pPr>
        <w:autoSpaceDE w:val="0"/>
        <w:autoSpaceDN w:val="0"/>
        <w:adjustRightInd w:val="0"/>
        <w:spacing w:line="276" w:lineRule="auto"/>
        <w:jc w:val="both"/>
        <w:rPr>
          <w:rFonts w:cs="Arial"/>
          <w:sz w:val="20"/>
          <w:szCs w:val="20"/>
        </w:rPr>
      </w:pPr>
      <w:r>
        <w:rPr>
          <w:rStyle w:val="Refdenotaalpie"/>
        </w:rPr>
        <w:footnoteRef/>
      </w:r>
      <w:r>
        <w:t xml:space="preserve"> </w:t>
      </w:r>
      <w:r w:rsidRPr="00985DD4">
        <w:rPr>
          <w:rFonts w:cs="Arial"/>
          <w:b/>
          <w:bCs/>
          <w:sz w:val="20"/>
          <w:szCs w:val="20"/>
        </w:rPr>
        <w:t xml:space="preserve">Artículo 122. </w:t>
      </w:r>
      <w:r w:rsidRPr="00985DD4">
        <w:rPr>
          <w:rFonts w:cs="Arial"/>
          <w:sz w:val="20"/>
          <w:szCs w:val="20"/>
        </w:rPr>
        <w:t xml:space="preserve">La clasificación es el proceso mediante el cual el sujeto obligado determina que la información en su poder </w:t>
      </w:r>
      <w:proofErr w:type="spellStart"/>
      <w:r w:rsidRPr="00985DD4">
        <w:rPr>
          <w:rFonts w:cs="Arial"/>
          <w:sz w:val="20"/>
          <w:szCs w:val="20"/>
        </w:rPr>
        <w:t>actualiza</w:t>
      </w:r>
      <w:proofErr w:type="spellEnd"/>
      <w:r w:rsidRPr="00985DD4">
        <w:rPr>
          <w:rFonts w:cs="Arial"/>
          <w:sz w:val="20"/>
          <w:szCs w:val="20"/>
        </w:rPr>
        <w:t xml:space="preserve"> alguno de los supuestos de reserva o confidencialidad, de conformidad con lo dispuesto en el presente título.</w:t>
      </w:r>
    </w:p>
    <w:p w14:paraId="6869A9C0" w14:textId="77777777" w:rsidR="006F2D5B" w:rsidRPr="00985DD4" w:rsidRDefault="006F2D5B" w:rsidP="00191180">
      <w:pPr>
        <w:autoSpaceDE w:val="0"/>
        <w:autoSpaceDN w:val="0"/>
        <w:adjustRightInd w:val="0"/>
        <w:spacing w:line="276" w:lineRule="auto"/>
        <w:jc w:val="both"/>
        <w:rPr>
          <w:rFonts w:cs="Arial"/>
          <w:sz w:val="20"/>
          <w:szCs w:val="20"/>
        </w:rPr>
      </w:pPr>
      <w:r w:rsidRPr="00985DD4">
        <w:rPr>
          <w:rFonts w:cs="Arial"/>
          <w:sz w:val="20"/>
          <w:szCs w:val="20"/>
        </w:rPr>
        <w:t>Los supuestos de reserva o confidencialidad previstos en las leyes deberán ser acordes con las bases, principios y disposiciones establecidos en la Ley General y, en ningún caso, podrán contravenirla.</w:t>
      </w:r>
    </w:p>
    <w:p w14:paraId="38A211ED" w14:textId="77777777" w:rsidR="006F2D5B" w:rsidRPr="00BE13A0" w:rsidRDefault="006F2D5B" w:rsidP="00191180">
      <w:pPr>
        <w:autoSpaceDE w:val="0"/>
        <w:autoSpaceDN w:val="0"/>
        <w:adjustRightInd w:val="0"/>
        <w:spacing w:line="276" w:lineRule="auto"/>
        <w:jc w:val="both"/>
        <w:rPr>
          <w:rFonts w:cs="Arial"/>
          <w:sz w:val="20"/>
          <w:szCs w:val="20"/>
        </w:rPr>
      </w:pPr>
      <w:r w:rsidRPr="00985DD4">
        <w:rPr>
          <w:rFonts w:cs="Arial"/>
          <w:sz w:val="20"/>
          <w:szCs w:val="20"/>
        </w:rPr>
        <w:t>Los titulares de las áreas de los sujetos obligados serán los responsables de clasificar la información, de conformidad con lo dispuesto en la presente Ley y demás disposiciones jurídicas aplicables.</w:t>
      </w:r>
    </w:p>
  </w:footnote>
  <w:footnote w:id="8">
    <w:p w14:paraId="3C968F82" w14:textId="77777777" w:rsidR="006F2D5B" w:rsidRPr="00985DD4" w:rsidRDefault="006F2D5B" w:rsidP="00191180">
      <w:pPr>
        <w:autoSpaceDE w:val="0"/>
        <w:autoSpaceDN w:val="0"/>
        <w:adjustRightInd w:val="0"/>
        <w:spacing w:line="276" w:lineRule="auto"/>
        <w:jc w:val="both"/>
        <w:rPr>
          <w:rFonts w:cs="Arial"/>
          <w:sz w:val="20"/>
          <w:szCs w:val="20"/>
        </w:rPr>
      </w:pPr>
      <w:r w:rsidRPr="00985DD4">
        <w:rPr>
          <w:rStyle w:val="Refdenotaalpie"/>
        </w:rPr>
        <w:footnoteRef/>
      </w:r>
      <w:r w:rsidRPr="00985DD4">
        <w:rPr>
          <w:sz w:val="20"/>
          <w:szCs w:val="20"/>
        </w:rPr>
        <w:t xml:space="preserve"> </w:t>
      </w:r>
      <w:r w:rsidRPr="00985DD4">
        <w:rPr>
          <w:rFonts w:cs="Arial"/>
          <w:b/>
          <w:sz w:val="20"/>
          <w:szCs w:val="20"/>
        </w:rPr>
        <w:t>Artículo 135.</w:t>
      </w:r>
      <w:r w:rsidRPr="00985DD4">
        <w:rPr>
          <w:rFonts w:cs="Arial"/>
          <w:sz w:val="20"/>
          <w:szCs w:val="20"/>
        </w:rPr>
        <w:t xml:space="preserve"> Los lineamientos generales que se emitan al respecto en materia de clasificación de la información reservada y confidencial y, para la elaboración de versiones públicas, serán de observancia obligatoria para los sujetos obligados.</w:t>
      </w:r>
    </w:p>
  </w:footnote>
  <w:footnote w:id="9">
    <w:p w14:paraId="770C42F8" w14:textId="77777777" w:rsidR="006F2D5B" w:rsidRDefault="006F2D5B" w:rsidP="00191180">
      <w:pPr>
        <w:pStyle w:val="Textonotapie"/>
        <w:jc w:val="both"/>
      </w:pPr>
      <w:r>
        <w:rPr>
          <w:rStyle w:val="Refdenotaalpie"/>
        </w:rPr>
        <w:footnoteRef/>
      </w:r>
      <w:r w:rsidRPr="00266430">
        <w:rPr>
          <w:lang w:val="es-ES"/>
        </w:rPr>
        <w:t xml:space="preserve"> </w:t>
      </w:r>
      <w:r w:rsidRPr="00266430">
        <w:rPr>
          <w:b/>
        </w:rPr>
        <w:t>RESTRICCIONES A LOS DERECHOS FUNDAMENTALES. ELEMENTOS QUE EL JUEZ CONSTITUCIONAL DEBE TOMAR EN CUENTA PARA CONSIDERARLAS VÁLIDAS.</w:t>
      </w:r>
      <w:r w:rsidRPr="00266430">
        <w:t xml:space="preserve"> </w:t>
      </w:r>
      <w:proofErr w:type="spellStart"/>
      <w:r w:rsidRPr="00266430">
        <w:t>Ningún</w:t>
      </w:r>
      <w:proofErr w:type="spellEnd"/>
      <w:r w:rsidRPr="00266430">
        <w:t xml:space="preserve"> derecho fundamental es absoluto y en esa medida todos admiten restricciones. Sin embargo, la </w:t>
      </w:r>
      <w:proofErr w:type="spellStart"/>
      <w:r w:rsidRPr="00266430">
        <w:t>regulación</w:t>
      </w:r>
      <w:proofErr w:type="spellEnd"/>
      <w:r w:rsidRPr="00266430">
        <w:t xml:space="preserve"> de dichas restricciones no puede ser arbitraria. Para que las medidas emitidas por el legislador ordinario con el </w:t>
      </w:r>
      <w:proofErr w:type="spellStart"/>
      <w:r w:rsidRPr="00266430">
        <w:t>propósito</w:t>
      </w:r>
      <w:proofErr w:type="spellEnd"/>
      <w:r w:rsidRPr="00266430">
        <w:t xml:space="preserve"> de restringir los derechos fundamentales sean </w:t>
      </w:r>
      <w:proofErr w:type="spellStart"/>
      <w:r w:rsidRPr="00266430">
        <w:t>válidas</w:t>
      </w:r>
      <w:proofErr w:type="spellEnd"/>
      <w:r w:rsidRPr="00266430">
        <w:t xml:space="preserve">, deben satisfacer al menos los siguientes requisitos: a) ser admisibles dentro del </w:t>
      </w:r>
      <w:proofErr w:type="spellStart"/>
      <w:r w:rsidRPr="00266430">
        <w:t>ámbito</w:t>
      </w:r>
      <w:proofErr w:type="spellEnd"/>
      <w:r w:rsidRPr="00266430">
        <w:t xml:space="preserve"> constitucional, esto es, el legislador ordinario </w:t>
      </w:r>
      <w:proofErr w:type="spellStart"/>
      <w:r w:rsidRPr="00266430">
        <w:t>sólo</w:t>
      </w:r>
      <w:proofErr w:type="spellEnd"/>
      <w:r w:rsidRPr="00266430">
        <w:t xml:space="preserve"> puede restringir o suspender el ejercicio de las </w:t>
      </w:r>
      <w:proofErr w:type="spellStart"/>
      <w:r w:rsidRPr="00266430">
        <w:t>garantías</w:t>
      </w:r>
      <w:proofErr w:type="spellEnd"/>
      <w:r w:rsidRPr="00266430">
        <w:t xml:space="preserve"> individuales con objetivos que puedan enmarcarse dentro de las previsiones de la Carta Magna; b) ser necesarias para asegurar la </w:t>
      </w:r>
      <w:proofErr w:type="spellStart"/>
      <w:r w:rsidRPr="00266430">
        <w:t>obtención</w:t>
      </w:r>
      <w:proofErr w:type="spellEnd"/>
      <w:r w:rsidRPr="00266430">
        <w:t xml:space="preserve"> de los fines que fundamentan la </w:t>
      </w:r>
      <w:proofErr w:type="spellStart"/>
      <w:r w:rsidRPr="00266430">
        <w:t>restricción</w:t>
      </w:r>
      <w:proofErr w:type="spellEnd"/>
      <w:r w:rsidRPr="00266430">
        <w:t xml:space="preserve"> constitucional, es decir, no basta que la </w:t>
      </w:r>
      <w:proofErr w:type="spellStart"/>
      <w:r w:rsidRPr="00266430">
        <w:t>restricción</w:t>
      </w:r>
      <w:proofErr w:type="spellEnd"/>
      <w:r w:rsidRPr="00266430">
        <w:t xml:space="preserve"> sea en </w:t>
      </w:r>
      <w:proofErr w:type="spellStart"/>
      <w:r w:rsidRPr="00266430">
        <w:t>términos</w:t>
      </w:r>
      <w:proofErr w:type="spellEnd"/>
      <w:r w:rsidRPr="00266430">
        <w:t xml:space="preserve"> amplios </w:t>
      </w:r>
      <w:proofErr w:type="spellStart"/>
      <w:r w:rsidRPr="00266430">
        <w:t>útil</w:t>
      </w:r>
      <w:proofErr w:type="spellEnd"/>
      <w:r w:rsidRPr="00266430">
        <w:t xml:space="preserve"> para la </w:t>
      </w:r>
      <w:proofErr w:type="spellStart"/>
      <w:r w:rsidRPr="00266430">
        <w:t>obtención</w:t>
      </w:r>
      <w:proofErr w:type="spellEnd"/>
      <w:r w:rsidRPr="00266430">
        <w:t xml:space="preserve"> de esos objetivos, sino que debe ser la </w:t>
      </w:r>
      <w:proofErr w:type="spellStart"/>
      <w:r w:rsidRPr="00266430">
        <w:t>idónea</w:t>
      </w:r>
      <w:proofErr w:type="spellEnd"/>
      <w:r w:rsidRPr="00266430">
        <w:t xml:space="preserve"> para su </w:t>
      </w:r>
      <w:proofErr w:type="spellStart"/>
      <w:r w:rsidRPr="00266430">
        <w:t>realización</w:t>
      </w:r>
      <w:proofErr w:type="spellEnd"/>
      <w:r w:rsidRPr="00266430">
        <w:t xml:space="preserve">, lo que significa que el fin buscado por el legislador no se pueda alcanzar razonablemente por otros medios menos restrictivos de derechos fundamentales; y, c) ser proporcional, esto es, la medida legislativa debe respetar una correspondencia entre la importancia del fin buscado por la ley, y los efectos perjudiciales que produce en otros derechos e intereses constitucionales, en el entendido de que la </w:t>
      </w:r>
      <w:proofErr w:type="spellStart"/>
      <w:r w:rsidRPr="00266430">
        <w:t>persecución</w:t>
      </w:r>
      <w:proofErr w:type="spellEnd"/>
      <w:r w:rsidRPr="00266430">
        <w:t xml:space="preserve"> de un objetivo constitucional no puede hacerse a costa de una </w:t>
      </w:r>
      <w:proofErr w:type="spellStart"/>
      <w:r w:rsidRPr="00266430">
        <w:t>afectación</w:t>
      </w:r>
      <w:proofErr w:type="spellEnd"/>
      <w:r w:rsidRPr="00266430">
        <w:t xml:space="preserve"> innecesaria o desmedida a otros bienes y derechos constitucionalmente protegidos. </w:t>
      </w:r>
      <w:proofErr w:type="spellStart"/>
      <w:r w:rsidRPr="00266430">
        <w:t>Asi</w:t>
      </w:r>
      <w:proofErr w:type="spellEnd"/>
      <w:r w:rsidRPr="00266430">
        <w:t xml:space="preserve">́, el juzgador debe determinar en cada caso si la </w:t>
      </w:r>
      <w:proofErr w:type="spellStart"/>
      <w:r w:rsidRPr="00266430">
        <w:t>restricción</w:t>
      </w:r>
      <w:proofErr w:type="spellEnd"/>
      <w:r w:rsidRPr="00266430">
        <w:t xml:space="preserve"> legislativa a un derecho fundamental es, en primer lugar, admisible dadas las previsiones constitucionales, en segundo lugar, si es el medio necesario para proteger esos fines o intereses constitucionalmente amparados, al no existir opciones menos restrictivas que permitan alcanzarlos; y en tercer lugar, si la </w:t>
      </w:r>
      <w:proofErr w:type="spellStart"/>
      <w:r w:rsidRPr="00266430">
        <w:t>distinción</w:t>
      </w:r>
      <w:proofErr w:type="spellEnd"/>
      <w:r w:rsidRPr="00266430">
        <w:t xml:space="preserve"> legislativa se encuentra dentro de las opciones de tratamiento que pueden considerarse proporcionales. De igual manera, las restricciones </w:t>
      </w:r>
      <w:proofErr w:type="spellStart"/>
      <w:r w:rsidRPr="00266430">
        <w:t>deberán</w:t>
      </w:r>
      <w:proofErr w:type="spellEnd"/>
      <w:r w:rsidRPr="00266430">
        <w:t xml:space="preserve"> estar en consonancia con la ley, incluidas las normas internacionales de derechos humanos, y ser compatibles con la naturaleza de los derechos amparados por la </w:t>
      </w:r>
      <w:proofErr w:type="spellStart"/>
      <w:r w:rsidRPr="00266430">
        <w:t>Constitución</w:t>
      </w:r>
      <w:proofErr w:type="spellEnd"/>
      <w:r w:rsidRPr="00266430">
        <w:t xml:space="preserve">, en aras de la </w:t>
      </w:r>
      <w:proofErr w:type="spellStart"/>
      <w:r w:rsidRPr="00266430">
        <w:t>consecución</w:t>
      </w:r>
      <w:proofErr w:type="spellEnd"/>
      <w:r w:rsidRPr="00266430">
        <w:t xml:space="preserve"> de los objetivos </w:t>
      </w:r>
      <w:proofErr w:type="spellStart"/>
      <w:r w:rsidRPr="00266430">
        <w:t>legítimos</w:t>
      </w:r>
      <w:proofErr w:type="spellEnd"/>
      <w:r w:rsidRPr="00266430">
        <w:t xml:space="preserve"> perseguidos, y ser estrictamente necesarias para promover el bienestar general en una sociedad </w:t>
      </w:r>
      <w:proofErr w:type="spellStart"/>
      <w:r w:rsidRPr="00266430">
        <w:t>democrática</w:t>
      </w:r>
      <w:proofErr w:type="spellEnd"/>
      <w:r w:rsidRPr="00266430">
        <w:t xml:space="preserve">. </w:t>
      </w:r>
    </w:p>
    <w:p w14:paraId="2C720EA5" w14:textId="77777777" w:rsidR="006F2D5B" w:rsidRPr="00266430" w:rsidRDefault="006F2D5B" w:rsidP="00191180">
      <w:pPr>
        <w:pStyle w:val="Textonotapie"/>
        <w:jc w:val="both"/>
      </w:pPr>
      <w:r w:rsidRPr="00266430">
        <w:t>1a</w:t>
      </w:r>
      <w:proofErr w:type="gramStart"/>
      <w:r w:rsidRPr="00266430">
        <w:t>./</w:t>
      </w:r>
      <w:proofErr w:type="gramEnd"/>
      <w:r w:rsidRPr="00266430">
        <w:t xml:space="preserve">J. 2/2012 (9a.). Primera Sala. </w:t>
      </w:r>
      <w:proofErr w:type="spellStart"/>
      <w:r w:rsidRPr="00266430">
        <w:t>Décima</w:t>
      </w:r>
      <w:proofErr w:type="spellEnd"/>
      <w:r w:rsidRPr="00266430">
        <w:t xml:space="preserve"> </w:t>
      </w:r>
      <w:proofErr w:type="spellStart"/>
      <w:r w:rsidRPr="00266430">
        <w:t>Época</w:t>
      </w:r>
      <w:proofErr w:type="spellEnd"/>
      <w:r w:rsidRPr="00266430">
        <w:t xml:space="preserve">. Semanario Judicial de la </w:t>
      </w:r>
      <w:proofErr w:type="spellStart"/>
      <w:r w:rsidRPr="00266430">
        <w:t>Federación</w:t>
      </w:r>
      <w:proofErr w:type="spellEnd"/>
      <w:r w:rsidRPr="00266430">
        <w:t xml:space="preserve"> y su Gaceta. Libro V, Febrero de 2012, </w:t>
      </w:r>
      <w:proofErr w:type="spellStart"/>
      <w:r w:rsidRPr="00266430">
        <w:t>Pág</w:t>
      </w:r>
      <w:proofErr w:type="spellEnd"/>
      <w:r w:rsidRPr="00266430">
        <w:t xml:space="preserve">. 533.  </w:t>
      </w:r>
    </w:p>
  </w:footnote>
  <w:footnote w:id="10">
    <w:p w14:paraId="2EA88ECF" w14:textId="77777777" w:rsidR="006F2D5B" w:rsidRPr="00A870EF" w:rsidRDefault="006F2D5B" w:rsidP="00191180">
      <w:pPr>
        <w:pStyle w:val="Textonotapie"/>
        <w:jc w:val="both"/>
        <w:rPr>
          <w:lang w:val="es-ES"/>
        </w:rPr>
      </w:pPr>
      <w:r>
        <w:rPr>
          <w:rStyle w:val="Refdenotaalpie"/>
        </w:rPr>
        <w:footnoteRef/>
      </w:r>
      <w:r>
        <w:t xml:space="preserve"> “67. Según se ha interpretado por la jurisprudencia interamericana, el artículo 13.2 de la Convención Americana exige el cumplimiento de las siguientes tres condiciones básicas para que una limitación al derecho a la libertad de expresión sea admisible: (1) la limitación debe haber sido definida en forma precisa y clara a través de una ley formal y material, (2) la limitación debe estar orientada al logro de objetivos imperiosos autorizados por la Convención Americana, y (3) la limitación debe ser necesaria en una sociedad democrática para el logro de los fines imperiosos que se buscan; estrictamente proporcionada a la finalidad perseguida; e idónea para lograr el objetivo imperioso que pretende lograr”. Relatoría Especial para la Libertad de Expresión, Comisión Interamericana de Derechos Humanos. </w:t>
      </w:r>
      <w:r w:rsidRPr="008E2275">
        <w:rPr>
          <w:i/>
        </w:rPr>
        <w:t>Marco jurídico interamericano sobre el derecho a la libertad de expresión</w:t>
      </w:r>
      <w:r>
        <w:t xml:space="preserve">. Párr. 67. </w:t>
      </w:r>
    </w:p>
  </w:footnote>
  <w:footnote w:id="11">
    <w:p w14:paraId="137B5DE3" w14:textId="77777777" w:rsidR="006F2D5B" w:rsidRDefault="006F2D5B" w:rsidP="00191180">
      <w:pPr>
        <w:pStyle w:val="Textonotapie"/>
        <w:jc w:val="both"/>
        <w:rPr>
          <w:lang w:val="es-ES"/>
        </w:rPr>
      </w:pPr>
      <w:r>
        <w:rPr>
          <w:rStyle w:val="Refdenotaalpie"/>
        </w:rPr>
        <w:footnoteRef/>
      </w:r>
      <w:r>
        <w:t xml:space="preserve"> </w:t>
      </w:r>
      <w:r>
        <w:rPr>
          <w:lang w:val="es-ES"/>
        </w:rPr>
        <w:t>“De continuo hacemos un tipo de juicios que podemos llamar de encaje, y que dan lugar a enunciados del tipo ‘x es un Y’. Si sabemos o asumimos que todos los objetos o seres que reúnen las propiedades a, b y c pertenecen al conjunto de los J, cada vez que encontramos uno que tiene esas tres propiedades decimos que es un J. Y también incorporamos excepciones, como cuando asumimos que no pertenece a la categoría de los J el ser que tiene la propiedad d, aunque tenga cualesquiera otras. Entonces, de un x que tenga las propiedades  a, b, c y d diremos que no es un J. Todo esto, en verdad, son obviedades, casi perogrulladas, pero veremos que conviene aquí explicitarlas e ir paso a paso.</w:t>
      </w:r>
    </w:p>
    <w:p w14:paraId="7ECD9A43" w14:textId="77777777" w:rsidR="006F2D5B" w:rsidRDefault="006F2D5B" w:rsidP="00191180">
      <w:pPr>
        <w:pStyle w:val="Textonotapie"/>
        <w:jc w:val="both"/>
        <w:rPr>
          <w:lang w:val="es-ES"/>
        </w:rPr>
      </w:pPr>
      <w:r>
        <w:rPr>
          <w:lang w:val="es-ES"/>
        </w:rPr>
        <w:t>“También en el campo general de lo normativo realizamos, todo el rato, juicios de encaje, sea respecto de acciones, de estados de cosas o de sujetos. Si en el sistema normativo de referencia asumimos que el homicidio es una acción consistente en matar a otro de modo intencional o imprudente, calificaremos como homicidio la acción por la que A mató a B intencional o imprudentemente…</w:t>
      </w:r>
    </w:p>
    <w:p w14:paraId="30A40383" w14:textId="77777777" w:rsidR="006F2D5B" w:rsidRPr="001E1F95" w:rsidRDefault="006F2D5B" w:rsidP="00191180">
      <w:pPr>
        <w:pStyle w:val="Textonotapie"/>
        <w:jc w:val="both"/>
        <w:rPr>
          <w:lang w:val="es-ES"/>
        </w:rPr>
      </w:pPr>
      <w:r>
        <w:rPr>
          <w:lang w:val="es-ES"/>
        </w:rPr>
        <w:t xml:space="preserve"> “En la teoría jurídica más tradicional, a esos que he llamado juicios de encaje se les llama subsunciones o juicios de subsunción. Subsunciones o juicios de encaje de ese tipo, positivos o negativos, los hacemos sin parar en todo el ámbito de lo normativo, no sólo en el del derecho” GARCÍA AMADO, Juan Antonio. “¿Qué es ponderar? Sobre implicaciones y riesgos de la ponderación” en Revista Iberoamericana de Argumentación, No. 13, 2016. </w:t>
      </w:r>
      <w:proofErr w:type="spellStart"/>
      <w:r>
        <w:rPr>
          <w:lang w:val="es-ES"/>
        </w:rPr>
        <w:t>Pp</w:t>
      </w:r>
      <w:proofErr w:type="spellEnd"/>
      <w:r>
        <w:rPr>
          <w:lang w:val="es-ES"/>
        </w:rPr>
        <w:t xml:space="preserve"> 1-19. </w:t>
      </w:r>
    </w:p>
  </w:footnote>
  <w:footnote w:id="12">
    <w:p w14:paraId="1F278625" w14:textId="77777777" w:rsidR="006F2D5B" w:rsidRPr="00191180" w:rsidRDefault="006F2D5B" w:rsidP="00191180">
      <w:pPr>
        <w:pStyle w:val="Textonotapie"/>
        <w:rPr>
          <w:color w:val="000000"/>
        </w:rPr>
      </w:pPr>
      <w:r>
        <w:rPr>
          <w:rStyle w:val="Refdenotaalpie"/>
        </w:rPr>
        <w:footnoteRef/>
      </w:r>
      <w:r>
        <w:t xml:space="preserve"> </w:t>
      </w:r>
      <w:r w:rsidRPr="00191180">
        <w:rPr>
          <w:bCs/>
          <w:color w:val="000000"/>
          <w:bdr w:val="none" w:sz="0" w:space="0" w:color="auto" w:frame="1"/>
          <w:shd w:val="clear" w:color="auto" w:fill="FFFFFF"/>
        </w:rPr>
        <w:t>OVALLE FAVELA, José,</w:t>
      </w:r>
      <w:r w:rsidRPr="00191180">
        <w:rPr>
          <w:rStyle w:val="apple-converted-space"/>
          <w:bCs/>
          <w:color w:val="000000"/>
          <w:bdr w:val="none" w:sz="0" w:space="0" w:color="auto" w:frame="1"/>
          <w:shd w:val="clear" w:color="auto" w:fill="FFFFFF"/>
        </w:rPr>
        <w:t xml:space="preserve"> “</w:t>
      </w:r>
      <w:r w:rsidRPr="00191180">
        <w:rPr>
          <w:bCs/>
          <w:i/>
          <w:iCs/>
          <w:color w:val="000000"/>
          <w:bdr w:val="none" w:sz="0" w:space="0" w:color="auto" w:frame="1"/>
          <w:shd w:val="clear" w:color="auto" w:fill="FFFFFF"/>
        </w:rPr>
        <w:t>Garantías constitucionales del proceso”</w:t>
      </w:r>
      <w:r w:rsidRPr="00191180">
        <w:rPr>
          <w:bCs/>
          <w:color w:val="000000"/>
          <w:bdr w:val="none" w:sz="0" w:space="0" w:color="auto" w:frame="1"/>
          <w:shd w:val="clear" w:color="auto" w:fill="FFFFFF"/>
        </w:rPr>
        <w:t xml:space="preserve">, 2a. ed., México, Oxford </w:t>
      </w:r>
      <w:proofErr w:type="spellStart"/>
      <w:r w:rsidRPr="00191180">
        <w:rPr>
          <w:bCs/>
          <w:color w:val="000000"/>
          <w:bdr w:val="none" w:sz="0" w:space="0" w:color="auto" w:frame="1"/>
          <w:shd w:val="clear" w:color="auto" w:fill="FFFFFF"/>
        </w:rPr>
        <w:t>University</w:t>
      </w:r>
      <w:proofErr w:type="spellEnd"/>
      <w:r w:rsidRPr="00191180">
        <w:rPr>
          <w:bCs/>
          <w:color w:val="000000"/>
          <w:bdr w:val="none" w:sz="0" w:space="0" w:color="auto" w:frame="1"/>
          <w:shd w:val="clear" w:color="auto" w:fill="FFFFFF"/>
        </w:rPr>
        <w:t xml:space="preserve"> </w:t>
      </w:r>
      <w:proofErr w:type="spellStart"/>
      <w:r w:rsidRPr="00191180">
        <w:rPr>
          <w:bCs/>
          <w:color w:val="000000"/>
          <w:bdr w:val="none" w:sz="0" w:space="0" w:color="auto" w:frame="1"/>
          <w:shd w:val="clear" w:color="auto" w:fill="FFFFFF"/>
        </w:rPr>
        <w:t>Press</w:t>
      </w:r>
      <w:proofErr w:type="spellEnd"/>
      <w:r w:rsidRPr="00191180">
        <w:rPr>
          <w:bCs/>
          <w:color w:val="000000"/>
          <w:bdr w:val="none" w:sz="0" w:space="0" w:color="auto" w:frame="1"/>
          <w:shd w:val="clear" w:color="auto" w:fill="FFFFFF"/>
        </w:rPr>
        <w:t>, 2002, 474 pp.</w:t>
      </w:r>
    </w:p>
  </w:footnote>
  <w:footnote w:id="13">
    <w:p w14:paraId="4A51ECD8" w14:textId="77777777" w:rsidR="006F2D5B" w:rsidRPr="0037004E" w:rsidRDefault="006F2D5B" w:rsidP="00191180">
      <w:pPr>
        <w:pStyle w:val="Textonotapie"/>
        <w:jc w:val="both"/>
        <w:rPr>
          <w:lang w:val="es-ES"/>
        </w:rPr>
      </w:pPr>
      <w:r>
        <w:rPr>
          <w:rStyle w:val="Refdenotaalpie"/>
        </w:rPr>
        <w:footnoteRef/>
      </w:r>
      <w:r>
        <w:t xml:space="preserve"> </w:t>
      </w:r>
      <w:r w:rsidRPr="00C4034A">
        <w:rPr>
          <w:lang w:val="es-ES"/>
        </w:rPr>
        <w:t xml:space="preserve">Tribunales Colegiados de Circuito. Novena Época. Semanario Judicial de la Federación y su Gaceta. Tomo III, marzo de 1996. </w:t>
      </w:r>
      <w:proofErr w:type="spellStart"/>
      <w:r w:rsidRPr="00C4034A">
        <w:rPr>
          <w:lang w:val="es-ES"/>
        </w:rPr>
        <w:t>Pág</w:t>
      </w:r>
      <w:proofErr w:type="spellEnd"/>
      <w:r w:rsidRPr="00C4034A">
        <w:rPr>
          <w:lang w:val="es-ES"/>
        </w:rPr>
        <w:t xml:space="preserve"> 769. Consultado en http://sjf.scjn.gob.mx/sjfsist/Documentos/Tesis/203/203143.pdf  el viernes 16 de junio de 2017.</w:t>
      </w:r>
    </w:p>
    <w:p w14:paraId="43F7E52C" w14:textId="77777777" w:rsidR="006F2D5B" w:rsidRDefault="006F2D5B" w:rsidP="00191180">
      <w:pPr>
        <w:pStyle w:val="Textonotapie"/>
      </w:pPr>
    </w:p>
  </w:footnote>
  <w:footnote w:id="14">
    <w:p w14:paraId="181FA67F" w14:textId="77777777" w:rsidR="006F2D5B" w:rsidRDefault="006F2D5B" w:rsidP="00191180">
      <w:pPr>
        <w:pStyle w:val="Textonotapie"/>
        <w:jc w:val="both"/>
      </w:pPr>
      <w:r>
        <w:rPr>
          <w:rStyle w:val="Refdenotaalpie"/>
        </w:rPr>
        <w:footnoteRef/>
      </w:r>
      <w:r>
        <w:t xml:space="preserve"> Artículo 3. Para los efectos de la presente Ley se entenderá por:</w:t>
      </w:r>
    </w:p>
    <w:p w14:paraId="114323FE" w14:textId="77777777" w:rsidR="006F2D5B" w:rsidRDefault="006F2D5B" w:rsidP="00191180">
      <w:pPr>
        <w:pStyle w:val="Textonotapie"/>
        <w:jc w:val="both"/>
      </w:pPr>
      <w:r>
        <w:t xml:space="preserve"> (…)</w:t>
      </w:r>
    </w:p>
    <w:p w14:paraId="57C8702F" w14:textId="77777777" w:rsidR="006F2D5B" w:rsidRDefault="006F2D5B" w:rsidP="00191180">
      <w:pPr>
        <w:pStyle w:val="Textonotapie"/>
        <w:jc w:val="both"/>
      </w:pPr>
      <w:r>
        <w:t>IX. Datos personales: La información concerniente a una persona, identificada o identificable según lo dispuesto por la Ley de Protección de Datos Personales del Estado de México;</w:t>
      </w:r>
    </w:p>
  </w:footnote>
  <w:footnote w:id="15">
    <w:p w14:paraId="3F849BA8" w14:textId="77777777" w:rsidR="006F2D5B" w:rsidRPr="00ED2A04" w:rsidRDefault="006F2D5B" w:rsidP="00191180">
      <w:pPr>
        <w:pStyle w:val="Textonotapie"/>
        <w:jc w:val="both"/>
        <w:rPr>
          <w:lang w:val="es-ES"/>
        </w:rPr>
      </w:pPr>
      <w:r>
        <w:rPr>
          <w:rStyle w:val="Refdenotaalpie"/>
        </w:rPr>
        <w:footnoteRef/>
      </w:r>
      <w:r>
        <w:t xml:space="preserve"> </w:t>
      </w:r>
      <w:hyperlink r:id="rId1" w:anchor="/entry-id/E216930" w:history="1">
        <w:r w:rsidRPr="00AA2458">
          <w:rPr>
            <w:rStyle w:val="Hipervnculo"/>
          </w:rPr>
          <w:t>http://dej.rae.es/#/entry-id/E216930</w:t>
        </w:r>
      </w:hyperlink>
      <w:r>
        <w:t xml:space="preserve"> </w:t>
      </w:r>
    </w:p>
  </w:footnote>
  <w:footnote w:id="16">
    <w:p w14:paraId="5D545B0A" w14:textId="77777777" w:rsidR="006F2D5B" w:rsidRPr="00ED2A04" w:rsidRDefault="006F2D5B" w:rsidP="00191180">
      <w:pPr>
        <w:pStyle w:val="Textonotapie"/>
        <w:jc w:val="both"/>
        <w:rPr>
          <w:lang w:val="es-ES"/>
        </w:rPr>
      </w:pPr>
      <w:r>
        <w:rPr>
          <w:rStyle w:val="Refdenotaalpie"/>
        </w:rPr>
        <w:footnoteRef/>
      </w:r>
      <w:r>
        <w:t xml:space="preserve"> </w:t>
      </w:r>
      <w:hyperlink r:id="rId2" w:anchor="/entry-id/E87450" w:history="1">
        <w:r w:rsidRPr="00AA2458">
          <w:rPr>
            <w:rStyle w:val="Hipervnculo"/>
          </w:rPr>
          <w:t>http://dej.rae.es/#/entry-id/E87450</w:t>
        </w:r>
      </w:hyperlink>
      <w:r>
        <w:t xml:space="preserve"> </w:t>
      </w:r>
    </w:p>
  </w:footnote>
  <w:footnote w:id="17">
    <w:p w14:paraId="083574C4" w14:textId="77777777" w:rsidR="006F2D5B" w:rsidRPr="000406A4" w:rsidRDefault="006F2D5B" w:rsidP="00191180">
      <w:pPr>
        <w:pStyle w:val="Textonotapie"/>
        <w:jc w:val="both"/>
        <w:rPr>
          <w:lang w:val="es-ES"/>
        </w:rPr>
      </w:pPr>
      <w:r>
        <w:rPr>
          <w:rStyle w:val="Refdenotaalpie"/>
        </w:rPr>
        <w:footnoteRef/>
      </w:r>
      <w:r>
        <w:t xml:space="preserve"> </w:t>
      </w:r>
      <w:hyperlink r:id="rId3" w:history="1">
        <w:r w:rsidRPr="00AA2458">
          <w:rPr>
            <w:rStyle w:val="Hipervnculo"/>
          </w:rPr>
          <w:t>http://dle.rae.es/?id=VGqyuLj|VGtxgAo|VGuc9Wg</w:t>
        </w:r>
      </w:hyperlink>
      <w:r>
        <w:t xml:space="preserve"> </w:t>
      </w:r>
    </w:p>
  </w:footnote>
  <w:footnote w:id="18">
    <w:p w14:paraId="05CD266C" w14:textId="77777777" w:rsidR="006F2D5B" w:rsidRPr="000406A4" w:rsidRDefault="006F2D5B" w:rsidP="00191180">
      <w:pPr>
        <w:pStyle w:val="Textonotapie"/>
        <w:jc w:val="both"/>
        <w:rPr>
          <w:lang w:val="es-ES"/>
        </w:rPr>
      </w:pPr>
      <w:r>
        <w:rPr>
          <w:rStyle w:val="Refdenotaalpie"/>
        </w:rPr>
        <w:footnoteRef/>
      </w:r>
      <w:r>
        <w:t xml:space="preserve"> </w:t>
      </w:r>
      <w:hyperlink r:id="rId4" w:history="1">
        <w:r w:rsidRPr="00AA2458">
          <w:rPr>
            <w:rStyle w:val="Hipervnculo"/>
          </w:rPr>
          <w:t>http://dle.rae.es/?id=CAjNzMR</w:t>
        </w:r>
      </w:hyperlink>
      <w:r>
        <w:t xml:space="preserve"> </w:t>
      </w:r>
    </w:p>
  </w:footnote>
  <w:footnote w:id="19">
    <w:p w14:paraId="2A47BEF3" w14:textId="77777777" w:rsidR="006F2D5B" w:rsidRPr="000406A4" w:rsidRDefault="006F2D5B" w:rsidP="00191180">
      <w:pPr>
        <w:pStyle w:val="Textonotapie"/>
        <w:jc w:val="both"/>
        <w:rPr>
          <w:lang w:val="es-ES"/>
        </w:rPr>
      </w:pPr>
      <w:r>
        <w:rPr>
          <w:rStyle w:val="Refdenotaalpie"/>
        </w:rPr>
        <w:footnoteRef/>
      </w:r>
      <w:r>
        <w:t xml:space="preserve"> </w:t>
      </w:r>
      <w:hyperlink r:id="rId5" w:history="1">
        <w:r w:rsidRPr="00AA2458">
          <w:rPr>
            <w:rStyle w:val="Hipervnculo"/>
          </w:rPr>
          <w:t>http://dle.rae.es/?id=CAqWkEB</w:t>
        </w:r>
      </w:hyperlink>
      <w:r>
        <w:t xml:space="preserve"> </w:t>
      </w:r>
    </w:p>
  </w:footnote>
  <w:footnote w:id="20">
    <w:p w14:paraId="1D752F38" w14:textId="77777777" w:rsidR="006F2D5B" w:rsidRPr="000406A4" w:rsidRDefault="006F2D5B" w:rsidP="00191180">
      <w:pPr>
        <w:pStyle w:val="Textonotapie"/>
        <w:jc w:val="both"/>
        <w:rPr>
          <w:lang w:val="es-ES"/>
        </w:rPr>
      </w:pPr>
      <w:r>
        <w:rPr>
          <w:rStyle w:val="Refdenotaalpie"/>
        </w:rPr>
        <w:footnoteRef/>
      </w:r>
      <w:r>
        <w:t xml:space="preserve"> </w:t>
      </w:r>
      <w:hyperlink r:id="rId6" w:history="1">
        <w:r w:rsidRPr="00AA2458">
          <w:rPr>
            <w:rStyle w:val="Hipervnculo"/>
          </w:rPr>
          <w:t>http://dle.rae.es/?id=KtnHLLd</w:t>
        </w:r>
      </w:hyperlink>
      <w:r>
        <w:t xml:space="preserve"> </w:t>
      </w:r>
    </w:p>
  </w:footnote>
  <w:footnote w:id="21">
    <w:p w14:paraId="33A14100" w14:textId="77777777" w:rsidR="006F2D5B" w:rsidRPr="000406A4" w:rsidRDefault="006F2D5B" w:rsidP="00191180">
      <w:pPr>
        <w:pStyle w:val="Textonotapie"/>
        <w:jc w:val="both"/>
        <w:rPr>
          <w:lang w:val="es-ES"/>
        </w:rPr>
      </w:pPr>
      <w:r>
        <w:rPr>
          <w:rStyle w:val="Refdenotaalpie"/>
        </w:rPr>
        <w:footnoteRef/>
      </w:r>
      <w:r>
        <w:t xml:space="preserve"> </w:t>
      </w:r>
      <w:hyperlink r:id="rId7" w:history="1">
        <w:r w:rsidRPr="00AA2458">
          <w:rPr>
            <w:rStyle w:val="Hipervnculo"/>
          </w:rPr>
          <w:t>http://dle.rae.es/?id=KtpfgjV</w:t>
        </w:r>
      </w:hyperlink>
      <w:r>
        <w:t xml:space="preserve"> </w:t>
      </w:r>
    </w:p>
  </w:footnote>
  <w:footnote w:id="22">
    <w:p w14:paraId="4C4765AE" w14:textId="77777777" w:rsidR="006F2D5B" w:rsidRPr="00191180" w:rsidRDefault="006F2D5B" w:rsidP="00191180">
      <w:pPr>
        <w:jc w:val="both"/>
        <w:rPr>
          <w:color w:val="000000"/>
          <w:sz w:val="20"/>
          <w:szCs w:val="20"/>
          <w:lang w:eastAsia="es-ES_tradnl"/>
        </w:rPr>
      </w:pPr>
      <w:r>
        <w:rPr>
          <w:rStyle w:val="Refdenotaalpie"/>
        </w:rPr>
        <w:footnoteRef/>
      </w:r>
      <w:r>
        <w:t xml:space="preserve"> </w:t>
      </w:r>
      <w:r>
        <w:rPr>
          <w:lang w:val="es-ES"/>
        </w:rPr>
        <w:t>“</w:t>
      </w:r>
      <w:r w:rsidRPr="00191180">
        <w:rPr>
          <w:color w:val="000000"/>
          <w:sz w:val="20"/>
          <w:szCs w:val="20"/>
          <w:lang w:eastAsia="es-ES_tradnl"/>
        </w:rPr>
        <w:t xml:space="preserve">En las sentencias C-093 de 2001 y C-671 de 2001, se explicó el alcance de este tipo de escrutinio, denominado test integrado de igualdad: "[a] fin de determinar si el trato discriminatorio vulnera el derecho fundamental a la igualdad, la Corte ha elaborado un modelo de análisis que integra el juicio de proporcionalidad y el test de igualdad. Lo que en este modelo se hace, básicamente, es retomar y armonizar los elementos del test o juicio de proporcionalidad europeo con los aportes de la tendencia estadounidense. Así, se emplean las etapas metodológicas del test europeo, que comprende las siguientes fases de análisis: (i) se examina si la medida es o no adecuada, es decir, si constituye o no un medio idóneo para alcanzar un fin constitucionalmente válido; (ii) se analiza si el trato diferente es o no necesario o indispensable; y (iii) se realiza un análisis de proporcionalidad en estricto sentido, para determinar si el trato desigual no sacrifica valores y principios constitucionales que tengan mayor relevancia que los alcanzados con la medida diferencia. De otra parte, se toman los distintos niveles de intensidad en la aplicación de los escrutinios o </w:t>
      </w:r>
      <w:proofErr w:type="spellStart"/>
      <w:r w:rsidRPr="00191180">
        <w:rPr>
          <w:color w:val="000000"/>
          <w:sz w:val="20"/>
          <w:szCs w:val="20"/>
          <w:lang w:eastAsia="es-ES_tradnl"/>
        </w:rPr>
        <w:t>tests</w:t>
      </w:r>
      <w:proofErr w:type="spellEnd"/>
      <w:r w:rsidRPr="00191180">
        <w:rPr>
          <w:color w:val="000000"/>
          <w:sz w:val="20"/>
          <w:szCs w:val="20"/>
          <w:lang w:eastAsia="es-ES_tradnl"/>
        </w:rPr>
        <w:t xml:space="preserve"> de igualdad. Dichos niveles pueden variar entre (i) estricto, en el cual el trato diferente debe constituir una medida necesaria para alcanzar un objetivo constitucionalmente imperioso; (ii) intermedio, es aquel en el cual el fin debe ser importante constitucionalmente y el medio debe ser altamente conducente para lograr el fin propuesto; y (iii) flexible o de mera razonabilidad, es decir que es suficiente con que la medida sea potencialmente adecuada para alcanzar un propósito que no esté prohibido por el ordenamiento. Lo anterior debe tener aplicación, según el carácter de la disposición legislativa o la medida administrativa atacada". El test integrado fue aplicado en un caso de discriminación por VIH en la sentencia T-376 de 2013.” Citado en Corte Interamericana de Derechos Humanos. Caso Gonzales </w:t>
      </w:r>
      <w:proofErr w:type="spellStart"/>
      <w:r w:rsidRPr="00191180">
        <w:rPr>
          <w:color w:val="000000"/>
          <w:sz w:val="20"/>
          <w:szCs w:val="20"/>
          <w:lang w:eastAsia="es-ES_tradnl"/>
        </w:rPr>
        <w:t>Lluy</w:t>
      </w:r>
      <w:proofErr w:type="spellEnd"/>
      <w:r w:rsidRPr="00191180">
        <w:rPr>
          <w:color w:val="000000"/>
          <w:sz w:val="20"/>
          <w:szCs w:val="20"/>
          <w:lang w:eastAsia="es-ES_tradnl"/>
        </w:rPr>
        <w:t xml:space="preserve"> y otros contra Ecuador. Excepciones preliminares, fondo, reparaciones y costas. Sentencia del 01 de septiembre de 2015. Párr. 256. </w:t>
      </w:r>
    </w:p>
  </w:footnote>
  <w:footnote w:id="23">
    <w:p w14:paraId="6A14A564" w14:textId="77777777" w:rsidR="006F2D5B" w:rsidRPr="00A4142C" w:rsidRDefault="006F2D5B" w:rsidP="00191180">
      <w:pPr>
        <w:pStyle w:val="Textonotapie"/>
        <w:rPr>
          <w:lang w:val="es-ES"/>
        </w:rPr>
      </w:pPr>
      <w:r>
        <w:rPr>
          <w:rStyle w:val="Refdenotaalpie"/>
        </w:rPr>
        <w:footnoteRef/>
      </w:r>
      <w:r>
        <w:t xml:space="preserve"> </w:t>
      </w:r>
      <w:r>
        <w:rPr>
          <w:lang w:val="es-ES"/>
        </w:rPr>
        <w:t>Tribunal Constitucional Alemán. Resolución sobre los soldados son asesinos, de 10 de octubre de 1995 (</w:t>
      </w:r>
      <w:proofErr w:type="spellStart"/>
      <w:r>
        <w:rPr>
          <w:lang w:val="es-ES"/>
        </w:rPr>
        <w:t>BVerfGE</w:t>
      </w:r>
      <w:proofErr w:type="spellEnd"/>
      <w:r>
        <w:rPr>
          <w:lang w:val="es-ES"/>
        </w:rPr>
        <w:t xml:space="preserve"> 93, 266). En ALÁEZ CORRAL, Benito y ÁLVAREZ </w:t>
      </w:r>
      <w:proofErr w:type="spellStart"/>
      <w:r>
        <w:rPr>
          <w:lang w:val="es-ES"/>
        </w:rPr>
        <w:t>ÁLVAREZ</w:t>
      </w:r>
      <w:proofErr w:type="spellEnd"/>
      <w:r>
        <w:rPr>
          <w:lang w:val="es-ES"/>
        </w:rPr>
        <w:t>, Leonardo. Las decisiones básicas del Tribunal Constitucional Federal Alemán en las encrucijadas del cambio de milenio. Ed. Centro de Estudios Políticos y Constitucionales y boletín oficial del Estado, Madrid, 2008. Pp. 1045-1096.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5BECD" w14:textId="77777777" w:rsidR="006F2D5B" w:rsidRDefault="006F2D5B">
    <w:pPr>
      <w:pStyle w:val="Encabezado"/>
      <w:tabs>
        <w:tab w:val="clear" w:pos="4252"/>
        <w:tab w:val="clear" w:pos="8504"/>
        <w:tab w:val="left" w:pos="2326"/>
      </w:tabs>
      <w:rPr>
        <w:rFonts w:ascii="Palatino Linotype" w:hAnsi="Palatino Linotype"/>
        <w:sz w:val="28"/>
        <w:szCs w:val="28"/>
      </w:rPr>
    </w:pPr>
    <w:r>
      <w:rPr>
        <w:rFonts w:ascii="Palatino Linotype" w:hAnsi="Palatino Linotype"/>
        <w:noProof/>
        <w:sz w:val="28"/>
        <w:szCs w:val="28"/>
        <w:lang w:eastAsia="es-MX"/>
      </w:rPr>
      <w:drawing>
        <wp:anchor distT="0" distB="0" distL="0" distR="0" simplePos="0" relativeHeight="251660288" behindDoc="1" locked="0" layoutInCell="1" allowOverlap="1" wp14:anchorId="6590E581" wp14:editId="02C17390">
          <wp:simplePos x="0" y="0"/>
          <wp:positionH relativeFrom="column">
            <wp:align>center</wp:align>
          </wp:positionH>
          <wp:positionV relativeFrom="margin">
            <wp:align>center</wp:align>
          </wp:positionV>
          <wp:extent cx="6858635" cy="9144635"/>
          <wp:effectExtent l="0" t="0" r="0" b="0"/>
          <wp:wrapNone/>
          <wp:docPr id="30" name="WordPictureWatermark209593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ordPictureWatermark2095932798"/>
                  <pic:cNvPicPr>
                    <a:picLocks noChangeAspect="1" noChangeArrowheads="1"/>
                  </pic:cNvPicPr>
                </pic:nvPicPr>
                <pic:blipFill>
                  <a:blip r:embed="rId1"/>
                  <a:stretch>
                    <a:fillRect/>
                  </a:stretch>
                </pic:blipFill>
                <pic:spPr bwMode="auto">
                  <a:xfrm>
                    <a:off x="0" y="0"/>
                    <a:ext cx="6858635" cy="9144635"/>
                  </a:xfrm>
                  <a:prstGeom prst="rect">
                    <a:avLst/>
                  </a:prstGeom>
                </pic:spPr>
              </pic:pic>
            </a:graphicData>
          </a:graphic>
        </wp:anchor>
      </w:drawing>
    </w:r>
  </w:p>
  <w:tbl>
    <w:tblPr>
      <w:tblW w:w="9534" w:type="dxa"/>
      <w:tblInd w:w="-142" w:type="dxa"/>
      <w:tblLook w:val="04A0" w:firstRow="1" w:lastRow="0" w:firstColumn="1" w:lastColumn="0" w:noHBand="0" w:noVBand="1"/>
    </w:tblPr>
    <w:tblGrid>
      <w:gridCol w:w="3259"/>
      <w:gridCol w:w="2551"/>
      <w:gridCol w:w="3724"/>
    </w:tblGrid>
    <w:tr w:rsidR="006F2D5B" w14:paraId="282D4D92" w14:textId="77777777">
      <w:tc>
        <w:tcPr>
          <w:tcW w:w="3259" w:type="dxa"/>
          <w:vMerge w:val="restart"/>
        </w:tcPr>
        <w:p w14:paraId="1F75A14E" w14:textId="77777777" w:rsidR="006F2D5B" w:rsidRDefault="006F2D5B">
          <w:pPr>
            <w:rPr>
              <w:rFonts w:ascii="Palatino Linotype" w:hAnsi="Palatino Linotype"/>
              <w:b/>
              <w:sz w:val="22"/>
              <w:szCs w:val="22"/>
              <w:lang w:val="es-ES_tradnl"/>
            </w:rPr>
          </w:pPr>
          <w:r>
            <w:rPr>
              <w:noProof/>
              <w:lang w:eastAsia="es-MX"/>
            </w:rPr>
            <w:drawing>
              <wp:inline distT="0" distB="0" distL="0" distR="0" wp14:anchorId="527B0BCA" wp14:editId="5580323B">
                <wp:extent cx="1663700" cy="838200"/>
                <wp:effectExtent l="0" t="0" r="0" b="0"/>
                <wp:docPr id="3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11"/>
                        <pic:cNvPicPr>
                          <a:picLocks noChangeAspect="1" noChangeArrowheads="1"/>
                        </pic:cNvPicPr>
                      </pic:nvPicPr>
                      <pic:blipFill>
                        <a:blip r:embed="rId2"/>
                        <a:stretch>
                          <a:fillRect/>
                        </a:stretch>
                      </pic:blipFill>
                      <pic:spPr bwMode="auto">
                        <a:xfrm>
                          <a:off x="0" y="0"/>
                          <a:ext cx="1663700" cy="838200"/>
                        </a:xfrm>
                        <a:prstGeom prst="rect">
                          <a:avLst/>
                        </a:prstGeom>
                      </pic:spPr>
                    </pic:pic>
                  </a:graphicData>
                </a:graphic>
              </wp:inline>
            </w:drawing>
          </w:r>
        </w:p>
      </w:tc>
      <w:tc>
        <w:tcPr>
          <w:tcW w:w="2551" w:type="dxa"/>
          <w:shd w:val="clear" w:color="auto" w:fill="auto"/>
        </w:tcPr>
        <w:p w14:paraId="7EB9F736"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Recurso de revisión:</w:t>
          </w:r>
        </w:p>
      </w:tc>
      <w:tc>
        <w:tcPr>
          <w:tcW w:w="3724" w:type="dxa"/>
          <w:shd w:val="clear" w:color="auto" w:fill="auto"/>
          <w:vAlign w:val="center"/>
        </w:tcPr>
        <w:p w14:paraId="3F4DD691" w14:textId="78705E10" w:rsidR="006F2D5B" w:rsidRDefault="006F2D5B" w:rsidP="006F2D5B">
          <w:pPr>
            <w:jc w:val="both"/>
            <w:rPr>
              <w:rFonts w:ascii="Palatino Linotype" w:hAnsi="Palatino Linotype"/>
              <w:b/>
              <w:sz w:val="22"/>
              <w:szCs w:val="22"/>
              <w:lang w:val="es-ES_tradnl"/>
            </w:rPr>
          </w:pPr>
          <w:r w:rsidRPr="006F2D5B">
            <w:rPr>
              <w:rFonts w:ascii="Palatino Linotype" w:hAnsi="Palatino Linotype"/>
              <w:b/>
              <w:sz w:val="22"/>
              <w:szCs w:val="22"/>
              <w:lang w:val="es-ES_tradnl"/>
            </w:rPr>
            <w:t>04588/INFOEM/IP/RR/2022</w:t>
          </w:r>
        </w:p>
      </w:tc>
    </w:tr>
    <w:tr w:rsidR="006F2D5B" w14:paraId="669321FA" w14:textId="77777777">
      <w:tc>
        <w:tcPr>
          <w:tcW w:w="3259" w:type="dxa"/>
          <w:vMerge/>
        </w:tcPr>
        <w:p w14:paraId="6D05AC28" w14:textId="77777777" w:rsidR="006F2D5B" w:rsidRDefault="006F2D5B">
          <w:pPr>
            <w:rPr>
              <w:rFonts w:ascii="Palatino Linotype" w:hAnsi="Palatino Linotype"/>
              <w:b/>
              <w:sz w:val="22"/>
              <w:szCs w:val="22"/>
              <w:lang w:val="es-ES_tradnl"/>
            </w:rPr>
          </w:pPr>
        </w:p>
      </w:tc>
      <w:tc>
        <w:tcPr>
          <w:tcW w:w="2551" w:type="dxa"/>
          <w:shd w:val="clear" w:color="auto" w:fill="auto"/>
        </w:tcPr>
        <w:p w14:paraId="0DAA7DBC"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Sujeto Obligado:</w:t>
          </w:r>
        </w:p>
      </w:tc>
      <w:tc>
        <w:tcPr>
          <w:tcW w:w="3724" w:type="dxa"/>
          <w:shd w:val="clear" w:color="auto" w:fill="auto"/>
          <w:vAlign w:val="center"/>
        </w:tcPr>
        <w:p w14:paraId="60A64ADE" w14:textId="4A0E8C5C" w:rsidR="006F2D5B" w:rsidRDefault="006F2D5B" w:rsidP="004C2113">
          <w:pPr>
            <w:jc w:val="both"/>
            <w:rPr>
              <w:rFonts w:ascii="Palatino Linotype" w:hAnsi="Palatino Linotype"/>
              <w:b/>
              <w:sz w:val="22"/>
              <w:szCs w:val="22"/>
              <w:lang w:val="es-ES_tradnl"/>
            </w:rPr>
          </w:pPr>
          <w:r w:rsidRPr="006F2D5B">
            <w:rPr>
              <w:rFonts w:ascii="Palatino Linotype" w:hAnsi="Palatino Linotype"/>
              <w:b/>
              <w:sz w:val="22"/>
              <w:szCs w:val="22"/>
              <w:lang w:val="es-ES_tradnl"/>
            </w:rPr>
            <w:t xml:space="preserve">Ayuntamiento de </w:t>
          </w:r>
          <w:proofErr w:type="spellStart"/>
          <w:r w:rsidRPr="006F2D5B">
            <w:rPr>
              <w:rFonts w:ascii="Palatino Linotype" w:hAnsi="Palatino Linotype"/>
              <w:b/>
              <w:sz w:val="22"/>
              <w:szCs w:val="22"/>
              <w:lang w:val="es-ES_tradnl"/>
            </w:rPr>
            <w:t>Temamatla</w:t>
          </w:r>
          <w:proofErr w:type="spellEnd"/>
        </w:p>
      </w:tc>
    </w:tr>
    <w:tr w:rsidR="006F2D5B" w14:paraId="1C820DB1" w14:textId="77777777">
      <w:trPr>
        <w:trHeight w:val="228"/>
      </w:trPr>
      <w:tc>
        <w:tcPr>
          <w:tcW w:w="3259" w:type="dxa"/>
          <w:vMerge/>
        </w:tcPr>
        <w:p w14:paraId="358B7346" w14:textId="77777777" w:rsidR="006F2D5B" w:rsidRDefault="006F2D5B">
          <w:pPr>
            <w:rPr>
              <w:rFonts w:ascii="Palatino Linotype" w:hAnsi="Palatino Linotype"/>
              <w:b/>
              <w:sz w:val="22"/>
              <w:szCs w:val="22"/>
              <w:lang w:val="es-ES_tradnl"/>
            </w:rPr>
          </w:pPr>
        </w:p>
      </w:tc>
      <w:tc>
        <w:tcPr>
          <w:tcW w:w="2551" w:type="dxa"/>
          <w:shd w:val="clear" w:color="auto" w:fill="auto"/>
        </w:tcPr>
        <w:p w14:paraId="41D21D25"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Comisionada ponente:</w:t>
          </w:r>
        </w:p>
      </w:tc>
      <w:tc>
        <w:tcPr>
          <w:tcW w:w="3724" w:type="dxa"/>
          <w:shd w:val="clear" w:color="auto" w:fill="auto"/>
        </w:tcPr>
        <w:p w14:paraId="34B4F0AE" w14:textId="0494019E" w:rsidR="006F2D5B" w:rsidRDefault="006F2D5B">
          <w:pPr>
            <w:jc w:val="both"/>
            <w:rPr>
              <w:rFonts w:ascii="Palatino Linotype" w:hAnsi="Palatino Linotype"/>
              <w:b/>
              <w:sz w:val="22"/>
              <w:szCs w:val="22"/>
              <w:lang w:val="es-ES_tradnl"/>
            </w:rPr>
          </w:pPr>
          <w:r w:rsidRPr="0042463F">
            <w:rPr>
              <w:rFonts w:ascii="Palatino Linotype" w:hAnsi="Palatino Linotype"/>
              <w:b/>
              <w:sz w:val="22"/>
              <w:szCs w:val="22"/>
              <w:lang w:val="es-ES_tradnl"/>
            </w:rPr>
            <w:t>María del Rosario Mejía Ayala</w:t>
          </w:r>
        </w:p>
      </w:tc>
    </w:tr>
  </w:tbl>
  <w:p w14:paraId="445407E8" w14:textId="77777777" w:rsidR="006F2D5B" w:rsidRDefault="006F2D5B">
    <w:pPr>
      <w:pStyle w:val="Encabezado"/>
      <w:tabs>
        <w:tab w:val="clear" w:pos="4252"/>
        <w:tab w:val="clear" w:pos="8504"/>
        <w:tab w:val="left" w:pos="2326"/>
      </w:tabs>
      <w:rPr>
        <w:rFonts w:ascii="Palatino Linotype" w:hAnsi="Palatino Linotype"/>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8D25E" w14:textId="77777777" w:rsidR="006F2D5B" w:rsidRDefault="006F2D5B">
    <w:pPr>
      <w:rPr>
        <w:rFonts w:ascii="Palatino Linotype" w:hAnsi="Palatino Linotype"/>
        <w:sz w:val="28"/>
        <w:szCs w:val="28"/>
      </w:rPr>
    </w:pPr>
    <w:r>
      <w:rPr>
        <w:rFonts w:ascii="Palatino Linotype" w:hAnsi="Palatino Linotype"/>
        <w:noProof/>
        <w:sz w:val="28"/>
        <w:szCs w:val="28"/>
        <w:lang w:eastAsia="es-MX"/>
      </w:rPr>
      <w:drawing>
        <wp:anchor distT="0" distB="0" distL="0" distR="0" simplePos="0" relativeHeight="251659264" behindDoc="1" locked="0" layoutInCell="1" allowOverlap="1" wp14:anchorId="3213D6DA" wp14:editId="3E2645BB">
          <wp:simplePos x="0" y="0"/>
          <wp:positionH relativeFrom="column">
            <wp:align>center</wp:align>
          </wp:positionH>
          <wp:positionV relativeFrom="margin">
            <wp:align>center</wp:align>
          </wp:positionV>
          <wp:extent cx="6858635" cy="9144635"/>
          <wp:effectExtent l="0" t="0" r="0" b="0"/>
          <wp:wrapNone/>
          <wp:docPr id="32" name="WordPictureWatermark209593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ordPictureWatermark2095932796"/>
                  <pic:cNvPicPr>
                    <a:picLocks noChangeAspect="1" noChangeArrowheads="1"/>
                  </pic:cNvPicPr>
                </pic:nvPicPr>
                <pic:blipFill>
                  <a:blip r:embed="rId1"/>
                  <a:stretch>
                    <a:fillRect/>
                  </a:stretch>
                </pic:blipFill>
                <pic:spPr bwMode="auto">
                  <a:xfrm>
                    <a:off x="0" y="0"/>
                    <a:ext cx="6858635" cy="9144635"/>
                  </a:xfrm>
                  <a:prstGeom prst="rect">
                    <a:avLst/>
                  </a:prstGeom>
                </pic:spPr>
              </pic:pic>
            </a:graphicData>
          </a:graphic>
        </wp:anchor>
      </w:drawing>
    </w:r>
  </w:p>
  <w:tbl>
    <w:tblPr>
      <w:tblW w:w="9732" w:type="dxa"/>
      <w:tblInd w:w="-1276" w:type="dxa"/>
      <w:tblLook w:val="04A0" w:firstRow="1" w:lastRow="0" w:firstColumn="1" w:lastColumn="0" w:noHBand="0" w:noVBand="1"/>
    </w:tblPr>
    <w:tblGrid>
      <w:gridCol w:w="4251"/>
      <w:gridCol w:w="2552"/>
      <w:gridCol w:w="2929"/>
    </w:tblGrid>
    <w:tr w:rsidR="006F2D5B" w14:paraId="1F742D4E" w14:textId="77777777" w:rsidTr="00A51B7F">
      <w:tc>
        <w:tcPr>
          <w:tcW w:w="4251" w:type="dxa"/>
          <w:vMerge w:val="restart"/>
          <w:shd w:val="clear" w:color="auto" w:fill="auto"/>
        </w:tcPr>
        <w:p w14:paraId="104B4E99" w14:textId="77777777" w:rsidR="006F2D5B" w:rsidRDefault="006F2D5B">
          <w:pPr>
            <w:rPr>
              <w:rFonts w:ascii="Palatino Linotype" w:hAnsi="Palatino Linotype"/>
              <w:b/>
              <w:sz w:val="22"/>
              <w:szCs w:val="22"/>
              <w:lang w:val="es-ES_tradnl"/>
            </w:rPr>
          </w:pPr>
          <w:r>
            <w:rPr>
              <w:noProof/>
              <w:lang w:eastAsia="es-MX"/>
            </w:rPr>
            <w:drawing>
              <wp:inline distT="0" distB="0" distL="0" distR="0" wp14:anchorId="5D4DFD49" wp14:editId="13FAB802">
                <wp:extent cx="1663700" cy="838200"/>
                <wp:effectExtent l="0" t="0" r="0" b="0"/>
                <wp:docPr id="3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9"/>
                        <pic:cNvPicPr>
                          <a:picLocks noChangeAspect="1" noChangeArrowheads="1"/>
                        </pic:cNvPicPr>
                      </pic:nvPicPr>
                      <pic:blipFill>
                        <a:blip r:embed="rId2"/>
                        <a:stretch>
                          <a:fillRect/>
                        </a:stretch>
                      </pic:blipFill>
                      <pic:spPr bwMode="auto">
                        <a:xfrm>
                          <a:off x="0" y="0"/>
                          <a:ext cx="1663700" cy="838200"/>
                        </a:xfrm>
                        <a:prstGeom prst="rect">
                          <a:avLst/>
                        </a:prstGeom>
                      </pic:spPr>
                    </pic:pic>
                  </a:graphicData>
                </a:graphic>
              </wp:inline>
            </w:drawing>
          </w:r>
        </w:p>
      </w:tc>
      <w:tc>
        <w:tcPr>
          <w:tcW w:w="2552" w:type="dxa"/>
          <w:shd w:val="clear" w:color="auto" w:fill="auto"/>
        </w:tcPr>
        <w:p w14:paraId="3412ED05"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Recurso de revisión:</w:t>
          </w:r>
        </w:p>
      </w:tc>
      <w:tc>
        <w:tcPr>
          <w:tcW w:w="2929" w:type="dxa"/>
          <w:shd w:val="clear" w:color="auto" w:fill="auto"/>
          <w:vAlign w:val="center"/>
        </w:tcPr>
        <w:p w14:paraId="551B9D73" w14:textId="5027B77E" w:rsidR="006F2D5B" w:rsidRDefault="006F2D5B" w:rsidP="006F2D5B">
          <w:pPr>
            <w:jc w:val="both"/>
            <w:rPr>
              <w:rFonts w:ascii="Palatino Linotype" w:hAnsi="Palatino Linotype"/>
              <w:b/>
              <w:sz w:val="22"/>
              <w:szCs w:val="22"/>
              <w:lang w:val="es-ES_tradnl"/>
            </w:rPr>
          </w:pPr>
          <w:r w:rsidRPr="006F2D5B">
            <w:rPr>
              <w:rFonts w:ascii="Palatino Linotype" w:hAnsi="Palatino Linotype"/>
              <w:b/>
              <w:bCs/>
              <w:sz w:val="22"/>
              <w:szCs w:val="22"/>
            </w:rPr>
            <w:t>04588/INFOEM/IP/RR/2022</w:t>
          </w:r>
        </w:p>
      </w:tc>
    </w:tr>
    <w:tr w:rsidR="006F2D5B" w14:paraId="0C57C404" w14:textId="77777777" w:rsidTr="00A51B7F">
      <w:tc>
        <w:tcPr>
          <w:tcW w:w="4251" w:type="dxa"/>
          <w:vMerge/>
          <w:shd w:val="clear" w:color="auto" w:fill="auto"/>
        </w:tcPr>
        <w:p w14:paraId="46FACBB9" w14:textId="77777777" w:rsidR="006F2D5B" w:rsidRDefault="006F2D5B">
          <w:pPr>
            <w:rPr>
              <w:rFonts w:ascii="Palatino Linotype" w:hAnsi="Palatino Linotype"/>
              <w:b/>
              <w:sz w:val="22"/>
              <w:szCs w:val="22"/>
              <w:lang w:val="es-ES_tradnl"/>
            </w:rPr>
          </w:pPr>
        </w:p>
      </w:tc>
      <w:tc>
        <w:tcPr>
          <w:tcW w:w="2552" w:type="dxa"/>
          <w:shd w:val="clear" w:color="auto" w:fill="auto"/>
        </w:tcPr>
        <w:p w14:paraId="1E664F80"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Recurrente:</w:t>
          </w:r>
        </w:p>
      </w:tc>
      <w:tc>
        <w:tcPr>
          <w:tcW w:w="2929" w:type="dxa"/>
          <w:shd w:val="clear" w:color="auto" w:fill="auto"/>
          <w:vAlign w:val="center"/>
        </w:tcPr>
        <w:p w14:paraId="5604AC6D" w14:textId="563B731B" w:rsidR="006F2D5B" w:rsidRDefault="001232C7" w:rsidP="006F2D5B">
          <w:pPr>
            <w:jc w:val="both"/>
            <w:rPr>
              <w:rFonts w:ascii="Palatino Linotype" w:hAnsi="Palatino Linotype"/>
              <w:b/>
              <w:sz w:val="22"/>
              <w:szCs w:val="22"/>
              <w:lang w:val="es-ES_tradnl"/>
            </w:rPr>
          </w:pPr>
          <w:r>
            <w:rPr>
              <w:rFonts w:ascii="Palatino Linotype" w:hAnsi="Palatino Linotype"/>
              <w:b/>
              <w:sz w:val="22"/>
              <w:szCs w:val="22"/>
              <w:lang w:val="es-ES_tradnl"/>
            </w:rPr>
            <w:t xml:space="preserve">XXX XXXXX </w:t>
          </w:r>
          <w:proofErr w:type="spellStart"/>
          <w:r>
            <w:rPr>
              <w:rFonts w:ascii="Palatino Linotype" w:hAnsi="Palatino Linotype"/>
              <w:b/>
              <w:sz w:val="22"/>
              <w:szCs w:val="22"/>
              <w:lang w:val="es-ES_tradnl"/>
            </w:rPr>
            <w:t>XXXXX</w:t>
          </w:r>
          <w:proofErr w:type="spellEnd"/>
        </w:p>
      </w:tc>
    </w:tr>
    <w:tr w:rsidR="006F2D5B" w14:paraId="1DF5462B" w14:textId="77777777" w:rsidTr="00A51B7F">
      <w:trPr>
        <w:trHeight w:val="228"/>
      </w:trPr>
      <w:tc>
        <w:tcPr>
          <w:tcW w:w="4251" w:type="dxa"/>
          <w:vMerge/>
          <w:shd w:val="clear" w:color="auto" w:fill="auto"/>
        </w:tcPr>
        <w:p w14:paraId="1E078EF1" w14:textId="77777777" w:rsidR="006F2D5B" w:rsidRDefault="006F2D5B">
          <w:pPr>
            <w:rPr>
              <w:rFonts w:ascii="Palatino Linotype" w:hAnsi="Palatino Linotype"/>
              <w:b/>
              <w:sz w:val="22"/>
              <w:szCs w:val="22"/>
              <w:lang w:val="es-ES_tradnl"/>
            </w:rPr>
          </w:pPr>
        </w:p>
      </w:tc>
      <w:tc>
        <w:tcPr>
          <w:tcW w:w="2552" w:type="dxa"/>
          <w:shd w:val="clear" w:color="auto" w:fill="auto"/>
        </w:tcPr>
        <w:p w14:paraId="230383F3"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Sujeto Obligado:</w:t>
          </w:r>
        </w:p>
      </w:tc>
      <w:tc>
        <w:tcPr>
          <w:tcW w:w="2929" w:type="dxa"/>
          <w:shd w:val="clear" w:color="auto" w:fill="auto"/>
          <w:vAlign w:val="center"/>
        </w:tcPr>
        <w:p w14:paraId="58E9D74B" w14:textId="69A98483" w:rsidR="006F2D5B" w:rsidRDefault="006F2D5B" w:rsidP="007C47ED">
          <w:pPr>
            <w:jc w:val="both"/>
            <w:rPr>
              <w:rFonts w:ascii="Palatino Linotype" w:hAnsi="Palatino Linotype"/>
              <w:b/>
              <w:sz w:val="22"/>
              <w:szCs w:val="22"/>
            </w:rPr>
          </w:pPr>
          <w:r w:rsidRPr="006F2D5B">
            <w:rPr>
              <w:rFonts w:ascii="Palatino Linotype" w:hAnsi="Palatino Linotype"/>
              <w:b/>
              <w:sz w:val="22"/>
              <w:szCs w:val="22"/>
            </w:rPr>
            <w:t xml:space="preserve">Ayuntamiento de </w:t>
          </w:r>
          <w:proofErr w:type="spellStart"/>
          <w:r w:rsidRPr="006F2D5B">
            <w:rPr>
              <w:rFonts w:ascii="Palatino Linotype" w:hAnsi="Palatino Linotype"/>
              <w:b/>
              <w:sz w:val="22"/>
              <w:szCs w:val="22"/>
            </w:rPr>
            <w:t>Temamatla</w:t>
          </w:r>
          <w:proofErr w:type="spellEnd"/>
        </w:p>
      </w:tc>
    </w:tr>
    <w:tr w:rsidR="006F2D5B" w14:paraId="0ACA838E" w14:textId="77777777" w:rsidTr="00A51B7F">
      <w:trPr>
        <w:trHeight w:val="84"/>
      </w:trPr>
      <w:tc>
        <w:tcPr>
          <w:tcW w:w="4251" w:type="dxa"/>
          <w:vMerge/>
          <w:shd w:val="clear" w:color="auto" w:fill="auto"/>
        </w:tcPr>
        <w:p w14:paraId="6591A501" w14:textId="77777777" w:rsidR="006F2D5B" w:rsidRDefault="006F2D5B">
          <w:pPr>
            <w:rPr>
              <w:rFonts w:ascii="Palatino Linotype" w:hAnsi="Palatino Linotype"/>
              <w:b/>
              <w:sz w:val="22"/>
              <w:szCs w:val="22"/>
              <w:lang w:val="es-ES_tradnl"/>
            </w:rPr>
          </w:pPr>
        </w:p>
      </w:tc>
      <w:tc>
        <w:tcPr>
          <w:tcW w:w="2552" w:type="dxa"/>
          <w:shd w:val="clear" w:color="auto" w:fill="auto"/>
        </w:tcPr>
        <w:p w14:paraId="1F73F8D9" w14:textId="77777777" w:rsidR="006F2D5B" w:rsidRDefault="006F2D5B">
          <w:pPr>
            <w:rPr>
              <w:rFonts w:ascii="Palatino Linotype" w:hAnsi="Palatino Linotype"/>
              <w:b/>
              <w:sz w:val="22"/>
              <w:szCs w:val="22"/>
              <w:lang w:val="es-ES_tradnl"/>
            </w:rPr>
          </w:pPr>
          <w:r>
            <w:rPr>
              <w:rFonts w:ascii="Palatino Linotype" w:hAnsi="Palatino Linotype"/>
              <w:b/>
              <w:sz w:val="22"/>
              <w:szCs w:val="22"/>
              <w:lang w:val="es-ES_tradnl"/>
            </w:rPr>
            <w:t>Comisionada ponente:</w:t>
          </w:r>
        </w:p>
      </w:tc>
      <w:tc>
        <w:tcPr>
          <w:tcW w:w="2929" w:type="dxa"/>
          <w:shd w:val="clear" w:color="auto" w:fill="auto"/>
        </w:tcPr>
        <w:p w14:paraId="3F1E5C5F" w14:textId="79E27FD5" w:rsidR="006F2D5B" w:rsidRDefault="006F2D5B">
          <w:pPr>
            <w:jc w:val="both"/>
            <w:rPr>
              <w:rFonts w:ascii="Palatino Linotype" w:hAnsi="Palatino Linotype"/>
              <w:b/>
              <w:sz w:val="22"/>
              <w:szCs w:val="22"/>
              <w:lang w:val="es-ES_tradnl"/>
            </w:rPr>
          </w:pPr>
          <w:r>
            <w:rPr>
              <w:rFonts w:ascii="Palatino Linotype" w:hAnsi="Palatino Linotype"/>
              <w:b/>
              <w:sz w:val="22"/>
              <w:szCs w:val="22"/>
              <w:lang w:val="es-ES_tradnl"/>
            </w:rPr>
            <w:t xml:space="preserve">María del Rosario Mejía Ayala </w:t>
          </w:r>
        </w:p>
      </w:tc>
    </w:tr>
  </w:tbl>
  <w:p w14:paraId="1625864D" w14:textId="77777777" w:rsidR="006F2D5B" w:rsidRDefault="006F2D5B">
    <w:pPr>
      <w:rPr>
        <w:rFonts w:ascii="Palatino Linotype" w:hAnsi="Palatino Linotype"/>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6787F"/>
    <w:multiLevelType w:val="hybridMultilevel"/>
    <w:tmpl w:val="F1CA6596"/>
    <w:styleLink w:val="Estiloimportado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9F525A0"/>
    <w:multiLevelType w:val="hybridMultilevel"/>
    <w:tmpl w:val="0CA21B9E"/>
    <w:styleLink w:val="Estiloimportado14"/>
    <w:lvl w:ilvl="0" w:tplc="20EED11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22A1263"/>
    <w:multiLevelType w:val="hybridMultilevel"/>
    <w:tmpl w:val="C50041F4"/>
    <w:lvl w:ilvl="0" w:tplc="488219D8">
      <w:start w:val="4"/>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3B713D7"/>
    <w:multiLevelType w:val="hybridMultilevel"/>
    <w:tmpl w:val="9470F55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nsid w:val="19406D35"/>
    <w:multiLevelType w:val="hybridMultilevel"/>
    <w:tmpl w:val="3D962616"/>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5">
    <w:nsid w:val="1E4F7C66"/>
    <w:multiLevelType w:val="hybridMultilevel"/>
    <w:tmpl w:val="50A683A4"/>
    <w:styleLink w:val="Estiloimportado2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F536658"/>
    <w:multiLevelType w:val="hybridMultilevel"/>
    <w:tmpl w:val="ED4C3122"/>
    <w:lvl w:ilvl="0" w:tplc="3A646C4A">
      <w:start w:val="10"/>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248B1095"/>
    <w:multiLevelType w:val="hybridMultilevel"/>
    <w:tmpl w:val="9C9C7F10"/>
    <w:styleLink w:val="Estiloimportado212"/>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9">
    <w:nsid w:val="2D927D1D"/>
    <w:multiLevelType w:val="hybridMultilevel"/>
    <w:tmpl w:val="CF3815D2"/>
    <w:lvl w:ilvl="0" w:tplc="3A646C4A">
      <w:start w:val="10"/>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nsid w:val="34317490"/>
    <w:multiLevelType w:val="hybridMultilevel"/>
    <w:tmpl w:val="D370F3DE"/>
    <w:lvl w:ilvl="0" w:tplc="92BE0B36">
      <w:start w:val="1"/>
      <w:numFmt w:val="decimal"/>
      <w:lvlText w:val="%1."/>
      <w:lvlJc w:val="left"/>
      <w:pPr>
        <w:ind w:left="360" w:hanging="360"/>
      </w:pPr>
      <w:rPr>
        <w:rFonts w:ascii="Palatino Linotype" w:hAnsi="Palatino Linotype" w:hint="default"/>
        <w:b/>
        <w:i w:val="0"/>
        <w:color w:val="auto"/>
        <w:sz w:val="24"/>
      </w:rPr>
    </w:lvl>
    <w:lvl w:ilvl="1" w:tplc="1A78CB92">
      <w:start w:val="1"/>
      <w:numFmt w:val="upperRoman"/>
      <w:lvlText w:val="%2."/>
      <w:lvlJc w:val="left"/>
      <w:pPr>
        <w:ind w:left="1800" w:hanging="720"/>
      </w:pPr>
      <w:rPr>
        <w:rFonts w:ascii="Palatino Linotype" w:eastAsiaTheme="minorEastAsia" w:hAnsi="Palatino Linotype" w:cstheme="minorBidi"/>
        <w:b/>
        <w:color w:val="000000" w:themeColor="text1"/>
        <w:sz w:val="24"/>
        <w:szCs w:val="24"/>
      </w:r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9BD3CCA"/>
    <w:multiLevelType w:val="hybridMultilevel"/>
    <w:tmpl w:val="9F6A211E"/>
    <w:styleLink w:val="Estiloimportado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D245664"/>
    <w:multiLevelType w:val="hybridMultilevel"/>
    <w:tmpl w:val="E634172E"/>
    <w:lvl w:ilvl="0" w:tplc="C1FED1D8">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4">
    <w:nsid w:val="4AB0125E"/>
    <w:multiLevelType w:val="hybridMultilevel"/>
    <w:tmpl w:val="C090E7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1F45554"/>
    <w:multiLevelType w:val="hybridMultilevel"/>
    <w:tmpl w:val="A1A84E5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6">
    <w:nsid w:val="560839D1"/>
    <w:multiLevelType w:val="hybridMultilevel"/>
    <w:tmpl w:val="334C5C00"/>
    <w:lvl w:ilvl="0" w:tplc="C302A056">
      <w:start w:val="1"/>
      <w:numFmt w:val="decimal"/>
      <w:lvlText w:val="%1."/>
      <w:lvlJc w:val="left"/>
      <w:pPr>
        <w:ind w:left="720" w:hanging="360"/>
      </w:pPr>
      <w:rPr>
        <w:b/>
        <w:i w:val="0"/>
        <w:color w:val="000000" w:themeColor="text1"/>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62DD1266"/>
    <w:multiLevelType w:val="hybridMultilevel"/>
    <w:tmpl w:val="7D76B8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63A50FF6"/>
    <w:multiLevelType w:val="hybridMultilevel"/>
    <w:tmpl w:val="E29CFFB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9">
    <w:nsid w:val="63F863F1"/>
    <w:multiLevelType w:val="hybridMultilevel"/>
    <w:tmpl w:val="9F8A0E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6EA328B1"/>
    <w:multiLevelType w:val="hybridMultilevel"/>
    <w:tmpl w:val="A8FA19D4"/>
    <w:styleLink w:val="Estiloimportado112"/>
    <w:lvl w:ilvl="0" w:tplc="819CA3E8">
      <w:start w:val="1"/>
      <w:numFmt w:val="upperRoman"/>
      <w:suff w:val="space"/>
      <w:lvlText w:val="%1."/>
      <w:lvlJc w:val="left"/>
      <w:pPr>
        <w:ind w:left="1080" w:hanging="720"/>
      </w:pPr>
      <w:rPr>
        <w:rFonts w:cs="Times New Roman" w:hint="default"/>
        <w:b/>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1A35AFF"/>
    <w:multiLevelType w:val="hybridMultilevel"/>
    <w:tmpl w:val="D370F3DE"/>
    <w:lvl w:ilvl="0" w:tplc="92BE0B36">
      <w:start w:val="1"/>
      <w:numFmt w:val="decimal"/>
      <w:lvlText w:val="%1."/>
      <w:lvlJc w:val="left"/>
      <w:pPr>
        <w:ind w:left="360" w:hanging="360"/>
      </w:pPr>
      <w:rPr>
        <w:rFonts w:ascii="Palatino Linotype" w:hAnsi="Palatino Linotype" w:hint="default"/>
        <w:b/>
        <w:i w:val="0"/>
        <w:color w:val="auto"/>
        <w:sz w:val="24"/>
      </w:rPr>
    </w:lvl>
    <w:lvl w:ilvl="1" w:tplc="1A78CB92">
      <w:start w:val="1"/>
      <w:numFmt w:val="upperRoman"/>
      <w:lvlText w:val="%2."/>
      <w:lvlJc w:val="left"/>
      <w:pPr>
        <w:ind w:left="1800" w:hanging="720"/>
      </w:pPr>
      <w:rPr>
        <w:rFonts w:ascii="Palatino Linotype" w:eastAsiaTheme="minorEastAsia" w:hAnsi="Palatino Linotype" w:cstheme="minorBidi"/>
        <w:b/>
        <w:color w:val="000000" w:themeColor="text1"/>
        <w:sz w:val="24"/>
        <w:szCs w:val="24"/>
      </w:r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43204EE"/>
    <w:multiLevelType w:val="hybridMultilevel"/>
    <w:tmpl w:val="6672802E"/>
    <w:lvl w:ilvl="0" w:tplc="4A029FF2">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70136A0"/>
    <w:multiLevelType w:val="hybridMultilevel"/>
    <w:tmpl w:val="E03044EA"/>
    <w:lvl w:ilvl="0" w:tplc="080A000F">
      <w:start w:val="1"/>
      <w:numFmt w:val="decimal"/>
      <w:lvlText w:val="%1."/>
      <w:lvlJc w:val="left"/>
      <w:pPr>
        <w:ind w:left="8582" w:hanging="360"/>
      </w:pPr>
      <w:rPr>
        <w:rFonts w:hint="default"/>
        <w:i w:val="0"/>
      </w:rPr>
    </w:lvl>
    <w:lvl w:ilvl="1" w:tplc="080A0019">
      <w:start w:val="1"/>
      <w:numFmt w:val="lowerLetter"/>
      <w:lvlText w:val="%2."/>
      <w:lvlJc w:val="left"/>
      <w:pPr>
        <w:ind w:left="1440" w:hanging="360"/>
      </w:pPr>
    </w:lvl>
    <w:lvl w:ilvl="2" w:tplc="41A230E4">
      <w:start w:val="1"/>
      <w:numFmt w:val="upperRoman"/>
      <w:lvlText w:val="%3."/>
      <w:lvlJc w:val="left"/>
      <w:pPr>
        <w:ind w:left="2700" w:hanging="720"/>
      </w:pPr>
      <w:rPr>
        <w:rFonts w:hint="default"/>
      </w:rPr>
    </w:lvl>
    <w:lvl w:ilvl="3" w:tplc="E882483A">
      <w:start w:val="1"/>
      <w:numFmt w:val="lowerLetter"/>
      <w:lvlText w:val="%4)"/>
      <w:lvlJc w:val="left"/>
      <w:pPr>
        <w:ind w:left="2895" w:hanging="375"/>
      </w:pPr>
      <w:rPr>
        <w:rFonts w:eastAsia="Times New Roman" w:cs="Times New Roman" w:hint="default"/>
        <w:color w:val="auto"/>
        <w:sz w:val="24"/>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78CF028E"/>
    <w:multiLevelType w:val="hybridMultilevel"/>
    <w:tmpl w:val="E8F472C6"/>
    <w:lvl w:ilvl="0" w:tplc="92BE0B36">
      <w:start w:val="1"/>
      <w:numFmt w:val="decimal"/>
      <w:lvlText w:val="%1."/>
      <w:lvlJc w:val="left"/>
      <w:pPr>
        <w:ind w:left="360" w:hanging="360"/>
      </w:pPr>
      <w:rPr>
        <w:rFonts w:ascii="Palatino Linotype" w:hAnsi="Palatino Linotype" w:hint="default"/>
        <w:b/>
        <w:i w:val="0"/>
        <w:color w:val="auto"/>
        <w:sz w:val="24"/>
      </w:rPr>
    </w:lvl>
    <w:lvl w:ilvl="1" w:tplc="8310749C">
      <w:start w:val="1"/>
      <w:numFmt w:val="upperRoman"/>
      <w:lvlText w:val="%2."/>
      <w:lvlJc w:val="left"/>
      <w:pPr>
        <w:ind w:left="1800" w:hanging="720"/>
      </w:pPr>
      <w:rPr>
        <w:rFonts w:ascii="Palatino Linotype" w:eastAsiaTheme="minorEastAsia" w:hAnsi="Palatino Linotype" w:cstheme="minorBidi"/>
      </w:r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F6A4943"/>
    <w:multiLevelType w:val="hybridMultilevel"/>
    <w:tmpl w:val="41F836D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0"/>
  </w:num>
  <w:num w:numId="5">
    <w:abstractNumId w:val="8"/>
  </w:num>
  <w:num w:numId="6">
    <w:abstractNumId w:val="20"/>
  </w:num>
  <w:num w:numId="7">
    <w:abstractNumId w:val="12"/>
  </w:num>
  <w:num w:numId="8">
    <w:abstractNumId w:val="1"/>
  </w:num>
  <w:num w:numId="9">
    <w:abstractNumId w:val="11"/>
  </w:num>
  <w:num w:numId="10">
    <w:abstractNumId w:val="13"/>
  </w:num>
  <w:num w:numId="11">
    <w:abstractNumId w:val="18"/>
  </w:num>
  <w:num w:numId="12">
    <w:abstractNumId w:val="15"/>
  </w:num>
  <w:num w:numId="13">
    <w:abstractNumId w:val="3"/>
  </w:num>
  <w:num w:numId="14">
    <w:abstractNumId w:val="2"/>
  </w:num>
  <w:num w:numId="15">
    <w:abstractNumId w:val="14"/>
  </w:num>
  <w:num w:numId="16">
    <w:abstractNumId w:val="24"/>
  </w:num>
  <w:num w:numId="17">
    <w:abstractNumId w:val="23"/>
  </w:num>
  <w:num w:numId="18">
    <w:abstractNumId w:val="17"/>
  </w:num>
  <w:num w:numId="19">
    <w:abstractNumId w:val="19"/>
  </w:num>
  <w:num w:numId="20">
    <w:abstractNumId w:val="22"/>
  </w:num>
  <w:num w:numId="21">
    <w:abstractNumId w:val="4"/>
  </w:num>
  <w:num w:numId="22">
    <w:abstractNumId w:val="9"/>
  </w:num>
  <w:num w:numId="23">
    <w:abstractNumId w:val="25"/>
  </w:num>
  <w:num w:numId="24">
    <w:abstractNumId w:val="16"/>
  </w:num>
  <w:num w:numId="25">
    <w:abstractNumId w:val="6"/>
  </w:num>
  <w:num w:numId="2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9D"/>
    <w:rsid w:val="000044BC"/>
    <w:rsid w:val="00006C8A"/>
    <w:rsid w:val="000100F6"/>
    <w:rsid w:val="000313BF"/>
    <w:rsid w:val="00036969"/>
    <w:rsid w:val="00055DEB"/>
    <w:rsid w:val="00055EF3"/>
    <w:rsid w:val="00061089"/>
    <w:rsid w:val="00076942"/>
    <w:rsid w:val="00081015"/>
    <w:rsid w:val="00093A2D"/>
    <w:rsid w:val="000A7B67"/>
    <w:rsid w:val="000C091A"/>
    <w:rsid w:val="000D0723"/>
    <w:rsid w:val="000E55D7"/>
    <w:rsid w:val="000E63C4"/>
    <w:rsid w:val="00112B0A"/>
    <w:rsid w:val="001232C7"/>
    <w:rsid w:val="0013020B"/>
    <w:rsid w:val="00162AEA"/>
    <w:rsid w:val="00171E05"/>
    <w:rsid w:val="00175813"/>
    <w:rsid w:val="00191180"/>
    <w:rsid w:val="00193A52"/>
    <w:rsid w:val="001A6FF4"/>
    <w:rsid w:val="001A746D"/>
    <w:rsid w:val="001B030B"/>
    <w:rsid w:val="001C2634"/>
    <w:rsid w:val="001D0230"/>
    <w:rsid w:val="001E0A16"/>
    <w:rsid w:val="001E4B4A"/>
    <w:rsid w:val="001F6495"/>
    <w:rsid w:val="00206DB9"/>
    <w:rsid w:val="002312BA"/>
    <w:rsid w:val="00242DA6"/>
    <w:rsid w:val="00280AF8"/>
    <w:rsid w:val="002B4527"/>
    <w:rsid w:val="002B7913"/>
    <w:rsid w:val="002C3A0B"/>
    <w:rsid w:val="002C757D"/>
    <w:rsid w:val="002D6B2C"/>
    <w:rsid w:val="002E0DC5"/>
    <w:rsid w:val="002E43DF"/>
    <w:rsid w:val="003036F7"/>
    <w:rsid w:val="0034462A"/>
    <w:rsid w:val="00350E91"/>
    <w:rsid w:val="0036657E"/>
    <w:rsid w:val="003725A1"/>
    <w:rsid w:val="00377758"/>
    <w:rsid w:val="00382BAC"/>
    <w:rsid w:val="003911FB"/>
    <w:rsid w:val="003A38E6"/>
    <w:rsid w:val="003A48AF"/>
    <w:rsid w:val="003A6731"/>
    <w:rsid w:val="003B5B03"/>
    <w:rsid w:val="003B795B"/>
    <w:rsid w:val="003D09EA"/>
    <w:rsid w:val="003D0A92"/>
    <w:rsid w:val="003E3235"/>
    <w:rsid w:val="003E4EFC"/>
    <w:rsid w:val="003F047F"/>
    <w:rsid w:val="003F3BD0"/>
    <w:rsid w:val="003F4B8F"/>
    <w:rsid w:val="003F4D15"/>
    <w:rsid w:val="004025A2"/>
    <w:rsid w:val="00414310"/>
    <w:rsid w:val="0042463F"/>
    <w:rsid w:val="004250AF"/>
    <w:rsid w:val="00442AA3"/>
    <w:rsid w:val="0045111D"/>
    <w:rsid w:val="0045350A"/>
    <w:rsid w:val="00463ACA"/>
    <w:rsid w:val="00464C91"/>
    <w:rsid w:val="00484489"/>
    <w:rsid w:val="00496106"/>
    <w:rsid w:val="004967A0"/>
    <w:rsid w:val="004968C8"/>
    <w:rsid w:val="00497F68"/>
    <w:rsid w:val="004A0A11"/>
    <w:rsid w:val="004B344D"/>
    <w:rsid w:val="004B5798"/>
    <w:rsid w:val="004C2113"/>
    <w:rsid w:val="004C4001"/>
    <w:rsid w:val="004C75E2"/>
    <w:rsid w:val="004E2AB0"/>
    <w:rsid w:val="005030D3"/>
    <w:rsid w:val="00515048"/>
    <w:rsid w:val="005206FA"/>
    <w:rsid w:val="00526F88"/>
    <w:rsid w:val="0053016B"/>
    <w:rsid w:val="0053426A"/>
    <w:rsid w:val="00534480"/>
    <w:rsid w:val="0054642C"/>
    <w:rsid w:val="00550416"/>
    <w:rsid w:val="00552D75"/>
    <w:rsid w:val="00563244"/>
    <w:rsid w:val="00574FB9"/>
    <w:rsid w:val="0057552B"/>
    <w:rsid w:val="005964BE"/>
    <w:rsid w:val="005C3C65"/>
    <w:rsid w:val="005C50B4"/>
    <w:rsid w:val="005E321A"/>
    <w:rsid w:val="006406C1"/>
    <w:rsid w:val="00667954"/>
    <w:rsid w:val="00670E6E"/>
    <w:rsid w:val="00691221"/>
    <w:rsid w:val="006B4562"/>
    <w:rsid w:val="006B6418"/>
    <w:rsid w:val="006F2548"/>
    <w:rsid w:val="006F2D5B"/>
    <w:rsid w:val="006F70F0"/>
    <w:rsid w:val="006F7BEF"/>
    <w:rsid w:val="007403E9"/>
    <w:rsid w:val="0075136F"/>
    <w:rsid w:val="0075458F"/>
    <w:rsid w:val="00765427"/>
    <w:rsid w:val="00780970"/>
    <w:rsid w:val="00795F38"/>
    <w:rsid w:val="007C0470"/>
    <w:rsid w:val="007C47ED"/>
    <w:rsid w:val="007F21B9"/>
    <w:rsid w:val="007F5234"/>
    <w:rsid w:val="008054C5"/>
    <w:rsid w:val="008065BC"/>
    <w:rsid w:val="00816688"/>
    <w:rsid w:val="00840FBE"/>
    <w:rsid w:val="00856417"/>
    <w:rsid w:val="008567E2"/>
    <w:rsid w:val="00885757"/>
    <w:rsid w:val="008A4ACF"/>
    <w:rsid w:val="008B4757"/>
    <w:rsid w:val="008B7817"/>
    <w:rsid w:val="008C1B5F"/>
    <w:rsid w:val="008F3853"/>
    <w:rsid w:val="008F3BDF"/>
    <w:rsid w:val="008F62D7"/>
    <w:rsid w:val="00915BC5"/>
    <w:rsid w:val="0093195B"/>
    <w:rsid w:val="0093390E"/>
    <w:rsid w:val="00943AD9"/>
    <w:rsid w:val="009463E1"/>
    <w:rsid w:val="009467E4"/>
    <w:rsid w:val="0096699B"/>
    <w:rsid w:val="009704EC"/>
    <w:rsid w:val="009706DF"/>
    <w:rsid w:val="00984329"/>
    <w:rsid w:val="009A4527"/>
    <w:rsid w:val="009A7C8F"/>
    <w:rsid w:val="009C0B87"/>
    <w:rsid w:val="009D7561"/>
    <w:rsid w:val="009E7700"/>
    <w:rsid w:val="009F7758"/>
    <w:rsid w:val="00A07E68"/>
    <w:rsid w:val="00A143C7"/>
    <w:rsid w:val="00A20561"/>
    <w:rsid w:val="00A32B16"/>
    <w:rsid w:val="00A3599E"/>
    <w:rsid w:val="00A414EA"/>
    <w:rsid w:val="00A475D8"/>
    <w:rsid w:val="00A51B7F"/>
    <w:rsid w:val="00A526CE"/>
    <w:rsid w:val="00A84BC3"/>
    <w:rsid w:val="00A87961"/>
    <w:rsid w:val="00A94256"/>
    <w:rsid w:val="00AB2464"/>
    <w:rsid w:val="00AD3D1C"/>
    <w:rsid w:val="00AE3BDE"/>
    <w:rsid w:val="00B41C9D"/>
    <w:rsid w:val="00B45C3B"/>
    <w:rsid w:val="00B52F89"/>
    <w:rsid w:val="00B72872"/>
    <w:rsid w:val="00B73105"/>
    <w:rsid w:val="00B77184"/>
    <w:rsid w:val="00BA22BD"/>
    <w:rsid w:val="00BD24AB"/>
    <w:rsid w:val="00BD6BB8"/>
    <w:rsid w:val="00BE02D0"/>
    <w:rsid w:val="00BE21C4"/>
    <w:rsid w:val="00BE56D8"/>
    <w:rsid w:val="00BF4F82"/>
    <w:rsid w:val="00C0315D"/>
    <w:rsid w:val="00C04072"/>
    <w:rsid w:val="00C060A8"/>
    <w:rsid w:val="00C1345F"/>
    <w:rsid w:val="00C16632"/>
    <w:rsid w:val="00C211C5"/>
    <w:rsid w:val="00C27468"/>
    <w:rsid w:val="00C409EF"/>
    <w:rsid w:val="00C60801"/>
    <w:rsid w:val="00C62A1E"/>
    <w:rsid w:val="00C66E23"/>
    <w:rsid w:val="00C80959"/>
    <w:rsid w:val="00C80E4D"/>
    <w:rsid w:val="00C9084A"/>
    <w:rsid w:val="00CA0F41"/>
    <w:rsid w:val="00CA218B"/>
    <w:rsid w:val="00CC70B3"/>
    <w:rsid w:val="00CD447B"/>
    <w:rsid w:val="00D0026E"/>
    <w:rsid w:val="00D07BFA"/>
    <w:rsid w:val="00D12A37"/>
    <w:rsid w:val="00D2000B"/>
    <w:rsid w:val="00D24BE3"/>
    <w:rsid w:val="00D24BF4"/>
    <w:rsid w:val="00D42AE6"/>
    <w:rsid w:val="00D622A1"/>
    <w:rsid w:val="00D75668"/>
    <w:rsid w:val="00D7589F"/>
    <w:rsid w:val="00D90B92"/>
    <w:rsid w:val="00D92237"/>
    <w:rsid w:val="00DB1423"/>
    <w:rsid w:val="00DC24D9"/>
    <w:rsid w:val="00DD1437"/>
    <w:rsid w:val="00DF320E"/>
    <w:rsid w:val="00E00AAA"/>
    <w:rsid w:val="00E0287A"/>
    <w:rsid w:val="00E06C69"/>
    <w:rsid w:val="00E15B92"/>
    <w:rsid w:val="00E20089"/>
    <w:rsid w:val="00E20285"/>
    <w:rsid w:val="00E32EF5"/>
    <w:rsid w:val="00E405D4"/>
    <w:rsid w:val="00E750ED"/>
    <w:rsid w:val="00E84085"/>
    <w:rsid w:val="00E95992"/>
    <w:rsid w:val="00E96A2C"/>
    <w:rsid w:val="00EA786F"/>
    <w:rsid w:val="00EC3275"/>
    <w:rsid w:val="00EC634B"/>
    <w:rsid w:val="00EE2116"/>
    <w:rsid w:val="00EE6002"/>
    <w:rsid w:val="00EF09F9"/>
    <w:rsid w:val="00F0183C"/>
    <w:rsid w:val="00F032A7"/>
    <w:rsid w:val="00F13B57"/>
    <w:rsid w:val="00F33953"/>
    <w:rsid w:val="00F52421"/>
    <w:rsid w:val="00F6114F"/>
    <w:rsid w:val="00F61DAB"/>
    <w:rsid w:val="00F63ED7"/>
    <w:rsid w:val="00F67357"/>
    <w:rsid w:val="00F81097"/>
    <w:rsid w:val="00F83732"/>
    <w:rsid w:val="00F96888"/>
    <w:rsid w:val="00FA7215"/>
    <w:rsid w:val="00FB4CA0"/>
    <w:rsid w:val="00FB5766"/>
    <w:rsid w:val="00FC014D"/>
    <w:rsid w:val="00FE46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EE9D6"/>
  <w15:chartTrackingRefBased/>
  <w15:docId w15:val="{F8B20850-6842-4F31-9775-AA6BCDB9B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C9D"/>
    <w:pPr>
      <w:suppressAutoHyphens/>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B41C9D"/>
    <w:pPr>
      <w:keepNext/>
      <w:keepLines/>
      <w:spacing w:before="240"/>
      <w:outlineLvl w:val="0"/>
    </w:pPr>
    <w:rPr>
      <w:rFonts w:asciiTheme="majorHAnsi" w:eastAsiaTheme="majorEastAsia" w:hAnsiTheme="majorHAnsi" w:cstheme="majorBidi"/>
      <w:color w:val="2E74B5" w:themeColor="accent1" w:themeShade="BF"/>
      <w:sz w:val="32"/>
      <w:szCs w:val="32"/>
      <w:lang w:val="es-ES"/>
    </w:rPr>
  </w:style>
  <w:style w:type="paragraph" w:styleId="Ttulo2">
    <w:name w:val="heading 2"/>
    <w:basedOn w:val="Normal"/>
    <w:next w:val="Normal"/>
    <w:link w:val="Ttulo2Car"/>
    <w:uiPriority w:val="9"/>
    <w:unhideWhenUsed/>
    <w:qFormat/>
    <w:rsid w:val="00B41C9D"/>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link w:val="Ttulo3Car"/>
    <w:uiPriority w:val="9"/>
    <w:qFormat/>
    <w:rsid w:val="00B41C9D"/>
    <w:pPr>
      <w:spacing w:beforeAutospacing="1" w:afterAutospacing="1"/>
      <w:outlineLvl w:val="2"/>
    </w:pPr>
    <w:rPr>
      <w:b/>
      <w:bCs/>
      <w:sz w:val="27"/>
      <w:szCs w:val="27"/>
      <w:lang w:eastAsia="es-MX"/>
    </w:rPr>
  </w:style>
  <w:style w:type="paragraph" w:styleId="Ttulo4">
    <w:name w:val="heading 4"/>
    <w:basedOn w:val="Normal"/>
    <w:next w:val="Normal"/>
    <w:link w:val="Ttulo4Car"/>
    <w:uiPriority w:val="9"/>
    <w:unhideWhenUsed/>
    <w:qFormat/>
    <w:rsid w:val="00B41C9D"/>
    <w:pPr>
      <w:keepNext/>
      <w:keepLines/>
      <w:spacing w:before="40"/>
      <w:outlineLvl w:val="3"/>
    </w:pPr>
    <w:rPr>
      <w:rFonts w:asciiTheme="majorHAnsi" w:eastAsiaTheme="majorEastAsia" w:hAnsiTheme="majorHAnsi" w:cstheme="majorBidi"/>
      <w:i/>
      <w:iCs/>
      <w:color w:val="2E74B5" w:themeColor="accent1" w:themeShade="BF"/>
      <w:lang w:val="es-ES"/>
    </w:rPr>
  </w:style>
  <w:style w:type="paragraph" w:styleId="Ttulo5">
    <w:name w:val="heading 5"/>
    <w:basedOn w:val="Normal"/>
    <w:next w:val="Normal"/>
    <w:link w:val="Ttulo5Car"/>
    <w:uiPriority w:val="9"/>
    <w:unhideWhenUsed/>
    <w:qFormat/>
    <w:rsid w:val="00B41C9D"/>
    <w:pPr>
      <w:keepNext/>
      <w:keepLines/>
      <w:spacing w:before="40"/>
      <w:outlineLvl w:val="4"/>
    </w:pPr>
    <w:rPr>
      <w:rFonts w:asciiTheme="majorHAnsi" w:eastAsiaTheme="majorEastAsia" w:hAnsiTheme="majorHAnsi" w:cstheme="majorBidi"/>
      <w:color w:val="2E74B5" w:themeColor="accent1" w:themeShade="BF"/>
      <w:lang w:val="es-ES"/>
    </w:rPr>
  </w:style>
  <w:style w:type="paragraph" w:styleId="Ttulo6">
    <w:name w:val="heading 6"/>
    <w:basedOn w:val="Normal"/>
    <w:next w:val="Normal"/>
    <w:link w:val="Ttulo6Car"/>
    <w:uiPriority w:val="9"/>
    <w:unhideWhenUsed/>
    <w:qFormat/>
    <w:rsid w:val="00B41C9D"/>
    <w:pPr>
      <w:keepNext/>
      <w:keepLines/>
      <w:spacing w:before="40"/>
      <w:outlineLvl w:val="5"/>
    </w:pPr>
    <w:rPr>
      <w:rFonts w:asciiTheme="majorHAnsi" w:eastAsiaTheme="majorEastAsia" w:hAnsiTheme="majorHAnsi" w:cstheme="majorBidi"/>
      <w:color w:val="1F4D78"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B41C9D"/>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qFormat/>
    <w:rsid w:val="00B41C9D"/>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qFormat/>
    <w:rsid w:val="00B41C9D"/>
    <w:rPr>
      <w:rFonts w:ascii="Times New Roman" w:eastAsia="Times New Roman" w:hAnsi="Times New Roman" w:cs="Times New Roman"/>
      <w:b/>
      <w:bCs/>
      <w:sz w:val="27"/>
      <w:szCs w:val="27"/>
      <w:lang w:eastAsia="es-MX"/>
    </w:rPr>
  </w:style>
  <w:style w:type="character" w:customStyle="1" w:styleId="Ttulo4Car">
    <w:name w:val="Título 4 Car"/>
    <w:basedOn w:val="Fuentedeprrafopredeter"/>
    <w:link w:val="Ttulo4"/>
    <w:uiPriority w:val="9"/>
    <w:qFormat/>
    <w:rsid w:val="00B41C9D"/>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basedOn w:val="Fuentedeprrafopredeter"/>
    <w:link w:val="Ttulo5"/>
    <w:uiPriority w:val="9"/>
    <w:qFormat/>
    <w:rsid w:val="00B41C9D"/>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uiPriority w:val="9"/>
    <w:qFormat/>
    <w:rsid w:val="00B41C9D"/>
    <w:rPr>
      <w:rFonts w:asciiTheme="majorHAnsi" w:eastAsiaTheme="majorEastAsia" w:hAnsiTheme="majorHAnsi" w:cstheme="majorBidi"/>
      <w:color w:val="1F4D78" w:themeColor="accent1" w:themeShade="7F"/>
      <w:sz w:val="24"/>
      <w:szCs w:val="24"/>
      <w:lang w:val="es-ES" w:eastAsia="es-ES"/>
    </w:rPr>
  </w:style>
  <w:style w:type="character" w:customStyle="1" w:styleId="EncabezadoCar">
    <w:name w:val="Encabezado Car"/>
    <w:basedOn w:val="Fuentedeprrafopredeter"/>
    <w:link w:val="Encabezado"/>
    <w:uiPriority w:val="99"/>
    <w:qFormat/>
    <w:rsid w:val="00B41C9D"/>
  </w:style>
  <w:style w:type="character" w:customStyle="1" w:styleId="PiedepginaCar">
    <w:name w:val="Pie de página Car"/>
    <w:basedOn w:val="Fuentedeprrafopredeter"/>
    <w:link w:val="Piedepgina"/>
    <w:uiPriority w:val="99"/>
    <w:qFormat/>
    <w:rsid w:val="00B41C9D"/>
  </w:style>
  <w:style w:type="character" w:customStyle="1" w:styleId="TextodegloboCar">
    <w:name w:val="Texto de globo Car"/>
    <w:basedOn w:val="Fuentedeprrafopredeter"/>
    <w:link w:val="Textodeglobo"/>
    <w:uiPriority w:val="99"/>
    <w:semiHidden/>
    <w:qFormat/>
    <w:rsid w:val="00B41C9D"/>
    <w:rPr>
      <w:rFonts w:ascii="Lucida Grande" w:hAnsi="Lucida Grande" w:cs="Lucida Grande"/>
      <w:sz w:val="18"/>
      <w:szCs w:val="18"/>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B41C9D"/>
    <w:rPr>
      <w:rFonts w:ascii="Times New Roman" w:eastAsia="Times New Roman" w:hAnsi="Times New Roman" w:cs="Times New Roman"/>
      <w:lang w:val="es-ES"/>
    </w:rPr>
  </w:style>
  <w:style w:type="character" w:customStyle="1" w:styleId="EnlacedeInternet">
    <w:name w:val="Enlace de Internet"/>
    <w:uiPriority w:val="99"/>
    <w:unhideWhenUsed/>
    <w:rsid w:val="00B41C9D"/>
    <w:rPr>
      <w:strike w:val="0"/>
      <w:dstrike w:val="0"/>
      <w:color w:val="035899"/>
      <w:u w:val="none"/>
      <w:effect w:val="none"/>
    </w:rPr>
  </w:style>
  <w:style w:type="character" w:styleId="Textoennegrita">
    <w:name w:val="Strong"/>
    <w:uiPriority w:val="22"/>
    <w:qFormat/>
    <w:rsid w:val="00B41C9D"/>
    <w:rPr>
      <w:b/>
      <w:bCs/>
    </w:rPr>
  </w:style>
  <w:style w:type="character" w:customStyle="1" w:styleId="EnlacedeInternetvisitado">
    <w:name w:val="Enlace de Internet visitado"/>
    <w:basedOn w:val="Fuentedeprrafopredeter"/>
    <w:uiPriority w:val="99"/>
    <w:semiHidden/>
    <w:unhideWhenUsed/>
    <w:rsid w:val="00B41C9D"/>
    <w:rPr>
      <w:color w:val="954F72" w:themeColor="followedHyperlink"/>
      <w:u w:val="single"/>
    </w:rPr>
  </w:style>
  <w:style w:type="character" w:customStyle="1" w:styleId="Textoindependiente2Car">
    <w:name w:val="Texto independiente 2 Car"/>
    <w:basedOn w:val="Fuentedeprrafopredeter"/>
    <w:link w:val="Textoindependiente2"/>
    <w:uiPriority w:val="99"/>
    <w:qFormat/>
    <w:rsid w:val="00B41C9D"/>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qFormat/>
    <w:rsid w:val="00B41C9D"/>
    <w:rPr>
      <w:sz w:val="16"/>
      <w:szCs w:val="16"/>
    </w:rPr>
  </w:style>
  <w:style w:type="character" w:customStyle="1" w:styleId="apple-converted-space">
    <w:name w:val="apple-converted-space"/>
    <w:basedOn w:val="Fuentedeprrafopredeter"/>
    <w:qFormat/>
    <w:rsid w:val="00B41C9D"/>
  </w:style>
  <w:style w:type="character" w:customStyle="1" w:styleId="Listavistosa-nfasis1Car">
    <w:name w:val="Lista vistosa - Énfasis 1 Car"/>
    <w:uiPriority w:val="34"/>
    <w:qFormat/>
    <w:locked/>
    <w:rsid w:val="00B41C9D"/>
    <w:rPr>
      <w:rFonts w:ascii="Times New Roman" w:eastAsia="Times New Roman" w:hAnsi="Times New Roman" w:cs="Times New Roman"/>
      <w:lang w:val="es-ES"/>
    </w:rPr>
  </w:style>
  <w:style w:type="character" w:customStyle="1" w:styleId="apple-style-span">
    <w:name w:val="apple-style-span"/>
    <w:qFormat/>
    <w:rsid w:val="00B41C9D"/>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qFormat/>
    <w:rsid w:val="00B41C9D"/>
    <w:rPr>
      <w:sz w:val="20"/>
      <w:szCs w:val="20"/>
    </w:rPr>
  </w:style>
  <w:style w:type="character" w:customStyle="1" w:styleId="Ancladenotaalpie">
    <w:name w:val="Ancla de nota al pie"/>
    <w:rsid w:val="00B41C9D"/>
    <w:rPr>
      <w:vertAlign w:val="superscript"/>
    </w:rPr>
  </w:style>
  <w:style w:type="character" w:customStyle="1" w:styleId="FootnoteCharacters">
    <w:name w:val="Footnote Characters"/>
    <w:basedOn w:val="Fuentedeprrafopredeter"/>
    <w:uiPriority w:val="99"/>
    <w:unhideWhenUsed/>
    <w:qFormat/>
    <w:rsid w:val="00B41C9D"/>
    <w:rPr>
      <w:vertAlign w:val="superscript"/>
    </w:rPr>
  </w:style>
  <w:style w:type="character" w:customStyle="1" w:styleId="TextosinformatoCar">
    <w:name w:val="Texto sin formato Car"/>
    <w:basedOn w:val="Fuentedeprrafopredeter"/>
    <w:link w:val="Textosinformato"/>
    <w:qFormat/>
    <w:rsid w:val="00B41C9D"/>
    <w:rPr>
      <w:rFonts w:ascii="Courier New" w:eastAsia="Times New Roman" w:hAnsi="Courier New" w:cs="Times New Roman"/>
      <w:sz w:val="20"/>
      <w:szCs w:val="20"/>
      <w:lang w:val="es-ES"/>
    </w:rPr>
  </w:style>
  <w:style w:type="character" w:customStyle="1" w:styleId="negritas1">
    <w:name w:val="negritas1"/>
    <w:qFormat/>
    <w:rsid w:val="00B41C9D"/>
    <w:rPr>
      <w:rFonts w:ascii="Arial" w:hAnsi="Arial" w:cs="Arial"/>
      <w:b/>
      <w:bCs/>
      <w:sz w:val="18"/>
      <w:szCs w:val="18"/>
    </w:rPr>
  </w:style>
  <w:style w:type="character" w:customStyle="1" w:styleId="f">
    <w:name w:val="f"/>
    <w:basedOn w:val="Fuentedeprrafopredeter"/>
    <w:qFormat/>
    <w:rsid w:val="00B41C9D"/>
  </w:style>
  <w:style w:type="character" w:customStyle="1" w:styleId="d">
    <w:name w:val="d"/>
    <w:basedOn w:val="Fuentedeprrafopredeter"/>
    <w:qFormat/>
    <w:rsid w:val="00B41C9D"/>
  </w:style>
  <w:style w:type="character" w:customStyle="1" w:styleId="b">
    <w:name w:val="b"/>
    <w:basedOn w:val="Fuentedeprrafopredeter"/>
    <w:qFormat/>
    <w:rsid w:val="00B41C9D"/>
  </w:style>
  <w:style w:type="character" w:customStyle="1" w:styleId="k">
    <w:name w:val="k"/>
    <w:basedOn w:val="Fuentedeprrafopredeter"/>
    <w:qFormat/>
    <w:rsid w:val="00B41C9D"/>
  </w:style>
  <w:style w:type="character" w:customStyle="1" w:styleId="h">
    <w:name w:val="h"/>
    <w:basedOn w:val="Fuentedeprrafopredeter"/>
    <w:qFormat/>
    <w:rsid w:val="00B41C9D"/>
  </w:style>
  <w:style w:type="character" w:styleId="CitaHTML">
    <w:name w:val="HTML Cite"/>
    <w:uiPriority w:val="99"/>
    <w:semiHidden/>
    <w:unhideWhenUsed/>
    <w:qFormat/>
    <w:rsid w:val="00B41C9D"/>
    <w:rPr>
      <w:i/>
      <w:iCs/>
    </w:rPr>
  </w:style>
  <w:style w:type="character" w:customStyle="1" w:styleId="lbl-encabezado-blanco2">
    <w:name w:val="lbl-encabezado-blanco2"/>
    <w:qFormat/>
    <w:rsid w:val="00B41C9D"/>
    <w:rPr>
      <w:color w:val="FFFFFF"/>
    </w:rPr>
  </w:style>
  <w:style w:type="character" w:customStyle="1" w:styleId="TextoCar">
    <w:name w:val="Texto Car"/>
    <w:link w:val="Texto"/>
    <w:qFormat/>
    <w:locked/>
    <w:rsid w:val="00B41C9D"/>
    <w:rPr>
      <w:rFonts w:ascii="Arial" w:eastAsia="Times New Roman" w:hAnsi="Arial" w:cs="Arial"/>
      <w:sz w:val="18"/>
      <w:szCs w:val="18"/>
    </w:rPr>
  </w:style>
  <w:style w:type="character" w:customStyle="1" w:styleId="ANOTACIONCar">
    <w:name w:val="ANOTACION Car"/>
    <w:link w:val="ANOTACION"/>
    <w:qFormat/>
    <w:locked/>
    <w:rsid w:val="00B41C9D"/>
    <w:rPr>
      <w:rFonts w:ascii="Times New Roman" w:eastAsia="Times New Roman" w:hAnsi="Times New Roman" w:cs="Times New Roman"/>
      <w:b/>
      <w:sz w:val="18"/>
      <w:szCs w:val="18"/>
    </w:rPr>
  </w:style>
  <w:style w:type="character" w:customStyle="1" w:styleId="Destacado">
    <w:name w:val="Destacado"/>
    <w:basedOn w:val="Fuentedeprrafopredeter"/>
    <w:uiPriority w:val="20"/>
    <w:qFormat/>
    <w:rsid w:val="00B41C9D"/>
    <w:rPr>
      <w:i/>
      <w:iCs/>
    </w:rPr>
  </w:style>
  <w:style w:type="character" w:customStyle="1" w:styleId="SinespaciadoCar">
    <w:name w:val="Sin espaciado Car"/>
    <w:aliases w:val="Francesa Car"/>
    <w:link w:val="Sinespaciado"/>
    <w:uiPriority w:val="1"/>
    <w:qFormat/>
    <w:locked/>
    <w:rsid w:val="00B41C9D"/>
    <w:rPr>
      <w:rFonts w:ascii="Times New Roman" w:eastAsia="Times New Roman" w:hAnsi="Times New Roman" w:cs="Times New Roman"/>
    </w:rPr>
  </w:style>
  <w:style w:type="character" w:customStyle="1" w:styleId="TextocomentarioCar">
    <w:name w:val="Texto comentario Car"/>
    <w:basedOn w:val="Fuentedeprrafopredeter"/>
    <w:link w:val="Textocomentario"/>
    <w:uiPriority w:val="99"/>
    <w:semiHidden/>
    <w:qFormat/>
    <w:rsid w:val="00B41C9D"/>
    <w:rPr>
      <w:rFonts w:ascii="Times New Roman" w:eastAsia="Times New Roman" w:hAnsi="Times New Roman" w:cs="Times New Roman"/>
      <w:sz w:val="20"/>
      <w:szCs w:val="20"/>
      <w:lang w:val="es-ES"/>
    </w:rPr>
  </w:style>
  <w:style w:type="character" w:customStyle="1" w:styleId="AsuntodelcomentarioCar">
    <w:name w:val="Asunto del comentario Car"/>
    <w:basedOn w:val="TextocomentarioCar"/>
    <w:link w:val="Asuntodelcomentario"/>
    <w:uiPriority w:val="99"/>
    <w:semiHidden/>
    <w:qFormat/>
    <w:rsid w:val="00B41C9D"/>
    <w:rPr>
      <w:rFonts w:ascii="Times New Roman" w:eastAsia="Times New Roman" w:hAnsi="Times New Roman" w:cs="Times New Roman"/>
      <w:b/>
      <w:bCs/>
      <w:sz w:val="20"/>
      <w:szCs w:val="20"/>
      <w:lang w:val="es-ES"/>
    </w:rPr>
  </w:style>
  <w:style w:type="character" w:customStyle="1" w:styleId="ROMANOSCar">
    <w:name w:val="ROMANOS Car"/>
    <w:link w:val="ROMANOS"/>
    <w:qFormat/>
    <w:locked/>
    <w:rsid w:val="00B41C9D"/>
    <w:rPr>
      <w:rFonts w:ascii="Arial" w:eastAsia="Times New Roman" w:hAnsi="Arial" w:cs="Arial"/>
      <w:sz w:val="18"/>
      <w:szCs w:val="18"/>
      <w:lang w:val="es-ES"/>
    </w:rPr>
  </w:style>
  <w:style w:type="character" w:customStyle="1" w:styleId="m1553324590483875794gmail-m8993139698400752374gmail-apple-converted-space">
    <w:name w:val="m_1553324590483875794gmail-m_8993139698400752374gmail-apple-converted-space"/>
    <w:basedOn w:val="Fuentedeprrafopredeter"/>
    <w:qFormat/>
    <w:rsid w:val="00B41C9D"/>
  </w:style>
  <w:style w:type="character" w:customStyle="1" w:styleId="Ninguno">
    <w:name w:val="Ninguno"/>
    <w:qFormat/>
    <w:rsid w:val="00B41C9D"/>
    <w:rPr>
      <w:lang w:val="es-ES_tradnl"/>
    </w:rPr>
  </w:style>
  <w:style w:type="character" w:customStyle="1" w:styleId="normaltextrun">
    <w:name w:val="normaltextrun"/>
    <w:basedOn w:val="Fuentedeprrafopredeter"/>
    <w:qFormat/>
    <w:rsid w:val="00B41C9D"/>
  </w:style>
  <w:style w:type="character" w:customStyle="1" w:styleId="nacep">
    <w:name w:val="n_acep"/>
    <w:basedOn w:val="Fuentedeprrafopredeter"/>
    <w:qFormat/>
    <w:rsid w:val="00B41C9D"/>
  </w:style>
  <w:style w:type="character" w:customStyle="1" w:styleId="user-highlighted-active">
    <w:name w:val="user-highlighted-active"/>
    <w:basedOn w:val="Fuentedeprrafopredeter"/>
    <w:qFormat/>
    <w:rsid w:val="00B41C9D"/>
  </w:style>
  <w:style w:type="character" w:customStyle="1" w:styleId="TextoindependienteCar">
    <w:name w:val="Texto independiente Car"/>
    <w:basedOn w:val="Fuentedeprrafopredeter"/>
    <w:link w:val="Textoindependiente"/>
    <w:uiPriority w:val="99"/>
    <w:qFormat/>
    <w:rsid w:val="00B41C9D"/>
    <w:rPr>
      <w:rFonts w:ascii="Times New Roman" w:eastAsia="Times New Roman" w:hAnsi="Times New Roman" w:cs="Times New Roman"/>
      <w:lang w:val="es-ES"/>
    </w:rPr>
  </w:style>
  <w:style w:type="character" w:customStyle="1" w:styleId="SangradetextonormalCar">
    <w:name w:val="Sangría de texto normal Car"/>
    <w:basedOn w:val="Fuentedeprrafopredeter"/>
    <w:link w:val="Sangradetextonormal"/>
    <w:uiPriority w:val="99"/>
    <w:qFormat/>
    <w:rsid w:val="00B41C9D"/>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qFormat/>
    <w:rsid w:val="00B41C9D"/>
    <w:rPr>
      <w:rFonts w:ascii="Times New Roman" w:eastAsia="Times New Roman" w:hAnsi="Times New Roman" w:cs="Times New Roman"/>
      <w:lang w:val="es-ES"/>
    </w:rPr>
  </w:style>
  <w:style w:type="character" w:customStyle="1" w:styleId="numberfracccentro">
    <w:name w:val="numberfracccentro"/>
    <w:basedOn w:val="Fuentedeprrafopredeter"/>
    <w:qFormat/>
    <w:rsid w:val="00B41C9D"/>
  </w:style>
  <w:style w:type="character" w:customStyle="1" w:styleId="titulorubrolgt">
    <w:name w:val="titulorubrolgt"/>
    <w:basedOn w:val="Fuentedeprrafopredeter"/>
    <w:qFormat/>
    <w:rsid w:val="00B41C9D"/>
  </w:style>
  <w:style w:type="character" w:customStyle="1" w:styleId="TextChar">
    <w:name w:val="Text Char"/>
    <w:link w:val="Text"/>
    <w:qFormat/>
    <w:locked/>
    <w:rsid w:val="00B41C9D"/>
    <w:rPr>
      <w:rFonts w:ascii="Times New Roman" w:eastAsia="Times New Roman" w:hAnsi="Times New Roman" w:cs="Times New Roman"/>
      <w:szCs w:val="20"/>
      <w:lang w:val="en-US"/>
    </w:rPr>
  </w:style>
  <w:style w:type="character" w:customStyle="1" w:styleId="Textoindependiente3Car">
    <w:name w:val="Texto independiente 3 Car"/>
    <w:basedOn w:val="Fuentedeprrafopredeter"/>
    <w:link w:val="Textoindependiente3"/>
    <w:uiPriority w:val="99"/>
    <w:semiHidden/>
    <w:qFormat/>
    <w:rsid w:val="00B41C9D"/>
    <w:rPr>
      <w:rFonts w:ascii="Times New Roman" w:eastAsia="Times New Roman" w:hAnsi="Times New Roman" w:cs="Times New Roman"/>
      <w:sz w:val="16"/>
      <w:szCs w:val="16"/>
    </w:rPr>
  </w:style>
  <w:style w:type="character" w:customStyle="1" w:styleId="eop">
    <w:name w:val="eop"/>
    <w:basedOn w:val="Fuentedeprrafopredeter"/>
    <w:qFormat/>
    <w:rsid w:val="00B41C9D"/>
  </w:style>
  <w:style w:type="paragraph" w:customStyle="1" w:styleId="Ttulo10">
    <w:name w:val="Título1"/>
    <w:basedOn w:val="Normal"/>
    <w:next w:val="Textoindependiente"/>
    <w:qFormat/>
    <w:rsid w:val="00B41C9D"/>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link w:val="TextoindependienteCar"/>
    <w:uiPriority w:val="99"/>
    <w:unhideWhenUsed/>
    <w:rsid w:val="00B41C9D"/>
    <w:pPr>
      <w:spacing w:after="120"/>
    </w:pPr>
    <w:rPr>
      <w:sz w:val="22"/>
      <w:szCs w:val="22"/>
      <w:lang w:val="es-ES" w:eastAsia="en-US"/>
    </w:rPr>
  </w:style>
  <w:style w:type="character" w:customStyle="1" w:styleId="TextoindependienteCar1">
    <w:name w:val="Texto independiente Car1"/>
    <w:basedOn w:val="Fuentedeprrafopredeter"/>
    <w:uiPriority w:val="99"/>
    <w:semiHidden/>
    <w:rsid w:val="00B41C9D"/>
    <w:rPr>
      <w:rFonts w:ascii="Times New Roman" w:eastAsia="Times New Roman" w:hAnsi="Times New Roman" w:cs="Times New Roman"/>
      <w:sz w:val="24"/>
      <w:szCs w:val="24"/>
      <w:lang w:eastAsia="es-ES"/>
    </w:rPr>
  </w:style>
  <w:style w:type="paragraph" w:styleId="Lista">
    <w:name w:val="List"/>
    <w:basedOn w:val="Normal"/>
    <w:uiPriority w:val="99"/>
    <w:unhideWhenUsed/>
    <w:rsid w:val="00B41C9D"/>
    <w:pPr>
      <w:ind w:left="283" w:hanging="283"/>
      <w:contextualSpacing/>
    </w:pPr>
    <w:rPr>
      <w:lang w:val="es-ES"/>
    </w:rPr>
  </w:style>
  <w:style w:type="paragraph" w:styleId="Descripcin">
    <w:name w:val="caption"/>
    <w:basedOn w:val="Normal"/>
    <w:qFormat/>
    <w:rsid w:val="00B41C9D"/>
    <w:pPr>
      <w:suppressLineNumbers/>
      <w:spacing w:before="120" w:after="120"/>
    </w:pPr>
    <w:rPr>
      <w:rFonts w:cs="Lohit Devanagari"/>
      <w:i/>
      <w:iCs/>
    </w:rPr>
  </w:style>
  <w:style w:type="paragraph" w:customStyle="1" w:styleId="ndice">
    <w:name w:val="Índice"/>
    <w:basedOn w:val="Normal"/>
    <w:qFormat/>
    <w:rsid w:val="00B41C9D"/>
    <w:pPr>
      <w:suppressLineNumbers/>
    </w:pPr>
    <w:rPr>
      <w:rFonts w:cs="Lohit Devanagari"/>
    </w:rPr>
  </w:style>
  <w:style w:type="paragraph" w:customStyle="1" w:styleId="Cabeceraypie">
    <w:name w:val="Cabecera y pie"/>
    <w:basedOn w:val="Normal"/>
    <w:qFormat/>
    <w:rsid w:val="00B41C9D"/>
  </w:style>
  <w:style w:type="paragraph" w:styleId="Encabezado">
    <w:name w:val="header"/>
    <w:basedOn w:val="Normal"/>
    <w:link w:val="EncabezadoCar"/>
    <w:uiPriority w:val="99"/>
    <w:unhideWhenUsed/>
    <w:rsid w:val="00B41C9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1">
    <w:name w:val="Encabezado Car1"/>
    <w:basedOn w:val="Fuentedeprrafopredeter"/>
    <w:uiPriority w:val="99"/>
    <w:semiHidden/>
    <w:rsid w:val="00B41C9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1C9D"/>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1">
    <w:name w:val="Pie de página Car1"/>
    <w:basedOn w:val="Fuentedeprrafopredeter"/>
    <w:uiPriority w:val="99"/>
    <w:semiHidden/>
    <w:rsid w:val="00B41C9D"/>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qFormat/>
    <w:rsid w:val="00B41C9D"/>
    <w:rPr>
      <w:rFonts w:ascii="Lucida Grande" w:eastAsiaTheme="minorHAnsi" w:hAnsi="Lucida Grande" w:cs="Lucida Grande"/>
      <w:sz w:val="18"/>
      <w:szCs w:val="18"/>
      <w:lang w:eastAsia="en-US"/>
    </w:rPr>
  </w:style>
  <w:style w:type="character" w:customStyle="1" w:styleId="TextodegloboCar1">
    <w:name w:val="Texto de globo Car1"/>
    <w:basedOn w:val="Fuentedeprrafopredeter"/>
    <w:uiPriority w:val="99"/>
    <w:semiHidden/>
    <w:rsid w:val="00B41C9D"/>
    <w:rPr>
      <w:rFonts w:ascii="Segoe UI" w:eastAsia="Times New Roman" w:hAnsi="Segoe UI" w:cs="Segoe UI"/>
      <w:sz w:val="18"/>
      <w:szCs w:val="18"/>
      <w:lang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B41C9D"/>
    <w:pPr>
      <w:ind w:left="708"/>
    </w:pPr>
    <w:rPr>
      <w:sz w:val="22"/>
      <w:szCs w:val="22"/>
      <w:lang w:val="es-ES" w:eastAsia="en-US"/>
    </w:rPr>
  </w:style>
  <w:style w:type="paragraph" w:styleId="NormalWeb">
    <w:name w:val="Normal (Web)"/>
    <w:basedOn w:val="Normal"/>
    <w:uiPriority w:val="99"/>
    <w:qFormat/>
    <w:rsid w:val="00B41C9D"/>
    <w:pPr>
      <w:spacing w:beforeAutospacing="1" w:afterAutospacing="1"/>
    </w:pPr>
  </w:style>
  <w:style w:type="paragraph" w:styleId="Textoindependiente2">
    <w:name w:val="Body Text 2"/>
    <w:basedOn w:val="Normal"/>
    <w:link w:val="Textoindependiente2Car"/>
    <w:uiPriority w:val="99"/>
    <w:unhideWhenUsed/>
    <w:qFormat/>
    <w:rsid w:val="00B41C9D"/>
    <w:pPr>
      <w:spacing w:after="120" w:line="480" w:lineRule="auto"/>
    </w:pPr>
    <w:rPr>
      <w:sz w:val="22"/>
      <w:szCs w:val="22"/>
      <w:lang w:val="es-ES" w:eastAsia="en-US"/>
    </w:rPr>
  </w:style>
  <w:style w:type="character" w:customStyle="1" w:styleId="Textoindependiente2Car1">
    <w:name w:val="Texto independiente 2 Car1"/>
    <w:basedOn w:val="Fuentedeprrafopredeter"/>
    <w:uiPriority w:val="99"/>
    <w:semiHidden/>
    <w:rsid w:val="00B41C9D"/>
    <w:rPr>
      <w:rFonts w:ascii="Times New Roman" w:eastAsia="Times New Roman" w:hAnsi="Times New Roman" w:cs="Times New Roman"/>
      <w:sz w:val="24"/>
      <w:szCs w:val="24"/>
      <w:lang w:eastAsia="es-ES"/>
    </w:rPr>
  </w:style>
  <w:style w:type="paragraph" w:customStyle="1" w:styleId="Default">
    <w:name w:val="Default"/>
    <w:qFormat/>
    <w:rsid w:val="00B41C9D"/>
    <w:pPr>
      <w:suppressAutoHyphens/>
      <w:spacing w:after="0" w:line="240" w:lineRule="auto"/>
    </w:pPr>
    <w:rPr>
      <w:rFonts w:ascii="Arial" w:hAnsi="Arial" w:cs="Arial"/>
      <w:color w:val="000000"/>
      <w:sz w:val="24"/>
      <w:szCs w:val="24"/>
    </w:rPr>
  </w:style>
  <w:style w:type="paragraph" w:customStyle="1" w:styleId="Listavistosa-nfasis11">
    <w:name w:val="Lista vistosa - Énfasis 11"/>
    <w:basedOn w:val="Normal"/>
    <w:uiPriority w:val="34"/>
    <w:qFormat/>
    <w:rsid w:val="00B41C9D"/>
    <w:pPr>
      <w:ind w:left="708"/>
    </w:pPr>
  </w:style>
  <w:style w:type="paragraph" w:customStyle="1" w:styleId="Texto">
    <w:name w:val="Texto"/>
    <w:basedOn w:val="Normal"/>
    <w:link w:val="TextoCar"/>
    <w:qFormat/>
    <w:rsid w:val="00B41C9D"/>
    <w:pPr>
      <w:spacing w:after="240"/>
    </w:pPr>
    <w:rPr>
      <w:rFonts w:ascii="Arial" w:hAnsi="Arial" w:cs="Arial"/>
      <w:sz w:val="18"/>
      <w:szCs w:val="18"/>
      <w:lang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B41C9D"/>
    <w:rPr>
      <w:rFonts w:asciiTheme="minorHAnsi" w:eastAsiaTheme="minorHAnsi" w:hAnsiTheme="minorHAnsi" w:cstheme="minorBidi"/>
      <w:sz w:val="20"/>
      <w:szCs w:val="20"/>
      <w:lang w:eastAsia="en-US"/>
    </w:rPr>
  </w:style>
  <w:style w:type="character" w:customStyle="1" w:styleId="TextonotapieCar1">
    <w:name w:val="Texto nota pie Car1"/>
    <w:basedOn w:val="Fuentedeprrafopredeter"/>
    <w:uiPriority w:val="99"/>
    <w:semiHidden/>
    <w:rsid w:val="00B41C9D"/>
    <w:rPr>
      <w:rFonts w:ascii="Times New Roman" w:eastAsia="Times New Roman" w:hAnsi="Times New Roman" w:cs="Times New Roman"/>
      <w:sz w:val="20"/>
      <w:szCs w:val="20"/>
      <w:lang w:eastAsia="es-ES"/>
    </w:rPr>
  </w:style>
  <w:style w:type="paragraph" w:styleId="Sinespaciado">
    <w:name w:val="No Spacing"/>
    <w:aliases w:val="Francesa"/>
    <w:link w:val="SinespaciadoCar"/>
    <w:uiPriority w:val="1"/>
    <w:qFormat/>
    <w:rsid w:val="00B41C9D"/>
    <w:pPr>
      <w:suppressAutoHyphens/>
      <w:spacing w:after="0" w:line="240" w:lineRule="auto"/>
    </w:pPr>
    <w:rPr>
      <w:rFonts w:ascii="Times New Roman" w:eastAsia="Times New Roman" w:hAnsi="Times New Roman" w:cs="Times New Roman"/>
    </w:rPr>
  </w:style>
  <w:style w:type="paragraph" w:styleId="Textosinformato">
    <w:name w:val="Plain Text"/>
    <w:basedOn w:val="Normal"/>
    <w:link w:val="TextosinformatoCar"/>
    <w:qFormat/>
    <w:rsid w:val="00B41C9D"/>
    <w:rPr>
      <w:rFonts w:ascii="Courier New" w:hAnsi="Courier New"/>
      <w:sz w:val="20"/>
      <w:szCs w:val="20"/>
      <w:lang w:val="es-ES" w:eastAsia="en-US"/>
    </w:rPr>
  </w:style>
  <w:style w:type="character" w:customStyle="1" w:styleId="TextosinformatoCar1">
    <w:name w:val="Texto sin formato Car1"/>
    <w:basedOn w:val="Fuentedeprrafopredeter"/>
    <w:uiPriority w:val="99"/>
    <w:semiHidden/>
    <w:rsid w:val="00B41C9D"/>
    <w:rPr>
      <w:rFonts w:ascii="Consolas" w:eastAsia="Times New Roman" w:hAnsi="Consolas" w:cs="Times New Roman"/>
      <w:sz w:val="21"/>
      <w:szCs w:val="21"/>
      <w:lang w:eastAsia="es-ES"/>
    </w:rPr>
  </w:style>
  <w:style w:type="paragraph" w:customStyle="1" w:styleId="Standard">
    <w:name w:val="Standard"/>
    <w:qFormat/>
    <w:rsid w:val="00B41C9D"/>
    <w:pPr>
      <w:widowControl w:val="0"/>
      <w:suppressAutoHyphens/>
      <w:spacing w:after="0" w:line="240" w:lineRule="auto"/>
      <w:textAlignment w:val="baseline"/>
    </w:pPr>
    <w:rPr>
      <w:rFonts w:ascii="Liberation Serif" w:eastAsia="DejaVu Sans" w:hAnsi="Liberation Serif" w:cs="Lohit Hindi"/>
      <w:kern w:val="2"/>
      <w:sz w:val="24"/>
      <w:szCs w:val="24"/>
      <w:lang w:eastAsia="zh-CN" w:bidi="hi-IN"/>
    </w:rPr>
  </w:style>
  <w:style w:type="paragraph" w:customStyle="1" w:styleId="Pa2">
    <w:name w:val="Pa2"/>
    <w:basedOn w:val="Normal"/>
    <w:next w:val="Normal"/>
    <w:uiPriority w:val="99"/>
    <w:qFormat/>
    <w:rsid w:val="00B41C9D"/>
    <w:pPr>
      <w:spacing w:line="240" w:lineRule="atLeast"/>
    </w:pPr>
    <w:rPr>
      <w:rFonts w:ascii="Helvetica" w:hAnsi="Helvetica"/>
      <w:lang w:val="es-ES_tradnl" w:eastAsia="es-ES_tradnl"/>
    </w:rPr>
  </w:style>
  <w:style w:type="paragraph" w:customStyle="1" w:styleId="q">
    <w:name w:val="q"/>
    <w:basedOn w:val="Normal"/>
    <w:qFormat/>
    <w:rsid w:val="00B41C9D"/>
    <w:pPr>
      <w:spacing w:beforeAutospacing="1" w:afterAutospacing="1"/>
    </w:pPr>
    <w:rPr>
      <w:lang w:eastAsia="es-MX"/>
    </w:rPr>
  </w:style>
  <w:style w:type="paragraph" w:customStyle="1" w:styleId="RSCGnotaalpie">
    <w:name w:val="RSCG nota al pie"/>
    <w:basedOn w:val="Normal"/>
    <w:uiPriority w:val="99"/>
    <w:qFormat/>
    <w:rsid w:val="00B41C9D"/>
    <w:pPr>
      <w:spacing w:after="120"/>
      <w:jc w:val="both"/>
    </w:pPr>
    <w:rPr>
      <w:rFonts w:ascii="Palatino" w:hAnsi="Palatino" w:cstheme="minorBidi"/>
      <w:sz w:val="22"/>
      <w:szCs w:val="22"/>
      <w:lang w:eastAsia="en-US"/>
    </w:rPr>
  </w:style>
  <w:style w:type="paragraph" w:customStyle="1" w:styleId="ANOTACION">
    <w:name w:val="ANOTACION"/>
    <w:basedOn w:val="Normal"/>
    <w:link w:val="ANOTACIONCar"/>
    <w:qFormat/>
    <w:rsid w:val="00B41C9D"/>
    <w:pPr>
      <w:spacing w:before="101" w:after="101"/>
      <w:jc w:val="center"/>
    </w:pPr>
    <w:rPr>
      <w:b/>
      <w:sz w:val="18"/>
      <w:szCs w:val="18"/>
      <w:lang w:eastAsia="en-US"/>
    </w:rPr>
  </w:style>
  <w:style w:type="paragraph" w:styleId="Bibliografa">
    <w:name w:val="Bibliography"/>
    <w:basedOn w:val="Normal"/>
    <w:next w:val="Normal"/>
    <w:uiPriority w:val="37"/>
    <w:semiHidden/>
    <w:unhideWhenUsed/>
    <w:qFormat/>
    <w:rsid w:val="00B41C9D"/>
  </w:style>
  <w:style w:type="paragraph" w:styleId="Textocomentario">
    <w:name w:val="annotation text"/>
    <w:basedOn w:val="Normal"/>
    <w:link w:val="TextocomentarioCar"/>
    <w:uiPriority w:val="99"/>
    <w:semiHidden/>
    <w:unhideWhenUsed/>
    <w:qFormat/>
    <w:rsid w:val="00B41C9D"/>
    <w:rPr>
      <w:sz w:val="20"/>
      <w:szCs w:val="20"/>
      <w:lang w:val="es-ES" w:eastAsia="en-US"/>
    </w:rPr>
  </w:style>
  <w:style w:type="character" w:customStyle="1" w:styleId="TextocomentarioCar1">
    <w:name w:val="Texto comentario Car1"/>
    <w:basedOn w:val="Fuentedeprrafopredeter"/>
    <w:uiPriority w:val="99"/>
    <w:semiHidden/>
    <w:rsid w:val="00B41C9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B41C9D"/>
    <w:rPr>
      <w:b/>
      <w:bCs/>
    </w:rPr>
  </w:style>
  <w:style w:type="character" w:customStyle="1" w:styleId="AsuntodelcomentarioCar1">
    <w:name w:val="Asunto del comentario Car1"/>
    <w:basedOn w:val="TextocomentarioCar1"/>
    <w:uiPriority w:val="99"/>
    <w:semiHidden/>
    <w:rsid w:val="00B41C9D"/>
    <w:rPr>
      <w:rFonts w:ascii="Times New Roman" w:eastAsia="Times New Roman" w:hAnsi="Times New Roman" w:cs="Times New Roman"/>
      <w:b/>
      <w:bCs/>
      <w:sz w:val="20"/>
      <w:szCs w:val="20"/>
      <w:lang w:eastAsia="es-ES"/>
    </w:rPr>
  </w:style>
  <w:style w:type="paragraph" w:customStyle="1" w:styleId="ROMANOS">
    <w:name w:val="ROMANOS"/>
    <w:basedOn w:val="Normal"/>
    <w:link w:val="ROMANOSCar"/>
    <w:qFormat/>
    <w:rsid w:val="00B41C9D"/>
    <w:pPr>
      <w:tabs>
        <w:tab w:val="left" w:pos="720"/>
      </w:tabs>
      <w:spacing w:after="101" w:line="216" w:lineRule="exact"/>
      <w:ind w:left="720" w:hanging="432"/>
      <w:jc w:val="both"/>
    </w:pPr>
    <w:rPr>
      <w:rFonts w:ascii="Arial" w:hAnsi="Arial" w:cs="Arial"/>
      <w:sz w:val="18"/>
      <w:szCs w:val="18"/>
      <w:lang w:val="es-ES" w:eastAsia="en-US"/>
    </w:rPr>
  </w:style>
  <w:style w:type="paragraph" w:customStyle="1" w:styleId="Cuerpo">
    <w:name w:val="Cuerpo"/>
    <w:qFormat/>
    <w:rsid w:val="00B41C9D"/>
    <w:pPr>
      <w:suppressAutoHyphens/>
    </w:pPr>
    <w:rPr>
      <w:rFonts w:ascii="Calibri" w:eastAsia="Calibri" w:hAnsi="Calibri" w:cs="Calibri"/>
      <w:color w:val="000000"/>
      <w:u w:color="000000"/>
      <w:lang w:val="de-DE" w:eastAsia="es-ES"/>
    </w:rPr>
  </w:style>
  <w:style w:type="paragraph" w:customStyle="1" w:styleId="INCISO">
    <w:name w:val="INCISO"/>
    <w:basedOn w:val="Normal"/>
    <w:qFormat/>
    <w:rsid w:val="00B41C9D"/>
    <w:pPr>
      <w:spacing w:after="101" w:line="216" w:lineRule="exact"/>
      <w:ind w:left="1080" w:hanging="360"/>
      <w:jc w:val="both"/>
    </w:pPr>
    <w:rPr>
      <w:rFonts w:ascii="Arial" w:hAnsi="Arial" w:cs="Arial"/>
      <w:sz w:val="18"/>
      <w:szCs w:val="18"/>
      <w:lang w:val="es-ES" w:eastAsia="es-MX"/>
    </w:rPr>
  </w:style>
  <w:style w:type="paragraph" w:customStyle="1" w:styleId="n2">
    <w:name w:val="n2"/>
    <w:basedOn w:val="Normal"/>
    <w:qFormat/>
    <w:rsid w:val="00B41C9D"/>
    <w:pPr>
      <w:spacing w:beforeAutospacing="1" w:afterAutospacing="1"/>
    </w:pPr>
    <w:rPr>
      <w:lang w:eastAsia="es-MX"/>
    </w:rPr>
  </w:style>
  <w:style w:type="paragraph" w:customStyle="1" w:styleId="j">
    <w:name w:val="j"/>
    <w:basedOn w:val="Normal"/>
    <w:qFormat/>
    <w:rsid w:val="00B41C9D"/>
    <w:pPr>
      <w:spacing w:beforeAutospacing="1" w:afterAutospacing="1"/>
    </w:pPr>
    <w:rPr>
      <w:lang w:eastAsia="es-MX"/>
    </w:rPr>
  </w:style>
  <w:style w:type="paragraph" w:customStyle="1" w:styleId="m5212863947045306324gmail-msonormal">
    <w:name w:val="m_5212863947045306324gmail-msonormal"/>
    <w:basedOn w:val="Normal"/>
    <w:qFormat/>
    <w:rsid w:val="00B41C9D"/>
    <w:pPr>
      <w:spacing w:beforeAutospacing="1" w:afterAutospacing="1"/>
    </w:pPr>
    <w:rPr>
      <w:lang w:eastAsia="es-MX"/>
    </w:rPr>
  </w:style>
  <w:style w:type="paragraph" w:styleId="Listaconvietas3">
    <w:name w:val="List Bullet 3"/>
    <w:basedOn w:val="Normal"/>
    <w:uiPriority w:val="99"/>
    <w:unhideWhenUsed/>
    <w:qFormat/>
    <w:rsid w:val="00B41C9D"/>
    <w:pPr>
      <w:ind w:left="566" w:hanging="283"/>
      <w:contextualSpacing/>
    </w:pPr>
    <w:rPr>
      <w:lang w:val="es-ES"/>
    </w:rPr>
  </w:style>
  <w:style w:type="paragraph" w:styleId="Listaconvietas4">
    <w:name w:val="List Bullet 4"/>
    <w:basedOn w:val="Normal"/>
    <w:uiPriority w:val="99"/>
    <w:unhideWhenUsed/>
    <w:qFormat/>
    <w:rsid w:val="00B41C9D"/>
    <w:pPr>
      <w:ind w:left="849" w:hanging="283"/>
      <w:contextualSpacing/>
    </w:pPr>
    <w:rPr>
      <w:lang w:val="es-ES"/>
    </w:rPr>
  </w:style>
  <w:style w:type="paragraph" w:styleId="Sangradetextonormal">
    <w:name w:val="Body Text Indent"/>
    <w:basedOn w:val="Normal"/>
    <w:link w:val="SangradetextonormalCar"/>
    <w:uiPriority w:val="99"/>
    <w:unhideWhenUsed/>
    <w:rsid w:val="00B41C9D"/>
    <w:pPr>
      <w:spacing w:after="120"/>
      <w:ind w:left="283"/>
    </w:pPr>
    <w:rPr>
      <w:sz w:val="22"/>
      <w:szCs w:val="22"/>
      <w:lang w:val="es-ES" w:eastAsia="en-US"/>
    </w:rPr>
  </w:style>
  <w:style w:type="character" w:customStyle="1" w:styleId="SangradetextonormalCar1">
    <w:name w:val="Sangría de texto normal Car1"/>
    <w:basedOn w:val="Fuentedeprrafopredeter"/>
    <w:uiPriority w:val="99"/>
    <w:semiHidden/>
    <w:rsid w:val="00B41C9D"/>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qFormat/>
    <w:rsid w:val="00B41C9D"/>
    <w:pPr>
      <w:spacing w:after="0"/>
      <w:ind w:left="360" w:firstLine="360"/>
    </w:pPr>
  </w:style>
  <w:style w:type="character" w:customStyle="1" w:styleId="Textoindependienteprimerasangra2Car1">
    <w:name w:val="Texto independiente primera sangría 2 Car1"/>
    <w:basedOn w:val="SangradetextonormalCar1"/>
    <w:uiPriority w:val="99"/>
    <w:semiHidden/>
    <w:rsid w:val="00B41C9D"/>
    <w:rPr>
      <w:rFonts w:ascii="Times New Roman" w:eastAsia="Times New Roman" w:hAnsi="Times New Roman" w:cs="Times New Roman"/>
      <w:sz w:val="24"/>
      <w:szCs w:val="24"/>
      <w:lang w:eastAsia="es-ES"/>
    </w:rPr>
  </w:style>
  <w:style w:type="paragraph" w:customStyle="1" w:styleId="corte5transcripcion">
    <w:name w:val="corte5 transcripcion"/>
    <w:basedOn w:val="Normal"/>
    <w:qFormat/>
    <w:rsid w:val="00B41C9D"/>
    <w:pPr>
      <w:spacing w:line="360" w:lineRule="auto"/>
      <w:ind w:left="709" w:right="709"/>
      <w:jc w:val="both"/>
    </w:pPr>
    <w:rPr>
      <w:rFonts w:ascii="Arial" w:hAnsi="Arial" w:cs="Arial"/>
      <w:b/>
      <w:bCs/>
      <w:i/>
      <w:iCs/>
      <w:sz w:val="30"/>
      <w:szCs w:val="30"/>
      <w:lang w:eastAsia="es-MX"/>
    </w:rPr>
  </w:style>
  <w:style w:type="paragraph" w:customStyle="1" w:styleId="FAFunotente1">
    <w:name w:val="FA Fu?notente1"/>
    <w:basedOn w:val="Normal"/>
    <w:next w:val="Textonotapie"/>
    <w:uiPriority w:val="99"/>
    <w:qFormat/>
    <w:rsid w:val="00B41C9D"/>
    <w:rPr>
      <w:rFonts w:asciiTheme="minorHAnsi" w:eastAsia="Cambria" w:hAnsiTheme="minorHAnsi" w:cstheme="minorBidi"/>
      <w:sz w:val="20"/>
      <w:szCs w:val="20"/>
      <w:lang w:eastAsia="en-US"/>
    </w:rPr>
  </w:style>
  <w:style w:type="paragraph" w:customStyle="1" w:styleId="paragraph">
    <w:name w:val="paragraph"/>
    <w:basedOn w:val="Normal"/>
    <w:uiPriority w:val="99"/>
    <w:qFormat/>
    <w:rsid w:val="00B41C9D"/>
    <w:pPr>
      <w:spacing w:beforeAutospacing="1" w:afterAutospacing="1" w:line="264" w:lineRule="auto"/>
    </w:pPr>
    <w:rPr>
      <w:rFonts w:asciiTheme="minorHAnsi" w:eastAsiaTheme="minorEastAsia" w:hAnsiTheme="minorHAnsi" w:cstheme="minorBidi"/>
      <w:sz w:val="20"/>
      <w:szCs w:val="20"/>
      <w:lang w:eastAsia="es-MX"/>
    </w:rPr>
  </w:style>
  <w:style w:type="paragraph" w:styleId="Textoindependiente3">
    <w:name w:val="Body Text 3"/>
    <w:basedOn w:val="Normal"/>
    <w:link w:val="Textoindependiente3Car"/>
    <w:uiPriority w:val="99"/>
    <w:semiHidden/>
    <w:unhideWhenUsed/>
    <w:qFormat/>
    <w:rsid w:val="00B41C9D"/>
    <w:pPr>
      <w:spacing w:after="120"/>
    </w:pPr>
    <w:rPr>
      <w:sz w:val="16"/>
      <w:szCs w:val="16"/>
      <w:lang w:eastAsia="en-US"/>
    </w:rPr>
  </w:style>
  <w:style w:type="character" w:customStyle="1" w:styleId="Textoindependiente3Car1">
    <w:name w:val="Texto independiente 3 Car1"/>
    <w:basedOn w:val="Fuentedeprrafopredeter"/>
    <w:uiPriority w:val="99"/>
    <w:semiHidden/>
    <w:rsid w:val="00B41C9D"/>
    <w:rPr>
      <w:rFonts w:ascii="Times New Roman" w:eastAsia="Times New Roman" w:hAnsi="Times New Roman" w:cs="Times New Roman"/>
      <w:sz w:val="16"/>
      <w:szCs w:val="16"/>
      <w:lang w:eastAsia="es-ES"/>
    </w:rPr>
  </w:style>
  <w:style w:type="paragraph" w:customStyle="1" w:styleId="xmsonormal">
    <w:name w:val="x_msonormal"/>
    <w:basedOn w:val="Normal"/>
    <w:qFormat/>
    <w:rsid w:val="00B41C9D"/>
    <w:pPr>
      <w:spacing w:beforeAutospacing="1" w:afterAutospacing="1"/>
    </w:pPr>
    <w:rPr>
      <w:lang w:eastAsia="es-MX"/>
    </w:rPr>
  </w:style>
  <w:style w:type="numbering" w:customStyle="1" w:styleId="Estiloimportado2">
    <w:name w:val="Estilo importado 2"/>
    <w:qFormat/>
    <w:rsid w:val="00B41C9D"/>
    <w:pPr>
      <w:numPr>
        <w:numId w:val="1"/>
      </w:numPr>
    </w:pPr>
  </w:style>
  <w:style w:type="numbering" w:customStyle="1" w:styleId="Estiloimportado1">
    <w:name w:val="Estilo importado 1"/>
    <w:qFormat/>
    <w:rsid w:val="00B41C9D"/>
    <w:pPr>
      <w:numPr>
        <w:numId w:val="2"/>
      </w:numPr>
    </w:pPr>
  </w:style>
  <w:style w:type="numbering" w:customStyle="1" w:styleId="Sinlista1">
    <w:name w:val="Sin lista1"/>
    <w:uiPriority w:val="99"/>
    <w:semiHidden/>
    <w:unhideWhenUsed/>
    <w:qFormat/>
    <w:rsid w:val="00B41C9D"/>
  </w:style>
  <w:style w:type="numbering" w:customStyle="1" w:styleId="Sinlista11">
    <w:name w:val="Sin lista11"/>
    <w:uiPriority w:val="99"/>
    <w:semiHidden/>
    <w:unhideWhenUsed/>
    <w:qFormat/>
    <w:rsid w:val="00B41C9D"/>
  </w:style>
  <w:style w:type="numbering" w:customStyle="1" w:styleId="Sinlista111">
    <w:name w:val="Sin lista111"/>
    <w:uiPriority w:val="99"/>
    <w:semiHidden/>
    <w:unhideWhenUsed/>
    <w:qFormat/>
    <w:rsid w:val="00B41C9D"/>
  </w:style>
  <w:style w:type="numbering" w:customStyle="1" w:styleId="Sinlista2">
    <w:name w:val="Sin lista2"/>
    <w:uiPriority w:val="99"/>
    <w:semiHidden/>
    <w:unhideWhenUsed/>
    <w:qFormat/>
    <w:rsid w:val="00B41C9D"/>
  </w:style>
  <w:style w:type="numbering" w:customStyle="1" w:styleId="Sinlista3">
    <w:name w:val="Sin lista3"/>
    <w:uiPriority w:val="99"/>
    <w:semiHidden/>
    <w:unhideWhenUsed/>
    <w:qFormat/>
    <w:rsid w:val="00B41C9D"/>
  </w:style>
  <w:style w:type="numbering" w:customStyle="1" w:styleId="Sinlista4">
    <w:name w:val="Sin lista4"/>
    <w:uiPriority w:val="99"/>
    <w:semiHidden/>
    <w:unhideWhenUsed/>
    <w:qFormat/>
    <w:rsid w:val="00B41C9D"/>
  </w:style>
  <w:style w:type="numbering" w:customStyle="1" w:styleId="Sinlista5">
    <w:name w:val="Sin lista5"/>
    <w:uiPriority w:val="99"/>
    <w:semiHidden/>
    <w:unhideWhenUsed/>
    <w:qFormat/>
    <w:rsid w:val="00B41C9D"/>
  </w:style>
  <w:style w:type="numbering" w:customStyle="1" w:styleId="Sinlista6">
    <w:name w:val="Sin lista6"/>
    <w:uiPriority w:val="99"/>
    <w:semiHidden/>
    <w:unhideWhenUsed/>
    <w:qFormat/>
    <w:rsid w:val="00B41C9D"/>
  </w:style>
  <w:style w:type="table" w:styleId="Tablaconcuadrcula">
    <w:name w:val="Table Grid"/>
    <w:basedOn w:val="Tablanormal"/>
    <w:uiPriority w:val="59"/>
    <w:rsid w:val="00B41C9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uiPriority w:val="39"/>
    <w:rsid w:val="00B41C9D"/>
    <w:pPr>
      <w:suppressAutoHyphens/>
      <w:spacing w:after="0" w:line="240" w:lineRule="auto"/>
    </w:pPr>
    <w:rPr>
      <w:rFonts w:eastAsiaTheme="minorEastAsia"/>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uiPriority w:val="39"/>
    <w:rsid w:val="00B41C9D"/>
    <w:pPr>
      <w:suppressAutoHyphens/>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39"/>
    <w:rsid w:val="00B41C9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uiPriority w:val="39"/>
    <w:rsid w:val="00B41C9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uiPriority w:val="39"/>
    <w:rsid w:val="00B41C9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uiPriority w:val="39"/>
    <w:rsid w:val="00B41C9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uiPriority w:val="39"/>
    <w:rsid w:val="00B41C9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unhideWhenUsed/>
    <w:rsid w:val="00B41C9D"/>
    <w:rPr>
      <w:strike w:val="0"/>
      <w:dstrike w:val="0"/>
      <w:color w:val="035899"/>
      <w:u w:val="none"/>
      <w:effect w:val="none"/>
    </w:rPr>
  </w:style>
  <w:style w:type="character" w:styleId="Hipervnculovisitado">
    <w:name w:val="FollowedHyperlink"/>
    <w:basedOn w:val="Fuentedeprrafopredeter"/>
    <w:uiPriority w:val="99"/>
    <w:semiHidden/>
    <w:unhideWhenUsed/>
    <w:rsid w:val="00B41C9D"/>
    <w:rPr>
      <w:color w:val="954F72" w:themeColor="followedHyperlink"/>
      <w:u w:val="single"/>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qFormat/>
    <w:rsid w:val="00B41C9D"/>
    <w:rPr>
      <w:vertAlign w:val="superscript"/>
    </w:rPr>
  </w:style>
  <w:style w:type="character" w:styleId="nfasis">
    <w:name w:val="Emphasis"/>
    <w:basedOn w:val="Fuentedeprrafopredeter"/>
    <w:uiPriority w:val="20"/>
    <w:qFormat/>
    <w:rsid w:val="00B41C9D"/>
    <w:rPr>
      <w:i/>
      <w:iCs/>
    </w:rPr>
  </w:style>
  <w:style w:type="paragraph" w:styleId="Lista2">
    <w:name w:val="List 2"/>
    <w:basedOn w:val="Normal"/>
    <w:uiPriority w:val="99"/>
    <w:unhideWhenUsed/>
    <w:rsid w:val="00B41C9D"/>
    <w:pPr>
      <w:suppressAutoHyphens w:val="0"/>
      <w:ind w:left="566" w:hanging="283"/>
      <w:contextualSpacing/>
    </w:pPr>
    <w:rPr>
      <w:lang w:val="es-ES"/>
    </w:rPr>
  </w:style>
  <w:style w:type="paragraph" w:styleId="Lista3">
    <w:name w:val="List 3"/>
    <w:basedOn w:val="Normal"/>
    <w:uiPriority w:val="99"/>
    <w:unhideWhenUsed/>
    <w:rsid w:val="00B41C9D"/>
    <w:pPr>
      <w:suppressAutoHyphens w:val="0"/>
      <w:ind w:left="849" w:hanging="283"/>
      <w:contextualSpacing/>
    </w:pPr>
    <w:rPr>
      <w:lang w:val="es-ES"/>
    </w:rPr>
  </w:style>
  <w:style w:type="paragraph" w:customStyle="1" w:styleId="Text">
    <w:name w:val="Text"/>
    <w:basedOn w:val="Normal"/>
    <w:link w:val="TextChar"/>
    <w:rsid w:val="00B41C9D"/>
    <w:pPr>
      <w:suppressAutoHyphens w:val="0"/>
      <w:spacing w:after="240"/>
    </w:pPr>
    <w:rPr>
      <w:sz w:val="22"/>
      <w:szCs w:val="20"/>
      <w:lang w:val="en-US" w:eastAsia="en-US"/>
    </w:rPr>
  </w:style>
  <w:style w:type="table" w:customStyle="1" w:styleId="Tablaconcuadrcula12">
    <w:name w:val="Tabla con cuadrícula12"/>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B41C9D"/>
  </w:style>
  <w:style w:type="table" w:customStyle="1" w:styleId="Tablaconcuadrcula21">
    <w:name w:val="Tabla con cuadrícula2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B41C9D"/>
  </w:style>
  <w:style w:type="numbering" w:customStyle="1" w:styleId="Sinlista31">
    <w:name w:val="Sin lista31"/>
    <w:next w:val="Sinlista"/>
    <w:uiPriority w:val="99"/>
    <w:semiHidden/>
    <w:unhideWhenUsed/>
    <w:rsid w:val="00B41C9D"/>
  </w:style>
  <w:style w:type="table" w:customStyle="1" w:styleId="Tablaconcuadrcula31">
    <w:name w:val="Tabla con cuadrícula3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B41C9D"/>
  </w:style>
  <w:style w:type="table" w:customStyle="1" w:styleId="Tablaconcuadrcula41">
    <w:name w:val="Tabla con cuadrícula4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1">
    <w:name w:val="Estilo importado 21"/>
    <w:rsid w:val="00B41C9D"/>
  </w:style>
  <w:style w:type="numbering" w:customStyle="1" w:styleId="Estiloimportado11">
    <w:name w:val="Estilo importado 11"/>
    <w:rsid w:val="00B41C9D"/>
  </w:style>
  <w:style w:type="numbering" w:customStyle="1" w:styleId="Sinlista1111">
    <w:name w:val="Sin lista1111"/>
    <w:next w:val="Sinlista"/>
    <w:uiPriority w:val="99"/>
    <w:semiHidden/>
    <w:unhideWhenUsed/>
    <w:rsid w:val="00B41C9D"/>
  </w:style>
  <w:style w:type="table" w:customStyle="1" w:styleId="Tablaconcuadrcula113">
    <w:name w:val="Tabla con cuadrícula113"/>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B41C9D"/>
  </w:style>
  <w:style w:type="table" w:customStyle="1" w:styleId="Tablaconcuadrcula7">
    <w:name w:val="Tabla con cuadrícula7"/>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B41C9D"/>
  </w:style>
  <w:style w:type="table" w:customStyle="1" w:styleId="Tablaconcuadrcula13">
    <w:name w:val="Tabla con cuadrícula13"/>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B41C9D"/>
  </w:style>
  <w:style w:type="table" w:customStyle="1" w:styleId="Tablaconcuadrcula22">
    <w:name w:val="Tabla con cuadrícula2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B41C9D"/>
  </w:style>
  <w:style w:type="table" w:customStyle="1" w:styleId="Tablaconcuadrcula32">
    <w:name w:val="Tabla con cuadrícula3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B41C9D"/>
  </w:style>
  <w:style w:type="table" w:customStyle="1" w:styleId="Tablaconcuadrcula42">
    <w:name w:val="Tabla con cuadrícula4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B41C9D"/>
  </w:style>
  <w:style w:type="table" w:customStyle="1" w:styleId="Tablaconcuadrcula51">
    <w:name w:val="Tabla con cuadrícula5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1">
    <w:name w:val="Sin lista61"/>
    <w:next w:val="Sinlista"/>
    <w:uiPriority w:val="99"/>
    <w:semiHidden/>
    <w:unhideWhenUsed/>
    <w:rsid w:val="00B41C9D"/>
  </w:style>
  <w:style w:type="table" w:customStyle="1" w:styleId="Tablaconcuadrcula61">
    <w:name w:val="Tabla con cuadrícula6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2">
    <w:name w:val="Estilo importado 22"/>
    <w:rsid w:val="00B41C9D"/>
    <w:pPr>
      <w:numPr>
        <w:numId w:val="3"/>
      </w:numPr>
    </w:pPr>
  </w:style>
  <w:style w:type="numbering" w:customStyle="1" w:styleId="Estiloimportado12">
    <w:name w:val="Estilo importado 12"/>
    <w:rsid w:val="00B41C9D"/>
    <w:pPr>
      <w:numPr>
        <w:numId w:val="4"/>
      </w:numPr>
    </w:pPr>
  </w:style>
  <w:style w:type="table" w:customStyle="1" w:styleId="Tablaconcuadrcula121">
    <w:name w:val="Tabla con cuadrícula121"/>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B41C9D"/>
  </w:style>
  <w:style w:type="table" w:customStyle="1" w:styleId="Tablaconcuadrcula211">
    <w:name w:val="Tabla con cuadrícula2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B41C9D"/>
  </w:style>
  <w:style w:type="table" w:customStyle="1" w:styleId="Tablaconcuadrcula1111">
    <w:name w:val="Tabla con cuadrícula1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B41C9D"/>
  </w:style>
  <w:style w:type="numbering" w:customStyle="1" w:styleId="Sinlista311">
    <w:name w:val="Sin lista311"/>
    <w:next w:val="Sinlista"/>
    <w:uiPriority w:val="99"/>
    <w:semiHidden/>
    <w:unhideWhenUsed/>
    <w:rsid w:val="00B41C9D"/>
  </w:style>
  <w:style w:type="table" w:customStyle="1" w:styleId="Tablaconcuadrcula311">
    <w:name w:val="Tabla con cuadrícula3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1">
    <w:name w:val="Sin lista411"/>
    <w:next w:val="Sinlista"/>
    <w:uiPriority w:val="99"/>
    <w:semiHidden/>
    <w:unhideWhenUsed/>
    <w:rsid w:val="00B41C9D"/>
  </w:style>
  <w:style w:type="table" w:customStyle="1" w:styleId="Tablaconcuadrcula411">
    <w:name w:val="Tabla con cuadrícula4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1">
    <w:name w:val="Sin lista511"/>
    <w:next w:val="Sinlista"/>
    <w:uiPriority w:val="99"/>
    <w:semiHidden/>
    <w:unhideWhenUsed/>
    <w:rsid w:val="00B41C9D"/>
  </w:style>
  <w:style w:type="numbering" w:customStyle="1" w:styleId="Sinlista121">
    <w:name w:val="Sin lista121"/>
    <w:next w:val="Sinlista"/>
    <w:uiPriority w:val="99"/>
    <w:semiHidden/>
    <w:unhideWhenUsed/>
    <w:rsid w:val="00B41C9D"/>
  </w:style>
  <w:style w:type="numbering" w:customStyle="1" w:styleId="Sinlista11111">
    <w:name w:val="Sin lista11111"/>
    <w:next w:val="Sinlista"/>
    <w:uiPriority w:val="99"/>
    <w:semiHidden/>
    <w:unhideWhenUsed/>
    <w:rsid w:val="00B41C9D"/>
  </w:style>
  <w:style w:type="numbering" w:customStyle="1" w:styleId="Sinlista2111">
    <w:name w:val="Sin lista2111"/>
    <w:next w:val="Sinlista"/>
    <w:uiPriority w:val="99"/>
    <w:semiHidden/>
    <w:unhideWhenUsed/>
    <w:rsid w:val="00B41C9D"/>
  </w:style>
  <w:style w:type="numbering" w:customStyle="1" w:styleId="Sinlista3111">
    <w:name w:val="Sin lista3111"/>
    <w:next w:val="Sinlista"/>
    <w:uiPriority w:val="99"/>
    <w:semiHidden/>
    <w:unhideWhenUsed/>
    <w:rsid w:val="00B41C9D"/>
  </w:style>
  <w:style w:type="numbering" w:customStyle="1" w:styleId="Sinlista4111">
    <w:name w:val="Sin lista4111"/>
    <w:next w:val="Sinlista"/>
    <w:uiPriority w:val="99"/>
    <w:semiHidden/>
    <w:unhideWhenUsed/>
    <w:rsid w:val="00B41C9D"/>
  </w:style>
  <w:style w:type="numbering" w:customStyle="1" w:styleId="Sinlista71">
    <w:name w:val="Sin lista71"/>
    <w:next w:val="Sinlista"/>
    <w:uiPriority w:val="99"/>
    <w:semiHidden/>
    <w:unhideWhenUsed/>
    <w:rsid w:val="00B41C9D"/>
  </w:style>
  <w:style w:type="table" w:customStyle="1" w:styleId="Tablaconcuadrcula8">
    <w:name w:val="Tabla con cuadrícula8"/>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11">
    <w:name w:val="Estilo importado 211"/>
    <w:rsid w:val="00B41C9D"/>
  </w:style>
  <w:style w:type="numbering" w:customStyle="1" w:styleId="Estiloimportado111">
    <w:name w:val="Estilo importado 111"/>
    <w:rsid w:val="00B41C9D"/>
  </w:style>
  <w:style w:type="numbering" w:customStyle="1" w:styleId="Sinlista131">
    <w:name w:val="Sin lista131"/>
    <w:next w:val="Sinlista"/>
    <w:uiPriority w:val="99"/>
    <w:semiHidden/>
    <w:unhideWhenUsed/>
    <w:rsid w:val="00B41C9D"/>
  </w:style>
  <w:style w:type="numbering" w:customStyle="1" w:styleId="Sinlista1121">
    <w:name w:val="Sin lista1121"/>
    <w:next w:val="Sinlista"/>
    <w:uiPriority w:val="99"/>
    <w:semiHidden/>
    <w:unhideWhenUsed/>
    <w:rsid w:val="00B41C9D"/>
  </w:style>
  <w:style w:type="table" w:customStyle="1" w:styleId="Tablaconcuadrcula1121">
    <w:name w:val="Tabla con cuadrícula112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B41C9D"/>
  </w:style>
  <w:style w:type="numbering" w:customStyle="1" w:styleId="Sinlista321">
    <w:name w:val="Sin lista321"/>
    <w:next w:val="Sinlista"/>
    <w:uiPriority w:val="99"/>
    <w:semiHidden/>
    <w:unhideWhenUsed/>
    <w:rsid w:val="00B41C9D"/>
  </w:style>
  <w:style w:type="numbering" w:customStyle="1" w:styleId="Sinlista421">
    <w:name w:val="Sin lista421"/>
    <w:next w:val="Sinlista"/>
    <w:uiPriority w:val="99"/>
    <w:semiHidden/>
    <w:unhideWhenUsed/>
    <w:rsid w:val="00B41C9D"/>
  </w:style>
  <w:style w:type="numbering" w:customStyle="1" w:styleId="Estiloimportado23">
    <w:name w:val="Estilo importado 23"/>
    <w:rsid w:val="00B41C9D"/>
  </w:style>
  <w:style w:type="numbering" w:customStyle="1" w:styleId="Estiloimportado13">
    <w:name w:val="Estilo importado 13"/>
    <w:rsid w:val="00B41C9D"/>
  </w:style>
  <w:style w:type="numbering" w:customStyle="1" w:styleId="Estiloimportado212">
    <w:name w:val="Estilo importado 212"/>
    <w:rsid w:val="00B41C9D"/>
    <w:pPr>
      <w:numPr>
        <w:numId w:val="5"/>
      </w:numPr>
    </w:pPr>
  </w:style>
  <w:style w:type="numbering" w:customStyle="1" w:styleId="Estiloimportado112">
    <w:name w:val="Estilo importado 112"/>
    <w:rsid w:val="00B41C9D"/>
    <w:pPr>
      <w:numPr>
        <w:numId w:val="6"/>
      </w:numPr>
    </w:pPr>
  </w:style>
  <w:style w:type="table" w:customStyle="1" w:styleId="Tablaconcuadrcula1122">
    <w:name w:val="Tabla con cuadrícula112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B41C9D"/>
  </w:style>
  <w:style w:type="table" w:customStyle="1" w:styleId="Tablaconcuadrcula9">
    <w:name w:val="Tabla con cuadrícula9"/>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B41C9D"/>
  </w:style>
  <w:style w:type="table" w:customStyle="1" w:styleId="Tablaconcuadrcula14">
    <w:name w:val="Tabla con cuadrícula1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B41C9D"/>
  </w:style>
  <w:style w:type="table" w:customStyle="1" w:styleId="Tablaconcuadrcula23">
    <w:name w:val="Tabla con cuadrícula2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B41C9D"/>
  </w:style>
  <w:style w:type="table" w:customStyle="1" w:styleId="Tablaconcuadrcula33">
    <w:name w:val="Tabla con cuadrícula3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3">
    <w:name w:val="Sin lista43"/>
    <w:next w:val="Sinlista"/>
    <w:uiPriority w:val="99"/>
    <w:semiHidden/>
    <w:unhideWhenUsed/>
    <w:rsid w:val="00B41C9D"/>
  </w:style>
  <w:style w:type="table" w:customStyle="1" w:styleId="Tablaconcuadrcula43">
    <w:name w:val="Tabla con cuadrícula4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2">
    <w:name w:val="Sin lista52"/>
    <w:next w:val="Sinlista"/>
    <w:uiPriority w:val="99"/>
    <w:semiHidden/>
    <w:unhideWhenUsed/>
    <w:rsid w:val="00B41C9D"/>
  </w:style>
  <w:style w:type="table" w:customStyle="1" w:styleId="Tablaconcuadrcula52">
    <w:name w:val="Tabla con cuadrícula5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5">
    <w:name w:val="Tabla con cuadrícula115"/>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2">
    <w:name w:val="Sin lista62"/>
    <w:next w:val="Sinlista"/>
    <w:uiPriority w:val="99"/>
    <w:semiHidden/>
    <w:unhideWhenUsed/>
    <w:rsid w:val="00B41C9D"/>
  </w:style>
  <w:style w:type="table" w:customStyle="1" w:styleId="Tablaconcuadrcula62">
    <w:name w:val="Tabla con cuadrícula6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4">
    <w:name w:val="Estilo importado 24"/>
    <w:rsid w:val="00B41C9D"/>
    <w:pPr>
      <w:numPr>
        <w:numId w:val="7"/>
      </w:numPr>
    </w:pPr>
  </w:style>
  <w:style w:type="numbering" w:customStyle="1" w:styleId="Estiloimportado14">
    <w:name w:val="Estilo importado 14"/>
    <w:rsid w:val="00B41C9D"/>
    <w:pPr>
      <w:numPr>
        <w:numId w:val="8"/>
      </w:numPr>
    </w:pPr>
  </w:style>
  <w:style w:type="table" w:customStyle="1" w:styleId="Tablaconcuadrcula122">
    <w:name w:val="Tabla con cuadrícula122"/>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B41C9D"/>
  </w:style>
  <w:style w:type="table" w:customStyle="1" w:styleId="Tablaconcuadrcula212">
    <w:name w:val="Tabla con cuadrícula21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
    <w:name w:val="Sin lista1113"/>
    <w:next w:val="Sinlista"/>
    <w:uiPriority w:val="99"/>
    <w:semiHidden/>
    <w:unhideWhenUsed/>
    <w:rsid w:val="00B41C9D"/>
  </w:style>
  <w:style w:type="table" w:customStyle="1" w:styleId="Tablaconcuadrcula1112">
    <w:name w:val="Tabla con cuadrícula111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B41C9D"/>
  </w:style>
  <w:style w:type="numbering" w:customStyle="1" w:styleId="Sinlista312">
    <w:name w:val="Sin lista312"/>
    <w:next w:val="Sinlista"/>
    <w:uiPriority w:val="99"/>
    <w:semiHidden/>
    <w:unhideWhenUsed/>
    <w:rsid w:val="00B41C9D"/>
  </w:style>
  <w:style w:type="table" w:customStyle="1" w:styleId="Tablaconcuadrcula312">
    <w:name w:val="Tabla con cuadrícula31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2">
    <w:name w:val="Sin lista412"/>
    <w:next w:val="Sinlista"/>
    <w:uiPriority w:val="99"/>
    <w:semiHidden/>
    <w:unhideWhenUsed/>
    <w:rsid w:val="00B41C9D"/>
  </w:style>
  <w:style w:type="table" w:customStyle="1" w:styleId="Tablaconcuadrcula412">
    <w:name w:val="Tabla con cuadrícula41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2">
    <w:name w:val="Sin lista512"/>
    <w:next w:val="Sinlista"/>
    <w:uiPriority w:val="99"/>
    <w:semiHidden/>
    <w:unhideWhenUsed/>
    <w:rsid w:val="00B41C9D"/>
  </w:style>
  <w:style w:type="table" w:customStyle="1" w:styleId="Tablaconcuadrcula511">
    <w:name w:val="Tabla con cuadrícula5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uiPriority w:val="99"/>
    <w:semiHidden/>
    <w:unhideWhenUsed/>
    <w:rsid w:val="00B41C9D"/>
  </w:style>
  <w:style w:type="numbering" w:customStyle="1" w:styleId="Sinlista11112">
    <w:name w:val="Sin lista11112"/>
    <w:next w:val="Sinlista"/>
    <w:uiPriority w:val="99"/>
    <w:semiHidden/>
    <w:unhideWhenUsed/>
    <w:rsid w:val="00B41C9D"/>
  </w:style>
  <w:style w:type="numbering" w:customStyle="1" w:styleId="Sinlista2112">
    <w:name w:val="Sin lista2112"/>
    <w:next w:val="Sinlista"/>
    <w:uiPriority w:val="99"/>
    <w:semiHidden/>
    <w:unhideWhenUsed/>
    <w:rsid w:val="00B41C9D"/>
  </w:style>
  <w:style w:type="numbering" w:customStyle="1" w:styleId="Sinlista3112">
    <w:name w:val="Sin lista3112"/>
    <w:next w:val="Sinlista"/>
    <w:uiPriority w:val="99"/>
    <w:semiHidden/>
    <w:unhideWhenUsed/>
    <w:rsid w:val="00B41C9D"/>
  </w:style>
  <w:style w:type="numbering" w:customStyle="1" w:styleId="Sinlista4112">
    <w:name w:val="Sin lista4112"/>
    <w:next w:val="Sinlista"/>
    <w:uiPriority w:val="99"/>
    <w:semiHidden/>
    <w:unhideWhenUsed/>
    <w:rsid w:val="00B41C9D"/>
  </w:style>
  <w:style w:type="numbering" w:customStyle="1" w:styleId="Sinlista72">
    <w:name w:val="Sin lista72"/>
    <w:next w:val="Sinlista"/>
    <w:uiPriority w:val="99"/>
    <w:semiHidden/>
    <w:unhideWhenUsed/>
    <w:rsid w:val="00B41C9D"/>
  </w:style>
  <w:style w:type="table" w:customStyle="1" w:styleId="Tablaconcuadrcula81">
    <w:name w:val="Tabla con cuadrícula8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13">
    <w:name w:val="Estilo importado 213"/>
    <w:rsid w:val="00B41C9D"/>
  </w:style>
  <w:style w:type="numbering" w:customStyle="1" w:styleId="Estiloimportado113">
    <w:name w:val="Estilo importado 113"/>
    <w:rsid w:val="00B41C9D"/>
  </w:style>
  <w:style w:type="table" w:customStyle="1" w:styleId="Tablaconcuadrcula131">
    <w:name w:val="Tabla con cuadrícula131"/>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uiPriority w:val="99"/>
    <w:semiHidden/>
    <w:unhideWhenUsed/>
    <w:rsid w:val="00B41C9D"/>
  </w:style>
  <w:style w:type="table" w:customStyle="1" w:styleId="Tablaconcuadrcula221">
    <w:name w:val="Tabla con cuadrícula22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2">
    <w:name w:val="Sin lista1122"/>
    <w:next w:val="Sinlista"/>
    <w:uiPriority w:val="99"/>
    <w:semiHidden/>
    <w:unhideWhenUsed/>
    <w:rsid w:val="00B41C9D"/>
  </w:style>
  <w:style w:type="table" w:customStyle="1" w:styleId="Tablaconcuadrcula1123">
    <w:name w:val="Tabla con cuadrícula112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uiPriority w:val="99"/>
    <w:semiHidden/>
    <w:unhideWhenUsed/>
    <w:rsid w:val="00B41C9D"/>
  </w:style>
  <w:style w:type="numbering" w:customStyle="1" w:styleId="Sinlista322">
    <w:name w:val="Sin lista322"/>
    <w:next w:val="Sinlista"/>
    <w:uiPriority w:val="99"/>
    <w:semiHidden/>
    <w:unhideWhenUsed/>
    <w:rsid w:val="00B41C9D"/>
  </w:style>
  <w:style w:type="table" w:customStyle="1" w:styleId="Tablaconcuadrcula321">
    <w:name w:val="Tabla con cuadrícula32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2">
    <w:name w:val="Sin lista422"/>
    <w:next w:val="Sinlista"/>
    <w:uiPriority w:val="99"/>
    <w:semiHidden/>
    <w:unhideWhenUsed/>
    <w:rsid w:val="00B41C9D"/>
  </w:style>
  <w:style w:type="table" w:customStyle="1" w:styleId="Tablaconcuadrcula421">
    <w:name w:val="Tabla con cuadrícula42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9">
    <w:name w:val="Sin lista9"/>
    <w:next w:val="Sinlista"/>
    <w:uiPriority w:val="99"/>
    <w:semiHidden/>
    <w:unhideWhenUsed/>
    <w:rsid w:val="00B41C9D"/>
  </w:style>
  <w:style w:type="table" w:customStyle="1" w:styleId="Tablaconcuadrcula10">
    <w:name w:val="Tabla con cuadrícula10"/>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B41C9D"/>
  </w:style>
  <w:style w:type="table" w:customStyle="1" w:styleId="Tablaconcuadrcula24">
    <w:name w:val="Tabla con cuadrícula2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B41C9D"/>
  </w:style>
  <w:style w:type="table" w:customStyle="1" w:styleId="Tablaconcuadrcula116">
    <w:name w:val="Tabla con cuadrícula116"/>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B41C9D"/>
  </w:style>
  <w:style w:type="numbering" w:customStyle="1" w:styleId="Sinlista34">
    <w:name w:val="Sin lista34"/>
    <w:next w:val="Sinlista"/>
    <w:uiPriority w:val="99"/>
    <w:semiHidden/>
    <w:unhideWhenUsed/>
    <w:rsid w:val="00B41C9D"/>
  </w:style>
  <w:style w:type="table" w:customStyle="1" w:styleId="Tablaconcuadrcula34">
    <w:name w:val="Tabla con cuadrícula3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4">
    <w:name w:val="Sin lista44"/>
    <w:next w:val="Sinlista"/>
    <w:uiPriority w:val="99"/>
    <w:semiHidden/>
    <w:unhideWhenUsed/>
    <w:rsid w:val="00B41C9D"/>
  </w:style>
  <w:style w:type="table" w:customStyle="1" w:styleId="Tablaconcuadrcula44">
    <w:name w:val="Tabla con cuadrícula4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3">
    <w:name w:val="Sin lista53"/>
    <w:next w:val="Sinlista"/>
    <w:uiPriority w:val="99"/>
    <w:semiHidden/>
    <w:unhideWhenUsed/>
    <w:rsid w:val="00B41C9D"/>
  </w:style>
  <w:style w:type="table" w:customStyle="1" w:styleId="Tablaconcuadrcula53">
    <w:name w:val="Tabla con cuadrícula5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3">
    <w:name w:val="Tabla con cuadrícula123"/>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B41C9D"/>
  </w:style>
  <w:style w:type="table" w:customStyle="1" w:styleId="Tablaconcuadrcula213">
    <w:name w:val="Tabla con cuadrícula21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4">
    <w:name w:val="Sin lista1114"/>
    <w:next w:val="Sinlista"/>
    <w:uiPriority w:val="99"/>
    <w:semiHidden/>
    <w:unhideWhenUsed/>
    <w:rsid w:val="00B41C9D"/>
  </w:style>
  <w:style w:type="table" w:customStyle="1" w:styleId="Tablaconcuadrcula1113">
    <w:name w:val="Tabla con cuadrícula111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B41C9D"/>
  </w:style>
  <w:style w:type="numbering" w:customStyle="1" w:styleId="Sinlista313">
    <w:name w:val="Sin lista313"/>
    <w:next w:val="Sinlista"/>
    <w:uiPriority w:val="99"/>
    <w:semiHidden/>
    <w:unhideWhenUsed/>
    <w:rsid w:val="00B41C9D"/>
  </w:style>
  <w:style w:type="table" w:customStyle="1" w:styleId="Tablaconcuadrcula313">
    <w:name w:val="Tabla con cuadrícula31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3">
    <w:name w:val="Sin lista413"/>
    <w:next w:val="Sinlista"/>
    <w:uiPriority w:val="99"/>
    <w:semiHidden/>
    <w:unhideWhenUsed/>
    <w:rsid w:val="00B41C9D"/>
  </w:style>
  <w:style w:type="table" w:customStyle="1" w:styleId="Tablaconcuadrcula413">
    <w:name w:val="Tabla con cuadrícula41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4">
    <w:name w:val="Tabla con cuadrícula1124"/>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14">
    <w:name w:val="Estilo importado 214"/>
    <w:rsid w:val="00B41C9D"/>
  </w:style>
  <w:style w:type="numbering" w:customStyle="1" w:styleId="Estiloimportado114">
    <w:name w:val="Estilo importado 114"/>
    <w:rsid w:val="00B41C9D"/>
  </w:style>
  <w:style w:type="numbering" w:customStyle="1" w:styleId="Sinlista11113">
    <w:name w:val="Sin lista11113"/>
    <w:next w:val="Sinlista"/>
    <w:uiPriority w:val="99"/>
    <w:semiHidden/>
    <w:unhideWhenUsed/>
    <w:rsid w:val="00B41C9D"/>
  </w:style>
  <w:style w:type="numbering" w:customStyle="1" w:styleId="Sinlista63">
    <w:name w:val="Sin lista63"/>
    <w:next w:val="Sinlista"/>
    <w:uiPriority w:val="99"/>
    <w:semiHidden/>
    <w:unhideWhenUsed/>
    <w:rsid w:val="00B41C9D"/>
  </w:style>
  <w:style w:type="table" w:customStyle="1" w:styleId="Tablaconcuadrcula63">
    <w:name w:val="Tabla con cuadrícula63"/>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ancesa">
    <w:name w:val="francesa"/>
    <w:basedOn w:val="Normal"/>
    <w:rsid w:val="00B41C9D"/>
    <w:pPr>
      <w:suppressAutoHyphens w:val="0"/>
      <w:spacing w:before="100" w:beforeAutospacing="1" w:after="100" w:afterAutospacing="1"/>
    </w:pPr>
    <w:rPr>
      <w:lang w:eastAsia="es-MX"/>
    </w:rPr>
  </w:style>
  <w:style w:type="table" w:customStyle="1" w:styleId="Tablaconcuadrcula117">
    <w:name w:val="Tabla con cuadrícula117"/>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B41C9D"/>
  </w:style>
  <w:style w:type="table" w:customStyle="1" w:styleId="Tablaconcuadrcula16">
    <w:name w:val="Tabla con cuadrícula16"/>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5">
    <w:name w:val="Estilo importado 25"/>
    <w:rsid w:val="00B41C9D"/>
  </w:style>
  <w:style w:type="numbering" w:customStyle="1" w:styleId="Estiloimportado15">
    <w:name w:val="Estilo importado 15"/>
    <w:rsid w:val="00B41C9D"/>
  </w:style>
  <w:style w:type="table" w:customStyle="1" w:styleId="Tablaconcuadrcula1114">
    <w:name w:val="Tabla con cuadrícula111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unhideWhenUsed/>
    <w:rsid w:val="00B41C9D"/>
  </w:style>
  <w:style w:type="table" w:customStyle="1" w:styleId="Tablaconcuadrcula17">
    <w:name w:val="Tabla con cuadrícula17"/>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8">
    <w:name w:val="Tabla con cuadrícula118"/>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5">
    <w:name w:val="Tabla con cuadrícula1125"/>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5">
    <w:name w:val="Sin lista115"/>
    <w:next w:val="Sinlista"/>
    <w:uiPriority w:val="99"/>
    <w:semiHidden/>
    <w:unhideWhenUsed/>
    <w:rsid w:val="00B41C9D"/>
  </w:style>
  <w:style w:type="numbering" w:customStyle="1" w:styleId="Sinlista25">
    <w:name w:val="Sin lista25"/>
    <w:next w:val="Sinlista"/>
    <w:uiPriority w:val="99"/>
    <w:semiHidden/>
    <w:unhideWhenUsed/>
    <w:rsid w:val="00B41C9D"/>
  </w:style>
  <w:style w:type="numbering" w:customStyle="1" w:styleId="Sinlista35">
    <w:name w:val="Sin lista35"/>
    <w:next w:val="Sinlista"/>
    <w:uiPriority w:val="99"/>
    <w:semiHidden/>
    <w:unhideWhenUsed/>
    <w:rsid w:val="00B41C9D"/>
  </w:style>
  <w:style w:type="table" w:customStyle="1" w:styleId="Tablaconcuadrcula35">
    <w:name w:val="Tabla con cuadrícula35"/>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5">
    <w:name w:val="Sin lista45"/>
    <w:next w:val="Sinlista"/>
    <w:uiPriority w:val="99"/>
    <w:semiHidden/>
    <w:unhideWhenUsed/>
    <w:rsid w:val="00B41C9D"/>
  </w:style>
  <w:style w:type="table" w:customStyle="1" w:styleId="Tablaconcuadrcula45">
    <w:name w:val="Tabla con cuadrícula45"/>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4">
    <w:name w:val="Sin lista54"/>
    <w:next w:val="Sinlista"/>
    <w:uiPriority w:val="99"/>
    <w:semiHidden/>
    <w:unhideWhenUsed/>
    <w:rsid w:val="00B41C9D"/>
  </w:style>
  <w:style w:type="table" w:customStyle="1" w:styleId="Tablaconcuadrcula54">
    <w:name w:val="Tabla con cuadrícula5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4">
    <w:name w:val="Tabla con cuadrícula124"/>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unhideWhenUsed/>
    <w:rsid w:val="00B41C9D"/>
  </w:style>
  <w:style w:type="table" w:customStyle="1" w:styleId="Tablaconcuadrcula214">
    <w:name w:val="Tabla con cuadrícula21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5">
    <w:name w:val="Sin lista1115"/>
    <w:next w:val="Sinlista"/>
    <w:uiPriority w:val="99"/>
    <w:semiHidden/>
    <w:unhideWhenUsed/>
    <w:rsid w:val="00B41C9D"/>
  </w:style>
  <w:style w:type="numbering" w:customStyle="1" w:styleId="Sinlista214">
    <w:name w:val="Sin lista214"/>
    <w:next w:val="Sinlista"/>
    <w:uiPriority w:val="99"/>
    <w:semiHidden/>
    <w:unhideWhenUsed/>
    <w:rsid w:val="00B41C9D"/>
  </w:style>
  <w:style w:type="numbering" w:customStyle="1" w:styleId="Sinlista314">
    <w:name w:val="Sin lista314"/>
    <w:next w:val="Sinlista"/>
    <w:uiPriority w:val="99"/>
    <w:semiHidden/>
    <w:unhideWhenUsed/>
    <w:rsid w:val="00B41C9D"/>
  </w:style>
  <w:style w:type="table" w:customStyle="1" w:styleId="Tablaconcuadrcula314">
    <w:name w:val="Tabla con cuadrícula31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4">
    <w:name w:val="Sin lista414"/>
    <w:next w:val="Sinlista"/>
    <w:uiPriority w:val="99"/>
    <w:semiHidden/>
    <w:unhideWhenUsed/>
    <w:rsid w:val="00B41C9D"/>
  </w:style>
  <w:style w:type="table" w:customStyle="1" w:styleId="Tablaconcuadrcula414">
    <w:name w:val="Tabla con cuadrícula41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1">
    <w:name w:val="Tabla con cuadrícula11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15">
    <w:name w:val="Estilo importado 215"/>
    <w:rsid w:val="00B41C9D"/>
  </w:style>
  <w:style w:type="numbering" w:customStyle="1" w:styleId="Estiloimportado115">
    <w:name w:val="Estilo importado 115"/>
    <w:rsid w:val="00B41C9D"/>
  </w:style>
  <w:style w:type="numbering" w:customStyle="1" w:styleId="Sinlista64">
    <w:name w:val="Sin lista64"/>
    <w:next w:val="Sinlista"/>
    <w:uiPriority w:val="99"/>
    <w:semiHidden/>
    <w:unhideWhenUsed/>
    <w:rsid w:val="00B41C9D"/>
  </w:style>
  <w:style w:type="table" w:customStyle="1" w:styleId="Tablaconcuadrcula64">
    <w:name w:val="Tabla con cuadrícula64"/>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3">
    <w:name w:val="Sin lista73"/>
    <w:next w:val="Sinlista"/>
    <w:uiPriority w:val="99"/>
    <w:semiHidden/>
    <w:unhideWhenUsed/>
    <w:rsid w:val="00B41C9D"/>
  </w:style>
  <w:style w:type="table" w:customStyle="1" w:styleId="Tablaconcuadrcula72">
    <w:name w:val="Tabla con cuadrícula7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21">
    <w:name w:val="Estilo importado 221"/>
    <w:rsid w:val="00B41C9D"/>
  </w:style>
  <w:style w:type="numbering" w:customStyle="1" w:styleId="Estiloimportado121">
    <w:name w:val="Estilo importado 121"/>
    <w:rsid w:val="00B41C9D"/>
  </w:style>
  <w:style w:type="table" w:customStyle="1" w:styleId="Tablaconcuadrcula11121">
    <w:name w:val="Tabla con cuadrícula1112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3">
    <w:name w:val="Sin lista133"/>
    <w:next w:val="Sinlista"/>
    <w:uiPriority w:val="99"/>
    <w:semiHidden/>
    <w:unhideWhenUsed/>
    <w:rsid w:val="00B41C9D"/>
  </w:style>
  <w:style w:type="table" w:customStyle="1" w:styleId="Tablaconcuadrcula132">
    <w:name w:val="Tabla con cuadrícula13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31">
    <w:name w:val="Tabla con cuadrícula113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11">
    <w:name w:val="Tabla con cuadrícula11211"/>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2">
    <w:name w:val="Tabla con cuadrícula22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3">
    <w:name w:val="Sin lista1123"/>
    <w:next w:val="Sinlista"/>
    <w:uiPriority w:val="99"/>
    <w:semiHidden/>
    <w:unhideWhenUsed/>
    <w:rsid w:val="00B41C9D"/>
  </w:style>
  <w:style w:type="numbering" w:customStyle="1" w:styleId="Sinlista223">
    <w:name w:val="Sin lista223"/>
    <w:next w:val="Sinlista"/>
    <w:uiPriority w:val="99"/>
    <w:semiHidden/>
    <w:unhideWhenUsed/>
    <w:rsid w:val="00B41C9D"/>
  </w:style>
  <w:style w:type="numbering" w:customStyle="1" w:styleId="Sinlista323">
    <w:name w:val="Sin lista323"/>
    <w:next w:val="Sinlista"/>
    <w:uiPriority w:val="99"/>
    <w:semiHidden/>
    <w:unhideWhenUsed/>
    <w:rsid w:val="00B41C9D"/>
  </w:style>
  <w:style w:type="table" w:customStyle="1" w:styleId="Tablaconcuadrcula322">
    <w:name w:val="Tabla con cuadrícula32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3">
    <w:name w:val="Sin lista423"/>
    <w:next w:val="Sinlista"/>
    <w:uiPriority w:val="99"/>
    <w:semiHidden/>
    <w:unhideWhenUsed/>
    <w:rsid w:val="00B41C9D"/>
  </w:style>
  <w:style w:type="table" w:customStyle="1" w:styleId="Tablaconcuadrcula422">
    <w:name w:val="Tabla con cuadrícula42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3">
    <w:name w:val="Sin lista513"/>
    <w:next w:val="Sinlista"/>
    <w:uiPriority w:val="99"/>
    <w:semiHidden/>
    <w:unhideWhenUsed/>
    <w:rsid w:val="00B41C9D"/>
  </w:style>
  <w:style w:type="table" w:customStyle="1" w:styleId="Tablaconcuadrcula512">
    <w:name w:val="Tabla con cuadrícula51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
    <w:name w:val="Tabla con cuadrícula1211"/>
    <w:basedOn w:val="Tablanormal"/>
    <w:next w:val="Tablaconcuadrcula"/>
    <w:uiPriority w:val="5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1">
    <w:name w:val="Sin lista1211"/>
    <w:next w:val="Sinlista"/>
    <w:uiPriority w:val="99"/>
    <w:semiHidden/>
    <w:unhideWhenUsed/>
    <w:rsid w:val="00B41C9D"/>
  </w:style>
  <w:style w:type="table" w:customStyle="1" w:styleId="Tablaconcuadrcula2111">
    <w:name w:val="Tabla con cuadrícula2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4">
    <w:name w:val="Sin lista11114"/>
    <w:next w:val="Sinlista"/>
    <w:uiPriority w:val="99"/>
    <w:semiHidden/>
    <w:unhideWhenUsed/>
    <w:rsid w:val="00B41C9D"/>
  </w:style>
  <w:style w:type="numbering" w:customStyle="1" w:styleId="Sinlista2113">
    <w:name w:val="Sin lista2113"/>
    <w:next w:val="Sinlista"/>
    <w:uiPriority w:val="99"/>
    <w:semiHidden/>
    <w:unhideWhenUsed/>
    <w:rsid w:val="00B41C9D"/>
  </w:style>
  <w:style w:type="numbering" w:customStyle="1" w:styleId="Sinlista3113">
    <w:name w:val="Sin lista3113"/>
    <w:next w:val="Sinlista"/>
    <w:uiPriority w:val="99"/>
    <w:semiHidden/>
    <w:unhideWhenUsed/>
    <w:rsid w:val="00B41C9D"/>
  </w:style>
  <w:style w:type="table" w:customStyle="1" w:styleId="Tablaconcuadrcula3111">
    <w:name w:val="Tabla con cuadrícula3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13">
    <w:name w:val="Sin lista4113"/>
    <w:next w:val="Sinlista"/>
    <w:uiPriority w:val="99"/>
    <w:semiHidden/>
    <w:unhideWhenUsed/>
    <w:rsid w:val="00B41C9D"/>
  </w:style>
  <w:style w:type="table" w:customStyle="1" w:styleId="Tablaconcuadrcula4111">
    <w:name w:val="Tabla con cuadrícula4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2">
    <w:name w:val="Tabla con cuadrícula11112"/>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11">
    <w:name w:val="Tabla con cuadrícula1111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111">
    <w:name w:val="Estilo importado 2111"/>
    <w:rsid w:val="00B41C9D"/>
  </w:style>
  <w:style w:type="numbering" w:customStyle="1" w:styleId="Estiloimportado1111">
    <w:name w:val="Estilo importado 1111"/>
    <w:rsid w:val="00B41C9D"/>
  </w:style>
  <w:style w:type="numbering" w:customStyle="1" w:styleId="Sinlista611">
    <w:name w:val="Sin lista611"/>
    <w:next w:val="Sinlista"/>
    <w:uiPriority w:val="99"/>
    <w:semiHidden/>
    <w:unhideWhenUsed/>
    <w:rsid w:val="00B41C9D"/>
  </w:style>
  <w:style w:type="table" w:customStyle="1" w:styleId="Tablaconcuadrcula611">
    <w:name w:val="Tabla con cuadrícula6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uiPriority w:val="39"/>
    <w:rsid w:val="00B4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231">
    <w:name w:val="Estilo importado 231"/>
    <w:rsid w:val="00B41C9D"/>
  </w:style>
  <w:style w:type="numbering" w:customStyle="1" w:styleId="Estiloimportado131">
    <w:name w:val="Estilo importado 131"/>
    <w:rsid w:val="00B41C9D"/>
  </w:style>
  <w:style w:type="table" w:customStyle="1" w:styleId="Tablaconcuadrcula11221">
    <w:name w:val="Tabla con cuadrícula11221"/>
    <w:basedOn w:val="Tablanormal"/>
    <w:next w:val="Tablaconcuadrcula"/>
    <w:uiPriority w:val="39"/>
    <w:rsid w:val="00B41C9D"/>
    <w:pPr>
      <w:spacing w:after="0" w:line="240" w:lineRule="auto"/>
    </w:pPr>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B41C9D"/>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decuadrcula4-nfasis31">
    <w:name w:val="Tabla de cuadrícula 4 - Énfasis 31"/>
    <w:basedOn w:val="Tablanormal"/>
    <w:uiPriority w:val="49"/>
    <w:rsid w:val="00B41C9D"/>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Sinlista17">
    <w:name w:val="Sin lista17"/>
    <w:next w:val="Sinlista"/>
    <w:uiPriority w:val="99"/>
    <w:semiHidden/>
    <w:unhideWhenUsed/>
    <w:rsid w:val="00464C91"/>
  </w:style>
  <w:style w:type="numbering" w:customStyle="1" w:styleId="Sinlista18">
    <w:name w:val="Sin lista18"/>
    <w:next w:val="Sinlista"/>
    <w:uiPriority w:val="99"/>
    <w:semiHidden/>
    <w:unhideWhenUsed/>
    <w:rsid w:val="00464C91"/>
  </w:style>
  <w:style w:type="numbering" w:customStyle="1" w:styleId="Sinlista116">
    <w:name w:val="Sin lista116"/>
    <w:next w:val="Sinlista"/>
    <w:uiPriority w:val="99"/>
    <w:semiHidden/>
    <w:unhideWhenUsed/>
    <w:rsid w:val="00464C91"/>
  </w:style>
  <w:style w:type="table" w:customStyle="1" w:styleId="Tablaconcuadrcula19">
    <w:name w:val="Tabla con cuadrícula19"/>
    <w:basedOn w:val="Tablanormal"/>
    <w:next w:val="Tablaconcuadrcula"/>
    <w:uiPriority w:val="39"/>
    <w:rsid w:val="00464C91"/>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DC11">
    <w:name w:val="TDC 11"/>
    <w:basedOn w:val="Normal"/>
    <w:next w:val="Normal"/>
    <w:autoRedefine/>
    <w:uiPriority w:val="39"/>
    <w:unhideWhenUsed/>
    <w:rsid w:val="00464C91"/>
    <w:pPr>
      <w:tabs>
        <w:tab w:val="left" w:pos="660"/>
        <w:tab w:val="right" w:leader="dot" w:pos="8779"/>
      </w:tabs>
      <w:suppressAutoHyphens w:val="0"/>
      <w:spacing w:after="100"/>
      <w:ind w:left="426" w:hanging="426"/>
    </w:pPr>
    <w:rPr>
      <w:rFonts w:ascii="Calibri" w:hAnsi="Calibri"/>
      <w:lang w:val="es-ES_tradnl"/>
    </w:rPr>
  </w:style>
  <w:style w:type="paragraph" w:customStyle="1" w:styleId="TDC21">
    <w:name w:val="TDC 21"/>
    <w:basedOn w:val="Normal"/>
    <w:next w:val="Normal"/>
    <w:autoRedefine/>
    <w:uiPriority w:val="39"/>
    <w:unhideWhenUsed/>
    <w:rsid w:val="00464C91"/>
    <w:pPr>
      <w:tabs>
        <w:tab w:val="left" w:pos="480"/>
        <w:tab w:val="right" w:leader="dot" w:pos="8779"/>
      </w:tabs>
      <w:suppressAutoHyphens w:val="0"/>
      <w:spacing w:after="100"/>
      <w:ind w:left="426" w:hanging="426"/>
    </w:pPr>
    <w:rPr>
      <w:rFonts w:ascii="Calibri" w:hAnsi="Calibri"/>
      <w:lang w:val="es-ES_tradnl"/>
    </w:rPr>
  </w:style>
  <w:style w:type="table" w:customStyle="1" w:styleId="Tablaconcuadrcula110">
    <w:name w:val="Tabla con cuadrícula110"/>
    <w:basedOn w:val="Tablanormal"/>
    <w:next w:val="Tablaconcuadrcula"/>
    <w:uiPriority w:val="59"/>
    <w:rsid w:val="00464C91"/>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464C91"/>
    <w:pPr>
      <w:suppressAutoHyphens w:val="0"/>
      <w:spacing w:line="259" w:lineRule="auto"/>
      <w:outlineLvl w:val="9"/>
    </w:pPr>
    <w:rPr>
      <w:rFonts w:ascii="Palatino Linotype" w:hAnsi="Palatino Linotype"/>
      <w:b/>
      <w:color w:val="auto"/>
      <w:sz w:val="24"/>
      <w:lang w:val="es-MX" w:eastAsia="es-MX"/>
    </w:rPr>
  </w:style>
  <w:style w:type="table" w:customStyle="1" w:styleId="Tablaconcuadrcula125">
    <w:name w:val="Tabla con cuadrícula125"/>
    <w:basedOn w:val="Tablanormal"/>
    <w:next w:val="Tablaconcuadrcula"/>
    <w:uiPriority w:val="59"/>
    <w:rsid w:val="00464C91"/>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9">
    <w:name w:val="Tabla con cuadrícula119"/>
    <w:basedOn w:val="Tablanormal"/>
    <w:next w:val="Tablaconcuadrcula"/>
    <w:uiPriority w:val="59"/>
    <w:rsid w:val="00464C91"/>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next w:val="Tablaconcuadrcula"/>
    <w:uiPriority w:val="39"/>
    <w:rsid w:val="00464C91"/>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next w:val="Tablanormal1"/>
    <w:uiPriority w:val="41"/>
    <w:rsid w:val="00464C9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next w:val="Tablanormal1"/>
    <w:uiPriority w:val="41"/>
    <w:rsid w:val="00464C9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DC31">
    <w:name w:val="TDC 31"/>
    <w:basedOn w:val="Normal"/>
    <w:next w:val="Normal"/>
    <w:autoRedefine/>
    <w:uiPriority w:val="39"/>
    <w:unhideWhenUsed/>
    <w:rsid w:val="00464C91"/>
    <w:pPr>
      <w:tabs>
        <w:tab w:val="left" w:pos="1100"/>
        <w:tab w:val="right" w:leader="dot" w:pos="8779"/>
      </w:tabs>
      <w:suppressAutoHyphens w:val="0"/>
      <w:spacing w:after="100"/>
      <w:ind w:left="567" w:hanging="567"/>
    </w:pPr>
    <w:rPr>
      <w:rFonts w:ascii="Calibri" w:hAnsi="Calibri"/>
      <w:lang w:val="es-ES_tradnl"/>
    </w:rPr>
  </w:style>
  <w:style w:type="paragraph" w:styleId="Textonotaalfinal">
    <w:name w:val="endnote text"/>
    <w:basedOn w:val="Normal"/>
    <w:link w:val="TextonotaalfinalCar"/>
    <w:uiPriority w:val="99"/>
    <w:semiHidden/>
    <w:unhideWhenUsed/>
    <w:rsid w:val="00464C91"/>
    <w:pPr>
      <w:suppressAutoHyphens w:val="0"/>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464C91"/>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464C91"/>
    <w:rPr>
      <w:vertAlign w:val="superscript"/>
    </w:rPr>
  </w:style>
  <w:style w:type="table" w:styleId="Tablanormal1">
    <w:name w:val="Plain Table 1"/>
    <w:basedOn w:val="Tablanormal"/>
    <w:uiPriority w:val="41"/>
    <w:rsid w:val="00464C9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1">
    <w:name w:val="toc 1"/>
    <w:basedOn w:val="Normal"/>
    <w:next w:val="Normal"/>
    <w:autoRedefine/>
    <w:uiPriority w:val="39"/>
    <w:unhideWhenUsed/>
    <w:rsid w:val="00191180"/>
    <w:pPr>
      <w:spacing w:after="100"/>
    </w:pPr>
  </w:style>
  <w:style w:type="paragraph" w:styleId="TDC2">
    <w:name w:val="toc 2"/>
    <w:basedOn w:val="Normal"/>
    <w:next w:val="Normal"/>
    <w:autoRedefine/>
    <w:uiPriority w:val="39"/>
    <w:unhideWhenUsed/>
    <w:rsid w:val="00780970"/>
    <w:pPr>
      <w:tabs>
        <w:tab w:val="left" w:pos="709"/>
        <w:tab w:val="right" w:leader="dot" w:pos="9111"/>
      </w:tabs>
      <w:jc w:val="both"/>
    </w:pPr>
  </w:style>
  <w:style w:type="paragraph" w:styleId="TDC3">
    <w:name w:val="toc 3"/>
    <w:basedOn w:val="Normal"/>
    <w:next w:val="Normal"/>
    <w:autoRedefine/>
    <w:uiPriority w:val="39"/>
    <w:unhideWhenUsed/>
    <w:rsid w:val="00191180"/>
    <w:pPr>
      <w:spacing w:after="100"/>
      <w:ind w:left="480"/>
    </w:pPr>
  </w:style>
  <w:style w:type="numbering" w:customStyle="1" w:styleId="Sinlista19">
    <w:name w:val="Sin lista19"/>
    <w:next w:val="Sinlista"/>
    <w:uiPriority w:val="99"/>
    <w:semiHidden/>
    <w:unhideWhenUsed/>
    <w:rsid w:val="00191180"/>
  </w:style>
  <w:style w:type="numbering" w:customStyle="1" w:styleId="Sinlista110">
    <w:name w:val="Sin lista110"/>
    <w:next w:val="Sinlista"/>
    <w:uiPriority w:val="99"/>
    <w:semiHidden/>
    <w:unhideWhenUsed/>
    <w:rsid w:val="00191180"/>
  </w:style>
  <w:style w:type="numbering" w:customStyle="1" w:styleId="Sinlista117">
    <w:name w:val="Sin lista117"/>
    <w:next w:val="Sinlista"/>
    <w:uiPriority w:val="99"/>
    <w:semiHidden/>
    <w:unhideWhenUsed/>
    <w:rsid w:val="00191180"/>
  </w:style>
  <w:style w:type="table" w:customStyle="1" w:styleId="Tablaconcuadrcula20">
    <w:name w:val="Tabla con cuadrícula20"/>
    <w:basedOn w:val="Tablanormal"/>
    <w:next w:val="Tablaconcuadrcula"/>
    <w:uiPriority w:val="39"/>
    <w:rsid w:val="00191180"/>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0">
    <w:name w:val="Tabla con cuadrícula120"/>
    <w:basedOn w:val="Tablanormal"/>
    <w:next w:val="Tablaconcuadrcula"/>
    <w:uiPriority w:val="59"/>
    <w:rsid w:val="00191180"/>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6">
    <w:name w:val="Tabla con cuadrícula126"/>
    <w:basedOn w:val="Tablanormal"/>
    <w:next w:val="Tablaconcuadrcula"/>
    <w:uiPriority w:val="59"/>
    <w:rsid w:val="00191180"/>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0">
    <w:name w:val="Tabla con cuadrícula1110"/>
    <w:basedOn w:val="Tablanormal"/>
    <w:next w:val="Tablaconcuadrcula"/>
    <w:uiPriority w:val="59"/>
    <w:rsid w:val="00191180"/>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uiPriority w:val="39"/>
    <w:rsid w:val="00191180"/>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1">
    <w:name w:val="Tabla normal 111"/>
    <w:basedOn w:val="Tablanormal"/>
    <w:next w:val="Tablanormal1"/>
    <w:uiPriority w:val="41"/>
    <w:rsid w:val="00191180"/>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191180"/>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8798">
      <w:bodyDiv w:val="1"/>
      <w:marLeft w:val="0"/>
      <w:marRight w:val="0"/>
      <w:marTop w:val="0"/>
      <w:marBottom w:val="0"/>
      <w:divBdr>
        <w:top w:val="none" w:sz="0" w:space="0" w:color="auto"/>
        <w:left w:val="none" w:sz="0" w:space="0" w:color="auto"/>
        <w:bottom w:val="none" w:sz="0" w:space="0" w:color="auto"/>
        <w:right w:val="none" w:sz="0" w:space="0" w:color="auto"/>
      </w:divBdr>
    </w:div>
    <w:div w:id="113525434">
      <w:bodyDiv w:val="1"/>
      <w:marLeft w:val="0"/>
      <w:marRight w:val="0"/>
      <w:marTop w:val="0"/>
      <w:marBottom w:val="0"/>
      <w:divBdr>
        <w:top w:val="none" w:sz="0" w:space="0" w:color="auto"/>
        <w:left w:val="none" w:sz="0" w:space="0" w:color="auto"/>
        <w:bottom w:val="none" w:sz="0" w:space="0" w:color="auto"/>
        <w:right w:val="none" w:sz="0" w:space="0" w:color="auto"/>
      </w:divBdr>
    </w:div>
    <w:div w:id="270741770">
      <w:bodyDiv w:val="1"/>
      <w:marLeft w:val="0"/>
      <w:marRight w:val="0"/>
      <w:marTop w:val="0"/>
      <w:marBottom w:val="0"/>
      <w:divBdr>
        <w:top w:val="none" w:sz="0" w:space="0" w:color="auto"/>
        <w:left w:val="none" w:sz="0" w:space="0" w:color="auto"/>
        <w:bottom w:val="none" w:sz="0" w:space="0" w:color="auto"/>
        <w:right w:val="none" w:sz="0" w:space="0" w:color="auto"/>
      </w:divBdr>
    </w:div>
    <w:div w:id="322977972">
      <w:bodyDiv w:val="1"/>
      <w:marLeft w:val="0"/>
      <w:marRight w:val="0"/>
      <w:marTop w:val="0"/>
      <w:marBottom w:val="0"/>
      <w:divBdr>
        <w:top w:val="none" w:sz="0" w:space="0" w:color="auto"/>
        <w:left w:val="none" w:sz="0" w:space="0" w:color="auto"/>
        <w:bottom w:val="none" w:sz="0" w:space="0" w:color="auto"/>
        <w:right w:val="none" w:sz="0" w:space="0" w:color="auto"/>
      </w:divBdr>
    </w:div>
    <w:div w:id="345058061">
      <w:bodyDiv w:val="1"/>
      <w:marLeft w:val="0"/>
      <w:marRight w:val="0"/>
      <w:marTop w:val="0"/>
      <w:marBottom w:val="0"/>
      <w:divBdr>
        <w:top w:val="none" w:sz="0" w:space="0" w:color="auto"/>
        <w:left w:val="none" w:sz="0" w:space="0" w:color="auto"/>
        <w:bottom w:val="none" w:sz="0" w:space="0" w:color="auto"/>
        <w:right w:val="none" w:sz="0" w:space="0" w:color="auto"/>
      </w:divBdr>
    </w:div>
    <w:div w:id="558781712">
      <w:bodyDiv w:val="1"/>
      <w:marLeft w:val="0"/>
      <w:marRight w:val="0"/>
      <w:marTop w:val="0"/>
      <w:marBottom w:val="0"/>
      <w:divBdr>
        <w:top w:val="none" w:sz="0" w:space="0" w:color="auto"/>
        <w:left w:val="none" w:sz="0" w:space="0" w:color="auto"/>
        <w:bottom w:val="none" w:sz="0" w:space="0" w:color="auto"/>
        <w:right w:val="none" w:sz="0" w:space="0" w:color="auto"/>
      </w:divBdr>
    </w:div>
    <w:div w:id="656153599">
      <w:bodyDiv w:val="1"/>
      <w:marLeft w:val="0"/>
      <w:marRight w:val="0"/>
      <w:marTop w:val="0"/>
      <w:marBottom w:val="0"/>
      <w:divBdr>
        <w:top w:val="none" w:sz="0" w:space="0" w:color="auto"/>
        <w:left w:val="none" w:sz="0" w:space="0" w:color="auto"/>
        <w:bottom w:val="none" w:sz="0" w:space="0" w:color="auto"/>
        <w:right w:val="none" w:sz="0" w:space="0" w:color="auto"/>
      </w:divBdr>
    </w:div>
    <w:div w:id="778649946">
      <w:bodyDiv w:val="1"/>
      <w:marLeft w:val="0"/>
      <w:marRight w:val="0"/>
      <w:marTop w:val="0"/>
      <w:marBottom w:val="0"/>
      <w:divBdr>
        <w:top w:val="none" w:sz="0" w:space="0" w:color="auto"/>
        <w:left w:val="none" w:sz="0" w:space="0" w:color="auto"/>
        <w:bottom w:val="none" w:sz="0" w:space="0" w:color="auto"/>
        <w:right w:val="none" w:sz="0" w:space="0" w:color="auto"/>
      </w:divBdr>
    </w:div>
    <w:div w:id="1247837284">
      <w:bodyDiv w:val="1"/>
      <w:marLeft w:val="0"/>
      <w:marRight w:val="0"/>
      <w:marTop w:val="0"/>
      <w:marBottom w:val="0"/>
      <w:divBdr>
        <w:top w:val="none" w:sz="0" w:space="0" w:color="auto"/>
        <w:left w:val="none" w:sz="0" w:space="0" w:color="auto"/>
        <w:bottom w:val="none" w:sz="0" w:space="0" w:color="auto"/>
        <w:right w:val="none" w:sz="0" w:space="0" w:color="auto"/>
      </w:divBdr>
    </w:div>
    <w:div w:id="1449008596">
      <w:bodyDiv w:val="1"/>
      <w:marLeft w:val="0"/>
      <w:marRight w:val="0"/>
      <w:marTop w:val="0"/>
      <w:marBottom w:val="0"/>
      <w:divBdr>
        <w:top w:val="none" w:sz="0" w:space="0" w:color="auto"/>
        <w:left w:val="none" w:sz="0" w:space="0" w:color="auto"/>
        <w:bottom w:val="none" w:sz="0" w:space="0" w:color="auto"/>
        <w:right w:val="none" w:sz="0" w:space="0" w:color="auto"/>
      </w:divBdr>
    </w:div>
    <w:div w:id="1546406132">
      <w:bodyDiv w:val="1"/>
      <w:marLeft w:val="0"/>
      <w:marRight w:val="0"/>
      <w:marTop w:val="0"/>
      <w:marBottom w:val="0"/>
      <w:divBdr>
        <w:top w:val="none" w:sz="0" w:space="0" w:color="auto"/>
        <w:left w:val="none" w:sz="0" w:space="0" w:color="auto"/>
        <w:bottom w:val="none" w:sz="0" w:space="0" w:color="auto"/>
        <w:right w:val="none" w:sz="0" w:space="0" w:color="auto"/>
      </w:divBdr>
    </w:div>
    <w:div w:id="1956212641">
      <w:bodyDiv w:val="1"/>
      <w:marLeft w:val="0"/>
      <w:marRight w:val="0"/>
      <w:marTop w:val="0"/>
      <w:marBottom w:val="0"/>
      <w:divBdr>
        <w:top w:val="none" w:sz="0" w:space="0" w:color="auto"/>
        <w:left w:val="none" w:sz="0" w:space="0" w:color="auto"/>
        <w:bottom w:val="none" w:sz="0" w:space="0" w:color="auto"/>
        <w:right w:val="none" w:sz="0" w:space="0" w:color="auto"/>
      </w:divBdr>
    </w:div>
    <w:div w:id="2017268752">
      <w:bodyDiv w:val="1"/>
      <w:marLeft w:val="0"/>
      <w:marRight w:val="0"/>
      <w:marTop w:val="0"/>
      <w:marBottom w:val="0"/>
      <w:divBdr>
        <w:top w:val="none" w:sz="0" w:space="0" w:color="auto"/>
        <w:left w:val="none" w:sz="0" w:space="0" w:color="auto"/>
        <w:bottom w:val="none" w:sz="0" w:space="0" w:color="auto"/>
        <w:right w:val="none" w:sz="0" w:space="0" w:color="auto"/>
      </w:divBdr>
    </w:div>
    <w:div w:id="2088652128">
      <w:bodyDiv w:val="1"/>
      <w:marLeft w:val="0"/>
      <w:marRight w:val="0"/>
      <w:marTop w:val="0"/>
      <w:marBottom w:val="0"/>
      <w:divBdr>
        <w:top w:val="none" w:sz="0" w:space="0" w:color="auto"/>
        <w:left w:val="none" w:sz="0" w:space="0" w:color="auto"/>
        <w:bottom w:val="none" w:sz="0" w:space="0" w:color="auto"/>
        <w:right w:val="none" w:sz="0" w:space="0" w:color="auto"/>
      </w:divBdr>
    </w:div>
    <w:div w:id="21442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le.rae.es/?id=FdI00O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dle.rae.es/?id=VGqyuLj|VGtxgAo|VGuc9Wg" TargetMode="External"/><Relationship Id="rId7" Type="http://schemas.openxmlformats.org/officeDocument/2006/relationships/hyperlink" Target="http://dle.rae.es/?id=KtpfgjV" TargetMode="External"/><Relationship Id="rId2" Type="http://schemas.openxmlformats.org/officeDocument/2006/relationships/hyperlink" Target="http://dej.rae.es/" TargetMode="External"/><Relationship Id="rId1" Type="http://schemas.openxmlformats.org/officeDocument/2006/relationships/hyperlink" Target="http://dej.rae.es/" TargetMode="External"/><Relationship Id="rId6" Type="http://schemas.openxmlformats.org/officeDocument/2006/relationships/hyperlink" Target="http://dle.rae.es/?id=KtnHLLd" TargetMode="External"/><Relationship Id="rId5" Type="http://schemas.openxmlformats.org/officeDocument/2006/relationships/hyperlink" Target="http://dle.rae.es/?id=CAqWkEB" TargetMode="External"/><Relationship Id="rId4" Type="http://schemas.openxmlformats.org/officeDocument/2006/relationships/hyperlink" Target="http://dle.rae.es/?id=CAjNzM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9C822-108A-4637-8767-035A4294D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63</Pages>
  <Words>12430</Words>
  <Characters>68367</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80636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INFOEM</dc:creator>
  <cp:keywords/>
  <dc:description/>
  <cp:lastModifiedBy>Usuario</cp:lastModifiedBy>
  <cp:revision>6</cp:revision>
  <cp:lastPrinted>2022-05-18T18:35:00Z</cp:lastPrinted>
  <dcterms:created xsi:type="dcterms:W3CDTF">2022-05-18T18:36:00Z</dcterms:created>
  <dcterms:modified xsi:type="dcterms:W3CDTF">2022-06-07T23:47:00Z</dcterms:modified>
</cp:coreProperties>
</file>