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5AF0BC5C"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24976">
        <w:rPr>
          <w:rFonts w:ascii="Palatino Linotype" w:eastAsia="Times New Roman" w:hAnsi="Palatino Linotype" w:cs="Arial"/>
          <w:color w:val="000000"/>
          <w:sz w:val="24"/>
          <w:szCs w:val="24"/>
          <w:lang w:eastAsia="es-MX"/>
        </w:rPr>
        <w:t>veintiuno</w:t>
      </w:r>
      <w:r w:rsidR="00A02D87">
        <w:rPr>
          <w:rFonts w:ascii="Palatino Linotype" w:eastAsia="Times New Roman" w:hAnsi="Palatino Linotype" w:cs="Arial"/>
          <w:color w:val="000000"/>
          <w:sz w:val="24"/>
          <w:szCs w:val="24"/>
          <w:lang w:eastAsia="es-MX"/>
        </w:rPr>
        <w:t xml:space="preserve"> de septiembre de dos mil veintidós. </w:t>
      </w:r>
      <w:r w:rsidR="00A63015">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79FE0D85" w14:textId="62FAB8E1" w:rsidR="00F51514" w:rsidRPr="00F51514" w:rsidRDefault="00B433C9" w:rsidP="00A63015">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237950">
        <w:rPr>
          <w:rFonts w:ascii="Palatino Linotype" w:hAnsi="Palatino Linotype" w:cs="Arial"/>
          <w:b/>
          <w:bCs/>
          <w:sz w:val="24"/>
        </w:rPr>
        <w:t>0</w:t>
      </w:r>
      <w:r w:rsidR="00F51514">
        <w:rPr>
          <w:rFonts w:ascii="Palatino Linotype" w:hAnsi="Palatino Linotype" w:cs="Arial"/>
          <w:b/>
          <w:bCs/>
          <w:sz w:val="24"/>
        </w:rPr>
        <w:t>7650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F51514">
        <w:rPr>
          <w:rFonts w:ascii="Palatino Linotype" w:hAnsi="Palatino Linotype" w:cs="Arial"/>
          <w:sz w:val="24"/>
        </w:rPr>
        <w:t xml:space="preserve">el </w:t>
      </w:r>
      <w:r w:rsidR="009C628C">
        <w:rPr>
          <w:rFonts w:ascii="Palatino Linotype" w:hAnsi="Palatino Linotype" w:cs="Arial"/>
          <w:b/>
          <w:bCs/>
          <w:sz w:val="24"/>
        </w:rPr>
        <w:t>XXXXXXXXXXXXXXXXXXXXXXXX</w:t>
      </w:r>
      <w:r w:rsidR="00F51514">
        <w:rPr>
          <w:rFonts w:ascii="Palatino Linotype" w:hAnsi="Palatino Linotype" w:cs="Arial"/>
          <w:b/>
          <w:bCs/>
          <w:sz w:val="24"/>
        </w:rPr>
        <w:t xml:space="preserve">, </w:t>
      </w:r>
      <w:r w:rsidR="00F51514">
        <w:rPr>
          <w:rFonts w:ascii="Palatino Linotype" w:hAnsi="Palatino Linotype" w:cs="Arial"/>
          <w:sz w:val="24"/>
        </w:rPr>
        <w:t xml:space="preserve">en lo sucesivo </w:t>
      </w:r>
      <w:r w:rsidR="00F51514">
        <w:rPr>
          <w:rFonts w:ascii="Palatino Linotype" w:hAnsi="Palatino Linotype" w:cs="Arial"/>
          <w:b/>
          <w:bCs/>
          <w:sz w:val="24"/>
        </w:rPr>
        <w:t xml:space="preserve">El Recurrente, </w:t>
      </w:r>
      <w:r w:rsidR="00F51514">
        <w:rPr>
          <w:rFonts w:ascii="Palatino Linotype" w:hAnsi="Palatino Linotype" w:cs="Arial"/>
          <w:sz w:val="24"/>
        </w:rPr>
        <w:t xml:space="preserve">en contra de la respuesta del </w:t>
      </w:r>
      <w:r w:rsidR="00F51514">
        <w:rPr>
          <w:rFonts w:ascii="Palatino Linotype" w:hAnsi="Palatino Linotype" w:cs="Arial"/>
          <w:b/>
          <w:bCs/>
          <w:sz w:val="24"/>
        </w:rPr>
        <w:t xml:space="preserve">Ayuntamiento de Toluca, </w:t>
      </w:r>
      <w:r w:rsidR="00F51514">
        <w:rPr>
          <w:rFonts w:ascii="Palatino Linotype" w:hAnsi="Palatino Linotype" w:cs="Arial"/>
          <w:sz w:val="24"/>
        </w:rPr>
        <w:t xml:space="preserve">en lo subsecuente </w:t>
      </w:r>
      <w:r w:rsidR="00F51514">
        <w:rPr>
          <w:rFonts w:ascii="Palatino Linotype" w:hAnsi="Palatino Linotype" w:cs="Arial"/>
          <w:b/>
          <w:bCs/>
          <w:sz w:val="24"/>
        </w:rPr>
        <w:t xml:space="preserve">El Sujeto Obligado, </w:t>
      </w:r>
      <w:r w:rsidR="00F51514">
        <w:rPr>
          <w:rFonts w:ascii="Palatino Linotype" w:hAnsi="Palatino Linotype" w:cs="Arial"/>
          <w:sz w:val="24"/>
        </w:rPr>
        <w:t xml:space="preserve">se procede a dictar la presente resolución. </w:t>
      </w:r>
    </w:p>
    <w:p w14:paraId="2FB661FF" w14:textId="77777777" w:rsidR="00F51514" w:rsidRDefault="00F51514" w:rsidP="00B433C9">
      <w:pPr>
        <w:spacing w:before="240" w:after="240" w:line="360" w:lineRule="auto"/>
        <w:jc w:val="center"/>
        <w:rPr>
          <w:rFonts w:ascii="Palatino Linotype" w:hAnsi="Palatino Linotype"/>
          <w:b/>
          <w:sz w:val="28"/>
        </w:rPr>
      </w:pPr>
    </w:p>
    <w:p w14:paraId="4094D3E4" w14:textId="3CCD6C09"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BDB12FF" w14:textId="389AF88E" w:rsidR="00F51514" w:rsidRPr="003D05FB" w:rsidRDefault="00A63015" w:rsidP="00A63015">
      <w:pPr>
        <w:spacing w:before="240" w:line="360" w:lineRule="auto"/>
        <w:jc w:val="both"/>
        <w:rPr>
          <w:rFonts w:ascii="Palatino Linotype" w:hAnsi="Palatino Linotype" w:cs="Arial"/>
          <w:sz w:val="24"/>
        </w:rPr>
      </w:pPr>
      <w:r>
        <w:rPr>
          <w:rFonts w:ascii="Palatino Linotype" w:hAnsi="Palatino Linotype" w:cs="Arial"/>
          <w:sz w:val="24"/>
        </w:rPr>
        <w:t>Con fecha</w:t>
      </w:r>
      <w:r w:rsidR="003D05FB">
        <w:rPr>
          <w:rFonts w:ascii="Palatino Linotype" w:hAnsi="Palatino Linotype" w:cs="Arial"/>
          <w:sz w:val="24"/>
        </w:rPr>
        <w:t xml:space="preserve"> cuatro de abril de dos mil veintidós, </w:t>
      </w:r>
      <w:r w:rsidR="003D05FB">
        <w:rPr>
          <w:rFonts w:ascii="Palatino Linotype" w:hAnsi="Palatino Linotype" w:cs="Arial"/>
          <w:b/>
          <w:sz w:val="24"/>
        </w:rPr>
        <w:t xml:space="preserve">El Recurrente,  </w:t>
      </w:r>
      <w:r w:rsidR="003D05FB" w:rsidRPr="00523CF0">
        <w:rPr>
          <w:rFonts w:ascii="Palatino Linotype" w:hAnsi="Palatino Linotype" w:cs="Arial"/>
          <w:sz w:val="24"/>
        </w:rPr>
        <w:t>presentó a</w:t>
      </w:r>
      <w:r w:rsidR="003D05FB">
        <w:rPr>
          <w:rFonts w:ascii="Palatino Linotype" w:hAnsi="Palatino Linotype" w:cs="Arial"/>
          <w:sz w:val="24"/>
        </w:rPr>
        <w:t xml:space="preserve"> través del Sistema de Acceso a la Información Mexiquense </w:t>
      </w:r>
      <w:r w:rsidR="003D05FB">
        <w:rPr>
          <w:rFonts w:ascii="Palatino Linotype" w:hAnsi="Palatino Linotype" w:cs="Arial"/>
          <w:b/>
          <w:sz w:val="24"/>
        </w:rPr>
        <w:t xml:space="preserve">(SAIMEX) </w:t>
      </w:r>
      <w:r w:rsidR="003D05FB">
        <w:rPr>
          <w:rFonts w:ascii="Palatino Linotype" w:hAnsi="Palatino Linotype" w:cs="Arial"/>
          <w:sz w:val="24"/>
        </w:rPr>
        <w:t xml:space="preserve">ante </w:t>
      </w:r>
      <w:r w:rsidR="003D05FB">
        <w:rPr>
          <w:rFonts w:ascii="Palatino Linotype" w:hAnsi="Palatino Linotype" w:cs="Arial"/>
          <w:b/>
          <w:sz w:val="24"/>
        </w:rPr>
        <w:t xml:space="preserve">El Sujeto Obligado, </w:t>
      </w:r>
      <w:r w:rsidR="003D05FB">
        <w:rPr>
          <w:rFonts w:ascii="Palatino Linotype" w:hAnsi="Palatino Linotype" w:cs="Arial"/>
          <w:sz w:val="24"/>
        </w:rPr>
        <w:t xml:space="preserve">solicitud de acceso a la información pública, registrada bajo el número de expediente </w:t>
      </w:r>
      <w:r w:rsidR="003D05FB">
        <w:rPr>
          <w:rFonts w:ascii="Palatino Linotype" w:hAnsi="Palatino Linotype" w:cs="Arial"/>
          <w:b/>
          <w:bCs/>
          <w:sz w:val="24"/>
        </w:rPr>
        <w:t xml:space="preserve">00908/TOLUCA/IP/2022, </w:t>
      </w:r>
      <w:r w:rsidR="003D05FB">
        <w:rPr>
          <w:rFonts w:ascii="Palatino Linotype" w:hAnsi="Palatino Linotype" w:cs="Arial"/>
          <w:sz w:val="24"/>
        </w:rPr>
        <w:t>mediante la cual solicitó información en el tenor siguiente:</w:t>
      </w:r>
    </w:p>
    <w:p w14:paraId="048625FB" w14:textId="0D3DF26E" w:rsidR="00F51514" w:rsidRPr="003D05FB" w:rsidRDefault="003D05FB" w:rsidP="003D05FB">
      <w:pPr>
        <w:pStyle w:val="Citas"/>
        <w:rPr>
          <w:b/>
          <w:bCs/>
          <w:sz w:val="24"/>
        </w:rPr>
      </w:pPr>
      <w:r>
        <w:t xml:space="preserve">“En el mes de enero de 2022 la recaudación por ingresos propios del ayuntamiento de Toluca es de aproximadamente de 267 millones 973 mil 180 pesos, sin contar las participaciones federales y estatales que fueron de 122 millones 83 mil 747.24 pesos. (Información proporcionada por la Titular de la Unidad de Transparencia a mi medio de comunicación). En el mes de febrero de 2022 por ingresos propios se obtuvieron 47 millones 524 mil 425 pesos y de participaciones federales y estatales se recibieron </w:t>
      </w:r>
      <w:r>
        <w:lastRenderedPageBreak/>
        <w:t xml:space="preserve">183 millones 28 mil 440 pesos. Lo anterior, sin contar lo que se ha recaudado en marzo, da un total de 620 millones 609 mil 791.85 pesos. Información proporcionada por la Titular de la Unidad de Transparencia a mi medio de comunicación. Con todo eso, no han podido pagar el Ayuntamiento de Toluca, un sólo peso de lo que adeuda, empleados , ex empleados (salarios, aguinaldos, finiquitos, primas vacacionales del año pasado, despidos injustificados, laudos, pagos a proveedores, etc.). Quiero saber como se ha distribuido este ingreso, quiero saber en que se ha gastado todas las cantidades mencionadas anteriormente. Solicito los comprobantes de egresos, las pólizas de cheques, lo que se ha pagado de salarios (desglosado por área), cuotas a isemmym, pago a proveedores, etc. Todo el soporte documental enviado al OSFEM. Solicito todas las actas de las Comisiones edilicias, así como sus listas de asistencia a dichas Comisiones. Quiero saber cual es la postura de los regidores y síndicos ante la situación antes mencionada, y que ellos contesten si les han notificado por parte de Tesoreria este ingreso, a través de la Comisiones edilicias de ingresos y egresos. Todo lo anterior lo quiero desde el mes de enero a abril del año 2021.” </w:t>
      </w:r>
      <w:r>
        <w:rPr>
          <w:b/>
          <w:bCs/>
        </w:rPr>
        <w:t>(Sic)</w:t>
      </w:r>
    </w:p>
    <w:p w14:paraId="19E86044" w14:textId="3CAAC1E3"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A través del SAIMEX</w:t>
      </w:r>
      <w:r w:rsidR="00A02D87">
        <w:rPr>
          <w:rFonts w:ascii="Palatino Linotype" w:hAnsi="Palatino Linotype" w:cs="Arial"/>
          <w:sz w:val="24"/>
        </w:rPr>
        <w:t xml:space="preserve">. </w:t>
      </w:r>
      <w:r w:rsidR="00A63015">
        <w:rPr>
          <w:rFonts w:ascii="Palatino Linotype" w:hAnsi="Palatino Linotype" w:cs="Arial"/>
          <w:sz w:val="24"/>
        </w:rPr>
        <w:t xml:space="preserve"> </w:t>
      </w:r>
    </w:p>
    <w:p w14:paraId="7F3535B6" w14:textId="1C3F0C6E" w:rsidR="00752A9A" w:rsidRDefault="00752A9A" w:rsidP="00B433C9">
      <w:pPr>
        <w:spacing w:before="240" w:line="360" w:lineRule="auto"/>
        <w:jc w:val="both"/>
        <w:rPr>
          <w:rFonts w:ascii="Palatino Linotype" w:hAnsi="Palatino Linotype" w:cs="Arial"/>
          <w:b/>
          <w:sz w:val="28"/>
        </w:rPr>
      </w:pPr>
    </w:p>
    <w:p w14:paraId="2745D23E" w14:textId="1BF07322" w:rsidR="00B433C9" w:rsidRPr="00E07FCA" w:rsidRDefault="00237950"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sidRPr="00E07FCA">
        <w:rPr>
          <w:rFonts w:ascii="Palatino Linotype" w:hAnsi="Palatino Linotype" w:cs="Arial"/>
          <w:b/>
          <w:sz w:val="28"/>
        </w:rPr>
        <w:t xml:space="preserve">. </w:t>
      </w:r>
      <w:r w:rsidR="00B433C9" w:rsidRPr="00E07FCA">
        <w:rPr>
          <w:rFonts w:ascii="Palatino Linotype" w:hAnsi="Palatino Linotype" w:cs="Arial"/>
          <w:b/>
          <w:sz w:val="28"/>
          <w:szCs w:val="20"/>
        </w:rPr>
        <w:t>De la respuesta del Sujeto Obligado.</w:t>
      </w:r>
    </w:p>
    <w:p w14:paraId="223C13B1" w14:textId="4911AEF4" w:rsidR="003D05FB" w:rsidRDefault="00B433C9" w:rsidP="003D05FB">
      <w:pPr>
        <w:spacing w:before="240" w:line="360" w:lineRule="auto"/>
        <w:jc w:val="both"/>
        <w:rPr>
          <w:rFonts w:ascii="Palatino Linotype" w:hAnsi="Palatino Linotype" w:cs="Arial"/>
          <w:sz w:val="24"/>
          <w:szCs w:val="24"/>
        </w:rPr>
      </w:pPr>
      <w:r w:rsidRPr="00E07FCA">
        <w:rPr>
          <w:rFonts w:ascii="Palatino Linotype" w:hAnsi="Palatino Linotype" w:cs="Arial"/>
          <w:sz w:val="24"/>
          <w:szCs w:val="24"/>
        </w:rPr>
        <w:t xml:space="preserve">En el expediente electrónico </w:t>
      </w:r>
      <w:r w:rsidRPr="00E07FCA">
        <w:rPr>
          <w:rFonts w:ascii="Palatino Linotype" w:hAnsi="Palatino Linotype" w:cs="Arial"/>
          <w:b/>
          <w:sz w:val="24"/>
          <w:szCs w:val="24"/>
        </w:rPr>
        <w:t xml:space="preserve">SAIMEX, </w:t>
      </w:r>
      <w:r w:rsidRPr="00E07FCA">
        <w:rPr>
          <w:rFonts w:ascii="Palatino Linotype" w:hAnsi="Palatino Linotype" w:cs="Arial"/>
          <w:sz w:val="24"/>
          <w:szCs w:val="24"/>
        </w:rPr>
        <w:t xml:space="preserve">se aprecia que </w:t>
      </w:r>
      <w:r w:rsidR="008B1AD9" w:rsidRPr="00E07FCA">
        <w:rPr>
          <w:rFonts w:ascii="Palatino Linotype" w:hAnsi="Palatino Linotype" w:cs="Arial"/>
          <w:sz w:val="24"/>
          <w:szCs w:val="24"/>
        </w:rPr>
        <w:t>el</w:t>
      </w:r>
      <w:r w:rsidR="00972CF8" w:rsidRPr="00E07FCA">
        <w:rPr>
          <w:rFonts w:ascii="Palatino Linotype" w:hAnsi="Palatino Linotype" w:cs="Arial"/>
          <w:sz w:val="24"/>
          <w:szCs w:val="24"/>
        </w:rPr>
        <w:t xml:space="preserve"> </w:t>
      </w:r>
      <w:r w:rsidR="003D05FB">
        <w:rPr>
          <w:rFonts w:ascii="Palatino Linotype" w:hAnsi="Palatino Linotype" w:cs="Arial"/>
          <w:sz w:val="24"/>
          <w:szCs w:val="24"/>
        </w:rPr>
        <w:t xml:space="preserve">dos de mayo de los corrientes, </w:t>
      </w:r>
      <w:r w:rsidR="003D05FB">
        <w:rPr>
          <w:rFonts w:ascii="Palatino Linotype" w:hAnsi="Palatino Linotype" w:cs="Arial"/>
          <w:b/>
          <w:bCs/>
          <w:sz w:val="24"/>
          <w:szCs w:val="24"/>
        </w:rPr>
        <w:t xml:space="preserve">El Sujeto Obligado </w:t>
      </w:r>
      <w:r w:rsidR="003D05FB">
        <w:rPr>
          <w:rFonts w:ascii="Palatino Linotype" w:hAnsi="Palatino Linotype" w:cs="Arial"/>
          <w:sz w:val="24"/>
          <w:szCs w:val="24"/>
        </w:rPr>
        <w:t>dio respuesta a la solicitud de información en los siguientes términos:</w:t>
      </w:r>
    </w:p>
    <w:p w14:paraId="12ED72D2" w14:textId="4FABF25A" w:rsidR="003D05FB" w:rsidRPr="003D05FB" w:rsidRDefault="003D05FB" w:rsidP="003D05FB">
      <w:pPr>
        <w:pStyle w:val="Citas"/>
      </w:pPr>
      <w:r w:rsidRPr="003D05FB">
        <w:t xml:space="preserve">“En respuesta a la solicitud recibida, nos permitimos hacer de su conocimiento que con fundamento en el artículo 53, Fracciones: II, V y VI de la Ley de Transparencia </w:t>
      </w:r>
      <w:r w:rsidRPr="003D05FB">
        <w:lastRenderedPageBreak/>
        <w:t>y Acceso a la Información Pública del Estado de México y Municipios, le contestamos que:</w:t>
      </w:r>
    </w:p>
    <w:p w14:paraId="127D5837" w14:textId="73E546A0" w:rsidR="003D05FB" w:rsidRPr="003D05FB" w:rsidRDefault="003D05FB" w:rsidP="003D05FB">
      <w:pPr>
        <w:pStyle w:val="Citas"/>
        <w:rPr>
          <w:b/>
          <w:bCs/>
        </w:rPr>
      </w:pPr>
      <w:r w:rsidRPr="003D05FB">
        <w:t>En atención a la solicitud de información número 00908/TOLUCA/IP/2022, me permito adjuntar al presente la respuesta correspondiente. Sin más por el momento, le envío un cordial saludo”</w:t>
      </w:r>
      <w:r>
        <w:t xml:space="preserve"> </w:t>
      </w:r>
      <w:r>
        <w:rPr>
          <w:b/>
          <w:bCs/>
        </w:rPr>
        <w:t>(Sic)</w:t>
      </w:r>
    </w:p>
    <w:p w14:paraId="44F312E4" w14:textId="2CD511E4" w:rsidR="003D05FB" w:rsidRPr="003D3260" w:rsidRDefault="003D05FB" w:rsidP="003D3260">
      <w:pPr>
        <w:pStyle w:val="Citas"/>
        <w:ind w:left="0" w:right="72"/>
        <w:rPr>
          <w:i w:val="0"/>
          <w:iCs/>
          <w:sz w:val="24"/>
          <w:szCs w:val="24"/>
        </w:rPr>
      </w:pPr>
      <w:r>
        <w:rPr>
          <w:i w:val="0"/>
          <w:iCs/>
          <w:sz w:val="24"/>
          <w:szCs w:val="24"/>
        </w:rPr>
        <w:t xml:space="preserve">A mayor abundamiento, se advierte que </w:t>
      </w:r>
      <w:r w:rsidR="003D3260">
        <w:rPr>
          <w:b/>
          <w:bCs/>
          <w:i w:val="0"/>
          <w:iCs/>
          <w:sz w:val="24"/>
          <w:szCs w:val="24"/>
        </w:rPr>
        <w:t xml:space="preserve">El Sujeto Obligado </w:t>
      </w:r>
      <w:r w:rsidR="003D3260">
        <w:rPr>
          <w:i w:val="0"/>
          <w:iCs/>
          <w:sz w:val="24"/>
          <w:szCs w:val="24"/>
        </w:rPr>
        <w:t xml:space="preserve">adjuntó los documentos electrónicos </w:t>
      </w:r>
      <w:r w:rsidR="003D3260">
        <w:rPr>
          <w:b/>
          <w:bCs/>
          <w:i w:val="0"/>
          <w:iCs/>
          <w:sz w:val="24"/>
          <w:szCs w:val="24"/>
        </w:rPr>
        <w:t xml:space="preserve">“908.pdf” </w:t>
      </w:r>
      <w:r w:rsidR="003D3260">
        <w:rPr>
          <w:i w:val="0"/>
          <w:iCs/>
          <w:sz w:val="24"/>
          <w:szCs w:val="24"/>
        </w:rPr>
        <w:t xml:space="preserve">y </w:t>
      </w:r>
      <w:r w:rsidR="003D3260">
        <w:rPr>
          <w:b/>
          <w:bCs/>
          <w:i w:val="0"/>
          <w:iCs/>
          <w:sz w:val="24"/>
          <w:szCs w:val="24"/>
        </w:rPr>
        <w:t xml:space="preserve">“COMISIONES EDILICIAS.rar”, </w:t>
      </w:r>
      <w:r w:rsidR="003D3260">
        <w:rPr>
          <w:i w:val="0"/>
          <w:iCs/>
          <w:sz w:val="24"/>
          <w:szCs w:val="24"/>
        </w:rPr>
        <w:t xml:space="preserve">mismos que se tienen por reproducidos en virtud de que serán materia de análisis en el considerando respectivo. </w:t>
      </w:r>
    </w:p>
    <w:p w14:paraId="7C6B67E9" w14:textId="75CC3335" w:rsidR="003D05FB" w:rsidRDefault="003D05FB" w:rsidP="00EF1925">
      <w:pPr>
        <w:spacing w:before="240" w:line="360" w:lineRule="auto"/>
        <w:jc w:val="both"/>
        <w:rPr>
          <w:rFonts w:ascii="Palatino Linotype" w:hAnsi="Palatino Linotype" w:cs="Arial"/>
          <w:sz w:val="24"/>
          <w:szCs w:val="24"/>
        </w:rPr>
      </w:pPr>
    </w:p>
    <w:p w14:paraId="259B6E09" w14:textId="3C5D039B" w:rsidR="00B433C9" w:rsidRDefault="00F84616"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25723151" w14:textId="28D8DB61" w:rsidR="003D3260" w:rsidRPr="003D3260"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3D3260">
        <w:rPr>
          <w:rFonts w:ascii="Palatino Linotype" w:hAnsi="Palatino Linotype" w:cs="Arial"/>
          <w:sz w:val="24"/>
          <w:szCs w:val="24"/>
        </w:rPr>
        <w:t xml:space="preserve">once de mayo del presente, el cual fue registrado con el expediente </w:t>
      </w:r>
      <w:r w:rsidR="003D3260">
        <w:rPr>
          <w:rFonts w:ascii="Palatino Linotype" w:hAnsi="Palatino Linotype" w:cs="Arial"/>
          <w:b/>
          <w:bCs/>
          <w:sz w:val="24"/>
          <w:szCs w:val="24"/>
        </w:rPr>
        <w:t xml:space="preserve">07650/INFOEM/IP/RR/2022, </w:t>
      </w:r>
      <w:r w:rsidR="003D3260">
        <w:rPr>
          <w:rFonts w:ascii="Palatino Linotype" w:hAnsi="Palatino Linotype" w:cs="Arial"/>
          <w:sz w:val="24"/>
          <w:szCs w:val="24"/>
        </w:rPr>
        <w:t xml:space="preserve">en el cual arguye las siguientes manifestaciones: </w:t>
      </w:r>
    </w:p>
    <w:p w14:paraId="3506AC14" w14:textId="6DCB579A"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CECB332" w14:textId="77BA5625" w:rsidR="00C5130E" w:rsidRPr="00C5130E" w:rsidRDefault="00C5130E" w:rsidP="00C5130E">
      <w:pPr>
        <w:pStyle w:val="Citas"/>
        <w:rPr>
          <w:b/>
          <w:bCs/>
          <w:sz w:val="24"/>
        </w:rPr>
      </w:pPr>
      <w:r w:rsidRPr="003D3260">
        <w:t>“</w:t>
      </w:r>
      <w:r w:rsidR="003D3260" w:rsidRPr="003D3260">
        <w:t>La respuesta que me dio la Titular de la Unidad de Transparencia.</w:t>
      </w:r>
      <w:r w:rsidRPr="003D3260">
        <w:t>”</w:t>
      </w:r>
      <w:r>
        <w:t xml:space="preserve"> </w:t>
      </w:r>
      <w:r>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2143610" w14:textId="3989D7A4" w:rsidR="00CB2DA9" w:rsidRPr="00C5130E" w:rsidRDefault="00C5130E" w:rsidP="00C5130E">
      <w:pPr>
        <w:pStyle w:val="Citas"/>
        <w:rPr>
          <w:b/>
          <w:bCs/>
        </w:rPr>
      </w:pPr>
      <w:r w:rsidRPr="003D3260">
        <w:t>“</w:t>
      </w:r>
      <w:r w:rsidR="003D3260" w:rsidRPr="003D3260">
        <w:t>No me entregaron todo lo que solicité vía transparencia</w:t>
      </w:r>
      <w:r w:rsidRPr="003D3260">
        <w:t>”</w:t>
      </w:r>
      <w:r>
        <w:t xml:space="preserve"> </w:t>
      </w:r>
      <w:r>
        <w:rPr>
          <w:b/>
          <w:bCs/>
        </w:rPr>
        <w:t>(Sic)</w:t>
      </w:r>
    </w:p>
    <w:p w14:paraId="11450784" w14:textId="77777777" w:rsidR="00C5130E" w:rsidRDefault="00C5130E" w:rsidP="00C5130E">
      <w:pPr>
        <w:pStyle w:val="Citas"/>
        <w:rPr>
          <w:b/>
          <w:sz w:val="28"/>
        </w:rPr>
      </w:pPr>
    </w:p>
    <w:p w14:paraId="454F7370" w14:textId="40378411" w:rsidR="00B433C9" w:rsidRDefault="006C00E1" w:rsidP="00B433C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2C04070D" w14:textId="77777777" w:rsidR="003D3260" w:rsidRDefault="00B433C9" w:rsidP="003D326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C5130E">
        <w:rPr>
          <w:rFonts w:ascii="Palatino Linotype" w:hAnsi="Palatino Linotype" w:cs="Arial"/>
          <w:sz w:val="24"/>
          <w:szCs w:val="24"/>
        </w:rPr>
        <w:t xml:space="preserve"> </w:t>
      </w:r>
      <w:r w:rsidR="003D3260">
        <w:rPr>
          <w:rFonts w:ascii="Palatino Linotype" w:hAnsi="Palatino Linotype" w:cs="Arial"/>
          <w:sz w:val="24"/>
          <w:szCs w:val="24"/>
        </w:rPr>
        <w:t>diecisiete de mayo de los corrientes, determinándose en él, un plazo de siete días para que las partes manifestaran lo que a su derecho corresponda en términos del numeral ya citado.</w:t>
      </w:r>
    </w:p>
    <w:p w14:paraId="3A91D2FA" w14:textId="5D7A4BB5" w:rsidR="00CB2DA9" w:rsidRDefault="00CB2DA9" w:rsidP="002642D3">
      <w:pPr>
        <w:spacing w:before="240" w:line="360" w:lineRule="auto"/>
        <w:jc w:val="both"/>
        <w:rPr>
          <w:rFonts w:ascii="Palatino Linotype" w:hAnsi="Palatino Linotype" w:cs="Arial"/>
          <w:sz w:val="24"/>
          <w:szCs w:val="24"/>
        </w:rPr>
      </w:pPr>
    </w:p>
    <w:p w14:paraId="0A5C5FA8" w14:textId="1FEF17FA" w:rsidR="00B433C9" w:rsidRDefault="006C00E1"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2B814552" w14:textId="416F9E3E" w:rsidR="003D3260" w:rsidRPr="00FD2C60" w:rsidRDefault="00764DB2"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 informe justificado en fecha</w:t>
      </w:r>
      <w:r w:rsidR="00C5130E">
        <w:rPr>
          <w:rFonts w:ascii="Palatino Linotype" w:hAnsi="Palatino Linotype" w:cs="Arial"/>
          <w:sz w:val="24"/>
          <w:szCs w:val="24"/>
        </w:rPr>
        <w:t xml:space="preserve"> </w:t>
      </w:r>
      <w:r w:rsidR="00FD2C60">
        <w:rPr>
          <w:rFonts w:ascii="Palatino Linotype" w:hAnsi="Palatino Linotype" w:cs="Arial"/>
          <w:b/>
          <w:bCs/>
          <w:sz w:val="24"/>
          <w:szCs w:val="24"/>
        </w:rPr>
        <w:t xml:space="preserve">veintiséis de mayo de dos mil veintidós, </w:t>
      </w:r>
      <w:r w:rsidR="00FD2C60">
        <w:rPr>
          <w:rFonts w:ascii="Palatino Linotype" w:hAnsi="Palatino Linotype" w:cs="Arial"/>
          <w:sz w:val="24"/>
          <w:szCs w:val="24"/>
        </w:rPr>
        <w:t xml:space="preserve">mismo que se puso a la vista el </w:t>
      </w:r>
      <w:r w:rsidR="00FD2C60">
        <w:rPr>
          <w:rFonts w:ascii="Palatino Linotype" w:hAnsi="Palatino Linotype" w:cs="Arial"/>
          <w:b/>
          <w:bCs/>
          <w:sz w:val="24"/>
          <w:szCs w:val="24"/>
        </w:rPr>
        <w:t xml:space="preserve">diecinueve de agosto del presente. </w:t>
      </w:r>
    </w:p>
    <w:p w14:paraId="65544D6B" w14:textId="147A75A3" w:rsidR="006C00E1" w:rsidRDefault="006C00E1" w:rsidP="006C00E1">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sidR="00FD2C60">
        <w:rPr>
          <w:rFonts w:ascii="Palatino Linotype" w:hAnsi="Palatino Linotype" w:cs="Arial"/>
          <w:b/>
          <w:bCs/>
          <w:sz w:val="24"/>
          <w:szCs w:val="24"/>
        </w:rPr>
        <w:t>veinticinco de agosto</w:t>
      </w:r>
      <w:r>
        <w:rPr>
          <w:rFonts w:ascii="Palatino Linotype" w:hAnsi="Palatino Linotype" w:cs="Arial"/>
          <w:b/>
          <w:bCs/>
          <w:sz w:val="24"/>
          <w:szCs w:val="24"/>
        </w:rPr>
        <w:t xml:space="preserve">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E2AE02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1F3B43">
        <w:rPr>
          <w:rFonts w:ascii="Palatino Linotype" w:hAnsi="Palatino Linotype" w:cstheme="majorHAnsi"/>
          <w:sz w:val="24"/>
          <w:szCs w:val="24"/>
        </w:rPr>
        <w:lastRenderedPageBreak/>
        <w:t>técnicas y humanas del personal encargado de la proyección de las resoluciones a dichos medios de impugnación.</w:t>
      </w:r>
    </w:p>
    <w:p w14:paraId="7DE53F28"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EB4D465"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451210"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6D2D4D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13B2A13"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5C9CDB4"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39E55213"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D8A867C"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65605E2" w14:textId="77777777" w:rsidR="006C00E1" w:rsidRPr="001F3B43" w:rsidRDefault="006C00E1" w:rsidP="006C00E1">
      <w:pPr>
        <w:spacing w:line="360" w:lineRule="auto"/>
        <w:jc w:val="both"/>
        <w:rPr>
          <w:rFonts w:ascii="Palatino Linotype" w:hAnsi="Palatino Linotype" w:cstheme="majorHAnsi"/>
          <w:sz w:val="24"/>
          <w:szCs w:val="24"/>
        </w:rPr>
      </w:pPr>
    </w:p>
    <w:p w14:paraId="1D2C89D8"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B0D5AC"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B01F5C9"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F3B43">
        <w:rPr>
          <w:rFonts w:ascii="Palatino Linotype" w:hAnsi="Palatino Linotype" w:cstheme="majorHAnsi"/>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3EF2BF"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AF32AE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DC0DAFF"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A9E39A3" w14:textId="77777777" w:rsidR="006C00E1" w:rsidRPr="00B01D73" w:rsidRDefault="006C00E1" w:rsidP="006C00E1">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581DEEA" w14:textId="38FFA9A2" w:rsidR="006C00E1" w:rsidRDefault="006C00E1" w:rsidP="00764DB2">
      <w:pPr>
        <w:spacing w:after="0" w:line="360" w:lineRule="auto"/>
        <w:jc w:val="both"/>
        <w:rPr>
          <w:rFonts w:ascii="Palatino Linotype" w:hAnsi="Palatino Linotype" w:cs="Arial"/>
          <w:b/>
          <w:bCs/>
          <w:sz w:val="24"/>
          <w:szCs w:val="24"/>
        </w:rPr>
      </w:pPr>
    </w:p>
    <w:p w14:paraId="73B632E6" w14:textId="2758F5C0" w:rsidR="00FD2C60" w:rsidRDefault="00FD2C60" w:rsidP="00FD2C60">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Pr="00AC0CCC">
        <w:rPr>
          <w:rFonts w:ascii="Palatino Linotype" w:hAnsi="Palatino Linotype" w:cs="Arial"/>
          <w:b/>
          <w:sz w:val="28"/>
          <w:szCs w:val="28"/>
        </w:rPr>
        <w:t xml:space="preserve">. </w:t>
      </w:r>
      <w:r>
        <w:rPr>
          <w:rFonts w:ascii="Palatino Linotype" w:hAnsi="Palatino Linotype" w:cs="Arial"/>
          <w:b/>
          <w:sz w:val="28"/>
          <w:szCs w:val="28"/>
        </w:rPr>
        <w:t>Del cierre de instrucción</w:t>
      </w:r>
    </w:p>
    <w:p w14:paraId="431B8744" w14:textId="12210643" w:rsidR="00FD2C60" w:rsidRPr="00FD2C60" w:rsidRDefault="00FD2C60" w:rsidP="00764DB2">
      <w:pPr>
        <w:spacing w:after="0" w:line="360" w:lineRule="auto"/>
        <w:jc w:val="both"/>
        <w:rPr>
          <w:rFonts w:ascii="Palatino Linotype" w:hAnsi="Palatino Linotype" w:cs="Arial"/>
          <w:b/>
          <w:bCs/>
          <w:sz w:val="24"/>
          <w:szCs w:val="24"/>
          <w:lang w:val="es-ES"/>
        </w:rPr>
      </w:pPr>
    </w:p>
    <w:p w14:paraId="684EB450" w14:textId="3489C9D1" w:rsidR="00FD2C60" w:rsidRDefault="00FD2C60" w:rsidP="00FD2C60">
      <w:pPr>
        <w:spacing w:after="0" w:line="360" w:lineRule="auto"/>
        <w:jc w:val="both"/>
        <w:rPr>
          <w:rFonts w:ascii="Palatino Linotype" w:hAnsi="Palatino Linotype" w:cs="Arial"/>
          <w:sz w:val="24"/>
          <w:szCs w:val="24"/>
        </w:rPr>
      </w:pPr>
      <w:r w:rsidRPr="00FD2C60">
        <w:rPr>
          <w:rFonts w:ascii="Palatino Linotype" w:hAnsi="Palatino Linotype" w:cs="Arial"/>
          <w:sz w:val="24"/>
          <w:szCs w:val="24"/>
        </w:rPr>
        <w:lastRenderedPageBreak/>
        <w:t>En fecha</w:t>
      </w:r>
      <w:r>
        <w:rPr>
          <w:rFonts w:ascii="Palatino Linotype" w:hAnsi="Palatino Linotype" w:cs="Arial"/>
          <w:b/>
          <w:bCs/>
          <w:sz w:val="24"/>
          <w:szCs w:val="24"/>
        </w:rPr>
        <w:t xml:space="preserve"> veinticinco de agosto </w:t>
      </w:r>
      <w:r w:rsidRPr="00FD2C60">
        <w:rPr>
          <w:rFonts w:ascii="Palatino Linotype" w:hAnsi="Palatino Linotype" w:cs="Arial"/>
          <w:sz w:val="24"/>
          <w:szCs w:val="24"/>
        </w:rPr>
        <w:t>de dos mil veintidós,</w:t>
      </w:r>
      <w:r>
        <w:rPr>
          <w:rFonts w:ascii="Palatino Linotype" w:hAnsi="Palatino Linotype" w:cs="Arial"/>
          <w:b/>
          <w:bCs/>
          <w:sz w:val="24"/>
          <w:szCs w:val="24"/>
        </w:rPr>
        <w:t xml:space="preserv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7F9E18E" w14:textId="77777777" w:rsidR="00FD2C60" w:rsidRPr="006C00E1" w:rsidRDefault="00FD2C60" w:rsidP="00764DB2">
      <w:pPr>
        <w:spacing w:after="0" w:line="360" w:lineRule="auto"/>
        <w:jc w:val="both"/>
        <w:rPr>
          <w:rFonts w:ascii="Palatino Linotype" w:hAnsi="Palatino Linotype" w:cs="Arial"/>
          <w:b/>
          <w:bCs/>
          <w:sz w:val="24"/>
          <w:szCs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2C2D909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B110D27" w14:textId="77777777" w:rsidR="00844CD2" w:rsidRDefault="00844CD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3E52088" w14:textId="77777777" w:rsidR="00083D2D" w:rsidRDefault="00083D2D" w:rsidP="00083D2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81DF193" w14:textId="77777777" w:rsidR="00083D2D" w:rsidRPr="00514E66" w:rsidRDefault="00083D2D" w:rsidP="00083D2D">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FC96B17" w14:textId="77777777" w:rsidR="00083D2D" w:rsidRDefault="00083D2D" w:rsidP="00083D2D">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4E6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1D1E57A1" w14:textId="77777777" w:rsidR="00083D2D" w:rsidRDefault="00083D2D" w:rsidP="00083D2D">
      <w:pPr>
        <w:pStyle w:val="Prrafodelista"/>
        <w:autoSpaceDE w:val="0"/>
        <w:autoSpaceDN w:val="0"/>
        <w:adjustRightInd w:val="0"/>
        <w:spacing w:line="360" w:lineRule="auto"/>
        <w:ind w:left="0"/>
        <w:jc w:val="both"/>
        <w:rPr>
          <w:rFonts w:ascii="Palatino Linotype" w:hAnsi="Palatino Linotype" w:cs="Arial"/>
        </w:rPr>
      </w:pPr>
    </w:p>
    <w:p w14:paraId="30148226" w14:textId="77777777" w:rsidR="00083D2D" w:rsidRDefault="00083D2D" w:rsidP="00083D2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1DD1AA4C" w14:textId="77777777" w:rsidR="00083D2D" w:rsidRDefault="00083D2D" w:rsidP="00083D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w:t>
      </w:r>
      <w:r w:rsidRPr="00FA5EBB">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0F7EEBD2" w14:textId="77777777" w:rsidR="00083D2D" w:rsidRPr="002869E1" w:rsidRDefault="00083D2D" w:rsidP="00083D2D">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3299256"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CDFA5D0"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E8FBB8"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70DB5E9"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4086D0F"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24CA1E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0EB0EE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4A694EC"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5ABEAA4"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F55654D"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1C1F0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3DE2FA5" w14:textId="77777777" w:rsidR="00083D2D" w:rsidRPr="006E4CCA" w:rsidRDefault="00083D2D" w:rsidP="00083D2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DD6B551" w14:textId="77777777" w:rsidR="00083D2D" w:rsidRDefault="00083D2D" w:rsidP="00083D2D">
      <w:pPr>
        <w:spacing w:after="0" w:line="360" w:lineRule="auto"/>
        <w:jc w:val="both"/>
        <w:rPr>
          <w:rFonts w:ascii="Palatino Linotype" w:eastAsia="Times New Roman" w:hAnsi="Palatino Linotype" w:cs="Times New Roman"/>
          <w:sz w:val="24"/>
          <w:szCs w:val="24"/>
          <w:lang w:eastAsia="es-ES"/>
        </w:rPr>
      </w:pPr>
    </w:p>
    <w:p w14:paraId="70F6BF3C" w14:textId="77777777" w:rsidR="00083D2D" w:rsidRPr="008B1C1B" w:rsidRDefault="00083D2D" w:rsidP="00083D2D">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8B1C1B">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8B1C1B">
        <w:rPr>
          <w:rFonts w:ascii="Palatino Linotype" w:eastAsia="Times New Roman" w:hAnsi="Palatino Linotype" w:cs="Times New Roman"/>
          <w:bCs/>
          <w:sz w:val="24"/>
          <w:szCs w:val="24"/>
          <w:lang w:eastAsia="es-ES"/>
        </w:rPr>
        <w:t>de la Ley local en la materia, que se reproduce de la siguiente forma</w:t>
      </w:r>
      <w:r w:rsidRPr="008B1C1B">
        <w:rPr>
          <w:rFonts w:ascii="Palatino Linotype" w:eastAsia="Times New Roman" w:hAnsi="Palatino Linotype" w:cs="Times New Roman"/>
          <w:sz w:val="24"/>
          <w:szCs w:val="24"/>
          <w:lang w:eastAsia="es-ES"/>
        </w:rPr>
        <w:t>:</w:t>
      </w:r>
    </w:p>
    <w:p w14:paraId="451366B2" w14:textId="77777777" w:rsidR="00083D2D" w:rsidRPr="006E4CCA" w:rsidRDefault="00083D2D" w:rsidP="00083D2D">
      <w:pPr>
        <w:spacing w:before="240" w:line="360" w:lineRule="auto"/>
        <w:ind w:left="851" w:right="851"/>
        <w:jc w:val="both"/>
        <w:rPr>
          <w:rFonts w:ascii="Palatino Linotype" w:eastAsia="Times New Roman" w:hAnsi="Palatino Linotype" w:cs="Arial"/>
          <w:i/>
          <w:lang w:eastAsia="es-ES"/>
        </w:rPr>
      </w:pPr>
      <w:r w:rsidRPr="008B1C1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B1C1B">
        <w:rPr>
          <w:rFonts w:ascii="Palatino Linotype" w:eastAsia="Times New Roman" w:hAnsi="Palatino Linotype" w:cs="Arial"/>
          <w:b/>
          <w:i/>
          <w:lang w:eastAsia="es-ES"/>
        </w:rPr>
        <w:t>[Sic]</w:t>
      </w:r>
    </w:p>
    <w:p w14:paraId="255FAF53" w14:textId="77777777" w:rsidR="00AD1D20" w:rsidRDefault="00AD1D20" w:rsidP="008B1C1B">
      <w:pPr>
        <w:spacing w:before="240" w:line="360" w:lineRule="auto"/>
        <w:jc w:val="both"/>
        <w:rPr>
          <w:rFonts w:ascii="Palatino Linotype" w:hAnsi="Palatino Linotype"/>
          <w:sz w:val="24"/>
          <w:szCs w:val="24"/>
        </w:rPr>
      </w:pPr>
    </w:p>
    <w:p w14:paraId="0C3DB3A7" w14:textId="545B67E3" w:rsidR="00C45FA3" w:rsidRDefault="008B1C1B" w:rsidP="008B1C1B">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w:t>
      </w:r>
      <w:r w:rsidR="00C45FA3">
        <w:rPr>
          <w:rFonts w:ascii="Palatino Linotype" w:hAnsi="Palatino Linotype"/>
          <w:sz w:val="24"/>
          <w:szCs w:val="24"/>
        </w:rPr>
        <w:t xml:space="preserve">de una interpretación armónica, sistemática, literal y gramatical a la solicitud de información </w:t>
      </w:r>
      <w:r w:rsidR="00C45FA3">
        <w:rPr>
          <w:rFonts w:ascii="Palatino Linotype" w:hAnsi="Palatino Linotype"/>
          <w:b/>
          <w:bCs/>
          <w:sz w:val="24"/>
          <w:szCs w:val="24"/>
        </w:rPr>
        <w:t xml:space="preserve">00908/TOLUCA/IP/2022 </w:t>
      </w:r>
      <w:r w:rsidR="00C45FA3">
        <w:rPr>
          <w:rFonts w:ascii="Palatino Linotype" w:hAnsi="Palatino Linotype"/>
          <w:sz w:val="24"/>
          <w:szCs w:val="24"/>
        </w:rPr>
        <w:t>se desprenden las siguientes consideraciones:</w:t>
      </w:r>
    </w:p>
    <w:p w14:paraId="51AD5CDC" w14:textId="5698FC89" w:rsidR="00C45FA3" w:rsidRDefault="00A76B74" w:rsidP="00C45FA3">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w:t>
      </w:r>
      <w:r w:rsidR="00C16C54">
        <w:rPr>
          <w:rFonts w:ascii="Palatino Linotype" w:hAnsi="Palatino Linotype"/>
        </w:rPr>
        <w:t xml:space="preserve">de una interpretación sistemática a la solicitud de información, se advierte que </w:t>
      </w:r>
      <w:r>
        <w:rPr>
          <w:rFonts w:ascii="Palatino Linotype" w:hAnsi="Palatino Linotype"/>
        </w:rPr>
        <w:t xml:space="preserve">fueron formulados </w:t>
      </w:r>
      <w:r>
        <w:rPr>
          <w:rFonts w:ascii="Palatino Linotype" w:hAnsi="Palatino Linotype"/>
          <w:b/>
          <w:bCs/>
        </w:rPr>
        <w:t xml:space="preserve">10 -diez- </w:t>
      </w:r>
      <w:r>
        <w:rPr>
          <w:rFonts w:ascii="Palatino Linotype" w:hAnsi="Palatino Linotype"/>
        </w:rPr>
        <w:t>requerimientos</w:t>
      </w:r>
      <w:r w:rsidR="002D1082">
        <w:rPr>
          <w:rFonts w:ascii="Palatino Linotype" w:hAnsi="Palatino Linotype"/>
        </w:rPr>
        <w:t xml:space="preserve"> (distribución de ingreso; comprobantes de egresos; pólizas de cheques; salarios; cuotas a ISSEMYM; pago a proveedores; informes remitidos al OSFEM; actas de comisiones edilicias; asistencia a comisiones edilicias; postura de síndicos y regidores frente a incumplimiento de obligaciones). </w:t>
      </w:r>
    </w:p>
    <w:p w14:paraId="66B91E5B" w14:textId="510FEF7A" w:rsidR="00676123" w:rsidRDefault="00676123" w:rsidP="00C45FA3">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w:t>
      </w:r>
      <w:r w:rsidR="000416BC">
        <w:rPr>
          <w:rFonts w:ascii="Palatino Linotype" w:hAnsi="Palatino Linotype"/>
        </w:rPr>
        <w:t xml:space="preserve">la manera en cómo se han distribuido los ingresos es sinónimo de los comprobantes de egresos, por ello, se estima que el primer requerimiento se encuentra inmerso en el segundo. </w:t>
      </w:r>
    </w:p>
    <w:p w14:paraId="266FE72B" w14:textId="355EBBF7" w:rsidR="00FC39F3" w:rsidRDefault="00A76B74" w:rsidP="00C45FA3">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el particular alude </w:t>
      </w:r>
      <w:r w:rsidR="005938E2">
        <w:rPr>
          <w:rFonts w:ascii="Palatino Linotype" w:hAnsi="Palatino Linotype"/>
        </w:rPr>
        <w:t>a requerimientos</w:t>
      </w:r>
      <w:r>
        <w:rPr>
          <w:rFonts w:ascii="Palatino Linotype" w:hAnsi="Palatino Linotype"/>
        </w:rPr>
        <w:t xml:space="preserve"> correspondientes al ejercicio </w:t>
      </w:r>
      <w:r w:rsidR="00C16C54">
        <w:rPr>
          <w:rFonts w:ascii="Palatino Linotype" w:hAnsi="Palatino Linotype"/>
        </w:rPr>
        <w:t>2022</w:t>
      </w:r>
      <w:r>
        <w:rPr>
          <w:rFonts w:ascii="Palatino Linotype" w:hAnsi="Palatino Linotype"/>
        </w:rPr>
        <w:t xml:space="preserve">. Sin embargo, en el cierre de la solicitud de información precisa </w:t>
      </w:r>
      <w:r>
        <w:rPr>
          <w:rFonts w:ascii="Palatino Linotype" w:hAnsi="Palatino Linotype"/>
          <w:i/>
          <w:iCs/>
        </w:rPr>
        <w:t xml:space="preserve">“Todo lo anterior lo quiero desde el mes de enero a abril del año 2021”. </w:t>
      </w:r>
      <w:r>
        <w:rPr>
          <w:rFonts w:ascii="Palatino Linotype" w:hAnsi="Palatino Linotype"/>
        </w:rPr>
        <w:t xml:space="preserve">Es decir, </w:t>
      </w:r>
      <w:r w:rsidR="00C16C54">
        <w:rPr>
          <w:rFonts w:ascii="Palatino Linotype" w:hAnsi="Palatino Linotype"/>
        </w:rPr>
        <w:t xml:space="preserve">la solicitud de </w:t>
      </w:r>
      <w:r w:rsidR="00C16C54">
        <w:rPr>
          <w:rFonts w:ascii="Palatino Linotype" w:hAnsi="Palatino Linotype"/>
        </w:rPr>
        <w:lastRenderedPageBreak/>
        <w:t xml:space="preserve">información </w:t>
      </w:r>
      <w:r w:rsidR="00C16C54">
        <w:rPr>
          <w:rFonts w:ascii="Palatino Linotype" w:hAnsi="Palatino Linotype"/>
          <w:b/>
          <w:bCs/>
        </w:rPr>
        <w:t xml:space="preserve">00908/TOLUCA/IP/2022 </w:t>
      </w:r>
      <w:r w:rsidR="00C16C54">
        <w:rPr>
          <w:rFonts w:ascii="Palatino Linotype" w:hAnsi="Palatino Linotype"/>
        </w:rPr>
        <w:t xml:space="preserve">refleja </w:t>
      </w:r>
      <w:r w:rsidR="005938E2">
        <w:rPr>
          <w:rFonts w:ascii="Palatino Linotype" w:hAnsi="Palatino Linotype"/>
        </w:rPr>
        <w:t>una falta de congruencia</w:t>
      </w:r>
      <w:r w:rsidR="00C16C54">
        <w:rPr>
          <w:rFonts w:ascii="Palatino Linotype" w:hAnsi="Palatino Linotype"/>
        </w:rPr>
        <w:t xml:space="preserve"> interna, luego entonces, en atención al principio de suplencia de la queja imperante </w:t>
      </w:r>
      <w:r w:rsidR="000F1636">
        <w:rPr>
          <w:rFonts w:ascii="Palatino Linotype" w:hAnsi="Palatino Linotype"/>
        </w:rPr>
        <w:t xml:space="preserve">en la materia, </w:t>
      </w:r>
      <w:r w:rsidR="00FC39F3">
        <w:rPr>
          <w:rFonts w:ascii="Palatino Linotype" w:hAnsi="Palatino Linotype"/>
        </w:rPr>
        <w:t xml:space="preserve">se arriba a la conclusión de que resulta de interés al particular la información correspondiente al año en curso. De manera complementaria, el elemento temporal debe de ser delimitado del uno de enero al cuatro de abril de dos mil veintidós, éste último al corresponder a la fecha en que se ejerció el derecho de acceso a la información pública. </w:t>
      </w:r>
    </w:p>
    <w:p w14:paraId="2D5031C7" w14:textId="4731C6EA" w:rsidR="00A76B74" w:rsidRDefault="001F2F83" w:rsidP="00AE5DAF">
      <w:pPr>
        <w:pStyle w:val="Prrafodelista"/>
        <w:numPr>
          <w:ilvl w:val="0"/>
          <w:numId w:val="11"/>
        </w:numPr>
        <w:spacing w:before="240" w:line="360" w:lineRule="auto"/>
        <w:jc w:val="both"/>
        <w:rPr>
          <w:rFonts w:ascii="Palatino Linotype" w:hAnsi="Palatino Linotype"/>
        </w:rPr>
      </w:pPr>
      <w:r w:rsidRPr="000427E8">
        <w:rPr>
          <w:rFonts w:ascii="Palatino Linotype" w:hAnsi="Palatino Linotype"/>
        </w:rPr>
        <w:t xml:space="preserve">Que </w:t>
      </w:r>
      <w:r w:rsidR="002D1082" w:rsidRPr="000427E8">
        <w:rPr>
          <w:rFonts w:ascii="Palatino Linotype" w:hAnsi="Palatino Linotype"/>
        </w:rPr>
        <w:t xml:space="preserve">como se abundará en párrafos subsecuentes, los informes remitidos al Órgano Superior de Fiscalización del Estado de México son generados de manera trimestral, mismos que engloban información relativa a ingresos, egresos, </w:t>
      </w:r>
      <w:r w:rsidR="000427E8" w:rsidRPr="000427E8">
        <w:rPr>
          <w:rFonts w:ascii="Palatino Linotype" w:hAnsi="Palatino Linotype"/>
        </w:rPr>
        <w:t xml:space="preserve">pólizas de cheques, salarios y pago de nómina, </w:t>
      </w:r>
      <w:r w:rsidR="002B7E83">
        <w:rPr>
          <w:rFonts w:ascii="Palatino Linotype" w:hAnsi="Palatino Linotype"/>
        </w:rPr>
        <w:t xml:space="preserve">cuotas y aportaciones de seguridad social, </w:t>
      </w:r>
      <w:r w:rsidR="0009423F">
        <w:rPr>
          <w:rFonts w:ascii="Palatino Linotype" w:hAnsi="Palatino Linotype"/>
        </w:rPr>
        <w:t>pago a proveedores</w:t>
      </w:r>
      <w:r w:rsidR="0001487B">
        <w:rPr>
          <w:rFonts w:ascii="Palatino Linotype" w:hAnsi="Palatino Linotype"/>
        </w:rPr>
        <w:t>,</w:t>
      </w:r>
      <w:r w:rsidR="0009423F">
        <w:rPr>
          <w:rFonts w:ascii="Palatino Linotype" w:hAnsi="Palatino Linotype"/>
        </w:rPr>
        <w:t xml:space="preserve"> </w:t>
      </w:r>
      <w:r w:rsidR="000427E8" w:rsidRPr="000427E8">
        <w:rPr>
          <w:rFonts w:ascii="Palatino Linotype" w:hAnsi="Palatino Linotype"/>
        </w:rPr>
        <w:t xml:space="preserve">entre otros.  </w:t>
      </w:r>
      <w:r w:rsidR="005938E2" w:rsidRPr="000427E8">
        <w:rPr>
          <w:rFonts w:ascii="Palatino Linotype" w:hAnsi="Palatino Linotype"/>
        </w:rPr>
        <w:t xml:space="preserve">Luego entonces mediante la solicitud de información </w:t>
      </w:r>
      <w:r w:rsidR="005938E2" w:rsidRPr="000427E8">
        <w:rPr>
          <w:rFonts w:ascii="Palatino Linotype" w:hAnsi="Palatino Linotype"/>
          <w:b/>
          <w:bCs/>
        </w:rPr>
        <w:t xml:space="preserve">00908/TOLUCA/IP/2022 </w:t>
      </w:r>
      <w:r w:rsidR="00FB60E3" w:rsidRPr="000427E8">
        <w:rPr>
          <w:rFonts w:ascii="Palatino Linotype" w:hAnsi="Palatino Linotype"/>
        </w:rPr>
        <w:t xml:space="preserve">algunos requerimientos </w:t>
      </w:r>
      <w:r w:rsidR="005938E2" w:rsidRPr="000427E8">
        <w:rPr>
          <w:rFonts w:ascii="Palatino Linotype" w:hAnsi="Palatino Linotype"/>
        </w:rPr>
        <w:t>fueron formulados por duplicado</w:t>
      </w:r>
      <w:r w:rsidR="00657BD1">
        <w:rPr>
          <w:rFonts w:ascii="Palatino Linotype" w:hAnsi="Palatino Linotype"/>
        </w:rPr>
        <w:t xml:space="preserve"> al encontrarse inmersos en el informe </w:t>
      </w:r>
      <w:r w:rsidR="0001487B">
        <w:rPr>
          <w:rFonts w:ascii="Palatino Linotype" w:hAnsi="Palatino Linotype"/>
        </w:rPr>
        <w:t xml:space="preserve">trimestral </w:t>
      </w:r>
      <w:r w:rsidR="00657BD1">
        <w:rPr>
          <w:rFonts w:ascii="Palatino Linotype" w:hAnsi="Palatino Linotype"/>
        </w:rPr>
        <w:t xml:space="preserve">en cita. </w:t>
      </w:r>
    </w:p>
    <w:p w14:paraId="4FBC0502" w14:textId="45CE4977" w:rsidR="004124C4" w:rsidRPr="000427E8" w:rsidRDefault="004124C4" w:rsidP="00AE5DAF">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el pago de salarios </w:t>
      </w:r>
      <w:r w:rsidR="002B7E83">
        <w:rPr>
          <w:rFonts w:ascii="Palatino Linotype" w:hAnsi="Palatino Linotype"/>
        </w:rPr>
        <w:t xml:space="preserve">y las cuotas y aportaciones de seguridad social </w:t>
      </w:r>
      <w:r>
        <w:rPr>
          <w:rFonts w:ascii="Palatino Linotype" w:hAnsi="Palatino Linotype"/>
        </w:rPr>
        <w:t>se realiza</w:t>
      </w:r>
      <w:r w:rsidR="002B7E83">
        <w:rPr>
          <w:rFonts w:ascii="Palatino Linotype" w:hAnsi="Palatino Linotype"/>
        </w:rPr>
        <w:t>n</w:t>
      </w:r>
      <w:r>
        <w:rPr>
          <w:rFonts w:ascii="Palatino Linotype" w:hAnsi="Palatino Linotype"/>
        </w:rPr>
        <w:t xml:space="preserve"> quincenalmente, por ello, dicho</w:t>
      </w:r>
      <w:r w:rsidR="002B7E83">
        <w:rPr>
          <w:rFonts w:ascii="Palatino Linotype" w:hAnsi="Palatino Linotype"/>
        </w:rPr>
        <w:t>s</w:t>
      </w:r>
      <w:r>
        <w:rPr>
          <w:rFonts w:ascii="Palatino Linotype" w:hAnsi="Palatino Linotype"/>
        </w:rPr>
        <w:t xml:space="preserve"> requerimiento</w:t>
      </w:r>
      <w:r w:rsidR="002B7E83">
        <w:rPr>
          <w:rFonts w:ascii="Palatino Linotype" w:hAnsi="Palatino Linotype"/>
        </w:rPr>
        <w:t>s</w:t>
      </w:r>
      <w:r>
        <w:rPr>
          <w:rFonts w:ascii="Palatino Linotype" w:hAnsi="Palatino Linotype"/>
        </w:rPr>
        <w:t xml:space="preserve"> debe</w:t>
      </w:r>
      <w:r w:rsidR="002B7E83">
        <w:rPr>
          <w:rFonts w:ascii="Palatino Linotype" w:hAnsi="Palatino Linotype"/>
        </w:rPr>
        <w:t>n</w:t>
      </w:r>
      <w:r>
        <w:rPr>
          <w:rFonts w:ascii="Palatino Linotype" w:hAnsi="Palatino Linotype"/>
        </w:rPr>
        <w:t xml:space="preserve"> de ser delimitado</w:t>
      </w:r>
      <w:r w:rsidR="002B7E83">
        <w:rPr>
          <w:rFonts w:ascii="Palatino Linotype" w:hAnsi="Palatino Linotype"/>
        </w:rPr>
        <w:t>s</w:t>
      </w:r>
      <w:r>
        <w:rPr>
          <w:rFonts w:ascii="Palatino Linotype" w:hAnsi="Palatino Linotype"/>
        </w:rPr>
        <w:t xml:space="preserve"> del uno de enero al treinta y uno de marzo de dos mil veintidós. </w:t>
      </w:r>
    </w:p>
    <w:p w14:paraId="3AB740E7" w14:textId="1060A1FF" w:rsidR="002D1082" w:rsidRDefault="00AF67A0" w:rsidP="00C45FA3">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con relación a </w:t>
      </w:r>
      <w:r>
        <w:rPr>
          <w:rFonts w:ascii="Palatino Linotype" w:hAnsi="Palatino Linotype"/>
          <w:i/>
          <w:iCs/>
        </w:rPr>
        <w:t xml:space="preserve">“Quiero saber cual es la postura de los regidores y síndicos ante la situación antes mencionada, y que ellos contesten si les han notificado por parte de </w:t>
      </w:r>
      <w:r w:rsidR="00064BC5">
        <w:rPr>
          <w:rFonts w:ascii="Palatino Linotype" w:hAnsi="Palatino Linotype"/>
          <w:i/>
          <w:iCs/>
        </w:rPr>
        <w:t>Tesorería</w:t>
      </w:r>
      <w:r>
        <w:rPr>
          <w:rFonts w:ascii="Palatino Linotype" w:hAnsi="Palatino Linotype"/>
          <w:i/>
          <w:iCs/>
        </w:rPr>
        <w:t xml:space="preserve"> este ingreso</w:t>
      </w:r>
      <w:r w:rsidR="00657BD1">
        <w:rPr>
          <w:rFonts w:ascii="Palatino Linotype" w:hAnsi="Palatino Linotype"/>
          <w:i/>
          <w:iCs/>
        </w:rPr>
        <w:t xml:space="preserve">” </w:t>
      </w:r>
      <w:r>
        <w:rPr>
          <w:rFonts w:ascii="Palatino Linotype" w:hAnsi="Palatino Linotype"/>
        </w:rPr>
        <w:t>se advierte que dicho requerimiento encuadra como derecho de petición al requerir un pronunciamiento</w:t>
      </w:r>
      <w:r w:rsidR="00064BC5">
        <w:rPr>
          <w:rFonts w:ascii="Palatino Linotype" w:hAnsi="Palatino Linotype"/>
        </w:rPr>
        <w:t xml:space="preserve">, petición, acción o recurso </w:t>
      </w:r>
      <w:r w:rsidR="00064BC5">
        <w:rPr>
          <w:rFonts w:ascii="Palatino Linotype" w:hAnsi="Palatino Linotype"/>
        </w:rPr>
        <w:lastRenderedPageBreak/>
        <w:t xml:space="preserve">de la autoridad. </w:t>
      </w:r>
      <w:r w:rsidR="00657BD1">
        <w:rPr>
          <w:rFonts w:ascii="Palatino Linotype" w:hAnsi="Palatino Linotype"/>
        </w:rPr>
        <w:t xml:space="preserve">Es decir, no resulta atendible vía derecho de acceso a la información, por ello, no será materia de análisis. </w:t>
      </w:r>
    </w:p>
    <w:p w14:paraId="038FADD9" w14:textId="77777777" w:rsidR="00676123" w:rsidRPr="0051062B" w:rsidRDefault="00676123" w:rsidP="00676123">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Dichas precisiones, </w:t>
      </w:r>
      <w:r w:rsidRPr="0051062B">
        <w:rPr>
          <w:rFonts w:ascii="Palatino Linotype" w:hAnsi="Palatino Linotype"/>
          <w:sz w:val="24"/>
          <w:szCs w:val="24"/>
        </w:rPr>
        <w:t xml:space="preserve">con fundamento en los artículos 13 y 181 cuarto párrafo de la Ley en materia, los cuales a la letra rezan: </w:t>
      </w:r>
    </w:p>
    <w:p w14:paraId="3A0D0B17" w14:textId="77777777" w:rsidR="00676123" w:rsidRPr="0051062B" w:rsidRDefault="00676123" w:rsidP="0067612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16F401B" w14:textId="77777777" w:rsidR="00676123" w:rsidRPr="0051062B" w:rsidRDefault="00676123" w:rsidP="00676123">
      <w:pPr>
        <w:pStyle w:val="Citas"/>
        <w:rPr>
          <w:b/>
        </w:rPr>
      </w:pPr>
      <w:r w:rsidRPr="0051062B">
        <w:rPr>
          <w:b/>
        </w:rPr>
        <w:t xml:space="preserve">Artículo 181. … </w:t>
      </w:r>
    </w:p>
    <w:p w14:paraId="43FB21FA" w14:textId="77777777" w:rsidR="00676123" w:rsidRDefault="00676123" w:rsidP="0067612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4534951" w14:textId="77777777" w:rsidR="00676123" w:rsidRDefault="00676123" w:rsidP="00676123">
      <w:pPr>
        <w:spacing w:before="240" w:line="360" w:lineRule="auto"/>
        <w:jc w:val="both"/>
        <w:rPr>
          <w:rFonts w:ascii="Palatino Linotype" w:hAnsi="Palatino Linotype"/>
          <w:sz w:val="24"/>
          <w:szCs w:val="24"/>
        </w:rPr>
      </w:pPr>
    </w:p>
    <w:p w14:paraId="5A306591" w14:textId="0E00F3D9" w:rsidR="00676123" w:rsidRPr="00A33EF8" w:rsidRDefault="00676123" w:rsidP="00676123">
      <w:pPr>
        <w:spacing w:before="240" w:line="360" w:lineRule="auto"/>
        <w:jc w:val="both"/>
        <w:rPr>
          <w:rFonts w:ascii="Palatino Linotype" w:hAnsi="Palatino Linotype"/>
          <w:sz w:val="24"/>
          <w:szCs w:val="24"/>
        </w:rPr>
      </w:pPr>
      <w:r w:rsidRPr="00A33EF8">
        <w:rPr>
          <w:rFonts w:ascii="Palatino Linotype" w:hAnsi="Palatino Linotype"/>
          <w:sz w:val="24"/>
          <w:szCs w:val="24"/>
        </w:rPr>
        <w:t xml:space="preserve">Bajo estas líneas argumentativas, al </w:t>
      </w:r>
      <w:r>
        <w:rPr>
          <w:rFonts w:ascii="Palatino Linotype" w:hAnsi="Palatino Linotype"/>
          <w:sz w:val="24"/>
          <w:szCs w:val="24"/>
        </w:rPr>
        <w:t>retomar y delimitar los</w:t>
      </w:r>
      <w:r w:rsidRPr="00A33EF8">
        <w:rPr>
          <w:rFonts w:ascii="Palatino Linotype" w:hAnsi="Palatino Linotype"/>
          <w:sz w:val="24"/>
          <w:szCs w:val="24"/>
        </w:rPr>
        <w:t xml:space="preserve"> requerimiento</w:t>
      </w:r>
      <w:r>
        <w:rPr>
          <w:rFonts w:ascii="Palatino Linotype" w:hAnsi="Palatino Linotype"/>
          <w:sz w:val="24"/>
          <w:szCs w:val="24"/>
        </w:rPr>
        <w:t>s</w:t>
      </w:r>
      <w:r w:rsidRPr="00A33EF8">
        <w:rPr>
          <w:rFonts w:ascii="Palatino Linotype" w:hAnsi="Palatino Linotype"/>
          <w:sz w:val="24"/>
          <w:szCs w:val="24"/>
        </w:rPr>
        <w:t xml:space="preserve"> formulado</w:t>
      </w:r>
      <w:r>
        <w:rPr>
          <w:rFonts w:ascii="Palatino Linotype" w:hAnsi="Palatino Linotype"/>
          <w:sz w:val="24"/>
          <w:szCs w:val="24"/>
        </w:rPr>
        <w:t>s</w:t>
      </w:r>
      <w:r w:rsidRPr="00A33EF8">
        <w:rPr>
          <w:rFonts w:ascii="Palatino Linotype" w:hAnsi="Palatino Linotype"/>
          <w:sz w:val="24"/>
          <w:szCs w:val="24"/>
        </w:rPr>
        <w:t xml:space="preserve"> por </w:t>
      </w:r>
      <w:r>
        <w:rPr>
          <w:rFonts w:ascii="Palatino Linotype" w:hAnsi="Palatino Linotype"/>
          <w:sz w:val="24"/>
          <w:szCs w:val="24"/>
        </w:rPr>
        <w:t>el</w:t>
      </w:r>
      <w:r w:rsidRPr="00A33EF8">
        <w:rPr>
          <w:rFonts w:ascii="Palatino Linotype" w:hAnsi="Palatino Linotype"/>
          <w:sz w:val="24"/>
          <w:szCs w:val="24"/>
        </w:rPr>
        <w:t xml:space="preserve"> ahora </w:t>
      </w:r>
      <w:r w:rsidRPr="00A33EF8">
        <w:rPr>
          <w:rFonts w:ascii="Palatino Linotype" w:hAnsi="Palatino Linotype"/>
          <w:b/>
          <w:sz w:val="24"/>
          <w:szCs w:val="24"/>
        </w:rPr>
        <w:t xml:space="preserve">Recurrente, </w:t>
      </w:r>
      <w:r w:rsidRPr="00A33EF8">
        <w:rPr>
          <w:rFonts w:ascii="Palatino Linotype" w:hAnsi="Palatino Linotype"/>
          <w:sz w:val="24"/>
          <w:szCs w:val="24"/>
        </w:rPr>
        <w:t xml:space="preserve">de manera objetiva se </w:t>
      </w:r>
      <w:r w:rsidR="00CE21F8">
        <w:rPr>
          <w:rFonts w:ascii="Palatino Linotype" w:hAnsi="Palatino Linotype"/>
          <w:sz w:val="24"/>
          <w:szCs w:val="24"/>
        </w:rPr>
        <w:t>sintetizan en los siguientes términos:</w:t>
      </w:r>
    </w:p>
    <w:p w14:paraId="416A57E4" w14:textId="5089831F" w:rsidR="000427E8" w:rsidRDefault="004124C4" w:rsidP="000416BC">
      <w:pPr>
        <w:pStyle w:val="Prrafodelista"/>
        <w:numPr>
          <w:ilvl w:val="0"/>
          <w:numId w:val="12"/>
        </w:numPr>
        <w:spacing w:before="240" w:line="360" w:lineRule="auto"/>
        <w:jc w:val="both"/>
        <w:rPr>
          <w:rFonts w:ascii="Palatino Linotype" w:hAnsi="Palatino Linotype"/>
        </w:rPr>
      </w:pPr>
      <w:r>
        <w:rPr>
          <w:rFonts w:ascii="Palatino Linotype" w:hAnsi="Palatino Linotype"/>
          <w:lang w:val="es-MX"/>
        </w:rPr>
        <w:t>C</w:t>
      </w:r>
      <w:r w:rsidR="000416BC">
        <w:rPr>
          <w:rFonts w:ascii="Palatino Linotype" w:hAnsi="Palatino Linotype"/>
        </w:rPr>
        <w:t>omprobante</w:t>
      </w:r>
      <w:r>
        <w:rPr>
          <w:rFonts w:ascii="Palatino Linotype" w:hAnsi="Palatino Linotype"/>
        </w:rPr>
        <w:t>s</w:t>
      </w:r>
      <w:r w:rsidR="000416BC">
        <w:rPr>
          <w:rFonts w:ascii="Palatino Linotype" w:hAnsi="Palatino Linotype"/>
        </w:rPr>
        <w:t xml:space="preserve"> de egresos, del periodo comprendido del </w:t>
      </w:r>
      <w:r w:rsidR="00FC39F3">
        <w:rPr>
          <w:rFonts w:ascii="Palatino Linotype" w:hAnsi="Palatino Linotype"/>
        </w:rPr>
        <w:t xml:space="preserve">uno al cuatro de abril de dos mil veintidós. </w:t>
      </w:r>
    </w:p>
    <w:p w14:paraId="6CA2246D" w14:textId="68BA3BCB" w:rsidR="00FC39F3" w:rsidRDefault="00FC39F3" w:rsidP="000416BC">
      <w:pPr>
        <w:pStyle w:val="Prrafodelista"/>
        <w:numPr>
          <w:ilvl w:val="0"/>
          <w:numId w:val="12"/>
        </w:numPr>
        <w:spacing w:before="240" w:line="360" w:lineRule="auto"/>
        <w:jc w:val="both"/>
        <w:rPr>
          <w:rFonts w:ascii="Palatino Linotype" w:hAnsi="Palatino Linotype"/>
        </w:rPr>
      </w:pPr>
      <w:r>
        <w:rPr>
          <w:rFonts w:ascii="Palatino Linotype" w:hAnsi="Palatino Linotype"/>
        </w:rPr>
        <w:t>Pólizas de cheques, del periodo comprendido del uno al cuatro de abril de dos mil veintidós.</w:t>
      </w:r>
      <w:r>
        <w:rPr>
          <w:rFonts w:ascii="Palatino Linotype" w:hAnsi="Palatino Linotype"/>
        </w:rPr>
        <w:tab/>
        <w:t xml:space="preserve"> </w:t>
      </w:r>
    </w:p>
    <w:p w14:paraId="7BC2F19A" w14:textId="440A9932" w:rsidR="00FC39F3" w:rsidRDefault="004124C4" w:rsidP="000416BC">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pago </w:t>
      </w:r>
      <w:r w:rsidR="005029A2">
        <w:rPr>
          <w:rFonts w:ascii="Palatino Linotype" w:hAnsi="Palatino Linotype"/>
        </w:rPr>
        <w:t xml:space="preserve">a proveedores, del periodo comprendido del uno de enero al cuatro de abril de dos mil veintidós. </w:t>
      </w:r>
    </w:p>
    <w:p w14:paraId="65A3E5CF" w14:textId="669119F5" w:rsidR="00657BD1" w:rsidRDefault="00657BD1" w:rsidP="000416BC">
      <w:pPr>
        <w:pStyle w:val="Prrafodelista"/>
        <w:numPr>
          <w:ilvl w:val="0"/>
          <w:numId w:val="12"/>
        </w:numPr>
        <w:spacing w:before="240" w:line="360" w:lineRule="auto"/>
        <w:jc w:val="both"/>
        <w:rPr>
          <w:rFonts w:ascii="Palatino Linotype" w:hAnsi="Palatino Linotype"/>
        </w:rPr>
      </w:pPr>
      <w:r>
        <w:rPr>
          <w:rFonts w:ascii="Palatino Linotype" w:hAnsi="Palatino Linotype"/>
        </w:rPr>
        <w:lastRenderedPageBreak/>
        <w:t xml:space="preserve">Primer informe trimestral remitido al Órgano Superior de Fiscalización del Estado de México durante el ejercicio fiscal dos mil veintidós. </w:t>
      </w:r>
    </w:p>
    <w:p w14:paraId="679DA910" w14:textId="40ABF3D8" w:rsidR="00FA662F" w:rsidRDefault="00FA662F" w:rsidP="000416BC">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Actas y listas de asistencia de comisiones edilicias del periodo comprendido del uno </w:t>
      </w:r>
      <w:r w:rsidR="009A4B44">
        <w:rPr>
          <w:rFonts w:ascii="Palatino Linotype" w:hAnsi="Palatino Linotype"/>
        </w:rPr>
        <w:t xml:space="preserve">de enero </w:t>
      </w:r>
      <w:r>
        <w:rPr>
          <w:rFonts w:ascii="Palatino Linotype" w:hAnsi="Palatino Linotype"/>
        </w:rPr>
        <w:t xml:space="preserve">al cuatro de abril de dos mil veintidós. </w:t>
      </w:r>
    </w:p>
    <w:p w14:paraId="5204D67A" w14:textId="1EA4F2BE" w:rsidR="00086CBC" w:rsidRDefault="00086CBC" w:rsidP="00086CBC">
      <w:pPr>
        <w:spacing w:before="240" w:line="360" w:lineRule="auto"/>
        <w:jc w:val="both"/>
        <w:rPr>
          <w:rFonts w:ascii="Palatino Linotype" w:hAnsi="Palatino Linotype"/>
        </w:rPr>
      </w:pPr>
    </w:p>
    <w:p w14:paraId="3901367F" w14:textId="6B55DEDD" w:rsidR="00086CBC" w:rsidRPr="00086CBC" w:rsidRDefault="00086CBC" w:rsidP="00086CBC">
      <w:pPr>
        <w:spacing w:before="240" w:line="360" w:lineRule="auto"/>
        <w:jc w:val="both"/>
        <w:rPr>
          <w:rFonts w:ascii="Palatino Linotype" w:hAnsi="Palatino Linotype"/>
          <w:b/>
          <w:bCs/>
          <w:sz w:val="24"/>
          <w:szCs w:val="24"/>
        </w:rPr>
      </w:pPr>
      <w:r w:rsidRPr="00086CBC">
        <w:rPr>
          <w:rFonts w:ascii="Palatino Linotype" w:hAnsi="Palatino Linotype"/>
          <w:sz w:val="24"/>
          <w:szCs w:val="24"/>
        </w:rPr>
        <w:t xml:space="preserve">Bajo este contexto, a efecto de identificar a las unidades competentes para atender la solicitud de información, resulta oportuno traer a colación las siguientes imágenes ilustrativas, correspondientes al organigrama del </w:t>
      </w:r>
      <w:r w:rsidRPr="00086CBC">
        <w:rPr>
          <w:rFonts w:ascii="Palatino Linotype" w:hAnsi="Palatino Linotype"/>
          <w:b/>
          <w:bCs/>
          <w:sz w:val="24"/>
          <w:szCs w:val="24"/>
        </w:rPr>
        <w:t xml:space="preserve">Sujeto Obligado: </w:t>
      </w:r>
    </w:p>
    <w:p w14:paraId="5853BDD1" w14:textId="2744F65C" w:rsidR="00086CBC" w:rsidRPr="00086CBC" w:rsidRDefault="00AA3FFB" w:rsidP="00086CBC">
      <w:pPr>
        <w:spacing w:before="240" w:line="360" w:lineRule="auto"/>
        <w:jc w:val="both"/>
        <w:rPr>
          <w:rFonts w:ascii="Palatino Linotype" w:hAnsi="Palatino Linotype"/>
          <w:b/>
          <w:bCs/>
        </w:rPr>
      </w:pPr>
      <w:r>
        <w:rPr>
          <w:rFonts w:ascii="Palatino Linotype" w:hAnsi="Palatino Linotype"/>
          <w:noProof/>
          <w:sz w:val="24"/>
          <w:szCs w:val="24"/>
          <w:lang w:eastAsia="es-MX"/>
        </w:rPr>
        <w:drawing>
          <wp:anchor distT="0" distB="0" distL="114300" distR="114300" simplePos="0" relativeHeight="251689977" behindDoc="0" locked="0" layoutInCell="1" allowOverlap="1" wp14:anchorId="693B18F8" wp14:editId="1BABE4A4">
            <wp:simplePos x="0" y="0"/>
            <wp:positionH relativeFrom="column">
              <wp:posOffset>129887</wp:posOffset>
            </wp:positionH>
            <wp:positionV relativeFrom="paragraph">
              <wp:posOffset>329738</wp:posOffset>
            </wp:positionV>
            <wp:extent cx="5749925" cy="3201670"/>
            <wp:effectExtent l="19050" t="19050" r="22225" b="17780"/>
            <wp:wrapThrough wrapText="bothSides">
              <wp:wrapPolygon edited="0">
                <wp:start x="-72" y="-129"/>
                <wp:lineTo x="-72" y="21591"/>
                <wp:lineTo x="21612" y="21591"/>
                <wp:lineTo x="21612" y="-129"/>
                <wp:lineTo x="-72" y="-12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201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D42E39" w14:textId="19B1BBC5" w:rsidR="000427E8" w:rsidRDefault="000427E8" w:rsidP="008B1C1B">
      <w:pPr>
        <w:spacing w:before="240" w:line="360" w:lineRule="auto"/>
        <w:jc w:val="both"/>
        <w:rPr>
          <w:rFonts w:ascii="Palatino Linotype" w:hAnsi="Palatino Linotype"/>
          <w:sz w:val="24"/>
          <w:szCs w:val="24"/>
        </w:rPr>
      </w:pPr>
    </w:p>
    <w:p w14:paraId="33C19570" w14:textId="619A39E3" w:rsidR="000427E8" w:rsidRDefault="000427E8" w:rsidP="008B1C1B">
      <w:pPr>
        <w:spacing w:before="240" w:line="360" w:lineRule="auto"/>
        <w:jc w:val="both"/>
        <w:rPr>
          <w:rFonts w:ascii="Palatino Linotype" w:hAnsi="Palatino Linotype"/>
          <w:sz w:val="24"/>
          <w:szCs w:val="24"/>
        </w:rPr>
      </w:pPr>
    </w:p>
    <w:p w14:paraId="7DFAF792" w14:textId="2084F1DF" w:rsidR="00083D2D" w:rsidRDefault="00F24976" w:rsidP="008F5D20">
      <w:pPr>
        <w:tabs>
          <w:tab w:val="left" w:pos="709"/>
        </w:tabs>
        <w:spacing w:before="240" w:line="360" w:lineRule="auto"/>
        <w:ind w:right="51"/>
        <w:jc w:val="both"/>
        <w:rPr>
          <w:rFonts w:ascii="Palatino Linotype" w:hAnsi="Palatino Linotype"/>
          <w:b/>
          <w:sz w:val="28"/>
          <w:szCs w:val="28"/>
        </w:rPr>
      </w:pPr>
      <w:r>
        <w:rPr>
          <w:rFonts w:ascii="Palatino Linotype" w:hAnsi="Palatino Linotype" w:cs="Arial"/>
          <w:noProof/>
          <w:sz w:val="24"/>
          <w:szCs w:val="24"/>
          <w:lang w:eastAsia="es-MX"/>
        </w:rPr>
        <w:lastRenderedPageBreak/>
        <w:drawing>
          <wp:anchor distT="0" distB="0" distL="114300" distR="114300" simplePos="0" relativeHeight="251716608" behindDoc="0" locked="0" layoutInCell="1" allowOverlap="1" wp14:anchorId="679B5870" wp14:editId="2FA41EBA">
            <wp:simplePos x="0" y="0"/>
            <wp:positionH relativeFrom="column">
              <wp:posOffset>-34290</wp:posOffset>
            </wp:positionH>
            <wp:positionV relativeFrom="paragraph">
              <wp:posOffset>19050</wp:posOffset>
            </wp:positionV>
            <wp:extent cx="5756275" cy="3159125"/>
            <wp:effectExtent l="19050" t="19050" r="15875" b="22225"/>
            <wp:wrapThrough wrapText="bothSides">
              <wp:wrapPolygon edited="0">
                <wp:start x="-71" y="-130"/>
                <wp:lineTo x="-71" y="21622"/>
                <wp:lineTo x="21588" y="21622"/>
                <wp:lineTo x="21588" y="-130"/>
                <wp:lineTo x="-71" y="-13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159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C658DE" w14:textId="63EE008A" w:rsidR="00AD269D" w:rsidRDefault="005F3D88" w:rsidP="00C10621">
      <w:pPr>
        <w:spacing w:line="360" w:lineRule="auto"/>
        <w:jc w:val="both"/>
        <w:rPr>
          <w:rFonts w:ascii="Palatino Linotype" w:hAnsi="Palatino Linotype" w:cs="Arial"/>
          <w:sz w:val="24"/>
          <w:szCs w:val="24"/>
        </w:rPr>
      </w:pPr>
      <w:r w:rsidRPr="00BB3BC5">
        <w:rPr>
          <w:rFonts w:ascii="Palatino Linotype" w:hAnsi="Palatino Linotype" w:cs="Arial"/>
          <w:sz w:val="24"/>
          <w:szCs w:val="24"/>
        </w:rPr>
        <w:t xml:space="preserve">De lo expuesto con anterioridad, se desprende que </w:t>
      </w:r>
      <w:r w:rsidRPr="00BB3BC5">
        <w:rPr>
          <w:rFonts w:ascii="Palatino Linotype" w:hAnsi="Palatino Linotype" w:cs="Arial"/>
          <w:b/>
          <w:sz w:val="24"/>
          <w:szCs w:val="24"/>
        </w:rPr>
        <w:t xml:space="preserve">El Sujeto Obligado </w:t>
      </w:r>
      <w:r w:rsidRPr="00BB3BC5">
        <w:rPr>
          <w:rFonts w:ascii="Palatino Linotype" w:hAnsi="Palatino Linotype" w:cs="Arial"/>
          <w:sz w:val="24"/>
          <w:szCs w:val="24"/>
        </w:rPr>
        <w:t>se auxilia de diversas Direcciones, Subdirecciones, Departamentos y Unidades Administrativas para cumplir con sus fines y objetivos, resultando de nuestro más amplio interés la</w:t>
      </w:r>
      <w:r>
        <w:rPr>
          <w:rFonts w:ascii="Palatino Linotype" w:hAnsi="Palatino Linotype" w:cs="Arial"/>
          <w:sz w:val="24"/>
          <w:szCs w:val="24"/>
        </w:rPr>
        <w:t xml:space="preserve"> </w:t>
      </w:r>
      <w:r w:rsidR="00AD269D">
        <w:rPr>
          <w:rFonts w:ascii="Palatino Linotype" w:hAnsi="Palatino Linotype" w:cs="Arial"/>
          <w:sz w:val="24"/>
          <w:szCs w:val="24"/>
        </w:rPr>
        <w:t xml:space="preserve">Tesorería Municipal; Dirección General de Administración; Sindicaturas y Regidurías. </w:t>
      </w:r>
    </w:p>
    <w:p w14:paraId="79618AAE" w14:textId="661F32F1" w:rsidR="00A858B3" w:rsidRDefault="005F3D88" w:rsidP="002C11A1">
      <w:pPr>
        <w:spacing w:line="360" w:lineRule="auto"/>
        <w:jc w:val="both"/>
        <w:rPr>
          <w:rFonts w:ascii="Palatino Linotype" w:hAnsi="Palatino Linotype" w:cs="Arial"/>
          <w:noProof/>
          <w:sz w:val="24"/>
          <w:szCs w:val="24"/>
        </w:rPr>
      </w:pPr>
      <w:r>
        <w:rPr>
          <w:rFonts w:ascii="Palatino Linotype" w:hAnsi="Palatino Linotype" w:cs="Arial"/>
          <w:noProof/>
          <w:sz w:val="24"/>
          <w:szCs w:val="24"/>
        </w:rPr>
        <w:t>En virtud de lo anterior, para delimitar las fro</w:t>
      </w:r>
      <w:r w:rsidR="00FC1394">
        <w:rPr>
          <w:rFonts w:ascii="Palatino Linotype" w:hAnsi="Palatino Linotype" w:cs="Arial"/>
          <w:noProof/>
          <w:sz w:val="24"/>
          <w:szCs w:val="24"/>
        </w:rPr>
        <w:t>n</w:t>
      </w:r>
      <w:r>
        <w:rPr>
          <w:rFonts w:ascii="Palatino Linotype" w:hAnsi="Palatino Linotype" w:cs="Arial"/>
          <w:noProof/>
          <w:sz w:val="24"/>
          <w:szCs w:val="24"/>
        </w:rPr>
        <w:t xml:space="preserve">teras conceptuales de las unidades administrativas en cita, resulta oportuno </w:t>
      </w:r>
      <w:r w:rsidR="00363E02">
        <w:rPr>
          <w:rFonts w:ascii="Palatino Linotype" w:hAnsi="Palatino Linotype" w:cs="Arial"/>
          <w:noProof/>
          <w:sz w:val="24"/>
          <w:szCs w:val="24"/>
        </w:rPr>
        <w:t xml:space="preserve">traer a colación el artículo </w:t>
      </w:r>
      <w:r w:rsidR="00982467">
        <w:rPr>
          <w:rFonts w:ascii="Palatino Linotype" w:hAnsi="Palatino Linotype" w:cs="Arial"/>
          <w:noProof/>
          <w:sz w:val="24"/>
          <w:szCs w:val="24"/>
        </w:rPr>
        <w:t xml:space="preserve">95, fracciones I, IV, V, XIV, XVI, XVII de la Ley Organica Municipal del Estado de México; </w:t>
      </w:r>
      <w:r w:rsidR="00363E02">
        <w:rPr>
          <w:rFonts w:ascii="Palatino Linotype" w:hAnsi="Palatino Linotype" w:cs="Arial"/>
          <w:noProof/>
          <w:sz w:val="24"/>
          <w:szCs w:val="24"/>
        </w:rPr>
        <w:t xml:space="preserve">numerales 38 y 39 del Bando Municipal de Toluca; artículo 32 de la Ley de Fiscalización Superior del Estado de México, así como los apartados </w:t>
      </w:r>
      <w:r w:rsidR="002C11A1" w:rsidRPr="002C11A1">
        <w:rPr>
          <w:rFonts w:ascii="Palatino Linotype" w:hAnsi="Palatino Linotype" w:cs="Arial"/>
          <w:b/>
          <w:bCs/>
          <w:noProof/>
          <w:sz w:val="24"/>
          <w:szCs w:val="24"/>
        </w:rPr>
        <w:t>206010000</w:t>
      </w:r>
      <w:r w:rsidR="002C11A1" w:rsidRPr="002C11A1">
        <w:rPr>
          <w:rFonts w:ascii="Palatino Linotype" w:hAnsi="Palatino Linotype" w:cs="Arial"/>
          <w:noProof/>
          <w:sz w:val="24"/>
          <w:szCs w:val="24"/>
        </w:rPr>
        <w:t xml:space="preserve"> </w:t>
      </w:r>
      <w:r w:rsidR="002C11A1">
        <w:rPr>
          <w:rFonts w:ascii="Palatino Linotype" w:hAnsi="Palatino Linotype" w:cs="Arial"/>
          <w:noProof/>
          <w:sz w:val="24"/>
          <w:szCs w:val="24"/>
        </w:rPr>
        <w:t>“</w:t>
      </w:r>
      <w:r w:rsidR="002C11A1" w:rsidRPr="002C11A1">
        <w:rPr>
          <w:rFonts w:ascii="Palatino Linotype" w:hAnsi="Palatino Linotype" w:cs="Arial"/>
          <w:noProof/>
          <w:sz w:val="24"/>
          <w:szCs w:val="24"/>
        </w:rPr>
        <w:t>Dirección General de Administración</w:t>
      </w:r>
      <w:r w:rsidR="002C11A1">
        <w:rPr>
          <w:rFonts w:ascii="Palatino Linotype" w:hAnsi="Palatino Linotype" w:cs="Arial"/>
          <w:noProof/>
          <w:sz w:val="24"/>
          <w:szCs w:val="24"/>
        </w:rPr>
        <w:t xml:space="preserve">”, </w:t>
      </w:r>
      <w:r w:rsidR="002C11A1" w:rsidRPr="002C11A1">
        <w:rPr>
          <w:rFonts w:ascii="Palatino Linotype" w:hAnsi="Palatino Linotype" w:cs="Arial"/>
          <w:b/>
          <w:bCs/>
          <w:noProof/>
          <w:sz w:val="24"/>
          <w:szCs w:val="24"/>
        </w:rPr>
        <w:t>206010002</w:t>
      </w:r>
      <w:r w:rsidR="002C11A1" w:rsidRPr="002C11A1">
        <w:rPr>
          <w:rFonts w:ascii="Palatino Linotype" w:hAnsi="Palatino Linotype" w:cs="Arial"/>
          <w:noProof/>
          <w:sz w:val="24"/>
          <w:szCs w:val="24"/>
        </w:rPr>
        <w:t xml:space="preserve"> </w:t>
      </w:r>
      <w:r w:rsidR="002C11A1">
        <w:rPr>
          <w:rFonts w:ascii="Palatino Linotype" w:hAnsi="Palatino Linotype" w:cs="Arial"/>
          <w:noProof/>
          <w:sz w:val="24"/>
          <w:szCs w:val="24"/>
        </w:rPr>
        <w:t>“</w:t>
      </w:r>
      <w:r w:rsidR="002C11A1" w:rsidRPr="002C11A1">
        <w:rPr>
          <w:rFonts w:ascii="Palatino Linotype" w:hAnsi="Palatino Linotype" w:cs="Arial"/>
          <w:noProof/>
          <w:sz w:val="24"/>
          <w:szCs w:val="24"/>
        </w:rPr>
        <w:t>Delegación Administrativa</w:t>
      </w:r>
      <w:r w:rsidR="002C11A1">
        <w:rPr>
          <w:rFonts w:ascii="Palatino Linotype" w:hAnsi="Palatino Linotype" w:cs="Arial"/>
          <w:noProof/>
          <w:sz w:val="24"/>
          <w:szCs w:val="24"/>
        </w:rPr>
        <w:t xml:space="preserve">” y </w:t>
      </w:r>
      <w:r w:rsidR="002C11A1" w:rsidRPr="002C11A1">
        <w:rPr>
          <w:rFonts w:ascii="Palatino Linotype" w:hAnsi="Palatino Linotype" w:cs="Arial"/>
          <w:b/>
          <w:bCs/>
          <w:noProof/>
          <w:sz w:val="24"/>
          <w:szCs w:val="24"/>
        </w:rPr>
        <w:t>206012000</w:t>
      </w:r>
      <w:r w:rsidR="002C11A1" w:rsidRPr="002C11A1">
        <w:rPr>
          <w:rFonts w:ascii="Palatino Linotype" w:hAnsi="Palatino Linotype" w:cs="Arial"/>
          <w:noProof/>
          <w:sz w:val="24"/>
          <w:szCs w:val="24"/>
        </w:rPr>
        <w:t xml:space="preserve"> </w:t>
      </w:r>
      <w:r w:rsidR="002C11A1">
        <w:rPr>
          <w:rFonts w:ascii="Palatino Linotype" w:hAnsi="Palatino Linotype" w:cs="Arial"/>
          <w:noProof/>
          <w:sz w:val="24"/>
          <w:szCs w:val="24"/>
        </w:rPr>
        <w:t>“</w:t>
      </w:r>
      <w:r w:rsidR="002C11A1" w:rsidRPr="002C11A1">
        <w:rPr>
          <w:rFonts w:ascii="Palatino Linotype" w:hAnsi="Palatino Linotype" w:cs="Arial"/>
          <w:noProof/>
          <w:sz w:val="24"/>
          <w:szCs w:val="24"/>
        </w:rPr>
        <w:t>Dirección de Recursos Humanos</w:t>
      </w:r>
      <w:r w:rsidR="002C11A1">
        <w:rPr>
          <w:rFonts w:ascii="Palatino Linotype" w:hAnsi="Palatino Linotype" w:cs="Arial"/>
          <w:noProof/>
          <w:sz w:val="24"/>
          <w:szCs w:val="24"/>
        </w:rPr>
        <w:t xml:space="preserve">” del Manual de Organización de la </w:t>
      </w:r>
      <w:r w:rsidR="00F74889">
        <w:rPr>
          <w:rFonts w:ascii="Palatino Linotype" w:hAnsi="Palatino Linotype" w:cs="Arial"/>
          <w:noProof/>
          <w:sz w:val="24"/>
          <w:szCs w:val="24"/>
        </w:rPr>
        <w:t xml:space="preserve">Dirección General de Administración, porciones normativas que disponen a la literalidad lo siguiente: </w:t>
      </w:r>
    </w:p>
    <w:p w14:paraId="00F2FDD5" w14:textId="204DA9BB" w:rsidR="00982467" w:rsidRPr="00982467" w:rsidRDefault="00982467" w:rsidP="00982467">
      <w:pPr>
        <w:pStyle w:val="Citas"/>
        <w:jc w:val="center"/>
        <w:rPr>
          <w:b/>
          <w:bCs/>
          <w:noProof/>
        </w:rPr>
      </w:pPr>
      <w:r w:rsidRPr="00982467">
        <w:rPr>
          <w:b/>
          <w:bCs/>
          <w:noProof/>
        </w:rPr>
        <w:lastRenderedPageBreak/>
        <w:t>LEY ORGANICA MUNICIPAL DEL ESTADO DE MÉXICO</w:t>
      </w:r>
    </w:p>
    <w:p w14:paraId="3F2BADA6" w14:textId="255A8C61" w:rsidR="0009423F" w:rsidRDefault="00982467" w:rsidP="00982467">
      <w:pPr>
        <w:pStyle w:val="Citas"/>
      </w:pPr>
      <w:r>
        <w:t>“</w:t>
      </w:r>
      <w:r w:rsidR="00B22541">
        <w:t>Artículo 95.- Son atribuciones del tesorero municipal:</w:t>
      </w:r>
    </w:p>
    <w:p w14:paraId="70D45F9F" w14:textId="15C56EFF" w:rsidR="00B22541" w:rsidRDefault="00B22541" w:rsidP="00982467">
      <w:pPr>
        <w:pStyle w:val="Citas"/>
      </w:pPr>
      <w:r>
        <w:t>I. Administrar la hacienda pública municipal, de conformidad con las disposiciones legales aplicables;</w:t>
      </w:r>
    </w:p>
    <w:p w14:paraId="523FE834" w14:textId="037F2AAA" w:rsidR="00B22541" w:rsidRDefault="00B22541" w:rsidP="00982467">
      <w:pPr>
        <w:pStyle w:val="Citas"/>
        <w:rPr>
          <w:noProof/>
          <w:sz w:val="24"/>
          <w:szCs w:val="24"/>
        </w:rPr>
      </w:pPr>
      <w:r>
        <w:rPr>
          <w:noProof/>
          <w:sz w:val="24"/>
          <w:szCs w:val="24"/>
        </w:rPr>
        <w:t>(…)</w:t>
      </w:r>
    </w:p>
    <w:p w14:paraId="409478AD" w14:textId="0D823B5E" w:rsidR="00B22541" w:rsidRDefault="00B22541" w:rsidP="00982467">
      <w:pPr>
        <w:pStyle w:val="Citas"/>
      </w:pPr>
      <w:r>
        <w:t>IV. Llevar los registros contables, financieros y administrativos de los ingresos, egresos, e inventarios;</w:t>
      </w:r>
    </w:p>
    <w:p w14:paraId="582C2A9D" w14:textId="41F8D15A" w:rsidR="00B22541" w:rsidRDefault="00B22541" w:rsidP="00982467">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018439A6" w14:textId="420D54F5" w:rsidR="00B22541" w:rsidRDefault="00B22541" w:rsidP="00982467">
      <w:pPr>
        <w:pStyle w:val="Citas"/>
      </w:pPr>
      <w:r>
        <w:t>(…)</w:t>
      </w:r>
    </w:p>
    <w:p w14:paraId="14810F73" w14:textId="60399DC4" w:rsidR="00B22541" w:rsidRDefault="00B22541" w:rsidP="00982467">
      <w:pPr>
        <w:pStyle w:val="Citas"/>
      </w:pPr>
      <w:r>
        <w:t>XIV. Ministrar a su inmediato antecesor todos los datos oficiales que le solicitare, para contestar los pliegos de observaciones y alcances que formule y deduzca el Órgano Superior de Fiscalización del Estado de México</w:t>
      </w:r>
    </w:p>
    <w:p w14:paraId="1D6644F7" w14:textId="340D9789" w:rsidR="00B22541" w:rsidRDefault="00B22541" w:rsidP="00982467">
      <w:pPr>
        <w:pStyle w:val="Citas"/>
      </w:pPr>
      <w:r>
        <w:t>(…)</w:t>
      </w:r>
    </w:p>
    <w:p w14:paraId="378C62A5" w14:textId="77777777" w:rsidR="00B22541" w:rsidRDefault="00B22541" w:rsidP="00982467">
      <w:pPr>
        <w:pStyle w:val="Citas"/>
      </w:pPr>
      <w:r>
        <w:t xml:space="preserve">XVI. Glosar oportunamente las cuentas del ayuntamiento; </w:t>
      </w:r>
    </w:p>
    <w:p w14:paraId="087B2276" w14:textId="1DC81D49" w:rsidR="00B22541" w:rsidRDefault="00B22541" w:rsidP="00982467">
      <w:pPr>
        <w:pStyle w:val="Citas"/>
      </w:pPr>
      <w:r>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21184E44" w14:textId="24CABE0E" w:rsidR="00982467" w:rsidRDefault="00982467" w:rsidP="00982467">
      <w:pPr>
        <w:pStyle w:val="Citas"/>
        <w:rPr>
          <w:b/>
          <w:bCs/>
        </w:rPr>
      </w:pPr>
      <w:r>
        <w:lastRenderedPageBreak/>
        <w:t xml:space="preserve">(…)” </w:t>
      </w:r>
      <w:r>
        <w:rPr>
          <w:b/>
          <w:bCs/>
        </w:rPr>
        <w:t>(Sic)</w:t>
      </w:r>
    </w:p>
    <w:p w14:paraId="11B3EC20" w14:textId="77777777" w:rsidR="0093462F" w:rsidRDefault="0093462F" w:rsidP="00A858B3">
      <w:pPr>
        <w:pStyle w:val="Citas"/>
        <w:jc w:val="center"/>
        <w:rPr>
          <w:b/>
          <w:bCs/>
        </w:rPr>
      </w:pPr>
    </w:p>
    <w:p w14:paraId="7E503D0F" w14:textId="100E5A89" w:rsidR="00A858B3" w:rsidRPr="00A858B3" w:rsidRDefault="00A858B3" w:rsidP="00A858B3">
      <w:pPr>
        <w:pStyle w:val="Citas"/>
        <w:jc w:val="center"/>
        <w:rPr>
          <w:b/>
          <w:bCs/>
        </w:rPr>
      </w:pPr>
      <w:r w:rsidRPr="00A858B3">
        <w:rPr>
          <w:b/>
          <w:bCs/>
        </w:rPr>
        <w:t>BANDO MUNICIPAL TOLUCA 2022</w:t>
      </w:r>
    </w:p>
    <w:p w14:paraId="3F75C7B1" w14:textId="1D3D0AC4" w:rsidR="00982467" w:rsidRDefault="00A858B3" w:rsidP="00982467">
      <w:pPr>
        <w:pStyle w:val="Citas"/>
      </w:pPr>
      <w:r>
        <w:t>“</w:t>
      </w:r>
      <w:r w:rsidR="00982467">
        <w:t>Artículo 38. El Ayuntamiento promoverá la creación y funcionamiento de organizaciones sociales para que participen en el desarrollo vecinal y cívico, en beneficio de sus comunidades. Las Comisiones Edilicias, de acuerdo a su encargo, fungirán como instancia de apoyo entre las autoridades municipales, la ciudadanía y organizaciones de la sociedad civil.</w:t>
      </w:r>
    </w:p>
    <w:p w14:paraId="6049BA64" w14:textId="1D086843" w:rsidR="00982467" w:rsidRPr="00A858B3" w:rsidRDefault="00982467" w:rsidP="00982467">
      <w:pPr>
        <w:pStyle w:val="Citas"/>
        <w:rPr>
          <w:b/>
          <w:bCs/>
        </w:rPr>
      </w:pPr>
      <w:r>
        <w:t xml:space="preserve"> Artículo 39. El Ayuntamiento podrá apoyarse en instituciones públicas y privadas para la prestación del servicio social y satisfacer las necesidades públicas.</w:t>
      </w:r>
      <w:r w:rsidR="00A858B3">
        <w:t xml:space="preserve">” </w:t>
      </w:r>
      <w:r w:rsidR="00A858B3">
        <w:rPr>
          <w:b/>
          <w:bCs/>
        </w:rPr>
        <w:t>(Sic)</w:t>
      </w:r>
    </w:p>
    <w:p w14:paraId="69111C07" w14:textId="506D25CA" w:rsidR="00B22541" w:rsidRDefault="00B22541" w:rsidP="00C10621">
      <w:pPr>
        <w:spacing w:line="360" w:lineRule="auto"/>
        <w:jc w:val="both"/>
      </w:pPr>
    </w:p>
    <w:p w14:paraId="064F89C8" w14:textId="688446EC" w:rsidR="00B22541" w:rsidRPr="00991F94" w:rsidRDefault="00991F94" w:rsidP="00F74889">
      <w:pPr>
        <w:pStyle w:val="Citas"/>
        <w:jc w:val="center"/>
        <w:rPr>
          <w:b/>
          <w:bCs/>
          <w:noProof/>
        </w:rPr>
      </w:pPr>
      <w:r w:rsidRPr="00991F94">
        <w:rPr>
          <w:b/>
          <w:bCs/>
          <w:noProof/>
        </w:rPr>
        <w:t>LEY DE FISCALIZACIÓN SUPERIOR DEL ESTADO DE MÉXICO</w:t>
      </w:r>
    </w:p>
    <w:p w14:paraId="7CDF7EAE" w14:textId="35D5B571" w:rsidR="0009423F" w:rsidRDefault="00F74889" w:rsidP="00991F94">
      <w:pPr>
        <w:pStyle w:val="Citas"/>
      </w:pPr>
      <w:r>
        <w:t>“</w:t>
      </w:r>
      <w:r w:rsidR="00991F94">
        <w:t>Artículo 32.- - El Gobernador del Estado, por conducto del titular de la dependencia competente, presentará a la Legislatura la cuenta pública del Gobierno del Estado del ejercicio fiscal inmediato anterior, a más tardar el treinta de abril de cada año</w:t>
      </w:r>
    </w:p>
    <w:p w14:paraId="2C4A4D1E" w14:textId="5782DE54" w:rsidR="00991F94" w:rsidRPr="00991F94" w:rsidRDefault="00991F94" w:rsidP="00991F94">
      <w:pPr>
        <w:pStyle w:val="Citas"/>
        <w:rPr>
          <w:b/>
          <w:bCs/>
          <w:u w:val="single"/>
        </w:rPr>
      </w:pPr>
      <w:r w:rsidRPr="00991F94">
        <w:rPr>
          <w:b/>
          <w:bCs/>
          <w:u w:val="single"/>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529825F0" w14:textId="2F020C81" w:rsidR="00991F94" w:rsidRDefault="00991F94" w:rsidP="00991F94">
      <w:pPr>
        <w:pStyle w:val="Citas"/>
        <w:rPr>
          <w:b/>
          <w:bCs/>
        </w:rPr>
      </w:pPr>
      <w:r>
        <w:lastRenderedPageBreak/>
        <w:t>Las cuentas públicas deberán presentarse conforme a lo establecido en la Ley General de Contabilidad Gubernamental, Ley de Disciplina Financiera delas Entidades Federativas y los Municipios y demás disposiciones aplicables.</w:t>
      </w:r>
      <w:r w:rsidR="00F74889">
        <w:t xml:space="preserve">” </w:t>
      </w:r>
      <w:r w:rsidR="00F74889">
        <w:rPr>
          <w:b/>
          <w:bCs/>
        </w:rPr>
        <w:t>(Sic)</w:t>
      </w:r>
    </w:p>
    <w:p w14:paraId="7CA67EEF" w14:textId="1A60A15F" w:rsidR="00F74889" w:rsidRDefault="00F74889" w:rsidP="00991F94">
      <w:pPr>
        <w:pStyle w:val="Citas"/>
        <w:rPr>
          <w:b/>
          <w:bCs/>
        </w:rPr>
      </w:pPr>
    </w:p>
    <w:p w14:paraId="081B6772" w14:textId="3B968971" w:rsidR="00F74889" w:rsidRPr="00F74889" w:rsidRDefault="00F74889" w:rsidP="00F74889">
      <w:pPr>
        <w:pStyle w:val="Citas"/>
        <w:jc w:val="center"/>
        <w:rPr>
          <w:b/>
          <w:bCs/>
        </w:rPr>
      </w:pPr>
      <w:r w:rsidRPr="00F74889">
        <w:rPr>
          <w:b/>
          <w:bCs/>
          <w:noProof/>
          <w:sz w:val="24"/>
          <w:szCs w:val="24"/>
        </w:rPr>
        <w:t>MANUAL DE ORGANIZACIÓN DE LA DIRECCIÓN GENERAL DE ADMINISTRACIÓN</w:t>
      </w:r>
    </w:p>
    <w:p w14:paraId="2BC08C74" w14:textId="4296E604" w:rsidR="00001EBA" w:rsidRPr="00F74889" w:rsidRDefault="00001EBA" w:rsidP="00F74889">
      <w:pPr>
        <w:pStyle w:val="Citas"/>
        <w:rPr>
          <w:b/>
          <w:bCs/>
        </w:rPr>
      </w:pPr>
      <w:r w:rsidRPr="00F74889">
        <w:rPr>
          <w:b/>
          <w:bCs/>
        </w:rPr>
        <w:t>206010000 Dirección General de Administración</w:t>
      </w:r>
    </w:p>
    <w:p w14:paraId="32030BB5" w14:textId="64825773" w:rsidR="00001EBA" w:rsidRPr="00F74889" w:rsidRDefault="00001EBA" w:rsidP="00F74889">
      <w:pPr>
        <w:pStyle w:val="Citas"/>
        <w:rPr>
          <w:b/>
          <w:bCs/>
        </w:rPr>
      </w:pPr>
      <w:r w:rsidRPr="00F74889">
        <w:rPr>
          <w:b/>
          <w:bCs/>
        </w:rPr>
        <w:t>Objetivo:</w:t>
      </w:r>
    </w:p>
    <w:p w14:paraId="7761CB4A" w14:textId="305CCAF3" w:rsidR="00001EBA" w:rsidRDefault="00001EBA" w:rsidP="00F74889">
      <w:pPr>
        <w:pStyle w:val="Citas"/>
      </w:pPr>
      <w:r>
        <w:t>Definir, establecer, difundir y aplicar la normatividad para la administración de personal, adquisición, asignación, uso y mantenimiento de bienes, contratación y prestación de servicios, ministración y aplicación de la tecnología de la información y comunicaciones, que requieran las diferentes dependencias y órganos que integran la administración pública municipal, para la ejecución de sus funciones, buscando siempre las mejores condiciones de oportunidad, precio, calidad y financiamiento, bajo un esquema de transparencia, a fin de racionalizar los recursos humanos, materiales, técnicos y tecnológicos, así como el adecuado control del parque vehicular y de bienes muebles e inmuebles.</w:t>
      </w:r>
    </w:p>
    <w:p w14:paraId="72E2A8BC" w14:textId="7D23F524" w:rsidR="00001EBA" w:rsidRPr="00F74889" w:rsidRDefault="00001EBA" w:rsidP="00F74889">
      <w:pPr>
        <w:pStyle w:val="Citas"/>
        <w:rPr>
          <w:b/>
          <w:bCs/>
        </w:rPr>
      </w:pPr>
      <w:r w:rsidRPr="00F74889">
        <w:rPr>
          <w:b/>
          <w:bCs/>
        </w:rPr>
        <w:t>Funciones:</w:t>
      </w:r>
    </w:p>
    <w:p w14:paraId="6780544C" w14:textId="3F6B6C12" w:rsidR="00001EBA" w:rsidRPr="00F74889" w:rsidRDefault="00001EBA" w:rsidP="00F74889">
      <w:pPr>
        <w:pStyle w:val="Citas"/>
      </w:pPr>
      <w:r w:rsidRPr="00F74889">
        <w:t>(…)</w:t>
      </w:r>
    </w:p>
    <w:p w14:paraId="421E0D6C" w14:textId="171DD4E5" w:rsidR="00001EBA" w:rsidRDefault="00001EBA" w:rsidP="00F74889">
      <w:pPr>
        <w:pStyle w:val="Citas"/>
      </w:pPr>
      <w:r>
        <w:t xml:space="preserve">4. Validar la elaboración y distribución de la nómina del personal que labora en el ayuntamiento con la finalidad de que cada trabajador devengue su sueldo </w:t>
      </w:r>
      <w:r>
        <w:lastRenderedPageBreak/>
        <w:t>correspondiente, lo anterior conforme a la normatividad aplicable y el presupuesto autorizado;</w:t>
      </w:r>
    </w:p>
    <w:p w14:paraId="6E7D2450" w14:textId="7712BBC4" w:rsidR="00001EBA" w:rsidRDefault="00001EBA" w:rsidP="00F74889">
      <w:pPr>
        <w:pStyle w:val="Citas"/>
      </w:pPr>
      <w:r>
        <w:t>(…)</w:t>
      </w:r>
    </w:p>
    <w:p w14:paraId="1E166CB4" w14:textId="09C20346" w:rsidR="002C11A1" w:rsidRPr="00F74889" w:rsidRDefault="002C11A1" w:rsidP="00F74889">
      <w:pPr>
        <w:pStyle w:val="Citas"/>
        <w:rPr>
          <w:b/>
          <w:bCs/>
        </w:rPr>
      </w:pPr>
      <w:r w:rsidRPr="00F74889">
        <w:rPr>
          <w:b/>
          <w:bCs/>
        </w:rPr>
        <w:t>206010002 Delegación Administrativa</w:t>
      </w:r>
    </w:p>
    <w:p w14:paraId="73044E1F" w14:textId="7168C24C" w:rsidR="002C11A1" w:rsidRPr="00F74889" w:rsidRDefault="002C11A1" w:rsidP="00F74889">
      <w:pPr>
        <w:pStyle w:val="Citas"/>
        <w:rPr>
          <w:b/>
          <w:bCs/>
        </w:rPr>
      </w:pPr>
      <w:r w:rsidRPr="00F74889">
        <w:rPr>
          <w:b/>
          <w:bCs/>
        </w:rPr>
        <w:t>Objetivo:</w:t>
      </w:r>
    </w:p>
    <w:p w14:paraId="5AF2D9C4" w14:textId="7E2C6DAB" w:rsidR="002C11A1" w:rsidRDefault="002C11A1" w:rsidP="00F74889">
      <w:pPr>
        <w:pStyle w:val="Citas"/>
      </w:pPr>
      <w:r>
        <w:t>Planear, organizar, coordinar y controlar las acciones en cuanto a recursos humanos, materiales, financieros y de tecnología, así como de servicios generales necesarios para el eficiente y eficaz funcionamiento de las unidades administrativas de la Dirección General de Administración.</w:t>
      </w:r>
    </w:p>
    <w:p w14:paraId="0978240C" w14:textId="24A22A06" w:rsidR="002C11A1" w:rsidRDefault="002C11A1" w:rsidP="00F74889">
      <w:pPr>
        <w:pStyle w:val="Citas"/>
        <w:rPr>
          <w:b/>
          <w:bCs/>
        </w:rPr>
      </w:pPr>
      <w:r>
        <w:rPr>
          <w:b/>
          <w:bCs/>
        </w:rPr>
        <w:t>Funciones:</w:t>
      </w:r>
    </w:p>
    <w:p w14:paraId="7C32F235" w14:textId="49139A62" w:rsidR="002C11A1" w:rsidRPr="00F74889" w:rsidRDefault="002C11A1" w:rsidP="00F74889">
      <w:pPr>
        <w:pStyle w:val="Citas"/>
      </w:pPr>
      <w:r w:rsidRPr="00F74889">
        <w:t>(…)</w:t>
      </w:r>
    </w:p>
    <w:p w14:paraId="10166DBC" w14:textId="03E623F5" w:rsidR="002C11A1" w:rsidRDefault="002C11A1" w:rsidP="00F74889">
      <w:pPr>
        <w:pStyle w:val="Citas"/>
      </w:pPr>
      <w:r>
        <w:t>6. Recibir y validar las facturas de los proveedores de bienes y servicios para garantizar que cumplan con todos los requisitos fiscales establecidos en la normatividad aplicable y verificar que se reciban de conformidad los bienes, insumos y servicios solicitados por las unidades administrativas de la Dirección General de Administración;</w:t>
      </w:r>
    </w:p>
    <w:p w14:paraId="2EFE2D18" w14:textId="4352C74A" w:rsidR="00F74889" w:rsidRPr="00F74889" w:rsidRDefault="00F74889" w:rsidP="00F74889">
      <w:pPr>
        <w:pStyle w:val="Citas"/>
      </w:pPr>
      <w:r w:rsidRPr="00F74889">
        <w:t>(…)</w:t>
      </w:r>
    </w:p>
    <w:p w14:paraId="4BCB8085" w14:textId="6BC2ABDB" w:rsidR="00001EBA" w:rsidRPr="00F74889" w:rsidRDefault="00001EBA" w:rsidP="00F74889">
      <w:pPr>
        <w:pStyle w:val="Citas"/>
        <w:rPr>
          <w:b/>
          <w:bCs/>
        </w:rPr>
      </w:pPr>
      <w:r w:rsidRPr="00F74889">
        <w:rPr>
          <w:b/>
          <w:bCs/>
        </w:rPr>
        <w:t>206012000 Dirección de Recursos Humanos</w:t>
      </w:r>
    </w:p>
    <w:p w14:paraId="2647DAE2" w14:textId="1FC06A80" w:rsidR="00001EBA" w:rsidRPr="00F74889" w:rsidRDefault="00001EBA" w:rsidP="00F74889">
      <w:pPr>
        <w:pStyle w:val="Citas"/>
        <w:rPr>
          <w:b/>
          <w:bCs/>
        </w:rPr>
      </w:pPr>
      <w:r w:rsidRPr="00F74889">
        <w:rPr>
          <w:b/>
          <w:bCs/>
        </w:rPr>
        <w:t>Objetivo:</w:t>
      </w:r>
    </w:p>
    <w:p w14:paraId="33C280E6" w14:textId="57328503" w:rsidR="00001EBA" w:rsidRDefault="00001EBA" w:rsidP="00F74889">
      <w:pPr>
        <w:pStyle w:val="Citas"/>
      </w:pPr>
      <w:r>
        <w:lastRenderedPageBreak/>
        <w:t>Planear, implementar, organizar, dirigir y controlar, conforme a las normas aplicables, los sistemas, procesos, procedimientos y mecanismos para la administración y desarrollo de los recursos humanos; regular las condiciones de trabajo que debe cumplir el Ayuntamiento respecto a las obligaciones en materia laboral, fiscal y de seguridad social que se generan en una relación laboral, así como realizar el pago de sueldos y salarios del personal que permita el adecuado funcionamiento de las dependencias de la administración pública municipal de Toluca.</w:t>
      </w:r>
    </w:p>
    <w:p w14:paraId="4825A8CB" w14:textId="13141993" w:rsidR="00001EBA" w:rsidRDefault="00001EBA" w:rsidP="00F74889">
      <w:pPr>
        <w:pStyle w:val="Citas"/>
      </w:pPr>
      <w:r>
        <w:t>(…)</w:t>
      </w:r>
      <w:r w:rsidR="00363E02">
        <w:t xml:space="preserve"> </w:t>
      </w:r>
    </w:p>
    <w:p w14:paraId="4AC6E319" w14:textId="6B9F6129" w:rsidR="00001EBA" w:rsidRPr="00F74889" w:rsidRDefault="00001EBA" w:rsidP="00F74889">
      <w:pPr>
        <w:pStyle w:val="Citas"/>
        <w:rPr>
          <w:b/>
          <w:bCs/>
        </w:rPr>
      </w:pPr>
      <w:r w:rsidRPr="00F74889">
        <w:rPr>
          <w:b/>
          <w:bCs/>
        </w:rPr>
        <w:t>Funciones:</w:t>
      </w:r>
    </w:p>
    <w:p w14:paraId="5C5F5EA6" w14:textId="2497865D" w:rsidR="00001EBA" w:rsidRDefault="00363E02" w:rsidP="00F74889">
      <w:pPr>
        <w:pStyle w:val="Citas"/>
      </w:pPr>
      <w:r>
        <w:t>(…)</w:t>
      </w:r>
    </w:p>
    <w:p w14:paraId="640A571A" w14:textId="3DE813EF" w:rsidR="00363E02" w:rsidRDefault="00363E02" w:rsidP="00F74889">
      <w:pPr>
        <w:pStyle w:val="Citas"/>
      </w:pPr>
      <w:r>
        <w:t>10. Analizar, supervisar y controlar que los movimientos de personal se realicen de conformidad con el tabulador de sueldos y salarios autorizado y con lo establecido en la Ley del Trabajo de los Servidores Públicos del Estado y Municipios, Ley General de Responsabilidades Administrativas del Estado de México y Municipios, Ley del Impuesto Sobre la Renta, Ley Federal del Trabajo y normatividad aplicable en materia de remuneraciones a servidores públicos para la adecuada aplicación del presupuesto asignado para tal efecto;</w:t>
      </w:r>
    </w:p>
    <w:p w14:paraId="0B519D48" w14:textId="5997F300" w:rsidR="00363E02" w:rsidRDefault="00363E02" w:rsidP="00F74889">
      <w:pPr>
        <w:pStyle w:val="Citas"/>
      </w:pPr>
      <w:r>
        <w:t>(…)</w:t>
      </w:r>
    </w:p>
    <w:p w14:paraId="054167C0" w14:textId="77777777" w:rsidR="00363E02" w:rsidRDefault="00363E02" w:rsidP="00F74889">
      <w:pPr>
        <w:pStyle w:val="Citas"/>
      </w:pPr>
      <w:r>
        <w:t xml:space="preserve">12. Supervisar que las remuneraciones asignadas al personal del Ayuntamiento se entreguen oportunamente, acorde a su modalidad de pago y régimen de contratación, apegándose a la normatividad aplicable y al presupuesto autorizado; </w:t>
      </w:r>
    </w:p>
    <w:p w14:paraId="62BDDF89" w14:textId="77777777" w:rsidR="00363E02" w:rsidRDefault="00363E02" w:rsidP="00F74889">
      <w:pPr>
        <w:pStyle w:val="Citas"/>
      </w:pPr>
      <w:r>
        <w:lastRenderedPageBreak/>
        <w:t xml:space="preserve">13. Validar la información procesada en la base de datos de nómina, correspondiente a cada pago calendarizado de forma quincenal y extraordinario, para el debido control del presupuesto asignado; </w:t>
      </w:r>
    </w:p>
    <w:p w14:paraId="35523286" w14:textId="4193DE23" w:rsidR="00363E02" w:rsidRDefault="00363E02" w:rsidP="00F74889">
      <w:pPr>
        <w:pStyle w:val="Citas"/>
      </w:pPr>
      <w:r>
        <w:t>14. Supervisar que se lleve a cabo la conciliación quincenal de la nómina con el Departamento de Control de Pagos de Servicios Personales de la Tesorería Municipal;</w:t>
      </w:r>
    </w:p>
    <w:p w14:paraId="60BDCC91" w14:textId="145C0A13" w:rsidR="00F74889" w:rsidRPr="00F74889" w:rsidRDefault="00F74889" w:rsidP="00F74889">
      <w:pPr>
        <w:pStyle w:val="Citas"/>
        <w:rPr>
          <w:b/>
          <w:bCs/>
        </w:rPr>
      </w:pPr>
      <w:r>
        <w:t xml:space="preserve">(…)” </w:t>
      </w:r>
      <w:r>
        <w:rPr>
          <w:b/>
          <w:bCs/>
        </w:rPr>
        <w:t>(Sic)</w:t>
      </w:r>
    </w:p>
    <w:p w14:paraId="639A1679" w14:textId="295CFBAC" w:rsidR="00001EBA" w:rsidRDefault="00001EBA" w:rsidP="00C10621">
      <w:pPr>
        <w:spacing w:line="360" w:lineRule="auto"/>
        <w:jc w:val="both"/>
      </w:pPr>
    </w:p>
    <w:p w14:paraId="0A1DEB11" w14:textId="7D331B33" w:rsidR="00213FE0" w:rsidRDefault="00213FE0" w:rsidP="00C10621">
      <w:pPr>
        <w:spacing w:line="360" w:lineRule="auto"/>
        <w:jc w:val="both"/>
        <w:rPr>
          <w:rFonts w:ascii="Palatino Linotype" w:hAnsi="Palatino Linotype" w:cs="Arial"/>
          <w:sz w:val="24"/>
          <w:szCs w:val="24"/>
        </w:rPr>
      </w:pPr>
      <w:r w:rsidRPr="00213FE0">
        <w:rPr>
          <w:rFonts w:ascii="Palatino Linotype" w:hAnsi="Palatino Linotype" w:cs="Arial"/>
          <w:sz w:val="24"/>
          <w:szCs w:val="24"/>
        </w:rPr>
        <w:t xml:space="preserve">Del análisis sistemático y armónico de la normatividad previamente plasmada se desprende que la </w:t>
      </w:r>
      <w:r>
        <w:rPr>
          <w:rFonts w:ascii="Palatino Linotype" w:hAnsi="Palatino Linotype" w:cs="Arial"/>
          <w:sz w:val="24"/>
          <w:szCs w:val="24"/>
        </w:rPr>
        <w:t xml:space="preserve">Tesorería Municipal da cuenta de los ingresos y egresos, </w:t>
      </w:r>
      <w:r w:rsidR="009B36EA">
        <w:rPr>
          <w:rFonts w:ascii="Palatino Linotype" w:hAnsi="Palatino Linotype" w:cs="Arial"/>
          <w:sz w:val="24"/>
          <w:szCs w:val="24"/>
        </w:rPr>
        <w:t>administra</w:t>
      </w:r>
      <w:r>
        <w:rPr>
          <w:rFonts w:ascii="Palatino Linotype" w:hAnsi="Palatino Linotype" w:cs="Arial"/>
          <w:sz w:val="24"/>
          <w:szCs w:val="24"/>
        </w:rPr>
        <w:t xml:space="preserve"> la hacienda pública municipal e incluso </w:t>
      </w:r>
      <w:r w:rsidR="009B36EA">
        <w:rPr>
          <w:rFonts w:ascii="Palatino Linotype" w:hAnsi="Palatino Linotype" w:cs="Arial"/>
          <w:sz w:val="24"/>
          <w:szCs w:val="24"/>
        </w:rPr>
        <w:t>responde pliegos de</w:t>
      </w:r>
      <w:r>
        <w:rPr>
          <w:rFonts w:ascii="Palatino Linotype" w:hAnsi="Palatino Linotype" w:cs="Arial"/>
          <w:sz w:val="24"/>
          <w:szCs w:val="24"/>
        </w:rPr>
        <w:t xml:space="preserve"> observaciones </w:t>
      </w:r>
      <w:r w:rsidR="009B36EA">
        <w:rPr>
          <w:rFonts w:ascii="Palatino Linotype" w:hAnsi="Palatino Linotype" w:cs="Arial"/>
          <w:sz w:val="24"/>
          <w:szCs w:val="24"/>
        </w:rPr>
        <w:t>derivado de los</w:t>
      </w:r>
      <w:r>
        <w:rPr>
          <w:rFonts w:ascii="Palatino Linotype" w:hAnsi="Palatino Linotype" w:cs="Arial"/>
          <w:sz w:val="24"/>
          <w:szCs w:val="24"/>
        </w:rPr>
        <w:t xml:space="preserve"> informes remitidos al Órgano Superior de Fiscalización del Estado de México. </w:t>
      </w:r>
    </w:p>
    <w:p w14:paraId="6F2FB58C" w14:textId="710042BF" w:rsidR="00001EBA" w:rsidRDefault="00213FE0" w:rsidP="00C10621">
      <w:pPr>
        <w:spacing w:line="360" w:lineRule="auto"/>
        <w:jc w:val="both"/>
        <w:rPr>
          <w:rFonts w:ascii="Palatino Linotype" w:hAnsi="Palatino Linotype" w:cs="Arial"/>
          <w:sz w:val="24"/>
          <w:szCs w:val="24"/>
        </w:rPr>
      </w:pPr>
      <w:r>
        <w:rPr>
          <w:rFonts w:ascii="Palatino Linotype" w:hAnsi="Palatino Linotype" w:cs="Arial"/>
          <w:sz w:val="24"/>
          <w:szCs w:val="24"/>
        </w:rPr>
        <w:t xml:space="preserve"> Por su parte, la Dirección de Administración regula diversas aristas de los recursos humanos, englobando la relativa al pago de remuneraciones. Asimismo, a través de su Departamento de Recursos Materiales genera, posee y administra diversos soportes documentales vinculados con proveedores, incluyendo lo relativo a las facturas de pago. </w:t>
      </w:r>
    </w:p>
    <w:p w14:paraId="320D9731" w14:textId="71C52D5D" w:rsidR="009B36EA" w:rsidRPr="009B36EA" w:rsidRDefault="009B36EA" w:rsidP="00C10621">
      <w:pPr>
        <w:spacing w:line="360" w:lineRule="auto"/>
        <w:jc w:val="both"/>
        <w:rPr>
          <w:sz w:val="24"/>
          <w:szCs w:val="24"/>
        </w:rPr>
      </w:pPr>
      <w:r>
        <w:rPr>
          <w:rFonts w:ascii="Palatino Linotype" w:hAnsi="Palatino Linotype" w:cs="Arial"/>
          <w:sz w:val="24"/>
          <w:szCs w:val="24"/>
        </w:rPr>
        <w:t xml:space="preserve">Finalmente, se destaca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promueve la creación y funcionamiento de organizaciones sociales, destacando por su importancia y trascendencia las Comisiones edilicias como instancia de apoyo entre las autoridades municipales, la ciudadanía y organizaciones de la sociedad civil. </w:t>
      </w:r>
    </w:p>
    <w:p w14:paraId="0DBD51CF" w14:textId="25CA354A" w:rsidR="00001EBA" w:rsidRPr="009B36EA" w:rsidRDefault="009B36EA" w:rsidP="00C10621">
      <w:pPr>
        <w:spacing w:line="360" w:lineRule="auto"/>
        <w:jc w:val="both"/>
        <w:rPr>
          <w:rFonts w:ascii="Palatino Linotype" w:hAnsi="Palatino Linotype"/>
          <w:b/>
          <w:bCs/>
          <w:sz w:val="24"/>
          <w:szCs w:val="24"/>
        </w:rPr>
      </w:pPr>
      <w:r>
        <w:rPr>
          <w:rFonts w:ascii="Palatino Linotype" w:hAnsi="Palatino Linotype"/>
          <w:sz w:val="24"/>
          <w:szCs w:val="24"/>
        </w:rPr>
        <w:lastRenderedPageBreak/>
        <w:t xml:space="preserve">Hasta aquí lo expuesto, se arriba a la premisa de que la información requerida es susceptible de ser generada, poseída y administrada por </w:t>
      </w:r>
      <w:r>
        <w:rPr>
          <w:rFonts w:ascii="Palatino Linotype" w:hAnsi="Palatino Linotype"/>
          <w:b/>
          <w:bCs/>
          <w:sz w:val="24"/>
          <w:szCs w:val="24"/>
        </w:rPr>
        <w:t xml:space="preserve">El Sujeto Obligado. </w:t>
      </w:r>
    </w:p>
    <w:p w14:paraId="7F8D8151" w14:textId="2FB0A735" w:rsidR="009B36EA" w:rsidRDefault="00AF2D1C" w:rsidP="00AF2D1C">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Una vez sentado lo anterior, como se mencionó en el antecedente segundo, </w:t>
      </w:r>
      <w:r>
        <w:rPr>
          <w:rFonts w:ascii="Palatino Linotype" w:eastAsia="MS Mincho" w:hAnsi="Palatino Linotype" w:cs="Times New Roman"/>
          <w:b/>
          <w:sz w:val="24"/>
          <w:szCs w:val="24"/>
        </w:rPr>
        <w:t xml:space="preserve">El Sujeto Obligado, </w:t>
      </w:r>
      <w:r>
        <w:rPr>
          <w:rFonts w:ascii="Palatino Linotype" w:eastAsia="MS Mincho" w:hAnsi="Palatino Linotype" w:cs="Times New Roman"/>
          <w:sz w:val="24"/>
          <w:szCs w:val="24"/>
        </w:rPr>
        <w:t xml:space="preserve">en fecha </w:t>
      </w:r>
      <w:r w:rsidR="00A045F6">
        <w:rPr>
          <w:rFonts w:ascii="Palatino Linotype" w:eastAsia="MS Mincho" w:hAnsi="Palatino Linotype" w:cs="Times New Roman"/>
          <w:sz w:val="24"/>
          <w:szCs w:val="24"/>
        </w:rPr>
        <w:t xml:space="preserve">dos de mayo de dos mil veintidós, rindió su respuesta a la solicitud de información formulada por el particular, adjuntando para tal efecto lo siguiente: </w:t>
      </w:r>
    </w:p>
    <w:p w14:paraId="270B668B" w14:textId="01B7170C" w:rsidR="00A045F6" w:rsidRDefault="00A045F6" w:rsidP="00A045F6">
      <w:pPr>
        <w:pStyle w:val="Prrafodelista"/>
        <w:numPr>
          <w:ilvl w:val="0"/>
          <w:numId w:val="13"/>
        </w:numPr>
        <w:spacing w:line="360" w:lineRule="auto"/>
        <w:contextualSpacing/>
        <w:jc w:val="both"/>
        <w:rPr>
          <w:rFonts w:ascii="Palatino Linotype" w:eastAsia="MS Mincho" w:hAnsi="Palatino Linotype"/>
          <w:b/>
          <w:bCs/>
        </w:rPr>
      </w:pPr>
      <w:r>
        <w:rPr>
          <w:rFonts w:ascii="Palatino Linotype" w:eastAsia="MS Mincho" w:hAnsi="Palatino Linotype"/>
          <w:b/>
          <w:bCs/>
        </w:rPr>
        <w:t xml:space="preserve">“908.pdf”: </w:t>
      </w:r>
      <w:r>
        <w:rPr>
          <w:rFonts w:ascii="Palatino Linotype" w:eastAsia="MS Mincho" w:hAnsi="Palatino Linotype"/>
        </w:rPr>
        <w:t>Oficio sin número signado por la Titular de la Unidad de Transparencia y dirigido al particular, de fecha dos de mayo de dos mil veintidós, en lo medular refiere adjuntar respuestas de los servidores públicos habilitados adscritos a la Secretaría del Ayuntamiento y Tesorería Municipal.</w:t>
      </w:r>
    </w:p>
    <w:p w14:paraId="15763AD6" w14:textId="3E3E79BB" w:rsidR="00A045F6" w:rsidRPr="00A045F6" w:rsidRDefault="00A045F6" w:rsidP="00A045F6">
      <w:pPr>
        <w:pStyle w:val="Prrafodelista"/>
        <w:numPr>
          <w:ilvl w:val="0"/>
          <w:numId w:val="13"/>
        </w:numPr>
        <w:spacing w:line="360" w:lineRule="auto"/>
        <w:contextualSpacing/>
        <w:jc w:val="both"/>
        <w:rPr>
          <w:rFonts w:ascii="Palatino Linotype" w:eastAsia="MS Mincho" w:hAnsi="Palatino Linotype"/>
          <w:b/>
          <w:bCs/>
        </w:rPr>
      </w:pPr>
      <w:r>
        <w:rPr>
          <w:rFonts w:ascii="Palatino Linotype" w:eastAsia="MS Mincho" w:hAnsi="Palatino Linotype"/>
          <w:b/>
          <w:bCs/>
        </w:rPr>
        <w:t xml:space="preserve">“COMISIONES EDILICIAS.rar”: </w:t>
      </w:r>
      <w:r>
        <w:rPr>
          <w:rFonts w:ascii="Palatino Linotype" w:eastAsia="MS Mincho" w:hAnsi="Palatino Linotype"/>
        </w:rPr>
        <w:t>Compila lo siguiente:</w:t>
      </w:r>
    </w:p>
    <w:p w14:paraId="7DD0CABB" w14:textId="022F1111" w:rsidR="00A045F6" w:rsidRDefault="00B91B5D"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Pr="00B91B5D">
        <w:rPr>
          <w:rFonts w:ascii="Palatino Linotype" w:eastAsia="MS Mincho" w:hAnsi="Palatino Linotype"/>
          <w:b/>
          <w:bCs/>
        </w:rPr>
        <w:t>ACTA DE INSTALACIÓN - COMIISIÓN DE PREVENCIÓN Y ATENCIÓN DE CONFLICTOS LABORALES</w:t>
      </w:r>
      <w:r>
        <w:rPr>
          <w:rFonts w:ascii="Palatino Linotype" w:eastAsia="MS Mincho" w:hAnsi="Palatino Linotype"/>
          <w:b/>
          <w:bCs/>
        </w:rPr>
        <w:t xml:space="preserve">”: </w:t>
      </w:r>
      <w:r w:rsidR="00BF7FAB">
        <w:rPr>
          <w:rFonts w:ascii="Palatino Linotype" w:eastAsia="MS Mincho" w:hAnsi="Palatino Linotype"/>
        </w:rPr>
        <w:t xml:space="preserve">Acta de Instalación de la Comisión de Prevención y Atención de Conflictos Laborales celebrada el veintiuno de enero de dos mil veintidós. </w:t>
      </w:r>
    </w:p>
    <w:p w14:paraId="7FA6F98B" w14:textId="10FC5BAB" w:rsidR="00B91B5D" w:rsidRDefault="00BF7FAB"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ASUNTOS INDÍGENAS</w:t>
      </w:r>
      <w:r>
        <w:rPr>
          <w:rFonts w:ascii="Palatino Linotype" w:eastAsia="MS Mincho" w:hAnsi="Palatino Linotype"/>
          <w:b/>
          <w:bCs/>
        </w:rPr>
        <w:t xml:space="preserve">”: </w:t>
      </w:r>
      <w:r>
        <w:rPr>
          <w:rFonts w:ascii="Palatino Linotype" w:eastAsia="MS Mincho" w:hAnsi="Palatino Linotype"/>
        </w:rPr>
        <w:t xml:space="preserve">Acta de la Sesión de Instalación de la Comisión de Asuntos Indígenas celebrada el </w:t>
      </w:r>
      <w:r w:rsidR="007516CE">
        <w:rPr>
          <w:rFonts w:ascii="Palatino Linotype" w:eastAsia="MS Mincho" w:hAnsi="Palatino Linotype"/>
        </w:rPr>
        <w:t xml:space="preserve">veintiséis de enero de dos mil veintidós. </w:t>
      </w:r>
    </w:p>
    <w:p w14:paraId="3EA58DBB" w14:textId="79F816B6" w:rsidR="00B91B5D" w:rsidRDefault="007516CE"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DESARROLLO ECONÓMICO</w:t>
      </w:r>
      <w:r>
        <w:rPr>
          <w:rFonts w:ascii="Palatino Linotype" w:eastAsia="MS Mincho" w:hAnsi="Palatino Linotype"/>
          <w:b/>
          <w:bCs/>
        </w:rPr>
        <w:t xml:space="preserve">”: </w:t>
      </w:r>
      <w:r>
        <w:rPr>
          <w:rFonts w:ascii="Palatino Linotype" w:eastAsia="MS Mincho" w:hAnsi="Palatino Linotype"/>
        </w:rPr>
        <w:t xml:space="preserve">Acta de la Sesión de Instalación de la Comisión de Desarrollo Económico (Mercados, tianguis, central de abasto, rastro). </w:t>
      </w:r>
    </w:p>
    <w:p w14:paraId="5F57E637" w14:textId="793C9590" w:rsidR="00B91B5D" w:rsidRDefault="007516CE"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DESARROLLO SOCIAL</w:t>
      </w:r>
      <w:r>
        <w:rPr>
          <w:rFonts w:ascii="Palatino Linotype" w:eastAsia="MS Mincho" w:hAnsi="Palatino Linotype"/>
          <w:b/>
          <w:bCs/>
        </w:rPr>
        <w:t xml:space="preserve">”: </w:t>
      </w:r>
      <w:r>
        <w:rPr>
          <w:rFonts w:ascii="Palatino Linotype" w:eastAsia="MS Mincho" w:hAnsi="Palatino Linotype"/>
        </w:rPr>
        <w:t xml:space="preserve">Acta de Sesión de Instalación de la Comisión de Desarrollo Social celebrada el veinticinco de enero de dos mil veintidós. </w:t>
      </w:r>
    </w:p>
    <w:p w14:paraId="2D577F35" w14:textId="5FC02E13" w:rsidR="00B91B5D" w:rsidRDefault="007516CE"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lastRenderedPageBreak/>
        <w:t>“</w:t>
      </w:r>
      <w:r w:rsidR="00B91B5D" w:rsidRPr="00B91B5D">
        <w:rPr>
          <w:rFonts w:ascii="Palatino Linotype" w:eastAsia="MS Mincho" w:hAnsi="Palatino Linotype"/>
          <w:b/>
          <w:bCs/>
        </w:rPr>
        <w:t>ACTA DE INSTALACIÓN - COMISIÓN DE INFRAESTRUCTURA E INVERSIÓN PÚBLICA</w:t>
      </w:r>
      <w:r>
        <w:rPr>
          <w:rFonts w:ascii="Palatino Linotype" w:eastAsia="MS Mincho" w:hAnsi="Palatino Linotype"/>
          <w:b/>
          <w:bCs/>
        </w:rPr>
        <w:t xml:space="preserve">”: </w:t>
      </w:r>
      <w:r w:rsidR="00A24150">
        <w:rPr>
          <w:rFonts w:ascii="Palatino Linotype" w:eastAsia="MS Mincho" w:hAnsi="Palatino Linotype"/>
        </w:rPr>
        <w:t xml:space="preserve">Acta de Instalación de la Comisión de Infraestructura e Inversión Pública, de fecha veinticuatro de enero de dos mil veintidós. </w:t>
      </w:r>
    </w:p>
    <w:p w14:paraId="665B8CAC" w14:textId="118ACF69" w:rsidR="00B91B5D" w:rsidRDefault="003315EC"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MEDIO AMBIENTE</w:t>
      </w:r>
      <w:r>
        <w:rPr>
          <w:rFonts w:ascii="Palatino Linotype" w:eastAsia="MS Mincho" w:hAnsi="Palatino Linotype"/>
          <w:b/>
          <w:bCs/>
        </w:rPr>
        <w:t xml:space="preserve">”: </w:t>
      </w:r>
      <w:r>
        <w:rPr>
          <w:rFonts w:ascii="Palatino Linotype" w:eastAsia="MS Mincho" w:hAnsi="Palatino Linotype"/>
        </w:rPr>
        <w:t xml:space="preserve">Acta de Instalación de la Comisión de Medio Ambiente, de fecha veinticuatro de enero de dos mil veintidós. </w:t>
      </w:r>
    </w:p>
    <w:p w14:paraId="431ADAB7" w14:textId="7682CABC" w:rsidR="00B91B5D" w:rsidRDefault="003315EC"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MOVILIDAD</w:t>
      </w:r>
      <w:r>
        <w:rPr>
          <w:rFonts w:ascii="Palatino Linotype" w:eastAsia="MS Mincho" w:hAnsi="Palatino Linotype"/>
          <w:b/>
          <w:bCs/>
        </w:rPr>
        <w:t xml:space="preserve">”: </w:t>
      </w:r>
      <w:r>
        <w:rPr>
          <w:rFonts w:ascii="Palatino Linotype" w:eastAsia="MS Mincho" w:hAnsi="Palatino Linotype"/>
        </w:rPr>
        <w:t xml:space="preserve">Acta de instalación de la Comisión de Movilidad, de fecha veinticuatro de enero de dos mil veintidós. </w:t>
      </w:r>
    </w:p>
    <w:p w14:paraId="2C3A5203" w14:textId="71B94A22" w:rsidR="00B91B5D" w:rsidRDefault="003F3325"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PROTECCIÓN E INCLUSIÓN A PERSONAS CON DISCAPACIDAD</w:t>
      </w:r>
      <w:r>
        <w:rPr>
          <w:rFonts w:ascii="Palatino Linotype" w:eastAsia="MS Mincho" w:hAnsi="Palatino Linotype"/>
          <w:b/>
          <w:bCs/>
        </w:rPr>
        <w:t xml:space="preserve">”: </w:t>
      </w:r>
      <w:r>
        <w:rPr>
          <w:rFonts w:ascii="Palatino Linotype" w:eastAsia="MS Mincho" w:hAnsi="Palatino Linotype"/>
        </w:rPr>
        <w:t xml:space="preserve">Acta de instalación de la Comisión de Protección e Inclusión a Personas con Discapacidad, de fecha treinta y uno de enero de dos mil veintidós. </w:t>
      </w:r>
    </w:p>
    <w:p w14:paraId="37522EC7" w14:textId="616AC527" w:rsidR="00B91B5D" w:rsidRDefault="003F3325"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REGLAMENTACIÓN MUNICIPAL</w:t>
      </w:r>
      <w:r>
        <w:rPr>
          <w:rFonts w:ascii="Palatino Linotype" w:eastAsia="MS Mincho" w:hAnsi="Palatino Linotype"/>
          <w:b/>
          <w:bCs/>
        </w:rPr>
        <w:t xml:space="preserve">”: </w:t>
      </w:r>
      <w:r w:rsidR="00BA4679">
        <w:rPr>
          <w:rFonts w:ascii="Palatino Linotype" w:eastAsia="MS Mincho" w:hAnsi="Palatino Linotype"/>
        </w:rPr>
        <w:t xml:space="preserve">Acta de instalación de la Comisión de Reglamentación Municipal, de fecha veintiuno de enero de dos mil veintidós. </w:t>
      </w:r>
    </w:p>
    <w:p w14:paraId="50124394" w14:textId="6C1DC742" w:rsidR="00B91B5D" w:rsidRDefault="00772659"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COMISIÓN DE SALUD PÚBLICA Y POBLACIÓN</w:t>
      </w:r>
      <w:r>
        <w:rPr>
          <w:rFonts w:ascii="Palatino Linotype" w:eastAsia="MS Mincho" w:hAnsi="Palatino Linotype"/>
          <w:b/>
          <w:bCs/>
        </w:rPr>
        <w:t xml:space="preserve">”: </w:t>
      </w:r>
      <w:r>
        <w:rPr>
          <w:rFonts w:ascii="Palatino Linotype" w:eastAsia="MS Mincho" w:hAnsi="Palatino Linotype"/>
        </w:rPr>
        <w:t xml:space="preserve">Acta de Instalación de la Comisión de Salud Pública y Población, de fecha veintiuno de enero de dos mil veintidós. </w:t>
      </w:r>
    </w:p>
    <w:p w14:paraId="5DD046B4" w14:textId="314F12EC" w:rsidR="00B91B5D" w:rsidRDefault="00772659"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COMISIÓN DE SERVICIOS PÚBLICOS</w:t>
      </w:r>
      <w:r>
        <w:rPr>
          <w:rFonts w:ascii="Palatino Linotype" w:eastAsia="MS Mincho" w:hAnsi="Palatino Linotype"/>
          <w:b/>
          <w:bCs/>
        </w:rPr>
        <w:t xml:space="preserve">”: </w:t>
      </w:r>
      <w:r>
        <w:rPr>
          <w:rFonts w:ascii="Palatino Linotype" w:eastAsia="MS Mincho" w:hAnsi="Palatino Linotype"/>
        </w:rPr>
        <w:t xml:space="preserve">Acta de Instalación de la Comisión de Servicios Públicos, de fecha </w:t>
      </w:r>
      <w:r w:rsidR="003A0420">
        <w:rPr>
          <w:rFonts w:ascii="Palatino Linotype" w:eastAsia="MS Mincho" w:hAnsi="Palatino Linotype"/>
        </w:rPr>
        <w:t xml:space="preserve">veintiséis de enero de dos mil veintidós. </w:t>
      </w:r>
    </w:p>
    <w:p w14:paraId="16890811" w14:textId="03C8DCCB" w:rsidR="00B91B5D" w:rsidRDefault="001B0C56"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lastRenderedPageBreak/>
        <w:t>“</w:t>
      </w:r>
      <w:r w:rsidR="00B91B5D" w:rsidRPr="00B91B5D">
        <w:rPr>
          <w:rFonts w:ascii="Palatino Linotype" w:eastAsia="MS Mincho" w:hAnsi="Palatino Linotype"/>
          <w:b/>
          <w:bCs/>
        </w:rPr>
        <w:t>ACTA DE INSTALACIÓN - COMISIÓN DE TURISMO</w:t>
      </w:r>
      <w:r>
        <w:rPr>
          <w:rFonts w:ascii="Palatino Linotype" w:eastAsia="MS Mincho" w:hAnsi="Palatino Linotype"/>
          <w:b/>
          <w:bCs/>
        </w:rPr>
        <w:t xml:space="preserve">”: </w:t>
      </w:r>
      <w:r>
        <w:rPr>
          <w:rFonts w:ascii="Palatino Linotype" w:eastAsia="MS Mincho" w:hAnsi="Palatino Linotype"/>
        </w:rPr>
        <w:t xml:space="preserve">Acta de Instalación de la Comisión de Turismo, de fecha veinticuatro de enero de dos mil veintidós. </w:t>
      </w:r>
    </w:p>
    <w:p w14:paraId="6798EC3D" w14:textId="35DEB3D7" w:rsidR="00B91B5D" w:rsidRDefault="001B0C56"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COMISÓN DE PREVENCIÓN SOCIAL DE LA VIOLENCIA Y DELINCUENCIA</w:t>
      </w:r>
      <w:r>
        <w:rPr>
          <w:rFonts w:ascii="Palatino Linotype" w:eastAsia="MS Mincho" w:hAnsi="Palatino Linotype"/>
          <w:b/>
          <w:bCs/>
        </w:rPr>
        <w:t xml:space="preserve">”: </w:t>
      </w:r>
      <w:r>
        <w:rPr>
          <w:rFonts w:ascii="Palatino Linotype" w:eastAsia="MS Mincho" w:hAnsi="Palatino Linotype"/>
        </w:rPr>
        <w:t xml:space="preserve">Acta de la Sesión de Instalación de la Comisión de Prevención Social de la Violencia y Delincuencia, de fecha veintiuno de enero de dos mil veintidós. </w:t>
      </w:r>
    </w:p>
    <w:p w14:paraId="55B9C33F" w14:textId="44269929" w:rsidR="00B91B5D" w:rsidRDefault="001B0C56"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 - COMSIÓN DE DESARROLLO AGROPECUARIO Y FORESTAL</w:t>
      </w:r>
      <w:r>
        <w:rPr>
          <w:rFonts w:ascii="Palatino Linotype" w:eastAsia="MS Mincho" w:hAnsi="Palatino Linotype"/>
          <w:b/>
          <w:bCs/>
        </w:rPr>
        <w:t xml:space="preserve">”: </w:t>
      </w:r>
      <w:r>
        <w:rPr>
          <w:rFonts w:ascii="Palatino Linotype" w:eastAsia="MS Mincho" w:hAnsi="Palatino Linotype"/>
        </w:rPr>
        <w:t xml:space="preserve">Acta de Sesión de Instalación de la Comisión de Desarrollo Agropecuario y Forestal, de fecha </w:t>
      </w:r>
      <w:r w:rsidR="00D83C0A">
        <w:rPr>
          <w:rFonts w:ascii="Palatino Linotype" w:eastAsia="MS Mincho" w:hAnsi="Palatino Linotype"/>
        </w:rPr>
        <w:t xml:space="preserve">trece de enero de dos mil veintidós. </w:t>
      </w:r>
    </w:p>
    <w:p w14:paraId="68DBAD0E" w14:textId="6F509D13" w:rsidR="00B91B5D" w:rsidRPr="00A045F6" w:rsidRDefault="00D83C0A" w:rsidP="00A045F6">
      <w:pPr>
        <w:pStyle w:val="Prrafodelista"/>
        <w:numPr>
          <w:ilvl w:val="0"/>
          <w:numId w:val="14"/>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00B91B5D" w:rsidRPr="00B91B5D">
        <w:rPr>
          <w:rFonts w:ascii="Palatino Linotype" w:eastAsia="MS Mincho" w:hAnsi="Palatino Linotype"/>
          <w:b/>
          <w:bCs/>
        </w:rPr>
        <w:t>ACTA DE INSTALACIÓN-COMISIÓN DE TRANSPARENCIA, ACCESO A LA INFORMACIÓN Y PROT. DE DATOS</w:t>
      </w:r>
      <w:r>
        <w:rPr>
          <w:rFonts w:ascii="Palatino Linotype" w:eastAsia="MS Mincho" w:hAnsi="Palatino Linotype"/>
          <w:b/>
          <w:bCs/>
        </w:rPr>
        <w:t xml:space="preserve">”: </w:t>
      </w:r>
      <w:r>
        <w:rPr>
          <w:rFonts w:ascii="Palatino Linotype" w:eastAsia="MS Mincho" w:hAnsi="Palatino Linotype"/>
        </w:rPr>
        <w:t xml:space="preserve">Acta de Sesión de Instalación de la Comisión de Transparencia, Acceso a la Información Pública y Protección de Datos Personales, de fecha veinticinco de enero de dos mil veintidós. </w:t>
      </w:r>
    </w:p>
    <w:p w14:paraId="0AD5DD6A" w14:textId="77777777" w:rsidR="009B36EA" w:rsidRDefault="009B36EA" w:rsidP="00AF2D1C">
      <w:pPr>
        <w:spacing w:line="360" w:lineRule="auto"/>
        <w:contextualSpacing/>
        <w:jc w:val="both"/>
        <w:rPr>
          <w:rFonts w:ascii="Palatino Linotype" w:eastAsia="MS Mincho" w:hAnsi="Palatino Linotype" w:cs="Times New Roman"/>
          <w:sz w:val="24"/>
          <w:szCs w:val="24"/>
        </w:rPr>
      </w:pPr>
    </w:p>
    <w:p w14:paraId="7DB4A4F9" w14:textId="392F9A07" w:rsidR="009B36EA" w:rsidRPr="00E30FB9" w:rsidRDefault="00D83C0A" w:rsidP="00AF2D1C">
      <w:pPr>
        <w:spacing w:line="360" w:lineRule="auto"/>
        <w:contextualSpacing/>
        <w:jc w:val="both"/>
        <w:rPr>
          <w:rFonts w:ascii="Palatino Linotype" w:eastAsia="MS Mincho" w:hAnsi="Palatino Linotype" w:cs="Times New Roman"/>
          <w:b/>
          <w:bCs/>
          <w:sz w:val="24"/>
          <w:szCs w:val="24"/>
        </w:rPr>
      </w:pPr>
      <w:r>
        <w:rPr>
          <w:rFonts w:ascii="Palatino Linotype" w:eastAsia="MS Mincho" w:hAnsi="Palatino Linotype" w:cs="Times New Roman"/>
          <w:sz w:val="24"/>
          <w:szCs w:val="24"/>
        </w:rPr>
        <w:t xml:space="preserve">Luego entonces, a toda luz se desprende </w:t>
      </w:r>
      <w:r w:rsidR="0001487B">
        <w:rPr>
          <w:rFonts w:ascii="Palatino Linotype" w:eastAsia="MS Mincho" w:hAnsi="Palatino Linotype" w:cs="Times New Roman"/>
          <w:sz w:val="24"/>
          <w:szCs w:val="24"/>
        </w:rPr>
        <w:t>que,</w:t>
      </w:r>
      <w:r>
        <w:rPr>
          <w:rFonts w:ascii="Palatino Linotype" w:eastAsia="MS Mincho" w:hAnsi="Palatino Linotype" w:cs="Times New Roman"/>
          <w:sz w:val="24"/>
          <w:szCs w:val="24"/>
        </w:rPr>
        <w:t xml:space="preserve"> en el expediente electrónico, particularmente en el apartado de respuesta no obra </w:t>
      </w:r>
      <w:r w:rsidR="001D25D2">
        <w:rPr>
          <w:rFonts w:ascii="Palatino Linotype" w:eastAsia="MS Mincho" w:hAnsi="Palatino Linotype" w:cs="Times New Roman"/>
          <w:sz w:val="24"/>
          <w:szCs w:val="24"/>
        </w:rPr>
        <w:t>pronunciamiento emitido por el Director de Administración o el Tesorero Municipal</w:t>
      </w:r>
      <w:r w:rsidR="0001487B">
        <w:rPr>
          <w:rFonts w:ascii="Palatino Linotype" w:eastAsia="MS Mincho" w:hAnsi="Palatino Linotype" w:cs="Times New Roman"/>
          <w:sz w:val="24"/>
          <w:szCs w:val="24"/>
        </w:rPr>
        <w:t>, únicamente respecto del Secretario del Ayuntamiento quien adjunta Actas de Comisiones</w:t>
      </w:r>
      <w:r w:rsidR="00E30FB9">
        <w:rPr>
          <w:rFonts w:ascii="Palatino Linotype" w:eastAsia="MS Mincho" w:hAnsi="Palatino Linotype" w:cs="Times New Roman"/>
          <w:sz w:val="24"/>
          <w:szCs w:val="24"/>
        </w:rPr>
        <w:t xml:space="preserve">, colmando el requerimiento identificado con el numeral </w:t>
      </w:r>
      <w:r w:rsidR="00E30FB9">
        <w:rPr>
          <w:rFonts w:ascii="Palatino Linotype" w:eastAsia="MS Mincho" w:hAnsi="Palatino Linotype" w:cs="Times New Roman"/>
          <w:b/>
          <w:bCs/>
          <w:sz w:val="24"/>
          <w:szCs w:val="24"/>
        </w:rPr>
        <w:t xml:space="preserve">5 -cinco-. </w:t>
      </w:r>
    </w:p>
    <w:p w14:paraId="5FA3107A" w14:textId="77777777" w:rsidR="0001487B" w:rsidRDefault="0001487B" w:rsidP="00AF2D1C">
      <w:pPr>
        <w:spacing w:line="360" w:lineRule="auto"/>
        <w:contextualSpacing/>
        <w:jc w:val="both"/>
        <w:rPr>
          <w:rFonts w:ascii="Palatino Linotype" w:eastAsia="MS Mincho" w:hAnsi="Palatino Linotype" w:cs="Times New Roman"/>
          <w:sz w:val="24"/>
          <w:szCs w:val="24"/>
        </w:rPr>
      </w:pPr>
    </w:p>
    <w:p w14:paraId="4431B741" w14:textId="6E0DB2BA" w:rsidR="001D25D2" w:rsidRDefault="0068048C" w:rsidP="0068048C">
      <w:pPr>
        <w:spacing w:before="240" w:line="360" w:lineRule="auto"/>
        <w:jc w:val="both"/>
        <w:rPr>
          <w:rFonts w:ascii="Palatino Linotype" w:hAnsi="Palatino Linotype"/>
          <w:sz w:val="24"/>
          <w:szCs w:val="24"/>
        </w:rPr>
      </w:pPr>
      <w:r w:rsidRPr="009D58E2">
        <w:rPr>
          <w:rFonts w:ascii="Palatino Linotype" w:hAnsi="Palatino Linotype"/>
          <w:sz w:val="24"/>
          <w:szCs w:val="24"/>
        </w:rPr>
        <w:lastRenderedPageBreak/>
        <w:t xml:space="preserve">Inconforme con la respuesta rendida por </w:t>
      </w:r>
      <w:r w:rsidRPr="009D58E2">
        <w:rPr>
          <w:rFonts w:ascii="Palatino Linotype" w:hAnsi="Palatino Linotype"/>
          <w:b/>
          <w:sz w:val="24"/>
          <w:szCs w:val="24"/>
        </w:rPr>
        <w:t xml:space="preserve">El Sujeto Obligado, El Recurrente </w:t>
      </w:r>
      <w:r w:rsidRPr="009D58E2">
        <w:rPr>
          <w:rFonts w:ascii="Palatino Linotype" w:hAnsi="Palatino Linotype"/>
          <w:sz w:val="24"/>
          <w:szCs w:val="24"/>
        </w:rPr>
        <w:t xml:space="preserve">interpuso recurso de revisión en fecha </w:t>
      </w:r>
      <w:r w:rsidR="00E30FB9">
        <w:rPr>
          <w:rFonts w:ascii="Palatino Linotype" w:hAnsi="Palatino Linotype"/>
          <w:sz w:val="24"/>
          <w:szCs w:val="24"/>
        </w:rPr>
        <w:t>once</w:t>
      </w:r>
      <w:r w:rsidR="001D25D2">
        <w:rPr>
          <w:rFonts w:ascii="Palatino Linotype" w:hAnsi="Palatino Linotype"/>
          <w:sz w:val="24"/>
          <w:szCs w:val="24"/>
        </w:rPr>
        <w:t xml:space="preserve"> de </w:t>
      </w:r>
      <w:r w:rsidR="00E30FB9">
        <w:rPr>
          <w:rFonts w:ascii="Palatino Linotype" w:hAnsi="Palatino Linotype"/>
          <w:sz w:val="24"/>
          <w:szCs w:val="24"/>
        </w:rPr>
        <w:t>mayo</w:t>
      </w:r>
      <w:r w:rsidR="001D25D2">
        <w:rPr>
          <w:rFonts w:ascii="Palatino Linotype" w:hAnsi="Palatino Linotype"/>
          <w:sz w:val="24"/>
          <w:szCs w:val="24"/>
        </w:rPr>
        <w:t xml:space="preserve">, admitiéndose el </w:t>
      </w:r>
      <w:r w:rsidR="00E30FB9">
        <w:rPr>
          <w:rFonts w:ascii="Palatino Linotype" w:hAnsi="Palatino Linotype"/>
          <w:sz w:val="24"/>
          <w:szCs w:val="24"/>
        </w:rPr>
        <w:t>diecisiete de mayo</w:t>
      </w:r>
      <w:r w:rsidR="001D25D2">
        <w:rPr>
          <w:rFonts w:ascii="Palatino Linotype" w:hAnsi="Palatino Linotype"/>
          <w:sz w:val="24"/>
          <w:szCs w:val="24"/>
        </w:rPr>
        <w:t xml:space="preserve">, ambos de dos mil veintidós. Señalando como razones o motivos de inconformidad lo siguiente: </w:t>
      </w:r>
    </w:p>
    <w:p w14:paraId="178767F2" w14:textId="70FA6685" w:rsidR="001D25D2" w:rsidRDefault="001D25D2" w:rsidP="001D25D2">
      <w:pPr>
        <w:pStyle w:val="Citas"/>
        <w:rPr>
          <w:b/>
          <w:bCs/>
        </w:rPr>
      </w:pPr>
      <w:r>
        <w:t xml:space="preserve">“No me entregaron todo lo que solicité vía transparencia” </w:t>
      </w:r>
      <w:r>
        <w:rPr>
          <w:b/>
          <w:bCs/>
        </w:rPr>
        <w:t>(Sic)</w:t>
      </w:r>
    </w:p>
    <w:p w14:paraId="440A1E3F" w14:textId="2127B5A7" w:rsidR="00492B6B" w:rsidRDefault="00492B6B" w:rsidP="0068048C">
      <w:pPr>
        <w:spacing w:before="240" w:line="360" w:lineRule="auto"/>
        <w:jc w:val="both"/>
        <w:rPr>
          <w:rFonts w:ascii="Palatino Linotype" w:hAnsi="Palatino Linotype"/>
          <w:sz w:val="24"/>
          <w:szCs w:val="24"/>
          <w:highlight w:val="yellow"/>
        </w:rPr>
      </w:pPr>
    </w:p>
    <w:p w14:paraId="0B7090BA" w14:textId="7146C374" w:rsidR="001D25D2" w:rsidRPr="001D25D2" w:rsidRDefault="001D25D2" w:rsidP="0068048C">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de una interpretación literal y gramatical a los motivos de inconformidad aducidos por el particular se advierte que consiente el requerimiento identificado con el numeral </w:t>
      </w:r>
      <w:r w:rsidRPr="001D25D2">
        <w:rPr>
          <w:rFonts w:ascii="Palatino Linotype" w:hAnsi="Palatino Linotype"/>
          <w:b/>
          <w:bCs/>
          <w:sz w:val="24"/>
          <w:szCs w:val="24"/>
        </w:rPr>
        <w:t>5</w:t>
      </w:r>
      <w:r>
        <w:rPr>
          <w:rFonts w:ascii="Palatino Linotype" w:hAnsi="Palatino Linotype"/>
          <w:b/>
          <w:bCs/>
          <w:sz w:val="24"/>
          <w:szCs w:val="24"/>
        </w:rPr>
        <w:t xml:space="preserve"> </w:t>
      </w:r>
      <w:r>
        <w:rPr>
          <w:rFonts w:ascii="Palatino Linotype" w:hAnsi="Palatino Linotype"/>
          <w:sz w:val="24"/>
          <w:szCs w:val="24"/>
        </w:rPr>
        <w:t xml:space="preserve">(Actas y listas de asistencia de comisiones edilicias) al </w:t>
      </w:r>
      <w:r w:rsidR="00C47180">
        <w:rPr>
          <w:rFonts w:ascii="Palatino Linotype" w:hAnsi="Palatino Linotype"/>
          <w:sz w:val="24"/>
          <w:szCs w:val="24"/>
        </w:rPr>
        <w:t xml:space="preserve">no inconformarse del contenido de los soportes documentales remitidos, sino de la falta de atención de los requerimientos identificados con los numerales </w:t>
      </w:r>
      <w:r w:rsidR="00C47180">
        <w:rPr>
          <w:rFonts w:ascii="Palatino Linotype" w:hAnsi="Palatino Linotype"/>
          <w:b/>
          <w:bCs/>
          <w:sz w:val="24"/>
          <w:szCs w:val="24"/>
        </w:rPr>
        <w:t xml:space="preserve">1 al 4. </w:t>
      </w:r>
      <w:r w:rsidR="00C47180">
        <w:rPr>
          <w:rFonts w:ascii="Palatino Linotype" w:hAnsi="Palatino Linotype"/>
          <w:sz w:val="24"/>
          <w:szCs w:val="24"/>
        </w:rPr>
        <w:t xml:space="preserve"> </w:t>
      </w:r>
    </w:p>
    <w:p w14:paraId="458A39F2" w14:textId="361D03E3" w:rsidR="00C47180" w:rsidRPr="00604859" w:rsidRDefault="009A6377" w:rsidP="00C47180">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Luego entonces</w:t>
      </w:r>
      <w:r w:rsidR="00C47180">
        <w:rPr>
          <w:rFonts w:ascii="Palatino Linotype" w:hAnsi="Palatino Linotype"/>
          <w:sz w:val="24"/>
          <w:szCs w:val="24"/>
        </w:rPr>
        <w:t xml:space="preserve">, la parte de la solicitud sobre la que no se expresó inconformidad </w:t>
      </w:r>
      <w:r w:rsidR="00C47180">
        <w:rPr>
          <w:rFonts w:ascii="Palatino Linotype" w:hAnsi="Palatino Linotype"/>
          <w:sz w:val="24"/>
          <w:szCs w:val="24"/>
          <w:lang w:eastAsia="es-MX"/>
        </w:rPr>
        <w:t>debe declararse consentida</w:t>
      </w:r>
      <w:r w:rsidR="00C47180" w:rsidRPr="00604859">
        <w:rPr>
          <w:rFonts w:ascii="Palatino Linotype" w:hAnsi="Palatino Linotype"/>
          <w:sz w:val="24"/>
          <w:szCs w:val="24"/>
          <w:lang w:eastAsia="es-MX"/>
        </w:rPr>
        <w:t xml:space="preserve"> por </w:t>
      </w:r>
      <w:r w:rsidR="00C47180">
        <w:rPr>
          <w:rFonts w:ascii="Palatino Linotype" w:hAnsi="Palatino Linotype"/>
          <w:sz w:val="24"/>
          <w:szCs w:val="24"/>
          <w:lang w:eastAsia="es-MX"/>
        </w:rPr>
        <w:t>el</w:t>
      </w:r>
      <w:r w:rsidR="00C47180" w:rsidRPr="00604859">
        <w:rPr>
          <w:rFonts w:ascii="Palatino Linotype" w:hAnsi="Palatino Linotype"/>
          <w:sz w:val="24"/>
          <w:szCs w:val="24"/>
          <w:lang w:eastAsia="es-MX"/>
        </w:rPr>
        <w:t xml:space="preserve"> hoy </w:t>
      </w:r>
      <w:r w:rsidR="00C47180" w:rsidRPr="00604859">
        <w:rPr>
          <w:rFonts w:ascii="Palatino Linotype" w:hAnsi="Palatino Linotype"/>
          <w:b/>
          <w:sz w:val="24"/>
          <w:szCs w:val="24"/>
          <w:lang w:eastAsia="es-MX"/>
        </w:rPr>
        <w:t xml:space="preserve">Recurrente, </w:t>
      </w:r>
      <w:r w:rsidR="00C47180" w:rsidRPr="00604859">
        <w:rPr>
          <w:rFonts w:ascii="Palatino Linotype" w:hAnsi="Palatino Linotype"/>
          <w:sz w:val="24"/>
          <w:szCs w:val="24"/>
          <w:lang w:eastAsia="es-MX"/>
        </w:rPr>
        <w:t xml:space="preserve">ya que </w:t>
      </w:r>
      <w:r w:rsidR="00C47180"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C47180">
        <w:rPr>
          <w:rFonts w:ascii="Palatino Linotype" w:hAnsi="Palatino Linotype" w:cs="Arial"/>
          <w:sz w:val="24"/>
          <w:szCs w:val="24"/>
          <w:lang w:eastAsia="es-MX"/>
        </w:rPr>
        <w:t>del</w:t>
      </w:r>
      <w:r w:rsidR="00C47180" w:rsidRPr="00604859">
        <w:rPr>
          <w:rFonts w:ascii="Palatino Linotype" w:hAnsi="Palatino Linotype" w:cs="Arial"/>
          <w:sz w:val="24"/>
          <w:szCs w:val="24"/>
          <w:lang w:eastAsia="es-MX"/>
        </w:rPr>
        <w:t xml:space="preserve"> </w:t>
      </w:r>
      <w:r w:rsidR="00C47180" w:rsidRPr="00604859">
        <w:rPr>
          <w:rFonts w:ascii="Palatino Linotype" w:hAnsi="Palatino Linotype" w:cs="Arial"/>
          <w:b/>
          <w:sz w:val="24"/>
          <w:szCs w:val="24"/>
          <w:lang w:eastAsia="es-MX"/>
        </w:rPr>
        <w:t>Recurrente</w:t>
      </w:r>
      <w:r w:rsidR="00C47180" w:rsidRPr="00604859">
        <w:rPr>
          <w:rFonts w:ascii="Palatino Linotype" w:hAnsi="Palatino Linotype" w:cs="Arial"/>
          <w:sz w:val="24"/>
          <w:szCs w:val="24"/>
          <w:lang w:eastAsia="es-MX"/>
        </w:rPr>
        <w:t xml:space="preserve"> ante la falta de impugnación eficaz. </w:t>
      </w:r>
      <w:r w:rsidR="00C47180" w:rsidRPr="00604859">
        <w:rPr>
          <w:rFonts w:ascii="Palatino Linotype" w:hAnsi="Palatino Linotype" w:cs="Arial"/>
          <w:sz w:val="24"/>
          <w:szCs w:val="24"/>
        </w:rPr>
        <w:t xml:space="preserve">Sirve de sustento a lo anterior, por analogía, la tesis jurisprudencial, que a la letra dice: </w:t>
      </w:r>
    </w:p>
    <w:p w14:paraId="62DDDEE4"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74BCB2D5"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062585B3"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6886E24A"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Fuente: Semanario Judicial de la Federación y su Gaceta</w:t>
      </w:r>
    </w:p>
    <w:p w14:paraId="19A42EEA"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4AA88E6A"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F6C5652"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3A384B26"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1CA7D5F6" w14:textId="77777777" w:rsidR="00C47180" w:rsidRPr="001300D8" w:rsidRDefault="00C47180" w:rsidP="00C471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6DC7FA15" w14:textId="77777777" w:rsidR="00C47180" w:rsidRPr="001300D8" w:rsidRDefault="00C47180" w:rsidP="00C471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BD1EEEB"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2FC76771"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FD82B20"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72FB32A1"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directo 352/2000. Omar González Morales. 1o. de septiembre de 2000. Unanimidad de votos. Ponente: Teresa Munguía Sánchez. Secretaria: Julieta Esther Fernández Gaona.</w:t>
      </w:r>
    </w:p>
    <w:p w14:paraId="29D239AF"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00FBB755" w14:textId="77777777" w:rsidR="00C47180" w:rsidRDefault="00C47180" w:rsidP="00C47180">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1300D8">
        <w:rPr>
          <w:rFonts w:ascii="Palatino Linotype" w:eastAsia="Times New Roman" w:hAnsi="Palatino Linotype" w:cs="Calibri"/>
          <w:b/>
          <w:i/>
          <w:color w:val="444444"/>
          <w:lang w:eastAsia="es-MX"/>
        </w:rPr>
        <w:t>[Sic]</w:t>
      </w:r>
    </w:p>
    <w:p w14:paraId="53B4F9AA" w14:textId="77777777" w:rsidR="00C47180" w:rsidRDefault="00C47180" w:rsidP="00C47180">
      <w:pPr>
        <w:spacing w:after="0" w:line="360" w:lineRule="auto"/>
        <w:jc w:val="both"/>
        <w:rPr>
          <w:rFonts w:ascii="Palatino Linotype" w:hAnsi="Palatino Linotype" w:cs="Arial"/>
          <w:noProof/>
          <w:color w:val="000000"/>
          <w:sz w:val="24"/>
          <w:lang w:eastAsia="es-MX"/>
        </w:rPr>
      </w:pPr>
    </w:p>
    <w:p w14:paraId="60DADB07" w14:textId="77777777" w:rsidR="00C47180" w:rsidRDefault="00C47180" w:rsidP="00C4718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471192E7" w14:textId="77777777" w:rsidR="00C47180" w:rsidRDefault="00C47180" w:rsidP="00C47180">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083D8F53" w14:textId="77777777" w:rsidR="00C47180" w:rsidRPr="0071419E" w:rsidRDefault="00C47180" w:rsidP="00C47180">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3CB009BE" w14:textId="77777777" w:rsidR="00C47180" w:rsidRPr="00D83913" w:rsidRDefault="00C47180" w:rsidP="00C47180">
      <w:pPr>
        <w:pStyle w:val="Citas"/>
        <w:rPr>
          <w:b/>
          <w:bCs/>
        </w:rPr>
      </w:pPr>
      <w:r w:rsidRPr="00D83913">
        <w:rPr>
          <w:b/>
          <w:bCs/>
        </w:rPr>
        <w:t>Resoluciones</w:t>
      </w:r>
      <w:r>
        <w:rPr>
          <w:b/>
          <w:bCs/>
        </w:rPr>
        <w:t>:</w:t>
      </w:r>
    </w:p>
    <w:p w14:paraId="48728667" w14:textId="77777777" w:rsidR="00C47180" w:rsidRPr="00D83913" w:rsidRDefault="00C47180" w:rsidP="00C47180">
      <w:pPr>
        <w:pStyle w:val="Citas"/>
      </w:pPr>
      <w:r w:rsidRPr="00D83913">
        <w:rPr>
          <w:b/>
        </w:rPr>
        <w:lastRenderedPageBreak/>
        <w:t xml:space="preserve">RRA 4548/18. </w:t>
      </w:r>
      <w:r w:rsidRPr="00D83913">
        <w:t>Instituto de Seguridad y Servicios Sociales de los Trabajadores del Estado. 12 de septiembre de 2018. Por unanimidad. Comisionado Ponente Oscar Mauricio Guerra Ford.</w:t>
      </w:r>
    </w:p>
    <w:p w14:paraId="6C9B0916" w14:textId="77777777" w:rsidR="00C47180" w:rsidRPr="009754D6" w:rsidRDefault="00A25C65" w:rsidP="00C47180">
      <w:pPr>
        <w:pStyle w:val="Citas"/>
        <w:rPr>
          <w:sz w:val="20"/>
        </w:rPr>
      </w:pPr>
      <w:hyperlink r:id="rId10" w:history="1">
        <w:r w:rsidR="00C47180" w:rsidRPr="009754D6">
          <w:rPr>
            <w:rStyle w:val="Hipervnculo"/>
          </w:rPr>
          <w:t>http://consultas.ifai.org.mx/descargar.php?r=./pdf/resoluciones/2018/&amp;a=RRA%204548.pdf</w:t>
        </w:r>
      </w:hyperlink>
    </w:p>
    <w:p w14:paraId="12B891DF" w14:textId="77777777" w:rsidR="00C47180" w:rsidRPr="009754D6" w:rsidRDefault="00C47180" w:rsidP="00C47180">
      <w:pPr>
        <w:pStyle w:val="Citas"/>
        <w:rPr>
          <w:b/>
        </w:rPr>
      </w:pPr>
      <w:r w:rsidRPr="009754D6">
        <w:rPr>
          <w:b/>
        </w:rPr>
        <w:t xml:space="preserve">RRA 5097/18. </w:t>
      </w:r>
      <w:r w:rsidRPr="009754D6">
        <w:t>Secretaría de Hacienda y Crédito Público. 05 de septiembre de 2018. Por unanimidad. Comisionado Ponente Joel Salas Suárez.</w:t>
      </w:r>
    </w:p>
    <w:p w14:paraId="4DC0DBAC" w14:textId="77777777" w:rsidR="00C47180" w:rsidRPr="009754D6" w:rsidRDefault="00A25C65" w:rsidP="00C47180">
      <w:pPr>
        <w:pStyle w:val="Citas"/>
        <w:rPr>
          <w:sz w:val="20"/>
        </w:rPr>
      </w:pPr>
      <w:hyperlink r:id="rId11" w:history="1">
        <w:r w:rsidR="00C47180" w:rsidRPr="009754D6">
          <w:rPr>
            <w:rStyle w:val="Hipervnculo"/>
          </w:rPr>
          <w:t>http://consultas.ifai.org.mx/descargar.php?r=./pdf/resoluciones/2018/&amp;a=RRA%205097.pdf</w:t>
        </w:r>
      </w:hyperlink>
    </w:p>
    <w:p w14:paraId="7AB83025" w14:textId="77777777" w:rsidR="00C47180" w:rsidRPr="009754D6" w:rsidRDefault="00C47180" w:rsidP="00C47180">
      <w:pPr>
        <w:pStyle w:val="Citas"/>
        <w:rPr>
          <w:b/>
        </w:rPr>
      </w:pPr>
      <w:r w:rsidRPr="009754D6">
        <w:rPr>
          <w:b/>
        </w:rPr>
        <w:t xml:space="preserve">RRA 14270/19. </w:t>
      </w:r>
      <w:r w:rsidRPr="009754D6">
        <w:t>Registro Agrario Nacional. 22 de enero de 2020. Por unanimidad. Comisionado Ponente Francisco Javier Acuña Llamas.</w:t>
      </w:r>
    </w:p>
    <w:p w14:paraId="071BF368" w14:textId="77777777" w:rsidR="00C47180" w:rsidRPr="009754D6" w:rsidRDefault="00A25C65" w:rsidP="00C47180">
      <w:pPr>
        <w:pStyle w:val="Citas"/>
        <w:rPr>
          <w:rStyle w:val="Hipervnculo"/>
          <w:b/>
          <w:bCs/>
          <w:color w:val="auto"/>
          <w:sz w:val="24"/>
          <w:szCs w:val="24"/>
          <w:u w:val="none"/>
          <w:lang w:val="en-US"/>
        </w:rPr>
      </w:pPr>
      <w:hyperlink r:id="rId12" w:history="1">
        <w:r w:rsidR="00C47180" w:rsidRPr="009754D6">
          <w:rPr>
            <w:rStyle w:val="Hipervnculo"/>
            <w:lang w:val="en-US"/>
          </w:rPr>
          <w:t>http://consultas.ifai.org.mx/descargar.php?r=./pdf/resoluciones/2019/&amp;a=RRA%2014270.pdf</w:t>
        </w:r>
      </w:hyperlink>
      <w:r w:rsidR="00C47180" w:rsidRPr="009754D6">
        <w:rPr>
          <w:rStyle w:val="Hipervnculo"/>
          <w:sz w:val="20"/>
          <w:lang w:val="en-US"/>
        </w:rPr>
        <w:t xml:space="preserve">” </w:t>
      </w:r>
      <w:r w:rsidR="00C47180" w:rsidRPr="009754D6">
        <w:rPr>
          <w:rStyle w:val="Hipervnculo"/>
          <w:i w:val="0"/>
          <w:iCs/>
          <w:sz w:val="24"/>
          <w:szCs w:val="24"/>
          <w:u w:val="none"/>
          <w:lang w:val="en-US"/>
        </w:rPr>
        <w:t xml:space="preserve"> </w:t>
      </w:r>
      <w:r w:rsidR="00C47180" w:rsidRPr="009754D6">
        <w:rPr>
          <w:rStyle w:val="Hipervnculo"/>
          <w:b/>
          <w:bCs/>
          <w:color w:val="auto"/>
          <w:sz w:val="24"/>
          <w:szCs w:val="24"/>
          <w:u w:val="none"/>
          <w:lang w:val="en-US"/>
        </w:rPr>
        <w:t xml:space="preserve">[Sic] </w:t>
      </w:r>
    </w:p>
    <w:p w14:paraId="565588EA" w14:textId="77777777" w:rsidR="00C47180" w:rsidRPr="00A623E7" w:rsidRDefault="00C47180" w:rsidP="00C47180">
      <w:pPr>
        <w:pStyle w:val="infoemcitas"/>
        <w:tabs>
          <w:tab w:val="left" w:pos="7655"/>
        </w:tabs>
        <w:ind w:left="0" w:right="0"/>
        <w:rPr>
          <w:i w:val="0"/>
          <w:sz w:val="24"/>
          <w:szCs w:val="24"/>
          <w:lang w:val="en-US"/>
        </w:rPr>
      </w:pPr>
    </w:p>
    <w:p w14:paraId="2A725253" w14:textId="77777777" w:rsidR="00C47180" w:rsidRDefault="00C47180" w:rsidP="00C47180">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7ECD0168" w14:textId="77777777" w:rsidR="00C47180" w:rsidRDefault="00C47180" w:rsidP="00C47180">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19BBE905" w14:textId="77777777" w:rsidR="00C47180" w:rsidRDefault="00C47180" w:rsidP="00C47180">
      <w:pPr>
        <w:pStyle w:val="Citas"/>
      </w:pPr>
      <w:r>
        <w:t>I. La negativa a la información solicitada;</w:t>
      </w:r>
    </w:p>
    <w:p w14:paraId="58E73091" w14:textId="77777777" w:rsidR="00C47180" w:rsidRDefault="00C47180" w:rsidP="00C47180">
      <w:pPr>
        <w:pStyle w:val="Citas"/>
      </w:pPr>
      <w:r>
        <w:t>(…)</w:t>
      </w:r>
    </w:p>
    <w:p w14:paraId="383F1D04" w14:textId="77777777" w:rsidR="00C47180" w:rsidRDefault="00C47180" w:rsidP="00C47180">
      <w:pPr>
        <w:pStyle w:val="Citas"/>
      </w:pPr>
      <w:r>
        <w:t xml:space="preserve">V. La entrega de información incompleta; </w:t>
      </w:r>
    </w:p>
    <w:p w14:paraId="68490355" w14:textId="77777777" w:rsidR="00C47180" w:rsidRPr="005A12AE" w:rsidRDefault="00C47180" w:rsidP="00C47180">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75969800" w14:textId="5411CEC3" w:rsidR="001D25D2" w:rsidRDefault="001D25D2" w:rsidP="0068048C">
      <w:pPr>
        <w:spacing w:before="240" w:line="360" w:lineRule="auto"/>
        <w:jc w:val="both"/>
        <w:rPr>
          <w:rFonts w:ascii="Palatino Linotype" w:hAnsi="Palatino Linotype"/>
          <w:sz w:val="24"/>
          <w:szCs w:val="24"/>
          <w:highlight w:val="yellow"/>
        </w:rPr>
      </w:pPr>
    </w:p>
    <w:p w14:paraId="4C73D7AC" w14:textId="30F71A02" w:rsidR="00C47180" w:rsidRPr="00C47180" w:rsidRDefault="00B44ADE" w:rsidP="00B44ADE">
      <w:pPr>
        <w:pStyle w:val="Citas"/>
        <w:tabs>
          <w:tab w:val="left" w:pos="7470"/>
        </w:tabs>
        <w:ind w:left="0" w:right="72"/>
        <w:rPr>
          <w:i w:val="0"/>
          <w:sz w:val="24"/>
          <w:szCs w:val="24"/>
        </w:rPr>
      </w:pPr>
      <w:r>
        <w:rPr>
          <w:i w:val="0"/>
          <w:sz w:val="24"/>
          <w:szCs w:val="24"/>
        </w:rPr>
        <w:t xml:space="preserve">Por otra parte, como fue referido en el antecedente quinto, </w:t>
      </w:r>
      <w:r w:rsidR="008056BC">
        <w:rPr>
          <w:i w:val="0"/>
          <w:sz w:val="24"/>
          <w:szCs w:val="24"/>
        </w:rPr>
        <w:t>en fecha</w:t>
      </w:r>
      <w:r w:rsidR="009D58E2">
        <w:rPr>
          <w:i w:val="0"/>
          <w:sz w:val="24"/>
          <w:szCs w:val="24"/>
        </w:rPr>
        <w:t xml:space="preserve"> </w:t>
      </w:r>
      <w:r w:rsidR="00C47180">
        <w:rPr>
          <w:i w:val="0"/>
          <w:sz w:val="24"/>
          <w:szCs w:val="24"/>
        </w:rPr>
        <w:t xml:space="preserve">veintiséis de agosto de dos mil veintidós, </w:t>
      </w:r>
      <w:r w:rsidR="00C47180">
        <w:rPr>
          <w:b/>
          <w:bCs/>
          <w:i w:val="0"/>
          <w:sz w:val="24"/>
          <w:szCs w:val="24"/>
        </w:rPr>
        <w:t xml:space="preserve">El Sujeto Obligado </w:t>
      </w:r>
      <w:r w:rsidR="00C47180">
        <w:rPr>
          <w:i w:val="0"/>
          <w:sz w:val="24"/>
          <w:szCs w:val="24"/>
        </w:rPr>
        <w:t>rindió su informe justificado en los siguientes términos:</w:t>
      </w:r>
    </w:p>
    <w:p w14:paraId="2AE64170" w14:textId="15C57D85" w:rsidR="00C47180" w:rsidRPr="00C54BCB" w:rsidRDefault="00C47180" w:rsidP="00C47180">
      <w:pPr>
        <w:pStyle w:val="Citas"/>
        <w:numPr>
          <w:ilvl w:val="0"/>
          <w:numId w:val="15"/>
        </w:numPr>
        <w:tabs>
          <w:tab w:val="left" w:pos="7470"/>
        </w:tabs>
        <w:ind w:right="72"/>
        <w:rPr>
          <w:b/>
          <w:bCs/>
          <w:i w:val="0"/>
          <w:sz w:val="24"/>
          <w:szCs w:val="24"/>
        </w:rPr>
      </w:pPr>
      <w:r>
        <w:rPr>
          <w:b/>
          <w:bCs/>
          <w:i w:val="0"/>
          <w:sz w:val="24"/>
          <w:szCs w:val="24"/>
        </w:rPr>
        <w:t xml:space="preserve">“RR 7650_2022.pdf”: </w:t>
      </w:r>
      <w:r w:rsidR="00C54BCB">
        <w:rPr>
          <w:i w:val="0"/>
          <w:sz w:val="24"/>
          <w:szCs w:val="24"/>
        </w:rPr>
        <w:t xml:space="preserve">Oficio número </w:t>
      </w:r>
      <w:r w:rsidR="00C54BCB">
        <w:rPr>
          <w:b/>
          <w:bCs/>
          <w:i w:val="0"/>
          <w:sz w:val="24"/>
          <w:szCs w:val="24"/>
        </w:rPr>
        <w:t xml:space="preserve">2010A4000/UT/RR/00338/2022 </w:t>
      </w:r>
      <w:r w:rsidR="00C54BCB">
        <w:rPr>
          <w:i w:val="0"/>
          <w:sz w:val="24"/>
          <w:szCs w:val="24"/>
        </w:rPr>
        <w:t>signado por la Titular de la Unidad de Transparencia y dirigido al Comisionado Ponente, de fecha veintiséis de mayo de dos mil veintidós, en lo medular expone las siguientes líneas argumentativas:</w:t>
      </w:r>
    </w:p>
    <w:p w14:paraId="546D1402" w14:textId="5886A283" w:rsidR="00C54BCB" w:rsidRPr="00CA4C92" w:rsidRDefault="00285B00" w:rsidP="00C54BCB">
      <w:pPr>
        <w:pStyle w:val="Citas"/>
        <w:numPr>
          <w:ilvl w:val="0"/>
          <w:numId w:val="14"/>
        </w:numPr>
        <w:tabs>
          <w:tab w:val="left" w:pos="7470"/>
        </w:tabs>
        <w:ind w:right="72"/>
        <w:rPr>
          <w:b/>
          <w:bCs/>
          <w:i w:val="0"/>
          <w:sz w:val="24"/>
          <w:szCs w:val="24"/>
        </w:rPr>
      </w:pPr>
      <w:r>
        <w:rPr>
          <w:i w:val="0"/>
          <w:sz w:val="24"/>
          <w:szCs w:val="24"/>
        </w:rPr>
        <w:t xml:space="preserve">Que mediante respuesta primigenia </w:t>
      </w:r>
      <w:r w:rsidR="00CA4C92">
        <w:rPr>
          <w:i w:val="0"/>
          <w:sz w:val="24"/>
          <w:szCs w:val="24"/>
        </w:rPr>
        <w:t xml:space="preserve">ya se pronunciaron los servidores públicos habilitados estimados competentes adscritos a la Tesorería y secretaria Municipal. </w:t>
      </w:r>
    </w:p>
    <w:p w14:paraId="1F83AD5E" w14:textId="11EFC31C" w:rsidR="00CA4C92" w:rsidRPr="00CA4C92" w:rsidRDefault="00CA4C92" w:rsidP="00C54BCB">
      <w:pPr>
        <w:pStyle w:val="Citas"/>
        <w:numPr>
          <w:ilvl w:val="0"/>
          <w:numId w:val="14"/>
        </w:numPr>
        <w:tabs>
          <w:tab w:val="left" w:pos="7470"/>
        </w:tabs>
        <w:ind w:right="72"/>
        <w:rPr>
          <w:b/>
          <w:bCs/>
          <w:i w:val="0"/>
          <w:sz w:val="24"/>
          <w:szCs w:val="24"/>
        </w:rPr>
      </w:pPr>
      <w:r>
        <w:rPr>
          <w:i w:val="0"/>
          <w:sz w:val="24"/>
          <w:szCs w:val="24"/>
        </w:rPr>
        <w:t xml:space="preserve">Que con base en el criterio </w:t>
      </w:r>
      <w:r>
        <w:rPr>
          <w:b/>
          <w:bCs/>
          <w:i w:val="0"/>
          <w:sz w:val="24"/>
          <w:szCs w:val="24"/>
        </w:rPr>
        <w:t xml:space="preserve">03/17 </w:t>
      </w:r>
      <w:r>
        <w:rPr>
          <w:i w:val="0"/>
          <w:sz w:val="24"/>
          <w:szCs w:val="24"/>
        </w:rPr>
        <w:t xml:space="preserve">emitido por el Órgano Garante nacional, no tiene obligación de generar documentos ad hoc. </w:t>
      </w:r>
    </w:p>
    <w:p w14:paraId="5E7C4927" w14:textId="3D9346BC" w:rsidR="000E5C9F" w:rsidRPr="000E5C9F" w:rsidRDefault="00CA4C92" w:rsidP="00C54BCB">
      <w:pPr>
        <w:pStyle w:val="Citas"/>
        <w:numPr>
          <w:ilvl w:val="0"/>
          <w:numId w:val="14"/>
        </w:numPr>
        <w:tabs>
          <w:tab w:val="left" w:pos="7470"/>
        </w:tabs>
        <w:ind w:right="72"/>
        <w:rPr>
          <w:b/>
          <w:bCs/>
          <w:i w:val="0"/>
          <w:sz w:val="24"/>
          <w:szCs w:val="24"/>
        </w:rPr>
      </w:pPr>
      <w:r>
        <w:rPr>
          <w:i w:val="0"/>
          <w:sz w:val="24"/>
          <w:szCs w:val="24"/>
        </w:rPr>
        <w:lastRenderedPageBreak/>
        <w:t>Que mediante respuesta primigenia, el Director de Egresos señaló</w:t>
      </w:r>
      <w:r w:rsidR="000E5C9F">
        <w:rPr>
          <w:i w:val="0"/>
          <w:sz w:val="24"/>
          <w:szCs w:val="24"/>
        </w:rPr>
        <w:t>:</w:t>
      </w:r>
    </w:p>
    <w:p w14:paraId="16677E11" w14:textId="20AC63D4" w:rsidR="000E5C9F" w:rsidRPr="000E5C9F" w:rsidRDefault="000E5C9F" w:rsidP="000E5C9F">
      <w:pPr>
        <w:pStyle w:val="Citas"/>
        <w:numPr>
          <w:ilvl w:val="0"/>
          <w:numId w:val="17"/>
        </w:numPr>
        <w:tabs>
          <w:tab w:val="left" w:pos="7470"/>
        </w:tabs>
        <w:ind w:right="72"/>
        <w:rPr>
          <w:b/>
          <w:bCs/>
          <w:i w:val="0"/>
          <w:sz w:val="24"/>
          <w:szCs w:val="24"/>
        </w:rPr>
      </w:pPr>
      <w:r>
        <w:rPr>
          <w:i w:val="0"/>
          <w:sz w:val="24"/>
          <w:szCs w:val="24"/>
        </w:rPr>
        <w:t>Los grupos fundamentales del gasto público (servicios personales, compra de bienes, servicios y gastos generales, transferencias, adquisición de bienes para fomento y conservación, obras públicas y construcciones, inversiones financieras, erogaciones suplementarias)</w:t>
      </w:r>
    </w:p>
    <w:p w14:paraId="1B5C014F" w14:textId="77777777" w:rsidR="000E5C9F" w:rsidRPr="00C47180" w:rsidRDefault="000E5C9F" w:rsidP="000E5C9F">
      <w:pPr>
        <w:pStyle w:val="Citas"/>
        <w:numPr>
          <w:ilvl w:val="0"/>
          <w:numId w:val="17"/>
        </w:numPr>
        <w:tabs>
          <w:tab w:val="left" w:pos="7470"/>
        </w:tabs>
        <w:ind w:right="72"/>
        <w:rPr>
          <w:b/>
          <w:bCs/>
          <w:i w:val="0"/>
          <w:sz w:val="24"/>
          <w:szCs w:val="24"/>
        </w:rPr>
      </w:pPr>
      <w:r>
        <w:rPr>
          <w:i w:val="0"/>
          <w:sz w:val="24"/>
          <w:szCs w:val="24"/>
        </w:rPr>
        <w:t xml:space="preserve">Que las erogaciones se rigen por el principio de destino del gasto público previsto en el numeral 292 del Código Financiero del Estado de México y Municipios. </w:t>
      </w:r>
    </w:p>
    <w:p w14:paraId="0D542B3A" w14:textId="72CF27DF" w:rsidR="000E5C9F" w:rsidRPr="000E5C9F" w:rsidRDefault="000E5C9F" w:rsidP="00C54BCB">
      <w:pPr>
        <w:pStyle w:val="Citas"/>
        <w:numPr>
          <w:ilvl w:val="0"/>
          <w:numId w:val="14"/>
        </w:numPr>
        <w:tabs>
          <w:tab w:val="left" w:pos="7470"/>
        </w:tabs>
        <w:ind w:right="72"/>
        <w:rPr>
          <w:b/>
          <w:bCs/>
          <w:i w:val="0"/>
          <w:sz w:val="24"/>
          <w:szCs w:val="24"/>
        </w:rPr>
      </w:pPr>
      <w:r>
        <w:rPr>
          <w:i w:val="0"/>
          <w:sz w:val="24"/>
          <w:szCs w:val="24"/>
        </w:rPr>
        <w:t xml:space="preserve">Que el Director de Ingresos señaló: </w:t>
      </w:r>
    </w:p>
    <w:p w14:paraId="2A96EEFA" w14:textId="77777777" w:rsidR="00AC3FFC" w:rsidRPr="00AC3FFC" w:rsidRDefault="00AF393B" w:rsidP="000E5C9F">
      <w:pPr>
        <w:pStyle w:val="Citas"/>
        <w:numPr>
          <w:ilvl w:val="0"/>
          <w:numId w:val="18"/>
        </w:numPr>
        <w:tabs>
          <w:tab w:val="left" w:pos="7470"/>
        </w:tabs>
        <w:ind w:right="72"/>
        <w:rPr>
          <w:b/>
          <w:bCs/>
          <w:i w:val="0"/>
          <w:sz w:val="24"/>
          <w:szCs w:val="24"/>
        </w:rPr>
      </w:pPr>
      <w:r>
        <w:rPr>
          <w:i w:val="0"/>
          <w:sz w:val="24"/>
          <w:szCs w:val="24"/>
        </w:rPr>
        <w:t xml:space="preserve">Que el 5 de abril de dos mil veintidós, se publicó el Acuerdo 06/2022 por el que se emiten los lineamientos, fechas de capacitación y calendarización para la entrega de informes trimestrales de las entidades fiscalizables del Estado de México, del ejercicio fiscal 2022 (soporte documental que contempla como fecha de entrega del primer informe trimestral el 9 de mayo del presente). </w:t>
      </w:r>
    </w:p>
    <w:p w14:paraId="5A7ACE12" w14:textId="76960BDE" w:rsidR="00AC3FFC" w:rsidRDefault="00C5264B" w:rsidP="007730E1">
      <w:pPr>
        <w:pStyle w:val="Citas"/>
        <w:tabs>
          <w:tab w:val="left" w:pos="7470"/>
        </w:tabs>
        <w:ind w:left="1800" w:right="72"/>
        <w:rPr>
          <w:i w:val="0"/>
          <w:sz w:val="24"/>
          <w:szCs w:val="24"/>
        </w:rPr>
      </w:pPr>
      <w:r>
        <w:rPr>
          <w:i w:val="0"/>
          <w:sz w:val="24"/>
          <w:szCs w:val="24"/>
        </w:rPr>
        <w:t>Sin embargo</w:t>
      </w:r>
      <w:r w:rsidR="00AF393B">
        <w:rPr>
          <w:i w:val="0"/>
          <w:sz w:val="24"/>
          <w:szCs w:val="24"/>
        </w:rPr>
        <w:t xml:space="preserve">, </w:t>
      </w:r>
      <w:r>
        <w:rPr>
          <w:i w:val="0"/>
          <w:sz w:val="24"/>
          <w:szCs w:val="24"/>
        </w:rPr>
        <w:t xml:space="preserve">en atención al principio de máxima publicidad </w:t>
      </w:r>
      <w:r w:rsidR="00AF393B">
        <w:rPr>
          <w:i w:val="0"/>
          <w:sz w:val="24"/>
          <w:szCs w:val="24"/>
        </w:rPr>
        <w:t xml:space="preserve">la información es susceptible de ser consultada en el siguiente enlace: </w:t>
      </w:r>
      <w:r w:rsidR="00AF393B" w:rsidRPr="00E30FB9">
        <w:rPr>
          <w:b/>
          <w:bCs/>
          <w:i w:val="0"/>
          <w:sz w:val="24"/>
          <w:szCs w:val="24"/>
          <w:u w:val="single"/>
        </w:rPr>
        <w:t>.b!!Qs://www.ipomex.org.mxlipo3/lgtlinfllce/TOLUC</w:t>
      </w:r>
      <w:r w:rsidR="00AC3FFC" w:rsidRPr="00E30FB9">
        <w:rPr>
          <w:b/>
          <w:bCs/>
          <w:i w:val="0"/>
          <w:sz w:val="24"/>
          <w:szCs w:val="24"/>
          <w:u w:val="single"/>
        </w:rPr>
        <w:t>Nart_92_xlvii_a.web,</w:t>
      </w:r>
      <w:r w:rsidR="00AC3FFC">
        <w:rPr>
          <w:i w:val="0"/>
          <w:sz w:val="24"/>
          <w:szCs w:val="24"/>
        </w:rPr>
        <w:t xml:space="preserve"> dominio electrónico en donde se pueden consultar los Estados Comparativos Presupuestales de ingresos firmados. </w:t>
      </w:r>
    </w:p>
    <w:p w14:paraId="639CDB95" w14:textId="447F82D3" w:rsidR="00AC3FFC" w:rsidRPr="00AF393B" w:rsidRDefault="00AC3FFC" w:rsidP="00AC3FFC">
      <w:pPr>
        <w:pStyle w:val="Citas"/>
        <w:numPr>
          <w:ilvl w:val="0"/>
          <w:numId w:val="18"/>
        </w:numPr>
        <w:tabs>
          <w:tab w:val="left" w:pos="7470"/>
        </w:tabs>
        <w:ind w:right="72"/>
        <w:rPr>
          <w:b/>
          <w:bCs/>
          <w:i w:val="0"/>
          <w:sz w:val="24"/>
          <w:szCs w:val="24"/>
        </w:rPr>
      </w:pPr>
      <w:r>
        <w:rPr>
          <w:i w:val="0"/>
          <w:sz w:val="24"/>
          <w:szCs w:val="24"/>
        </w:rPr>
        <w:lastRenderedPageBreak/>
        <w:t xml:space="preserve">Que además de referir la liga electrónica precisada con antelación, también adjunta Estados Comparativos Presupuestales de Ingresos (soporte documental que no obra en el expediente electrónico).  </w:t>
      </w:r>
    </w:p>
    <w:p w14:paraId="281EE136" w14:textId="77777777" w:rsidR="00AF393B" w:rsidRPr="00AF393B" w:rsidRDefault="00AF393B" w:rsidP="00AF393B">
      <w:pPr>
        <w:pStyle w:val="Citas"/>
        <w:tabs>
          <w:tab w:val="left" w:pos="7470"/>
        </w:tabs>
        <w:ind w:left="1800" w:right="72"/>
        <w:rPr>
          <w:b/>
          <w:bCs/>
          <w:i w:val="0"/>
          <w:sz w:val="24"/>
          <w:szCs w:val="24"/>
        </w:rPr>
      </w:pPr>
    </w:p>
    <w:p w14:paraId="07175C4C" w14:textId="0BD468C0" w:rsidR="000E5C9F" w:rsidRDefault="00E30FB9" w:rsidP="007730E1">
      <w:pPr>
        <w:pStyle w:val="Citas"/>
        <w:tabs>
          <w:tab w:val="left" w:pos="7470"/>
        </w:tabs>
        <w:ind w:left="0" w:right="72"/>
        <w:rPr>
          <w:i w:val="0"/>
          <w:sz w:val="24"/>
          <w:szCs w:val="24"/>
        </w:rPr>
      </w:pPr>
      <w:r>
        <w:rPr>
          <w:b/>
          <w:bCs/>
          <w:i w:val="0"/>
          <w:noProof/>
          <w:sz w:val="24"/>
          <w:szCs w:val="24"/>
          <w:lang w:eastAsia="es-MX"/>
        </w:rPr>
        <w:drawing>
          <wp:anchor distT="0" distB="0" distL="114300" distR="114300" simplePos="0" relativeHeight="251687927" behindDoc="0" locked="0" layoutInCell="1" allowOverlap="1" wp14:anchorId="5D3C1184" wp14:editId="0EFE0078">
            <wp:simplePos x="0" y="0"/>
            <wp:positionH relativeFrom="column">
              <wp:posOffset>19050</wp:posOffset>
            </wp:positionH>
            <wp:positionV relativeFrom="paragraph">
              <wp:posOffset>968779</wp:posOffset>
            </wp:positionV>
            <wp:extent cx="5756275" cy="3160395"/>
            <wp:effectExtent l="19050" t="19050" r="15875" b="20955"/>
            <wp:wrapThrough wrapText="bothSides">
              <wp:wrapPolygon edited="0">
                <wp:start x="-71" y="-130"/>
                <wp:lineTo x="-71" y="21613"/>
                <wp:lineTo x="21588" y="21613"/>
                <wp:lineTo x="21588" y="-130"/>
                <wp:lineTo x="-71" y="-13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3160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730E1">
        <w:rPr>
          <w:i w:val="0"/>
          <w:sz w:val="24"/>
          <w:szCs w:val="24"/>
        </w:rPr>
        <w:t>En razón de lo anterior, con relación a la liga electrónica aducida por el Director de Ingresos, sirve de sustento la siguiente imagen ilustrativa:</w:t>
      </w:r>
    </w:p>
    <w:p w14:paraId="682AA81B" w14:textId="63E964FF" w:rsidR="007730E1" w:rsidRPr="000E5C9F" w:rsidRDefault="007730E1" w:rsidP="007730E1">
      <w:pPr>
        <w:pStyle w:val="Citas"/>
        <w:tabs>
          <w:tab w:val="left" w:pos="7470"/>
        </w:tabs>
        <w:ind w:left="0" w:right="72"/>
        <w:rPr>
          <w:b/>
          <w:bCs/>
          <w:i w:val="0"/>
          <w:sz w:val="24"/>
          <w:szCs w:val="24"/>
        </w:rPr>
      </w:pPr>
    </w:p>
    <w:p w14:paraId="17B0C91F" w14:textId="26F5A4BF" w:rsidR="007730E1" w:rsidRDefault="00714DAA" w:rsidP="00B44ADE">
      <w:pPr>
        <w:pStyle w:val="Citas"/>
        <w:tabs>
          <w:tab w:val="left" w:pos="7470"/>
        </w:tabs>
        <w:ind w:left="0" w:right="72"/>
        <w:rPr>
          <w:i w:val="0"/>
          <w:sz w:val="24"/>
          <w:szCs w:val="24"/>
        </w:rPr>
      </w:pPr>
      <w:r>
        <w:rPr>
          <w:i w:val="0"/>
          <w:sz w:val="24"/>
          <w:szCs w:val="24"/>
        </w:rPr>
        <w:t xml:space="preserve">Luego entonces, </w:t>
      </w:r>
      <w:r w:rsidR="007730E1">
        <w:rPr>
          <w:i w:val="0"/>
          <w:sz w:val="24"/>
          <w:szCs w:val="24"/>
        </w:rPr>
        <w:t>con relación al informe justificado se desprenden las siguientes premisas medulares:</w:t>
      </w:r>
    </w:p>
    <w:p w14:paraId="27BBE5ED" w14:textId="37526345" w:rsidR="00B45FDE" w:rsidRDefault="00B45FDE" w:rsidP="00B45FDE">
      <w:pPr>
        <w:pStyle w:val="Citas"/>
        <w:numPr>
          <w:ilvl w:val="0"/>
          <w:numId w:val="19"/>
        </w:numPr>
        <w:tabs>
          <w:tab w:val="left" w:pos="7470"/>
        </w:tabs>
        <w:ind w:right="72"/>
        <w:rPr>
          <w:i w:val="0"/>
          <w:sz w:val="24"/>
          <w:szCs w:val="24"/>
        </w:rPr>
      </w:pPr>
      <w:r>
        <w:rPr>
          <w:i w:val="0"/>
          <w:sz w:val="24"/>
          <w:szCs w:val="24"/>
        </w:rPr>
        <w:lastRenderedPageBreak/>
        <w:t xml:space="preserve">Que el </w:t>
      </w:r>
      <w:r w:rsidR="00E9225A">
        <w:rPr>
          <w:i w:val="0"/>
          <w:sz w:val="24"/>
          <w:szCs w:val="24"/>
        </w:rPr>
        <w:t>director</w:t>
      </w:r>
      <w:r>
        <w:rPr>
          <w:i w:val="0"/>
          <w:sz w:val="24"/>
          <w:szCs w:val="24"/>
        </w:rPr>
        <w:t xml:space="preserve"> de Egresos se limita a referir </w:t>
      </w:r>
      <w:r w:rsidRPr="00B45FDE">
        <w:rPr>
          <w:b/>
          <w:bCs/>
          <w:i w:val="0"/>
          <w:sz w:val="24"/>
          <w:szCs w:val="24"/>
        </w:rPr>
        <w:t>EN ABSTRACTO</w:t>
      </w:r>
      <w:r>
        <w:rPr>
          <w:i w:val="0"/>
          <w:sz w:val="24"/>
          <w:szCs w:val="24"/>
        </w:rPr>
        <w:t xml:space="preserve"> cuales son los rubros de gasto de los recursos públicos. Sin embargo, no se </w:t>
      </w:r>
      <w:r w:rsidR="00E9225A">
        <w:rPr>
          <w:i w:val="0"/>
          <w:sz w:val="24"/>
          <w:szCs w:val="24"/>
        </w:rPr>
        <w:t>proporcionó</w:t>
      </w:r>
      <w:r>
        <w:rPr>
          <w:i w:val="0"/>
          <w:sz w:val="24"/>
          <w:szCs w:val="24"/>
        </w:rPr>
        <w:t xml:space="preserve"> soporte documental que </w:t>
      </w:r>
      <w:r w:rsidR="004A2761">
        <w:rPr>
          <w:i w:val="0"/>
          <w:sz w:val="24"/>
          <w:szCs w:val="24"/>
        </w:rPr>
        <w:t>dé</w:t>
      </w:r>
      <w:r>
        <w:rPr>
          <w:i w:val="0"/>
          <w:sz w:val="24"/>
          <w:szCs w:val="24"/>
        </w:rPr>
        <w:t xml:space="preserve"> cuenta del recurso destinado a cada uno de ellos. </w:t>
      </w:r>
    </w:p>
    <w:p w14:paraId="38BDF925" w14:textId="3390FF55" w:rsidR="007730E1" w:rsidRDefault="007730E1" w:rsidP="007730E1">
      <w:pPr>
        <w:pStyle w:val="Citas"/>
        <w:numPr>
          <w:ilvl w:val="0"/>
          <w:numId w:val="19"/>
        </w:numPr>
        <w:tabs>
          <w:tab w:val="left" w:pos="7470"/>
        </w:tabs>
        <w:ind w:right="72"/>
        <w:rPr>
          <w:i w:val="0"/>
          <w:sz w:val="24"/>
          <w:szCs w:val="24"/>
        </w:rPr>
      </w:pPr>
      <w:r>
        <w:rPr>
          <w:i w:val="0"/>
          <w:sz w:val="24"/>
          <w:szCs w:val="24"/>
        </w:rPr>
        <w:t xml:space="preserve">Que </w:t>
      </w:r>
      <w:r w:rsidR="00B45FDE">
        <w:rPr>
          <w:i w:val="0"/>
          <w:sz w:val="24"/>
          <w:szCs w:val="24"/>
        </w:rPr>
        <w:t xml:space="preserve">el </w:t>
      </w:r>
      <w:r w:rsidR="00E9225A">
        <w:rPr>
          <w:i w:val="0"/>
          <w:sz w:val="24"/>
          <w:szCs w:val="24"/>
        </w:rPr>
        <w:t>director</w:t>
      </w:r>
      <w:r w:rsidR="00B45FDE">
        <w:rPr>
          <w:i w:val="0"/>
          <w:sz w:val="24"/>
          <w:szCs w:val="24"/>
        </w:rPr>
        <w:t xml:space="preserve"> de Ingresos refirió adjuntar soportes documentales</w:t>
      </w:r>
      <w:r w:rsidR="00E30FB9">
        <w:rPr>
          <w:i w:val="0"/>
          <w:sz w:val="24"/>
          <w:szCs w:val="24"/>
        </w:rPr>
        <w:t>, mismos</w:t>
      </w:r>
      <w:r w:rsidR="00B45FDE">
        <w:rPr>
          <w:i w:val="0"/>
          <w:sz w:val="24"/>
          <w:szCs w:val="24"/>
        </w:rPr>
        <w:t xml:space="preserve"> que no obran en el expediente electrónico. </w:t>
      </w:r>
    </w:p>
    <w:p w14:paraId="7CAB06B4" w14:textId="552EAA84" w:rsidR="007730E1" w:rsidRDefault="007730E1" w:rsidP="007730E1">
      <w:pPr>
        <w:pStyle w:val="Citas"/>
        <w:numPr>
          <w:ilvl w:val="0"/>
          <w:numId w:val="19"/>
        </w:numPr>
        <w:tabs>
          <w:tab w:val="left" w:pos="7470"/>
        </w:tabs>
        <w:ind w:right="72"/>
        <w:rPr>
          <w:i w:val="0"/>
          <w:sz w:val="24"/>
          <w:szCs w:val="24"/>
        </w:rPr>
      </w:pPr>
      <w:r>
        <w:rPr>
          <w:i w:val="0"/>
          <w:sz w:val="24"/>
          <w:szCs w:val="24"/>
        </w:rPr>
        <w:t xml:space="preserve">Que </w:t>
      </w:r>
      <w:r w:rsidR="00B45FDE">
        <w:rPr>
          <w:i w:val="0"/>
          <w:sz w:val="24"/>
          <w:szCs w:val="24"/>
        </w:rPr>
        <w:t xml:space="preserve">el Director de Ingresos </w:t>
      </w:r>
      <w:r>
        <w:rPr>
          <w:i w:val="0"/>
          <w:sz w:val="24"/>
          <w:szCs w:val="24"/>
        </w:rPr>
        <w:t>proporciona ligas electrónicas que no resultan precisas</w:t>
      </w:r>
      <w:r w:rsidR="00E30FB9">
        <w:rPr>
          <w:i w:val="0"/>
          <w:sz w:val="24"/>
          <w:szCs w:val="24"/>
        </w:rPr>
        <w:t xml:space="preserve"> o funcionales</w:t>
      </w:r>
      <w:r>
        <w:rPr>
          <w:i w:val="0"/>
          <w:sz w:val="24"/>
          <w:szCs w:val="24"/>
        </w:rPr>
        <w:t xml:space="preserve">, en clara discordancia con lo previsto en el </w:t>
      </w:r>
      <w:r w:rsidR="00B45FDE">
        <w:rPr>
          <w:i w:val="0"/>
          <w:sz w:val="24"/>
          <w:szCs w:val="24"/>
        </w:rPr>
        <w:t xml:space="preserve">numeral 161 de la Ley de Transparencia y Acceso a la Información Pública del Estado de México y Municipios. </w:t>
      </w:r>
    </w:p>
    <w:p w14:paraId="12998AC7" w14:textId="793C527A" w:rsidR="00E9225A" w:rsidRDefault="00E9225A" w:rsidP="007730E1">
      <w:pPr>
        <w:pStyle w:val="Citas"/>
        <w:numPr>
          <w:ilvl w:val="0"/>
          <w:numId w:val="19"/>
        </w:numPr>
        <w:tabs>
          <w:tab w:val="left" w:pos="7470"/>
        </w:tabs>
        <w:ind w:right="72"/>
        <w:rPr>
          <w:i w:val="0"/>
          <w:sz w:val="24"/>
          <w:szCs w:val="24"/>
        </w:rPr>
      </w:pPr>
      <w:r>
        <w:rPr>
          <w:i w:val="0"/>
          <w:sz w:val="24"/>
          <w:szCs w:val="24"/>
        </w:rPr>
        <w:t>Que en términos del numeral 162 de la Ley de Transparencia local, no se tiene por acredita</w:t>
      </w:r>
      <w:r w:rsidR="00E30FB9">
        <w:rPr>
          <w:i w:val="0"/>
          <w:sz w:val="24"/>
          <w:szCs w:val="24"/>
        </w:rPr>
        <w:t>d</w:t>
      </w:r>
      <w:r>
        <w:rPr>
          <w:i w:val="0"/>
          <w:sz w:val="24"/>
          <w:szCs w:val="24"/>
        </w:rPr>
        <w:t xml:space="preserve">a una búsqueda exhaustiva y razonable de la información, conforme a la normatividad expuesta al inicio del considerando cuarto, resultando faltante la Dirección General de Administración. </w:t>
      </w:r>
    </w:p>
    <w:p w14:paraId="279C4A6A" w14:textId="25BA456D" w:rsidR="00E9225A" w:rsidRDefault="00E9225A" w:rsidP="007730E1">
      <w:pPr>
        <w:pStyle w:val="Citas"/>
        <w:numPr>
          <w:ilvl w:val="0"/>
          <w:numId w:val="19"/>
        </w:numPr>
        <w:tabs>
          <w:tab w:val="left" w:pos="7470"/>
        </w:tabs>
        <w:ind w:right="72"/>
        <w:rPr>
          <w:i w:val="0"/>
          <w:sz w:val="24"/>
          <w:szCs w:val="24"/>
        </w:rPr>
      </w:pPr>
      <w:r>
        <w:rPr>
          <w:i w:val="0"/>
          <w:sz w:val="24"/>
          <w:szCs w:val="24"/>
        </w:rPr>
        <w:t xml:space="preserve">Que mediante informe justificado no se subsanó la violación al derecho de acceso a la información pública. </w:t>
      </w:r>
    </w:p>
    <w:p w14:paraId="1A5F7A53" w14:textId="77777777" w:rsidR="007730E1" w:rsidRDefault="007730E1" w:rsidP="00B44ADE">
      <w:pPr>
        <w:pStyle w:val="Citas"/>
        <w:tabs>
          <w:tab w:val="left" w:pos="7470"/>
        </w:tabs>
        <w:ind w:left="0" w:right="72"/>
        <w:rPr>
          <w:i w:val="0"/>
          <w:sz w:val="24"/>
          <w:szCs w:val="24"/>
        </w:rPr>
      </w:pPr>
    </w:p>
    <w:p w14:paraId="059182F4" w14:textId="3A729339" w:rsidR="00297EDE" w:rsidRDefault="00297EDE" w:rsidP="00E9225A">
      <w:pPr>
        <w:spacing w:before="240" w:line="360" w:lineRule="auto"/>
        <w:jc w:val="both"/>
        <w:rPr>
          <w:rFonts w:ascii="Palatino Linotype" w:hAnsi="Palatino Linotype"/>
          <w:sz w:val="24"/>
          <w:szCs w:val="24"/>
        </w:rPr>
      </w:pPr>
      <w:r>
        <w:rPr>
          <w:rFonts w:ascii="Palatino Linotype" w:hAnsi="Palatino Linotype"/>
          <w:sz w:val="24"/>
          <w:szCs w:val="24"/>
        </w:rPr>
        <w:t xml:space="preserve">Una vez sentado lo anterior, se destaca que los informes remitidos al OSFEM engloban nomina general y comprobantes de nómina de todo el personal, incluido los de seguridad pública.  </w:t>
      </w:r>
    </w:p>
    <w:p w14:paraId="46027FB5" w14:textId="77777777" w:rsidR="00297EDE" w:rsidRDefault="00297EDE" w:rsidP="00297EDE">
      <w:pPr>
        <w:spacing w:before="240" w:after="240" w:line="360" w:lineRule="auto"/>
        <w:jc w:val="both"/>
        <w:rPr>
          <w:rFonts w:ascii="Palatino Linotype" w:hAnsi="Palatino Linotype" w:cs="Arial"/>
          <w:b/>
          <w:bCs/>
          <w:sz w:val="24"/>
          <w:szCs w:val="24"/>
          <w:u w:val="single"/>
          <w:lang w:val="es-ES"/>
        </w:rPr>
      </w:pPr>
      <w:r>
        <w:rPr>
          <w:rFonts w:ascii="Palatino Linotype" w:hAnsi="Palatino Linotype"/>
          <w:sz w:val="24"/>
          <w:szCs w:val="24"/>
        </w:rPr>
        <w:lastRenderedPageBreak/>
        <w:t xml:space="preserve">Luego entonces, con relación al </w:t>
      </w:r>
      <w:r w:rsidRPr="002A7005">
        <w:rPr>
          <w:rFonts w:ascii="Palatino Linotype" w:hAnsi="Palatino Linotype" w:cs="Arial"/>
          <w:b/>
          <w:bCs/>
          <w:sz w:val="24"/>
          <w:szCs w:val="24"/>
          <w:u w:val="single"/>
          <w:lang w:val="es-ES"/>
        </w:rPr>
        <w:t xml:space="preserve">nombre de personal operativo y/o administrativo que no ostente mando medio o superior, </w:t>
      </w:r>
      <w:r>
        <w:rPr>
          <w:rFonts w:ascii="Palatino Linotype" w:hAnsi="Palatino Linotype" w:cs="Arial"/>
          <w:b/>
          <w:bCs/>
          <w:sz w:val="24"/>
          <w:szCs w:val="24"/>
          <w:u w:val="single"/>
          <w:lang w:val="es-ES"/>
        </w:rPr>
        <w:t xml:space="preserve">deberá de ser objeto de un proceso de reserva de la información para no hacer identificable al titular del dato personal. </w:t>
      </w:r>
    </w:p>
    <w:p w14:paraId="68EA2A9A" w14:textId="77777777" w:rsidR="00297EDE" w:rsidRPr="009F39F8" w:rsidRDefault="00297EDE" w:rsidP="00297EDE">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Ello, conforme al propio concepto de versión pública contenido en el artículo 3, fracción XXIV, de la multicitada Ley </w:t>
      </w:r>
      <w:r>
        <w:rPr>
          <w:rFonts w:ascii="Palatino Linotype" w:hAnsi="Palatino Linotype" w:cs="Arial"/>
          <w:sz w:val="24"/>
          <w:szCs w:val="24"/>
        </w:rPr>
        <w:t xml:space="preserve">de Transparencia </w:t>
      </w:r>
      <w:r w:rsidRPr="009F39F8">
        <w:rPr>
          <w:rFonts w:ascii="Palatino Linotype" w:hAnsi="Palatino Linotype" w:cs="Arial"/>
          <w:sz w:val="24"/>
          <w:szCs w:val="24"/>
        </w:rPr>
        <w:t>se define como:</w:t>
      </w:r>
    </w:p>
    <w:p w14:paraId="679891C5" w14:textId="77777777" w:rsidR="00297EDE" w:rsidRPr="00ED3F7B" w:rsidRDefault="00297EDE" w:rsidP="00297EDE">
      <w:pPr>
        <w:pStyle w:val="Citas"/>
        <w:rPr>
          <w:b/>
          <w:bCs/>
        </w:rPr>
      </w:pPr>
      <w:r w:rsidRPr="009F39F8">
        <w:t>“</w:t>
      </w:r>
      <w:r w:rsidRPr="009F39F8">
        <w:rPr>
          <w:b/>
        </w:rPr>
        <w:t>XXIV</w:t>
      </w:r>
      <w:r w:rsidRPr="009F39F8">
        <w:t xml:space="preserve">. </w:t>
      </w:r>
      <w:r w:rsidRPr="009F39F8">
        <w:rPr>
          <w:b/>
        </w:rPr>
        <w:t>Información reservada:</w:t>
      </w:r>
      <w:r w:rsidRPr="009F39F8">
        <w:t xml:space="preserve"> La clasificada con este carácter de manera temporal por las disposiciones de esta Ley, cuya divulgación puede causar daño en términos de lo establecido por esta Ley;”</w:t>
      </w:r>
      <w:r>
        <w:t xml:space="preserve"> </w:t>
      </w:r>
      <w:r>
        <w:rPr>
          <w:b/>
          <w:bCs/>
        </w:rPr>
        <w:t>(Sic)</w:t>
      </w:r>
    </w:p>
    <w:p w14:paraId="631D207C" w14:textId="77777777" w:rsidR="00297EDE" w:rsidRPr="009F39F8" w:rsidRDefault="00297EDE" w:rsidP="00297EDE">
      <w:pPr>
        <w:spacing w:line="360" w:lineRule="auto"/>
        <w:jc w:val="both"/>
        <w:rPr>
          <w:rFonts w:ascii="Palatino Linotype" w:hAnsi="Palatino Linotype" w:cs="Arial"/>
          <w:sz w:val="24"/>
          <w:szCs w:val="24"/>
        </w:rPr>
      </w:pPr>
    </w:p>
    <w:p w14:paraId="6F7420CB" w14:textId="77777777" w:rsidR="00297EDE" w:rsidRPr="009F39F8" w:rsidRDefault="00297EDE" w:rsidP="00297EDE">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9F39F8">
        <w:rPr>
          <w:rFonts w:ascii="Palatino Linotype" w:hAnsi="Palatino Linotype" w:cs="Arial"/>
          <w:b/>
          <w:sz w:val="24"/>
          <w:szCs w:val="24"/>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9F39F8">
        <w:rPr>
          <w:rFonts w:ascii="Palatino Linotype" w:hAnsi="Palatino Linotype" w:cs="Arial"/>
          <w:sz w:val="24"/>
          <w:szCs w:val="24"/>
        </w:rPr>
        <w:t>.</w:t>
      </w:r>
    </w:p>
    <w:p w14:paraId="551AED3A" w14:textId="77777777" w:rsidR="00297EDE" w:rsidRPr="009F39F8" w:rsidRDefault="00297EDE" w:rsidP="00297EDE">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Esto es así, ya que el artículo 81, fracción III, de la Ley de Seguridad del Estado de México, establece lo siguiente: </w:t>
      </w:r>
    </w:p>
    <w:p w14:paraId="050BB00D" w14:textId="77777777" w:rsidR="00297EDE" w:rsidRPr="009F39F8" w:rsidRDefault="00297EDE" w:rsidP="00297EDE">
      <w:pPr>
        <w:pStyle w:val="Citas"/>
      </w:pPr>
      <w:r w:rsidRPr="009F39F8">
        <w:t>“</w:t>
      </w:r>
      <w:r w:rsidRPr="009F39F8">
        <w:rPr>
          <w:b/>
        </w:rPr>
        <w:t>Artículo 81.-</w:t>
      </w:r>
      <w:r w:rsidRPr="009F39F8">
        <w:t xml:space="preserve"> </w:t>
      </w:r>
      <w:r w:rsidRPr="009F39F8">
        <w:rPr>
          <w:u w:val="single"/>
        </w:rPr>
        <w:t>Toda información para la seguridad pública</w:t>
      </w:r>
      <w:r w:rsidRPr="009F39F8">
        <w:t xml:space="preserve"> generada o en poder de Instituciones de Seguridad Pública o de cualquier instancia del Sistema Estatal </w:t>
      </w:r>
      <w:r w:rsidRPr="009F39F8">
        <w:rPr>
          <w:u w:val="single"/>
        </w:rPr>
        <w:t>debe</w:t>
      </w:r>
      <w:r w:rsidRPr="009F39F8">
        <w:t xml:space="preserve"> </w:t>
      </w:r>
      <w:r w:rsidRPr="009F39F8">
        <w:lastRenderedPageBreak/>
        <w:t xml:space="preserve">registrarse, </w:t>
      </w:r>
      <w:r w:rsidRPr="009F39F8">
        <w:rPr>
          <w:u w:val="single"/>
        </w:rPr>
        <w:t>clasificarse</w:t>
      </w:r>
      <w:r w:rsidRPr="009F39F8">
        <w:t xml:space="preserve"> y tratarse de conformidad con las disposiciones aplicables. No obstante lo anterior, esta información se considerará reservada en los casos siguientes:</w:t>
      </w:r>
    </w:p>
    <w:p w14:paraId="2C6D9E5E" w14:textId="77777777" w:rsidR="00297EDE" w:rsidRPr="009F39F8" w:rsidRDefault="00297EDE" w:rsidP="00297EDE">
      <w:pPr>
        <w:pStyle w:val="Citas"/>
      </w:pPr>
      <w:r w:rsidRPr="009F39F8">
        <w:t>(…)</w:t>
      </w:r>
    </w:p>
    <w:p w14:paraId="0461461B" w14:textId="77777777" w:rsidR="00297EDE" w:rsidRPr="009F39F8" w:rsidRDefault="00297EDE" w:rsidP="00297EDE">
      <w:pPr>
        <w:pStyle w:val="Citas"/>
        <w:rPr>
          <w:b/>
          <w:bCs/>
        </w:rPr>
      </w:pPr>
      <w:r w:rsidRPr="009F39F8">
        <w:rPr>
          <w:b/>
        </w:rPr>
        <w:t>III</w:t>
      </w:r>
      <w:r w:rsidRPr="009F39F8">
        <w:t>. La relativa a servidores públicos miembros de las instituciones de seguridad pública, cuya revelación pueda poner en riesgo su vida e integridad física con motivo de sus funciones;”</w:t>
      </w:r>
      <w:r>
        <w:t xml:space="preserve"> </w:t>
      </w:r>
      <w:r>
        <w:rPr>
          <w:b/>
          <w:bCs/>
        </w:rPr>
        <w:t>(Sic)</w:t>
      </w:r>
    </w:p>
    <w:p w14:paraId="22CB3800" w14:textId="77777777" w:rsidR="00297EDE" w:rsidRPr="009F39F8" w:rsidRDefault="00297EDE" w:rsidP="00297EDE">
      <w:pPr>
        <w:spacing w:line="360" w:lineRule="auto"/>
        <w:jc w:val="both"/>
        <w:rPr>
          <w:rFonts w:ascii="Palatino Linotype" w:hAnsi="Palatino Linotype" w:cs="Arial"/>
          <w:sz w:val="24"/>
          <w:szCs w:val="24"/>
        </w:rPr>
      </w:pPr>
    </w:p>
    <w:p w14:paraId="693028B2" w14:textId="77777777" w:rsidR="00297EDE" w:rsidRPr="009F39F8" w:rsidRDefault="00297EDE" w:rsidP="00297EDE">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Por tanto, </w:t>
      </w:r>
      <w:r>
        <w:rPr>
          <w:rFonts w:ascii="Palatino Linotype" w:hAnsi="Palatino Linotype" w:cs="Arial"/>
          <w:b/>
          <w:bCs/>
          <w:sz w:val="24"/>
          <w:szCs w:val="24"/>
        </w:rPr>
        <w:t>E</w:t>
      </w:r>
      <w:r w:rsidRPr="00ED3F7B">
        <w:rPr>
          <w:rFonts w:ascii="Palatino Linotype" w:hAnsi="Palatino Linotype" w:cs="Arial"/>
          <w:b/>
          <w:bCs/>
          <w:sz w:val="24"/>
          <w:szCs w:val="24"/>
        </w:rPr>
        <w:t>l Sujeto Obligado</w:t>
      </w:r>
      <w:r w:rsidRPr="009F39F8">
        <w:rPr>
          <w:rFonts w:ascii="Palatino Linotype" w:hAnsi="Palatino Linotype" w:cs="Arial"/>
          <w:sz w:val="24"/>
          <w:szCs w:val="24"/>
        </w:rPr>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796268D" w14:textId="77777777" w:rsidR="00297EDE" w:rsidRPr="009F39F8" w:rsidRDefault="00297EDE" w:rsidP="00297EDE">
      <w:pPr>
        <w:spacing w:line="360" w:lineRule="auto"/>
        <w:jc w:val="both"/>
        <w:rPr>
          <w:rFonts w:ascii="Palatino Linotype" w:hAnsi="Palatino Linotype" w:cs="Arial"/>
          <w:sz w:val="24"/>
          <w:szCs w:val="24"/>
        </w:rPr>
      </w:pPr>
      <w:r w:rsidRPr="009F39F8">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5651F305" w14:textId="77777777" w:rsidR="00297EDE" w:rsidRPr="009F39F8" w:rsidRDefault="00297EDE" w:rsidP="00297EDE">
      <w:pPr>
        <w:spacing w:line="360" w:lineRule="auto"/>
        <w:jc w:val="both"/>
        <w:rPr>
          <w:rFonts w:ascii="Palatino Linotype" w:hAnsi="Palatino Linotype" w:cs="Arial"/>
          <w:sz w:val="24"/>
          <w:szCs w:val="24"/>
        </w:rPr>
      </w:pPr>
      <w:r w:rsidRPr="009F39F8">
        <w:rPr>
          <w:rFonts w:ascii="Palatino Linotype" w:hAnsi="Palatino Linotype" w:cs="Arial"/>
          <w:sz w:val="24"/>
          <w:szCs w:val="24"/>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0E4F424" w14:textId="77777777" w:rsidR="00297EDE" w:rsidRPr="002A7005" w:rsidRDefault="00297EDE" w:rsidP="00297EDE">
      <w:pPr>
        <w:spacing w:after="0" w:line="360" w:lineRule="auto"/>
        <w:contextualSpacing/>
        <w:jc w:val="both"/>
        <w:rPr>
          <w:rFonts w:ascii="Palatino Linotype" w:hAnsi="Palatino Linotype"/>
          <w:sz w:val="24"/>
          <w:szCs w:val="24"/>
          <w:lang w:val="es-ES"/>
        </w:rPr>
      </w:pPr>
      <w:r w:rsidRPr="002A7005">
        <w:rPr>
          <w:rFonts w:ascii="Palatino Linotype" w:hAnsi="Palatino Linotype"/>
          <w:sz w:val="24"/>
          <w:szCs w:val="24"/>
          <w:lang w:val="es-ES"/>
        </w:rPr>
        <w:t xml:space="preserve">Al respecto, el Pleno del Órgano Garante Nacional ha sostenido el criterio número </w:t>
      </w:r>
      <w:r w:rsidRPr="002A7005">
        <w:rPr>
          <w:rFonts w:ascii="Palatino Linotype" w:hAnsi="Palatino Linotype"/>
          <w:b/>
          <w:bCs/>
          <w:sz w:val="24"/>
          <w:szCs w:val="24"/>
          <w:lang w:val="es-ES"/>
        </w:rPr>
        <w:t xml:space="preserve">006/2009 </w:t>
      </w:r>
      <w:r w:rsidRPr="002A7005">
        <w:rPr>
          <w:rFonts w:ascii="Palatino Linotype" w:hAnsi="Palatino Linotype"/>
          <w:sz w:val="24"/>
          <w:szCs w:val="24"/>
          <w:lang w:val="es-ES"/>
        </w:rPr>
        <w:t xml:space="preserve">cuyo rubro y texto disponen a la literalidad lo siguiente: </w:t>
      </w:r>
    </w:p>
    <w:p w14:paraId="0A76BD15" w14:textId="77777777" w:rsidR="00297EDE" w:rsidRPr="001E0820" w:rsidRDefault="00297EDE" w:rsidP="00297EDE">
      <w:pPr>
        <w:pStyle w:val="Citas"/>
        <w:rPr>
          <w:b/>
          <w:bCs/>
        </w:rPr>
      </w:pPr>
      <w:r w:rsidRPr="001E0820">
        <w:rPr>
          <w:b/>
          <w:bCs/>
        </w:rPr>
        <w:t>“NOMBRES DE SERVIDORES PÚBLICOS DEDICADOS A ACTIVIDADES EN MATERIA DE SEGURIDAD, POR EXCEPCIÓN PUEDEN CONSIDERARSE INFORMACIÓN RESERVADA.</w:t>
      </w:r>
    </w:p>
    <w:p w14:paraId="0840845B" w14:textId="77777777" w:rsidR="00297EDE" w:rsidRPr="001E0820" w:rsidRDefault="00297EDE" w:rsidP="00297EDE">
      <w:pPr>
        <w:pStyle w:val="Citas"/>
      </w:pPr>
      <w:r w:rsidRPr="001E0820">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w:t>
      </w:r>
      <w:r w:rsidRPr="001E0820">
        <w:lastRenderedPageBreak/>
        <w:t>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E22539A" w14:textId="77777777" w:rsidR="00297EDE" w:rsidRPr="001E0820" w:rsidRDefault="00297EDE" w:rsidP="00297EDE">
      <w:pPr>
        <w:pStyle w:val="Citas"/>
      </w:pPr>
      <w:r w:rsidRPr="001E0820">
        <w:t>Precedentes:</w:t>
      </w:r>
    </w:p>
    <w:p w14:paraId="75EE0BCA" w14:textId="77777777" w:rsidR="00297EDE" w:rsidRPr="001E0820" w:rsidRDefault="00297EDE" w:rsidP="00297EDE">
      <w:pPr>
        <w:pStyle w:val="Citas"/>
        <w:numPr>
          <w:ilvl w:val="0"/>
          <w:numId w:val="22"/>
        </w:numPr>
      </w:pPr>
      <w:r w:rsidRPr="001E0820">
        <w:rPr>
          <w:color w:val="000000" w:themeColor="text1"/>
        </w:rPr>
        <w:t>Acceso a la información pública. 4548/07. Sesión del 13 de febrero de 2008. Votación por unanimidad. Sin votos disidentes o particulares. Centro de Investigación y Seguridad Nacional. Comisionado Ponente Alonso Gómez-Robledo V.</w:t>
      </w:r>
    </w:p>
    <w:p w14:paraId="48474436" w14:textId="77777777" w:rsidR="00297EDE" w:rsidRPr="001E0820" w:rsidRDefault="00297EDE" w:rsidP="00297EDE">
      <w:pPr>
        <w:pStyle w:val="Citas"/>
        <w:numPr>
          <w:ilvl w:val="0"/>
          <w:numId w:val="22"/>
        </w:numPr>
      </w:pPr>
      <w:r w:rsidRPr="001E0820">
        <w:rPr>
          <w:color w:val="000000" w:themeColor="text1"/>
        </w:rPr>
        <w:t>Acceso a la información pública. 4130/08. Sesión del 17 de diciembre de 2008. Votación por unanimidad. Sin votos disidentes o particulares. Policía Federal Preventiva. Comisionada Ponente Jacqueline Peschard Mariscal.</w:t>
      </w:r>
    </w:p>
    <w:p w14:paraId="7110A0F5" w14:textId="77777777" w:rsidR="00297EDE" w:rsidRPr="001E0820" w:rsidRDefault="00297EDE" w:rsidP="00297EDE">
      <w:pPr>
        <w:pStyle w:val="Citas"/>
        <w:numPr>
          <w:ilvl w:val="0"/>
          <w:numId w:val="22"/>
        </w:numPr>
      </w:pPr>
      <w:r w:rsidRPr="001E0820">
        <w:rPr>
          <w:color w:val="000000" w:themeColor="text1"/>
        </w:rPr>
        <w:t>Acceso a la información pública. 4441/08. Sesión del 14 de enero de 2009. Votación por unanimidad. Sin votos disidentes o particulares. Policía Federal Preventiva. Comisionado Ponente Alonso Gómez-Robledo V.</w:t>
      </w:r>
    </w:p>
    <w:p w14:paraId="25FBD2F0" w14:textId="77777777" w:rsidR="00297EDE" w:rsidRPr="001E0820" w:rsidRDefault="00297EDE" w:rsidP="00297EDE">
      <w:pPr>
        <w:pStyle w:val="Citas"/>
        <w:numPr>
          <w:ilvl w:val="0"/>
          <w:numId w:val="22"/>
        </w:numPr>
      </w:pPr>
      <w:r w:rsidRPr="001E0820">
        <w:rPr>
          <w:color w:val="000000" w:themeColor="text1"/>
        </w:rPr>
        <w:t>Acceso a la información pública. 5235/08. Sesión del 11 de febrero de 2009. Votación por unanimidad. Sin votos disidentes o particulares. Secretaría de la Defensa Nacional. Comisionada Ponente Jacqueline Peschard Mariscal.</w:t>
      </w:r>
    </w:p>
    <w:p w14:paraId="48D80572" w14:textId="77777777" w:rsidR="00297EDE" w:rsidRPr="001E0820" w:rsidRDefault="00297EDE" w:rsidP="00297EDE">
      <w:pPr>
        <w:pStyle w:val="Citas"/>
        <w:numPr>
          <w:ilvl w:val="0"/>
          <w:numId w:val="22"/>
        </w:numPr>
        <w:rPr>
          <w:b/>
          <w:bCs/>
        </w:rPr>
      </w:pPr>
      <w:r w:rsidRPr="001E0820">
        <w:rPr>
          <w:color w:val="000000" w:themeColor="text1"/>
        </w:rPr>
        <w:lastRenderedPageBreak/>
        <w:t xml:space="preserve">Acceso a la información pública. 2166/09. Sesión del 19 de agosto de 2009. Votación por unanimidad. Sin votos disidentes o particulares. Secretaría de Seguridad Pública. Comisionado Ponente Juan Pablo Guerrero Amparán.” </w:t>
      </w:r>
      <w:r w:rsidRPr="001E0820">
        <w:rPr>
          <w:b/>
          <w:bCs/>
          <w:color w:val="000000" w:themeColor="text1"/>
        </w:rPr>
        <w:t>(Sic)</w:t>
      </w:r>
    </w:p>
    <w:p w14:paraId="2255D276" w14:textId="77777777" w:rsidR="00297EDE" w:rsidRPr="001E0820" w:rsidRDefault="00297EDE" w:rsidP="00297EDE">
      <w:pPr>
        <w:spacing w:after="0" w:line="360" w:lineRule="auto"/>
        <w:contextualSpacing/>
        <w:jc w:val="both"/>
        <w:rPr>
          <w:rFonts w:ascii="Palatino Linotype" w:hAnsi="Palatino Linotype"/>
          <w:sz w:val="24"/>
          <w:szCs w:val="24"/>
          <w:lang w:val="es-ES"/>
        </w:rPr>
      </w:pPr>
    </w:p>
    <w:p w14:paraId="5177CFDC" w14:textId="77777777" w:rsidR="00297EDE" w:rsidRPr="001E0820" w:rsidRDefault="00297EDE" w:rsidP="00297EDE">
      <w:pPr>
        <w:spacing w:before="240" w:line="360" w:lineRule="auto"/>
        <w:jc w:val="both"/>
        <w:rPr>
          <w:rFonts w:ascii="Palatino Linotype" w:hAnsi="Palatino Linotype"/>
          <w:sz w:val="24"/>
          <w:szCs w:val="24"/>
        </w:rPr>
      </w:pPr>
      <w:r w:rsidRPr="001E0820">
        <w:rPr>
          <w:rFonts w:ascii="Palatino Linotype" w:hAnsi="Palatino Linotype"/>
          <w:sz w:val="24"/>
          <w:szCs w:val="24"/>
          <w:lang w:val="es-ES"/>
        </w:rPr>
        <w:t xml:space="preserve">Bajo este contexto, con relación al </w:t>
      </w:r>
      <w:r>
        <w:rPr>
          <w:rFonts w:ascii="Palatino Linotype" w:hAnsi="Palatino Linotype"/>
          <w:sz w:val="24"/>
          <w:szCs w:val="24"/>
          <w:lang w:val="es-ES"/>
        </w:rPr>
        <w:t xml:space="preserve">nombre de </w:t>
      </w:r>
      <w:r w:rsidRPr="001E0820">
        <w:rPr>
          <w:rFonts w:ascii="Palatino Linotype" w:hAnsi="Palatino Linotype"/>
          <w:sz w:val="24"/>
          <w:szCs w:val="24"/>
          <w:lang w:val="es-ES"/>
        </w:rPr>
        <w:t xml:space="preserve">personal </w:t>
      </w:r>
      <w:r>
        <w:rPr>
          <w:rFonts w:ascii="Palatino Linotype" w:hAnsi="Palatino Linotype"/>
          <w:sz w:val="24"/>
          <w:szCs w:val="24"/>
          <w:lang w:val="es-ES"/>
        </w:rPr>
        <w:t>de seguridad</w:t>
      </w:r>
      <w:r w:rsidRPr="001E0820">
        <w:rPr>
          <w:rFonts w:ascii="Palatino Linotype" w:hAnsi="Palatino Linotype"/>
          <w:sz w:val="24"/>
          <w:szCs w:val="24"/>
          <w:lang w:val="es-ES"/>
        </w:rPr>
        <w:t xml:space="preserve"> </w:t>
      </w:r>
      <w:r w:rsidRPr="001E0820">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1E0820">
        <w:rPr>
          <w:rFonts w:ascii="Palatino Linotype" w:hAnsi="Palatino Linotype"/>
          <w:b/>
          <w:i/>
          <w:sz w:val="24"/>
          <w:szCs w:val="24"/>
        </w:rPr>
        <w:t xml:space="preserve">“prueba de daño” </w:t>
      </w:r>
      <w:r w:rsidRPr="001E0820">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7C6E0056" w14:textId="77777777" w:rsidR="00297EDE" w:rsidRPr="001E0820" w:rsidRDefault="00297EDE" w:rsidP="00297EDE">
      <w:pPr>
        <w:spacing w:before="240" w:line="360" w:lineRule="auto"/>
        <w:jc w:val="both"/>
        <w:rPr>
          <w:rFonts w:ascii="Palatino Linotype" w:hAnsi="Palatino Linotype"/>
          <w:sz w:val="24"/>
          <w:szCs w:val="24"/>
        </w:rPr>
      </w:pPr>
      <w:r w:rsidRPr="001E0820">
        <w:rPr>
          <w:rFonts w:ascii="Palatino Linotype" w:hAnsi="Palatino Linotype"/>
          <w:sz w:val="24"/>
          <w:szCs w:val="24"/>
        </w:rPr>
        <w:t xml:space="preserve">Para aplicar la prueba de daño, se deberán de precisar las razones objetivas por las que la apertura genera una afectación, acreditando que: </w:t>
      </w:r>
    </w:p>
    <w:p w14:paraId="230FE625" w14:textId="77777777" w:rsidR="00297EDE" w:rsidRPr="001E0820" w:rsidRDefault="00297EDE" w:rsidP="00297EDE">
      <w:pPr>
        <w:pStyle w:val="Prrafodelista"/>
        <w:widowControl w:val="0"/>
        <w:numPr>
          <w:ilvl w:val="0"/>
          <w:numId w:val="21"/>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rPr>
        <w:t xml:space="preserve">La divulgación </w:t>
      </w:r>
      <w:r w:rsidRPr="001E0820">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33FCD982" w14:textId="77777777" w:rsidR="00297EDE" w:rsidRPr="001E0820" w:rsidRDefault="00297EDE" w:rsidP="00297EDE">
      <w:pPr>
        <w:pStyle w:val="Prrafodelista"/>
        <w:widowControl w:val="0"/>
        <w:numPr>
          <w:ilvl w:val="0"/>
          <w:numId w:val="21"/>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06310F52" w14:textId="77777777" w:rsidR="00297EDE" w:rsidRPr="001E0820" w:rsidRDefault="00297EDE" w:rsidP="00297EDE">
      <w:pPr>
        <w:pStyle w:val="Prrafodelista"/>
        <w:widowControl w:val="0"/>
        <w:numPr>
          <w:ilvl w:val="0"/>
          <w:numId w:val="21"/>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6DFA7641" w14:textId="77777777" w:rsidR="00297EDE" w:rsidRPr="001E0820" w:rsidRDefault="00297EDE" w:rsidP="00297EDE">
      <w:pPr>
        <w:spacing w:before="240" w:line="360" w:lineRule="auto"/>
        <w:jc w:val="both"/>
        <w:rPr>
          <w:rFonts w:ascii="Palatino Linotype" w:hAnsi="Palatino Linotype"/>
          <w:sz w:val="24"/>
          <w:szCs w:val="24"/>
        </w:rPr>
      </w:pPr>
      <w:r w:rsidRPr="001E0820">
        <w:rPr>
          <w:rFonts w:ascii="Palatino Linotype" w:hAnsi="Palatino Linotype"/>
          <w:sz w:val="24"/>
          <w:szCs w:val="24"/>
        </w:rPr>
        <w:lastRenderedPageBreak/>
        <w:t xml:space="preserve">Los acuerdos de reserva deberán de cumplir con los siguientes parámetros de forma y fondo: </w:t>
      </w:r>
    </w:p>
    <w:p w14:paraId="3C977D8C"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Número de folio de la solicitud</w:t>
      </w:r>
    </w:p>
    <w:p w14:paraId="1AB826EC"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Referencia de la información solicitada</w:t>
      </w:r>
    </w:p>
    <w:p w14:paraId="25B9F504"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69F966A7"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 xml:space="preserve">Fundamento y Motivación Legal. </w:t>
      </w:r>
    </w:p>
    <w:p w14:paraId="1FE40A75"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 xml:space="preserve">Conexión entre los fundamentos y motivos que dieron origen a la Reserva de la información. </w:t>
      </w:r>
    </w:p>
    <w:p w14:paraId="0A71F2AA" w14:textId="77777777" w:rsidR="00297EDE" w:rsidRPr="001E0820" w:rsidRDefault="00297EDE" w:rsidP="00297EDE">
      <w:pPr>
        <w:spacing w:before="240" w:line="360" w:lineRule="auto"/>
        <w:ind w:left="360"/>
        <w:jc w:val="both"/>
        <w:rPr>
          <w:rFonts w:ascii="Palatino Linotype" w:hAnsi="Palatino Linotype"/>
          <w:b/>
        </w:rPr>
      </w:pPr>
      <w:r w:rsidRPr="001E0820">
        <w:rPr>
          <w:rFonts w:ascii="Palatino Linotype" w:hAnsi="Palatino Linotype"/>
          <w:b/>
        </w:rPr>
        <w:t>Prueba de Daño</w:t>
      </w:r>
    </w:p>
    <w:p w14:paraId="50771429"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Riesgo real, demostrable e identificable (Modo, Tiempo y lugar)</w:t>
      </w:r>
    </w:p>
    <w:p w14:paraId="034D4FC6"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Temporalidad de la Reserva de la Información</w:t>
      </w:r>
    </w:p>
    <w:p w14:paraId="47FA2177" w14:textId="77777777" w:rsidR="00297EDE" w:rsidRPr="001E0820" w:rsidRDefault="00297EDE" w:rsidP="00297EDE">
      <w:pPr>
        <w:pStyle w:val="Prrafodelista"/>
        <w:numPr>
          <w:ilvl w:val="0"/>
          <w:numId w:val="20"/>
        </w:numPr>
        <w:spacing w:before="240" w:line="360" w:lineRule="auto"/>
        <w:jc w:val="both"/>
        <w:rPr>
          <w:rFonts w:ascii="Palatino Linotype" w:hAnsi="Palatino Linotype"/>
        </w:rPr>
      </w:pPr>
      <w:r w:rsidRPr="001E0820">
        <w:rPr>
          <w:rFonts w:ascii="Palatino Linotype" w:hAnsi="Palatino Linotype"/>
        </w:rPr>
        <w:t xml:space="preserve">Autoridades competentes. </w:t>
      </w:r>
    </w:p>
    <w:p w14:paraId="73E95A49" w14:textId="321FCD2A" w:rsidR="00297EDE" w:rsidRDefault="00297EDE" w:rsidP="00E9225A">
      <w:pPr>
        <w:spacing w:before="240" w:line="360" w:lineRule="auto"/>
        <w:jc w:val="both"/>
        <w:rPr>
          <w:rFonts w:ascii="Palatino Linotype" w:hAnsi="Palatino Linotype"/>
        </w:rPr>
      </w:pPr>
    </w:p>
    <w:p w14:paraId="5886BEBB" w14:textId="77777777" w:rsidR="00297EDE" w:rsidRDefault="00297EDE" w:rsidP="00297EDE">
      <w:pPr>
        <w:pStyle w:val="Citas"/>
        <w:tabs>
          <w:tab w:val="left" w:pos="7470"/>
        </w:tabs>
        <w:ind w:left="0" w:right="72"/>
        <w:rPr>
          <w:i w:val="0"/>
          <w:sz w:val="24"/>
          <w:szCs w:val="24"/>
        </w:rPr>
      </w:pPr>
      <w:r>
        <w:rPr>
          <w:i w:val="0"/>
          <w:sz w:val="24"/>
          <w:szCs w:val="24"/>
        </w:rPr>
        <w:t xml:space="preserve">Con base en lo anteriormente expuesto, resulta procedente hacer entrega de la siguiente información: </w:t>
      </w:r>
    </w:p>
    <w:p w14:paraId="445001A5" w14:textId="77777777" w:rsidR="00297EDE" w:rsidRDefault="00297EDE" w:rsidP="00297EDE">
      <w:pPr>
        <w:pStyle w:val="Prrafodelista"/>
        <w:numPr>
          <w:ilvl w:val="0"/>
          <w:numId w:val="9"/>
        </w:numPr>
        <w:spacing w:before="240" w:line="360" w:lineRule="auto"/>
        <w:jc w:val="both"/>
        <w:rPr>
          <w:rFonts w:ascii="Palatino Linotype" w:hAnsi="Palatino Linotype"/>
        </w:rPr>
      </w:pPr>
      <w:r>
        <w:rPr>
          <w:rFonts w:ascii="Palatino Linotype" w:hAnsi="Palatino Linotype"/>
          <w:lang w:val="es-MX"/>
        </w:rPr>
        <w:lastRenderedPageBreak/>
        <w:t>C</w:t>
      </w:r>
      <w:r>
        <w:rPr>
          <w:rFonts w:ascii="Palatino Linotype" w:hAnsi="Palatino Linotype"/>
        </w:rPr>
        <w:t xml:space="preserve">omprobantes de egresos, del periodo comprendido del uno al cuatro de abril de dos mil veintidós. </w:t>
      </w:r>
    </w:p>
    <w:p w14:paraId="4C5BFE7E" w14:textId="77777777" w:rsidR="00297EDE" w:rsidRDefault="00297EDE" w:rsidP="00297EDE">
      <w:pPr>
        <w:pStyle w:val="Prrafodelista"/>
        <w:numPr>
          <w:ilvl w:val="0"/>
          <w:numId w:val="9"/>
        </w:numPr>
        <w:spacing w:before="240" w:line="360" w:lineRule="auto"/>
        <w:jc w:val="both"/>
        <w:rPr>
          <w:rFonts w:ascii="Palatino Linotype" w:hAnsi="Palatino Linotype"/>
        </w:rPr>
      </w:pPr>
      <w:r>
        <w:rPr>
          <w:rFonts w:ascii="Palatino Linotype" w:hAnsi="Palatino Linotype"/>
        </w:rPr>
        <w:t>Pólizas de cheques, del periodo comprendido del uno al cuatro de abril de dos mil veintidós.</w:t>
      </w:r>
      <w:r>
        <w:rPr>
          <w:rFonts w:ascii="Palatino Linotype" w:hAnsi="Palatino Linotype"/>
        </w:rPr>
        <w:tab/>
        <w:t xml:space="preserve"> </w:t>
      </w:r>
    </w:p>
    <w:p w14:paraId="003F02AA" w14:textId="77777777" w:rsidR="00297EDE" w:rsidRDefault="00297EDE" w:rsidP="00297EDE">
      <w:pPr>
        <w:pStyle w:val="Prrafodelista"/>
        <w:numPr>
          <w:ilvl w:val="0"/>
          <w:numId w:val="9"/>
        </w:numPr>
        <w:spacing w:before="240" w:line="360" w:lineRule="auto"/>
        <w:jc w:val="both"/>
        <w:rPr>
          <w:rFonts w:ascii="Palatino Linotype" w:hAnsi="Palatino Linotype"/>
        </w:rPr>
      </w:pPr>
      <w:r>
        <w:rPr>
          <w:rFonts w:ascii="Palatino Linotype" w:hAnsi="Palatino Linotype"/>
        </w:rPr>
        <w:t xml:space="preserve">El o los documentos donde conste el pago a proveedores, del periodo comprendido del uno de enero al cuatro de abril de dos mil veintidós. </w:t>
      </w:r>
    </w:p>
    <w:p w14:paraId="0C55F3E6" w14:textId="77777777" w:rsidR="00297EDE" w:rsidRDefault="00297EDE" w:rsidP="00297EDE">
      <w:pPr>
        <w:pStyle w:val="Prrafodelista"/>
        <w:numPr>
          <w:ilvl w:val="0"/>
          <w:numId w:val="9"/>
        </w:numPr>
        <w:spacing w:before="240" w:line="360" w:lineRule="auto"/>
        <w:jc w:val="both"/>
        <w:rPr>
          <w:rFonts w:ascii="Palatino Linotype" w:hAnsi="Palatino Linotype"/>
        </w:rPr>
      </w:pPr>
      <w:r>
        <w:rPr>
          <w:rFonts w:ascii="Palatino Linotype" w:hAnsi="Palatino Linotype"/>
        </w:rPr>
        <w:t xml:space="preserve">Primer informe trimestral remitido al Órgano Superior de Fiscalización del Estado de México durante el ejercicio fiscal dos mil veintidós. </w:t>
      </w:r>
    </w:p>
    <w:p w14:paraId="587A849D" w14:textId="77777777" w:rsidR="00297EDE" w:rsidRDefault="00297EDE" w:rsidP="00297EDE">
      <w:pPr>
        <w:spacing w:before="240" w:line="360" w:lineRule="auto"/>
        <w:jc w:val="both"/>
        <w:rPr>
          <w:rFonts w:ascii="Palatino Linotype" w:hAnsi="Palatino Linotype"/>
        </w:rPr>
      </w:pPr>
    </w:p>
    <w:p w14:paraId="6F3E5CE1" w14:textId="77777777" w:rsidR="00297EDE" w:rsidRDefault="00297EDE" w:rsidP="00297EDE">
      <w:pPr>
        <w:spacing w:before="240" w:line="360" w:lineRule="auto"/>
        <w:jc w:val="both"/>
        <w:rPr>
          <w:rFonts w:ascii="Palatino Linotype" w:hAnsi="Palatino Linotype"/>
          <w:sz w:val="24"/>
          <w:szCs w:val="24"/>
        </w:rPr>
      </w:pPr>
      <w:r>
        <w:rPr>
          <w:rFonts w:ascii="Palatino Linotype" w:hAnsi="Palatino Linotype"/>
          <w:sz w:val="24"/>
          <w:szCs w:val="24"/>
        </w:rPr>
        <w:t>Por otra parte</w:t>
      </w:r>
      <w:r w:rsidRPr="00F07469">
        <w:rPr>
          <w:rFonts w:ascii="Palatino Linotype" w:hAnsi="Palatino Linotype"/>
          <w:sz w:val="24"/>
          <w:szCs w:val="24"/>
        </w:rPr>
        <w:t xml:space="preserve">, al tomar en consideración la temporalidad de los tres primeros requerimientos que serán materia de cumplimiento, esta Ponencia Resolutora advierte que  </w:t>
      </w:r>
      <w:r>
        <w:rPr>
          <w:rFonts w:ascii="Palatino Linotype" w:hAnsi="Palatino Linotype"/>
          <w:sz w:val="24"/>
          <w:szCs w:val="24"/>
        </w:rPr>
        <w:t xml:space="preserve">la información pudiera no obrar en los archivos del </w:t>
      </w:r>
      <w:r>
        <w:rPr>
          <w:rFonts w:ascii="Palatino Linotype" w:hAnsi="Palatino Linotype"/>
          <w:b/>
          <w:bCs/>
          <w:sz w:val="24"/>
          <w:szCs w:val="24"/>
        </w:rPr>
        <w:t xml:space="preserve">Sujeto Obligado, </w:t>
      </w:r>
      <w:r>
        <w:rPr>
          <w:rFonts w:ascii="Palatino Linotype" w:hAnsi="Palatino Linotype"/>
          <w:sz w:val="24"/>
          <w:szCs w:val="24"/>
        </w:rPr>
        <w:t xml:space="preserve">al tratarse de un espacio temporal reducido e incluso que abarca parcialmente días inhábiles, por ello, para el caso de que después de realizar una búsqueda exhaustiva y razonable no se cuente con la información bastará con que lo haga del conocimiento del particular. </w:t>
      </w:r>
    </w:p>
    <w:p w14:paraId="090EA18C" w14:textId="77777777" w:rsidR="00297EDE" w:rsidRDefault="00297EDE" w:rsidP="00E9225A">
      <w:pPr>
        <w:spacing w:before="240" w:line="360" w:lineRule="auto"/>
        <w:jc w:val="both"/>
        <w:rPr>
          <w:rFonts w:ascii="Palatino Linotype" w:hAnsi="Palatino Linotype"/>
        </w:rPr>
      </w:pPr>
    </w:p>
    <w:p w14:paraId="45095716" w14:textId="77777777" w:rsidR="000053A9" w:rsidRPr="00C22506" w:rsidRDefault="000053A9" w:rsidP="000053A9">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125EBD63" w14:textId="77777777" w:rsidR="000053A9" w:rsidRPr="001571EB" w:rsidRDefault="000053A9" w:rsidP="000053A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w:t>
      </w:r>
      <w:r w:rsidRPr="001571EB">
        <w:rPr>
          <w:rFonts w:ascii="Palatino Linotype" w:eastAsia="Arial Unicode MS" w:hAnsi="Palatino Linotype" w:cs="Arial"/>
          <w:sz w:val="24"/>
          <w:szCs w:val="24"/>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7944300" w14:textId="77777777" w:rsidR="000053A9" w:rsidRPr="00E60DEF" w:rsidRDefault="000053A9" w:rsidP="000053A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DDB2E24" w14:textId="77777777" w:rsidR="000053A9" w:rsidRPr="00E60DEF" w:rsidRDefault="000053A9" w:rsidP="000053A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C85FE70" w14:textId="77777777" w:rsidR="000053A9" w:rsidRPr="001571EB" w:rsidRDefault="000053A9" w:rsidP="000053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B7EBCC6" w14:textId="77777777" w:rsidR="000053A9" w:rsidRPr="001571EB" w:rsidRDefault="000053A9" w:rsidP="000053A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81CA03E" w14:textId="77777777" w:rsidR="000053A9" w:rsidRPr="001571EB" w:rsidRDefault="000053A9" w:rsidP="000053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D3C39BA" w14:textId="77777777" w:rsidR="000053A9" w:rsidRPr="001571EB" w:rsidRDefault="000053A9" w:rsidP="000053A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2A7F47D3" w14:textId="77777777" w:rsidR="000053A9" w:rsidRPr="001571EB" w:rsidRDefault="000053A9" w:rsidP="000053A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FF3266B" w14:textId="77777777" w:rsidR="000053A9" w:rsidRPr="001571EB" w:rsidRDefault="000053A9" w:rsidP="000053A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E15BC9F" w14:textId="77777777" w:rsidR="000053A9" w:rsidRPr="001571EB" w:rsidRDefault="000053A9" w:rsidP="000053A9">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02F21361" w14:textId="77777777" w:rsidR="000053A9" w:rsidRPr="00E60DEF" w:rsidRDefault="000053A9" w:rsidP="000053A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BDE2E22" w14:textId="77777777" w:rsidR="000053A9" w:rsidRPr="001571EB" w:rsidRDefault="000053A9" w:rsidP="000053A9">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59C832E" w14:textId="77777777" w:rsidR="000053A9" w:rsidRDefault="000053A9" w:rsidP="000053A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061485D" w14:textId="77777777" w:rsidR="000053A9" w:rsidRDefault="000053A9" w:rsidP="000053A9">
      <w:pPr>
        <w:spacing w:after="0" w:line="360" w:lineRule="auto"/>
        <w:ind w:right="51"/>
        <w:jc w:val="both"/>
        <w:rPr>
          <w:rFonts w:ascii="Palatino Linotype" w:eastAsia="Arial Unicode MS" w:hAnsi="Palatino Linotype" w:cs="Arial"/>
          <w:sz w:val="24"/>
          <w:szCs w:val="24"/>
        </w:rPr>
      </w:pPr>
    </w:p>
    <w:p w14:paraId="3F21EAA8" w14:textId="77777777" w:rsidR="000053A9" w:rsidRPr="001571EB" w:rsidRDefault="000053A9" w:rsidP="000053A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33404D4" w14:textId="77777777" w:rsidR="000053A9" w:rsidRPr="001571EB" w:rsidRDefault="000053A9" w:rsidP="000053A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DA9EBAB" w14:textId="77777777" w:rsidR="000053A9" w:rsidRPr="001571EB" w:rsidRDefault="000053A9" w:rsidP="000053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1571EB">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14:paraId="0AC2D0DF" w14:textId="77777777" w:rsidR="000053A9" w:rsidRDefault="000053A9" w:rsidP="000053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ED3B501" w14:textId="77777777" w:rsidR="000053A9" w:rsidRDefault="000053A9" w:rsidP="000053A9">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4AD3D7D5"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C0BD295"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C9A6D8E"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B69A8BE"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F7B57CA" w14:textId="77777777" w:rsidR="000053A9" w:rsidRPr="00EE0180"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9E3C743" w14:textId="77777777" w:rsidR="000053A9" w:rsidRPr="001571EB" w:rsidRDefault="000053A9" w:rsidP="000053A9">
      <w:pPr>
        <w:autoSpaceDE w:val="0"/>
        <w:autoSpaceDN w:val="0"/>
        <w:adjustRightInd w:val="0"/>
        <w:spacing w:before="120" w:after="120"/>
        <w:ind w:left="567" w:right="850"/>
        <w:jc w:val="both"/>
        <w:rPr>
          <w:rFonts w:ascii="Palatino Linotype" w:eastAsia="Times New Roman" w:hAnsi="Palatino Linotype" w:cs="Arial"/>
          <w:i/>
        </w:rPr>
      </w:pPr>
    </w:p>
    <w:p w14:paraId="526017E0" w14:textId="77777777" w:rsidR="000053A9" w:rsidRPr="001571EB" w:rsidRDefault="000053A9" w:rsidP="000053A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homoclave, la cual es única e irrepetible y determina justamente la identificación de dicha persona para efectos fiscales, por lo </w:t>
      </w:r>
      <w:r w:rsidRPr="001571EB">
        <w:rPr>
          <w:rFonts w:ascii="Palatino Linotype" w:hAnsi="Palatino Linotype" w:cs="Arial"/>
          <w:sz w:val="24"/>
          <w:szCs w:val="24"/>
          <w:lang w:eastAsia="es-MX"/>
        </w:rPr>
        <w:lastRenderedPageBreak/>
        <w:t>éste constituye un dato personal que concierne a una persona física identificada e identificable.</w:t>
      </w:r>
    </w:p>
    <w:p w14:paraId="4B80D19A" w14:textId="77777777" w:rsidR="000053A9" w:rsidRPr="001571EB" w:rsidRDefault="000053A9" w:rsidP="000053A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7F5E9FF" w14:textId="77777777" w:rsidR="000053A9" w:rsidRDefault="000053A9" w:rsidP="000053A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01EA871" w14:textId="77777777" w:rsidR="000053A9" w:rsidRDefault="000053A9" w:rsidP="000053A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330B17E"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E1622B1"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023D93B5"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0F582B19"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47A153B" w14:textId="77777777" w:rsidR="000053A9"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A8D5D4A" w14:textId="77777777" w:rsidR="000053A9" w:rsidRDefault="000053A9" w:rsidP="000053A9">
      <w:pPr>
        <w:autoSpaceDE w:val="0"/>
        <w:autoSpaceDN w:val="0"/>
        <w:adjustRightInd w:val="0"/>
        <w:spacing w:after="0" w:line="360" w:lineRule="auto"/>
        <w:ind w:right="51"/>
        <w:jc w:val="both"/>
        <w:rPr>
          <w:rFonts w:ascii="Palatino Linotype" w:hAnsi="Palatino Linotype"/>
          <w:sz w:val="24"/>
          <w:szCs w:val="24"/>
        </w:rPr>
      </w:pPr>
    </w:p>
    <w:p w14:paraId="3C40A617" w14:textId="77777777" w:rsidR="000053A9" w:rsidRPr="00564F83" w:rsidRDefault="000053A9" w:rsidP="000053A9">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1730A1C4" w14:textId="77777777" w:rsidR="000053A9" w:rsidRPr="00564F83" w:rsidRDefault="000053A9" w:rsidP="000053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3FBA94C6" w14:textId="77777777" w:rsidR="000053A9" w:rsidRDefault="000053A9" w:rsidP="000053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3EA4F16" w14:textId="77777777" w:rsidR="000053A9" w:rsidRPr="00564F83" w:rsidRDefault="000053A9" w:rsidP="000053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7EE8F30D" w14:textId="77777777" w:rsidR="000053A9" w:rsidRPr="00564F83" w:rsidRDefault="000053A9" w:rsidP="000053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49C147DD" w14:textId="77777777" w:rsidR="000053A9" w:rsidRDefault="000053A9" w:rsidP="000053A9">
      <w:pPr>
        <w:pStyle w:val="Citas"/>
        <w:rPr>
          <w:lang w:val="es-ES"/>
        </w:rPr>
      </w:pPr>
      <w:r w:rsidRPr="00564F83">
        <w:rPr>
          <w:b/>
          <w:lang w:val="es-ES"/>
        </w:rPr>
        <w:lastRenderedPageBreak/>
        <w:t>“CUENTAS BANCARIAS Y/O CLABE INTERBANCARIA DE PERSONAS FÍSICAS Y MORALES PRIVADAS.</w:t>
      </w:r>
      <w:r w:rsidRPr="00564F83">
        <w:rPr>
          <w:lang w:val="es-ES"/>
        </w:rPr>
        <w:t xml:space="preserve"> </w:t>
      </w:r>
    </w:p>
    <w:p w14:paraId="16EEB2CB" w14:textId="77777777" w:rsidR="000053A9" w:rsidRPr="00564F83" w:rsidRDefault="000053A9" w:rsidP="000053A9">
      <w:pPr>
        <w:pStyle w:val="Citas"/>
        <w:rPr>
          <w:lang w:val="es-ES"/>
        </w:rPr>
      </w:pPr>
      <w:r w:rsidRPr="00564F83">
        <w:rPr>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E4DD07D" w14:textId="77777777" w:rsidR="000053A9" w:rsidRPr="00564F83" w:rsidRDefault="000053A9" w:rsidP="000053A9">
      <w:pPr>
        <w:pStyle w:val="Citas"/>
        <w:rPr>
          <w:b/>
          <w:lang w:val="es-ES"/>
        </w:rPr>
      </w:pPr>
      <w:r w:rsidRPr="00564F83">
        <w:rPr>
          <w:b/>
          <w:lang w:val="es-ES"/>
        </w:rPr>
        <w:t xml:space="preserve"> Resoluciones: </w:t>
      </w:r>
    </w:p>
    <w:p w14:paraId="6A4434D5" w14:textId="77777777" w:rsidR="000053A9" w:rsidRPr="00564F83" w:rsidRDefault="000053A9" w:rsidP="000053A9">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55ABBF05" w14:textId="77777777" w:rsidR="000053A9" w:rsidRPr="00564F83" w:rsidRDefault="000053A9" w:rsidP="000053A9">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38CC1562" w14:textId="77777777" w:rsidR="000053A9" w:rsidRPr="004D6C71" w:rsidRDefault="000053A9" w:rsidP="000053A9">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085D2007" w14:textId="77777777" w:rsidR="000053A9" w:rsidRPr="00564F83" w:rsidRDefault="000053A9" w:rsidP="000053A9">
      <w:pPr>
        <w:pStyle w:val="Sinespaciado"/>
      </w:pPr>
    </w:p>
    <w:p w14:paraId="77A274B2" w14:textId="77777777" w:rsidR="000053A9" w:rsidRPr="00564F83" w:rsidRDefault="000053A9" w:rsidP="000053A9">
      <w:pPr>
        <w:pStyle w:val="Sinespaciado"/>
      </w:pPr>
    </w:p>
    <w:p w14:paraId="2E63CDCC" w14:textId="77777777" w:rsidR="000053A9" w:rsidRDefault="000053A9" w:rsidP="000053A9">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dicha  información,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45DACBC6" w14:textId="77777777" w:rsidR="000053A9" w:rsidRDefault="000053A9" w:rsidP="000053A9">
      <w:pPr>
        <w:autoSpaceDE w:val="0"/>
        <w:autoSpaceDN w:val="0"/>
        <w:adjustRightInd w:val="0"/>
        <w:spacing w:after="0" w:line="360" w:lineRule="auto"/>
        <w:ind w:right="50"/>
        <w:jc w:val="both"/>
        <w:rPr>
          <w:rFonts w:ascii="Palatino Linotype" w:eastAsia="Times New Roman" w:hAnsi="Palatino Linotype" w:cs="Arial"/>
          <w:sz w:val="24"/>
          <w:szCs w:val="24"/>
        </w:rPr>
      </w:pPr>
    </w:p>
    <w:p w14:paraId="75C83B66" w14:textId="77777777" w:rsidR="000053A9" w:rsidRDefault="000053A9" w:rsidP="000053A9">
      <w:pPr>
        <w:tabs>
          <w:tab w:val="left" w:pos="709"/>
        </w:tabs>
        <w:spacing w:before="240" w:line="360" w:lineRule="auto"/>
        <w:ind w:right="51"/>
        <w:jc w:val="both"/>
        <w:rPr>
          <w:rFonts w:ascii="Palatino Linotype" w:hAnsi="Palatino Linotype"/>
          <w:iCs/>
          <w:sz w:val="24"/>
          <w:szCs w:val="24"/>
        </w:rPr>
      </w:pPr>
      <w:r w:rsidRPr="007850C3">
        <w:rPr>
          <w:rFonts w:ascii="Palatino Linotype" w:hAnsi="Palatino Linotype" w:cs="Arial"/>
          <w:sz w:val="24"/>
          <w:szCs w:val="24"/>
        </w:rPr>
        <w:lastRenderedPageBreak/>
        <w:t>Lo anterior, sólo en caso de advertir información susceptible de clasificar, por e</w:t>
      </w:r>
      <w:r w:rsidRPr="001571EB">
        <w:rPr>
          <w:rFonts w:ascii="Palatino Linotype" w:hAnsi="Palatino Linotype" w:cs="Arial"/>
          <w:sz w:val="24"/>
          <w:szCs w:val="24"/>
        </w:rPr>
        <w:t>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4AB94B32" w14:textId="2C1747FE" w:rsidR="00282369" w:rsidRPr="00D5257A" w:rsidRDefault="00282369" w:rsidP="0028236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C5264B">
        <w:rPr>
          <w:rFonts w:ascii="Palatino Linotype" w:hAnsi="Palatino Linotype" w:cs="Arial"/>
          <w:b/>
          <w:bCs/>
          <w:sz w:val="24"/>
        </w:rPr>
        <w:t>00908/TOLUCA/IP/2022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1869F2C" w14:textId="77777777" w:rsidR="00282369" w:rsidRDefault="00282369" w:rsidP="0028236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49524F0" w14:textId="77777777" w:rsidR="00282369" w:rsidRDefault="00282369" w:rsidP="00282369">
      <w:pPr>
        <w:spacing w:before="240" w:line="360" w:lineRule="auto"/>
        <w:jc w:val="center"/>
        <w:rPr>
          <w:rFonts w:ascii="Palatino Linotype" w:eastAsia="Times New Roman" w:hAnsi="Palatino Linotype"/>
          <w:b/>
          <w:bCs/>
          <w:spacing w:val="60"/>
          <w:sz w:val="24"/>
          <w:szCs w:val="24"/>
          <w:lang w:val="es-ES_tradnl"/>
        </w:rPr>
      </w:pPr>
    </w:p>
    <w:p w14:paraId="48B6EFBE" w14:textId="77777777" w:rsidR="00282369" w:rsidRPr="00D05C83" w:rsidRDefault="00282369" w:rsidP="0028236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D181CB9" w14:textId="09FFF52C" w:rsidR="00282369" w:rsidRDefault="00282369" w:rsidP="00282369">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F07469">
        <w:rPr>
          <w:rFonts w:ascii="Palatino Linotype" w:hAnsi="Palatino Linotype" w:cs="Arial"/>
          <w:b/>
          <w:bCs/>
          <w:sz w:val="24"/>
        </w:rPr>
        <w:t>00908/TOLUCA/IP/2022</w:t>
      </w:r>
      <w:r>
        <w:rPr>
          <w:rFonts w:ascii="Palatino Linotype" w:hAnsi="Palatino Linotype" w:cs="Arial"/>
          <w:b/>
          <w:sz w:val="24"/>
        </w:rPr>
        <w:t xml:space="preserve">, </w:t>
      </w:r>
      <w:r>
        <w:rPr>
          <w:rFonts w:ascii="Palatino Linotype" w:hAnsi="Palatino Linotype" w:cs="Arial"/>
          <w:sz w:val="24"/>
        </w:rPr>
        <w:t xml:space="preserve">por resultar parcialmente </w:t>
      </w:r>
      <w:r>
        <w:rPr>
          <w:rFonts w:ascii="Palatino Linotype" w:hAnsi="Palatino Linotype" w:cs="Arial"/>
          <w:sz w:val="24"/>
        </w:rPr>
        <w:lastRenderedPageBreak/>
        <w:t xml:space="preserve">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112B0BD" w14:textId="77777777" w:rsidR="00282369" w:rsidRDefault="00282369" w:rsidP="0028236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7441C30A" w14:textId="1F62802E" w:rsidR="00F07469" w:rsidRPr="006633BF" w:rsidRDefault="00282369" w:rsidP="00F07469">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F07469">
        <w:rPr>
          <w:rFonts w:ascii="Palatino Linotype" w:hAnsi="Palatino Linotype" w:cs="Arial"/>
          <w:sz w:val="24"/>
          <w:szCs w:val="24"/>
        </w:rPr>
        <w:t>realizar una búsqueda exhaustiva y razonable a fin de entregar</w:t>
      </w:r>
      <w:r w:rsidR="00F07469" w:rsidRPr="006633BF">
        <w:rPr>
          <w:rFonts w:ascii="Palatino Linotype" w:hAnsi="Palatino Linotype" w:cs="Arial"/>
          <w:sz w:val="24"/>
          <w:szCs w:val="24"/>
        </w:rPr>
        <w:t xml:space="preserve"> al</w:t>
      </w:r>
      <w:r w:rsidR="00F07469" w:rsidRPr="006633BF">
        <w:rPr>
          <w:rFonts w:ascii="Palatino Linotype" w:hAnsi="Palatino Linotype" w:cs="Arial"/>
          <w:b/>
          <w:sz w:val="24"/>
          <w:szCs w:val="24"/>
        </w:rPr>
        <w:t xml:space="preserve"> RECURRENTE </w:t>
      </w:r>
      <w:r w:rsidR="00F07469" w:rsidRPr="006633BF">
        <w:rPr>
          <w:rFonts w:ascii="Palatino Linotype" w:hAnsi="Palatino Linotype" w:cs="Arial"/>
          <w:sz w:val="24"/>
          <w:szCs w:val="24"/>
        </w:rPr>
        <w:t xml:space="preserve">en términos del Considerando </w:t>
      </w:r>
      <w:r w:rsidR="00F07469" w:rsidRPr="006633BF">
        <w:rPr>
          <w:rFonts w:ascii="Palatino Linotype" w:hAnsi="Palatino Linotype" w:cs="Arial"/>
          <w:b/>
          <w:sz w:val="24"/>
          <w:szCs w:val="24"/>
        </w:rPr>
        <w:t xml:space="preserve">CUARTO </w:t>
      </w:r>
      <w:r w:rsidR="00F07469" w:rsidRPr="006633BF">
        <w:rPr>
          <w:rFonts w:ascii="Palatino Linotype" w:hAnsi="Palatino Linotype" w:cs="Arial"/>
          <w:sz w:val="24"/>
          <w:szCs w:val="24"/>
        </w:rPr>
        <w:t>de esta resolución</w:t>
      </w:r>
      <w:r w:rsidR="00F07469" w:rsidRPr="006633BF">
        <w:rPr>
          <w:rFonts w:ascii="Palatino Linotype" w:hAnsi="Palatino Linotype" w:cs="Arial"/>
          <w:b/>
          <w:sz w:val="24"/>
          <w:szCs w:val="24"/>
        </w:rPr>
        <w:t xml:space="preserve">, </w:t>
      </w:r>
      <w:r w:rsidR="00F07469" w:rsidRPr="006633BF">
        <w:rPr>
          <w:rFonts w:ascii="Palatino Linotype" w:hAnsi="Palatino Linotype" w:cs="Arial"/>
          <w:sz w:val="24"/>
          <w:szCs w:val="24"/>
        </w:rPr>
        <w:t xml:space="preserve">en versión pública de ser procedente, a través del Sistema de Acceso a la Información Mexiquense </w:t>
      </w:r>
      <w:r w:rsidR="00F07469" w:rsidRPr="006633BF">
        <w:rPr>
          <w:rFonts w:ascii="Palatino Linotype" w:hAnsi="Palatino Linotype" w:cs="Arial"/>
          <w:b/>
          <w:sz w:val="24"/>
          <w:szCs w:val="24"/>
        </w:rPr>
        <w:t xml:space="preserve">(SAIMEX), </w:t>
      </w:r>
      <w:r w:rsidR="00F07469" w:rsidRPr="006633BF">
        <w:rPr>
          <w:rFonts w:ascii="Palatino Linotype" w:hAnsi="Palatino Linotype" w:cs="Arial"/>
          <w:sz w:val="24"/>
          <w:szCs w:val="24"/>
        </w:rPr>
        <w:t xml:space="preserve">de lo siguiente: </w:t>
      </w:r>
    </w:p>
    <w:p w14:paraId="4FAE5BB1" w14:textId="77777777" w:rsidR="00F07469" w:rsidRPr="00F07469" w:rsidRDefault="00F07469" w:rsidP="00F07469">
      <w:pPr>
        <w:pStyle w:val="Prrafodelista"/>
        <w:numPr>
          <w:ilvl w:val="0"/>
          <w:numId w:val="1"/>
        </w:numPr>
        <w:spacing w:before="240" w:line="360" w:lineRule="auto"/>
        <w:jc w:val="both"/>
        <w:rPr>
          <w:rFonts w:ascii="Palatino Linotype" w:hAnsi="Palatino Linotype"/>
          <w:i/>
          <w:iCs/>
        </w:rPr>
      </w:pPr>
      <w:r w:rsidRPr="00F07469">
        <w:rPr>
          <w:rFonts w:ascii="Palatino Linotype" w:hAnsi="Palatino Linotype"/>
          <w:i/>
          <w:iCs/>
          <w:lang w:val="es-MX"/>
        </w:rPr>
        <w:t>C</w:t>
      </w:r>
      <w:r w:rsidRPr="00F07469">
        <w:rPr>
          <w:rFonts w:ascii="Palatino Linotype" w:hAnsi="Palatino Linotype"/>
          <w:i/>
          <w:iCs/>
        </w:rPr>
        <w:t xml:space="preserve">omprobantes de egresos, del periodo comprendido del uno al cuatro de abril de dos mil veintidós. </w:t>
      </w:r>
    </w:p>
    <w:p w14:paraId="6F006DCA" w14:textId="77777777" w:rsidR="00F07469" w:rsidRPr="00F07469" w:rsidRDefault="00F07469" w:rsidP="00F07469">
      <w:pPr>
        <w:pStyle w:val="Prrafodelista"/>
        <w:numPr>
          <w:ilvl w:val="0"/>
          <w:numId w:val="1"/>
        </w:numPr>
        <w:spacing w:before="240" w:line="360" w:lineRule="auto"/>
        <w:jc w:val="both"/>
        <w:rPr>
          <w:rFonts w:ascii="Palatino Linotype" w:hAnsi="Palatino Linotype"/>
          <w:i/>
          <w:iCs/>
        </w:rPr>
      </w:pPr>
      <w:r w:rsidRPr="00F07469">
        <w:rPr>
          <w:rFonts w:ascii="Palatino Linotype" w:hAnsi="Palatino Linotype"/>
          <w:i/>
          <w:iCs/>
        </w:rPr>
        <w:t>Pólizas de cheques, del periodo comprendido del uno al cuatro de abril de dos mil veintidós.</w:t>
      </w:r>
      <w:r w:rsidRPr="00F07469">
        <w:rPr>
          <w:rFonts w:ascii="Palatino Linotype" w:hAnsi="Palatino Linotype"/>
          <w:i/>
          <w:iCs/>
        </w:rPr>
        <w:tab/>
        <w:t xml:space="preserve"> </w:t>
      </w:r>
    </w:p>
    <w:p w14:paraId="7E80CC13" w14:textId="77777777" w:rsidR="00F07469" w:rsidRPr="00F07469" w:rsidRDefault="00F07469" w:rsidP="00F07469">
      <w:pPr>
        <w:pStyle w:val="Prrafodelista"/>
        <w:numPr>
          <w:ilvl w:val="0"/>
          <w:numId w:val="1"/>
        </w:numPr>
        <w:spacing w:before="240" w:line="360" w:lineRule="auto"/>
        <w:jc w:val="both"/>
        <w:rPr>
          <w:rFonts w:ascii="Palatino Linotype" w:hAnsi="Palatino Linotype"/>
          <w:i/>
          <w:iCs/>
        </w:rPr>
      </w:pPr>
      <w:r w:rsidRPr="00F07469">
        <w:rPr>
          <w:rFonts w:ascii="Palatino Linotype" w:hAnsi="Palatino Linotype"/>
          <w:i/>
          <w:iCs/>
        </w:rPr>
        <w:t xml:space="preserve">El o los documentos donde conste el pago a proveedores, del periodo comprendido del uno de enero al cuatro de abril de dos mil veintidós. </w:t>
      </w:r>
    </w:p>
    <w:p w14:paraId="2E21F21C" w14:textId="77777777" w:rsidR="00F07469" w:rsidRPr="00F07469" w:rsidRDefault="00F07469" w:rsidP="00F07469">
      <w:pPr>
        <w:pStyle w:val="Prrafodelista"/>
        <w:numPr>
          <w:ilvl w:val="0"/>
          <w:numId w:val="1"/>
        </w:numPr>
        <w:spacing w:before="240" w:line="360" w:lineRule="auto"/>
        <w:jc w:val="both"/>
        <w:rPr>
          <w:rFonts w:ascii="Palatino Linotype" w:hAnsi="Palatino Linotype"/>
          <w:i/>
          <w:iCs/>
        </w:rPr>
      </w:pPr>
      <w:r w:rsidRPr="00F07469">
        <w:rPr>
          <w:rFonts w:ascii="Palatino Linotype" w:hAnsi="Palatino Linotype"/>
          <w:i/>
          <w:iCs/>
        </w:rPr>
        <w:t xml:space="preserve">Primer informe trimestral remitido al Órgano Superior de Fiscalización del Estado de México durante el ejercicio fiscal dos mil veintidós. </w:t>
      </w:r>
    </w:p>
    <w:p w14:paraId="6A3D0318" w14:textId="77777777" w:rsidR="00282369" w:rsidRPr="00000006" w:rsidRDefault="00282369" w:rsidP="00282369">
      <w:pPr>
        <w:pStyle w:val="Sinespaciado"/>
        <w:spacing w:line="360" w:lineRule="auto"/>
        <w:ind w:left="782"/>
        <w:rPr>
          <w:rFonts w:ascii="Palatino Linotype" w:hAnsi="Palatino Linotype"/>
          <w:i/>
          <w:iCs/>
        </w:rPr>
      </w:pPr>
    </w:p>
    <w:p w14:paraId="61C0801B" w14:textId="67962E57" w:rsidR="00282369" w:rsidRDefault="000053A9" w:rsidP="00282369">
      <w:pPr>
        <w:pStyle w:val="Sinespaciado"/>
        <w:spacing w:line="360" w:lineRule="auto"/>
        <w:ind w:left="782"/>
        <w:jc w:val="both"/>
        <w:rPr>
          <w:rFonts w:ascii="Palatino Linotype" w:hAnsi="Palatino Linotype" w:cs="Arial"/>
          <w:i/>
        </w:rPr>
      </w:pPr>
      <w:r>
        <w:rPr>
          <w:rFonts w:ascii="Palatino Linotype" w:hAnsi="Palatino Linotype" w:cs="Arial"/>
          <w:i/>
        </w:rPr>
        <w:t>Para</w:t>
      </w:r>
      <w:r w:rsidR="00282369">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77C9F25" w14:textId="77777777" w:rsidR="00CB0CDA" w:rsidRDefault="00CB0CDA" w:rsidP="00282369">
      <w:pPr>
        <w:pStyle w:val="Sinespaciado"/>
        <w:spacing w:line="360" w:lineRule="auto"/>
        <w:ind w:left="782"/>
        <w:jc w:val="both"/>
        <w:rPr>
          <w:rFonts w:ascii="Palatino Linotype" w:hAnsi="Palatino Linotype" w:cs="Arial"/>
          <w:i/>
        </w:rPr>
      </w:pPr>
    </w:p>
    <w:p w14:paraId="5ACABBD2" w14:textId="130F149D" w:rsidR="00CB0CDA" w:rsidRPr="00AB4AD1" w:rsidRDefault="00CB0CDA" w:rsidP="00CB0CDA">
      <w:pPr>
        <w:pBdr>
          <w:top w:val="nil"/>
          <w:left w:val="nil"/>
          <w:bottom w:val="nil"/>
          <w:right w:val="nil"/>
          <w:between w:val="nil"/>
        </w:pBdr>
        <w:spacing w:after="0" w:line="360" w:lineRule="auto"/>
        <w:ind w:left="782"/>
        <w:jc w:val="both"/>
        <w:rPr>
          <w:rFonts w:ascii="Palatino Linotype" w:eastAsia="Palatino Linotype" w:hAnsi="Palatino Linotype" w:cs="Palatino Linotype"/>
          <w:i/>
          <w:iCs/>
          <w:color w:val="000000"/>
          <w:sz w:val="24"/>
          <w:szCs w:val="24"/>
          <w:lang w:val="es-ES_tradnl"/>
        </w:rPr>
      </w:pPr>
      <w:r>
        <w:rPr>
          <w:rFonts w:ascii="Palatino Linotype" w:eastAsia="Palatino Linotype" w:hAnsi="Palatino Linotype" w:cs="Palatino Linotype"/>
          <w:i/>
          <w:iCs/>
          <w:color w:val="000000"/>
          <w:sz w:val="24"/>
          <w:szCs w:val="24"/>
          <w:lang w:val="es-ES_tradnl"/>
        </w:rPr>
        <w:t xml:space="preserve">En alusión a los numerales 1 al 3, para el caso de no contar con la información bastará con que lo haga del conocimiento al Recurrente. </w:t>
      </w:r>
    </w:p>
    <w:p w14:paraId="425F3D98" w14:textId="77777777" w:rsidR="00CB0CDA" w:rsidRPr="00CB0CDA" w:rsidRDefault="00CB0CDA" w:rsidP="00282369">
      <w:pPr>
        <w:pStyle w:val="Sinespaciado"/>
        <w:spacing w:line="360" w:lineRule="auto"/>
        <w:ind w:left="782"/>
        <w:jc w:val="both"/>
        <w:rPr>
          <w:rFonts w:ascii="Palatino Linotype" w:hAnsi="Palatino Linotype" w:cs="Arial"/>
          <w:i/>
          <w:lang w:val="es-ES_tradnl"/>
        </w:rPr>
      </w:pPr>
    </w:p>
    <w:p w14:paraId="51DFB7FC"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EA212EB"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p>
    <w:p w14:paraId="7ABC8913" w14:textId="77777777" w:rsidR="00282369"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39796" w14:textId="77777777" w:rsidR="00282369" w:rsidRPr="005751B7"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F3B2EBC" w14:textId="44967C43" w:rsidR="00282369" w:rsidRDefault="00282369"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5C29FD24" w14:textId="77777777" w:rsidR="00CB0CDA" w:rsidRDefault="00CB0CDA"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7CD4B03" w14:textId="312BCBBC" w:rsidR="00282369" w:rsidRPr="00627D99" w:rsidRDefault="00282369" w:rsidP="0028236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w:t>
      </w:r>
      <w:r w:rsidR="00DB56E1">
        <w:rPr>
          <w:rFonts w:ascii="Palatino Linotype" w:hAnsi="Palatino Linotype" w:cs="Arial"/>
        </w:rPr>
        <w:t xml:space="preserve"> (VOTO PARTICULAR)</w:t>
      </w:r>
      <w:r>
        <w:rPr>
          <w:rFonts w:ascii="Palatino Linotype" w:hAnsi="Palatino Linotype" w:cs="Arial"/>
        </w:rPr>
        <w:t xml:space="preserve">, MARÍA DEL ROSARIO </w:t>
      </w:r>
      <w:r w:rsidRPr="00266B85">
        <w:rPr>
          <w:rFonts w:ascii="Palatino Linotype" w:hAnsi="Palatino Linotype" w:cs="Arial"/>
        </w:rPr>
        <w:t>MEJÍA AYALA, S</w:t>
      </w:r>
      <w:r>
        <w:rPr>
          <w:rFonts w:ascii="Palatino Linotype" w:hAnsi="Palatino Linotype" w:cs="Arial"/>
        </w:rPr>
        <w:t>HARON CRISTINA MORALES MARTÍNEZ</w:t>
      </w:r>
      <w:r w:rsidR="00DB56E1">
        <w:rPr>
          <w:rFonts w:ascii="Palatino Linotype" w:hAnsi="Palatino Linotype" w:cs="Arial"/>
        </w:rPr>
        <w:t xml:space="preserve"> (AUSENCIA JUSTIFICADA)</w:t>
      </w:r>
      <w:r>
        <w:rPr>
          <w:rFonts w:ascii="Palatino Linotype" w:hAnsi="Palatino Linotype" w:cs="Arial"/>
        </w:rPr>
        <w:t xml:space="preserve">, </w:t>
      </w:r>
      <w:r w:rsidRPr="00266B85">
        <w:rPr>
          <w:rFonts w:ascii="Palatino Linotype" w:hAnsi="Palatino Linotype" w:cs="Arial"/>
        </w:rPr>
        <w:t>LUIS GUSTAVO PARRA NORIEGA</w:t>
      </w:r>
      <w:r w:rsidR="00DB56E1">
        <w:rPr>
          <w:rFonts w:ascii="Palatino Linotype" w:hAnsi="Palatino Linotype" w:cs="Arial"/>
        </w:rPr>
        <w:t xml:space="preserve"> (VOTO PARTICULAR)</w:t>
      </w:r>
      <w:r>
        <w:rPr>
          <w:rFonts w:ascii="Palatino Linotype" w:hAnsi="Palatino Linotype" w:cs="Arial"/>
        </w:rPr>
        <w:t xml:space="preserve"> </w:t>
      </w:r>
      <w:r w:rsidRPr="00266B85">
        <w:rPr>
          <w:rFonts w:ascii="Palatino Linotype" w:hAnsi="Palatino Linotype" w:cs="Arial"/>
        </w:rPr>
        <w:t xml:space="preserve">Y GUADALUPE RAMÍREZ PEÑA; </w:t>
      </w:r>
      <w:r w:rsidR="009175C6" w:rsidRPr="00266B85">
        <w:rPr>
          <w:rFonts w:ascii="Palatino Linotype" w:hAnsi="Palatino Linotype" w:cs="Arial"/>
        </w:rPr>
        <w:t xml:space="preserve">EN LA </w:t>
      </w:r>
      <w:r w:rsidR="009175C6">
        <w:rPr>
          <w:rFonts w:ascii="Palatino Linotype" w:hAnsi="Palatino Linotype" w:cs="Arial"/>
        </w:rPr>
        <w:t xml:space="preserve">TRIGÉSIMA </w:t>
      </w:r>
      <w:r w:rsidR="00F24976">
        <w:rPr>
          <w:rFonts w:ascii="Palatino Linotype" w:hAnsi="Palatino Linotype" w:cs="Arial"/>
        </w:rPr>
        <w:t>CUARTA</w:t>
      </w:r>
      <w:r w:rsidR="009175C6">
        <w:rPr>
          <w:rFonts w:ascii="Palatino Linotype" w:hAnsi="Palatino Linotype" w:cs="Arial"/>
        </w:rPr>
        <w:t xml:space="preserve"> SESIÓN ORDINARIA CELEBRADA EL </w:t>
      </w:r>
      <w:r w:rsidR="00F24976">
        <w:rPr>
          <w:rFonts w:ascii="Palatino Linotype" w:hAnsi="Palatino Linotype" w:cs="Arial"/>
        </w:rPr>
        <w:t>VEINTIUNO</w:t>
      </w:r>
      <w:r w:rsidR="00781CA6">
        <w:rPr>
          <w:rFonts w:ascii="Palatino Linotype" w:hAnsi="Palatino Linotype" w:cs="Arial"/>
        </w:rPr>
        <w:t xml:space="preserve"> DE SEPTIEMBRE</w:t>
      </w:r>
      <w:r w:rsidR="009175C6">
        <w:rPr>
          <w:rFonts w:ascii="Palatino Linotype" w:hAnsi="Palatino Linotype" w:cs="Arial"/>
        </w:rPr>
        <w:t xml:space="preserve"> DE </w:t>
      </w:r>
      <w:r>
        <w:rPr>
          <w:rFonts w:ascii="Palatino Linotype" w:hAnsi="Palatino Linotype" w:cs="Arial"/>
        </w:rPr>
        <w:t xml:space="preserve">DOS MIL VEINTIDÓS, ANTE EL </w:t>
      </w:r>
      <w:r w:rsidRPr="00627D99">
        <w:rPr>
          <w:rFonts w:ascii="Palatino Linotype" w:hAnsi="Palatino Linotype" w:cs="Arial"/>
          <w:sz w:val="23"/>
          <w:szCs w:val="23"/>
        </w:rPr>
        <w:t xml:space="preserve">  SECRETAR</w:t>
      </w:r>
      <w:bookmarkStart w:id="0" w:name="_GoBack"/>
      <w:bookmarkEnd w:id="0"/>
      <w:r w:rsidRPr="00627D99">
        <w:rPr>
          <w:rFonts w:ascii="Palatino Linotype" w:hAnsi="Palatino Linotype" w:cs="Arial"/>
          <w:sz w:val="23"/>
          <w:szCs w:val="23"/>
        </w:rPr>
        <w:t xml:space="preserve">IO TÉCNICO DEL PLENO, ALEXIS TAPIA RAMÍREZ. </w:t>
      </w:r>
    </w:p>
    <w:p w14:paraId="59C38555" w14:textId="77777777" w:rsidR="00282369" w:rsidRDefault="00282369" w:rsidP="00282369">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CDF0684" w14:textId="6DB59390" w:rsidR="00282369" w:rsidRDefault="00781CA6" w:rsidP="00282369">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707392" behindDoc="0" locked="0" layoutInCell="1" allowOverlap="1" wp14:anchorId="69EAFB23" wp14:editId="16B7F9EE">
                <wp:simplePos x="0" y="0"/>
                <wp:positionH relativeFrom="column">
                  <wp:posOffset>24765</wp:posOffset>
                </wp:positionH>
                <wp:positionV relativeFrom="paragraph">
                  <wp:posOffset>108584</wp:posOffset>
                </wp:positionV>
                <wp:extent cx="5981700" cy="421957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5981700" cy="421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C3C63E" id="Straight Connector 1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55pt" to="472.9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" strokecolor="#5b9bd5 [3204]" strokeweight=".5pt">
                <v:stroke joinstyle="miter"/>
              </v:line>
            </w:pict>
          </mc:Fallback>
        </mc:AlternateContent>
      </w:r>
    </w:p>
    <w:p w14:paraId="5309BA5D" w14:textId="77777777" w:rsidR="00282369" w:rsidRDefault="00282369" w:rsidP="00282369">
      <w:pPr>
        <w:pStyle w:val="Citas"/>
        <w:ind w:left="0" w:right="0"/>
        <w:rPr>
          <w:i w:val="0"/>
          <w:sz w:val="24"/>
          <w:szCs w:val="24"/>
        </w:rPr>
      </w:pPr>
    </w:p>
    <w:p w14:paraId="373F5568" w14:textId="77777777" w:rsidR="00282369" w:rsidRPr="008758F8" w:rsidRDefault="00282369" w:rsidP="00282369">
      <w:pPr>
        <w:pStyle w:val="Citas"/>
        <w:ind w:left="0" w:right="0"/>
        <w:rPr>
          <w:i w:val="0"/>
          <w:sz w:val="24"/>
          <w:szCs w:val="24"/>
        </w:rPr>
      </w:pPr>
    </w:p>
    <w:p w14:paraId="13BC4589" w14:textId="77777777" w:rsidR="00282369" w:rsidRDefault="00282369" w:rsidP="00282369">
      <w:pPr>
        <w:pStyle w:val="Citas"/>
        <w:ind w:left="0" w:right="0"/>
        <w:rPr>
          <w:i w:val="0"/>
          <w:sz w:val="24"/>
          <w:szCs w:val="24"/>
        </w:rPr>
      </w:pPr>
    </w:p>
    <w:p w14:paraId="38C44893" w14:textId="77777777" w:rsidR="00282369" w:rsidRDefault="00282369" w:rsidP="00282369">
      <w:pPr>
        <w:pStyle w:val="Citas"/>
        <w:ind w:left="0" w:right="0"/>
        <w:rPr>
          <w:i w:val="0"/>
          <w:sz w:val="24"/>
          <w:szCs w:val="24"/>
        </w:rPr>
      </w:pPr>
    </w:p>
    <w:p w14:paraId="5D2104E5" w14:textId="77777777" w:rsidR="00282369" w:rsidRDefault="00282369" w:rsidP="00282369">
      <w:pPr>
        <w:pStyle w:val="Citas"/>
        <w:ind w:left="0" w:right="0"/>
        <w:rPr>
          <w:i w:val="0"/>
          <w:sz w:val="24"/>
          <w:szCs w:val="24"/>
        </w:rPr>
      </w:pPr>
    </w:p>
    <w:p w14:paraId="56C5A8B2" w14:textId="77777777" w:rsidR="00282369" w:rsidRDefault="00282369" w:rsidP="00282369">
      <w:pPr>
        <w:pStyle w:val="Citas"/>
        <w:ind w:left="0" w:right="0"/>
        <w:rPr>
          <w:i w:val="0"/>
          <w:sz w:val="24"/>
          <w:szCs w:val="24"/>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1E9DF" w14:textId="77777777" w:rsidR="00A25C65" w:rsidRDefault="00A25C65" w:rsidP="006168E4">
      <w:pPr>
        <w:spacing w:after="0" w:line="240" w:lineRule="auto"/>
      </w:pPr>
      <w:r>
        <w:separator/>
      </w:r>
    </w:p>
  </w:endnote>
  <w:endnote w:type="continuationSeparator" w:id="0">
    <w:p w14:paraId="4B173F01" w14:textId="77777777" w:rsidR="00A25C65" w:rsidRDefault="00A25C6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103F">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103F">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03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203AC">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B2BBE" w14:textId="77777777" w:rsidR="00A25C65" w:rsidRDefault="00A25C65" w:rsidP="006168E4">
      <w:pPr>
        <w:spacing w:after="0" w:line="240" w:lineRule="auto"/>
      </w:pPr>
      <w:r>
        <w:separator/>
      </w:r>
    </w:p>
  </w:footnote>
  <w:footnote w:type="continuationSeparator" w:id="0">
    <w:p w14:paraId="4D155EE5" w14:textId="77777777" w:rsidR="00A25C65" w:rsidRDefault="00A25C65" w:rsidP="006168E4">
      <w:pPr>
        <w:spacing w:after="0" w:line="240" w:lineRule="auto"/>
      </w:pPr>
      <w:r>
        <w:continuationSeparator/>
      </w:r>
    </w:p>
  </w:footnote>
  <w:footnote w:id="1">
    <w:p w14:paraId="145784EC" w14:textId="77777777" w:rsidR="00083D2D" w:rsidRPr="005552A8" w:rsidRDefault="00083D2D" w:rsidP="00083D2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C93056E" w14:textId="77777777" w:rsidR="00083D2D" w:rsidRPr="005552A8" w:rsidRDefault="00083D2D" w:rsidP="00083D2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D14A3E0" w:rsidR="00C70B4A" w:rsidRPr="00B4142F" w:rsidRDefault="0023795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51514">
            <w:rPr>
              <w:rFonts w:ascii="Palatino Linotype" w:hAnsi="Palatino Linotype" w:cs="Arial"/>
              <w:bCs/>
              <w:sz w:val="24"/>
              <w:lang w:eastAsia="es-MX"/>
            </w:rPr>
            <w:t>7650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B6B0D91" w:rsidR="00C70B4A" w:rsidRPr="00F06FED" w:rsidRDefault="00F51514" w:rsidP="00C01E1C">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DE504F3" w:rsidR="00C70B4A" w:rsidRPr="00B4142F" w:rsidRDefault="0023795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51514">
            <w:rPr>
              <w:rFonts w:ascii="Palatino Linotype" w:hAnsi="Palatino Linotype" w:cs="Arial"/>
              <w:bCs/>
              <w:sz w:val="24"/>
              <w:lang w:eastAsia="es-MX"/>
            </w:rPr>
            <w:t>7650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6F6C5DC" w:rsidR="00C70B4A" w:rsidRPr="00F06FED" w:rsidRDefault="009C628C"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F62885D" w:rsidR="00C70B4A" w:rsidRDefault="00F5151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7B22"/>
    <w:multiLevelType w:val="hybridMultilevel"/>
    <w:tmpl w:val="5978E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85788"/>
    <w:multiLevelType w:val="hybridMultilevel"/>
    <w:tmpl w:val="9C9C8B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6D0B72"/>
    <w:multiLevelType w:val="hybridMultilevel"/>
    <w:tmpl w:val="9C28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C45B6"/>
    <w:multiLevelType w:val="hybridMultilevel"/>
    <w:tmpl w:val="2D5469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0F60133E"/>
    <w:multiLevelType w:val="hybridMultilevel"/>
    <w:tmpl w:val="C05C3EA0"/>
    <w:lvl w:ilvl="0" w:tplc="3C5C232E">
      <w:start w:val="2"/>
      <w:numFmt w:val="bullet"/>
      <w:lvlText w:val="-"/>
      <w:lvlJc w:val="left"/>
      <w:pPr>
        <w:ind w:left="720" w:hanging="360"/>
      </w:pPr>
      <w:rPr>
        <w:rFonts w:ascii="Palatino Linotype" w:eastAsia="Times New Roman" w:hAnsi="Palatino Linotype"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AD3A67"/>
    <w:multiLevelType w:val="hybridMultilevel"/>
    <w:tmpl w:val="E67E314C"/>
    <w:lvl w:ilvl="0" w:tplc="2D22C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5B5CAA"/>
    <w:multiLevelType w:val="hybridMultilevel"/>
    <w:tmpl w:val="55C4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52917"/>
    <w:multiLevelType w:val="hybridMultilevel"/>
    <w:tmpl w:val="302A46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7A36CD"/>
    <w:multiLevelType w:val="hybridMultilevel"/>
    <w:tmpl w:val="6988F474"/>
    <w:lvl w:ilvl="0" w:tplc="B2087B6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563519"/>
    <w:multiLevelType w:val="hybridMultilevel"/>
    <w:tmpl w:val="F0F2344E"/>
    <w:lvl w:ilvl="0" w:tplc="C3CC1F08">
      <w:start w:val="1"/>
      <w:numFmt w:val="bullet"/>
      <w:lvlText w:val="-"/>
      <w:lvlJc w:val="left"/>
      <w:pPr>
        <w:ind w:left="1080" w:hanging="360"/>
      </w:pPr>
      <w:rPr>
        <w:rFonts w:ascii="Palatino Linotype" w:eastAsia="MS Mincho"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5" w15:restartNumberingAfterBreak="0">
    <w:nsid w:val="657F0F7B"/>
    <w:multiLevelType w:val="hybridMultilevel"/>
    <w:tmpl w:val="0F06B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B3DE9"/>
    <w:multiLevelType w:val="hybridMultilevel"/>
    <w:tmpl w:val="866674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E30F4F"/>
    <w:multiLevelType w:val="hybridMultilevel"/>
    <w:tmpl w:val="B91E37E4"/>
    <w:lvl w:ilvl="0" w:tplc="3F26E9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651C53"/>
    <w:multiLevelType w:val="hybridMultilevel"/>
    <w:tmpl w:val="692418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4"/>
  </w:num>
  <w:num w:numId="2">
    <w:abstractNumId w:val="19"/>
  </w:num>
  <w:num w:numId="3">
    <w:abstractNumId w:val="2"/>
  </w:num>
  <w:num w:numId="4">
    <w:abstractNumId w:val="16"/>
  </w:num>
  <w:num w:numId="5">
    <w:abstractNumId w:val="8"/>
  </w:num>
  <w:num w:numId="6">
    <w:abstractNumId w:val="18"/>
  </w:num>
  <w:num w:numId="7">
    <w:abstractNumId w:val="11"/>
  </w:num>
  <w:num w:numId="8">
    <w:abstractNumId w:val="12"/>
  </w:num>
  <w:num w:numId="9">
    <w:abstractNumId w:val="20"/>
  </w:num>
  <w:num w:numId="10">
    <w:abstractNumId w:val="15"/>
  </w:num>
  <w:num w:numId="11">
    <w:abstractNumId w:val="9"/>
  </w:num>
  <w:num w:numId="12">
    <w:abstractNumId w:val="0"/>
  </w:num>
  <w:num w:numId="13">
    <w:abstractNumId w:val="7"/>
  </w:num>
  <w:num w:numId="14">
    <w:abstractNumId w:val="13"/>
  </w:num>
  <w:num w:numId="15">
    <w:abstractNumId w:val="17"/>
  </w:num>
  <w:num w:numId="16">
    <w:abstractNumId w:val="10"/>
  </w:num>
  <w:num w:numId="17">
    <w:abstractNumId w:val="1"/>
  </w:num>
  <w:num w:numId="18">
    <w:abstractNumId w:val="3"/>
  </w:num>
  <w:num w:numId="19">
    <w:abstractNumId w:val="5"/>
  </w:num>
  <w:num w:numId="20">
    <w:abstractNumId w:val="6"/>
  </w:num>
  <w:num w:numId="21">
    <w:abstractNumId w:val="21"/>
  </w:num>
  <w:num w:numId="2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1EBA"/>
    <w:rsid w:val="000026CF"/>
    <w:rsid w:val="00002B41"/>
    <w:rsid w:val="00002DDF"/>
    <w:rsid w:val="000037E2"/>
    <w:rsid w:val="000053A9"/>
    <w:rsid w:val="000061F8"/>
    <w:rsid w:val="00006E49"/>
    <w:rsid w:val="00007BD9"/>
    <w:rsid w:val="00010F2B"/>
    <w:rsid w:val="0001225E"/>
    <w:rsid w:val="00013559"/>
    <w:rsid w:val="0001487B"/>
    <w:rsid w:val="000170DF"/>
    <w:rsid w:val="00020A70"/>
    <w:rsid w:val="0002155C"/>
    <w:rsid w:val="00021CBD"/>
    <w:rsid w:val="00022604"/>
    <w:rsid w:val="000236FA"/>
    <w:rsid w:val="0002450B"/>
    <w:rsid w:val="0002766F"/>
    <w:rsid w:val="000306A7"/>
    <w:rsid w:val="00031C92"/>
    <w:rsid w:val="000363A2"/>
    <w:rsid w:val="00040F18"/>
    <w:rsid w:val="000413D2"/>
    <w:rsid w:val="000416BC"/>
    <w:rsid w:val="0004199A"/>
    <w:rsid w:val="000427E8"/>
    <w:rsid w:val="000435C7"/>
    <w:rsid w:val="00045379"/>
    <w:rsid w:val="000461DF"/>
    <w:rsid w:val="000463E0"/>
    <w:rsid w:val="00046AD8"/>
    <w:rsid w:val="00054704"/>
    <w:rsid w:val="00054BC2"/>
    <w:rsid w:val="00054DD0"/>
    <w:rsid w:val="00055224"/>
    <w:rsid w:val="0005543E"/>
    <w:rsid w:val="0005622A"/>
    <w:rsid w:val="0006076C"/>
    <w:rsid w:val="00060FB3"/>
    <w:rsid w:val="00061821"/>
    <w:rsid w:val="000623F9"/>
    <w:rsid w:val="00062482"/>
    <w:rsid w:val="00062D5C"/>
    <w:rsid w:val="00063A10"/>
    <w:rsid w:val="00063EFB"/>
    <w:rsid w:val="00064BC5"/>
    <w:rsid w:val="000662F8"/>
    <w:rsid w:val="00073E78"/>
    <w:rsid w:val="000758EF"/>
    <w:rsid w:val="00076184"/>
    <w:rsid w:val="00081988"/>
    <w:rsid w:val="00083D2D"/>
    <w:rsid w:val="00086CBC"/>
    <w:rsid w:val="000877C0"/>
    <w:rsid w:val="00090AFC"/>
    <w:rsid w:val="00091552"/>
    <w:rsid w:val="00091C3A"/>
    <w:rsid w:val="00093146"/>
    <w:rsid w:val="0009423F"/>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2257"/>
    <w:rsid w:val="000E5C9F"/>
    <w:rsid w:val="000E686B"/>
    <w:rsid w:val="000F1636"/>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25828"/>
    <w:rsid w:val="001336D3"/>
    <w:rsid w:val="001364AA"/>
    <w:rsid w:val="00136FAD"/>
    <w:rsid w:val="001402F9"/>
    <w:rsid w:val="00140C32"/>
    <w:rsid w:val="00143D5F"/>
    <w:rsid w:val="00144B4A"/>
    <w:rsid w:val="00146F0A"/>
    <w:rsid w:val="00147B36"/>
    <w:rsid w:val="00152124"/>
    <w:rsid w:val="00152975"/>
    <w:rsid w:val="00152C2B"/>
    <w:rsid w:val="001542FC"/>
    <w:rsid w:val="0015539F"/>
    <w:rsid w:val="00155678"/>
    <w:rsid w:val="00156295"/>
    <w:rsid w:val="001575B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4C4"/>
    <w:rsid w:val="0018347D"/>
    <w:rsid w:val="00191926"/>
    <w:rsid w:val="00193784"/>
    <w:rsid w:val="00193FB6"/>
    <w:rsid w:val="001942EE"/>
    <w:rsid w:val="001A02EC"/>
    <w:rsid w:val="001A0906"/>
    <w:rsid w:val="001A22D7"/>
    <w:rsid w:val="001A32F0"/>
    <w:rsid w:val="001A577E"/>
    <w:rsid w:val="001A58DE"/>
    <w:rsid w:val="001A7C9B"/>
    <w:rsid w:val="001B05B9"/>
    <w:rsid w:val="001B0C56"/>
    <w:rsid w:val="001B1519"/>
    <w:rsid w:val="001B4E58"/>
    <w:rsid w:val="001B7B88"/>
    <w:rsid w:val="001C0BAD"/>
    <w:rsid w:val="001C122D"/>
    <w:rsid w:val="001C34CE"/>
    <w:rsid w:val="001C7319"/>
    <w:rsid w:val="001C775A"/>
    <w:rsid w:val="001C7D87"/>
    <w:rsid w:val="001D25D2"/>
    <w:rsid w:val="001D3E87"/>
    <w:rsid w:val="001D5F16"/>
    <w:rsid w:val="001D6FAB"/>
    <w:rsid w:val="001E1D18"/>
    <w:rsid w:val="001E2C0F"/>
    <w:rsid w:val="001E668A"/>
    <w:rsid w:val="001F0A4F"/>
    <w:rsid w:val="001F2A14"/>
    <w:rsid w:val="001F2F83"/>
    <w:rsid w:val="001F4AB8"/>
    <w:rsid w:val="001F4ADC"/>
    <w:rsid w:val="001F71ED"/>
    <w:rsid w:val="00203D3A"/>
    <w:rsid w:val="00203FF3"/>
    <w:rsid w:val="002044B4"/>
    <w:rsid w:val="00207086"/>
    <w:rsid w:val="00207669"/>
    <w:rsid w:val="00211D60"/>
    <w:rsid w:val="00213FE0"/>
    <w:rsid w:val="0021501E"/>
    <w:rsid w:val="0021572A"/>
    <w:rsid w:val="002205C0"/>
    <w:rsid w:val="00220742"/>
    <w:rsid w:val="0022494A"/>
    <w:rsid w:val="00225507"/>
    <w:rsid w:val="0023373D"/>
    <w:rsid w:val="0023423C"/>
    <w:rsid w:val="00237950"/>
    <w:rsid w:val="00237F4F"/>
    <w:rsid w:val="0024112D"/>
    <w:rsid w:val="002428BA"/>
    <w:rsid w:val="00244177"/>
    <w:rsid w:val="002527F7"/>
    <w:rsid w:val="00253F70"/>
    <w:rsid w:val="00254477"/>
    <w:rsid w:val="002556AC"/>
    <w:rsid w:val="00257337"/>
    <w:rsid w:val="002577FE"/>
    <w:rsid w:val="0025780C"/>
    <w:rsid w:val="002609D8"/>
    <w:rsid w:val="00262CBE"/>
    <w:rsid w:val="002642D3"/>
    <w:rsid w:val="002646EF"/>
    <w:rsid w:val="00266AE6"/>
    <w:rsid w:val="00267C18"/>
    <w:rsid w:val="00273D0E"/>
    <w:rsid w:val="002764D6"/>
    <w:rsid w:val="00280B8B"/>
    <w:rsid w:val="00282235"/>
    <w:rsid w:val="00282369"/>
    <w:rsid w:val="00285B00"/>
    <w:rsid w:val="00287F7C"/>
    <w:rsid w:val="00292350"/>
    <w:rsid w:val="00292DC0"/>
    <w:rsid w:val="00293C29"/>
    <w:rsid w:val="00297DB7"/>
    <w:rsid w:val="00297EDE"/>
    <w:rsid w:val="00297EF9"/>
    <w:rsid w:val="002A014A"/>
    <w:rsid w:val="002A2034"/>
    <w:rsid w:val="002A24F4"/>
    <w:rsid w:val="002A38BF"/>
    <w:rsid w:val="002A429A"/>
    <w:rsid w:val="002A597E"/>
    <w:rsid w:val="002A6AEF"/>
    <w:rsid w:val="002B0FB9"/>
    <w:rsid w:val="002B4382"/>
    <w:rsid w:val="002B5DBD"/>
    <w:rsid w:val="002B69BF"/>
    <w:rsid w:val="002B72F9"/>
    <w:rsid w:val="002B7D92"/>
    <w:rsid w:val="002B7E83"/>
    <w:rsid w:val="002C11A1"/>
    <w:rsid w:val="002C498D"/>
    <w:rsid w:val="002C4FE1"/>
    <w:rsid w:val="002C72D2"/>
    <w:rsid w:val="002D108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645D"/>
    <w:rsid w:val="00320A67"/>
    <w:rsid w:val="00321027"/>
    <w:rsid w:val="00324AC9"/>
    <w:rsid w:val="003272FB"/>
    <w:rsid w:val="003273F1"/>
    <w:rsid w:val="00330857"/>
    <w:rsid w:val="00331499"/>
    <w:rsid w:val="003315EC"/>
    <w:rsid w:val="0033580E"/>
    <w:rsid w:val="00343D1E"/>
    <w:rsid w:val="00350122"/>
    <w:rsid w:val="0035054D"/>
    <w:rsid w:val="00354258"/>
    <w:rsid w:val="00355593"/>
    <w:rsid w:val="00357E0E"/>
    <w:rsid w:val="0036114B"/>
    <w:rsid w:val="00361B9C"/>
    <w:rsid w:val="00361D89"/>
    <w:rsid w:val="00363E02"/>
    <w:rsid w:val="003670B0"/>
    <w:rsid w:val="003672FB"/>
    <w:rsid w:val="00370588"/>
    <w:rsid w:val="00370797"/>
    <w:rsid w:val="00370C79"/>
    <w:rsid w:val="003746C6"/>
    <w:rsid w:val="00375763"/>
    <w:rsid w:val="00375BEA"/>
    <w:rsid w:val="0037673B"/>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99D"/>
    <w:rsid w:val="003A0420"/>
    <w:rsid w:val="003A2246"/>
    <w:rsid w:val="003A2658"/>
    <w:rsid w:val="003A61F9"/>
    <w:rsid w:val="003A6975"/>
    <w:rsid w:val="003B0D66"/>
    <w:rsid w:val="003B1E88"/>
    <w:rsid w:val="003B3909"/>
    <w:rsid w:val="003B5E96"/>
    <w:rsid w:val="003C17E5"/>
    <w:rsid w:val="003C5243"/>
    <w:rsid w:val="003C53ED"/>
    <w:rsid w:val="003C73CE"/>
    <w:rsid w:val="003D05FB"/>
    <w:rsid w:val="003D0B7E"/>
    <w:rsid w:val="003D1FA2"/>
    <w:rsid w:val="003D3260"/>
    <w:rsid w:val="003D4E0F"/>
    <w:rsid w:val="003D5C0A"/>
    <w:rsid w:val="003E16E1"/>
    <w:rsid w:val="003E1871"/>
    <w:rsid w:val="003E504D"/>
    <w:rsid w:val="003E656A"/>
    <w:rsid w:val="003E78B7"/>
    <w:rsid w:val="003F3016"/>
    <w:rsid w:val="003F3325"/>
    <w:rsid w:val="003F38EB"/>
    <w:rsid w:val="003F76E5"/>
    <w:rsid w:val="004012CF"/>
    <w:rsid w:val="004015EE"/>
    <w:rsid w:val="00402FF3"/>
    <w:rsid w:val="0040673A"/>
    <w:rsid w:val="004069EB"/>
    <w:rsid w:val="00410ACB"/>
    <w:rsid w:val="00411E6F"/>
    <w:rsid w:val="004124C4"/>
    <w:rsid w:val="00412600"/>
    <w:rsid w:val="004150FE"/>
    <w:rsid w:val="00422B20"/>
    <w:rsid w:val="00422ED2"/>
    <w:rsid w:val="00423213"/>
    <w:rsid w:val="0042416D"/>
    <w:rsid w:val="00424487"/>
    <w:rsid w:val="00424EA1"/>
    <w:rsid w:val="00425A9B"/>
    <w:rsid w:val="00435290"/>
    <w:rsid w:val="00436802"/>
    <w:rsid w:val="00437E68"/>
    <w:rsid w:val="004411CF"/>
    <w:rsid w:val="00442E45"/>
    <w:rsid w:val="00443AD4"/>
    <w:rsid w:val="0044438E"/>
    <w:rsid w:val="0044504D"/>
    <w:rsid w:val="00445C0F"/>
    <w:rsid w:val="0044771D"/>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61F"/>
    <w:rsid w:val="00491C1C"/>
    <w:rsid w:val="00492B6B"/>
    <w:rsid w:val="00492BC7"/>
    <w:rsid w:val="004938E6"/>
    <w:rsid w:val="004967E2"/>
    <w:rsid w:val="004975A8"/>
    <w:rsid w:val="004A114B"/>
    <w:rsid w:val="004A2363"/>
    <w:rsid w:val="004A2761"/>
    <w:rsid w:val="004A290F"/>
    <w:rsid w:val="004A55D8"/>
    <w:rsid w:val="004A5FFD"/>
    <w:rsid w:val="004A7118"/>
    <w:rsid w:val="004A7CE2"/>
    <w:rsid w:val="004B031A"/>
    <w:rsid w:val="004B234F"/>
    <w:rsid w:val="004B353F"/>
    <w:rsid w:val="004B59BB"/>
    <w:rsid w:val="004B5CCC"/>
    <w:rsid w:val="004B60C5"/>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5001FE"/>
    <w:rsid w:val="005020E9"/>
    <w:rsid w:val="005029A2"/>
    <w:rsid w:val="00503655"/>
    <w:rsid w:val="00504BE3"/>
    <w:rsid w:val="00506F7D"/>
    <w:rsid w:val="00507065"/>
    <w:rsid w:val="00507965"/>
    <w:rsid w:val="00510D77"/>
    <w:rsid w:val="005128DD"/>
    <w:rsid w:val="00514207"/>
    <w:rsid w:val="005149BE"/>
    <w:rsid w:val="00515090"/>
    <w:rsid w:val="00515BE3"/>
    <w:rsid w:val="005179E4"/>
    <w:rsid w:val="00521E57"/>
    <w:rsid w:val="00524A39"/>
    <w:rsid w:val="00525093"/>
    <w:rsid w:val="005305EA"/>
    <w:rsid w:val="00535567"/>
    <w:rsid w:val="0053652A"/>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0DDB"/>
    <w:rsid w:val="00561ABC"/>
    <w:rsid w:val="00562653"/>
    <w:rsid w:val="005630B0"/>
    <w:rsid w:val="00563CE8"/>
    <w:rsid w:val="005653DD"/>
    <w:rsid w:val="005662E2"/>
    <w:rsid w:val="00571389"/>
    <w:rsid w:val="005733EB"/>
    <w:rsid w:val="005734C5"/>
    <w:rsid w:val="0057453A"/>
    <w:rsid w:val="00575268"/>
    <w:rsid w:val="00576D51"/>
    <w:rsid w:val="0057792B"/>
    <w:rsid w:val="0058025B"/>
    <w:rsid w:val="00580802"/>
    <w:rsid w:val="00581A22"/>
    <w:rsid w:val="00585EC8"/>
    <w:rsid w:val="005860CB"/>
    <w:rsid w:val="00587E32"/>
    <w:rsid w:val="005918F3"/>
    <w:rsid w:val="0059250B"/>
    <w:rsid w:val="005938E2"/>
    <w:rsid w:val="00593E91"/>
    <w:rsid w:val="0059442D"/>
    <w:rsid w:val="00594D38"/>
    <w:rsid w:val="0059714F"/>
    <w:rsid w:val="0059753D"/>
    <w:rsid w:val="005A0B49"/>
    <w:rsid w:val="005A1108"/>
    <w:rsid w:val="005A1286"/>
    <w:rsid w:val="005A27AD"/>
    <w:rsid w:val="005A353A"/>
    <w:rsid w:val="005A4EBE"/>
    <w:rsid w:val="005A5C79"/>
    <w:rsid w:val="005A6D57"/>
    <w:rsid w:val="005A71FD"/>
    <w:rsid w:val="005B0B52"/>
    <w:rsid w:val="005B1F52"/>
    <w:rsid w:val="005B32BB"/>
    <w:rsid w:val="005B5840"/>
    <w:rsid w:val="005B5B70"/>
    <w:rsid w:val="005B5F05"/>
    <w:rsid w:val="005C049E"/>
    <w:rsid w:val="005C17BF"/>
    <w:rsid w:val="005C57BA"/>
    <w:rsid w:val="005C6982"/>
    <w:rsid w:val="005C6B74"/>
    <w:rsid w:val="005C7AEA"/>
    <w:rsid w:val="005D125D"/>
    <w:rsid w:val="005D2B59"/>
    <w:rsid w:val="005D362F"/>
    <w:rsid w:val="005D370F"/>
    <w:rsid w:val="005D3E85"/>
    <w:rsid w:val="005D44D1"/>
    <w:rsid w:val="005D53D6"/>
    <w:rsid w:val="005E1B06"/>
    <w:rsid w:val="005E265D"/>
    <w:rsid w:val="005E3D7D"/>
    <w:rsid w:val="005E4D7C"/>
    <w:rsid w:val="005E5F6A"/>
    <w:rsid w:val="005E7AE4"/>
    <w:rsid w:val="005E7FBF"/>
    <w:rsid w:val="005F048E"/>
    <w:rsid w:val="005F2047"/>
    <w:rsid w:val="005F2C76"/>
    <w:rsid w:val="005F3D88"/>
    <w:rsid w:val="005F57F0"/>
    <w:rsid w:val="00600726"/>
    <w:rsid w:val="00601010"/>
    <w:rsid w:val="0060283B"/>
    <w:rsid w:val="006028C9"/>
    <w:rsid w:val="006046E6"/>
    <w:rsid w:val="0060676C"/>
    <w:rsid w:val="0060721D"/>
    <w:rsid w:val="0061042F"/>
    <w:rsid w:val="00613A59"/>
    <w:rsid w:val="006168E4"/>
    <w:rsid w:val="00621F47"/>
    <w:rsid w:val="00622359"/>
    <w:rsid w:val="0062497C"/>
    <w:rsid w:val="00625200"/>
    <w:rsid w:val="006255AA"/>
    <w:rsid w:val="00630846"/>
    <w:rsid w:val="00631806"/>
    <w:rsid w:val="00636B66"/>
    <w:rsid w:val="00637512"/>
    <w:rsid w:val="0063776D"/>
    <w:rsid w:val="00640EE4"/>
    <w:rsid w:val="006456FA"/>
    <w:rsid w:val="006466F5"/>
    <w:rsid w:val="00646C24"/>
    <w:rsid w:val="00652BC5"/>
    <w:rsid w:val="00657BD1"/>
    <w:rsid w:val="00661753"/>
    <w:rsid w:val="0066216F"/>
    <w:rsid w:val="006654F6"/>
    <w:rsid w:val="0067218C"/>
    <w:rsid w:val="00675390"/>
    <w:rsid w:val="00676123"/>
    <w:rsid w:val="00676CAA"/>
    <w:rsid w:val="006802CF"/>
    <w:rsid w:val="0068048C"/>
    <w:rsid w:val="006827AB"/>
    <w:rsid w:val="006831E4"/>
    <w:rsid w:val="00683B62"/>
    <w:rsid w:val="006848B7"/>
    <w:rsid w:val="006868A7"/>
    <w:rsid w:val="00690791"/>
    <w:rsid w:val="006915EA"/>
    <w:rsid w:val="00694828"/>
    <w:rsid w:val="006A0B5A"/>
    <w:rsid w:val="006A3810"/>
    <w:rsid w:val="006A65EE"/>
    <w:rsid w:val="006A68B8"/>
    <w:rsid w:val="006A6CE8"/>
    <w:rsid w:val="006A7CEB"/>
    <w:rsid w:val="006B061F"/>
    <w:rsid w:val="006B1953"/>
    <w:rsid w:val="006B1BF1"/>
    <w:rsid w:val="006B20F0"/>
    <w:rsid w:val="006B26E3"/>
    <w:rsid w:val="006B3085"/>
    <w:rsid w:val="006B4562"/>
    <w:rsid w:val="006B69CF"/>
    <w:rsid w:val="006B7444"/>
    <w:rsid w:val="006C00E1"/>
    <w:rsid w:val="006C17FD"/>
    <w:rsid w:val="006C28B4"/>
    <w:rsid w:val="006C28CA"/>
    <w:rsid w:val="006C350D"/>
    <w:rsid w:val="006C5E56"/>
    <w:rsid w:val="006C647E"/>
    <w:rsid w:val="006C66E4"/>
    <w:rsid w:val="006C7C01"/>
    <w:rsid w:val="006D23FC"/>
    <w:rsid w:val="006D643D"/>
    <w:rsid w:val="006D7FBF"/>
    <w:rsid w:val="006E063C"/>
    <w:rsid w:val="006E245B"/>
    <w:rsid w:val="006E3851"/>
    <w:rsid w:val="006E7EF3"/>
    <w:rsid w:val="006F1167"/>
    <w:rsid w:val="006F3B9F"/>
    <w:rsid w:val="006F4044"/>
    <w:rsid w:val="006F46DC"/>
    <w:rsid w:val="006F4CC6"/>
    <w:rsid w:val="00701033"/>
    <w:rsid w:val="00701A3F"/>
    <w:rsid w:val="00702A03"/>
    <w:rsid w:val="00704BD8"/>
    <w:rsid w:val="00704EFD"/>
    <w:rsid w:val="007051A0"/>
    <w:rsid w:val="007078C8"/>
    <w:rsid w:val="00712E3A"/>
    <w:rsid w:val="00713CE6"/>
    <w:rsid w:val="00714DAA"/>
    <w:rsid w:val="007169EF"/>
    <w:rsid w:val="00721506"/>
    <w:rsid w:val="007216DB"/>
    <w:rsid w:val="00721F01"/>
    <w:rsid w:val="007246D3"/>
    <w:rsid w:val="00725F5A"/>
    <w:rsid w:val="007274EC"/>
    <w:rsid w:val="00737605"/>
    <w:rsid w:val="007404D5"/>
    <w:rsid w:val="00740BDD"/>
    <w:rsid w:val="007417C8"/>
    <w:rsid w:val="00744287"/>
    <w:rsid w:val="00744EEF"/>
    <w:rsid w:val="00745D76"/>
    <w:rsid w:val="00747109"/>
    <w:rsid w:val="00747487"/>
    <w:rsid w:val="007505EB"/>
    <w:rsid w:val="007516CE"/>
    <w:rsid w:val="00751B4B"/>
    <w:rsid w:val="00752A9A"/>
    <w:rsid w:val="00754CAE"/>
    <w:rsid w:val="00760D70"/>
    <w:rsid w:val="00762D74"/>
    <w:rsid w:val="00763EE7"/>
    <w:rsid w:val="00764DB2"/>
    <w:rsid w:val="0076623B"/>
    <w:rsid w:val="00767E4B"/>
    <w:rsid w:val="007718AD"/>
    <w:rsid w:val="00772134"/>
    <w:rsid w:val="00772659"/>
    <w:rsid w:val="007730E1"/>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108E"/>
    <w:rsid w:val="007B2C77"/>
    <w:rsid w:val="007B2E78"/>
    <w:rsid w:val="007B3206"/>
    <w:rsid w:val="007B5E84"/>
    <w:rsid w:val="007B6549"/>
    <w:rsid w:val="007C1A9C"/>
    <w:rsid w:val="007C3F2F"/>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6623"/>
    <w:rsid w:val="00802338"/>
    <w:rsid w:val="00802C56"/>
    <w:rsid w:val="008053CE"/>
    <w:rsid w:val="008056BC"/>
    <w:rsid w:val="00806EE9"/>
    <w:rsid w:val="00807750"/>
    <w:rsid w:val="00807E35"/>
    <w:rsid w:val="00811205"/>
    <w:rsid w:val="00812C48"/>
    <w:rsid w:val="00812F5E"/>
    <w:rsid w:val="008146F9"/>
    <w:rsid w:val="008218CD"/>
    <w:rsid w:val="00821AEB"/>
    <w:rsid w:val="0082456B"/>
    <w:rsid w:val="00824DCD"/>
    <w:rsid w:val="00827964"/>
    <w:rsid w:val="008311A6"/>
    <w:rsid w:val="008327EA"/>
    <w:rsid w:val="00833E8A"/>
    <w:rsid w:val="008357C0"/>
    <w:rsid w:val="00836987"/>
    <w:rsid w:val="0083744B"/>
    <w:rsid w:val="00843026"/>
    <w:rsid w:val="00844009"/>
    <w:rsid w:val="0084448D"/>
    <w:rsid w:val="00844569"/>
    <w:rsid w:val="00844CD2"/>
    <w:rsid w:val="00844CDE"/>
    <w:rsid w:val="00845083"/>
    <w:rsid w:val="00847CAF"/>
    <w:rsid w:val="00847D23"/>
    <w:rsid w:val="00854523"/>
    <w:rsid w:val="00854E7E"/>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90342"/>
    <w:rsid w:val="00890B7A"/>
    <w:rsid w:val="00890C62"/>
    <w:rsid w:val="0089173B"/>
    <w:rsid w:val="0089437B"/>
    <w:rsid w:val="00895089"/>
    <w:rsid w:val="008951ED"/>
    <w:rsid w:val="00896151"/>
    <w:rsid w:val="0089761E"/>
    <w:rsid w:val="008977EE"/>
    <w:rsid w:val="008A0693"/>
    <w:rsid w:val="008A5928"/>
    <w:rsid w:val="008A75BE"/>
    <w:rsid w:val="008B0D6E"/>
    <w:rsid w:val="008B1AD9"/>
    <w:rsid w:val="008B1C1B"/>
    <w:rsid w:val="008B1D2E"/>
    <w:rsid w:val="008B4DF4"/>
    <w:rsid w:val="008B69CF"/>
    <w:rsid w:val="008B6C58"/>
    <w:rsid w:val="008C08BE"/>
    <w:rsid w:val="008C229F"/>
    <w:rsid w:val="008C32A8"/>
    <w:rsid w:val="008C3445"/>
    <w:rsid w:val="008C366D"/>
    <w:rsid w:val="008C4E94"/>
    <w:rsid w:val="008C55A3"/>
    <w:rsid w:val="008C7368"/>
    <w:rsid w:val="008D1BF1"/>
    <w:rsid w:val="008D32F0"/>
    <w:rsid w:val="008D7193"/>
    <w:rsid w:val="008E012F"/>
    <w:rsid w:val="008E6375"/>
    <w:rsid w:val="008F17A1"/>
    <w:rsid w:val="008F2158"/>
    <w:rsid w:val="008F24C9"/>
    <w:rsid w:val="008F4670"/>
    <w:rsid w:val="008F4C65"/>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403D"/>
    <w:rsid w:val="0092524A"/>
    <w:rsid w:val="00933BEE"/>
    <w:rsid w:val="00934304"/>
    <w:rsid w:val="00934415"/>
    <w:rsid w:val="0093462F"/>
    <w:rsid w:val="009346BF"/>
    <w:rsid w:val="009367EA"/>
    <w:rsid w:val="009402DB"/>
    <w:rsid w:val="00942E41"/>
    <w:rsid w:val="009440D8"/>
    <w:rsid w:val="009449B8"/>
    <w:rsid w:val="00944DC9"/>
    <w:rsid w:val="00945203"/>
    <w:rsid w:val="009454E7"/>
    <w:rsid w:val="0094603F"/>
    <w:rsid w:val="00951F85"/>
    <w:rsid w:val="00952850"/>
    <w:rsid w:val="009555DC"/>
    <w:rsid w:val="00956D6B"/>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467"/>
    <w:rsid w:val="00982A98"/>
    <w:rsid w:val="009855E2"/>
    <w:rsid w:val="00985612"/>
    <w:rsid w:val="00987C03"/>
    <w:rsid w:val="00990E3D"/>
    <w:rsid w:val="00991F94"/>
    <w:rsid w:val="00992977"/>
    <w:rsid w:val="00992B07"/>
    <w:rsid w:val="0099557F"/>
    <w:rsid w:val="009A3511"/>
    <w:rsid w:val="009A4B44"/>
    <w:rsid w:val="009A6377"/>
    <w:rsid w:val="009A686F"/>
    <w:rsid w:val="009A7912"/>
    <w:rsid w:val="009B0094"/>
    <w:rsid w:val="009B28E9"/>
    <w:rsid w:val="009B2CF5"/>
    <w:rsid w:val="009B33A8"/>
    <w:rsid w:val="009B3487"/>
    <w:rsid w:val="009B36EA"/>
    <w:rsid w:val="009B390A"/>
    <w:rsid w:val="009B7C61"/>
    <w:rsid w:val="009C22B1"/>
    <w:rsid w:val="009C3793"/>
    <w:rsid w:val="009C520A"/>
    <w:rsid w:val="009C628C"/>
    <w:rsid w:val="009C62BD"/>
    <w:rsid w:val="009D26AD"/>
    <w:rsid w:val="009D341C"/>
    <w:rsid w:val="009D45BD"/>
    <w:rsid w:val="009D5261"/>
    <w:rsid w:val="009D58E2"/>
    <w:rsid w:val="009E1411"/>
    <w:rsid w:val="009E19FC"/>
    <w:rsid w:val="009E52F2"/>
    <w:rsid w:val="009F1118"/>
    <w:rsid w:val="009F1287"/>
    <w:rsid w:val="009F25EB"/>
    <w:rsid w:val="009F2A10"/>
    <w:rsid w:val="009F3C1F"/>
    <w:rsid w:val="009F614E"/>
    <w:rsid w:val="009F657D"/>
    <w:rsid w:val="009F762B"/>
    <w:rsid w:val="009F76BA"/>
    <w:rsid w:val="009F7E09"/>
    <w:rsid w:val="00A004A7"/>
    <w:rsid w:val="00A02047"/>
    <w:rsid w:val="00A02D87"/>
    <w:rsid w:val="00A035C0"/>
    <w:rsid w:val="00A036BE"/>
    <w:rsid w:val="00A045F6"/>
    <w:rsid w:val="00A0575E"/>
    <w:rsid w:val="00A068CE"/>
    <w:rsid w:val="00A07E48"/>
    <w:rsid w:val="00A10F77"/>
    <w:rsid w:val="00A12205"/>
    <w:rsid w:val="00A1334E"/>
    <w:rsid w:val="00A139AF"/>
    <w:rsid w:val="00A1669D"/>
    <w:rsid w:val="00A20113"/>
    <w:rsid w:val="00A24150"/>
    <w:rsid w:val="00A24B74"/>
    <w:rsid w:val="00A25C65"/>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5818"/>
    <w:rsid w:val="00A55CE0"/>
    <w:rsid w:val="00A56556"/>
    <w:rsid w:val="00A625E2"/>
    <w:rsid w:val="00A63015"/>
    <w:rsid w:val="00A63DC7"/>
    <w:rsid w:val="00A644C4"/>
    <w:rsid w:val="00A70289"/>
    <w:rsid w:val="00A72105"/>
    <w:rsid w:val="00A72465"/>
    <w:rsid w:val="00A7389E"/>
    <w:rsid w:val="00A76B74"/>
    <w:rsid w:val="00A80C92"/>
    <w:rsid w:val="00A82461"/>
    <w:rsid w:val="00A84417"/>
    <w:rsid w:val="00A851D8"/>
    <w:rsid w:val="00A858B3"/>
    <w:rsid w:val="00A870C4"/>
    <w:rsid w:val="00A87326"/>
    <w:rsid w:val="00A94568"/>
    <w:rsid w:val="00A953BA"/>
    <w:rsid w:val="00A96F9F"/>
    <w:rsid w:val="00A977B0"/>
    <w:rsid w:val="00A9792A"/>
    <w:rsid w:val="00AA0848"/>
    <w:rsid w:val="00AA0AAF"/>
    <w:rsid w:val="00AA2C55"/>
    <w:rsid w:val="00AA3C06"/>
    <w:rsid w:val="00AA3FFB"/>
    <w:rsid w:val="00AA4288"/>
    <w:rsid w:val="00AA56F6"/>
    <w:rsid w:val="00AA5D62"/>
    <w:rsid w:val="00AB0571"/>
    <w:rsid w:val="00AB1E84"/>
    <w:rsid w:val="00AB2BF2"/>
    <w:rsid w:val="00AB3710"/>
    <w:rsid w:val="00AB4B0F"/>
    <w:rsid w:val="00AB4C9F"/>
    <w:rsid w:val="00AB6C3B"/>
    <w:rsid w:val="00AB7F4A"/>
    <w:rsid w:val="00AC226E"/>
    <w:rsid w:val="00AC3FFC"/>
    <w:rsid w:val="00AC722C"/>
    <w:rsid w:val="00AC75C1"/>
    <w:rsid w:val="00AC7906"/>
    <w:rsid w:val="00AD1291"/>
    <w:rsid w:val="00AD134F"/>
    <w:rsid w:val="00AD1D20"/>
    <w:rsid w:val="00AD1F40"/>
    <w:rsid w:val="00AD269D"/>
    <w:rsid w:val="00AD3428"/>
    <w:rsid w:val="00AD3AA2"/>
    <w:rsid w:val="00AD43B8"/>
    <w:rsid w:val="00AD49B1"/>
    <w:rsid w:val="00AD4B1A"/>
    <w:rsid w:val="00AE008F"/>
    <w:rsid w:val="00AE1BE3"/>
    <w:rsid w:val="00AF0161"/>
    <w:rsid w:val="00AF2A1F"/>
    <w:rsid w:val="00AF2D1C"/>
    <w:rsid w:val="00AF2D9B"/>
    <w:rsid w:val="00AF37CE"/>
    <w:rsid w:val="00AF393B"/>
    <w:rsid w:val="00AF47F4"/>
    <w:rsid w:val="00AF67A0"/>
    <w:rsid w:val="00AF7A46"/>
    <w:rsid w:val="00B00628"/>
    <w:rsid w:val="00B0749B"/>
    <w:rsid w:val="00B10050"/>
    <w:rsid w:val="00B10A1E"/>
    <w:rsid w:val="00B10B36"/>
    <w:rsid w:val="00B11E08"/>
    <w:rsid w:val="00B12FF9"/>
    <w:rsid w:val="00B14039"/>
    <w:rsid w:val="00B149FA"/>
    <w:rsid w:val="00B177F4"/>
    <w:rsid w:val="00B22242"/>
    <w:rsid w:val="00B2232C"/>
    <w:rsid w:val="00B22541"/>
    <w:rsid w:val="00B2330D"/>
    <w:rsid w:val="00B32CD3"/>
    <w:rsid w:val="00B34CED"/>
    <w:rsid w:val="00B35A93"/>
    <w:rsid w:val="00B3672D"/>
    <w:rsid w:val="00B37DCF"/>
    <w:rsid w:val="00B433C9"/>
    <w:rsid w:val="00B437D8"/>
    <w:rsid w:val="00B44ADE"/>
    <w:rsid w:val="00B45FDE"/>
    <w:rsid w:val="00B46B42"/>
    <w:rsid w:val="00B4745C"/>
    <w:rsid w:val="00B50C47"/>
    <w:rsid w:val="00B52D3E"/>
    <w:rsid w:val="00B52E55"/>
    <w:rsid w:val="00B534F0"/>
    <w:rsid w:val="00B54C62"/>
    <w:rsid w:val="00B57980"/>
    <w:rsid w:val="00B601D4"/>
    <w:rsid w:val="00B60DA2"/>
    <w:rsid w:val="00B6166B"/>
    <w:rsid w:val="00B61955"/>
    <w:rsid w:val="00B63BC9"/>
    <w:rsid w:val="00B653BB"/>
    <w:rsid w:val="00B66E86"/>
    <w:rsid w:val="00B6767A"/>
    <w:rsid w:val="00B67A20"/>
    <w:rsid w:val="00B710FE"/>
    <w:rsid w:val="00B724E8"/>
    <w:rsid w:val="00B8295B"/>
    <w:rsid w:val="00B85E83"/>
    <w:rsid w:val="00B87D50"/>
    <w:rsid w:val="00B91B5D"/>
    <w:rsid w:val="00B91BCB"/>
    <w:rsid w:val="00B9223B"/>
    <w:rsid w:val="00B953BD"/>
    <w:rsid w:val="00B95905"/>
    <w:rsid w:val="00B97421"/>
    <w:rsid w:val="00BA2A94"/>
    <w:rsid w:val="00BA4679"/>
    <w:rsid w:val="00BA4D1F"/>
    <w:rsid w:val="00BA5339"/>
    <w:rsid w:val="00BA6226"/>
    <w:rsid w:val="00BA7AD1"/>
    <w:rsid w:val="00BA7F86"/>
    <w:rsid w:val="00BB2250"/>
    <w:rsid w:val="00BB3132"/>
    <w:rsid w:val="00BB3BC5"/>
    <w:rsid w:val="00BB5448"/>
    <w:rsid w:val="00BB68CA"/>
    <w:rsid w:val="00BB721B"/>
    <w:rsid w:val="00BB7454"/>
    <w:rsid w:val="00BC0FDD"/>
    <w:rsid w:val="00BC22E0"/>
    <w:rsid w:val="00BC2A46"/>
    <w:rsid w:val="00BC3FA4"/>
    <w:rsid w:val="00BD004A"/>
    <w:rsid w:val="00BD352C"/>
    <w:rsid w:val="00BD5023"/>
    <w:rsid w:val="00BD5133"/>
    <w:rsid w:val="00BD58AB"/>
    <w:rsid w:val="00BE28ED"/>
    <w:rsid w:val="00BE4D87"/>
    <w:rsid w:val="00BF24E3"/>
    <w:rsid w:val="00BF7FAB"/>
    <w:rsid w:val="00C008B2"/>
    <w:rsid w:val="00C01ABC"/>
    <w:rsid w:val="00C01E1C"/>
    <w:rsid w:val="00C01F6B"/>
    <w:rsid w:val="00C02672"/>
    <w:rsid w:val="00C02A84"/>
    <w:rsid w:val="00C07B2D"/>
    <w:rsid w:val="00C10621"/>
    <w:rsid w:val="00C12209"/>
    <w:rsid w:val="00C14CD6"/>
    <w:rsid w:val="00C155B6"/>
    <w:rsid w:val="00C16927"/>
    <w:rsid w:val="00C16C54"/>
    <w:rsid w:val="00C2082E"/>
    <w:rsid w:val="00C20835"/>
    <w:rsid w:val="00C24A09"/>
    <w:rsid w:val="00C25084"/>
    <w:rsid w:val="00C25BAC"/>
    <w:rsid w:val="00C274BE"/>
    <w:rsid w:val="00C274C6"/>
    <w:rsid w:val="00C310B6"/>
    <w:rsid w:val="00C3330D"/>
    <w:rsid w:val="00C347FE"/>
    <w:rsid w:val="00C357BE"/>
    <w:rsid w:val="00C4006D"/>
    <w:rsid w:val="00C4530E"/>
    <w:rsid w:val="00C45C21"/>
    <w:rsid w:val="00C45FA3"/>
    <w:rsid w:val="00C47180"/>
    <w:rsid w:val="00C50177"/>
    <w:rsid w:val="00C5130E"/>
    <w:rsid w:val="00C51FF1"/>
    <w:rsid w:val="00C5264B"/>
    <w:rsid w:val="00C54BCB"/>
    <w:rsid w:val="00C56C44"/>
    <w:rsid w:val="00C57028"/>
    <w:rsid w:val="00C572BB"/>
    <w:rsid w:val="00C57BD4"/>
    <w:rsid w:val="00C604B3"/>
    <w:rsid w:val="00C60BD4"/>
    <w:rsid w:val="00C6271F"/>
    <w:rsid w:val="00C62A64"/>
    <w:rsid w:val="00C6332C"/>
    <w:rsid w:val="00C654EC"/>
    <w:rsid w:val="00C66F97"/>
    <w:rsid w:val="00C6721D"/>
    <w:rsid w:val="00C677A9"/>
    <w:rsid w:val="00C678B3"/>
    <w:rsid w:val="00C70B4A"/>
    <w:rsid w:val="00C71CD1"/>
    <w:rsid w:val="00C73143"/>
    <w:rsid w:val="00C766C0"/>
    <w:rsid w:val="00C77685"/>
    <w:rsid w:val="00C77815"/>
    <w:rsid w:val="00C77977"/>
    <w:rsid w:val="00C77ABA"/>
    <w:rsid w:val="00C8085F"/>
    <w:rsid w:val="00C82057"/>
    <w:rsid w:val="00C821B6"/>
    <w:rsid w:val="00C82860"/>
    <w:rsid w:val="00C8471E"/>
    <w:rsid w:val="00C850CE"/>
    <w:rsid w:val="00C85378"/>
    <w:rsid w:val="00C90BE5"/>
    <w:rsid w:val="00C91B10"/>
    <w:rsid w:val="00C925E0"/>
    <w:rsid w:val="00C9271F"/>
    <w:rsid w:val="00C9297C"/>
    <w:rsid w:val="00CA4C92"/>
    <w:rsid w:val="00CA5334"/>
    <w:rsid w:val="00CA6FDA"/>
    <w:rsid w:val="00CB0886"/>
    <w:rsid w:val="00CB0CDA"/>
    <w:rsid w:val="00CB2CC0"/>
    <w:rsid w:val="00CB2DA9"/>
    <w:rsid w:val="00CB3B6F"/>
    <w:rsid w:val="00CC0C5F"/>
    <w:rsid w:val="00CC2F3D"/>
    <w:rsid w:val="00CC4BF0"/>
    <w:rsid w:val="00CC4CF6"/>
    <w:rsid w:val="00CC51A7"/>
    <w:rsid w:val="00CC5FF3"/>
    <w:rsid w:val="00CC6072"/>
    <w:rsid w:val="00CD1612"/>
    <w:rsid w:val="00CD2541"/>
    <w:rsid w:val="00CD365B"/>
    <w:rsid w:val="00CD4BFA"/>
    <w:rsid w:val="00CD5FF7"/>
    <w:rsid w:val="00CE0E72"/>
    <w:rsid w:val="00CE148C"/>
    <w:rsid w:val="00CE21F8"/>
    <w:rsid w:val="00CE2ADF"/>
    <w:rsid w:val="00CE367D"/>
    <w:rsid w:val="00CE784A"/>
    <w:rsid w:val="00CF0244"/>
    <w:rsid w:val="00CF1C84"/>
    <w:rsid w:val="00CF1D7D"/>
    <w:rsid w:val="00CF45D3"/>
    <w:rsid w:val="00CF51F9"/>
    <w:rsid w:val="00CF630D"/>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203AC"/>
    <w:rsid w:val="00D21565"/>
    <w:rsid w:val="00D215A7"/>
    <w:rsid w:val="00D22F7D"/>
    <w:rsid w:val="00D25BEE"/>
    <w:rsid w:val="00D2737E"/>
    <w:rsid w:val="00D274A9"/>
    <w:rsid w:val="00D302CF"/>
    <w:rsid w:val="00D318E3"/>
    <w:rsid w:val="00D32644"/>
    <w:rsid w:val="00D3289F"/>
    <w:rsid w:val="00D33619"/>
    <w:rsid w:val="00D37160"/>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66CC"/>
    <w:rsid w:val="00D81029"/>
    <w:rsid w:val="00D8195B"/>
    <w:rsid w:val="00D821F8"/>
    <w:rsid w:val="00D83C0A"/>
    <w:rsid w:val="00D848F9"/>
    <w:rsid w:val="00D84DDC"/>
    <w:rsid w:val="00D85695"/>
    <w:rsid w:val="00D857BA"/>
    <w:rsid w:val="00D8619F"/>
    <w:rsid w:val="00D86764"/>
    <w:rsid w:val="00D870AC"/>
    <w:rsid w:val="00D90B92"/>
    <w:rsid w:val="00D922C3"/>
    <w:rsid w:val="00D93FF7"/>
    <w:rsid w:val="00D95611"/>
    <w:rsid w:val="00DA0DF2"/>
    <w:rsid w:val="00DA1152"/>
    <w:rsid w:val="00DA41D7"/>
    <w:rsid w:val="00DA494B"/>
    <w:rsid w:val="00DA5B72"/>
    <w:rsid w:val="00DB56E1"/>
    <w:rsid w:val="00DB5C0A"/>
    <w:rsid w:val="00DC0220"/>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4866"/>
    <w:rsid w:val="00E07379"/>
    <w:rsid w:val="00E076C1"/>
    <w:rsid w:val="00E07FCA"/>
    <w:rsid w:val="00E11E2E"/>
    <w:rsid w:val="00E13C83"/>
    <w:rsid w:val="00E15541"/>
    <w:rsid w:val="00E15555"/>
    <w:rsid w:val="00E15B7D"/>
    <w:rsid w:val="00E2408E"/>
    <w:rsid w:val="00E24BB6"/>
    <w:rsid w:val="00E27CDB"/>
    <w:rsid w:val="00E30FB9"/>
    <w:rsid w:val="00E369BA"/>
    <w:rsid w:val="00E371EC"/>
    <w:rsid w:val="00E43116"/>
    <w:rsid w:val="00E444DA"/>
    <w:rsid w:val="00E44674"/>
    <w:rsid w:val="00E51A48"/>
    <w:rsid w:val="00E550AA"/>
    <w:rsid w:val="00E571F8"/>
    <w:rsid w:val="00E57E5A"/>
    <w:rsid w:val="00E64F0A"/>
    <w:rsid w:val="00E65EAD"/>
    <w:rsid w:val="00E67668"/>
    <w:rsid w:val="00E702C1"/>
    <w:rsid w:val="00E70AEE"/>
    <w:rsid w:val="00E7107E"/>
    <w:rsid w:val="00E71C93"/>
    <w:rsid w:val="00E725D5"/>
    <w:rsid w:val="00E72AE3"/>
    <w:rsid w:val="00E73B51"/>
    <w:rsid w:val="00E76B98"/>
    <w:rsid w:val="00E77FC8"/>
    <w:rsid w:val="00E80F54"/>
    <w:rsid w:val="00E8151C"/>
    <w:rsid w:val="00E81A88"/>
    <w:rsid w:val="00E81E9C"/>
    <w:rsid w:val="00E82E15"/>
    <w:rsid w:val="00E83C07"/>
    <w:rsid w:val="00E84151"/>
    <w:rsid w:val="00E86FA6"/>
    <w:rsid w:val="00E91409"/>
    <w:rsid w:val="00E9225A"/>
    <w:rsid w:val="00E936FF"/>
    <w:rsid w:val="00E939C8"/>
    <w:rsid w:val="00E93A33"/>
    <w:rsid w:val="00E93B6B"/>
    <w:rsid w:val="00E95D21"/>
    <w:rsid w:val="00E96C74"/>
    <w:rsid w:val="00E97D69"/>
    <w:rsid w:val="00EA1F89"/>
    <w:rsid w:val="00EA5177"/>
    <w:rsid w:val="00EA7FEF"/>
    <w:rsid w:val="00EB117B"/>
    <w:rsid w:val="00EB15B1"/>
    <w:rsid w:val="00EB2BEB"/>
    <w:rsid w:val="00EB40D6"/>
    <w:rsid w:val="00EB4222"/>
    <w:rsid w:val="00EB5F5F"/>
    <w:rsid w:val="00EB5F75"/>
    <w:rsid w:val="00EB609A"/>
    <w:rsid w:val="00EB79CD"/>
    <w:rsid w:val="00ED05AD"/>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23C"/>
    <w:rsid w:val="00F0351B"/>
    <w:rsid w:val="00F03BB1"/>
    <w:rsid w:val="00F06472"/>
    <w:rsid w:val="00F071EE"/>
    <w:rsid w:val="00F07419"/>
    <w:rsid w:val="00F07469"/>
    <w:rsid w:val="00F10D6B"/>
    <w:rsid w:val="00F123C0"/>
    <w:rsid w:val="00F13254"/>
    <w:rsid w:val="00F1465C"/>
    <w:rsid w:val="00F15083"/>
    <w:rsid w:val="00F177B1"/>
    <w:rsid w:val="00F22566"/>
    <w:rsid w:val="00F226B2"/>
    <w:rsid w:val="00F226DB"/>
    <w:rsid w:val="00F22963"/>
    <w:rsid w:val="00F22BA4"/>
    <w:rsid w:val="00F22CF3"/>
    <w:rsid w:val="00F232C2"/>
    <w:rsid w:val="00F24599"/>
    <w:rsid w:val="00F24976"/>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514"/>
    <w:rsid w:val="00F516E3"/>
    <w:rsid w:val="00F519DC"/>
    <w:rsid w:val="00F52468"/>
    <w:rsid w:val="00F55095"/>
    <w:rsid w:val="00F5627B"/>
    <w:rsid w:val="00F5724D"/>
    <w:rsid w:val="00F6021E"/>
    <w:rsid w:val="00F60AB3"/>
    <w:rsid w:val="00F62329"/>
    <w:rsid w:val="00F635AC"/>
    <w:rsid w:val="00F65A74"/>
    <w:rsid w:val="00F7103F"/>
    <w:rsid w:val="00F727B0"/>
    <w:rsid w:val="00F72A12"/>
    <w:rsid w:val="00F74889"/>
    <w:rsid w:val="00F76A74"/>
    <w:rsid w:val="00F81124"/>
    <w:rsid w:val="00F816C6"/>
    <w:rsid w:val="00F817C5"/>
    <w:rsid w:val="00F841CB"/>
    <w:rsid w:val="00F84616"/>
    <w:rsid w:val="00F858D5"/>
    <w:rsid w:val="00F909A9"/>
    <w:rsid w:val="00F91AEE"/>
    <w:rsid w:val="00F97C07"/>
    <w:rsid w:val="00FA047C"/>
    <w:rsid w:val="00FA1738"/>
    <w:rsid w:val="00FA19D2"/>
    <w:rsid w:val="00FA2545"/>
    <w:rsid w:val="00FA2625"/>
    <w:rsid w:val="00FA662F"/>
    <w:rsid w:val="00FA7EF6"/>
    <w:rsid w:val="00FB2524"/>
    <w:rsid w:val="00FB4AAD"/>
    <w:rsid w:val="00FB4E3D"/>
    <w:rsid w:val="00FB5E2D"/>
    <w:rsid w:val="00FB5F2A"/>
    <w:rsid w:val="00FB60E3"/>
    <w:rsid w:val="00FB6CF8"/>
    <w:rsid w:val="00FC1394"/>
    <w:rsid w:val="00FC16E9"/>
    <w:rsid w:val="00FC279C"/>
    <w:rsid w:val="00FC2A30"/>
    <w:rsid w:val="00FC39F3"/>
    <w:rsid w:val="00FC45DE"/>
    <w:rsid w:val="00FC48CB"/>
    <w:rsid w:val="00FC4F9B"/>
    <w:rsid w:val="00FC59F0"/>
    <w:rsid w:val="00FD0250"/>
    <w:rsid w:val="00FD0AF0"/>
    <w:rsid w:val="00FD0B6D"/>
    <w:rsid w:val="00FD2C60"/>
    <w:rsid w:val="00FD4599"/>
    <w:rsid w:val="00FD46D7"/>
    <w:rsid w:val="00FD4784"/>
    <w:rsid w:val="00FD51A0"/>
    <w:rsid w:val="00FD65FE"/>
    <w:rsid w:val="00FD74EB"/>
    <w:rsid w:val="00FE009C"/>
    <w:rsid w:val="00FE01E5"/>
    <w:rsid w:val="00FE1FC6"/>
    <w:rsid w:val="00FE214F"/>
    <w:rsid w:val="00FE3DA3"/>
    <w:rsid w:val="00FE6BC1"/>
    <w:rsid w:val="00FF0389"/>
    <w:rsid w:val="00FF08E1"/>
    <w:rsid w:val="00FF1082"/>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9151004">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5678396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9/&amp;a=RRA%2014270.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5097.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nsultas.ifai.org.mx/descargar.php?r=./pdf/resoluciones/2018/&amp;a=RRA%204548.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9C0DA-9665-4454-8BA7-5B864979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52</Pages>
  <Words>10109</Words>
  <Characters>55600</Characters>
  <Application>Microsoft Office Word</Application>
  <DocSecurity>0</DocSecurity>
  <Lines>463</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Rodrigo Nájera</cp:lastModifiedBy>
  <cp:revision>24</cp:revision>
  <cp:lastPrinted>2022-09-07T17:43:00Z</cp:lastPrinted>
  <dcterms:created xsi:type="dcterms:W3CDTF">2022-09-05T16:10:00Z</dcterms:created>
  <dcterms:modified xsi:type="dcterms:W3CDTF">2022-10-03T00:21:00Z</dcterms:modified>
</cp:coreProperties>
</file>