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E49F4E" w14:textId="21D34C09" w:rsidR="00177EE1" w:rsidRPr="00695B2C" w:rsidRDefault="00177EE1" w:rsidP="006461DA">
      <w:pPr>
        <w:spacing w:after="0" w:line="360" w:lineRule="auto"/>
        <w:rPr>
          <w:rFonts w:eastAsia="Times New Roman" w:cs="Tahoma"/>
          <w:bCs/>
          <w:color w:val="auto"/>
          <w:lang w:eastAsia="es-ES"/>
        </w:rPr>
      </w:pPr>
      <w:r w:rsidRPr="00695B2C">
        <w:rPr>
          <w:rFonts w:eastAsia="Calibri" w:cs="Tahoma"/>
          <w:bCs/>
          <w:color w:val="000000"/>
        </w:rPr>
        <w:t>Resolución</w:t>
      </w:r>
      <w:r w:rsidR="00083A1D" w:rsidRPr="00695B2C">
        <w:rPr>
          <w:rFonts w:eastAsia="Calibri" w:cs="Tahoma"/>
          <w:bCs/>
          <w:color w:val="000000"/>
        </w:rPr>
        <w:t xml:space="preserve"> </w:t>
      </w:r>
      <w:r w:rsidRPr="00695B2C">
        <w:rPr>
          <w:rFonts w:eastAsia="Calibri" w:cs="Tahoma"/>
          <w:bCs/>
          <w:color w:val="000000"/>
        </w:rPr>
        <w:t>del</w:t>
      </w:r>
      <w:r w:rsidR="00083A1D" w:rsidRPr="00695B2C">
        <w:rPr>
          <w:rFonts w:eastAsia="Calibri" w:cs="Tahoma"/>
          <w:bCs/>
          <w:color w:val="000000"/>
        </w:rPr>
        <w:t xml:space="preserve"> </w:t>
      </w:r>
      <w:r w:rsidRPr="00695B2C">
        <w:rPr>
          <w:rFonts w:eastAsia="Calibri" w:cs="Tahoma"/>
          <w:bCs/>
          <w:color w:val="000000"/>
        </w:rPr>
        <w:t>Pleno</w:t>
      </w:r>
      <w:r w:rsidR="00083A1D" w:rsidRPr="00695B2C">
        <w:rPr>
          <w:rFonts w:eastAsia="Calibri" w:cs="Tahoma"/>
          <w:bCs/>
          <w:color w:val="000000"/>
        </w:rPr>
        <w:t xml:space="preserve"> </w:t>
      </w:r>
      <w:r w:rsidRPr="00695B2C">
        <w:rPr>
          <w:rFonts w:eastAsia="Calibri" w:cs="Tahoma"/>
          <w:bCs/>
          <w:color w:val="000000"/>
        </w:rPr>
        <w:t>del</w:t>
      </w:r>
      <w:r w:rsidR="00083A1D" w:rsidRPr="00695B2C">
        <w:rPr>
          <w:rFonts w:eastAsia="Calibri" w:cs="Tahoma"/>
          <w:bCs/>
          <w:color w:val="000000"/>
        </w:rPr>
        <w:t xml:space="preserve"> </w:t>
      </w:r>
      <w:r w:rsidRPr="00695B2C">
        <w:rPr>
          <w:rFonts w:eastAsia="Calibri" w:cs="Tahoma"/>
          <w:bCs/>
          <w:color w:val="000000"/>
        </w:rPr>
        <w:t>Instituto</w:t>
      </w:r>
      <w:r w:rsidR="00083A1D" w:rsidRPr="00695B2C">
        <w:rPr>
          <w:rFonts w:eastAsia="Calibri" w:cs="Tahoma"/>
          <w:bCs/>
          <w:color w:val="000000"/>
        </w:rPr>
        <w:t xml:space="preserve"> </w:t>
      </w:r>
      <w:r w:rsidRPr="00695B2C">
        <w:rPr>
          <w:rFonts w:eastAsia="Calibri" w:cs="Tahoma"/>
          <w:bCs/>
          <w:color w:val="000000"/>
        </w:rPr>
        <w:t>de</w:t>
      </w:r>
      <w:r w:rsidR="00083A1D" w:rsidRPr="00695B2C">
        <w:rPr>
          <w:rFonts w:eastAsia="Calibri" w:cs="Tahoma"/>
          <w:bCs/>
          <w:color w:val="000000"/>
        </w:rPr>
        <w:t xml:space="preserve"> </w:t>
      </w:r>
      <w:r w:rsidRPr="00695B2C">
        <w:rPr>
          <w:rFonts w:eastAsia="Calibri" w:cs="Tahoma"/>
          <w:bCs/>
          <w:color w:val="000000"/>
        </w:rPr>
        <w:t>Transparencia,</w:t>
      </w:r>
      <w:r w:rsidR="00083A1D" w:rsidRPr="00695B2C">
        <w:rPr>
          <w:rFonts w:eastAsia="Calibri" w:cs="Tahoma"/>
          <w:bCs/>
          <w:color w:val="000000"/>
        </w:rPr>
        <w:t xml:space="preserve"> </w:t>
      </w:r>
      <w:r w:rsidRPr="00695B2C">
        <w:rPr>
          <w:rFonts w:eastAsia="Calibri" w:cs="Tahoma"/>
          <w:bCs/>
          <w:color w:val="000000"/>
        </w:rPr>
        <w:t>Acceso</w:t>
      </w:r>
      <w:r w:rsidR="00083A1D" w:rsidRPr="00695B2C">
        <w:rPr>
          <w:rFonts w:eastAsia="Calibri" w:cs="Tahoma"/>
          <w:bCs/>
          <w:color w:val="000000"/>
        </w:rPr>
        <w:t xml:space="preserve"> </w:t>
      </w:r>
      <w:r w:rsidRPr="00695B2C">
        <w:rPr>
          <w:rFonts w:eastAsia="Calibri" w:cs="Tahoma"/>
          <w:bCs/>
          <w:color w:val="000000"/>
        </w:rPr>
        <w:t>a</w:t>
      </w:r>
      <w:r w:rsidR="00083A1D" w:rsidRPr="00695B2C">
        <w:rPr>
          <w:rFonts w:eastAsia="Calibri" w:cs="Tahoma"/>
          <w:bCs/>
          <w:color w:val="000000"/>
        </w:rPr>
        <w:t xml:space="preserve"> </w:t>
      </w:r>
      <w:r w:rsidRPr="00695B2C">
        <w:rPr>
          <w:rFonts w:eastAsia="Calibri" w:cs="Tahoma"/>
          <w:bCs/>
          <w:color w:val="000000"/>
        </w:rPr>
        <w:t>la</w:t>
      </w:r>
      <w:r w:rsidR="00083A1D" w:rsidRPr="00695B2C">
        <w:rPr>
          <w:rFonts w:eastAsia="Calibri" w:cs="Tahoma"/>
          <w:bCs/>
          <w:color w:val="000000"/>
        </w:rPr>
        <w:t xml:space="preserve"> </w:t>
      </w:r>
      <w:r w:rsidRPr="00695B2C">
        <w:rPr>
          <w:rFonts w:eastAsia="Calibri" w:cs="Tahoma"/>
          <w:bCs/>
          <w:color w:val="000000"/>
        </w:rPr>
        <w:t>Información</w:t>
      </w:r>
      <w:r w:rsidR="00083A1D" w:rsidRPr="00695B2C">
        <w:rPr>
          <w:rFonts w:eastAsia="Calibri" w:cs="Tahoma"/>
          <w:bCs/>
          <w:color w:val="000000"/>
        </w:rPr>
        <w:t xml:space="preserve"> </w:t>
      </w:r>
      <w:r w:rsidRPr="00695B2C">
        <w:rPr>
          <w:rFonts w:eastAsia="Calibri" w:cs="Tahoma"/>
          <w:bCs/>
          <w:color w:val="000000"/>
        </w:rPr>
        <w:t>Pública</w:t>
      </w:r>
      <w:r w:rsidR="00083A1D" w:rsidRPr="00695B2C">
        <w:rPr>
          <w:rFonts w:eastAsia="Calibri" w:cs="Tahoma"/>
          <w:bCs/>
          <w:color w:val="000000"/>
        </w:rPr>
        <w:t xml:space="preserve"> </w:t>
      </w:r>
      <w:r w:rsidRPr="00695B2C">
        <w:rPr>
          <w:rFonts w:eastAsia="Calibri" w:cs="Tahoma"/>
          <w:bCs/>
          <w:color w:val="000000"/>
        </w:rPr>
        <w:t>y</w:t>
      </w:r>
      <w:r w:rsidR="00083A1D" w:rsidRPr="00695B2C">
        <w:rPr>
          <w:rFonts w:eastAsia="Calibri" w:cs="Tahoma"/>
          <w:bCs/>
          <w:color w:val="000000"/>
        </w:rPr>
        <w:t xml:space="preserve"> </w:t>
      </w:r>
      <w:r w:rsidRPr="00695B2C">
        <w:rPr>
          <w:rFonts w:eastAsia="Times New Roman" w:cs="Tahoma"/>
          <w:bCs/>
          <w:color w:val="auto"/>
          <w:lang w:eastAsia="es-ES"/>
        </w:rPr>
        <w:t>Protección</w:t>
      </w:r>
      <w:r w:rsidR="00083A1D" w:rsidRPr="00695B2C">
        <w:rPr>
          <w:rFonts w:eastAsia="Times New Roman" w:cs="Tahoma"/>
          <w:bCs/>
          <w:color w:val="auto"/>
          <w:lang w:eastAsia="es-ES"/>
        </w:rPr>
        <w:t xml:space="preserve"> </w:t>
      </w:r>
      <w:r w:rsidRPr="00695B2C">
        <w:rPr>
          <w:rFonts w:eastAsia="Times New Roman" w:cs="Tahoma"/>
          <w:bCs/>
          <w:color w:val="auto"/>
          <w:lang w:eastAsia="es-ES"/>
        </w:rPr>
        <w:t>de</w:t>
      </w:r>
      <w:r w:rsidR="00083A1D" w:rsidRPr="00695B2C">
        <w:rPr>
          <w:rFonts w:eastAsia="Times New Roman" w:cs="Tahoma"/>
          <w:bCs/>
          <w:color w:val="auto"/>
          <w:lang w:eastAsia="es-ES"/>
        </w:rPr>
        <w:t xml:space="preserve"> </w:t>
      </w:r>
      <w:r w:rsidRPr="00695B2C">
        <w:rPr>
          <w:rFonts w:eastAsia="Times New Roman" w:cs="Tahoma"/>
          <w:bCs/>
          <w:color w:val="auto"/>
          <w:lang w:eastAsia="es-ES"/>
        </w:rPr>
        <w:t>Datos</w:t>
      </w:r>
      <w:r w:rsidR="00083A1D" w:rsidRPr="00695B2C">
        <w:rPr>
          <w:rFonts w:eastAsia="Times New Roman" w:cs="Tahoma"/>
          <w:bCs/>
          <w:color w:val="auto"/>
          <w:lang w:eastAsia="es-ES"/>
        </w:rPr>
        <w:t xml:space="preserve"> </w:t>
      </w:r>
      <w:r w:rsidRPr="00695B2C">
        <w:rPr>
          <w:rFonts w:eastAsia="Times New Roman" w:cs="Tahoma"/>
          <w:bCs/>
          <w:color w:val="auto"/>
          <w:lang w:eastAsia="es-ES"/>
        </w:rPr>
        <w:t>Personales</w:t>
      </w:r>
      <w:r w:rsidR="00083A1D" w:rsidRPr="00695B2C">
        <w:rPr>
          <w:rFonts w:eastAsia="Times New Roman" w:cs="Tahoma"/>
          <w:bCs/>
          <w:color w:val="auto"/>
          <w:lang w:eastAsia="es-ES"/>
        </w:rPr>
        <w:t xml:space="preserve"> </w:t>
      </w:r>
      <w:r w:rsidRPr="00695B2C">
        <w:rPr>
          <w:rFonts w:eastAsia="Times New Roman" w:cs="Tahoma"/>
          <w:bCs/>
          <w:color w:val="auto"/>
          <w:lang w:eastAsia="es-ES"/>
        </w:rPr>
        <w:t>del</w:t>
      </w:r>
      <w:r w:rsidR="00083A1D" w:rsidRPr="00695B2C">
        <w:rPr>
          <w:rFonts w:eastAsia="Times New Roman" w:cs="Tahoma"/>
          <w:bCs/>
          <w:color w:val="auto"/>
          <w:lang w:eastAsia="es-ES"/>
        </w:rPr>
        <w:t xml:space="preserve"> </w:t>
      </w:r>
      <w:r w:rsidRPr="00695B2C">
        <w:rPr>
          <w:rFonts w:eastAsia="Times New Roman" w:cs="Tahoma"/>
          <w:bCs/>
          <w:color w:val="auto"/>
          <w:lang w:eastAsia="es-ES"/>
        </w:rPr>
        <w:t>Estado</w:t>
      </w:r>
      <w:r w:rsidR="00083A1D" w:rsidRPr="00695B2C">
        <w:rPr>
          <w:rFonts w:eastAsia="Times New Roman" w:cs="Tahoma"/>
          <w:bCs/>
          <w:color w:val="auto"/>
          <w:lang w:eastAsia="es-ES"/>
        </w:rPr>
        <w:t xml:space="preserve"> </w:t>
      </w:r>
      <w:r w:rsidRPr="00695B2C">
        <w:rPr>
          <w:rFonts w:eastAsia="Times New Roman" w:cs="Tahoma"/>
          <w:bCs/>
          <w:color w:val="auto"/>
          <w:lang w:eastAsia="es-ES"/>
        </w:rPr>
        <w:t>de</w:t>
      </w:r>
      <w:r w:rsidR="00083A1D" w:rsidRPr="00695B2C">
        <w:rPr>
          <w:rFonts w:eastAsia="Times New Roman" w:cs="Tahoma"/>
          <w:bCs/>
          <w:color w:val="auto"/>
          <w:lang w:eastAsia="es-ES"/>
        </w:rPr>
        <w:t xml:space="preserve"> </w:t>
      </w:r>
      <w:r w:rsidRPr="00695B2C">
        <w:rPr>
          <w:rFonts w:eastAsia="Times New Roman" w:cs="Tahoma"/>
          <w:bCs/>
          <w:color w:val="auto"/>
          <w:lang w:eastAsia="es-ES"/>
        </w:rPr>
        <w:t>México</w:t>
      </w:r>
      <w:r w:rsidR="00083A1D" w:rsidRPr="00695B2C">
        <w:rPr>
          <w:rFonts w:eastAsia="Times New Roman" w:cs="Tahoma"/>
          <w:bCs/>
          <w:color w:val="auto"/>
          <w:lang w:eastAsia="es-ES"/>
        </w:rPr>
        <w:t xml:space="preserve"> </w:t>
      </w:r>
      <w:r w:rsidRPr="00695B2C">
        <w:rPr>
          <w:rFonts w:eastAsia="Times New Roman" w:cs="Tahoma"/>
          <w:bCs/>
          <w:color w:val="auto"/>
          <w:lang w:eastAsia="es-ES"/>
        </w:rPr>
        <w:t>y</w:t>
      </w:r>
      <w:r w:rsidR="00083A1D" w:rsidRPr="00695B2C">
        <w:rPr>
          <w:rFonts w:eastAsia="Times New Roman" w:cs="Tahoma"/>
          <w:bCs/>
          <w:color w:val="auto"/>
          <w:lang w:eastAsia="es-ES"/>
        </w:rPr>
        <w:t xml:space="preserve"> </w:t>
      </w:r>
      <w:r w:rsidRPr="00695B2C">
        <w:rPr>
          <w:rFonts w:eastAsia="Times New Roman" w:cs="Tahoma"/>
          <w:bCs/>
          <w:color w:val="auto"/>
          <w:lang w:eastAsia="es-ES"/>
        </w:rPr>
        <w:t>Municipios,</w:t>
      </w:r>
      <w:r w:rsidR="00083A1D" w:rsidRPr="00695B2C">
        <w:rPr>
          <w:rFonts w:eastAsia="Times New Roman" w:cs="Tahoma"/>
          <w:bCs/>
          <w:color w:val="auto"/>
          <w:lang w:eastAsia="es-ES"/>
        </w:rPr>
        <w:t xml:space="preserve"> </w:t>
      </w:r>
      <w:r w:rsidRPr="00695B2C">
        <w:rPr>
          <w:rFonts w:eastAsia="Times New Roman" w:cs="Tahoma"/>
          <w:bCs/>
          <w:color w:val="auto"/>
          <w:lang w:eastAsia="es-ES"/>
        </w:rPr>
        <w:t>con</w:t>
      </w:r>
      <w:r w:rsidR="00083A1D" w:rsidRPr="00695B2C">
        <w:rPr>
          <w:rFonts w:eastAsia="Times New Roman" w:cs="Tahoma"/>
          <w:bCs/>
          <w:color w:val="auto"/>
          <w:lang w:eastAsia="es-ES"/>
        </w:rPr>
        <w:t xml:space="preserve"> </w:t>
      </w:r>
      <w:r w:rsidRPr="00695B2C">
        <w:rPr>
          <w:rFonts w:eastAsia="Times New Roman" w:cs="Tahoma"/>
          <w:bCs/>
          <w:color w:val="auto"/>
          <w:lang w:eastAsia="es-ES"/>
        </w:rPr>
        <w:t>domicilio</w:t>
      </w:r>
      <w:r w:rsidR="00083A1D" w:rsidRPr="00695B2C">
        <w:rPr>
          <w:rFonts w:eastAsia="Times New Roman" w:cs="Tahoma"/>
          <w:bCs/>
          <w:color w:val="auto"/>
          <w:lang w:eastAsia="es-ES"/>
        </w:rPr>
        <w:t xml:space="preserve"> </w:t>
      </w:r>
      <w:r w:rsidRPr="00695B2C">
        <w:rPr>
          <w:rFonts w:eastAsia="Times New Roman" w:cs="Tahoma"/>
          <w:bCs/>
          <w:color w:val="auto"/>
          <w:lang w:eastAsia="es-ES"/>
        </w:rPr>
        <w:t>en</w:t>
      </w:r>
      <w:r w:rsidR="00083A1D" w:rsidRPr="00695B2C">
        <w:rPr>
          <w:rFonts w:eastAsia="Times New Roman" w:cs="Tahoma"/>
          <w:bCs/>
          <w:color w:val="auto"/>
          <w:lang w:eastAsia="es-ES"/>
        </w:rPr>
        <w:t xml:space="preserve"> </w:t>
      </w:r>
      <w:r w:rsidRPr="00695B2C">
        <w:rPr>
          <w:rFonts w:eastAsia="Times New Roman" w:cs="Tahoma"/>
          <w:bCs/>
          <w:color w:val="auto"/>
          <w:lang w:eastAsia="es-ES"/>
        </w:rPr>
        <w:t>Metepec,</w:t>
      </w:r>
      <w:r w:rsidR="00083A1D" w:rsidRPr="00695B2C">
        <w:rPr>
          <w:rFonts w:eastAsia="Times New Roman" w:cs="Tahoma"/>
          <w:bCs/>
          <w:color w:val="auto"/>
          <w:lang w:eastAsia="es-ES"/>
        </w:rPr>
        <w:t xml:space="preserve"> </w:t>
      </w:r>
      <w:r w:rsidRPr="00695B2C">
        <w:rPr>
          <w:rFonts w:eastAsia="Times New Roman" w:cs="Tahoma"/>
          <w:bCs/>
          <w:color w:val="auto"/>
          <w:lang w:eastAsia="es-ES"/>
        </w:rPr>
        <w:t>Estado</w:t>
      </w:r>
      <w:r w:rsidR="00083A1D" w:rsidRPr="00695B2C">
        <w:rPr>
          <w:rFonts w:eastAsia="Times New Roman" w:cs="Tahoma"/>
          <w:bCs/>
          <w:color w:val="auto"/>
          <w:lang w:eastAsia="es-ES"/>
        </w:rPr>
        <w:t xml:space="preserve"> </w:t>
      </w:r>
      <w:r w:rsidRPr="00695B2C">
        <w:rPr>
          <w:rFonts w:eastAsia="Times New Roman" w:cs="Tahoma"/>
          <w:bCs/>
          <w:color w:val="auto"/>
          <w:lang w:eastAsia="es-ES"/>
        </w:rPr>
        <w:t>de</w:t>
      </w:r>
      <w:r w:rsidR="00083A1D" w:rsidRPr="00695B2C">
        <w:rPr>
          <w:rFonts w:eastAsia="Times New Roman" w:cs="Tahoma"/>
          <w:bCs/>
          <w:color w:val="auto"/>
          <w:lang w:eastAsia="es-ES"/>
        </w:rPr>
        <w:t xml:space="preserve"> </w:t>
      </w:r>
      <w:r w:rsidRPr="00695B2C">
        <w:rPr>
          <w:rFonts w:eastAsia="Times New Roman" w:cs="Tahoma"/>
          <w:bCs/>
          <w:color w:val="auto"/>
          <w:lang w:eastAsia="es-ES"/>
        </w:rPr>
        <w:t>México,</w:t>
      </w:r>
      <w:r w:rsidR="00083A1D" w:rsidRPr="00695B2C">
        <w:rPr>
          <w:rFonts w:eastAsia="Times New Roman" w:cs="Tahoma"/>
          <w:bCs/>
          <w:color w:val="auto"/>
          <w:lang w:eastAsia="es-ES"/>
        </w:rPr>
        <w:t xml:space="preserve"> </w:t>
      </w:r>
      <w:r w:rsidRPr="00695B2C">
        <w:rPr>
          <w:rFonts w:eastAsia="Times New Roman" w:cs="Tahoma"/>
          <w:bCs/>
          <w:color w:val="auto"/>
          <w:lang w:eastAsia="es-ES"/>
        </w:rPr>
        <w:t>de</w:t>
      </w:r>
      <w:r w:rsidR="00083A1D" w:rsidRPr="00695B2C">
        <w:rPr>
          <w:rFonts w:eastAsia="Times New Roman" w:cs="Tahoma"/>
          <w:bCs/>
          <w:color w:val="auto"/>
          <w:lang w:eastAsia="es-ES"/>
        </w:rPr>
        <w:t xml:space="preserve"> </w:t>
      </w:r>
      <w:r w:rsidRPr="00695B2C">
        <w:rPr>
          <w:rFonts w:eastAsia="Times New Roman" w:cs="Tahoma"/>
          <w:bCs/>
          <w:color w:val="auto"/>
          <w:lang w:eastAsia="es-ES"/>
        </w:rPr>
        <w:t>fecha</w:t>
      </w:r>
      <w:r w:rsidR="00083A1D" w:rsidRPr="00695B2C">
        <w:rPr>
          <w:rFonts w:eastAsia="Times New Roman" w:cs="Tahoma"/>
          <w:bCs/>
          <w:color w:val="auto"/>
          <w:lang w:eastAsia="es-ES"/>
        </w:rPr>
        <w:t xml:space="preserve"> </w:t>
      </w:r>
      <w:r w:rsidR="00FD49C9">
        <w:rPr>
          <w:rFonts w:eastAsia="Times New Roman" w:cs="Tahoma"/>
          <w:bCs/>
          <w:color w:val="auto"/>
          <w:lang w:eastAsia="es-ES"/>
        </w:rPr>
        <w:t>siete</w:t>
      </w:r>
      <w:r w:rsidR="00177CD4" w:rsidRPr="00695B2C">
        <w:rPr>
          <w:rFonts w:eastAsia="Times New Roman" w:cs="Tahoma"/>
          <w:bCs/>
          <w:color w:val="auto"/>
          <w:lang w:eastAsia="es-ES"/>
        </w:rPr>
        <w:t xml:space="preserve"> </w:t>
      </w:r>
      <w:r w:rsidRPr="00695B2C">
        <w:rPr>
          <w:rFonts w:eastAsia="Times New Roman" w:cs="Tahoma"/>
          <w:bCs/>
          <w:color w:val="auto"/>
          <w:lang w:eastAsia="es-ES"/>
        </w:rPr>
        <w:t>de</w:t>
      </w:r>
      <w:r w:rsidR="00083A1D" w:rsidRPr="00695B2C">
        <w:rPr>
          <w:rFonts w:eastAsia="Times New Roman" w:cs="Tahoma"/>
          <w:bCs/>
          <w:color w:val="auto"/>
          <w:lang w:eastAsia="es-ES"/>
        </w:rPr>
        <w:t xml:space="preserve"> </w:t>
      </w:r>
      <w:r w:rsidR="005F186E">
        <w:rPr>
          <w:rFonts w:eastAsia="Times New Roman" w:cs="Tahoma"/>
          <w:bCs/>
          <w:color w:val="auto"/>
          <w:lang w:eastAsia="es-ES"/>
        </w:rPr>
        <w:t xml:space="preserve">septiembre </w:t>
      </w:r>
      <w:r w:rsidRPr="00695B2C">
        <w:rPr>
          <w:rFonts w:eastAsia="Times New Roman" w:cs="Tahoma"/>
          <w:bCs/>
          <w:color w:val="auto"/>
          <w:lang w:eastAsia="es-ES"/>
        </w:rPr>
        <w:t>de</w:t>
      </w:r>
      <w:r w:rsidR="00083A1D" w:rsidRPr="00695B2C">
        <w:rPr>
          <w:rFonts w:eastAsia="Times New Roman" w:cs="Tahoma"/>
          <w:bCs/>
          <w:color w:val="auto"/>
          <w:lang w:eastAsia="es-ES"/>
        </w:rPr>
        <w:t xml:space="preserve"> </w:t>
      </w:r>
      <w:r w:rsidRPr="00695B2C">
        <w:rPr>
          <w:rFonts w:eastAsia="Times New Roman" w:cs="Tahoma"/>
          <w:bCs/>
          <w:color w:val="auto"/>
          <w:lang w:eastAsia="es-ES"/>
        </w:rPr>
        <w:t>dos</w:t>
      </w:r>
      <w:r w:rsidR="00083A1D" w:rsidRPr="00695B2C">
        <w:rPr>
          <w:rFonts w:eastAsia="Times New Roman" w:cs="Tahoma"/>
          <w:bCs/>
          <w:color w:val="auto"/>
          <w:lang w:eastAsia="es-ES"/>
        </w:rPr>
        <w:t xml:space="preserve"> </w:t>
      </w:r>
      <w:r w:rsidRPr="00695B2C">
        <w:rPr>
          <w:rFonts w:eastAsia="Times New Roman" w:cs="Tahoma"/>
          <w:bCs/>
          <w:color w:val="auto"/>
          <w:lang w:eastAsia="es-ES"/>
        </w:rPr>
        <w:t>mil</w:t>
      </w:r>
      <w:r w:rsidR="00083A1D" w:rsidRPr="00695B2C">
        <w:rPr>
          <w:rFonts w:eastAsia="Times New Roman" w:cs="Tahoma"/>
          <w:bCs/>
          <w:color w:val="auto"/>
          <w:lang w:eastAsia="es-ES"/>
        </w:rPr>
        <w:t xml:space="preserve"> </w:t>
      </w:r>
      <w:r w:rsidR="00BF3CE5" w:rsidRPr="00695B2C">
        <w:rPr>
          <w:rFonts w:eastAsia="Times New Roman" w:cs="Tahoma"/>
          <w:bCs/>
          <w:color w:val="auto"/>
          <w:lang w:eastAsia="es-ES"/>
        </w:rPr>
        <w:t>veintidó</w:t>
      </w:r>
      <w:r w:rsidR="00D86A27" w:rsidRPr="00695B2C">
        <w:rPr>
          <w:rFonts w:eastAsia="Times New Roman" w:cs="Tahoma"/>
          <w:bCs/>
          <w:color w:val="auto"/>
          <w:lang w:eastAsia="es-ES"/>
        </w:rPr>
        <w:t>s.</w:t>
      </w:r>
    </w:p>
    <w:p w14:paraId="13C04D54" w14:textId="77777777" w:rsidR="00177EE1" w:rsidRPr="00695B2C" w:rsidRDefault="00177EE1" w:rsidP="006461DA">
      <w:pPr>
        <w:tabs>
          <w:tab w:val="left" w:pos="2839"/>
        </w:tabs>
        <w:spacing w:after="0" w:line="360" w:lineRule="auto"/>
        <w:rPr>
          <w:rFonts w:eastAsia="Times New Roman" w:cs="Tahoma"/>
          <w:bCs/>
          <w:color w:val="auto"/>
          <w:lang w:eastAsia="es-ES"/>
        </w:rPr>
      </w:pPr>
    </w:p>
    <w:p w14:paraId="536348C3" w14:textId="741F1A88" w:rsidR="00177EE1" w:rsidRPr="00695B2C" w:rsidRDefault="00177EE1" w:rsidP="006461DA">
      <w:pPr>
        <w:spacing w:after="0" w:line="360" w:lineRule="auto"/>
        <w:rPr>
          <w:rFonts w:eastAsia="Calibri" w:cs="Tahoma"/>
          <w:color w:val="0D0D0D"/>
        </w:rPr>
      </w:pPr>
      <w:r w:rsidRPr="00695B2C">
        <w:rPr>
          <w:rFonts w:eastAsia="Times New Roman" w:cs="Tahoma"/>
          <w:b/>
          <w:bCs/>
          <w:color w:val="auto"/>
          <w:lang w:eastAsia="es-ES"/>
        </w:rPr>
        <w:t>VISTO</w:t>
      </w:r>
      <w:r w:rsidR="00083A1D" w:rsidRPr="00695B2C">
        <w:rPr>
          <w:rFonts w:eastAsia="Calibri" w:cs="Tahoma"/>
          <w:bCs/>
          <w:color w:val="0D0D0D"/>
        </w:rPr>
        <w:t xml:space="preserve"> </w:t>
      </w:r>
      <w:r w:rsidRPr="00695B2C">
        <w:rPr>
          <w:rFonts w:eastAsia="Calibri" w:cs="Tahoma"/>
          <w:bCs/>
          <w:color w:val="0D0D0D"/>
        </w:rPr>
        <w:t>el</w:t>
      </w:r>
      <w:r w:rsidR="00083A1D" w:rsidRPr="00695B2C">
        <w:rPr>
          <w:rFonts w:eastAsia="Calibri" w:cs="Tahoma"/>
          <w:bCs/>
          <w:color w:val="0D0D0D"/>
        </w:rPr>
        <w:t xml:space="preserve"> </w:t>
      </w:r>
      <w:r w:rsidRPr="00695B2C">
        <w:rPr>
          <w:rFonts w:eastAsia="Calibri" w:cs="Tahoma"/>
          <w:bCs/>
          <w:color w:val="0D0D0D"/>
        </w:rPr>
        <w:t>expediente</w:t>
      </w:r>
      <w:r w:rsidR="00083A1D" w:rsidRPr="00695B2C">
        <w:rPr>
          <w:rFonts w:eastAsia="Calibri" w:cs="Tahoma"/>
          <w:bCs/>
          <w:color w:val="0D0D0D"/>
        </w:rPr>
        <w:t xml:space="preserve"> </w:t>
      </w:r>
      <w:r w:rsidRPr="00695B2C">
        <w:rPr>
          <w:rFonts w:eastAsia="Calibri" w:cs="Tahoma"/>
          <w:bCs/>
          <w:color w:val="0D0D0D"/>
        </w:rPr>
        <w:t>conformado</w:t>
      </w:r>
      <w:r w:rsidR="00083A1D" w:rsidRPr="00695B2C">
        <w:rPr>
          <w:rFonts w:eastAsia="Calibri" w:cs="Tahoma"/>
          <w:bCs/>
          <w:color w:val="0D0D0D"/>
        </w:rPr>
        <w:t xml:space="preserve"> </w:t>
      </w:r>
      <w:r w:rsidRPr="00695B2C">
        <w:rPr>
          <w:rFonts w:eastAsia="Calibri" w:cs="Tahoma"/>
          <w:bCs/>
          <w:color w:val="0D0D0D"/>
        </w:rPr>
        <w:t>con</w:t>
      </w:r>
      <w:r w:rsidR="00083A1D" w:rsidRPr="00695B2C">
        <w:rPr>
          <w:rFonts w:eastAsia="Calibri" w:cs="Tahoma"/>
          <w:bCs/>
          <w:color w:val="0D0D0D"/>
        </w:rPr>
        <w:t xml:space="preserve"> </w:t>
      </w:r>
      <w:r w:rsidRPr="00695B2C">
        <w:rPr>
          <w:rFonts w:eastAsia="Calibri" w:cs="Tahoma"/>
          <w:bCs/>
          <w:color w:val="0D0D0D"/>
        </w:rPr>
        <w:t>motivo</w:t>
      </w:r>
      <w:r w:rsidR="00083A1D" w:rsidRPr="00695B2C">
        <w:rPr>
          <w:rFonts w:eastAsia="Calibri" w:cs="Tahoma"/>
          <w:bCs/>
          <w:color w:val="0D0D0D"/>
        </w:rPr>
        <w:t xml:space="preserve"> </w:t>
      </w:r>
      <w:r w:rsidRPr="00695B2C">
        <w:rPr>
          <w:rFonts w:eastAsia="Calibri" w:cs="Tahoma"/>
          <w:bCs/>
          <w:color w:val="0D0D0D"/>
        </w:rPr>
        <w:t>del</w:t>
      </w:r>
      <w:r w:rsidR="00083A1D" w:rsidRPr="00695B2C">
        <w:rPr>
          <w:rFonts w:eastAsia="Calibri" w:cs="Tahoma"/>
          <w:bCs/>
          <w:color w:val="0D0D0D"/>
        </w:rPr>
        <w:t xml:space="preserve"> </w:t>
      </w:r>
      <w:r w:rsidRPr="00695B2C">
        <w:rPr>
          <w:rFonts w:eastAsia="Calibri" w:cs="Tahoma"/>
          <w:bCs/>
          <w:color w:val="0D0D0D"/>
        </w:rPr>
        <w:t>Recurso</w:t>
      </w:r>
      <w:r w:rsidR="00083A1D" w:rsidRPr="00695B2C">
        <w:rPr>
          <w:rFonts w:eastAsia="Calibri" w:cs="Tahoma"/>
          <w:bCs/>
          <w:color w:val="0D0D0D"/>
        </w:rPr>
        <w:t xml:space="preserve"> </w:t>
      </w:r>
      <w:r w:rsidRPr="00695B2C">
        <w:rPr>
          <w:rFonts w:eastAsia="Calibri" w:cs="Tahoma"/>
          <w:bCs/>
          <w:color w:val="0D0D0D"/>
        </w:rPr>
        <w:t>de</w:t>
      </w:r>
      <w:r w:rsidR="00083A1D" w:rsidRPr="00695B2C">
        <w:rPr>
          <w:rFonts w:eastAsia="Calibri" w:cs="Tahoma"/>
          <w:bCs/>
          <w:color w:val="0D0D0D"/>
        </w:rPr>
        <w:t xml:space="preserve"> </w:t>
      </w:r>
      <w:r w:rsidRPr="00695B2C">
        <w:rPr>
          <w:rFonts w:eastAsia="Calibri" w:cs="Tahoma"/>
          <w:bCs/>
          <w:color w:val="0D0D0D"/>
        </w:rPr>
        <w:t>Revisión</w:t>
      </w:r>
      <w:r w:rsidR="00083A1D" w:rsidRPr="00695B2C">
        <w:rPr>
          <w:rFonts w:eastAsia="Calibri" w:cs="Tahoma"/>
          <w:bCs/>
          <w:color w:val="0D0D0D"/>
        </w:rPr>
        <w:t xml:space="preserve"> </w:t>
      </w:r>
      <w:r w:rsidR="005D417E" w:rsidRPr="00695B2C">
        <w:rPr>
          <w:rFonts w:eastAsia="Calibri" w:cs="Tahoma"/>
          <w:b/>
          <w:color w:val="0D0D0D"/>
        </w:rPr>
        <w:t>0</w:t>
      </w:r>
      <w:r w:rsidR="00F258C3" w:rsidRPr="00695B2C">
        <w:rPr>
          <w:rFonts w:eastAsia="Calibri" w:cs="Tahoma"/>
          <w:b/>
          <w:color w:val="0D0D0D"/>
        </w:rPr>
        <w:t>1026</w:t>
      </w:r>
      <w:r w:rsidR="005D417E" w:rsidRPr="00695B2C">
        <w:rPr>
          <w:rFonts w:eastAsia="Calibri" w:cs="Tahoma"/>
          <w:b/>
          <w:color w:val="0D0D0D"/>
        </w:rPr>
        <w:t>/INFOEM/IP/RR/2022</w:t>
      </w:r>
      <w:r w:rsidRPr="00695B2C">
        <w:rPr>
          <w:rFonts w:eastAsia="Calibri" w:cs="Tahoma"/>
          <w:color w:val="000000"/>
        </w:rPr>
        <w:t>,</w:t>
      </w:r>
      <w:r w:rsidR="00083A1D" w:rsidRPr="00695B2C">
        <w:rPr>
          <w:rFonts w:eastAsia="Calibri" w:cs="Tahoma"/>
          <w:color w:val="000000"/>
        </w:rPr>
        <w:t xml:space="preserve"> </w:t>
      </w:r>
      <w:r w:rsidRPr="00695B2C">
        <w:rPr>
          <w:rFonts w:eastAsia="Calibri" w:cs="Tahoma"/>
          <w:color w:val="000000"/>
        </w:rPr>
        <w:t>interpuesto</w:t>
      </w:r>
      <w:r w:rsidR="005D60D5" w:rsidRPr="00695B2C">
        <w:rPr>
          <w:rFonts w:eastAsia="Calibri" w:cs="Tahoma"/>
          <w:color w:val="000000"/>
        </w:rPr>
        <w:t xml:space="preserve"> por </w:t>
      </w:r>
      <w:r w:rsidR="00DD796E" w:rsidRPr="00DD796E">
        <w:rPr>
          <w:rFonts w:eastAsia="Calibri" w:cs="Tahoma"/>
          <w:color w:val="000000"/>
          <w:highlight w:val="black"/>
        </w:rPr>
        <w:t>XXXXXXXXXXX</w:t>
      </w:r>
      <w:r w:rsidR="006643E0" w:rsidRPr="00695B2C">
        <w:rPr>
          <w:rFonts w:eastAsia="Calibri" w:cs="Tahoma"/>
          <w:color w:val="000000"/>
        </w:rPr>
        <w:t xml:space="preserve">, en adelante, </w:t>
      </w:r>
      <w:r w:rsidR="005D60D5" w:rsidRPr="00695B2C">
        <w:rPr>
          <w:rFonts w:eastAsia="Calibri" w:cs="Tahoma"/>
          <w:color w:val="000000"/>
        </w:rPr>
        <w:t>el</w:t>
      </w:r>
      <w:r w:rsidR="004A79BF" w:rsidRPr="00695B2C">
        <w:rPr>
          <w:rFonts w:eastAsia="Calibri" w:cs="Tahoma"/>
        </w:rPr>
        <w:t xml:space="preserve"> </w:t>
      </w:r>
      <w:r w:rsidRPr="00695B2C">
        <w:rPr>
          <w:rFonts w:eastAsia="Calibri" w:cs="Tahoma"/>
          <w:color w:val="0D0D0D"/>
        </w:rPr>
        <w:t>Recurrente</w:t>
      </w:r>
      <w:r w:rsidR="00083A1D" w:rsidRPr="00695B2C">
        <w:rPr>
          <w:rFonts w:eastAsia="Calibri" w:cs="Tahoma"/>
          <w:color w:val="0D0D0D"/>
        </w:rPr>
        <w:t xml:space="preserve"> </w:t>
      </w:r>
      <w:r w:rsidRPr="00695B2C">
        <w:rPr>
          <w:rFonts w:eastAsia="Calibri" w:cs="Tahoma"/>
          <w:color w:val="0D0D0D"/>
        </w:rPr>
        <w:t>o</w:t>
      </w:r>
      <w:r w:rsidR="00083A1D" w:rsidRPr="00695B2C">
        <w:rPr>
          <w:rFonts w:eastAsia="Calibri" w:cs="Tahoma"/>
          <w:color w:val="0D0D0D"/>
        </w:rPr>
        <w:t xml:space="preserve"> </w:t>
      </w:r>
      <w:r w:rsidRPr="00695B2C">
        <w:rPr>
          <w:rFonts w:eastAsia="Calibri" w:cs="Tahoma"/>
          <w:color w:val="0D0D0D"/>
        </w:rPr>
        <w:t>Particular,</w:t>
      </w:r>
      <w:r w:rsidR="00083A1D" w:rsidRPr="00695B2C">
        <w:rPr>
          <w:rFonts w:eastAsia="Calibri" w:cs="Tahoma"/>
          <w:color w:val="0D0D0D"/>
        </w:rPr>
        <w:t xml:space="preserve"> </w:t>
      </w:r>
      <w:r w:rsidRPr="00695B2C">
        <w:rPr>
          <w:rFonts w:eastAsia="Calibri" w:cs="Tahoma"/>
          <w:color w:val="0D0D0D"/>
        </w:rPr>
        <w:t>en</w:t>
      </w:r>
      <w:r w:rsidR="00083A1D" w:rsidRPr="00695B2C">
        <w:rPr>
          <w:rFonts w:eastAsia="Calibri" w:cs="Tahoma"/>
          <w:color w:val="0D0D0D"/>
        </w:rPr>
        <w:t xml:space="preserve"> </w:t>
      </w:r>
      <w:r w:rsidRPr="00695B2C">
        <w:rPr>
          <w:rFonts w:eastAsia="Calibri" w:cs="Tahoma"/>
          <w:color w:val="0D0D0D"/>
        </w:rPr>
        <w:t>contra</w:t>
      </w:r>
      <w:r w:rsidR="00083A1D" w:rsidRPr="00695B2C">
        <w:rPr>
          <w:rFonts w:eastAsia="Calibri" w:cs="Tahoma"/>
          <w:color w:val="0D0D0D"/>
        </w:rPr>
        <w:t xml:space="preserve"> </w:t>
      </w:r>
      <w:r w:rsidRPr="00695B2C">
        <w:rPr>
          <w:rFonts w:eastAsia="Calibri" w:cs="Tahoma"/>
          <w:color w:val="0D0D0D"/>
        </w:rPr>
        <w:t>de</w:t>
      </w:r>
      <w:r w:rsidR="00083A1D" w:rsidRPr="00695B2C">
        <w:rPr>
          <w:rFonts w:eastAsia="Calibri" w:cs="Tahoma"/>
          <w:color w:val="0D0D0D"/>
        </w:rPr>
        <w:t xml:space="preserve"> </w:t>
      </w:r>
      <w:r w:rsidRPr="00695B2C">
        <w:rPr>
          <w:rFonts w:eastAsia="Calibri" w:cs="Tahoma"/>
          <w:color w:val="0D0D0D"/>
        </w:rPr>
        <w:t>la</w:t>
      </w:r>
      <w:r w:rsidR="00083A1D" w:rsidRPr="00695B2C">
        <w:rPr>
          <w:rFonts w:eastAsia="Calibri" w:cs="Tahoma"/>
          <w:color w:val="0D0D0D"/>
        </w:rPr>
        <w:t xml:space="preserve"> </w:t>
      </w:r>
      <w:r w:rsidRPr="00695B2C">
        <w:rPr>
          <w:rFonts w:eastAsia="Calibri" w:cs="Tahoma"/>
          <w:color w:val="0D0D0D"/>
        </w:rPr>
        <w:t>respuesta</w:t>
      </w:r>
      <w:r w:rsidR="00083A1D" w:rsidRPr="00695B2C">
        <w:rPr>
          <w:rFonts w:eastAsia="Calibri" w:cs="Tahoma"/>
          <w:color w:val="0D0D0D"/>
        </w:rPr>
        <w:t xml:space="preserve"> </w:t>
      </w:r>
      <w:r w:rsidRPr="00695B2C">
        <w:rPr>
          <w:rFonts w:eastAsia="Calibri" w:cs="Tahoma"/>
          <w:color w:val="0D0D0D"/>
        </w:rPr>
        <w:t>del</w:t>
      </w:r>
      <w:r w:rsidR="00083A1D" w:rsidRPr="00695B2C">
        <w:rPr>
          <w:rFonts w:eastAsia="Calibri" w:cs="Tahoma"/>
          <w:color w:val="0D0D0D"/>
        </w:rPr>
        <w:t xml:space="preserve"> </w:t>
      </w:r>
      <w:r w:rsidRPr="00695B2C">
        <w:rPr>
          <w:rFonts w:eastAsia="Calibri" w:cs="Tahoma"/>
          <w:color w:val="0D0D0D"/>
        </w:rPr>
        <w:t>Sujeto</w:t>
      </w:r>
      <w:r w:rsidR="00083A1D" w:rsidRPr="00695B2C">
        <w:rPr>
          <w:rFonts w:eastAsia="Calibri" w:cs="Tahoma"/>
          <w:color w:val="0D0D0D"/>
        </w:rPr>
        <w:t xml:space="preserve"> </w:t>
      </w:r>
      <w:r w:rsidRPr="00695B2C">
        <w:rPr>
          <w:rFonts w:eastAsia="Calibri" w:cs="Tahoma"/>
          <w:color w:val="0D0D0D"/>
        </w:rPr>
        <w:t>Obligado,</w:t>
      </w:r>
      <w:r w:rsidR="00083A1D" w:rsidRPr="00695B2C">
        <w:rPr>
          <w:rFonts w:eastAsia="Calibri" w:cs="Tahoma"/>
          <w:color w:val="000000"/>
        </w:rPr>
        <w:t xml:space="preserve"> </w:t>
      </w:r>
      <w:r w:rsidR="00F258C3" w:rsidRPr="00695B2C">
        <w:rPr>
          <w:rFonts w:eastAsia="Calibri" w:cs="Tahoma"/>
          <w:color w:val="000000"/>
        </w:rPr>
        <w:t>Fiscalía General de Justicia del Estado de México</w:t>
      </w:r>
      <w:r w:rsidRPr="00695B2C">
        <w:rPr>
          <w:rFonts w:eastAsia="Calibri" w:cs="Tahoma"/>
          <w:color w:val="000000"/>
        </w:rPr>
        <w:t>,</w:t>
      </w:r>
      <w:r w:rsidR="00083A1D" w:rsidRPr="00695B2C">
        <w:rPr>
          <w:rFonts w:eastAsia="Calibri" w:cs="Tahoma"/>
          <w:color w:val="000000"/>
        </w:rPr>
        <w:t xml:space="preserve"> </w:t>
      </w:r>
      <w:r w:rsidRPr="00695B2C">
        <w:rPr>
          <w:rFonts w:eastAsia="Calibri" w:cs="Tahoma"/>
          <w:color w:val="000000"/>
        </w:rPr>
        <w:t>a</w:t>
      </w:r>
      <w:r w:rsidR="00083A1D" w:rsidRPr="00695B2C">
        <w:rPr>
          <w:rFonts w:eastAsia="Calibri" w:cs="Tahoma"/>
          <w:color w:val="000000"/>
        </w:rPr>
        <w:t xml:space="preserve"> </w:t>
      </w:r>
      <w:r w:rsidRPr="00695B2C">
        <w:rPr>
          <w:rFonts w:eastAsia="Calibri" w:cs="Tahoma"/>
          <w:color w:val="000000"/>
        </w:rPr>
        <w:t>la</w:t>
      </w:r>
      <w:r w:rsidR="00083A1D" w:rsidRPr="00695B2C">
        <w:rPr>
          <w:rFonts w:eastAsia="Calibri" w:cs="Tahoma"/>
          <w:color w:val="000000"/>
        </w:rPr>
        <w:t xml:space="preserve"> </w:t>
      </w:r>
      <w:r w:rsidRPr="00695B2C">
        <w:rPr>
          <w:rFonts w:eastAsia="Calibri" w:cs="Tahoma"/>
          <w:color w:val="000000"/>
        </w:rPr>
        <w:t>solicitud</w:t>
      </w:r>
      <w:r w:rsidR="00083A1D" w:rsidRPr="00695B2C">
        <w:rPr>
          <w:rFonts w:eastAsia="Calibri" w:cs="Tahoma"/>
          <w:color w:val="000000"/>
        </w:rPr>
        <w:t xml:space="preserve"> </w:t>
      </w:r>
      <w:r w:rsidRPr="00695B2C">
        <w:rPr>
          <w:rFonts w:eastAsia="Calibri" w:cs="Tahoma"/>
          <w:color w:val="000000"/>
        </w:rPr>
        <w:t>de</w:t>
      </w:r>
      <w:r w:rsidR="00083A1D" w:rsidRPr="00695B2C">
        <w:rPr>
          <w:rFonts w:eastAsia="Calibri" w:cs="Tahoma"/>
          <w:color w:val="000000"/>
        </w:rPr>
        <w:t xml:space="preserve"> </w:t>
      </w:r>
      <w:r w:rsidRPr="00695B2C">
        <w:rPr>
          <w:rFonts w:eastAsia="Calibri" w:cs="Tahoma"/>
          <w:color w:val="000000"/>
        </w:rPr>
        <w:t>acceso</w:t>
      </w:r>
      <w:r w:rsidR="00083A1D" w:rsidRPr="00695B2C">
        <w:rPr>
          <w:rFonts w:eastAsia="Calibri" w:cs="Tahoma"/>
          <w:color w:val="000000"/>
        </w:rPr>
        <w:t xml:space="preserve"> </w:t>
      </w:r>
      <w:r w:rsidRPr="00695B2C">
        <w:rPr>
          <w:rFonts w:eastAsia="Calibri" w:cs="Tahoma"/>
          <w:color w:val="000000"/>
        </w:rPr>
        <w:t>a</w:t>
      </w:r>
      <w:r w:rsidR="00083A1D" w:rsidRPr="00695B2C">
        <w:rPr>
          <w:rFonts w:eastAsia="Calibri" w:cs="Tahoma"/>
          <w:color w:val="000000"/>
        </w:rPr>
        <w:t xml:space="preserve"> </w:t>
      </w:r>
      <w:r w:rsidRPr="00695B2C">
        <w:rPr>
          <w:rFonts w:eastAsia="Calibri" w:cs="Tahoma"/>
          <w:color w:val="000000"/>
        </w:rPr>
        <w:t>la</w:t>
      </w:r>
      <w:r w:rsidR="00083A1D" w:rsidRPr="00695B2C">
        <w:rPr>
          <w:rFonts w:eastAsia="Calibri" w:cs="Tahoma"/>
          <w:color w:val="000000"/>
        </w:rPr>
        <w:t xml:space="preserve"> </w:t>
      </w:r>
      <w:r w:rsidRPr="00695B2C">
        <w:rPr>
          <w:rFonts w:eastAsia="Calibri" w:cs="Tahoma"/>
          <w:color w:val="000000"/>
        </w:rPr>
        <w:t>información</w:t>
      </w:r>
      <w:r w:rsidR="00083A1D" w:rsidRPr="00695B2C">
        <w:rPr>
          <w:rFonts w:eastAsia="Calibri" w:cs="Tahoma"/>
          <w:color w:val="000000"/>
        </w:rPr>
        <w:t xml:space="preserve"> </w:t>
      </w:r>
      <w:r w:rsidR="00F258C3" w:rsidRPr="00695B2C">
        <w:rPr>
          <w:rFonts w:eastAsia="Calibri" w:cs="Tahoma"/>
          <w:b/>
          <w:color w:val="0D0D0D"/>
        </w:rPr>
        <w:t>01217/FGJ/IP/2021</w:t>
      </w:r>
      <w:r w:rsidRPr="00695B2C">
        <w:rPr>
          <w:rFonts w:eastAsia="Calibri" w:cs="Tahoma"/>
          <w:color w:val="000000"/>
        </w:rPr>
        <w:t>,</w:t>
      </w:r>
      <w:r w:rsidR="00083A1D" w:rsidRPr="00695B2C">
        <w:rPr>
          <w:rFonts w:eastAsia="Calibri" w:cs="Tahoma"/>
          <w:color w:val="000000"/>
        </w:rPr>
        <w:t xml:space="preserve"> </w:t>
      </w:r>
      <w:r w:rsidRPr="00695B2C">
        <w:rPr>
          <w:rFonts w:eastAsia="Calibri" w:cs="Tahoma"/>
          <w:color w:val="000000"/>
        </w:rPr>
        <w:t>se</w:t>
      </w:r>
      <w:r w:rsidR="00083A1D" w:rsidRPr="00695B2C">
        <w:rPr>
          <w:rFonts w:eastAsia="Calibri" w:cs="Tahoma"/>
          <w:color w:val="000000"/>
        </w:rPr>
        <w:t xml:space="preserve"> </w:t>
      </w:r>
      <w:r w:rsidRPr="00695B2C">
        <w:rPr>
          <w:rFonts w:eastAsia="Calibri" w:cs="Tahoma"/>
          <w:color w:val="000000"/>
        </w:rPr>
        <w:t>emite</w:t>
      </w:r>
      <w:r w:rsidR="00083A1D" w:rsidRPr="00695B2C">
        <w:rPr>
          <w:rFonts w:eastAsia="Calibri" w:cs="Tahoma"/>
          <w:color w:val="000000"/>
        </w:rPr>
        <w:t xml:space="preserve"> </w:t>
      </w:r>
      <w:r w:rsidRPr="00695B2C">
        <w:rPr>
          <w:rFonts w:eastAsia="Calibri" w:cs="Tahoma"/>
          <w:color w:val="000000"/>
        </w:rPr>
        <w:t>la</w:t>
      </w:r>
      <w:r w:rsidR="00083A1D" w:rsidRPr="00695B2C">
        <w:rPr>
          <w:rFonts w:eastAsia="Calibri" w:cs="Tahoma"/>
          <w:color w:val="000000"/>
        </w:rPr>
        <w:t xml:space="preserve"> </w:t>
      </w:r>
      <w:r w:rsidRPr="00695B2C">
        <w:rPr>
          <w:rFonts w:eastAsia="Calibri" w:cs="Tahoma"/>
          <w:color w:val="000000"/>
        </w:rPr>
        <w:t>presente</w:t>
      </w:r>
      <w:r w:rsidR="00083A1D" w:rsidRPr="00695B2C">
        <w:rPr>
          <w:rFonts w:eastAsia="Calibri" w:cs="Tahoma"/>
          <w:color w:val="000000"/>
        </w:rPr>
        <w:t xml:space="preserve"> </w:t>
      </w:r>
      <w:r w:rsidRPr="00695B2C">
        <w:rPr>
          <w:rFonts w:eastAsia="Calibri" w:cs="Tahoma"/>
          <w:color w:val="000000"/>
        </w:rPr>
        <w:t>Resolución,</w:t>
      </w:r>
      <w:r w:rsidR="00083A1D" w:rsidRPr="00695B2C">
        <w:rPr>
          <w:rFonts w:eastAsia="Calibri" w:cs="Tahoma"/>
          <w:color w:val="000000"/>
        </w:rPr>
        <w:t xml:space="preserve"> </w:t>
      </w:r>
      <w:r w:rsidRPr="00695B2C">
        <w:rPr>
          <w:rFonts w:eastAsia="Calibri" w:cs="Tahoma"/>
          <w:color w:val="000000"/>
        </w:rPr>
        <w:t>con</w:t>
      </w:r>
      <w:r w:rsidR="00083A1D" w:rsidRPr="00695B2C">
        <w:rPr>
          <w:rFonts w:eastAsia="Calibri" w:cs="Tahoma"/>
          <w:color w:val="000000"/>
        </w:rPr>
        <w:t xml:space="preserve"> </w:t>
      </w:r>
      <w:r w:rsidRPr="00695B2C">
        <w:rPr>
          <w:rFonts w:eastAsia="Calibri" w:cs="Tahoma"/>
          <w:color w:val="000000"/>
        </w:rPr>
        <w:t>base</w:t>
      </w:r>
      <w:r w:rsidR="00083A1D" w:rsidRPr="00695B2C">
        <w:rPr>
          <w:rFonts w:eastAsia="Calibri" w:cs="Tahoma"/>
          <w:color w:val="000000"/>
        </w:rPr>
        <w:t xml:space="preserve"> </w:t>
      </w:r>
      <w:r w:rsidRPr="00695B2C">
        <w:rPr>
          <w:rFonts w:eastAsia="Calibri" w:cs="Tahoma"/>
          <w:color w:val="000000"/>
        </w:rPr>
        <w:t>en</w:t>
      </w:r>
      <w:r w:rsidR="00083A1D" w:rsidRPr="00695B2C">
        <w:rPr>
          <w:rFonts w:eastAsia="Calibri" w:cs="Tahoma"/>
          <w:color w:val="000000"/>
        </w:rPr>
        <w:t xml:space="preserve"> </w:t>
      </w:r>
      <w:r w:rsidRPr="00695B2C">
        <w:rPr>
          <w:rFonts w:eastAsia="Calibri" w:cs="Tahoma"/>
          <w:color w:val="000000"/>
        </w:rPr>
        <w:t>los</w:t>
      </w:r>
      <w:r w:rsidR="00083A1D" w:rsidRPr="00695B2C">
        <w:rPr>
          <w:rFonts w:eastAsia="Calibri" w:cs="Tahoma"/>
          <w:color w:val="000000"/>
        </w:rPr>
        <w:t xml:space="preserve"> </w:t>
      </w:r>
      <w:r w:rsidRPr="00695B2C">
        <w:rPr>
          <w:rFonts w:eastAsia="Calibri" w:cs="Tahoma"/>
          <w:color w:val="000000"/>
        </w:rPr>
        <w:t>Antecedentes</w:t>
      </w:r>
      <w:r w:rsidR="00083A1D" w:rsidRPr="00695B2C">
        <w:rPr>
          <w:rFonts w:eastAsia="Calibri" w:cs="Tahoma"/>
          <w:color w:val="000000"/>
        </w:rPr>
        <w:t xml:space="preserve"> </w:t>
      </w:r>
      <w:r w:rsidRPr="00695B2C">
        <w:rPr>
          <w:rFonts w:eastAsia="Calibri" w:cs="Tahoma"/>
          <w:color w:val="000000"/>
        </w:rPr>
        <w:t>y</w:t>
      </w:r>
      <w:r w:rsidR="00083A1D" w:rsidRPr="00695B2C">
        <w:rPr>
          <w:rFonts w:eastAsia="Calibri" w:cs="Tahoma"/>
          <w:color w:val="000000"/>
        </w:rPr>
        <w:t xml:space="preserve"> </w:t>
      </w:r>
      <w:r w:rsidRPr="00695B2C">
        <w:rPr>
          <w:rFonts w:eastAsia="Calibri" w:cs="Tahoma"/>
          <w:color w:val="000000"/>
        </w:rPr>
        <w:t>Considerandos</w:t>
      </w:r>
      <w:r w:rsidR="00083A1D" w:rsidRPr="00695B2C">
        <w:rPr>
          <w:rFonts w:eastAsia="Calibri" w:cs="Tahoma"/>
          <w:color w:val="000000"/>
        </w:rPr>
        <w:t xml:space="preserve"> </w:t>
      </w:r>
      <w:r w:rsidRPr="00695B2C">
        <w:rPr>
          <w:rFonts w:eastAsia="Calibri" w:cs="Tahoma"/>
          <w:color w:val="000000"/>
        </w:rPr>
        <w:t>que</w:t>
      </w:r>
      <w:r w:rsidR="00083A1D" w:rsidRPr="00695B2C">
        <w:rPr>
          <w:rFonts w:eastAsia="Calibri" w:cs="Tahoma"/>
          <w:color w:val="000000"/>
        </w:rPr>
        <w:t xml:space="preserve"> </w:t>
      </w:r>
      <w:r w:rsidRPr="00695B2C">
        <w:rPr>
          <w:rFonts w:eastAsia="Calibri" w:cs="Tahoma"/>
          <w:color w:val="000000"/>
        </w:rPr>
        <w:t>se</w:t>
      </w:r>
      <w:r w:rsidR="00083A1D" w:rsidRPr="00695B2C">
        <w:rPr>
          <w:rFonts w:eastAsia="Calibri" w:cs="Tahoma"/>
          <w:color w:val="000000"/>
        </w:rPr>
        <w:t xml:space="preserve"> </w:t>
      </w:r>
      <w:r w:rsidRPr="00695B2C">
        <w:rPr>
          <w:rFonts w:eastAsia="Calibri" w:cs="Tahoma"/>
          <w:color w:val="000000"/>
        </w:rPr>
        <w:t>exponen</w:t>
      </w:r>
      <w:r w:rsidR="00083A1D" w:rsidRPr="00695B2C">
        <w:rPr>
          <w:rFonts w:eastAsia="Calibri" w:cs="Tahoma"/>
          <w:color w:val="000000"/>
        </w:rPr>
        <w:t xml:space="preserve"> </w:t>
      </w:r>
      <w:r w:rsidRPr="00695B2C">
        <w:rPr>
          <w:rFonts w:eastAsia="Calibri" w:cs="Tahoma"/>
          <w:color w:val="000000"/>
        </w:rPr>
        <w:t>a</w:t>
      </w:r>
      <w:r w:rsidR="00083A1D" w:rsidRPr="00695B2C">
        <w:rPr>
          <w:rFonts w:eastAsia="Calibri" w:cs="Tahoma"/>
          <w:color w:val="000000"/>
        </w:rPr>
        <w:t xml:space="preserve"> </w:t>
      </w:r>
      <w:r w:rsidRPr="00695B2C">
        <w:rPr>
          <w:rFonts w:eastAsia="Calibri" w:cs="Tahoma"/>
          <w:color w:val="000000"/>
        </w:rPr>
        <w:t>continuación:</w:t>
      </w:r>
    </w:p>
    <w:p w14:paraId="22EB31FD" w14:textId="77777777" w:rsidR="00177EE1" w:rsidRPr="00695B2C" w:rsidRDefault="00177EE1" w:rsidP="006461DA">
      <w:pPr>
        <w:spacing w:after="0" w:line="360" w:lineRule="auto"/>
        <w:rPr>
          <w:rFonts w:eastAsia="Calibri" w:cs="Tahoma"/>
          <w:color w:val="000000"/>
        </w:rPr>
      </w:pPr>
    </w:p>
    <w:p w14:paraId="33E985E3" w14:textId="77777777" w:rsidR="00177EE1" w:rsidRPr="00695B2C" w:rsidRDefault="00177EE1" w:rsidP="006461DA">
      <w:pPr>
        <w:tabs>
          <w:tab w:val="center" w:pos="4522"/>
          <w:tab w:val="left" w:pos="7245"/>
        </w:tabs>
        <w:spacing w:after="0" w:line="360" w:lineRule="auto"/>
        <w:jc w:val="center"/>
        <w:rPr>
          <w:rFonts w:eastAsia="Calibri" w:cs="Tahoma"/>
          <w:b/>
          <w:color w:val="000000"/>
        </w:rPr>
      </w:pPr>
      <w:r w:rsidRPr="00695B2C">
        <w:rPr>
          <w:rFonts w:eastAsia="Calibri" w:cs="Tahoma"/>
          <w:b/>
          <w:color w:val="000000"/>
        </w:rPr>
        <w:t>A</w:t>
      </w:r>
      <w:r w:rsidR="00083A1D" w:rsidRPr="00695B2C">
        <w:rPr>
          <w:rFonts w:eastAsia="Calibri" w:cs="Tahoma"/>
          <w:b/>
          <w:color w:val="000000"/>
        </w:rPr>
        <w:t xml:space="preserve"> </w:t>
      </w:r>
      <w:r w:rsidRPr="00695B2C">
        <w:rPr>
          <w:rFonts w:eastAsia="Calibri" w:cs="Tahoma"/>
          <w:b/>
          <w:color w:val="000000"/>
        </w:rPr>
        <w:t>N</w:t>
      </w:r>
      <w:r w:rsidR="00083A1D" w:rsidRPr="00695B2C">
        <w:rPr>
          <w:rFonts w:eastAsia="Calibri" w:cs="Tahoma"/>
          <w:b/>
          <w:color w:val="000000"/>
        </w:rPr>
        <w:t xml:space="preserve"> </w:t>
      </w:r>
      <w:r w:rsidRPr="00695B2C">
        <w:rPr>
          <w:rFonts w:eastAsia="Calibri" w:cs="Tahoma"/>
          <w:b/>
          <w:color w:val="000000"/>
        </w:rPr>
        <w:t>T</w:t>
      </w:r>
      <w:r w:rsidR="00083A1D" w:rsidRPr="00695B2C">
        <w:rPr>
          <w:rFonts w:eastAsia="Calibri" w:cs="Tahoma"/>
          <w:b/>
          <w:color w:val="000000"/>
        </w:rPr>
        <w:t xml:space="preserve"> </w:t>
      </w:r>
      <w:r w:rsidRPr="00695B2C">
        <w:rPr>
          <w:rFonts w:eastAsia="Calibri" w:cs="Tahoma"/>
          <w:b/>
          <w:color w:val="000000"/>
        </w:rPr>
        <w:t>E</w:t>
      </w:r>
      <w:r w:rsidR="00083A1D" w:rsidRPr="00695B2C">
        <w:rPr>
          <w:rFonts w:eastAsia="Calibri" w:cs="Tahoma"/>
          <w:b/>
          <w:color w:val="000000"/>
        </w:rPr>
        <w:t xml:space="preserve"> </w:t>
      </w:r>
      <w:r w:rsidRPr="00695B2C">
        <w:rPr>
          <w:rFonts w:eastAsia="Calibri" w:cs="Tahoma"/>
          <w:b/>
          <w:color w:val="000000"/>
        </w:rPr>
        <w:t>C</w:t>
      </w:r>
      <w:r w:rsidR="00083A1D" w:rsidRPr="00695B2C">
        <w:rPr>
          <w:rFonts w:eastAsia="Calibri" w:cs="Tahoma"/>
          <w:b/>
          <w:color w:val="000000"/>
        </w:rPr>
        <w:t xml:space="preserve"> </w:t>
      </w:r>
      <w:r w:rsidRPr="00695B2C">
        <w:rPr>
          <w:rFonts w:eastAsia="Calibri" w:cs="Tahoma"/>
          <w:b/>
          <w:color w:val="000000"/>
        </w:rPr>
        <w:t>E</w:t>
      </w:r>
      <w:r w:rsidR="00083A1D" w:rsidRPr="00695B2C">
        <w:rPr>
          <w:rFonts w:eastAsia="Calibri" w:cs="Tahoma"/>
          <w:b/>
          <w:color w:val="000000"/>
        </w:rPr>
        <w:t xml:space="preserve"> </w:t>
      </w:r>
      <w:r w:rsidRPr="00695B2C">
        <w:rPr>
          <w:rFonts w:eastAsia="Calibri" w:cs="Tahoma"/>
          <w:b/>
          <w:color w:val="000000"/>
        </w:rPr>
        <w:t>D</w:t>
      </w:r>
      <w:r w:rsidR="00083A1D" w:rsidRPr="00695B2C">
        <w:rPr>
          <w:rFonts w:eastAsia="Calibri" w:cs="Tahoma"/>
          <w:b/>
          <w:color w:val="000000"/>
        </w:rPr>
        <w:t xml:space="preserve"> </w:t>
      </w:r>
      <w:r w:rsidRPr="00695B2C">
        <w:rPr>
          <w:rFonts w:eastAsia="Calibri" w:cs="Tahoma"/>
          <w:b/>
          <w:color w:val="000000"/>
        </w:rPr>
        <w:t>E</w:t>
      </w:r>
      <w:r w:rsidR="00083A1D" w:rsidRPr="00695B2C">
        <w:rPr>
          <w:rFonts w:eastAsia="Calibri" w:cs="Tahoma"/>
          <w:b/>
          <w:color w:val="000000"/>
        </w:rPr>
        <w:t xml:space="preserve"> </w:t>
      </w:r>
      <w:r w:rsidRPr="00695B2C">
        <w:rPr>
          <w:rFonts w:eastAsia="Calibri" w:cs="Tahoma"/>
          <w:b/>
          <w:color w:val="000000"/>
        </w:rPr>
        <w:t>N</w:t>
      </w:r>
      <w:r w:rsidR="00083A1D" w:rsidRPr="00695B2C">
        <w:rPr>
          <w:rFonts w:eastAsia="Calibri" w:cs="Tahoma"/>
          <w:b/>
          <w:color w:val="000000"/>
        </w:rPr>
        <w:t xml:space="preserve"> </w:t>
      </w:r>
      <w:r w:rsidRPr="00695B2C">
        <w:rPr>
          <w:rFonts w:eastAsia="Calibri" w:cs="Tahoma"/>
          <w:b/>
          <w:color w:val="000000"/>
        </w:rPr>
        <w:t>T</w:t>
      </w:r>
      <w:r w:rsidR="00083A1D" w:rsidRPr="00695B2C">
        <w:rPr>
          <w:rFonts w:eastAsia="Calibri" w:cs="Tahoma"/>
          <w:b/>
          <w:color w:val="000000"/>
        </w:rPr>
        <w:t xml:space="preserve"> </w:t>
      </w:r>
      <w:r w:rsidRPr="00695B2C">
        <w:rPr>
          <w:rFonts w:eastAsia="Calibri" w:cs="Tahoma"/>
          <w:b/>
          <w:color w:val="000000"/>
        </w:rPr>
        <w:t>E</w:t>
      </w:r>
      <w:r w:rsidR="00083A1D" w:rsidRPr="00695B2C">
        <w:rPr>
          <w:rFonts w:eastAsia="Calibri" w:cs="Tahoma"/>
          <w:b/>
          <w:color w:val="000000"/>
        </w:rPr>
        <w:t xml:space="preserve"> </w:t>
      </w:r>
      <w:r w:rsidRPr="00695B2C">
        <w:rPr>
          <w:rFonts w:eastAsia="Calibri" w:cs="Tahoma"/>
          <w:b/>
          <w:color w:val="000000"/>
        </w:rPr>
        <w:t>S:</w:t>
      </w:r>
    </w:p>
    <w:p w14:paraId="20C21A2D" w14:textId="77777777" w:rsidR="00177EE1" w:rsidRPr="00695B2C" w:rsidRDefault="00177EE1" w:rsidP="006461DA">
      <w:pPr>
        <w:spacing w:after="0" w:line="360" w:lineRule="auto"/>
      </w:pPr>
    </w:p>
    <w:p w14:paraId="5172F97A" w14:textId="77777777" w:rsidR="00177EE1" w:rsidRPr="00695B2C" w:rsidRDefault="00177EE1" w:rsidP="006461DA">
      <w:pPr>
        <w:tabs>
          <w:tab w:val="left" w:pos="567"/>
        </w:tabs>
        <w:spacing w:after="0" w:line="360" w:lineRule="auto"/>
        <w:rPr>
          <w:rFonts w:eastAsia="Times New Roman" w:cs="Tahoma"/>
          <w:b/>
          <w:color w:val="auto"/>
          <w:lang w:eastAsia="es-ES"/>
        </w:rPr>
      </w:pPr>
      <w:r w:rsidRPr="00695B2C">
        <w:rPr>
          <w:rFonts w:eastAsia="Times New Roman" w:cs="Tahoma"/>
          <w:b/>
          <w:color w:val="auto"/>
          <w:lang w:eastAsia="es-ES"/>
        </w:rPr>
        <w:t>I.</w:t>
      </w:r>
      <w:r w:rsidR="00083A1D" w:rsidRPr="00695B2C">
        <w:rPr>
          <w:rFonts w:eastAsia="Times New Roman" w:cs="Tahoma"/>
          <w:b/>
          <w:color w:val="auto"/>
          <w:lang w:eastAsia="es-ES"/>
        </w:rPr>
        <w:t xml:space="preserve"> </w:t>
      </w:r>
      <w:r w:rsidRPr="00695B2C">
        <w:rPr>
          <w:rFonts w:eastAsia="Times New Roman" w:cs="Tahoma"/>
          <w:b/>
          <w:color w:val="auto"/>
          <w:lang w:eastAsia="es-ES"/>
        </w:rPr>
        <w:t>Presentación</w:t>
      </w:r>
      <w:r w:rsidR="00083A1D" w:rsidRPr="00695B2C">
        <w:rPr>
          <w:rFonts w:eastAsia="Times New Roman" w:cs="Tahoma"/>
          <w:b/>
          <w:color w:val="auto"/>
          <w:lang w:eastAsia="es-ES"/>
        </w:rPr>
        <w:t xml:space="preserve"> </w:t>
      </w:r>
      <w:r w:rsidRPr="00695B2C">
        <w:rPr>
          <w:rFonts w:eastAsia="Times New Roman" w:cs="Tahoma"/>
          <w:b/>
          <w:color w:val="auto"/>
          <w:lang w:eastAsia="es-ES"/>
        </w:rPr>
        <w:t>de</w:t>
      </w:r>
      <w:r w:rsidR="00083A1D" w:rsidRPr="00695B2C">
        <w:rPr>
          <w:rFonts w:eastAsia="Times New Roman" w:cs="Tahoma"/>
          <w:b/>
          <w:color w:val="auto"/>
          <w:lang w:eastAsia="es-ES"/>
        </w:rPr>
        <w:t xml:space="preserve"> </w:t>
      </w:r>
      <w:r w:rsidRPr="00695B2C">
        <w:rPr>
          <w:rFonts w:eastAsia="Times New Roman" w:cs="Tahoma"/>
          <w:b/>
          <w:color w:val="auto"/>
          <w:lang w:eastAsia="es-ES"/>
        </w:rPr>
        <w:t>la</w:t>
      </w:r>
      <w:r w:rsidR="00083A1D" w:rsidRPr="00695B2C">
        <w:rPr>
          <w:rFonts w:eastAsia="Times New Roman" w:cs="Tahoma"/>
          <w:b/>
          <w:color w:val="auto"/>
          <w:lang w:eastAsia="es-ES"/>
        </w:rPr>
        <w:t xml:space="preserve"> </w:t>
      </w:r>
      <w:r w:rsidRPr="00695B2C">
        <w:rPr>
          <w:rFonts w:eastAsia="Times New Roman" w:cs="Tahoma"/>
          <w:b/>
          <w:color w:val="auto"/>
          <w:lang w:eastAsia="es-ES"/>
        </w:rPr>
        <w:t>solicitud</w:t>
      </w:r>
      <w:r w:rsidR="00083A1D" w:rsidRPr="00695B2C">
        <w:rPr>
          <w:rFonts w:eastAsia="Times New Roman" w:cs="Tahoma"/>
          <w:b/>
          <w:color w:val="auto"/>
          <w:lang w:eastAsia="es-ES"/>
        </w:rPr>
        <w:t xml:space="preserve"> </w:t>
      </w:r>
      <w:r w:rsidRPr="00695B2C">
        <w:rPr>
          <w:rFonts w:eastAsia="Times New Roman" w:cs="Tahoma"/>
          <w:b/>
          <w:color w:val="auto"/>
          <w:lang w:eastAsia="es-ES"/>
        </w:rPr>
        <w:t>de</w:t>
      </w:r>
      <w:r w:rsidR="00083A1D" w:rsidRPr="00695B2C">
        <w:rPr>
          <w:rFonts w:eastAsia="Times New Roman" w:cs="Tahoma"/>
          <w:b/>
          <w:color w:val="auto"/>
          <w:lang w:eastAsia="es-ES"/>
        </w:rPr>
        <w:t xml:space="preserve"> </w:t>
      </w:r>
      <w:r w:rsidRPr="00695B2C">
        <w:rPr>
          <w:rFonts w:eastAsia="Times New Roman" w:cs="Tahoma"/>
          <w:b/>
          <w:color w:val="auto"/>
          <w:lang w:eastAsia="es-ES"/>
        </w:rPr>
        <w:t>información:</w:t>
      </w:r>
    </w:p>
    <w:p w14:paraId="42D9A1F3" w14:textId="77777777" w:rsidR="00177EE1" w:rsidRPr="00695B2C" w:rsidRDefault="00177EE1" w:rsidP="006461DA">
      <w:pPr>
        <w:tabs>
          <w:tab w:val="left" w:pos="567"/>
        </w:tabs>
        <w:spacing w:after="0" w:line="360" w:lineRule="auto"/>
        <w:rPr>
          <w:rFonts w:eastAsia="Times New Roman" w:cs="Tahoma"/>
          <w:color w:val="auto"/>
          <w:lang w:eastAsia="es-ES"/>
        </w:rPr>
      </w:pPr>
    </w:p>
    <w:p w14:paraId="3226BEF2" w14:textId="1CA5251A" w:rsidR="00177EE1" w:rsidRPr="00695B2C" w:rsidRDefault="00177EE1" w:rsidP="006461DA">
      <w:pPr>
        <w:spacing w:after="0" w:line="360" w:lineRule="auto"/>
        <w:rPr>
          <w:rFonts w:eastAsia="Times New Roman" w:cs="Tahoma"/>
          <w:color w:val="auto"/>
          <w:lang w:eastAsia="es-ES"/>
        </w:rPr>
      </w:pPr>
      <w:r w:rsidRPr="00695B2C">
        <w:rPr>
          <w:rFonts w:eastAsia="Times New Roman" w:cs="Tahoma"/>
          <w:color w:val="auto"/>
          <w:lang w:eastAsia="es-ES"/>
        </w:rPr>
        <w:t>Con</w:t>
      </w:r>
      <w:r w:rsidR="00083A1D" w:rsidRPr="00695B2C">
        <w:rPr>
          <w:rFonts w:eastAsia="Times New Roman" w:cs="Tahoma"/>
          <w:color w:val="auto"/>
          <w:lang w:eastAsia="es-ES"/>
        </w:rPr>
        <w:t xml:space="preserve"> </w:t>
      </w:r>
      <w:r w:rsidRPr="00695B2C">
        <w:rPr>
          <w:rFonts w:eastAsia="Times New Roman" w:cs="Tahoma"/>
          <w:color w:val="auto"/>
          <w:lang w:eastAsia="es-ES"/>
        </w:rPr>
        <w:t>fecha</w:t>
      </w:r>
      <w:r w:rsidR="00083A1D" w:rsidRPr="00695B2C">
        <w:rPr>
          <w:rFonts w:eastAsia="Times New Roman" w:cs="Tahoma"/>
          <w:color w:val="auto"/>
          <w:lang w:eastAsia="es-ES"/>
        </w:rPr>
        <w:t xml:space="preserve"> </w:t>
      </w:r>
      <w:r w:rsidR="007D33AC" w:rsidRPr="00695B2C">
        <w:rPr>
          <w:rFonts w:eastAsia="Times New Roman" w:cs="Tahoma"/>
          <w:color w:val="auto"/>
          <w:lang w:eastAsia="es-ES"/>
        </w:rPr>
        <w:t>catorce</w:t>
      </w:r>
      <w:r w:rsidR="00083A1D" w:rsidRPr="00695B2C">
        <w:rPr>
          <w:rFonts w:eastAsia="Times New Roman" w:cs="Tahoma"/>
          <w:color w:val="auto"/>
          <w:lang w:eastAsia="es-ES"/>
        </w:rPr>
        <w:t xml:space="preserve"> </w:t>
      </w:r>
      <w:r w:rsidRPr="00695B2C">
        <w:rPr>
          <w:rFonts w:eastAsia="Times New Roman" w:cs="Tahoma"/>
          <w:color w:val="auto"/>
          <w:lang w:eastAsia="es-ES"/>
        </w:rPr>
        <w:t>de</w:t>
      </w:r>
      <w:r w:rsidR="00083A1D" w:rsidRPr="00695B2C">
        <w:rPr>
          <w:rFonts w:eastAsia="Times New Roman" w:cs="Tahoma"/>
          <w:color w:val="auto"/>
          <w:lang w:eastAsia="es-ES"/>
        </w:rPr>
        <w:t xml:space="preserve"> </w:t>
      </w:r>
      <w:r w:rsidR="007D33AC" w:rsidRPr="00695B2C">
        <w:rPr>
          <w:rFonts w:eastAsia="Times New Roman" w:cs="Tahoma"/>
          <w:color w:val="auto"/>
          <w:lang w:eastAsia="es-ES"/>
        </w:rPr>
        <w:t>diciembre</w:t>
      </w:r>
      <w:r w:rsidR="00715EC4" w:rsidRPr="00695B2C">
        <w:rPr>
          <w:rFonts w:eastAsia="Times New Roman" w:cs="Tahoma"/>
          <w:color w:val="auto"/>
          <w:lang w:eastAsia="es-ES"/>
        </w:rPr>
        <w:t xml:space="preserve"> </w:t>
      </w:r>
      <w:r w:rsidRPr="00695B2C">
        <w:rPr>
          <w:rFonts w:eastAsia="Times New Roman" w:cs="Tahoma"/>
          <w:color w:val="auto"/>
          <w:lang w:eastAsia="es-ES"/>
        </w:rPr>
        <w:t>de</w:t>
      </w:r>
      <w:r w:rsidR="00083A1D" w:rsidRPr="00695B2C">
        <w:rPr>
          <w:rFonts w:eastAsia="Times New Roman" w:cs="Tahoma"/>
          <w:color w:val="auto"/>
          <w:lang w:eastAsia="es-ES"/>
        </w:rPr>
        <w:t xml:space="preserve"> </w:t>
      </w:r>
      <w:r w:rsidRPr="00695B2C">
        <w:rPr>
          <w:rFonts w:eastAsia="Times New Roman" w:cs="Tahoma"/>
          <w:color w:val="auto"/>
          <w:lang w:eastAsia="es-ES"/>
        </w:rPr>
        <w:t>dos</w:t>
      </w:r>
      <w:r w:rsidR="00083A1D" w:rsidRPr="00695B2C">
        <w:rPr>
          <w:rFonts w:eastAsia="Times New Roman" w:cs="Tahoma"/>
          <w:color w:val="auto"/>
          <w:lang w:eastAsia="es-ES"/>
        </w:rPr>
        <w:t xml:space="preserve"> </w:t>
      </w:r>
      <w:r w:rsidRPr="00695B2C">
        <w:rPr>
          <w:rFonts w:eastAsia="Times New Roman" w:cs="Tahoma"/>
          <w:color w:val="auto"/>
          <w:lang w:eastAsia="es-ES"/>
        </w:rPr>
        <w:t>mil</w:t>
      </w:r>
      <w:r w:rsidR="00083A1D" w:rsidRPr="00695B2C">
        <w:rPr>
          <w:rFonts w:eastAsia="Times New Roman" w:cs="Tahoma"/>
          <w:color w:val="auto"/>
          <w:lang w:eastAsia="es-ES"/>
        </w:rPr>
        <w:t xml:space="preserve"> </w:t>
      </w:r>
      <w:r w:rsidR="007D33AC" w:rsidRPr="00695B2C">
        <w:rPr>
          <w:rFonts w:eastAsia="Times New Roman" w:cs="Tahoma"/>
          <w:color w:val="auto"/>
          <w:lang w:eastAsia="es-ES"/>
        </w:rPr>
        <w:t>veintiuno</w:t>
      </w:r>
      <w:r w:rsidRPr="00695B2C">
        <w:rPr>
          <w:rFonts w:eastAsia="Times New Roman" w:cs="Tahoma"/>
          <w:color w:val="auto"/>
          <w:lang w:eastAsia="es-ES"/>
        </w:rPr>
        <w:t>,</w:t>
      </w:r>
      <w:r w:rsidR="00083A1D" w:rsidRPr="00695B2C">
        <w:rPr>
          <w:rFonts w:eastAsia="Times New Roman" w:cs="Tahoma"/>
          <w:color w:val="auto"/>
          <w:lang w:eastAsia="es-ES"/>
        </w:rPr>
        <w:t xml:space="preserve"> </w:t>
      </w:r>
      <w:r w:rsidRPr="00695B2C">
        <w:rPr>
          <w:rFonts w:eastAsia="Times New Roman" w:cs="Tahoma"/>
          <w:color w:val="auto"/>
          <w:lang w:eastAsia="es-ES"/>
        </w:rPr>
        <w:t>el</w:t>
      </w:r>
      <w:r w:rsidR="00083A1D" w:rsidRPr="00695B2C">
        <w:rPr>
          <w:rFonts w:eastAsia="Times New Roman" w:cs="Tahoma"/>
          <w:color w:val="auto"/>
          <w:lang w:eastAsia="es-ES"/>
        </w:rPr>
        <w:t xml:space="preserve"> </w:t>
      </w:r>
      <w:r w:rsidRPr="00695B2C">
        <w:rPr>
          <w:rFonts w:eastAsia="Times New Roman" w:cs="Tahoma"/>
          <w:color w:val="auto"/>
          <w:lang w:eastAsia="es-ES"/>
        </w:rPr>
        <w:t>Particular</w:t>
      </w:r>
      <w:r w:rsidR="00083A1D" w:rsidRPr="00695B2C">
        <w:rPr>
          <w:rFonts w:eastAsia="Times New Roman" w:cs="Tahoma"/>
          <w:color w:val="auto"/>
          <w:lang w:eastAsia="es-ES"/>
        </w:rPr>
        <w:t xml:space="preserve"> </w:t>
      </w:r>
      <w:r w:rsidRPr="00695B2C">
        <w:rPr>
          <w:rFonts w:eastAsia="Times New Roman" w:cs="Tahoma"/>
          <w:color w:val="auto"/>
          <w:lang w:eastAsia="es-ES"/>
        </w:rPr>
        <w:t>presentó</w:t>
      </w:r>
      <w:r w:rsidR="00083A1D" w:rsidRPr="00695B2C">
        <w:rPr>
          <w:rFonts w:eastAsia="Times New Roman" w:cs="Tahoma"/>
          <w:color w:val="auto"/>
          <w:lang w:eastAsia="es-ES"/>
        </w:rPr>
        <w:t xml:space="preserve"> </w:t>
      </w:r>
      <w:r w:rsidRPr="00695B2C">
        <w:rPr>
          <w:rFonts w:eastAsia="Times New Roman" w:cs="Tahoma"/>
          <w:color w:val="auto"/>
          <w:lang w:eastAsia="es-ES"/>
        </w:rPr>
        <w:t>una</w:t>
      </w:r>
      <w:r w:rsidR="00083A1D" w:rsidRPr="00695B2C">
        <w:rPr>
          <w:rFonts w:eastAsia="Times New Roman" w:cs="Tahoma"/>
          <w:color w:val="auto"/>
          <w:lang w:eastAsia="es-ES"/>
        </w:rPr>
        <w:t xml:space="preserve"> </w:t>
      </w:r>
      <w:r w:rsidRPr="00695B2C">
        <w:rPr>
          <w:rFonts w:eastAsia="Times New Roman" w:cs="Tahoma"/>
          <w:color w:val="auto"/>
          <w:lang w:eastAsia="es-ES"/>
        </w:rPr>
        <w:t>solicitud</w:t>
      </w:r>
      <w:r w:rsidR="00083A1D" w:rsidRPr="00695B2C">
        <w:rPr>
          <w:rFonts w:eastAsia="Times New Roman" w:cs="Tahoma"/>
          <w:color w:val="auto"/>
          <w:lang w:eastAsia="es-ES"/>
        </w:rPr>
        <w:t xml:space="preserve"> </w:t>
      </w:r>
      <w:r w:rsidRPr="00695B2C">
        <w:rPr>
          <w:rFonts w:eastAsia="Times New Roman" w:cs="Tahoma"/>
          <w:color w:val="auto"/>
          <w:lang w:eastAsia="es-ES"/>
        </w:rPr>
        <w:t>de</w:t>
      </w:r>
      <w:r w:rsidR="00083A1D" w:rsidRPr="00695B2C">
        <w:rPr>
          <w:rFonts w:eastAsia="Times New Roman" w:cs="Tahoma"/>
          <w:color w:val="auto"/>
          <w:lang w:eastAsia="es-ES"/>
        </w:rPr>
        <w:t xml:space="preserve"> </w:t>
      </w:r>
      <w:r w:rsidRPr="00695B2C">
        <w:rPr>
          <w:rFonts w:eastAsia="Times New Roman" w:cs="Tahoma"/>
          <w:color w:val="auto"/>
          <w:lang w:eastAsia="es-ES"/>
        </w:rPr>
        <w:t>acceso</w:t>
      </w:r>
      <w:r w:rsidR="00083A1D" w:rsidRPr="00695B2C">
        <w:rPr>
          <w:rFonts w:eastAsia="Times New Roman" w:cs="Tahoma"/>
          <w:color w:val="auto"/>
          <w:lang w:eastAsia="es-ES"/>
        </w:rPr>
        <w:t xml:space="preserve"> </w:t>
      </w:r>
      <w:r w:rsidRPr="00695B2C">
        <w:rPr>
          <w:rFonts w:eastAsia="Times New Roman" w:cs="Tahoma"/>
          <w:color w:val="auto"/>
          <w:lang w:eastAsia="es-ES"/>
        </w:rPr>
        <w:t>a</w:t>
      </w:r>
      <w:r w:rsidR="00083A1D" w:rsidRPr="00695B2C">
        <w:rPr>
          <w:rFonts w:eastAsia="Times New Roman" w:cs="Tahoma"/>
          <w:color w:val="auto"/>
          <w:lang w:eastAsia="es-ES"/>
        </w:rPr>
        <w:t xml:space="preserve"> </w:t>
      </w:r>
      <w:r w:rsidRPr="00695B2C">
        <w:rPr>
          <w:rFonts w:eastAsia="Times New Roman" w:cs="Tahoma"/>
          <w:color w:val="auto"/>
          <w:lang w:eastAsia="es-ES"/>
        </w:rPr>
        <w:t>la</w:t>
      </w:r>
      <w:r w:rsidR="00083A1D" w:rsidRPr="00695B2C">
        <w:rPr>
          <w:rFonts w:eastAsia="Times New Roman" w:cs="Tahoma"/>
          <w:color w:val="auto"/>
          <w:lang w:eastAsia="es-ES"/>
        </w:rPr>
        <w:t xml:space="preserve"> </w:t>
      </w:r>
      <w:r w:rsidRPr="00695B2C">
        <w:rPr>
          <w:rFonts w:eastAsia="Times New Roman" w:cs="Tahoma"/>
          <w:color w:val="auto"/>
          <w:lang w:eastAsia="es-ES"/>
        </w:rPr>
        <w:t>información</w:t>
      </w:r>
      <w:r w:rsidR="00083A1D" w:rsidRPr="00695B2C">
        <w:rPr>
          <w:rFonts w:eastAsia="Times New Roman" w:cs="Tahoma"/>
          <w:color w:val="auto"/>
          <w:lang w:eastAsia="es-ES"/>
        </w:rPr>
        <w:t xml:space="preserve"> </w:t>
      </w:r>
      <w:r w:rsidRPr="00695B2C">
        <w:rPr>
          <w:rFonts w:eastAsia="Times New Roman" w:cs="Tahoma"/>
          <w:color w:val="auto"/>
          <w:lang w:eastAsia="es-ES"/>
        </w:rPr>
        <w:t>pública,</w:t>
      </w:r>
      <w:r w:rsidR="00083A1D" w:rsidRPr="00695B2C">
        <w:rPr>
          <w:rFonts w:eastAsia="Times New Roman" w:cs="Tahoma"/>
          <w:color w:val="auto"/>
          <w:lang w:eastAsia="es-ES"/>
        </w:rPr>
        <w:t xml:space="preserve"> </w:t>
      </w:r>
      <w:r w:rsidR="002032FB" w:rsidRPr="00695B2C">
        <w:rPr>
          <w:rFonts w:eastAsia="Times New Roman" w:cs="Tahoma"/>
          <w:color w:val="auto"/>
          <w:lang w:eastAsia="es-ES"/>
        </w:rPr>
        <w:t>a través Sistema de Acceso a la Información Mexiquense (SAIMEX)</w:t>
      </w:r>
      <w:r w:rsidRPr="00695B2C">
        <w:rPr>
          <w:rFonts w:eastAsia="Times New Roman" w:cs="Tahoma"/>
          <w:color w:val="auto"/>
          <w:lang w:eastAsia="es-ES"/>
        </w:rPr>
        <w:t>,</w:t>
      </w:r>
      <w:r w:rsidR="00083A1D" w:rsidRPr="00695B2C">
        <w:rPr>
          <w:rFonts w:eastAsia="Times New Roman" w:cs="Tahoma"/>
          <w:color w:val="auto"/>
          <w:lang w:eastAsia="es-ES"/>
        </w:rPr>
        <w:t xml:space="preserve"> </w:t>
      </w:r>
      <w:r w:rsidRPr="00695B2C">
        <w:rPr>
          <w:rFonts w:eastAsia="Times New Roman" w:cs="Tahoma"/>
          <w:color w:val="auto"/>
          <w:lang w:eastAsia="es-ES"/>
        </w:rPr>
        <w:t>ante</w:t>
      </w:r>
      <w:r w:rsidR="00083A1D" w:rsidRPr="00695B2C">
        <w:rPr>
          <w:rFonts w:eastAsia="Times New Roman" w:cs="Tahoma"/>
          <w:color w:val="auto"/>
          <w:lang w:eastAsia="es-ES"/>
        </w:rPr>
        <w:t xml:space="preserve"> </w:t>
      </w:r>
      <w:r w:rsidR="0015161E" w:rsidRPr="00695B2C">
        <w:rPr>
          <w:rFonts w:eastAsia="Times New Roman" w:cs="Tahoma"/>
          <w:color w:val="auto"/>
          <w:lang w:eastAsia="es-ES"/>
        </w:rPr>
        <w:t xml:space="preserve">la </w:t>
      </w:r>
      <w:proofErr w:type="gramStart"/>
      <w:r w:rsidR="00F258C3" w:rsidRPr="00695B2C">
        <w:rPr>
          <w:rFonts w:eastAsia="Calibri" w:cs="Tahoma"/>
          <w:color w:val="000000"/>
        </w:rPr>
        <w:t>Fiscalía General</w:t>
      </w:r>
      <w:proofErr w:type="gramEnd"/>
      <w:r w:rsidR="00F258C3" w:rsidRPr="00695B2C">
        <w:rPr>
          <w:rFonts w:eastAsia="Calibri" w:cs="Tahoma"/>
          <w:color w:val="000000"/>
        </w:rPr>
        <w:t xml:space="preserve"> de Justicia del Estado de México</w:t>
      </w:r>
      <w:r w:rsidRPr="00695B2C">
        <w:rPr>
          <w:rFonts w:eastAsia="Calibri" w:cs="Tahoma"/>
        </w:rPr>
        <w:t>,</w:t>
      </w:r>
      <w:r w:rsidR="00083A1D" w:rsidRPr="00695B2C">
        <w:rPr>
          <w:rFonts w:eastAsia="Calibri" w:cs="Tahoma"/>
        </w:rPr>
        <w:t xml:space="preserve"> </w:t>
      </w:r>
      <w:r w:rsidRPr="00695B2C">
        <w:rPr>
          <w:rFonts w:eastAsia="Calibri" w:cs="Tahoma"/>
        </w:rPr>
        <w:t>en</w:t>
      </w:r>
      <w:r w:rsidR="00083A1D" w:rsidRPr="00695B2C">
        <w:rPr>
          <w:rFonts w:eastAsia="Calibri" w:cs="Tahoma"/>
        </w:rPr>
        <w:t xml:space="preserve"> </w:t>
      </w:r>
      <w:r w:rsidRPr="00695B2C">
        <w:rPr>
          <w:rFonts w:eastAsia="Calibri" w:cs="Tahoma"/>
        </w:rPr>
        <w:t>los</w:t>
      </w:r>
      <w:r w:rsidR="00083A1D" w:rsidRPr="00695B2C">
        <w:rPr>
          <w:rFonts w:eastAsia="Calibri" w:cs="Tahoma"/>
        </w:rPr>
        <w:t xml:space="preserve"> </w:t>
      </w:r>
      <w:r w:rsidRPr="00695B2C">
        <w:rPr>
          <w:rFonts w:eastAsia="Calibri" w:cs="Tahoma"/>
        </w:rPr>
        <w:t>siguientes</w:t>
      </w:r>
      <w:r w:rsidR="00083A1D" w:rsidRPr="00695B2C">
        <w:rPr>
          <w:rFonts w:eastAsia="Calibri" w:cs="Tahoma"/>
        </w:rPr>
        <w:t xml:space="preserve"> </w:t>
      </w:r>
      <w:r w:rsidRPr="00695B2C">
        <w:rPr>
          <w:rFonts w:eastAsia="Calibri" w:cs="Tahoma"/>
        </w:rPr>
        <w:t>términos:</w:t>
      </w:r>
      <w:r w:rsidR="00083A1D" w:rsidRPr="00695B2C">
        <w:rPr>
          <w:rFonts w:eastAsia="Calibri" w:cs="Tahoma"/>
        </w:rPr>
        <w:t xml:space="preserve"> </w:t>
      </w:r>
    </w:p>
    <w:p w14:paraId="13781153" w14:textId="77777777" w:rsidR="00177EE1" w:rsidRPr="00695B2C" w:rsidRDefault="00177EE1" w:rsidP="006461DA">
      <w:pPr>
        <w:spacing w:after="0" w:line="360" w:lineRule="auto"/>
        <w:rPr>
          <w:rFonts w:eastAsia="Calibri" w:cs="Tahoma"/>
        </w:rPr>
      </w:pPr>
    </w:p>
    <w:p w14:paraId="003D549A" w14:textId="77777777" w:rsidR="00177EE1" w:rsidRPr="00695B2C" w:rsidRDefault="00177EE1" w:rsidP="006461DA">
      <w:pPr>
        <w:spacing w:after="0" w:line="360" w:lineRule="auto"/>
        <w:ind w:left="567" w:right="567"/>
        <w:rPr>
          <w:rFonts w:eastAsia="Times New Roman" w:cs="Arial"/>
          <w:bCs/>
          <w:i/>
          <w:iCs/>
          <w:color w:val="auto"/>
          <w:sz w:val="20"/>
          <w:lang w:eastAsia="es-ES"/>
        </w:rPr>
      </w:pPr>
      <w:r w:rsidRPr="00695B2C">
        <w:rPr>
          <w:rFonts w:eastAsia="Times New Roman" w:cs="Arial"/>
          <w:bCs/>
          <w:i/>
          <w:iCs/>
          <w:color w:val="auto"/>
          <w:sz w:val="20"/>
          <w:lang w:eastAsia="es-ES"/>
        </w:rPr>
        <w:t>“</w:t>
      </w:r>
      <w:r w:rsidRPr="00695B2C">
        <w:rPr>
          <w:rFonts w:eastAsia="Times New Roman" w:cs="Tahoma"/>
          <w:b/>
          <w:bCs/>
          <w:i/>
          <w:iCs/>
          <w:color w:val="auto"/>
          <w:sz w:val="20"/>
          <w:lang w:eastAsia="es-ES"/>
        </w:rPr>
        <w:t>DESCRIPCIÓN</w:t>
      </w:r>
      <w:r w:rsidR="00083A1D" w:rsidRPr="00695B2C">
        <w:rPr>
          <w:rFonts w:eastAsia="Times New Roman" w:cs="Tahoma"/>
          <w:b/>
          <w:bCs/>
          <w:i/>
          <w:iCs/>
          <w:color w:val="auto"/>
          <w:sz w:val="20"/>
          <w:lang w:eastAsia="es-ES"/>
        </w:rPr>
        <w:t xml:space="preserve"> </w:t>
      </w:r>
      <w:r w:rsidRPr="00695B2C">
        <w:rPr>
          <w:rFonts w:eastAsia="Times New Roman" w:cs="Tahoma"/>
          <w:b/>
          <w:bCs/>
          <w:i/>
          <w:iCs/>
          <w:color w:val="auto"/>
          <w:sz w:val="20"/>
          <w:lang w:eastAsia="es-ES"/>
        </w:rPr>
        <w:t>CLARA</w:t>
      </w:r>
      <w:r w:rsidR="00083A1D" w:rsidRPr="00695B2C">
        <w:rPr>
          <w:rFonts w:eastAsia="Times New Roman" w:cs="Tahoma"/>
          <w:b/>
          <w:bCs/>
          <w:i/>
          <w:iCs/>
          <w:color w:val="auto"/>
          <w:sz w:val="20"/>
          <w:lang w:eastAsia="es-ES"/>
        </w:rPr>
        <w:t xml:space="preserve"> </w:t>
      </w:r>
      <w:r w:rsidRPr="00695B2C">
        <w:rPr>
          <w:rFonts w:eastAsia="Times New Roman" w:cs="Tahoma"/>
          <w:b/>
          <w:bCs/>
          <w:i/>
          <w:iCs/>
          <w:color w:val="auto"/>
          <w:sz w:val="20"/>
          <w:lang w:eastAsia="es-ES"/>
        </w:rPr>
        <w:t>Y</w:t>
      </w:r>
      <w:r w:rsidR="00083A1D" w:rsidRPr="00695B2C">
        <w:rPr>
          <w:rFonts w:eastAsia="Times New Roman" w:cs="Tahoma"/>
          <w:b/>
          <w:bCs/>
          <w:i/>
          <w:iCs/>
          <w:color w:val="auto"/>
          <w:sz w:val="20"/>
          <w:lang w:eastAsia="es-ES"/>
        </w:rPr>
        <w:t xml:space="preserve"> </w:t>
      </w:r>
      <w:r w:rsidRPr="00695B2C">
        <w:rPr>
          <w:rFonts w:eastAsia="Times New Roman" w:cs="Tahoma"/>
          <w:b/>
          <w:bCs/>
          <w:i/>
          <w:iCs/>
          <w:color w:val="auto"/>
          <w:sz w:val="20"/>
          <w:lang w:eastAsia="es-ES"/>
        </w:rPr>
        <w:t>PRECISA</w:t>
      </w:r>
      <w:r w:rsidR="00083A1D" w:rsidRPr="00695B2C">
        <w:rPr>
          <w:rFonts w:eastAsia="Times New Roman" w:cs="Tahoma"/>
          <w:b/>
          <w:bCs/>
          <w:i/>
          <w:iCs/>
          <w:color w:val="auto"/>
          <w:sz w:val="20"/>
          <w:lang w:eastAsia="es-ES"/>
        </w:rPr>
        <w:t xml:space="preserve"> </w:t>
      </w:r>
      <w:r w:rsidRPr="00695B2C">
        <w:rPr>
          <w:rFonts w:eastAsia="Times New Roman" w:cs="Tahoma"/>
          <w:b/>
          <w:bCs/>
          <w:i/>
          <w:iCs/>
          <w:color w:val="auto"/>
          <w:sz w:val="20"/>
          <w:lang w:eastAsia="es-ES"/>
        </w:rPr>
        <w:t>DE</w:t>
      </w:r>
      <w:r w:rsidR="00083A1D" w:rsidRPr="00695B2C">
        <w:rPr>
          <w:rFonts w:eastAsia="Times New Roman" w:cs="Tahoma"/>
          <w:b/>
          <w:bCs/>
          <w:i/>
          <w:iCs/>
          <w:color w:val="auto"/>
          <w:sz w:val="20"/>
          <w:lang w:eastAsia="es-ES"/>
        </w:rPr>
        <w:t xml:space="preserve"> </w:t>
      </w:r>
      <w:r w:rsidRPr="00695B2C">
        <w:rPr>
          <w:rFonts w:eastAsia="Times New Roman" w:cs="Tahoma"/>
          <w:b/>
          <w:bCs/>
          <w:i/>
          <w:iCs/>
          <w:color w:val="auto"/>
          <w:sz w:val="20"/>
          <w:lang w:eastAsia="es-ES"/>
        </w:rPr>
        <w:t>LA</w:t>
      </w:r>
      <w:r w:rsidR="00083A1D" w:rsidRPr="00695B2C">
        <w:rPr>
          <w:rFonts w:eastAsia="Times New Roman" w:cs="Tahoma"/>
          <w:b/>
          <w:bCs/>
          <w:i/>
          <w:iCs/>
          <w:color w:val="auto"/>
          <w:sz w:val="20"/>
          <w:lang w:eastAsia="es-ES"/>
        </w:rPr>
        <w:t xml:space="preserve"> </w:t>
      </w:r>
      <w:r w:rsidRPr="00695B2C">
        <w:rPr>
          <w:rFonts w:eastAsia="Times New Roman" w:cs="Tahoma"/>
          <w:b/>
          <w:bCs/>
          <w:i/>
          <w:iCs/>
          <w:color w:val="auto"/>
          <w:sz w:val="20"/>
          <w:lang w:eastAsia="es-ES"/>
        </w:rPr>
        <w:t>INFORMACIÓN</w:t>
      </w:r>
      <w:r w:rsidR="00083A1D" w:rsidRPr="00695B2C">
        <w:rPr>
          <w:rFonts w:eastAsia="Times New Roman" w:cs="Tahoma"/>
          <w:b/>
          <w:bCs/>
          <w:i/>
          <w:iCs/>
          <w:color w:val="auto"/>
          <w:sz w:val="20"/>
          <w:lang w:eastAsia="es-ES"/>
        </w:rPr>
        <w:t xml:space="preserve"> </w:t>
      </w:r>
      <w:r w:rsidRPr="00695B2C">
        <w:rPr>
          <w:rFonts w:eastAsia="Times New Roman" w:cs="Tahoma"/>
          <w:b/>
          <w:bCs/>
          <w:i/>
          <w:iCs/>
          <w:color w:val="auto"/>
          <w:sz w:val="20"/>
          <w:lang w:eastAsia="es-ES"/>
        </w:rPr>
        <w:t>SOLICITADA.</w:t>
      </w:r>
    </w:p>
    <w:p w14:paraId="63AB3A1B" w14:textId="02DB2AA3" w:rsidR="00177CD4" w:rsidRPr="00695B2C" w:rsidRDefault="007D33AC" w:rsidP="006461DA">
      <w:pPr>
        <w:spacing w:after="0" w:line="360" w:lineRule="auto"/>
        <w:ind w:left="567" w:right="567"/>
        <w:rPr>
          <w:rFonts w:eastAsia="Times New Roman" w:cs="Arial"/>
          <w:bCs/>
          <w:i/>
          <w:iCs/>
          <w:color w:val="auto"/>
          <w:sz w:val="20"/>
          <w:lang w:eastAsia="es-ES"/>
        </w:rPr>
      </w:pPr>
      <w:r w:rsidRPr="00695B2C">
        <w:rPr>
          <w:rFonts w:eastAsia="Times New Roman" w:cs="Arial"/>
          <w:bCs/>
          <w:i/>
          <w:iCs/>
          <w:color w:val="auto"/>
          <w:sz w:val="20"/>
          <w:lang w:eastAsia="es-ES"/>
        </w:rPr>
        <w:t xml:space="preserve">Sobre el caso del C. </w:t>
      </w:r>
      <w:proofErr w:type="spellStart"/>
      <w:r w:rsidRPr="00695B2C">
        <w:rPr>
          <w:rFonts w:eastAsia="Times New Roman" w:cs="Arial"/>
          <w:bCs/>
          <w:i/>
          <w:iCs/>
          <w:color w:val="auto"/>
          <w:sz w:val="20"/>
          <w:lang w:eastAsia="es-ES"/>
        </w:rPr>
        <w:t>Andres</w:t>
      </w:r>
      <w:proofErr w:type="spellEnd"/>
      <w:r w:rsidRPr="00695B2C">
        <w:rPr>
          <w:rFonts w:eastAsia="Times New Roman" w:cs="Arial"/>
          <w:bCs/>
          <w:i/>
          <w:iCs/>
          <w:color w:val="auto"/>
          <w:sz w:val="20"/>
          <w:lang w:eastAsia="es-ES"/>
        </w:rPr>
        <w:t xml:space="preserve"> Filomeno Mendoza Celis, feminicida de </w:t>
      </w:r>
      <w:proofErr w:type="spellStart"/>
      <w:r w:rsidRPr="00695B2C">
        <w:rPr>
          <w:rFonts w:eastAsia="Times New Roman" w:cs="Arial"/>
          <w:bCs/>
          <w:i/>
          <w:iCs/>
          <w:color w:val="auto"/>
          <w:sz w:val="20"/>
          <w:lang w:eastAsia="es-ES"/>
        </w:rPr>
        <w:t>Atizapan</w:t>
      </w:r>
      <w:proofErr w:type="spellEnd"/>
      <w:r w:rsidRPr="00695B2C">
        <w:rPr>
          <w:rFonts w:eastAsia="Times New Roman" w:cs="Arial"/>
          <w:bCs/>
          <w:i/>
          <w:iCs/>
          <w:color w:val="auto"/>
          <w:sz w:val="20"/>
          <w:lang w:eastAsia="es-ES"/>
        </w:rPr>
        <w:t xml:space="preserve">, solicito lo siguiente: 1. El número de carpetas de investigación abiertas en su contra. 2. Si en ellas se aplicó </w:t>
      </w:r>
      <w:proofErr w:type="spellStart"/>
      <w:r w:rsidRPr="00695B2C">
        <w:rPr>
          <w:rFonts w:eastAsia="Times New Roman" w:cs="Arial"/>
          <w:bCs/>
          <w:i/>
          <w:iCs/>
          <w:color w:val="auto"/>
          <w:sz w:val="20"/>
          <w:lang w:eastAsia="es-ES"/>
        </w:rPr>
        <w:t>algun</w:t>
      </w:r>
      <w:proofErr w:type="spellEnd"/>
      <w:r w:rsidRPr="00695B2C">
        <w:rPr>
          <w:rFonts w:eastAsia="Times New Roman" w:cs="Arial"/>
          <w:bCs/>
          <w:i/>
          <w:iCs/>
          <w:color w:val="auto"/>
          <w:sz w:val="20"/>
          <w:lang w:eastAsia="es-ES"/>
        </w:rPr>
        <w:t xml:space="preserve"> protocolo por investigación de feminicidio, de aplicarse, requiero el mismo. 3. Las acciones de </w:t>
      </w:r>
      <w:proofErr w:type="spellStart"/>
      <w:r w:rsidRPr="00695B2C">
        <w:rPr>
          <w:rFonts w:eastAsia="Times New Roman" w:cs="Arial"/>
          <w:bCs/>
          <w:i/>
          <w:iCs/>
          <w:color w:val="auto"/>
          <w:sz w:val="20"/>
          <w:lang w:eastAsia="es-ES"/>
        </w:rPr>
        <w:t>extición</w:t>
      </w:r>
      <w:proofErr w:type="spellEnd"/>
      <w:r w:rsidRPr="00695B2C">
        <w:rPr>
          <w:rFonts w:eastAsia="Times New Roman" w:cs="Arial"/>
          <w:bCs/>
          <w:i/>
          <w:iCs/>
          <w:color w:val="auto"/>
          <w:sz w:val="20"/>
          <w:lang w:eastAsia="es-ES"/>
        </w:rPr>
        <w:t xml:space="preserve"> de dominio promovidas para continuar con las investigaciones. 4. Los permisos tramitados ante el Ayuntamiento de </w:t>
      </w:r>
      <w:proofErr w:type="spellStart"/>
      <w:r w:rsidRPr="00695B2C">
        <w:rPr>
          <w:rFonts w:eastAsia="Times New Roman" w:cs="Arial"/>
          <w:bCs/>
          <w:i/>
          <w:iCs/>
          <w:color w:val="auto"/>
          <w:sz w:val="20"/>
          <w:lang w:eastAsia="es-ES"/>
        </w:rPr>
        <w:t>Atizapan</w:t>
      </w:r>
      <w:proofErr w:type="spellEnd"/>
      <w:r w:rsidRPr="00695B2C">
        <w:rPr>
          <w:rFonts w:eastAsia="Times New Roman" w:cs="Arial"/>
          <w:bCs/>
          <w:i/>
          <w:iCs/>
          <w:color w:val="auto"/>
          <w:sz w:val="20"/>
          <w:lang w:eastAsia="es-ES"/>
        </w:rPr>
        <w:t xml:space="preserve"> de Zaragoza para continuar con las labores de investigación. 5. El número de ejercicio de acción penal ejercidas en contra de esa persona. 6. El </w:t>
      </w:r>
      <w:proofErr w:type="spellStart"/>
      <w:r w:rsidRPr="00695B2C">
        <w:rPr>
          <w:rFonts w:eastAsia="Times New Roman" w:cs="Arial"/>
          <w:bCs/>
          <w:i/>
          <w:iCs/>
          <w:color w:val="auto"/>
          <w:sz w:val="20"/>
          <w:lang w:eastAsia="es-ES"/>
        </w:rPr>
        <w:t>numero</w:t>
      </w:r>
      <w:proofErr w:type="spellEnd"/>
      <w:r w:rsidRPr="00695B2C">
        <w:rPr>
          <w:rFonts w:eastAsia="Times New Roman" w:cs="Arial"/>
          <w:bCs/>
          <w:i/>
          <w:iCs/>
          <w:color w:val="auto"/>
          <w:sz w:val="20"/>
          <w:lang w:eastAsia="es-ES"/>
        </w:rPr>
        <w:t xml:space="preserve"> de restos rescatados y de personas identificadas y no identificadas -NO REQUIERO SUS NOMBRES, SOLO EL PRONUNCIAMIENTO SOBRE SI FUERON O NO IDENTIFICADAS- 7. Describa las </w:t>
      </w:r>
      <w:r w:rsidRPr="00695B2C">
        <w:rPr>
          <w:rFonts w:eastAsia="Times New Roman" w:cs="Arial"/>
          <w:bCs/>
          <w:i/>
          <w:iCs/>
          <w:color w:val="auto"/>
          <w:sz w:val="20"/>
          <w:lang w:eastAsia="es-ES"/>
        </w:rPr>
        <w:lastRenderedPageBreak/>
        <w:t>diligencias efectuadas para el rescate de restos, identificación y persecución de culpables sobre ese caso. 8. Las carpetas de investigación, amparos y demás expedientes relacionados con ese caso. Lo anterior en versión pública, considerando que no puede ser reservada en términos del artículo 142, fracción I, de la Ley de Transparencia del EDOMEX, así como en la tesis de la SCJN DERECHO A LA INFORMACIÓN. NO PUEDE ALEGARSE EL CARÁCTER DE "RESERVADO" DE LAS AVERIGUACIONES PREVIAS CUANDO LA INVESTIGACIÓN VERSE SOBRE VIOLACIONES GRAVES DE DERECHOS FUNDAMENTALES O DELITOS DE LESA HUMANIDAD, COMO LO ES EL FEMINICIDIO Y DESAPARICIÓN FORZADA DE MUJERES.</w:t>
      </w:r>
    </w:p>
    <w:p w14:paraId="333B97F2" w14:textId="77777777" w:rsidR="007D33AC" w:rsidRPr="00695B2C" w:rsidRDefault="007D33AC" w:rsidP="006461DA">
      <w:pPr>
        <w:tabs>
          <w:tab w:val="left" w:pos="4667"/>
        </w:tabs>
        <w:spacing w:after="0" w:line="360" w:lineRule="auto"/>
        <w:ind w:left="567" w:right="567"/>
        <w:rPr>
          <w:rFonts w:eastAsia="Times New Roman" w:cs="Tahoma"/>
          <w:b/>
          <w:bCs/>
          <w:i/>
          <w:iCs/>
          <w:color w:val="auto"/>
          <w:sz w:val="20"/>
          <w:lang w:eastAsia="es-ES"/>
        </w:rPr>
      </w:pPr>
    </w:p>
    <w:p w14:paraId="6DDD3FE0" w14:textId="161EB612" w:rsidR="00177EE1" w:rsidRPr="00695B2C" w:rsidRDefault="00177EE1" w:rsidP="006461DA">
      <w:pPr>
        <w:tabs>
          <w:tab w:val="left" w:pos="4667"/>
        </w:tabs>
        <w:spacing w:after="0" w:line="360" w:lineRule="auto"/>
        <w:ind w:left="567" w:right="567"/>
        <w:rPr>
          <w:rFonts w:eastAsia="Times New Roman" w:cs="Tahoma"/>
          <w:b/>
          <w:bCs/>
          <w:i/>
          <w:iCs/>
          <w:color w:val="auto"/>
          <w:sz w:val="20"/>
          <w:lang w:eastAsia="es-ES"/>
        </w:rPr>
      </w:pPr>
      <w:r w:rsidRPr="00695B2C">
        <w:rPr>
          <w:rFonts w:eastAsia="Times New Roman" w:cs="Tahoma"/>
          <w:b/>
          <w:bCs/>
          <w:i/>
          <w:iCs/>
          <w:color w:val="auto"/>
          <w:sz w:val="20"/>
          <w:lang w:eastAsia="es-ES"/>
        </w:rPr>
        <w:t>“MODALIDAD</w:t>
      </w:r>
      <w:r w:rsidR="00083A1D" w:rsidRPr="00695B2C">
        <w:rPr>
          <w:rFonts w:eastAsia="Times New Roman" w:cs="Tahoma"/>
          <w:b/>
          <w:bCs/>
          <w:i/>
          <w:iCs/>
          <w:color w:val="auto"/>
          <w:sz w:val="20"/>
          <w:lang w:eastAsia="es-ES"/>
        </w:rPr>
        <w:t xml:space="preserve"> </w:t>
      </w:r>
      <w:r w:rsidRPr="00695B2C">
        <w:rPr>
          <w:rFonts w:eastAsia="Times New Roman" w:cs="Tahoma"/>
          <w:b/>
          <w:bCs/>
          <w:i/>
          <w:iCs/>
          <w:color w:val="auto"/>
          <w:sz w:val="20"/>
          <w:lang w:eastAsia="es-ES"/>
        </w:rPr>
        <w:t>DE</w:t>
      </w:r>
      <w:r w:rsidR="00083A1D" w:rsidRPr="00695B2C">
        <w:rPr>
          <w:rFonts w:eastAsia="Times New Roman" w:cs="Tahoma"/>
          <w:b/>
          <w:bCs/>
          <w:i/>
          <w:iCs/>
          <w:color w:val="auto"/>
          <w:sz w:val="20"/>
          <w:lang w:eastAsia="es-ES"/>
        </w:rPr>
        <w:t xml:space="preserve"> </w:t>
      </w:r>
      <w:r w:rsidRPr="00695B2C">
        <w:rPr>
          <w:rFonts w:eastAsia="Times New Roman" w:cs="Tahoma"/>
          <w:b/>
          <w:bCs/>
          <w:i/>
          <w:iCs/>
          <w:color w:val="auto"/>
          <w:sz w:val="20"/>
          <w:lang w:eastAsia="es-ES"/>
        </w:rPr>
        <w:t>ENTREGA</w:t>
      </w:r>
    </w:p>
    <w:p w14:paraId="5BE866F0" w14:textId="1040FCBA" w:rsidR="00177EE1" w:rsidRPr="00695B2C" w:rsidRDefault="005D417E" w:rsidP="006461DA">
      <w:pPr>
        <w:spacing w:after="0" w:line="360" w:lineRule="auto"/>
        <w:ind w:left="567" w:right="567"/>
        <w:rPr>
          <w:rFonts w:eastAsia="Times New Roman" w:cs="Arial"/>
          <w:bCs/>
          <w:i/>
          <w:iCs/>
          <w:color w:val="auto"/>
          <w:sz w:val="20"/>
          <w:lang w:eastAsia="es-ES"/>
        </w:rPr>
      </w:pPr>
      <w:r w:rsidRPr="00695B2C">
        <w:rPr>
          <w:rFonts w:eastAsia="Times New Roman" w:cs="Arial"/>
          <w:bCs/>
          <w:i/>
          <w:iCs/>
          <w:color w:val="auto"/>
          <w:sz w:val="20"/>
          <w:lang w:eastAsia="es-ES"/>
        </w:rPr>
        <w:t>A través del SAIMEX</w:t>
      </w:r>
      <w:r w:rsidR="00177EE1" w:rsidRPr="00695B2C">
        <w:rPr>
          <w:rFonts w:eastAsia="Times New Roman" w:cs="Arial"/>
          <w:bCs/>
          <w:i/>
          <w:iCs/>
          <w:color w:val="auto"/>
          <w:sz w:val="20"/>
          <w:lang w:eastAsia="es-ES"/>
        </w:rPr>
        <w:t>”</w:t>
      </w:r>
    </w:p>
    <w:p w14:paraId="0FC9D109" w14:textId="77777777" w:rsidR="007D33AC" w:rsidRPr="00695B2C" w:rsidRDefault="007D33AC" w:rsidP="006461DA">
      <w:pPr>
        <w:autoSpaceDE w:val="0"/>
        <w:autoSpaceDN w:val="0"/>
        <w:adjustRightInd w:val="0"/>
        <w:spacing w:after="0" w:line="360" w:lineRule="auto"/>
        <w:rPr>
          <w:rFonts w:cs="Tahoma"/>
          <w:b/>
        </w:rPr>
      </w:pPr>
    </w:p>
    <w:p w14:paraId="5B630850" w14:textId="33C39267" w:rsidR="007D33AC" w:rsidRPr="00695B2C" w:rsidRDefault="002327BA" w:rsidP="006461DA">
      <w:pPr>
        <w:autoSpaceDE w:val="0"/>
        <w:autoSpaceDN w:val="0"/>
        <w:adjustRightInd w:val="0"/>
        <w:spacing w:after="0" w:line="360" w:lineRule="auto"/>
        <w:rPr>
          <w:b/>
          <w:bCs/>
        </w:rPr>
      </w:pPr>
      <w:r w:rsidRPr="00695B2C">
        <w:rPr>
          <w:rFonts w:cs="Tahoma"/>
          <w:b/>
        </w:rPr>
        <w:t>II.</w:t>
      </w:r>
      <w:r w:rsidR="00083A1D" w:rsidRPr="00695B2C">
        <w:rPr>
          <w:b/>
          <w:bCs/>
        </w:rPr>
        <w:t xml:space="preserve"> </w:t>
      </w:r>
      <w:r w:rsidR="007D33AC" w:rsidRPr="00695B2C">
        <w:rPr>
          <w:b/>
          <w:bCs/>
        </w:rPr>
        <w:t>Prórroga.</w:t>
      </w:r>
    </w:p>
    <w:p w14:paraId="70D4562D" w14:textId="1CFAF79B" w:rsidR="007D33AC" w:rsidRPr="00695B2C" w:rsidRDefault="007D33AC" w:rsidP="006461DA">
      <w:pPr>
        <w:autoSpaceDE w:val="0"/>
        <w:autoSpaceDN w:val="0"/>
        <w:adjustRightInd w:val="0"/>
        <w:spacing w:after="0" w:line="360" w:lineRule="auto"/>
        <w:rPr>
          <w:b/>
          <w:bCs/>
        </w:rPr>
      </w:pPr>
    </w:p>
    <w:p w14:paraId="476BB0DE" w14:textId="6AE9242C" w:rsidR="00C67FDB" w:rsidRPr="00695B2C" w:rsidRDefault="007D33AC" w:rsidP="006461DA">
      <w:pPr>
        <w:autoSpaceDE w:val="0"/>
        <w:autoSpaceDN w:val="0"/>
        <w:adjustRightInd w:val="0"/>
        <w:spacing w:after="0" w:line="360" w:lineRule="auto"/>
        <w:rPr>
          <w:rFonts w:cs="Tahoma"/>
        </w:rPr>
      </w:pPr>
      <w:r w:rsidRPr="00695B2C">
        <w:rPr>
          <w:rFonts w:cs="Tahoma"/>
        </w:rPr>
        <w:t xml:space="preserve">El veinte de enero del dos mil veintidós, la Titular de la Unidad de Transparencia de la </w:t>
      </w:r>
      <w:proofErr w:type="gramStart"/>
      <w:r w:rsidRPr="00695B2C">
        <w:rPr>
          <w:rFonts w:cs="Tahoma"/>
        </w:rPr>
        <w:t>Fiscalía General</w:t>
      </w:r>
      <w:proofErr w:type="gramEnd"/>
      <w:r w:rsidRPr="00695B2C">
        <w:rPr>
          <w:rFonts w:cs="Tahoma"/>
        </w:rPr>
        <w:t xml:space="preserve"> de Justicia del Estado de México, </w:t>
      </w:r>
      <w:r w:rsidR="00C67FDB" w:rsidRPr="00695B2C">
        <w:rPr>
          <w:rFonts w:cs="Tahoma"/>
        </w:rPr>
        <w:t>notificó al Particular la determinación del Comité de Transparencia de la Fiscalía General de Justicia del Estado de México de ampliar el periodo por un plazo de siete días, para dar respuesta a la solicitud.</w:t>
      </w:r>
    </w:p>
    <w:p w14:paraId="7A4062F7" w14:textId="77777777" w:rsidR="007D33AC" w:rsidRPr="00695B2C" w:rsidRDefault="007D33AC" w:rsidP="006461DA">
      <w:pPr>
        <w:autoSpaceDE w:val="0"/>
        <w:autoSpaceDN w:val="0"/>
        <w:adjustRightInd w:val="0"/>
        <w:spacing w:after="0" w:line="360" w:lineRule="auto"/>
        <w:rPr>
          <w:b/>
          <w:bCs/>
        </w:rPr>
      </w:pPr>
    </w:p>
    <w:p w14:paraId="2A077202" w14:textId="5A75B469" w:rsidR="002327BA" w:rsidRPr="00695B2C" w:rsidRDefault="007D33AC" w:rsidP="006461DA">
      <w:pPr>
        <w:autoSpaceDE w:val="0"/>
        <w:autoSpaceDN w:val="0"/>
        <w:adjustRightInd w:val="0"/>
        <w:spacing w:after="0" w:line="360" w:lineRule="auto"/>
        <w:rPr>
          <w:b/>
          <w:bCs/>
        </w:rPr>
      </w:pPr>
      <w:r w:rsidRPr="00695B2C">
        <w:rPr>
          <w:b/>
          <w:bCs/>
        </w:rPr>
        <w:t xml:space="preserve">III. </w:t>
      </w:r>
      <w:r w:rsidR="002327BA" w:rsidRPr="00695B2C">
        <w:rPr>
          <w:b/>
          <w:bCs/>
        </w:rPr>
        <w:t>Respuesta</w:t>
      </w:r>
      <w:r w:rsidR="00083A1D" w:rsidRPr="00695B2C">
        <w:rPr>
          <w:b/>
          <w:bCs/>
        </w:rPr>
        <w:t xml:space="preserve"> </w:t>
      </w:r>
      <w:r w:rsidR="002327BA" w:rsidRPr="00695B2C">
        <w:rPr>
          <w:b/>
          <w:bCs/>
        </w:rPr>
        <w:t>del</w:t>
      </w:r>
      <w:r w:rsidR="00083A1D" w:rsidRPr="00695B2C">
        <w:rPr>
          <w:b/>
          <w:bCs/>
        </w:rPr>
        <w:t xml:space="preserve"> </w:t>
      </w:r>
      <w:r w:rsidR="002327BA" w:rsidRPr="00695B2C">
        <w:rPr>
          <w:b/>
          <w:bCs/>
        </w:rPr>
        <w:t>Sujeto</w:t>
      </w:r>
      <w:r w:rsidR="00083A1D" w:rsidRPr="00695B2C">
        <w:rPr>
          <w:b/>
          <w:bCs/>
        </w:rPr>
        <w:t xml:space="preserve"> </w:t>
      </w:r>
      <w:r w:rsidR="002327BA" w:rsidRPr="00695B2C">
        <w:rPr>
          <w:b/>
          <w:bCs/>
        </w:rPr>
        <w:t>Obligado.</w:t>
      </w:r>
      <w:r w:rsidR="00083A1D" w:rsidRPr="00695B2C">
        <w:rPr>
          <w:b/>
          <w:bCs/>
        </w:rPr>
        <w:t xml:space="preserve"> </w:t>
      </w:r>
    </w:p>
    <w:p w14:paraId="16936CFF" w14:textId="4A7D649C" w:rsidR="008D28FA" w:rsidRPr="00695B2C" w:rsidRDefault="008D28FA" w:rsidP="006461DA">
      <w:pPr>
        <w:autoSpaceDE w:val="0"/>
        <w:autoSpaceDN w:val="0"/>
        <w:adjustRightInd w:val="0"/>
        <w:spacing w:after="0" w:line="360" w:lineRule="auto"/>
        <w:rPr>
          <w:b/>
          <w:bCs/>
        </w:rPr>
      </w:pPr>
    </w:p>
    <w:p w14:paraId="6AD892AA" w14:textId="249850B8" w:rsidR="002327BA" w:rsidRPr="00695B2C" w:rsidRDefault="00715EC4" w:rsidP="006461DA">
      <w:pPr>
        <w:autoSpaceDE w:val="0"/>
        <w:autoSpaceDN w:val="0"/>
        <w:adjustRightInd w:val="0"/>
        <w:spacing w:after="0" w:line="360" w:lineRule="auto"/>
        <w:rPr>
          <w:rFonts w:eastAsia="Times New Roman" w:cs="Tahoma"/>
          <w:color w:val="auto"/>
          <w:lang w:eastAsia="es-ES"/>
        </w:rPr>
      </w:pPr>
      <w:r w:rsidRPr="00695B2C">
        <w:rPr>
          <w:rFonts w:cs="Tahoma"/>
        </w:rPr>
        <w:t xml:space="preserve">El </w:t>
      </w:r>
      <w:r w:rsidR="00C67FDB" w:rsidRPr="00695B2C">
        <w:rPr>
          <w:rFonts w:cs="Tahoma"/>
        </w:rPr>
        <w:t xml:space="preserve">treinta y uno de enero del </w:t>
      </w:r>
      <w:r w:rsidR="002327BA" w:rsidRPr="00695B2C">
        <w:rPr>
          <w:rFonts w:cs="Tahoma"/>
        </w:rPr>
        <w:t>dos</w:t>
      </w:r>
      <w:r w:rsidR="00083A1D" w:rsidRPr="00695B2C">
        <w:rPr>
          <w:rFonts w:cs="Tahoma"/>
        </w:rPr>
        <w:t xml:space="preserve"> </w:t>
      </w:r>
      <w:r w:rsidR="002327BA" w:rsidRPr="00695B2C">
        <w:rPr>
          <w:rFonts w:cs="Tahoma"/>
        </w:rPr>
        <w:t>mil</w:t>
      </w:r>
      <w:r w:rsidR="00083A1D" w:rsidRPr="00695B2C">
        <w:rPr>
          <w:rFonts w:cs="Tahoma"/>
        </w:rPr>
        <w:t xml:space="preserve"> </w:t>
      </w:r>
      <w:r w:rsidR="005D417E" w:rsidRPr="00695B2C">
        <w:rPr>
          <w:rFonts w:cs="Tahoma"/>
        </w:rPr>
        <w:t>veintidós</w:t>
      </w:r>
      <w:r w:rsidR="002A1D89" w:rsidRPr="00695B2C">
        <w:rPr>
          <w:rFonts w:cs="Tahoma"/>
        </w:rPr>
        <w:t>,</w:t>
      </w:r>
      <w:r w:rsidR="00083A1D" w:rsidRPr="00695B2C">
        <w:rPr>
          <w:rFonts w:cs="Tahoma"/>
        </w:rPr>
        <w:t xml:space="preserve"> </w:t>
      </w:r>
      <w:r w:rsidR="005E79B6" w:rsidRPr="00695B2C">
        <w:rPr>
          <w:rFonts w:cs="Tahoma"/>
        </w:rPr>
        <w:t xml:space="preserve">la Titular de la Unidad de Transparencia del </w:t>
      </w:r>
      <w:proofErr w:type="gramStart"/>
      <w:r w:rsidR="00F258C3" w:rsidRPr="00695B2C">
        <w:rPr>
          <w:rFonts w:cs="Tahoma"/>
        </w:rPr>
        <w:t>Fiscalía General</w:t>
      </w:r>
      <w:proofErr w:type="gramEnd"/>
      <w:r w:rsidR="00F258C3" w:rsidRPr="00695B2C">
        <w:rPr>
          <w:rFonts w:cs="Tahoma"/>
        </w:rPr>
        <w:t xml:space="preserve"> de Justicia del Estado de México</w:t>
      </w:r>
      <w:r w:rsidR="002A1D89" w:rsidRPr="00695B2C">
        <w:rPr>
          <w:rFonts w:cs="Tahoma"/>
        </w:rPr>
        <w:t>,</w:t>
      </w:r>
      <w:r w:rsidR="00083A1D" w:rsidRPr="00695B2C">
        <w:rPr>
          <w:rFonts w:cs="Tahoma"/>
        </w:rPr>
        <w:t xml:space="preserve"> </w:t>
      </w:r>
      <w:r w:rsidR="002A1D89" w:rsidRPr="00695B2C">
        <w:rPr>
          <w:rFonts w:cs="Tahoma"/>
        </w:rPr>
        <w:t>por</w:t>
      </w:r>
      <w:r w:rsidR="00083A1D" w:rsidRPr="00695B2C">
        <w:rPr>
          <w:rFonts w:cs="Tahoma"/>
        </w:rPr>
        <w:t xml:space="preserve"> </w:t>
      </w:r>
      <w:r w:rsidR="002A1D89" w:rsidRPr="00695B2C">
        <w:rPr>
          <w:rFonts w:cs="Tahoma"/>
        </w:rPr>
        <w:t>medio</w:t>
      </w:r>
      <w:r w:rsidR="00083A1D" w:rsidRPr="00695B2C">
        <w:rPr>
          <w:rFonts w:cs="Tahoma"/>
        </w:rPr>
        <w:t xml:space="preserve"> </w:t>
      </w:r>
      <w:r w:rsidR="002A1D89" w:rsidRPr="00695B2C">
        <w:rPr>
          <w:rFonts w:cs="Tahoma"/>
        </w:rPr>
        <w:t>del</w:t>
      </w:r>
      <w:r w:rsidR="00083A1D" w:rsidRPr="00695B2C">
        <w:rPr>
          <w:rFonts w:cs="Tahoma"/>
        </w:rPr>
        <w:t xml:space="preserve"> </w:t>
      </w:r>
      <w:r w:rsidR="002A1D89" w:rsidRPr="00695B2C">
        <w:rPr>
          <w:rFonts w:cs="Tahoma"/>
        </w:rPr>
        <w:t>Sistema</w:t>
      </w:r>
      <w:r w:rsidR="00083A1D" w:rsidRPr="00695B2C">
        <w:rPr>
          <w:rFonts w:cs="Tahoma"/>
        </w:rPr>
        <w:t xml:space="preserve"> </w:t>
      </w:r>
      <w:r w:rsidR="002A1D89" w:rsidRPr="00695B2C">
        <w:rPr>
          <w:rFonts w:cs="Tahoma"/>
        </w:rPr>
        <w:t>de</w:t>
      </w:r>
      <w:r w:rsidR="00083A1D" w:rsidRPr="00695B2C">
        <w:rPr>
          <w:rFonts w:cs="Tahoma"/>
        </w:rPr>
        <w:t xml:space="preserve"> </w:t>
      </w:r>
      <w:r w:rsidR="002A1D89" w:rsidRPr="00695B2C">
        <w:rPr>
          <w:rFonts w:cs="Tahoma"/>
        </w:rPr>
        <w:t>Acceso</w:t>
      </w:r>
      <w:r w:rsidR="00083A1D" w:rsidRPr="00695B2C">
        <w:rPr>
          <w:rFonts w:cs="Tahoma"/>
        </w:rPr>
        <w:t xml:space="preserve"> </w:t>
      </w:r>
      <w:r w:rsidR="002A1D89" w:rsidRPr="00695B2C">
        <w:rPr>
          <w:rFonts w:cs="Tahoma"/>
        </w:rPr>
        <w:t>a</w:t>
      </w:r>
      <w:r w:rsidR="00083A1D" w:rsidRPr="00695B2C">
        <w:rPr>
          <w:rFonts w:cs="Tahoma"/>
        </w:rPr>
        <w:t xml:space="preserve"> </w:t>
      </w:r>
      <w:r w:rsidR="002A1D89" w:rsidRPr="00695B2C">
        <w:rPr>
          <w:rFonts w:cs="Tahoma"/>
        </w:rPr>
        <w:t>la</w:t>
      </w:r>
      <w:r w:rsidR="00083A1D" w:rsidRPr="00695B2C">
        <w:rPr>
          <w:rFonts w:cs="Tahoma"/>
        </w:rPr>
        <w:t xml:space="preserve"> </w:t>
      </w:r>
      <w:r w:rsidR="002A1D89" w:rsidRPr="00695B2C">
        <w:rPr>
          <w:rFonts w:cs="Tahoma"/>
        </w:rPr>
        <w:t>Información</w:t>
      </w:r>
      <w:r w:rsidR="00083A1D" w:rsidRPr="00695B2C">
        <w:rPr>
          <w:rFonts w:cs="Tahoma"/>
        </w:rPr>
        <w:t xml:space="preserve"> </w:t>
      </w:r>
      <w:r w:rsidR="002A1D89" w:rsidRPr="00695B2C">
        <w:rPr>
          <w:rFonts w:cs="Tahoma"/>
        </w:rPr>
        <w:t>Mexiquense</w:t>
      </w:r>
      <w:r w:rsidR="00083A1D" w:rsidRPr="00695B2C">
        <w:rPr>
          <w:rFonts w:eastAsia="Times New Roman" w:cs="Tahoma"/>
          <w:color w:val="auto"/>
          <w:lang w:eastAsia="es-ES"/>
        </w:rPr>
        <w:t xml:space="preserve"> </w:t>
      </w:r>
      <w:r w:rsidR="002A1D89" w:rsidRPr="00695B2C">
        <w:rPr>
          <w:rFonts w:eastAsia="Times New Roman" w:cs="Tahoma"/>
          <w:color w:val="auto"/>
          <w:lang w:eastAsia="es-ES"/>
        </w:rPr>
        <w:t>(SAIMEX),</w:t>
      </w:r>
      <w:r w:rsidR="00083A1D" w:rsidRPr="00695B2C">
        <w:rPr>
          <w:rFonts w:eastAsia="Times New Roman" w:cs="Tahoma"/>
          <w:color w:val="auto"/>
          <w:lang w:eastAsia="es-ES"/>
        </w:rPr>
        <w:t xml:space="preserve"> </w:t>
      </w:r>
      <w:r w:rsidR="002A1D89" w:rsidRPr="00695B2C">
        <w:rPr>
          <w:rFonts w:eastAsia="Times New Roman" w:cs="Tahoma"/>
          <w:color w:val="auto"/>
          <w:lang w:eastAsia="es-ES"/>
        </w:rPr>
        <w:t>dio</w:t>
      </w:r>
      <w:r w:rsidR="00083A1D" w:rsidRPr="00695B2C">
        <w:rPr>
          <w:rFonts w:eastAsia="Times New Roman" w:cs="Tahoma"/>
          <w:color w:val="auto"/>
          <w:lang w:eastAsia="es-ES"/>
        </w:rPr>
        <w:t xml:space="preserve"> </w:t>
      </w:r>
      <w:r w:rsidR="002A1D89" w:rsidRPr="00695B2C">
        <w:rPr>
          <w:rFonts w:eastAsia="Times New Roman" w:cs="Tahoma"/>
          <w:color w:val="auto"/>
          <w:lang w:eastAsia="es-ES"/>
        </w:rPr>
        <w:t>respuesta</w:t>
      </w:r>
      <w:r w:rsidR="00083A1D" w:rsidRPr="00695B2C">
        <w:rPr>
          <w:rFonts w:eastAsia="Times New Roman" w:cs="Tahoma"/>
          <w:color w:val="auto"/>
          <w:lang w:eastAsia="es-ES"/>
        </w:rPr>
        <w:t xml:space="preserve"> </w:t>
      </w:r>
      <w:r w:rsidR="00965A88" w:rsidRPr="00695B2C">
        <w:rPr>
          <w:rFonts w:eastAsia="Times New Roman" w:cs="Tahoma"/>
          <w:color w:val="auto"/>
          <w:lang w:eastAsia="es-ES"/>
        </w:rPr>
        <w:t xml:space="preserve">en </w:t>
      </w:r>
      <w:r w:rsidR="002E4ABA" w:rsidRPr="00695B2C">
        <w:rPr>
          <w:rFonts w:eastAsia="Times New Roman" w:cs="Tahoma"/>
          <w:color w:val="auto"/>
          <w:lang w:eastAsia="es-ES"/>
        </w:rPr>
        <w:t>los siguientes términos</w:t>
      </w:r>
      <w:r w:rsidR="00965A88" w:rsidRPr="00695B2C">
        <w:rPr>
          <w:rFonts w:eastAsia="Times New Roman" w:cs="Tahoma"/>
          <w:color w:val="auto"/>
          <w:lang w:eastAsia="es-ES"/>
        </w:rPr>
        <w:t>:</w:t>
      </w:r>
    </w:p>
    <w:p w14:paraId="28B9B55B" w14:textId="77777777" w:rsidR="008D28FA" w:rsidRPr="00695B2C" w:rsidRDefault="008D28FA" w:rsidP="006461DA">
      <w:pPr>
        <w:autoSpaceDE w:val="0"/>
        <w:autoSpaceDN w:val="0"/>
        <w:adjustRightInd w:val="0"/>
        <w:spacing w:after="0" w:line="360" w:lineRule="auto"/>
        <w:rPr>
          <w:color w:val="000000"/>
          <w:sz w:val="18"/>
          <w:szCs w:val="18"/>
        </w:rPr>
      </w:pPr>
    </w:p>
    <w:p w14:paraId="103C5514" w14:textId="6B9CC36E" w:rsidR="003D5544" w:rsidRPr="00695B2C" w:rsidRDefault="005024F5" w:rsidP="006461DA">
      <w:pPr>
        <w:spacing w:after="0" w:line="360" w:lineRule="auto"/>
        <w:ind w:left="567" w:right="567"/>
        <w:rPr>
          <w:rFonts w:eastAsia="Times New Roman" w:cs="Arial"/>
          <w:bCs/>
          <w:i/>
          <w:iCs/>
          <w:color w:val="auto"/>
          <w:sz w:val="20"/>
          <w:lang w:eastAsia="es-ES"/>
        </w:rPr>
      </w:pPr>
      <w:r w:rsidRPr="00695B2C">
        <w:rPr>
          <w:rFonts w:eastAsia="Times New Roman" w:cs="Arial"/>
          <w:bCs/>
          <w:i/>
          <w:iCs/>
          <w:color w:val="auto"/>
          <w:sz w:val="20"/>
          <w:lang w:eastAsia="es-ES"/>
        </w:rPr>
        <w:t>“</w:t>
      </w:r>
      <w:r w:rsidR="00C67FDB" w:rsidRPr="00695B2C">
        <w:rPr>
          <w:rFonts w:eastAsia="Times New Roman" w:cs="Arial"/>
          <w:bCs/>
          <w:i/>
          <w:iCs/>
          <w:color w:val="auto"/>
          <w:sz w:val="20"/>
          <w:lang w:eastAsia="es-ES"/>
        </w:rPr>
        <w:t>SE ANEXA RESPUESTA</w:t>
      </w:r>
      <w:r w:rsidR="00604A22" w:rsidRPr="00695B2C">
        <w:rPr>
          <w:rFonts w:eastAsia="Times New Roman" w:cs="Arial"/>
          <w:bCs/>
          <w:i/>
          <w:iCs/>
          <w:color w:val="auto"/>
          <w:sz w:val="20"/>
          <w:lang w:eastAsia="es-ES"/>
        </w:rPr>
        <w:t>.</w:t>
      </w:r>
      <w:r w:rsidR="005E79B6" w:rsidRPr="00695B2C">
        <w:rPr>
          <w:rFonts w:eastAsia="Times New Roman" w:cs="Arial"/>
          <w:bCs/>
          <w:i/>
          <w:iCs/>
          <w:color w:val="auto"/>
          <w:sz w:val="20"/>
          <w:lang w:eastAsia="es-ES"/>
        </w:rPr>
        <w:t xml:space="preserve">” </w:t>
      </w:r>
    </w:p>
    <w:p w14:paraId="1BB5CFA8" w14:textId="45F25054" w:rsidR="00230091" w:rsidRPr="00695B2C" w:rsidRDefault="00604A22" w:rsidP="006461DA">
      <w:pPr>
        <w:spacing w:after="0" w:line="360" w:lineRule="auto"/>
        <w:rPr>
          <w:bCs/>
          <w:lang w:val="es-ES"/>
        </w:rPr>
      </w:pPr>
      <w:r w:rsidRPr="00695B2C">
        <w:rPr>
          <w:bCs/>
          <w:lang w:val="es-ES"/>
        </w:rPr>
        <w:lastRenderedPageBreak/>
        <w:t xml:space="preserve">A la respuesta, adjuntó </w:t>
      </w:r>
      <w:r w:rsidR="00C67FDB" w:rsidRPr="00695B2C">
        <w:rPr>
          <w:bCs/>
          <w:lang w:val="es-ES"/>
        </w:rPr>
        <w:t>un</w:t>
      </w:r>
      <w:r w:rsidR="005E79B6" w:rsidRPr="00695B2C">
        <w:rPr>
          <w:bCs/>
          <w:lang w:val="es-ES"/>
        </w:rPr>
        <w:t xml:space="preserve"> documento, a través </w:t>
      </w:r>
      <w:r w:rsidR="00C67FDB" w:rsidRPr="00695B2C">
        <w:rPr>
          <w:bCs/>
          <w:lang w:val="es-ES"/>
        </w:rPr>
        <w:t>del</w:t>
      </w:r>
      <w:r w:rsidR="005E79B6" w:rsidRPr="00695B2C">
        <w:rPr>
          <w:bCs/>
          <w:lang w:val="es-ES"/>
        </w:rPr>
        <w:t xml:space="preserve"> que respondió a la solicitud en los siguientes términos:</w:t>
      </w:r>
    </w:p>
    <w:p w14:paraId="7C009089" w14:textId="3CB5D8CC" w:rsidR="00C67FDB" w:rsidRPr="00695B2C" w:rsidRDefault="00C67FDB" w:rsidP="006461DA">
      <w:pPr>
        <w:spacing w:after="0" w:line="360" w:lineRule="auto"/>
        <w:rPr>
          <w:bCs/>
          <w:lang w:val="es-ES"/>
        </w:rPr>
      </w:pPr>
    </w:p>
    <w:p w14:paraId="274ADBDC" w14:textId="0E86A0DB" w:rsidR="00C67FDB" w:rsidRPr="00695B2C" w:rsidRDefault="00C67FDB" w:rsidP="006461DA">
      <w:pPr>
        <w:pStyle w:val="Prrafodelista"/>
        <w:numPr>
          <w:ilvl w:val="0"/>
          <w:numId w:val="1"/>
        </w:numPr>
        <w:spacing w:line="360" w:lineRule="auto"/>
        <w:jc w:val="both"/>
        <w:rPr>
          <w:rFonts w:ascii="Palatino Linotype" w:hAnsi="Palatino Linotype"/>
          <w:b/>
          <w:lang w:val="es-ES"/>
        </w:rPr>
      </w:pPr>
      <w:r w:rsidRPr="00695B2C">
        <w:rPr>
          <w:rFonts w:ascii="Palatino Linotype" w:hAnsi="Palatino Linotype"/>
          <w:b/>
          <w:lang w:val="es-ES"/>
        </w:rPr>
        <w:t>1217_2022_01_31_16_54_45_840.pdf</w:t>
      </w:r>
      <w:r w:rsidR="00CD1C32" w:rsidRPr="00695B2C">
        <w:rPr>
          <w:rFonts w:ascii="Palatino Linotype" w:hAnsi="Palatino Linotype"/>
          <w:b/>
          <w:lang w:val="es-ES"/>
        </w:rPr>
        <w:t xml:space="preserve">. </w:t>
      </w:r>
      <w:r w:rsidR="00CD1C32" w:rsidRPr="00695B2C">
        <w:rPr>
          <w:rFonts w:ascii="Palatino Linotype" w:hAnsi="Palatino Linotype"/>
          <w:bCs/>
          <w:lang w:val="es-ES"/>
        </w:rPr>
        <w:t xml:space="preserve">Documento que contiene </w:t>
      </w:r>
      <w:r w:rsidR="00E864EA" w:rsidRPr="00695B2C">
        <w:rPr>
          <w:rFonts w:ascii="Palatino Linotype" w:hAnsi="Palatino Linotype"/>
          <w:bCs/>
          <w:lang w:val="es-ES"/>
        </w:rPr>
        <w:t xml:space="preserve">el oficio 0141/MAIP/FGJ/2022, que, a su vez, da cuenta de </w:t>
      </w:r>
      <w:r w:rsidR="00CD1C32" w:rsidRPr="00695B2C">
        <w:rPr>
          <w:rFonts w:ascii="Palatino Linotype" w:hAnsi="Palatino Linotype"/>
          <w:bCs/>
          <w:lang w:val="es-ES"/>
        </w:rPr>
        <w:t xml:space="preserve">tres fojas útiles y </w:t>
      </w:r>
      <w:r w:rsidR="00E864EA" w:rsidRPr="00695B2C">
        <w:rPr>
          <w:rFonts w:ascii="Palatino Linotype" w:hAnsi="Palatino Linotype"/>
          <w:bCs/>
          <w:lang w:val="es-ES"/>
        </w:rPr>
        <w:t>cuya información es la siguiente</w:t>
      </w:r>
      <w:r w:rsidR="00CD1C32" w:rsidRPr="00695B2C">
        <w:rPr>
          <w:rFonts w:ascii="Palatino Linotype" w:hAnsi="Palatino Linotype"/>
          <w:bCs/>
          <w:lang w:val="es-ES"/>
        </w:rPr>
        <w:t>:</w:t>
      </w:r>
    </w:p>
    <w:p w14:paraId="5DD5AE19" w14:textId="77777777" w:rsidR="009927C6" w:rsidRPr="00695B2C" w:rsidRDefault="009927C6" w:rsidP="006461DA">
      <w:pPr>
        <w:spacing w:after="0" w:line="360" w:lineRule="auto"/>
        <w:ind w:left="360"/>
        <w:rPr>
          <w:b/>
          <w:lang w:val="es-ES"/>
        </w:rPr>
      </w:pPr>
    </w:p>
    <w:p w14:paraId="181F9EF8" w14:textId="6A4D39D6" w:rsidR="00E864EA" w:rsidRPr="00695B2C" w:rsidRDefault="009927C6" w:rsidP="006461DA">
      <w:pPr>
        <w:spacing w:after="0" w:line="360" w:lineRule="auto"/>
        <w:rPr>
          <w:bCs/>
          <w:lang w:val="es-ES"/>
        </w:rPr>
      </w:pPr>
      <w:r w:rsidRPr="00695B2C">
        <w:rPr>
          <w:noProof/>
        </w:rPr>
        <mc:AlternateContent>
          <mc:Choice Requires="wps">
            <w:drawing>
              <wp:anchor distT="0" distB="0" distL="114300" distR="114300" simplePos="0" relativeHeight="251659264" behindDoc="0" locked="0" layoutInCell="1" allowOverlap="1" wp14:anchorId="2FB0C4A0" wp14:editId="42DCB5D3">
                <wp:simplePos x="0" y="0"/>
                <wp:positionH relativeFrom="column">
                  <wp:posOffset>148590</wp:posOffset>
                </wp:positionH>
                <wp:positionV relativeFrom="paragraph">
                  <wp:posOffset>2838449</wp:posOffset>
                </wp:positionV>
                <wp:extent cx="5438775" cy="2619375"/>
                <wp:effectExtent l="0" t="0" r="28575" b="28575"/>
                <wp:wrapNone/>
                <wp:docPr id="3" name="Conector recto 3"/>
                <wp:cNvGraphicFramePr/>
                <a:graphic xmlns:a="http://schemas.openxmlformats.org/drawingml/2006/main">
                  <a:graphicData uri="http://schemas.microsoft.com/office/word/2010/wordprocessingShape">
                    <wps:wsp>
                      <wps:cNvCnPr/>
                      <wps:spPr>
                        <a:xfrm>
                          <a:off x="0" y="0"/>
                          <a:ext cx="5438775" cy="2619375"/>
                        </a:xfrm>
                        <a:prstGeom prst="line">
                          <a:avLst/>
                        </a:prstGeom>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2634D7" id="Conector recto 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pt,223.5pt" to="439.95pt,4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" strokecolor="#ed7d31 [3205]" strokeweight=".5pt">
                <v:stroke joinstyle="miter"/>
              </v:line>
            </w:pict>
          </mc:Fallback>
        </mc:AlternateContent>
      </w:r>
      <w:r w:rsidR="00E864EA" w:rsidRPr="00695B2C">
        <w:rPr>
          <w:noProof/>
        </w:rPr>
        <w:drawing>
          <wp:inline distT="0" distB="0" distL="0" distR="0" wp14:anchorId="53A20419" wp14:editId="096C7E0A">
            <wp:extent cx="5712583" cy="2676525"/>
            <wp:effectExtent l="0" t="0" r="2540" b="0"/>
            <wp:docPr id="1"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exto&#10;&#10;Descripción generada automáticamente"/>
                    <pic:cNvPicPr/>
                  </pic:nvPicPr>
                  <pic:blipFill rotWithShape="1">
                    <a:blip r:embed="rId8"/>
                    <a:srcRect l="25984" t="50019" r="26982" b="10784"/>
                    <a:stretch/>
                  </pic:blipFill>
                  <pic:spPr bwMode="auto">
                    <a:xfrm>
                      <a:off x="0" y="0"/>
                      <a:ext cx="5720660" cy="2680309"/>
                    </a:xfrm>
                    <a:prstGeom prst="rect">
                      <a:avLst/>
                    </a:prstGeom>
                    <a:ln>
                      <a:noFill/>
                    </a:ln>
                    <a:extLst>
                      <a:ext uri="{53640926-AAD7-44D8-BBD7-CCE9431645EC}">
                        <a14:shadowObscured xmlns:a14="http://schemas.microsoft.com/office/drawing/2010/main"/>
                      </a:ext>
                    </a:extLst>
                  </pic:spPr>
                </pic:pic>
              </a:graphicData>
            </a:graphic>
          </wp:inline>
        </w:drawing>
      </w:r>
    </w:p>
    <w:p w14:paraId="72B5EB5C" w14:textId="16DE47C1" w:rsidR="009826DE" w:rsidRPr="00695B2C" w:rsidRDefault="009927C6" w:rsidP="006461DA">
      <w:pPr>
        <w:spacing w:after="0" w:line="360" w:lineRule="auto"/>
        <w:rPr>
          <w:bCs/>
          <w:lang w:val="es-ES"/>
        </w:rPr>
      </w:pPr>
      <w:r w:rsidRPr="00695B2C">
        <w:rPr>
          <w:noProof/>
        </w:rPr>
        <w:lastRenderedPageBreak/>
        <w:drawing>
          <wp:inline distT="0" distB="0" distL="0" distR="0" wp14:anchorId="687372FB" wp14:editId="1EAA8395">
            <wp:extent cx="5970666" cy="7019925"/>
            <wp:effectExtent l="0" t="0" r="0" b="0"/>
            <wp:docPr id="2" name="Imagen 2"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Texto, Aplicación, Word&#10;&#10;Descripción generada automáticamente"/>
                    <pic:cNvPicPr/>
                  </pic:nvPicPr>
                  <pic:blipFill rotWithShape="1">
                    <a:blip r:embed="rId9"/>
                    <a:srcRect l="32110" t="20184" r="33620" b="8150"/>
                    <a:stretch/>
                  </pic:blipFill>
                  <pic:spPr bwMode="auto">
                    <a:xfrm>
                      <a:off x="0" y="0"/>
                      <a:ext cx="5983425" cy="7034926"/>
                    </a:xfrm>
                    <a:prstGeom prst="rect">
                      <a:avLst/>
                    </a:prstGeom>
                    <a:ln>
                      <a:noFill/>
                    </a:ln>
                    <a:extLst>
                      <a:ext uri="{53640926-AAD7-44D8-BBD7-CCE9431645EC}">
                        <a14:shadowObscured xmlns:a14="http://schemas.microsoft.com/office/drawing/2010/main"/>
                      </a:ext>
                    </a:extLst>
                  </pic:spPr>
                </pic:pic>
              </a:graphicData>
            </a:graphic>
          </wp:inline>
        </w:drawing>
      </w:r>
    </w:p>
    <w:p w14:paraId="0ED1AC10" w14:textId="77777777" w:rsidR="009927C6" w:rsidRPr="00695B2C" w:rsidRDefault="009927C6" w:rsidP="006461DA">
      <w:pPr>
        <w:autoSpaceDE w:val="0"/>
        <w:autoSpaceDN w:val="0"/>
        <w:adjustRightInd w:val="0"/>
        <w:spacing w:after="0" w:line="360" w:lineRule="auto"/>
        <w:rPr>
          <w:rFonts w:eastAsia="Times New Roman" w:cs="Tahoma"/>
          <w:b/>
          <w:color w:val="auto"/>
          <w:lang w:eastAsia="es-ES"/>
        </w:rPr>
      </w:pPr>
    </w:p>
    <w:p w14:paraId="713EFA08" w14:textId="77777777" w:rsidR="009927C6" w:rsidRPr="00695B2C" w:rsidRDefault="009927C6" w:rsidP="006461DA">
      <w:pPr>
        <w:autoSpaceDE w:val="0"/>
        <w:autoSpaceDN w:val="0"/>
        <w:adjustRightInd w:val="0"/>
        <w:spacing w:after="0" w:line="360" w:lineRule="auto"/>
        <w:rPr>
          <w:rFonts w:eastAsia="Times New Roman" w:cs="Tahoma"/>
          <w:b/>
          <w:color w:val="auto"/>
          <w:lang w:eastAsia="es-ES"/>
        </w:rPr>
      </w:pPr>
    </w:p>
    <w:p w14:paraId="7A5F8E73" w14:textId="7DD1DC26" w:rsidR="009927C6" w:rsidRPr="00695B2C" w:rsidRDefault="009927C6" w:rsidP="006461DA">
      <w:pPr>
        <w:autoSpaceDE w:val="0"/>
        <w:autoSpaceDN w:val="0"/>
        <w:adjustRightInd w:val="0"/>
        <w:spacing w:after="0" w:line="360" w:lineRule="auto"/>
        <w:rPr>
          <w:rFonts w:eastAsia="Times New Roman" w:cs="Tahoma"/>
          <w:b/>
          <w:color w:val="auto"/>
          <w:lang w:eastAsia="es-ES"/>
        </w:rPr>
      </w:pPr>
      <w:r w:rsidRPr="00695B2C">
        <w:rPr>
          <w:noProof/>
        </w:rPr>
        <w:drawing>
          <wp:inline distT="0" distB="0" distL="0" distR="0" wp14:anchorId="76F7A5F2" wp14:editId="6D3C9C7F">
            <wp:extent cx="6087403" cy="6794205"/>
            <wp:effectExtent l="0" t="0" r="8890" b="6985"/>
            <wp:docPr id="4" name="Imagen 4" descr="Texto,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exto, Word&#10;&#10;Descripción generada automáticamente"/>
                    <pic:cNvPicPr/>
                  </pic:nvPicPr>
                  <pic:blipFill rotWithShape="1">
                    <a:blip r:embed="rId10"/>
                    <a:srcRect l="32670" t="20768" r="32409" b="9907"/>
                    <a:stretch/>
                  </pic:blipFill>
                  <pic:spPr bwMode="auto">
                    <a:xfrm>
                      <a:off x="0" y="0"/>
                      <a:ext cx="6104217" cy="6812971"/>
                    </a:xfrm>
                    <a:prstGeom prst="rect">
                      <a:avLst/>
                    </a:prstGeom>
                    <a:ln>
                      <a:noFill/>
                    </a:ln>
                    <a:extLst>
                      <a:ext uri="{53640926-AAD7-44D8-BBD7-CCE9431645EC}">
                        <a14:shadowObscured xmlns:a14="http://schemas.microsoft.com/office/drawing/2010/main"/>
                      </a:ext>
                    </a:extLst>
                  </pic:spPr>
                </pic:pic>
              </a:graphicData>
            </a:graphic>
          </wp:inline>
        </w:drawing>
      </w:r>
    </w:p>
    <w:p w14:paraId="03A4492E" w14:textId="77777777" w:rsidR="009927C6" w:rsidRPr="00695B2C" w:rsidRDefault="009927C6" w:rsidP="006461DA">
      <w:pPr>
        <w:autoSpaceDE w:val="0"/>
        <w:autoSpaceDN w:val="0"/>
        <w:adjustRightInd w:val="0"/>
        <w:spacing w:after="0" w:line="360" w:lineRule="auto"/>
        <w:rPr>
          <w:rFonts w:eastAsia="Times New Roman" w:cs="Tahoma"/>
          <w:b/>
          <w:color w:val="auto"/>
          <w:lang w:eastAsia="es-ES"/>
        </w:rPr>
      </w:pPr>
    </w:p>
    <w:p w14:paraId="25DD4DC9" w14:textId="3EE8CA43" w:rsidR="00C43E6D" w:rsidRPr="00695B2C" w:rsidRDefault="007D33AC" w:rsidP="006461DA">
      <w:pPr>
        <w:autoSpaceDE w:val="0"/>
        <w:autoSpaceDN w:val="0"/>
        <w:adjustRightInd w:val="0"/>
        <w:spacing w:after="0" w:line="360" w:lineRule="auto"/>
        <w:rPr>
          <w:rFonts w:eastAsia="Times New Roman" w:cs="Tahoma"/>
          <w:b/>
          <w:color w:val="auto"/>
          <w:lang w:eastAsia="es-ES"/>
        </w:rPr>
      </w:pPr>
      <w:r w:rsidRPr="00695B2C">
        <w:rPr>
          <w:rFonts w:eastAsia="Times New Roman" w:cs="Tahoma"/>
          <w:b/>
          <w:color w:val="auto"/>
          <w:lang w:eastAsia="es-ES"/>
        </w:rPr>
        <w:lastRenderedPageBreak/>
        <w:t>IV</w:t>
      </w:r>
      <w:r w:rsidR="00027A38" w:rsidRPr="00695B2C">
        <w:rPr>
          <w:rFonts w:eastAsia="Times New Roman" w:cs="Tahoma"/>
          <w:b/>
          <w:color w:val="auto"/>
          <w:lang w:eastAsia="es-ES"/>
        </w:rPr>
        <w:t xml:space="preserve">. </w:t>
      </w:r>
      <w:r w:rsidR="00027A38" w:rsidRPr="00695B2C">
        <w:rPr>
          <w:rFonts w:eastAsia="Calibri" w:cs="Tahoma"/>
          <w:b/>
          <w:color w:val="000000"/>
        </w:rPr>
        <w:t xml:space="preserve">Interposición del Recurso de Revisión. </w:t>
      </w:r>
    </w:p>
    <w:p w14:paraId="35FDE0B3" w14:textId="77777777" w:rsidR="00177EE1" w:rsidRPr="00695B2C" w:rsidRDefault="00177EE1" w:rsidP="006461DA">
      <w:pPr>
        <w:spacing w:after="0" w:line="360" w:lineRule="auto"/>
        <w:rPr>
          <w:bCs/>
        </w:rPr>
      </w:pPr>
    </w:p>
    <w:p w14:paraId="67A21435" w14:textId="0B21DE0C" w:rsidR="00177EE1" w:rsidRPr="00695B2C" w:rsidRDefault="00177EE1" w:rsidP="006461DA">
      <w:pPr>
        <w:spacing w:after="0" w:line="360" w:lineRule="auto"/>
        <w:rPr>
          <w:bCs/>
        </w:rPr>
      </w:pPr>
      <w:r w:rsidRPr="00695B2C">
        <w:rPr>
          <w:bCs/>
        </w:rPr>
        <w:t>Con</w:t>
      </w:r>
      <w:r w:rsidR="00083A1D" w:rsidRPr="00695B2C">
        <w:rPr>
          <w:bCs/>
        </w:rPr>
        <w:t xml:space="preserve"> </w:t>
      </w:r>
      <w:r w:rsidRPr="00695B2C">
        <w:rPr>
          <w:bCs/>
        </w:rPr>
        <w:t>fecha</w:t>
      </w:r>
      <w:r w:rsidR="00083A1D" w:rsidRPr="00695B2C">
        <w:rPr>
          <w:bCs/>
        </w:rPr>
        <w:t xml:space="preserve"> </w:t>
      </w:r>
      <w:r w:rsidR="00162596" w:rsidRPr="00695B2C">
        <w:rPr>
          <w:bCs/>
        </w:rPr>
        <w:t xml:space="preserve">diecinueve de febrero de </w:t>
      </w:r>
      <w:r w:rsidR="00027A38" w:rsidRPr="00695B2C">
        <w:rPr>
          <w:bCs/>
        </w:rPr>
        <w:t>dos mil veinti</w:t>
      </w:r>
      <w:r w:rsidR="0048144B" w:rsidRPr="00695B2C">
        <w:rPr>
          <w:bCs/>
        </w:rPr>
        <w:t>dós</w:t>
      </w:r>
      <w:r w:rsidR="00027A38" w:rsidRPr="00695B2C">
        <w:rPr>
          <w:bCs/>
        </w:rPr>
        <w:t xml:space="preserve">, </w:t>
      </w:r>
      <w:r w:rsidRPr="00695B2C">
        <w:rPr>
          <w:bCs/>
        </w:rPr>
        <w:t>se</w:t>
      </w:r>
      <w:r w:rsidR="00083A1D" w:rsidRPr="00695B2C">
        <w:rPr>
          <w:bCs/>
        </w:rPr>
        <w:t xml:space="preserve"> </w:t>
      </w:r>
      <w:r w:rsidRPr="00695B2C">
        <w:rPr>
          <w:bCs/>
        </w:rPr>
        <w:t>recibió</w:t>
      </w:r>
      <w:r w:rsidR="00083A1D" w:rsidRPr="00695B2C">
        <w:rPr>
          <w:bCs/>
        </w:rPr>
        <w:t xml:space="preserve"> </w:t>
      </w:r>
      <w:r w:rsidRPr="00695B2C">
        <w:rPr>
          <w:bCs/>
        </w:rPr>
        <w:t>en</w:t>
      </w:r>
      <w:r w:rsidR="00083A1D" w:rsidRPr="00695B2C">
        <w:rPr>
          <w:bCs/>
        </w:rPr>
        <w:t xml:space="preserve"> </w:t>
      </w:r>
      <w:r w:rsidRPr="00695B2C">
        <w:rPr>
          <w:bCs/>
        </w:rPr>
        <w:t>este</w:t>
      </w:r>
      <w:r w:rsidR="00083A1D" w:rsidRPr="00695B2C">
        <w:rPr>
          <w:bCs/>
        </w:rPr>
        <w:t xml:space="preserve"> </w:t>
      </w:r>
      <w:r w:rsidRPr="00695B2C">
        <w:rPr>
          <w:bCs/>
        </w:rPr>
        <w:t>Instituto,</w:t>
      </w:r>
      <w:r w:rsidR="00083A1D" w:rsidRPr="00695B2C">
        <w:rPr>
          <w:bCs/>
        </w:rPr>
        <w:t xml:space="preserve"> </w:t>
      </w:r>
      <w:r w:rsidRPr="00695B2C">
        <w:rPr>
          <w:bCs/>
        </w:rPr>
        <w:t>a</w:t>
      </w:r>
      <w:r w:rsidR="00083A1D" w:rsidRPr="00695B2C">
        <w:rPr>
          <w:bCs/>
        </w:rPr>
        <w:t xml:space="preserve"> </w:t>
      </w:r>
      <w:r w:rsidRPr="00695B2C">
        <w:rPr>
          <w:bCs/>
        </w:rPr>
        <w:t>través</w:t>
      </w:r>
      <w:r w:rsidR="00083A1D" w:rsidRPr="00695B2C">
        <w:rPr>
          <w:bCs/>
        </w:rPr>
        <w:t xml:space="preserve"> </w:t>
      </w:r>
      <w:r w:rsidRPr="00695B2C">
        <w:rPr>
          <w:bCs/>
        </w:rPr>
        <w:t>de</w:t>
      </w:r>
      <w:r w:rsidR="006F084E" w:rsidRPr="00695B2C">
        <w:rPr>
          <w:bCs/>
        </w:rPr>
        <w:t>l</w:t>
      </w:r>
      <w:r w:rsidR="00083A1D" w:rsidRPr="00695B2C">
        <w:rPr>
          <w:bCs/>
        </w:rPr>
        <w:t xml:space="preserve"> </w:t>
      </w:r>
      <w:r w:rsidRPr="00695B2C">
        <w:rPr>
          <w:bCs/>
          <w:lang w:val="es-ES"/>
        </w:rPr>
        <w:t>Sistema</w:t>
      </w:r>
      <w:r w:rsidR="00083A1D" w:rsidRPr="00695B2C">
        <w:rPr>
          <w:bCs/>
          <w:lang w:val="es-ES"/>
        </w:rPr>
        <w:t xml:space="preserve"> </w:t>
      </w:r>
      <w:r w:rsidRPr="00695B2C">
        <w:rPr>
          <w:bCs/>
          <w:lang w:val="es-ES"/>
        </w:rPr>
        <w:t>de</w:t>
      </w:r>
      <w:r w:rsidR="00083A1D" w:rsidRPr="00695B2C">
        <w:rPr>
          <w:bCs/>
          <w:lang w:val="es-ES"/>
        </w:rPr>
        <w:t xml:space="preserve"> </w:t>
      </w:r>
      <w:r w:rsidRPr="00695B2C">
        <w:rPr>
          <w:bCs/>
          <w:lang w:val="es-ES"/>
        </w:rPr>
        <w:t>Acceso</w:t>
      </w:r>
      <w:r w:rsidR="00083A1D" w:rsidRPr="00695B2C">
        <w:rPr>
          <w:bCs/>
          <w:lang w:val="es-ES"/>
        </w:rPr>
        <w:t xml:space="preserve"> </w:t>
      </w:r>
      <w:r w:rsidRPr="00695B2C">
        <w:rPr>
          <w:bCs/>
          <w:lang w:val="es-ES"/>
        </w:rPr>
        <w:t>a</w:t>
      </w:r>
      <w:r w:rsidR="00083A1D" w:rsidRPr="00695B2C">
        <w:rPr>
          <w:bCs/>
          <w:lang w:val="es-ES"/>
        </w:rPr>
        <w:t xml:space="preserve"> </w:t>
      </w:r>
      <w:r w:rsidRPr="00695B2C">
        <w:rPr>
          <w:bCs/>
          <w:lang w:val="es-ES"/>
        </w:rPr>
        <w:t>la</w:t>
      </w:r>
      <w:r w:rsidR="00083A1D" w:rsidRPr="00695B2C">
        <w:rPr>
          <w:bCs/>
          <w:lang w:val="es-ES"/>
        </w:rPr>
        <w:t xml:space="preserve"> </w:t>
      </w:r>
      <w:r w:rsidRPr="00695B2C">
        <w:rPr>
          <w:bCs/>
          <w:lang w:val="es-ES"/>
        </w:rPr>
        <w:t>Información</w:t>
      </w:r>
      <w:r w:rsidR="00083A1D" w:rsidRPr="00695B2C">
        <w:rPr>
          <w:bCs/>
          <w:lang w:val="es-ES"/>
        </w:rPr>
        <w:t xml:space="preserve"> </w:t>
      </w:r>
      <w:r w:rsidRPr="00695B2C">
        <w:rPr>
          <w:bCs/>
          <w:lang w:val="es-ES"/>
        </w:rPr>
        <w:t>Mexiquense</w:t>
      </w:r>
      <w:r w:rsidR="00083A1D" w:rsidRPr="00695B2C">
        <w:rPr>
          <w:bCs/>
          <w:lang w:val="es-ES"/>
        </w:rPr>
        <w:t xml:space="preserve"> </w:t>
      </w:r>
      <w:r w:rsidRPr="00695B2C">
        <w:rPr>
          <w:bCs/>
          <w:lang w:val="es-ES"/>
        </w:rPr>
        <w:t>(SAIMEX)</w:t>
      </w:r>
      <w:r w:rsidR="0048144B" w:rsidRPr="00695B2C">
        <w:rPr>
          <w:bCs/>
          <w:lang w:val="es-ES"/>
        </w:rPr>
        <w:t xml:space="preserve">, </w:t>
      </w:r>
      <w:r w:rsidR="00C12DBB" w:rsidRPr="00695B2C">
        <w:rPr>
          <w:bCs/>
          <w:lang w:val="es-ES"/>
        </w:rPr>
        <w:t>Recurso de Revisión interpuesto por la parte Recurrente</w:t>
      </w:r>
      <w:r w:rsidR="00C12DBB" w:rsidRPr="00695B2C">
        <w:t xml:space="preserve">, </w:t>
      </w:r>
      <w:r w:rsidRPr="00695B2C">
        <w:rPr>
          <w:bCs/>
        </w:rPr>
        <w:t>en</w:t>
      </w:r>
      <w:r w:rsidR="00083A1D" w:rsidRPr="00695B2C">
        <w:rPr>
          <w:bCs/>
        </w:rPr>
        <w:t xml:space="preserve"> </w:t>
      </w:r>
      <w:r w:rsidRPr="00695B2C">
        <w:rPr>
          <w:bCs/>
        </w:rPr>
        <w:t>contra</w:t>
      </w:r>
      <w:r w:rsidR="00083A1D" w:rsidRPr="00695B2C">
        <w:rPr>
          <w:bCs/>
        </w:rPr>
        <w:t xml:space="preserve"> </w:t>
      </w:r>
      <w:r w:rsidRPr="00695B2C">
        <w:rPr>
          <w:bCs/>
        </w:rPr>
        <w:t>de</w:t>
      </w:r>
      <w:r w:rsidR="00083A1D" w:rsidRPr="00695B2C">
        <w:rPr>
          <w:bCs/>
        </w:rPr>
        <w:t xml:space="preserve"> </w:t>
      </w:r>
      <w:r w:rsidRPr="00695B2C">
        <w:rPr>
          <w:bCs/>
        </w:rPr>
        <w:t>la</w:t>
      </w:r>
      <w:r w:rsidR="00083A1D" w:rsidRPr="00695B2C">
        <w:rPr>
          <w:bCs/>
        </w:rPr>
        <w:t xml:space="preserve"> </w:t>
      </w:r>
      <w:r w:rsidRPr="00695B2C">
        <w:rPr>
          <w:bCs/>
        </w:rPr>
        <w:t>respuesta</w:t>
      </w:r>
      <w:r w:rsidR="00083A1D" w:rsidRPr="00695B2C">
        <w:rPr>
          <w:bCs/>
        </w:rPr>
        <w:t xml:space="preserve"> </w:t>
      </w:r>
      <w:r w:rsidRPr="00695B2C">
        <w:rPr>
          <w:bCs/>
        </w:rPr>
        <w:t>por</w:t>
      </w:r>
      <w:r w:rsidR="00083A1D" w:rsidRPr="00695B2C">
        <w:rPr>
          <w:bCs/>
        </w:rPr>
        <w:t xml:space="preserve"> </w:t>
      </w:r>
      <w:r w:rsidRPr="00695B2C">
        <w:rPr>
          <w:bCs/>
        </w:rPr>
        <w:t>el</w:t>
      </w:r>
      <w:r w:rsidR="00083A1D" w:rsidRPr="00695B2C">
        <w:rPr>
          <w:bCs/>
        </w:rPr>
        <w:t xml:space="preserve"> </w:t>
      </w:r>
      <w:r w:rsidRPr="00695B2C">
        <w:rPr>
          <w:bCs/>
        </w:rPr>
        <w:t>Sujeto</w:t>
      </w:r>
      <w:r w:rsidR="00083A1D" w:rsidRPr="00695B2C">
        <w:rPr>
          <w:bCs/>
        </w:rPr>
        <w:t xml:space="preserve"> </w:t>
      </w:r>
      <w:r w:rsidRPr="00695B2C">
        <w:rPr>
          <w:bCs/>
        </w:rPr>
        <w:t>Obligado,</w:t>
      </w:r>
      <w:r w:rsidR="00083A1D" w:rsidRPr="00695B2C">
        <w:rPr>
          <w:bCs/>
        </w:rPr>
        <w:t xml:space="preserve"> </w:t>
      </w:r>
      <w:r w:rsidRPr="00695B2C">
        <w:rPr>
          <w:bCs/>
        </w:rPr>
        <w:t>a</w:t>
      </w:r>
      <w:r w:rsidR="00083A1D" w:rsidRPr="00695B2C">
        <w:rPr>
          <w:bCs/>
        </w:rPr>
        <w:t xml:space="preserve"> </w:t>
      </w:r>
      <w:r w:rsidRPr="00695B2C">
        <w:rPr>
          <w:bCs/>
        </w:rPr>
        <w:t>la</w:t>
      </w:r>
      <w:r w:rsidR="00083A1D" w:rsidRPr="00695B2C">
        <w:rPr>
          <w:bCs/>
        </w:rPr>
        <w:t xml:space="preserve"> </w:t>
      </w:r>
      <w:r w:rsidRPr="00695B2C">
        <w:rPr>
          <w:bCs/>
        </w:rPr>
        <w:t>solicitud</w:t>
      </w:r>
      <w:r w:rsidR="00083A1D" w:rsidRPr="00695B2C">
        <w:rPr>
          <w:bCs/>
        </w:rPr>
        <w:t xml:space="preserve"> </w:t>
      </w:r>
      <w:r w:rsidRPr="00695B2C">
        <w:rPr>
          <w:bCs/>
        </w:rPr>
        <w:t>de</w:t>
      </w:r>
      <w:r w:rsidR="00083A1D" w:rsidRPr="00695B2C">
        <w:rPr>
          <w:bCs/>
        </w:rPr>
        <w:t xml:space="preserve"> </w:t>
      </w:r>
      <w:r w:rsidRPr="00695B2C">
        <w:rPr>
          <w:bCs/>
        </w:rPr>
        <w:t>información,</w:t>
      </w:r>
      <w:r w:rsidR="00083A1D" w:rsidRPr="00695B2C">
        <w:rPr>
          <w:bCs/>
        </w:rPr>
        <w:t xml:space="preserve"> </w:t>
      </w:r>
      <w:r w:rsidRPr="00695B2C">
        <w:rPr>
          <w:bCs/>
        </w:rPr>
        <w:t>en</w:t>
      </w:r>
      <w:r w:rsidR="00083A1D" w:rsidRPr="00695B2C">
        <w:rPr>
          <w:bCs/>
        </w:rPr>
        <w:t xml:space="preserve"> </w:t>
      </w:r>
      <w:r w:rsidRPr="00695B2C">
        <w:rPr>
          <w:bCs/>
        </w:rPr>
        <w:t>los</w:t>
      </w:r>
      <w:r w:rsidR="00083A1D" w:rsidRPr="00695B2C">
        <w:rPr>
          <w:bCs/>
        </w:rPr>
        <w:t xml:space="preserve"> </w:t>
      </w:r>
      <w:r w:rsidRPr="00695B2C">
        <w:rPr>
          <w:bCs/>
        </w:rPr>
        <w:t>siguientes</w:t>
      </w:r>
      <w:r w:rsidR="00083A1D" w:rsidRPr="00695B2C">
        <w:rPr>
          <w:bCs/>
        </w:rPr>
        <w:t xml:space="preserve"> </w:t>
      </w:r>
      <w:r w:rsidRPr="00695B2C">
        <w:rPr>
          <w:bCs/>
        </w:rPr>
        <w:t>términos:</w:t>
      </w:r>
    </w:p>
    <w:p w14:paraId="4FEE25A5" w14:textId="77777777" w:rsidR="00177EE1" w:rsidRPr="00695B2C" w:rsidRDefault="00177EE1" w:rsidP="006461DA">
      <w:pPr>
        <w:spacing w:after="0" w:line="360" w:lineRule="auto"/>
        <w:rPr>
          <w:bCs/>
        </w:rPr>
      </w:pPr>
    </w:p>
    <w:p w14:paraId="7E271676" w14:textId="77777777" w:rsidR="00177EE1" w:rsidRPr="00695B2C" w:rsidRDefault="00177EE1" w:rsidP="006461DA">
      <w:pPr>
        <w:spacing w:after="0" w:line="360" w:lineRule="auto"/>
        <w:ind w:left="567" w:right="567"/>
        <w:rPr>
          <w:bCs/>
          <w:i/>
          <w:sz w:val="20"/>
          <w:szCs w:val="20"/>
        </w:rPr>
      </w:pPr>
      <w:r w:rsidRPr="00695B2C">
        <w:rPr>
          <w:b/>
          <w:bCs/>
          <w:i/>
          <w:sz w:val="20"/>
          <w:szCs w:val="20"/>
        </w:rPr>
        <w:t>“ACTO</w:t>
      </w:r>
      <w:r w:rsidR="00083A1D" w:rsidRPr="00695B2C">
        <w:rPr>
          <w:b/>
          <w:bCs/>
          <w:i/>
          <w:sz w:val="20"/>
          <w:szCs w:val="20"/>
        </w:rPr>
        <w:t xml:space="preserve"> </w:t>
      </w:r>
      <w:r w:rsidRPr="00695B2C">
        <w:rPr>
          <w:b/>
          <w:bCs/>
          <w:i/>
          <w:sz w:val="20"/>
          <w:szCs w:val="20"/>
        </w:rPr>
        <w:t>IMPUGNADO</w:t>
      </w:r>
    </w:p>
    <w:p w14:paraId="3C959FCF" w14:textId="61BAE808" w:rsidR="00177EE1" w:rsidRPr="00695B2C" w:rsidRDefault="00162596" w:rsidP="006461DA">
      <w:pPr>
        <w:spacing w:after="0" w:line="360" w:lineRule="auto"/>
        <w:ind w:left="567" w:right="567"/>
        <w:rPr>
          <w:rFonts w:eastAsia="Times New Roman" w:cs="Arial"/>
          <w:bCs/>
          <w:i/>
          <w:iCs/>
          <w:color w:val="auto"/>
          <w:sz w:val="20"/>
          <w:lang w:eastAsia="es-ES"/>
        </w:rPr>
      </w:pPr>
      <w:r w:rsidRPr="00695B2C">
        <w:rPr>
          <w:rFonts w:eastAsia="Times New Roman" w:cs="Arial"/>
          <w:bCs/>
          <w:i/>
          <w:iCs/>
          <w:color w:val="auto"/>
          <w:sz w:val="20"/>
          <w:lang w:eastAsia="es-ES"/>
        </w:rPr>
        <w:t>La respuesta de la Unidad de Transparencia</w:t>
      </w:r>
      <w:r w:rsidR="007B47E8" w:rsidRPr="00695B2C">
        <w:rPr>
          <w:rFonts w:eastAsia="Times New Roman" w:cs="Arial"/>
          <w:bCs/>
          <w:i/>
          <w:iCs/>
          <w:color w:val="auto"/>
          <w:sz w:val="20"/>
          <w:lang w:eastAsia="es-ES"/>
        </w:rPr>
        <w:t>”.</w:t>
      </w:r>
      <w:r w:rsidR="00083A1D" w:rsidRPr="00695B2C">
        <w:rPr>
          <w:rFonts w:eastAsia="Times New Roman" w:cs="Arial"/>
          <w:bCs/>
          <w:i/>
          <w:iCs/>
          <w:color w:val="auto"/>
          <w:sz w:val="20"/>
          <w:lang w:eastAsia="es-ES"/>
        </w:rPr>
        <w:t xml:space="preserve"> </w:t>
      </w:r>
      <w:r w:rsidR="00177EE1" w:rsidRPr="00695B2C">
        <w:rPr>
          <w:rFonts w:eastAsia="Times New Roman" w:cs="Arial"/>
          <w:bCs/>
          <w:i/>
          <w:iCs/>
          <w:color w:val="auto"/>
          <w:sz w:val="20"/>
          <w:lang w:eastAsia="es-ES"/>
        </w:rPr>
        <w:t>(Sic.)</w:t>
      </w:r>
    </w:p>
    <w:p w14:paraId="53209440" w14:textId="77777777" w:rsidR="00177EE1" w:rsidRPr="00695B2C" w:rsidRDefault="00177EE1" w:rsidP="006461DA">
      <w:pPr>
        <w:spacing w:after="0" w:line="360" w:lineRule="auto"/>
        <w:ind w:left="567" w:right="567"/>
        <w:rPr>
          <w:i/>
          <w:sz w:val="20"/>
          <w:szCs w:val="20"/>
        </w:rPr>
      </w:pPr>
    </w:p>
    <w:p w14:paraId="23E4431A" w14:textId="77777777" w:rsidR="00177EE1" w:rsidRPr="00695B2C" w:rsidRDefault="00177EE1" w:rsidP="006461DA">
      <w:pPr>
        <w:spacing w:after="0" w:line="360" w:lineRule="auto"/>
        <w:ind w:left="567" w:right="567"/>
        <w:rPr>
          <w:b/>
          <w:i/>
          <w:sz w:val="20"/>
          <w:szCs w:val="20"/>
        </w:rPr>
      </w:pPr>
      <w:r w:rsidRPr="00695B2C">
        <w:rPr>
          <w:b/>
          <w:i/>
          <w:sz w:val="20"/>
          <w:szCs w:val="20"/>
        </w:rPr>
        <w:t>“RAZONES</w:t>
      </w:r>
      <w:r w:rsidR="00083A1D" w:rsidRPr="00695B2C">
        <w:rPr>
          <w:b/>
          <w:i/>
          <w:sz w:val="20"/>
          <w:szCs w:val="20"/>
        </w:rPr>
        <w:t xml:space="preserve"> </w:t>
      </w:r>
      <w:r w:rsidRPr="00695B2C">
        <w:rPr>
          <w:b/>
          <w:i/>
          <w:sz w:val="20"/>
          <w:szCs w:val="20"/>
        </w:rPr>
        <w:t>O</w:t>
      </w:r>
      <w:r w:rsidR="00083A1D" w:rsidRPr="00695B2C">
        <w:rPr>
          <w:b/>
          <w:i/>
          <w:sz w:val="20"/>
          <w:szCs w:val="20"/>
        </w:rPr>
        <w:t xml:space="preserve"> </w:t>
      </w:r>
      <w:r w:rsidRPr="00695B2C">
        <w:rPr>
          <w:b/>
          <w:i/>
          <w:sz w:val="20"/>
          <w:szCs w:val="20"/>
        </w:rPr>
        <w:t>MOTIVOS</w:t>
      </w:r>
      <w:r w:rsidR="00083A1D" w:rsidRPr="00695B2C">
        <w:rPr>
          <w:b/>
          <w:i/>
          <w:sz w:val="20"/>
          <w:szCs w:val="20"/>
        </w:rPr>
        <w:t xml:space="preserve"> </w:t>
      </w:r>
      <w:r w:rsidRPr="00695B2C">
        <w:rPr>
          <w:b/>
          <w:i/>
          <w:sz w:val="20"/>
          <w:szCs w:val="20"/>
        </w:rPr>
        <w:t>DE</w:t>
      </w:r>
      <w:r w:rsidR="00083A1D" w:rsidRPr="00695B2C">
        <w:rPr>
          <w:b/>
          <w:i/>
          <w:sz w:val="20"/>
          <w:szCs w:val="20"/>
        </w:rPr>
        <w:t xml:space="preserve"> </w:t>
      </w:r>
      <w:r w:rsidRPr="00695B2C">
        <w:rPr>
          <w:b/>
          <w:i/>
          <w:sz w:val="20"/>
          <w:szCs w:val="20"/>
        </w:rPr>
        <w:t>LA</w:t>
      </w:r>
      <w:r w:rsidR="00083A1D" w:rsidRPr="00695B2C">
        <w:rPr>
          <w:b/>
          <w:i/>
          <w:sz w:val="20"/>
          <w:szCs w:val="20"/>
        </w:rPr>
        <w:t xml:space="preserve"> </w:t>
      </w:r>
      <w:r w:rsidRPr="00695B2C">
        <w:rPr>
          <w:b/>
          <w:i/>
          <w:sz w:val="20"/>
          <w:szCs w:val="20"/>
        </w:rPr>
        <w:t>INCONFORMIDAD</w:t>
      </w:r>
    </w:p>
    <w:p w14:paraId="06EF0CD9" w14:textId="440707E0" w:rsidR="00177EE1" w:rsidRPr="00695B2C" w:rsidRDefault="00162596" w:rsidP="006461DA">
      <w:pPr>
        <w:spacing w:after="0" w:line="360" w:lineRule="auto"/>
        <w:ind w:left="567" w:right="567"/>
        <w:rPr>
          <w:rFonts w:eastAsia="Times New Roman" w:cs="Arial"/>
          <w:bCs/>
          <w:i/>
          <w:iCs/>
          <w:color w:val="auto"/>
          <w:sz w:val="20"/>
          <w:lang w:eastAsia="es-ES"/>
        </w:rPr>
      </w:pPr>
      <w:r w:rsidRPr="00695B2C">
        <w:rPr>
          <w:rFonts w:eastAsia="Times New Roman" w:cs="Arial"/>
          <w:bCs/>
          <w:i/>
          <w:iCs/>
          <w:color w:val="auto"/>
          <w:sz w:val="20"/>
          <w:lang w:eastAsia="es-ES"/>
        </w:rPr>
        <w:t>No me entregan la información requerida en los puntos 3 en adelante, debe decirse que esta información refiere a violaciones graves a derechos humanos</w:t>
      </w:r>
      <w:r w:rsidR="009826DE" w:rsidRPr="00695B2C">
        <w:rPr>
          <w:rFonts w:eastAsia="Times New Roman" w:cs="Arial"/>
          <w:bCs/>
          <w:i/>
          <w:iCs/>
          <w:color w:val="auto"/>
          <w:sz w:val="20"/>
          <w:lang w:eastAsia="es-ES"/>
        </w:rPr>
        <w:t>.</w:t>
      </w:r>
      <w:r w:rsidR="00177EE1" w:rsidRPr="00695B2C">
        <w:rPr>
          <w:rFonts w:eastAsia="Times New Roman" w:cs="Arial"/>
          <w:bCs/>
          <w:i/>
          <w:iCs/>
          <w:color w:val="auto"/>
          <w:sz w:val="20"/>
          <w:lang w:eastAsia="es-ES"/>
        </w:rPr>
        <w:t>”</w:t>
      </w:r>
      <w:r w:rsidR="00083A1D" w:rsidRPr="00695B2C">
        <w:rPr>
          <w:rFonts w:eastAsia="Times New Roman" w:cs="Arial"/>
          <w:bCs/>
          <w:i/>
          <w:iCs/>
          <w:color w:val="auto"/>
          <w:sz w:val="20"/>
          <w:lang w:eastAsia="es-ES"/>
        </w:rPr>
        <w:t xml:space="preserve"> </w:t>
      </w:r>
      <w:r w:rsidR="00177EE1" w:rsidRPr="00695B2C">
        <w:rPr>
          <w:rFonts w:eastAsia="Times New Roman" w:cs="Arial"/>
          <w:bCs/>
          <w:i/>
          <w:iCs/>
          <w:color w:val="auto"/>
          <w:sz w:val="20"/>
          <w:lang w:eastAsia="es-ES"/>
        </w:rPr>
        <w:t>(Sic.)</w:t>
      </w:r>
    </w:p>
    <w:p w14:paraId="1BCC907D" w14:textId="5CC60353" w:rsidR="00177EE1" w:rsidRPr="00695B2C" w:rsidRDefault="00177EE1" w:rsidP="006461DA">
      <w:pPr>
        <w:spacing w:after="0" w:line="360" w:lineRule="auto"/>
      </w:pPr>
    </w:p>
    <w:p w14:paraId="11CFD2F8" w14:textId="1A32388C" w:rsidR="00177EE1" w:rsidRPr="00695B2C" w:rsidRDefault="00177EE1" w:rsidP="006461DA">
      <w:pPr>
        <w:spacing w:after="0" w:line="360" w:lineRule="auto"/>
        <w:rPr>
          <w:b/>
          <w:bCs/>
        </w:rPr>
      </w:pPr>
      <w:r w:rsidRPr="00695B2C">
        <w:rPr>
          <w:b/>
        </w:rPr>
        <w:t>V.</w:t>
      </w:r>
      <w:r w:rsidR="00083A1D" w:rsidRPr="00695B2C">
        <w:rPr>
          <w:b/>
        </w:rPr>
        <w:t xml:space="preserve"> </w:t>
      </w:r>
      <w:r w:rsidRPr="00695B2C">
        <w:rPr>
          <w:b/>
          <w:bCs/>
        </w:rPr>
        <w:t>Trámite</w:t>
      </w:r>
      <w:r w:rsidR="00083A1D" w:rsidRPr="00695B2C">
        <w:rPr>
          <w:b/>
          <w:bCs/>
        </w:rPr>
        <w:t xml:space="preserve"> </w:t>
      </w:r>
      <w:r w:rsidRPr="00695B2C">
        <w:rPr>
          <w:b/>
          <w:bCs/>
        </w:rPr>
        <w:t>del</w:t>
      </w:r>
      <w:r w:rsidR="00083A1D" w:rsidRPr="00695B2C">
        <w:rPr>
          <w:b/>
          <w:bCs/>
        </w:rPr>
        <w:t xml:space="preserve"> </w:t>
      </w:r>
      <w:r w:rsidRPr="00695B2C">
        <w:rPr>
          <w:b/>
        </w:rPr>
        <w:t>Recurso</w:t>
      </w:r>
      <w:r w:rsidR="00083A1D" w:rsidRPr="00695B2C">
        <w:rPr>
          <w:b/>
        </w:rPr>
        <w:t xml:space="preserve"> </w:t>
      </w:r>
      <w:r w:rsidRPr="00695B2C">
        <w:rPr>
          <w:b/>
        </w:rPr>
        <w:t>de</w:t>
      </w:r>
      <w:r w:rsidR="00083A1D" w:rsidRPr="00695B2C">
        <w:rPr>
          <w:b/>
        </w:rPr>
        <w:t xml:space="preserve"> </w:t>
      </w:r>
      <w:r w:rsidRPr="00695B2C">
        <w:rPr>
          <w:b/>
        </w:rPr>
        <w:t>Revisión</w:t>
      </w:r>
      <w:r w:rsidR="00083A1D" w:rsidRPr="00695B2C">
        <w:rPr>
          <w:b/>
        </w:rPr>
        <w:t xml:space="preserve"> </w:t>
      </w:r>
      <w:r w:rsidRPr="00695B2C">
        <w:rPr>
          <w:b/>
          <w:bCs/>
        </w:rPr>
        <w:t>ante</w:t>
      </w:r>
      <w:r w:rsidR="00083A1D" w:rsidRPr="00695B2C">
        <w:rPr>
          <w:b/>
          <w:bCs/>
        </w:rPr>
        <w:t xml:space="preserve"> </w:t>
      </w:r>
      <w:r w:rsidRPr="00695B2C">
        <w:rPr>
          <w:b/>
          <w:bCs/>
        </w:rPr>
        <w:t>este</w:t>
      </w:r>
      <w:r w:rsidR="00083A1D" w:rsidRPr="00695B2C">
        <w:rPr>
          <w:b/>
          <w:bCs/>
        </w:rPr>
        <w:t xml:space="preserve"> </w:t>
      </w:r>
      <w:r w:rsidRPr="00695B2C">
        <w:rPr>
          <w:b/>
          <w:bCs/>
        </w:rPr>
        <w:t>Instituto.</w:t>
      </w:r>
    </w:p>
    <w:p w14:paraId="592B90EB" w14:textId="77777777" w:rsidR="007A3549" w:rsidRPr="00695B2C" w:rsidRDefault="007A3549" w:rsidP="006461DA">
      <w:pPr>
        <w:spacing w:after="0" w:line="360" w:lineRule="auto"/>
        <w:rPr>
          <w:b/>
          <w:bCs/>
        </w:rPr>
      </w:pPr>
    </w:p>
    <w:p w14:paraId="7DF2DECC" w14:textId="116B2262" w:rsidR="00177EE1" w:rsidRPr="00695B2C" w:rsidRDefault="00177EE1" w:rsidP="006461DA">
      <w:pPr>
        <w:spacing w:after="0" w:line="360" w:lineRule="auto"/>
        <w:rPr>
          <w:b/>
          <w:bCs/>
        </w:rPr>
      </w:pPr>
      <w:r w:rsidRPr="00695B2C">
        <w:rPr>
          <w:b/>
          <w:bCs/>
        </w:rPr>
        <w:t>a)</w:t>
      </w:r>
      <w:r w:rsidR="00083A1D" w:rsidRPr="00695B2C">
        <w:rPr>
          <w:b/>
          <w:bCs/>
        </w:rPr>
        <w:t xml:space="preserve"> </w:t>
      </w:r>
      <w:r w:rsidRPr="00695B2C">
        <w:rPr>
          <w:b/>
          <w:bCs/>
        </w:rPr>
        <w:t>Turno</w:t>
      </w:r>
      <w:r w:rsidR="00083A1D" w:rsidRPr="00695B2C">
        <w:rPr>
          <w:b/>
          <w:bCs/>
        </w:rPr>
        <w:t xml:space="preserve"> </w:t>
      </w:r>
      <w:r w:rsidRPr="00695B2C">
        <w:rPr>
          <w:b/>
          <w:bCs/>
        </w:rPr>
        <w:t>del</w:t>
      </w:r>
      <w:r w:rsidR="00083A1D" w:rsidRPr="00695B2C">
        <w:rPr>
          <w:b/>
          <w:bCs/>
        </w:rPr>
        <w:t xml:space="preserve"> </w:t>
      </w:r>
      <w:r w:rsidRPr="00695B2C">
        <w:rPr>
          <w:b/>
          <w:bCs/>
        </w:rPr>
        <w:t>Medio</w:t>
      </w:r>
      <w:r w:rsidR="00083A1D" w:rsidRPr="00695B2C">
        <w:rPr>
          <w:b/>
          <w:bCs/>
        </w:rPr>
        <w:t xml:space="preserve"> </w:t>
      </w:r>
      <w:r w:rsidRPr="00695B2C">
        <w:rPr>
          <w:b/>
          <w:bCs/>
        </w:rPr>
        <w:t>de</w:t>
      </w:r>
      <w:r w:rsidR="00083A1D" w:rsidRPr="00695B2C">
        <w:rPr>
          <w:b/>
          <w:bCs/>
        </w:rPr>
        <w:t xml:space="preserve"> </w:t>
      </w:r>
      <w:r w:rsidRPr="00695B2C">
        <w:rPr>
          <w:b/>
          <w:bCs/>
        </w:rPr>
        <w:t>Impugnación.</w:t>
      </w:r>
      <w:r w:rsidR="00083A1D" w:rsidRPr="00695B2C">
        <w:rPr>
          <w:b/>
          <w:bCs/>
        </w:rPr>
        <w:t xml:space="preserve"> </w:t>
      </w:r>
      <w:r w:rsidRPr="00695B2C">
        <w:rPr>
          <w:bCs/>
        </w:rPr>
        <w:t>El</w:t>
      </w:r>
      <w:r w:rsidR="00083A1D" w:rsidRPr="00695B2C">
        <w:rPr>
          <w:bCs/>
        </w:rPr>
        <w:t xml:space="preserve"> </w:t>
      </w:r>
      <w:r w:rsidR="00C95584" w:rsidRPr="00695B2C">
        <w:rPr>
          <w:bCs/>
        </w:rPr>
        <w:t>diecinueve</w:t>
      </w:r>
      <w:r w:rsidR="003247BD" w:rsidRPr="00695B2C">
        <w:rPr>
          <w:bCs/>
        </w:rPr>
        <w:t xml:space="preserve"> de febrero </w:t>
      </w:r>
      <w:r w:rsidR="00027A38" w:rsidRPr="00695B2C">
        <w:rPr>
          <w:bCs/>
        </w:rPr>
        <w:t>de dos mil veinti</w:t>
      </w:r>
      <w:r w:rsidR="0080433B" w:rsidRPr="00695B2C">
        <w:rPr>
          <w:bCs/>
        </w:rPr>
        <w:t>dós</w:t>
      </w:r>
      <w:r w:rsidRPr="00695B2C">
        <w:rPr>
          <w:bCs/>
        </w:rPr>
        <w:t>,</w:t>
      </w:r>
      <w:r w:rsidR="00083A1D" w:rsidRPr="00695B2C">
        <w:rPr>
          <w:bCs/>
        </w:rPr>
        <w:t xml:space="preserve"> </w:t>
      </w:r>
      <w:r w:rsidRPr="00695B2C">
        <w:rPr>
          <w:bCs/>
        </w:rPr>
        <w:t>el</w:t>
      </w:r>
      <w:r w:rsidR="00083A1D" w:rsidRPr="00695B2C">
        <w:rPr>
          <w:bCs/>
        </w:rPr>
        <w:t xml:space="preserve"> </w:t>
      </w:r>
      <w:r w:rsidRPr="00695B2C">
        <w:rPr>
          <w:lang w:val="es-ES"/>
        </w:rPr>
        <w:t>Sistema</w:t>
      </w:r>
      <w:r w:rsidR="00083A1D" w:rsidRPr="00695B2C">
        <w:rPr>
          <w:lang w:val="es-ES"/>
        </w:rPr>
        <w:t xml:space="preserve"> </w:t>
      </w:r>
      <w:r w:rsidRPr="00695B2C">
        <w:rPr>
          <w:lang w:val="es-ES"/>
        </w:rPr>
        <w:t>de</w:t>
      </w:r>
      <w:r w:rsidR="00083A1D" w:rsidRPr="00695B2C">
        <w:rPr>
          <w:lang w:val="es-ES"/>
        </w:rPr>
        <w:t xml:space="preserve"> </w:t>
      </w:r>
      <w:r w:rsidRPr="00695B2C">
        <w:rPr>
          <w:lang w:val="es-ES"/>
        </w:rPr>
        <w:t>Acceso</w:t>
      </w:r>
      <w:r w:rsidR="00083A1D" w:rsidRPr="00695B2C">
        <w:rPr>
          <w:lang w:val="es-ES"/>
        </w:rPr>
        <w:t xml:space="preserve"> </w:t>
      </w:r>
      <w:r w:rsidRPr="00695B2C">
        <w:rPr>
          <w:lang w:val="es-ES"/>
        </w:rPr>
        <w:t>a</w:t>
      </w:r>
      <w:r w:rsidR="00083A1D" w:rsidRPr="00695B2C">
        <w:rPr>
          <w:lang w:val="es-ES"/>
        </w:rPr>
        <w:t xml:space="preserve"> </w:t>
      </w:r>
      <w:r w:rsidRPr="00695B2C">
        <w:rPr>
          <w:lang w:val="es-ES"/>
        </w:rPr>
        <w:t>la</w:t>
      </w:r>
      <w:r w:rsidR="00083A1D" w:rsidRPr="00695B2C">
        <w:rPr>
          <w:lang w:val="es-ES"/>
        </w:rPr>
        <w:t xml:space="preserve"> </w:t>
      </w:r>
      <w:r w:rsidRPr="00695B2C">
        <w:rPr>
          <w:lang w:val="es-ES"/>
        </w:rPr>
        <w:t>Información</w:t>
      </w:r>
      <w:r w:rsidR="00083A1D" w:rsidRPr="00695B2C">
        <w:rPr>
          <w:lang w:val="es-ES"/>
        </w:rPr>
        <w:t xml:space="preserve"> </w:t>
      </w:r>
      <w:r w:rsidRPr="00695B2C">
        <w:rPr>
          <w:lang w:val="es-ES"/>
        </w:rPr>
        <w:t>Mexiquense</w:t>
      </w:r>
      <w:r w:rsidR="00083A1D" w:rsidRPr="00695B2C">
        <w:rPr>
          <w:lang w:val="es-ES"/>
        </w:rPr>
        <w:t xml:space="preserve"> </w:t>
      </w:r>
      <w:r w:rsidRPr="00695B2C">
        <w:rPr>
          <w:lang w:val="es-ES"/>
        </w:rPr>
        <w:t>(SAIMEX),</w:t>
      </w:r>
      <w:r w:rsidR="00083A1D" w:rsidRPr="00695B2C">
        <w:rPr>
          <w:bCs/>
        </w:rPr>
        <w:t xml:space="preserve"> </w:t>
      </w:r>
      <w:r w:rsidRPr="00695B2C">
        <w:rPr>
          <w:bCs/>
        </w:rPr>
        <w:t>asignó</w:t>
      </w:r>
      <w:r w:rsidR="00083A1D" w:rsidRPr="00695B2C">
        <w:rPr>
          <w:bCs/>
        </w:rPr>
        <w:t xml:space="preserve"> </w:t>
      </w:r>
      <w:r w:rsidRPr="00695B2C">
        <w:rPr>
          <w:bCs/>
        </w:rPr>
        <w:t>el</w:t>
      </w:r>
      <w:r w:rsidR="00083A1D" w:rsidRPr="00695B2C">
        <w:rPr>
          <w:bCs/>
        </w:rPr>
        <w:t xml:space="preserve"> </w:t>
      </w:r>
      <w:r w:rsidRPr="00695B2C">
        <w:rPr>
          <w:bCs/>
        </w:rPr>
        <w:t>número</w:t>
      </w:r>
      <w:r w:rsidR="00083A1D" w:rsidRPr="00695B2C">
        <w:rPr>
          <w:bCs/>
        </w:rPr>
        <w:t xml:space="preserve"> </w:t>
      </w:r>
      <w:r w:rsidRPr="00695B2C">
        <w:rPr>
          <w:bCs/>
        </w:rPr>
        <w:t>de</w:t>
      </w:r>
      <w:r w:rsidR="00083A1D" w:rsidRPr="00695B2C">
        <w:rPr>
          <w:bCs/>
        </w:rPr>
        <w:t xml:space="preserve"> </w:t>
      </w:r>
      <w:r w:rsidRPr="00695B2C">
        <w:rPr>
          <w:bCs/>
        </w:rPr>
        <w:t>expediente</w:t>
      </w:r>
      <w:r w:rsidR="00083A1D" w:rsidRPr="00695B2C">
        <w:rPr>
          <w:bCs/>
        </w:rPr>
        <w:t xml:space="preserve"> </w:t>
      </w:r>
      <w:r w:rsidR="007A3D34" w:rsidRPr="00695B2C">
        <w:rPr>
          <w:b/>
          <w:bCs/>
        </w:rPr>
        <w:t>01</w:t>
      </w:r>
      <w:r w:rsidR="00C95584" w:rsidRPr="00695B2C">
        <w:rPr>
          <w:b/>
          <w:bCs/>
        </w:rPr>
        <w:t>026</w:t>
      </w:r>
      <w:r w:rsidR="007A3D34" w:rsidRPr="00695B2C">
        <w:rPr>
          <w:b/>
          <w:bCs/>
        </w:rPr>
        <w:t>/INFOEM/IP/RR/2022</w:t>
      </w:r>
      <w:r w:rsidRPr="00695B2C">
        <w:rPr>
          <w:bCs/>
        </w:rPr>
        <w:t>,</w:t>
      </w:r>
      <w:r w:rsidR="00083A1D" w:rsidRPr="00695B2C">
        <w:rPr>
          <w:bCs/>
        </w:rPr>
        <w:t xml:space="preserve"> </w:t>
      </w:r>
      <w:r w:rsidRPr="00695B2C">
        <w:rPr>
          <w:bCs/>
        </w:rPr>
        <w:t>al</w:t>
      </w:r>
      <w:r w:rsidR="00083A1D" w:rsidRPr="00695B2C">
        <w:rPr>
          <w:bCs/>
        </w:rPr>
        <w:t xml:space="preserve"> </w:t>
      </w:r>
      <w:r w:rsidRPr="00695B2C">
        <w:rPr>
          <w:bCs/>
        </w:rPr>
        <w:t>medio</w:t>
      </w:r>
      <w:r w:rsidR="00083A1D" w:rsidRPr="00695B2C">
        <w:rPr>
          <w:bCs/>
        </w:rPr>
        <w:t xml:space="preserve"> </w:t>
      </w:r>
      <w:r w:rsidRPr="00695B2C">
        <w:rPr>
          <w:bCs/>
        </w:rPr>
        <w:t>de</w:t>
      </w:r>
      <w:r w:rsidR="00083A1D" w:rsidRPr="00695B2C">
        <w:rPr>
          <w:bCs/>
        </w:rPr>
        <w:t xml:space="preserve"> </w:t>
      </w:r>
      <w:r w:rsidRPr="00695B2C">
        <w:rPr>
          <w:bCs/>
        </w:rPr>
        <w:t>impugnación</w:t>
      </w:r>
      <w:r w:rsidR="00083A1D" w:rsidRPr="00695B2C">
        <w:rPr>
          <w:bCs/>
        </w:rPr>
        <w:t xml:space="preserve"> </w:t>
      </w:r>
      <w:r w:rsidRPr="00695B2C">
        <w:rPr>
          <w:bCs/>
        </w:rPr>
        <w:t>que</w:t>
      </w:r>
      <w:r w:rsidR="00083A1D" w:rsidRPr="00695B2C">
        <w:rPr>
          <w:bCs/>
        </w:rPr>
        <w:t xml:space="preserve"> </w:t>
      </w:r>
      <w:r w:rsidRPr="00695B2C">
        <w:rPr>
          <w:bCs/>
        </w:rPr>
        <w:t>nos</w:t>
      </w:r>
      <w:r w:rsidR="00083A1D" w:rsidRPr="00695B2C">
        <w:rPr>
          <w:bCs/>
        </w:rPr>
        <w:t xml:space="preserve"> </w:t>
      </w:r>
      <w:r w:rsidRPr="00695B2C">
        <w:rPr>
          <w:bCs/>
        </w:rPr>
        <w:t>ocupa,</w:t>
      </w:r>
      <w:r w:rsidR="00083A1D" w:rsidRPr="00695B2C">
        <w:rPr>
          <w:bCs/>
        </w:rPr>
        <w:t xml:space="preserve"> </w:t>
      </w:r>
      <w:r w:rsidRPr="00695B2C">
        <w:rPr>
          <w:bCs/>
        </w:rPr>
        <w:t>con</w:t>
      </w:r>
      <w:r w:rsidR="00083A1D" w:rsidRPr="00695B2C">
        <w:rPr>
          <w:bCs/>
        </w:rPr>
        <w:t xml:space="preserve"> </w:t>
      </w:r>
      <w:r w:rsidRPr="00695B2C">
        <w:rPr>
          <w:bCs/>
        </w:rPr>
        <w:t>base</w:t>
      </w:r>
      <w:r w:rsidR="00083A1D" w:rsidRPr="00695B2C">
        <w:rPr>
          <w:bCs/>
        </w:rPr>
        <w:t xml:space="preserve"> </w:t>
      </w:r>
      <w:r w:rsidRPr="00695B2C">
        <w:rPr>
          <w:bCs/>
        </w:rPr>
        <w:t>en</w:t>
      </w:r>
      <w:r w:rsidR="00083A1D" w:rsidRPr="00695B2C">
        <w:rPr>
          <w:bCs/>
        </w:rPr>
        <w:t xml:space="preserve"> </w:t>
      </w:r>
      <w:r w:rsidRPr="00695B2C">
        <w:rPr>
          <w:bCs/>
        </w:rPr>
        <w:t>el</w:t>
      </w:r>
      <w:r w:rsidR="00083A1D" w:rsidRPr="00695B2C">
        <w:rPr>
          <w:bCs/>
        </w:rPr>
        <w:t xml:space="preserve"> </w:t>
      </w:r>
      <w:r w:rsidRPr="00695B2C">
        <w:rPr>
          <w:bCs/>
        </w:rPr>
        <w:t>sistema</w:t>
      </w:r>
      <w:r w:rsidR="00083A1D" w:rsidRPr="00695B2C">
        <w:rPr>
          <w:bCs/>
        </w:rPr>
        <w:t xml:space="preserve"> </w:t>
      </w:r>
      <w:r w:rsidRPr="00695B2C">
        <w:rPr>
          <w:bCs/>
        </w:rPr>
        <w:t>aprobado</w:t>
      </w:r>
      <w:r w:rsidR="00083A1D" w:rsidRPr="00695B2C">
        <w:rPr>
          <w:bCs/>
        </w:rPr>
        <w:t xml:space="preserve"> </w:t>
      </w:r>
      <w:r w:rsidRPr="00695B2C">
        <w:rPr>
          <w:bCs/>
        </w:rPr>
        <w:t>por</w:t>
      </w:r>
      <w:r w:rsidR="00083A1D" w:rsidRPr="00695B2C">
        <w:rPr>
          <w:bCs/>
        </w:rPr>
        <w:t xml:space="preserve"> </w:t>
      </w:r>
      <w:r w:rsidRPr="00695B2C">
        <w:rPr>
          <w:bCs/>
        </w:rPr>
        <w:t>el</w:t>
      </w:r>
      <w:r w:rsidR="00083A1D" w:rsidRPr="00695B2C">
        <w:rPr>
          <w:bCs/>
        </w:rPr>
        <w:t xml:space="preserve"> </w:t>
      </w:r>
      <w:r w:rsidRPr="00695B2C">
        <w:rPr>
          <w:bCs/>
        </w:rPr>
        <w:t>Pleno</w:t>
      </w:r>
      <w:r w:rsidR="00083A1D" w:rsidRPr="00695B2C">
        <w:rPr>
          <w:bCs/>
        </w:rPr>
        <w:t xml:space="preserve"> </w:t>
      </w:r>
      <w:r w:rsidRPr="00695B2C">
        <w:rPr>
          <w:bCs/>
        </w:rPr>
        <w:t>de</w:t>
      </w:r>
      <w:r w:rsidR="00083A1D" w:rsidRPr="00695B2C">
        <w:rPr>
          <w:bCs/>
        </w:rPr>
        <w:t xml:space="preserve"> </w:t>
      </w:r>
      <w:r w:rsidRPr="00695B2C">
        <w:rPr>
          <w:bCs/>
        </w:rPr>
        <w:t>este</w:t>
      </w:r>
      <w:r w:rsidR="00083A1D" w:rsidRPr="00695B2C">
        <w:rPr>
          <w:bCs/>
        </w:rPr>
        <w:t xml:space="preserve"> </w:t>
      </w:r>
      <w:r w:rsidRPr="00695B2C">
        <w:rPr>
          <w:bCs/>
        </w:rPr>
        <w:t>Órgano</w:t>
      </w:r>
      <w:r w:rsidR="00083A1D" w:rsidRPr="00695B2C">
        <w:rPr>
          <w:bCs/>
        </w:rPr>
        <w:t xml:space="preserve"> </w:t>
      </w:r>
      <w:r w:rsidRPr="00695B2C">
        <w:rPr>
          <w:bCs/>
        </w:rPr>
        <w:t>Garante</w:t>
      </w:r>
      <w:r w:rsidR="00083A1D" w:rsidRPr="00695B2C">
        <w:rPr>
          <w:bCs/>
        </w:rPr>
        <w:t xml:space="preserve"> </w:t>
      </w:r>
      <w:r w:rsidRPr="00695B2C">
        <w:rPr>
          <w:bCs/>
        </w:rPr>
        <w:t>y</w:t>
      </w:r>
      <w:r w:rsidR="00083A1D" w:rsidRPr="00695B2C">
        <w:rPr>
          <w:bCs/>
        </w:rPr>
        <w:t xml:space="preserve"> </w:t>
      </w:r>
      <w:r w:rsidRPr="00695B2C">
        <w:rPr>
          <w:bCs/>
        </w:rPr>
        <w:t>lo</w:t>
      </w:r>
      <w:r w:rsidR="00083A1D" w:rsidRPr="00695B2C">
        <w:rPr>
          <w:bCs/>
        </w:rPr>
        <w:t xml:space="preserve"> </w:t>
      </w:r>
      <w:r w:rsidRPr="00695B2C">
        <w:rPr>
          <w:bCs/>
        </w:rPr>
        <w:t>turnó</w:t>
      </w:r>
      <w:r w:rsidR="00083A1D" w:rsidRPr="00695B2C">
        <w:rPr>
          <w:bCs/>
        </w:rPr>
        <w:t xml:space="preserve"> </w:t>
      </w:r>
      <w:r w:rsidRPr="00695B2C">
        <w:rPr>
          <w:bCs/>
        </w:rPr>
        <w:t>al</w:t>
      </w:r>
      <w:r w:rsidR="00083A1D" w:rsidRPr="00695B2C">
        <w:rPr>
          <w:bCs/>
        </w:rPr>
        <w:t xml:space="preserve"> </w:t>
      </w:r>
      <w:r w:rsidRPr="00695B2C">
        <w:rPr>
          <w:bCs/>
        </w:rPr>
        <w:t>Comisionado</w:t>
      </w:r>
      <w:r w:rsidR="00083A1D" w:rsidRPr="00695B2C">
        <w:rPr>
          <w:bCs/>
        </w:rPr>
        <w:t xml:space="preserve"> </w:t>
      </w:r>
      <w:r w:rsidRPr="00695B2C">
        <w:rPr>
          <w:bCs/>
        </w:rPr>
        <w:t>Ponente</w:t>
      </w:r>
      <w:r w:rsidR="00083A1D" w:rsidRPr="00695B2C">
        <w:rPr>
          <w:bCs/>
        </w:rPr>
        <w:t xml:space="preserve"> </w:t>
      </w:r>
      <w:r w:rsidRPr="00695B2C">
        <w:rPr>
          <w:bCs/>
        </w:rPr>
        <w:t>Luis</w:t>
      </w:r>
      <w:r w:rsidR="00083A1D" w:rsidRPr="00695B2C">
        <w:rPr>
          <w:bCs/>
        </w:rPr>
        <w:t xml:space="preserve"> </w:t>
      </w:r>
      <w:r w:rsidRPr="00695B2C">
        <w:rPr>
          <w:bCs/>
        </w:rPr>
        <w:t>Gustavo</w:t>
      </w:r>
      <w:r w:rsidR="00083A1D" w:rsidRPr="00695B2C">
        <w:rPr>
          <w:bCs/>
        </w:rPr>
        <w:t xml:space="preserve"> </w:t>
      </w:r>
      <w:r w:rsidRPr="00695B2C">
        <w:rPr>
          <w:bCs/>
        </w:rPr>
        <w:t>Parra</w:t>
      </w:r>
      <w:r w:rsidR="00083A1D" w:rsidRPr="00695B2C">
        <w:rPr>
          <w:bCs/>
        </w:rPr>
        <w:t xml:space="preserve"> </w:t>
      </w:r>
      <w:r w:rsidRPr="00695B2C">
        <w:rPr>
          <w:bCs/>
        </w:rPr>
        <w:t>Noriega,</w:t>
      </w:r>
      <w:r w:rsidR="00083A1D" w:rsidRPr="00695B2C">
        <w:rPr>
          <w:bCs/>
        </w:rPr>
        <w:t xml:space="preserve"> </w:t>
      </w:r>
      <w:r w:rsidRPr="00695B2C">
        <w:rPr>
          <w:bCs/>
        </w:rPr>
        <w:t>para</w:t>
      </w:r>
      <w:r w:rsidR="00083A1D" w:rsidRPr="00695B2C">
        <w:rPr>
          <w:bCs/>
        </w:rPr>
        <w:t xml:space="preserve"> </w:t>
      </w:r>
      <w:r w:rsidRPr="00695B2C">
        <w:rPr>
          <w:bCs/>
        </w:rPr>
        <w:t>los</w:t>
      </w:r>
      <w:r w:rsidR="00083A1D" w:rsidRPr="00695B2C">
        <w:rPr>
          <w:bCs/>
        </w:rPr>
        <w:t xml:space="preserve"> </w:t>
      </w:r>
      <w:r w:rsidRPr="00695B2C">
        <w:rPr>
          <w:bCs/>
        </w:rPr>
        <w:t>efectos</w:t>
      </w:r>
      <w:r w:rsidR="00083A1D" w:rsidRPr="00695B2C">
        <w:rPr>
          <w:bCs/>
        </w:rPr>
        <w:t xml:space="preserve"> </w:t>
      </w:r>
      <w:r w:rsidRPr="00695B2C">
        <w:rPr>
          <w:bCs/>
        </w:rPr>
        <w:t>del</w:t>
      </w:r>
      <w:r w:rsidR="00083A1D" w:rsidRPr="00695B2C">
        <w:rPr>
          <w:bCs/>
        </w:rPr>
        <w:t xml:space="preserve"> </w:t>
      </w:r>
      <w:r w:rsidRPr="00695B2C">
        <w:rPr>
          <w:bCs/>
        </w:rPr>
        <w:t>artículo</w:t>
      </w:r>
      <w:r w:rsidR="00083A1D" w:rsidRPr="00695B2C">
        <w:rPr>
          <w:bCs/>
        </w:rPr>
        <w:t xml:space="preserve"> </w:t>
      </w:r>
      <w:r w:rsidRPr="00695B2C">
        <w:rPr>
          <w:bCs/>
        </w:rPr>
        <w:t>185,</w:t>
      </w:r>
      <w:r w:rsidR="00083A1D" w:rsidRPr="00695B2C">
        <w:rPr>
          <w:bCs/>
        </w:rPr>
        <w:t xml:space="preserve"> </w:t>
      </w:r>
      <w:r w:rsidRPr="00695B2C">
        <w:rPr>
          <w:bCs/>
        </w:rPr>
        <w:t>fracción</w:t>
      </w:r>
      <w:r w:rsidR="00083A1D" w:rsidRPr="00695B2C">
        <w:rPr>
          <w:bCs/>
        </w:rPr>
        <w:t xml:space="preserve"> </w:t>
      </w:r>
      <w:r w:rsidRPr="00695B2C">
        <w:rPr>
          <w:bCs/>
        </w:rPr>
        <w:t>I</w:t>
      </w:r>
      <w:r w:rsidR="00083A1D" w:rsidRPr="00695B2C">
        <w:rPr>
          <w:bCs/>
        </w:rPr>
        <w:t xml:space="preserve"> </w:t>
      </w:r>
      <w:r w:rsidRPr="00695B2C">
        <w:rPr>
          <w:bCs/>
        </w:rPr>
        <w:t>de</w:t>
      </w:r>
      <w:r w:rsidR="00083A1D" w:rsidRPr="00695B2C">
        <w:rPr>
          <w:bCs/>
        </w:rPr>
        <w:t xml:space="preserve"> </w:t>
      </w:r>
      <w:r w:rsidRPr="00695B2C">
        <w:rPr>
          <w:bCs/>
        </w:rPr>
        <w:t>la</w:t>
      </w:r>
      <w:r w:rsidR="00083A1D" w:rsidRPr="00695B2C">
        <w:rPr>
          <w:bCs/>
        </w:rPr>
        <w:t xml:space="preserve"> </w:t>
      </w:r>
      <w:r w:rsidRPr="00695B2C">
        <w:rPr>
          <w:bCs/>
        </w:rPr>
        <w:t>Ley</w:t>
      </w:r>
      <w:r w:rsidR="00083A1D" w:rsidRPr="00695B2C">
        <w:rPr>
          <w:bCs/>
        </w:rPr>
        <w:t xml:space="preserve"> </w:t>
      </w:r>
      <w:r w:rsidRPr="00695B2C">
        <w:rPr>
          <w:bCs/>
        </w:rPr>
        <w:t>de</w:t>
      </w:r>
      <w:r w:rsidR="00083A1D" w:rsidRPr="00695B2C">
        <w:rPr>
          <w:bCs/>
        </w:rPr>
        <w:t xml:space="preserve"> </w:t>
      </w:r>
      <w:r w:rsidRPr="00695B2C">
        <w:rPr>
          <w:bCs/>
        </w:rPr>
        <w:t>Transparencia</w:t>
      </w:r>
      <w:r w:rsidR="00083A1D" w:rsidRPr="00695B2C">
        <w:rPr>
          <w:bCs/>
        </w:rPr>
        <w:t xml:space="preserve"> </w:t>
      </w:r>
      <w:r w:rsidRPr="00695B2C">
        <w:rPr>
          <w:bCs/>
        </w:rPr>
        <w:t>y</w:t>
      </w:r>
      <w:r w:rsidR="00083A1D" w:rsidRPr="00695B2C">
        <w:rPr>
          <w:bCs/>
        </w:rPr>
        <w:t xml:space="preserve"> </w:t>
      </w:r>
      <w:r w:rsidRPr="00695B2C">
        <w:rPr>
          <w:bCs/>
        </w:rPr>
        <w:t>Acceso</w:t>
      </w:r>
      <w:r w:rsidR="00083A1D" w:rsidRPr="00695B2C">
        <w:rPr>
          <w:bCs/>
        </w:rPr>
        <w:t xml:space="preserve"> </w:t>
      </w:r>
      <w:r w:rsidRPr="00695B2C">
        <w:rPr>
          <w:bCs/>
        </w:rPr>
        <w:t>a</w:t>
      </w:r>
      <w:r w:rsidR="00083A1D" w:rsidRPr="00695B2C">
        <w:rPr>
          <w:bCs/>
        </w:rPr>
        <w:t xml:space="preserve"> </w:t>
      </w:r>
      <w:r w:rsidRPr="00695B2C">
        <w:rPr>
          <w:bCs/>
        </w:rPr>
        <w:t>la</w:t>
      </w:r>
      <w:r w:rsidR="00083A1D" w:rsidRPr="00695B2C">
        <w:rPr>
          <w:bCs/>
        </w:rPr>
        <w:t xml:space="preserve"> </w:t>
      </w:r>
      <w:r w:rsidRPr="00695B2C">
        <w:rPr>
          <w:bCs/>
        </w:rPr>
        <w:t>Información</w:t>
      </w:r>
      <w:r w:rsidR="00083A1D" w:rsidRPr="00695B2C">
        <w:rPr>
          <w:bCs/>
        </w:rPr>
        <w:t xml:space="preserve"> </w:t>
      </w:r>
      <w:r w:rsidRPr="00695B2C">
        <w:rPr>
          <w:bCs/>
        </w:rPr>
        <w:t>Pública</w:t>
      </w:r>
      <w:r w:rsidR="00083A1D" w:rsidRPr="00695B2C">
        <w:rPr>
          <w:bCs/>
        </w:rPr>
        <w:t xml:space="preserve"> </w:t>
      </w:r>
      <w:r w:rsidRPr="00695B2C">
        <w:rPr>
          <w:bCs/>
        </w:rPr>
        <w:t>del</w:t>
      </w:r>
      <w:r w:rsidR="00083A1D" w:rsidRPr="00695B2C">
        <w:rPr>
          <w:bCs/>
        </w:rPr>
        <w:t xml:space="preserve"> </w:t>
      </w:r>
      <w:r w:rsidRPr="00695B2C">
        <w:rPr>
          <w:bCs/>
        </w:rPr>
        <w:t>Estado</w:t>
      </w:r>
      <w:r w:rsidR="00083A1D" w:rsidRPr="00695B2C">
        <w:rPr>
          <w:bCs/>
        </w:rPr>
        <w:t xml:space="preserve"> </w:t>
      </w:r>
      <w:r w:rsidRPr="00695B2C">
        <w:rPr>
          <w:bCs/>
        </w:rPr>
        <w:t>de</w:t>
      </w:r>
      <w:r w:rsidR="00083A1D" w:rsidRPr="00695B2C">
        <w:rPr>
          <w:bCs/>
        </w:rPr>
        <w:t xml:space="preserve"> </w:t>
      </w:r>
      <w:r w:rsidRPr="00695B2C">
        <w:rPr>
          <w:bCs/>
        </w:rPr>
        <w:t>México</w:t>
      </w:r>
      <w:r w:rsidR="00083A1D" w:rsidRPr="00695B2C">
        <w:rPr>
          <w:bCs/>
        </w:rPr>
        <w:t xml:space="preserve"> </w:t>
      </w:r>
      <w:r w:rsidRPr="00695B2C">
        <w:rPr>
          <w:bCs/>
        </w:rPr>
        <w:t>y</w:t>
      </w:r>
      <w:r w:rsidR="00083A1D" w:rsidRPr="00695B2C">
        <w:rPr>
          <w:bCs/>
        </w:rPr>
        <w:t xml:space="preserve"> </w:t>
      </w:r>
      <w:r w:rsidRPr="00695B2C">
        <w:rPr>
          <w:bCs/>
        </w:rPr>
        <w:t>Municipios.</w:t>
      </w:r>
    </w:p>
    <w:p w14:paraId="695A4473" w14:textId="77777777" w:rsidR="00177EE1" w:rsidRPr="00695B2C" w:rsidRDefault="00177EE1" w:rsidP="006461DA">
      <w:pPr>
        <w:spacing w:after="0" w:line="360" w:lineRule="auto"/>
        <w:rPr>
          <w:bCs/>
        </w:rPr>
      </w:pPr>
    </w:p>
    <w:p w14:paraId="4700D1DC" w14:textId="4041681C" w:rsidR="00177EE1" w:rsidRPr="00695B2C" w:rsidRDefault="00177EE1" w:rsidP="006461DA">
      <w:pPr>
        <w:spacing w:after="0" w:line="360" w:lineRule="auto"/>
        <w:rPr>
          <w:bCs/>
          <w:lang w:val="es-ES_tradnl"/>
        </w:rPr>
      </w:pPr>
      <w:r w:rsidRPr="00695B2C">
        <w:rPr>
          <w:b/>
          <w:bCs/>
        </w:rPr>
        <w:t>b)</w:t>
      </w:r>
      <w:r w:rsidR="00083A1D" w:rsidRPr="00695B2C">
        <w:rPr>
          <w:b/>
          <w:bCs/>
        </w:rPr>
        <w:t xml:space="preserve"> </w:t>
      </w:r>
      <w:r w:rsidRPr="00695B2C">
        <w:rPr>
          <w:b/>
          <w:bCs/>
        </w:rPr>
        <w:t>Admisión</w:t>
      </w:r>
      <w:r w:rsidR="00083A1D" w:rsidRPr="00695B2C">
        <w:rPr>
          <w:b/>
          <w:bCs/>
        </w:rPr>
        <w:t xml:space="preserve"> </w:t>
      </w:r>
      <w:r w:rsidRPr="00695B2C">
        <w:rPr>
          <w:b/>
          <w:bCs/>
        </w:rPr>
        <w:t>del</w:t>
      </w:r>
      <w:r w:rsidR="00083A1D" w:rsidRPr="00695B2C">
        <w:rPr>
          <w:b/>
          <w:bCs/>
        </w:rPr>
        <w:t xml:space="preserve"> </w:t>
      </w:r>
      <w:r w:rsidRPr="00695B2C">
        <w:rPr>
          <w:b/>
          <w:bCs/>
        </w:rPr>
        <w:t>Recurso</w:t>
      </w:r>
      <w:r w:rsidR="00083A1D" w:rsidRPr="00695B2C">
        <w:rPr>
          <w:b/>
          <w:bCs/>
        </w:rPr>
        <w:t xml:space="preserve"> </w:t>
      </w:r>
      <w:r w:rsidRPr="00695B2C">
        <w:rPr>
          <w:b/>
          <w:bCs/>
        </w:rPr>
        <w:t>de</w:t>
      </w:r>
      <w:r w:rsidR="00083A1D" w:rsidRPr="00695B2C">
        <w:rPr>
          <w:b/>
          <w:bCs/>
        </w:rPr>
        <w:t xml:space="preserve"> </w:t>
      </w:r>
      <w:r w:rsidRPr="00695B2C">
        <w:rPr>
          <w:b/>
          <w:bCs/>
        </w:rPr>
        <w:t>Revisión</w:t>
      </w:r>
      <w:r w:rsidRPr="00695B2C">
        <w:rPr>
          <w:b/>
          <w:bCs/>
          <w:lang w:val="es-ES_tradnl"/>
        </w:rPr>
        <w:t>.</w:t>
      </w:r>
      <w:r w:rsidR="00083A1D" w:rsidRPr="00695B2C">
        <w:rPr>
          <w:b/>
          <w:bCs/>
          <w:lang w:val="es-ES_tradnl"/>
        </w:rPr>
        <w:t xml:space="preserve"> </w:t>
      </w:r>
      <w:r w:rsidR="00031EC8" w:rsidRPr="00695B2C">
        <w:rPr>
          <w:bCs/>
          <w:lang w:val="es-ES_tradnl"/>
        </w:rPr>
        <w:t xml:space="preserve">Mediante acuerdo de </w:t>
      </w:r>
      <w:r w:rsidR="00C95584" w:rsidRPr="00695B2C">
        <w:rPr>
          <w:bCs/>
          <w:lang w:val="es-ES_tradnl"/>
        </w:rPr>
        <w:t>veinticuatro de febrero d</w:t>
      </w:r>
      <w:r w:rsidR="00031EC8" w:rsidRPr="00695B2C">
        <w:rPr>
          <w:bCs/>
          <w:lang w:val="es-ES_tradnl"/>
        </w:rPr>
        <w:t>el dos mil veinti</w:t>
      </w:r>
      <w:r w:rsidR="0080433B" w:rsidRPr="00695B2C">
        <w:rPr>
          <w:bCs/>
          <w:lang w:val="es-ES_tradnl"/>
        </w:rPr>
        <w:t>dós</w:t>
      </w:r>
      <w:r w:rsidR="00966DF6" w:rsidRPr="00695B2C">
        <w:rPr>
          <w:bCs/>
          <w:lang w:val="es-ES_tradnl"/>
        </w:rPr>
        <w:t xml:space="preserve">, notificado </w:t>
      </w:r>
      <w:r w:rsidR="00C95584" w:rsidRPr="00695B2C">
        <w:rPr>
          <w:bCs/>
          <w:lang w:val="es-ES_tradnl"/>
        </w:rPr>
        <w:t>el veintiocho de febrero de la misma anualidad</w:t>
      </w:r>
      <w:r w:rsidR="007E6A4F" w:rsidRPr="00695B2C">
        <w:rPr>
          <w:bCs/>
          <w:lang w:val="es-ES_tradnl"/>
        </w:rPr>
        <w:t xml:space="preserve">, </w:t>
      </w:r>
      <w:r w:rsidRPr="00695B2C">
        <w:rPr>
          <w:bCs/>
          <w:lang w:val="es-ES_tradnl"/>
        </w:rPr>
        <w:t>se</w:t>
      </w:r>
      <w:r w:rsidR="00083A1D" w:rsidRPr="00695B2C">
        <w:rPr>
          <w:bCs/>
          <w:lang w:val="es-ES_tradnl"/>
        </w:rPr>
        <w:t xml:space="preserve"> </w:t>
      </w:r>
      <w:r w:rsidRPr="00695B2C">
        <w:rPr>
          <w:bCs/>
          <w:lang w:val="es-ES_tradnl"/>
        </w:rPr>
        <w:t>acordó</w:t>
      </w:r>
      <w:r w:rsidR="00083A1D" w:rsidRPr="00695B2C">
        <w:rPr>
          <w:bCs/>
          <w:lang w:val="es-ES_tradnl"/>
        </w:rPr>
        <w:t xml:space="preserve"> </w:t>
      </w:r>
      <w:r w:rsidRPr="00695B2C">
        <w:rPr>
          <w:bCs/>
          <w:lang w:val="es-ES_tradnl"/>
        </w:rPr>
        <w:t>la</w:t>
      </w:r>
      <w:r w:rsidR="00083A1D" w:rsidRPr="00695B2C">
        <w:rPr>
          <w:bCs/>
          <w:lang w:val="es-ES_tradnl"/>
        </w:rPr>
        <w:t xml:space="preserve"> </w:t>
      </w:r>
      <w:r w:rsidRPr="00695B2C">
        <w:rPr>
          <w:bCs/>
          <w:lang w:val="es-ES_tradnl"/>
        </w:rPr>
        <w:t>admisión</w:t>
      </w:r>
      <w:r w:rsidR="00083A1D" w:rsidRPr="00695B2C">
        <w:rPr>
          <w:bCs/>
          <w:lang w:val="es-ES_tradnl"/>
        </w:rPr>
        <w:t xml:space="preserve"> </w:t>
      </w:r>
      <w:r w:rsidRPr="00695B2C">
        <w:rPr>
          <w:bCs/>
          <w:lang w:val="es-ES_tradnl"/>
        </w:rPr>
        <w:t>del</w:t>
      </w:r>
      <w:r w:rsidR="00083A1D" w:rsidRPr="00695B2C">
        <w:rPr>
          <w:bCs/>
          <w:lang w:val="es-ES_tradnl"/>
        </w:rPr>
        <w:t xml:space="preserve"> </w:t>
      </w:r>
      <w:r w:rsidRPr="00695B2C">
        <w:rPr>
          <w:bCs/>
          <w:lang w:val="es-ES_tradnl"/>
        </w:rPr>
        <w:t>Recurso</w:t>
      </w:r>
      <w:r w:rsidR="00083A1D" w:rsidRPr="00695B2C">
        <w:rPr>
          <w:bCs/>
          <w:lang w:val="es-ES_tradnl"/>
        </w:rPr>
        <w:t xml:space="preserve"> </w:t>
      </w:r>
      <w:r w:rsidRPr="00695B2C">
        <w:rPr>
          <w:bCs/>
          <w:lang w:val="es-ES_tradnl"/>
        </w:rPr>
        <w:t>de</w:t>
      </w:r>
      <w:r w:rsidR="00083A1D" w:rsidRPr="00695B2C">
        <w:rPr>
          <w:bCs/>
          <w:lang w:val="es-ES_tradnl"/>
        </w:rPr>
        <w:t xml:space="preserve"> </w:t>
      </w:r>
      <w:r w:rsidRPr="00695B2C">
        <w:rPr>
          <w:bCs/>
          <w:lang w:val="es-ES_tradnl"/>
        </w:rPr>
        <w:t>Revisión</w:t>
      </w:r>
      <w:r w:rsidR="00083A1D" w:rsidRPr="00695B2C">
        <w:rPr>
          <w:bCs/>
          <w:lang w:val="es-ES_tradnl"/>
        </w:rPr>
        <w:t xml:space="preserve"> </w:t>
      </w:r>
      <w:r w:rsidRPr="00695B2C">
        <w:rPr>
          <w:bCs/>
          <w:lang w:val="es-ES_tradnl"/>
        </w:rPr>
        <w:t>interpuesto</w:t>
      </w:r>
      <w:r w:rsidR="00083A1D" w:rsidRPr="00695B2C">
        <w:rPr>
          <w:bCs/>
          <w:lang w:val="es-ES_tradnl"/>
        </w:rPr>
        <w:t xml:space="preserve"> </w:t>
      </w:r>
      <w:r w:rsidRPr="00695B2C">
        <w:rPr>
          <w:bCs/>
          <w:lang w:val="es-ES_tradnl"/>
        </w:rPr>
        <w:t>por</w:t>
      </w:r>
      <w:r w:rsidR="00083A1D" w:rsidRPr="00695B2C">
        <w:rPr>
          <w:bCs/>
          <w:lang w:val="es-ES_tradnl"/>
        </w:rPr>
        <w:t xml:space="preserve"> </w:t>
      </w:r>
      <w:r w:rsidRPr="00695B2C">
        <w:rPr>
          <w:bCs/>
          <w:lang w:val="es-ES_tradnl"/>
        </w:rPr>
        <w:t>el</w:t>
      </w:r>
      <w:r w:rsidR="00083A1D" w:rsidRPr="00695B2C">
        <w:rPr>
          <w:bCs/>
          <w:lang w:val="es-ES_tradnl"/>
        </w:rPr>
        <w:t xml:space="preserve"> </w:t>
      </w:r>
      <w:r w:rsidRPr="00695B2C">
        <w:rPr>
          <w:bCs/>
          <w:lang w:val="es-ES_tradnl"/>
        </w:rPr>
        <w:t>Recurrente</w:t>
      </w:r>
      <w:r w:rsidR="00083A1D" w:rsidRPr="00695B2C">
        <w:rPr>
          <w:bCs/>
          <w:lang w:val="es-ES_tradnl"/>
        </w:rPr>
        <w:t xml:space="preserve"> </w:t>
      </w:r>
      <w:r w:rsidRPr="00695B2C">
        <w:rPr>
          <w:bCs/>
          <w:lang w:val="es-ES_tradnl"/>
        </w:rPr>
        <w:t>en</w:t>
      </w:r>
      <w:r w:rsidR="00083A1D" w:rsidRPr="00695B2C">
        <w:rPr>
          <w:bCs/>
          <w:lang w:val="es-ES_tradnl"/>
        </w:rPr>
        <w:t xml:space="preserve"> </w:t>
      </w:r>
      <w:r w:rsidRPr="00695B2C">
        <w:rPr>
          <w:bCs/>
          <w:lang w:val="es-ES_tradnl"/>
        </w:rPr>
        <w:t>contra</w:t>
      </w:r>
      <w:r w:rsidR="00083A1D" w:rsidRPr="00695B2C">
        <w:rPr>
          <w:bCs/>
          <w:lang w:val="es-ES_tradnl"/>
        </w:rPr>
        <w:t xml:space="preserve"> </w:t>
      </w:r>
      <w:r w:rsidRPr="00695B2C">
        <w:rPr>
          <w:bCs/>
          <w:lang w:val="es-ES_tradnl"/>
        </w:rPr>
        <w:t>del</w:t>
      </w:r>
      <w:r w:rsidR="00083A1D" w:rsidRPr="00695B2C">
        <w:rPr>
          <w:bCs/>
          <w:lang w:val="es-ES_tradnl"/>
        </w:rPr>
        <w:t xml:space="preserve"> </w:t>
      </w:r>
      <w:r w:rsidRPr="00695B2C">
        <w:rPr>
          <w:bCs/>
          <w:lang w:val="es-ES_tradnl"/>
        </w:rPr>
        <w:t>Sujeto</w:t>
      </w:r>
      <w:r w:rsidR="00083A1D" w:rsidRPr="00695B2C">
        <w:rPr>
          <w:bCs/>
          <w:lang w:val="es-ES_tradnl"/>
        </w:rPr>
        <w:t xml:space="preserve"> </w:t>
      </w:r>
      <w:r w:rsidRPr="00695B2C">
        <w:rPr>
          <w:bCs/>
          <w:lang w:val="es-ES_tradnl"/>
        </w:rPr>
        <w:t>Obligado,</w:t>
      </w:r>
      <w:r w:rsidR="00083A1D" w:rsidRPr="00695B2C">
        <w:rPr>
          <w:bCs/>
          <w:lang w:val="es-ES_tradnl"/>
        </w:rPr>
        <w:t xml:space="preserve"> </w:t>
      </w:r>
      <w:r w:rsidRPr="00695B2C">
        <w:rPr>
          <w:bCs/>
          <w:lang w:val="es-ES_tradnl"/>
        </w:rPr>
        <w:t>en</w:t>
      </w:r>
      <w:r w:rsidR="00083A1D" w:rsidRPr="00695B2C">
        <w:rPr>
          <w:bCs/>
          <w:lang w:val="es-ES_tradnl"/>
        </w:rPr>
        <w:t xml:space="preserve"> </w:t>
      </w:r>
      <w:r w:rsidRPr="00695B2C">
        <w:rPr>
          <w:bCs/>
          <w:lang w:val="es-ES_tradnl"/>
        </w:rPr>
        <w:t>términos</w:t>
      </w:r>
      <w:r w:rsidR="00083A1D" w:rsidRPr="00695B2C">
        <w:rPr>
          <w:bCs/>
          <w:lang w:val="es-ES_tradnl"/>
        </w:rPr>
        <w:t xml:space="preserve"> </w:t>
      </w:r>
      <w:r w:rsidRPr="00695B2C">
        <w:rPr>
          <w:bCs/>
          <w:lang w:val="es-ES_tradnl"/>
        </w:rPr>
        <w:t>del</w:t>
      </w:r>
      <w:r w:rsidR="00083A1D" w:rsidRPr="00695B2C">
        <w:rPr>
          <w:bCs/>
          <w:lang w:val="es-ES_tradnl"/>
        </w:rPr>
        <w:t xml:space="preserve"> </w:t>
      </w:r>
      <w:r w:rsidRPr="00695B2C">
        <w:rPr>
          <w:bCs/>
          <w:lang w:val="es-ES_tradnl"/>
        </w:rPr>
        <w:t>artículo</w:t>
      </w:r>
      <w:r w:rsidR="00083A1D" w:rsidRPr="00695B2C">
        <w:rPr>
          <w:bCs/>
          <w:lang w:val="es-ES_tradnl"/>
        </w:rPr>
        <w:t xml:space="preserve"> </w:t>
      </w:r>
      <w:r w:rsidRPr="00695B2C">
        <w:rPr>
          <w:bCs/>
          <w:lang w:val="es-ES_tradnl"/>
        </w:rPr>
        <w:t>185,</w:t>
      </w:r>
      <w:r w:rsidR="00083A1D" w:rsidRPr="00695B2C">
        <w:rPr>
          <w:bCs/>
          <w:lang w:val="es-ES_tradnl"/>
        </w:rPr>
        <w:t xml:space="preserve"> </w:t>
      </w:r>
      <w:r w:rsidRPr="00695B2C">
        <w:rPr>
          <w:bCs/>
          <w:lang w:val="es-ES_tradnl"/>
        </w:rPr>
        <w:t>fracciones</w:t>
      </w:r>
      <w:r w:rsidR="00083A1D" w:rsidRPr="00695B2C">
        <w:rPr>
          <w:bCs/>
          <w:lang w:val="es-ES_tradnl"/>
        </w:rPr>
        <w:t xml:space="preserve"> </w:t>
      </w:r>
      <w:r w:rsidRPr="00695B2C">
        <w:rPr>
          <w:bCs/>
          <w:lang w:val="es-ES_tradnl"/>
        </w:rPr>
        <w:t>I</w:t>
      </w:r>
      <w:r w:rsidR="00083A1D" w:rsidRPr="00695B2C">
        <w:rPr>
          <w:bCs/>
          <w:lang w:val="es-ES_tradnl"/>
        </w:rPr>
        <w:t xml:space="preserve"> </w:t>
      </w:r>
      <w:r w:rsidRPr="00695B2C">
        <w:rPr>
          <w:bCs/>
          <w:lang w:val="es-ES_tradnl"/>
        </w:rPr>
        <w:t>y</w:t>
      </w:r>
      <w:r w:rsidR="00083A1D" w:rsidRPr="00695B2C">
        <w:rPr>
          <w:bCs/>
          <w:lang w:val="es-ES_tradnl"/>
        </w:rPr>
        <w:t xml:space="preserve"> </w:t>
      </w:r>
      <w:r w:rsidRPr="00695B2C">
        <w:rPr>
          <w:bCs/>
          <w:lang w:val="es-ES_tradnl"/>
        </w:rPr>
        <w:t>II</w:t>
      </w:r>
      <w:r w:rsidR="00083A1D" w:rsidRPr="00695B2C">
        <w:rPr>
          <w:bCs/>
          <w:lang w:val="es-ES_tradnl"/>
        </w:rPr>
        <w:t xml:space="preserve"> </w:t>
      </w:r>
      <w:r w:rsidRPr="00695B2C">
        <w:rPr>
          <w:bCs/>
          <w:lang w:val="es-ES_tradnl"/>
        </w:rPr>
        <w:t>de</w:t>
      </w:r>
      <w:r w:rsidR="00083A1D" w:rsidRPr="00695B2C">
        <w:rPr>
          <w:bCs/>
          <w:lang w:val="es-ES_tradnl"/>
        </w:rPr>
        <w:t xml:space="preserve"> </w:t>
      </w:r>
      <w:r w:rsidRPr="00695B2C">
        <w:rPr>
          <w:bCs/>
          <w:lang w:val="es-ES_tradnl"/>
        </w:rPr>
        <w:t>la</w:t>
      </w:r>
      <w:r w:rsidR="00083A1D" w:rsidRPr="00695B2C">
        <w:rPr>
          <w:bCs/>
          <w:lang w:val="es-ES_tradnl"/>
        </w:rPr>
        <w:t xml:space="preserve"> </w:t>
      </w:r>
      <w:r w:rsidRPr="00695B2C">
        <w:rPr>
          <w:bCs/>
          <w:lang w:val="es-ES_tradnl"/>
        </w:rPr>
        <w:t>Ley</w:t>
      </w:r>
      <w:r w:rsidR="00083A1D" w:rsidRPr="00695B2C">
        <w:rPr>
          <w:bCs/>
          <w:lang w:val="es-ES_tradnl"/>
        </w:rPr>
        <w:t xml:space="preserve"> </w:t>
      </w:r>
      <w:r w:rsidRPr="00695B2C">
        <w:rPr>
          <w:bCs/>
          <w:lang w:val="es-ES_tradnl"/>
        </w:rPr>
        <w:t>de</w:t>
      </w:r>
      <w:r w:rsidR="00083A1D" w:rsidRPr="00695B2C">
        <w:rPr>
          <w:bCs/>
          <w:lang w:val="es-ES_tradnl"/>
        </w:rPr>
        <w:t xml:space="preserve"> </w:t>
      </w:r>
      <w:r w:rsidRPr="00695B2C">
        <w:rPr>
          <w:bCs/>
          <w:lang w:val="es-ES_tradnl"/>
        </w:rPr>
        <w:t>Transparencia</w:t>
      </w:r>
      <w:r w:rsidR="00083A1D" w:rsidRPr="00695B2C">
        <w:rPr>
          <w:bCs/>
          <w:lang w:val="es-ES_tradnl"/>
        </w:rPr>
        <w:t xml:space="preserve"> </w:t>
      </w:r>
      <w:r w:rsidRPr="00695B2C">
        <w:rPr>
          <w:bCs/>
          <w:lang w:val="es-ES_tradnl"/>
        </w:rPr>
        <w:t>y</w:t>
      </w:r>
      <w:r w:rsidR="00083A1D" w:rsidRPr="00695B2C">
        <w:rPr>
          <w:bCs/>
          <w:lang w:val="es-ES_tradnl"/>
        </w:rPr>
        <w:t xml:space="preserve"> </w:t>
      </w:r>
      <w:r w:rsidRPr="00695B2C">
        <w:rPr>
          <w:bCs/>
          <w:lang w:val="es-ES_tradnl"/>
        </w:rPr>
        <w:t>Acceso</w:t>
      </w:r>
      <w:r w:rsidR="00083A1D" w:rsidRPr="00695B2C">
        <w:rPr>
          <w:bCs/>
          <w:lang w:val="es-ES_tradnl"/>
        </w:rPr>
        <w:t xml:space="preserve"> </w:t>
      </w:r>
      <w:r w:rsidRPr="00695B2C">
        <w:rPr>
          <w:bCs/>
          <w:lang w:val="es-ES_tradnl"/>
        </w:rPr>
        <w:t>a</w:t>
      </w:r>
      <w:r w:rsidR="00083A1D" w:rsidRPr="00695B2C">
        <w:rPr>
          <w:bCs/>
          <w:lang w:val="es-ES_tradnl"/>
        </w:rPr>
        <w:t xml:space="preserve"> </w:t>
      </w:r>
      <w:r w:rsidRPr="00695B2C">
        <w:rPr>
          <w:bCs/>
          <w:lang w:val="es-ES_tradnl"/>
        </w:rPr>
        <w:t>la</w:t>
      </w:r>
      <w:r w:rsidR="00083A1D" w:rsidRPr="00695B2C">
        <w:rPr>
          <w:bCs/>
          <w:lang w:val="es-ES_tradnl"/>
        </w:rPr>
        <w:t xml:space="preserve"> </w:t>
      </w:r>
      <w:r w:rsidRPr="00695B2C">
        <w:rPr>
          <w:bCs/>
          <w:lang w:val="es-ES_tradnl"/>
        </w:rPr>
        <w:t>Información</w:t>
      </w:r>
      <w:r w:rsidR="00083A1D" w:rsidRPr="00695B2C">
        <w:rPr>
          <w:bCs/>
          <w:lang w:val="es-ES_tradnl"/>
        </w:rPr>
        <w:t xml:space="preserve"> </w:t>
      </w:r>
      <w:r w:rsidRPr="00695B2C">
        <w:rPr>
          <w:bCs/>
          <w:lang w:val="es-ES_tradnl"/>
        </w:rPr>
        <w:lastRenderedPageBreak/>
        <w:t>Pública</w:t>
      </w:r>
      <w:r w:rsidR="00083A1D" w:rsidRPr="00695B2C">
        <w:rPr>
          <w:bCs/>
          <w:lang w:val="es-ES_tradnl"/>
        </w:rPr>
        <w:t xml:space="preserve"> </w:t>
      </w:r>
      <w:r w:rsidRPr="00695B2C">
        <w:rPr>
          <w:bCs/>
          <w:lang w:val="es-ES_tradnl"/>
        </w:rPr>
        <w:t>del</w:t>
      </w:r>
      <w:r w:rsidR="00083A1D" w:rsidRPr="00695B2C">
        <w:rPr>
          <w:bCs/>
          <w:lang w:val="es-ES_tradnl"/>
        </w:rPr>
        <w:t xml:space="preserve"> </w:t>
      </w:r>
      <w:r w:rsidRPr="00695B2C">
        <w:rPr>
          <w:bCs/>
          <w:lang w:val="es-ES_tradnl"/>
        </w:rPr>
        <w:t>Estado</w:t>
      </w:r>
      <w:r w:rsidR="00083A1D" w:rsidRPr="00695B2C">
        <w:rPr>
          <w:bCs/>
          <w:lang w:val="es-ES_tradnl"/>
        </w:rPr>
        <w:t xml:space="preserve"> </w:t>
      </w:r>
      <w:r w:rsidRPr="00695B2C">
        <w:rPr>
          <w:bCs/>
          <w:lang w:val="es-ES_tradnl"/>
        </w:rPr>
        <w:t>de</w:t>
      </w:r>
      <w:r w:rsidR="00083A1D" w:rsidRPr="00695B2C">
        <w:rPr>
          <w:bCs/>
          <w:lang w:val="es-ES_tradnl"/>
        </w:rPr>
        <w:t xml:space="preserve"> </w:t>
      </w:r>
      <w:r w:rsidRPr="00695B2C">
        <w:rPr>
          <w:bCs/>
          <w:lang w:val="es-ES_tradnl"/>
        </w:rPr>
        <w:t>México</w:t>
      </w:r>
      <w:r w:rsidR="00083A1D" w:rsidRPr="00695B2C">
        <w:rPr>
          <w:bCs/>
          <w:lang w:val="es-ES_tradnl"/>
        </w:rPr>
        <w:t xml:space="preserve"> </w:t>
      </w:r>
      <w:r w:rsidRPr="00695B2C">
        <w:rPr>
          <w:bCs/>
          <w:lang w:val="es-ES_tradnl"/>
        </w:rPr>
        <w:t>y</w:t>
      </w:r>
      <w:r w:rsidR="00083A1D" w:rsidRPr="00695B2C">
        <w:rPr>
          <w:bCs/>
          <w:lang w:val="es-ES_tradnl"/>
        </w:rPr>
        <w:t xml:space="preserve"> </w:t>
      </w:r>
      <w:r w:rsidRPr="00695B2C">
        <w:rPr>
          <w:bCs/>
          <w:lang w:val="es-ES_tradnl"/>
        </w:rPr>
        <w:t>Municipios,</w:t>
      </w:r>
      <w:r w:rsidR="00083A1D" w:rsidRPr="00695B2C">
        <w:rPr>
          <w:bCs/>
          <w:lang w:val="es-ES_tradnl"/>
        </w:rPr>
        <w:t xml:space="preserve"> </w:t>
      </w:r>
      <w:r w:rsidRPr="00695B2C">
        <w:rPr>
          <w:bCs/>
          <w:lang w:val="es-ES_tradnl"/>
        </w:rPr>
        <w:t>el</w:t>
      </w:r>
      <w:r w:rsidR="00083A1D" w:rsidRPr="00695B2C">
        <w:rPr>
          <w:bCs/>
          <w:lang w:val="es-ES_tradnl"/>
        </w:rPr>
        <w:t xml:space="preserve"> </w:t>
      </w:r>
      <w:r w:rsidRPr="00695B2C">
        <w:rPr>
          <w:bCs/>
          <w:lang w:val="es-ES_tradnl"/>
        </w:rPr>
        <w:t>cual</w:t>
      </w:r>
      <w:r w:rsidR="00083A1D" w:rsidRPr="00695B2C">
        <w:rPr>
          <w:bCs/>
          <w:lang w:val="es-ES_tradnl"/>
        </w:rPr>
        <w:t xml:space="preserve"> </w:t>
      </w:r>
      <w:r w:rsidRPr="00695B2C">
        <w:rPr>
          <w:bCs/>
          <w:lang w:val="es-ES_tradnl"/>
        </w:rPr>
        <w:t>fue</w:t>
      </w:r>
      <w:r w:rsidR="00083A1D" w:rsidRPr="00695B2C">
        <w:rPr>
          <w:bCs/>
          <w:lang w:val="es-ES_tradnl"/>
        </w:rPr>
        <w:t xml:space="preserve"> </w:t>
      </w:r>
      <w:r w:rsidRPr="00695B2C">
        <w:rPr>
          <w:bCs/>
          <w:lang w:val="es-ES_tradnl"/>
        </w:rPr>
        <w:t>notificado</w:t>
      </w:r>
      <w:r w:rsidR="00083A1D" w:rsidRPr="00695B2C">
        <w:rPr>
          <w:bCs/>
          <w:lang w:val="es-ES_tradnl"/>
        </w:rPr>
        <w:t xml:space="preserve"> </w:t>
      </w:r>
      <w:r w:rsidRPr="00695B2C">
        <w:rPr>
          <w:bCs/>
          <w:lang w:val="es-ES_tradnl"/>
        </w:rPr>
        <w:t>a</w:t>
      </w:r>
      <w:r w:rsidR="00083A1D" w:rsidRPr="00695B2C">
        <w:rPr>
          <w:bCs/>
          <w:lang w:val="es-ES_tradnl"/>
        </w:rPr>
        <w:t xml:space="preserve"> </w:t>
      </w:r>
      <w:r w:rsidRPr="00695B2C">
        <w:rPr>
          <w:bCs/>
          <w:lang w:val="es-ES_tradnl"/>
        </w:rPr>
        <w:t>las</w:t>
      </w:r>
      <w:r w:rsidR="00083A1D" w:rsidRPr="00695B2C">
        <w:rPr>
          <w:bCs/>
          <w:lang w:val="es-ES_tradnl"/>
        </w:rPr>
        <w:t xml:space="preserve"> </w:t>
      </w:r>
      <w:r w:rsidRPr="00695B2C">
        <w:rPr>
          <w:bCs/>
          <w:lang w:val="es-ES_tradnl"/>
        </w:rPr>
        <w:t>partes</w:t>
      </w:r>
      <w:r w:rsidR="00083A1D" w:rsidRPr="00695B2C">
        <w:rPr>
          <w:bCs/>
          <w:lang w:val="es-ES_tradnl"/>
        </w:rPr>
        <w:t xml:space="preserve"> </w:t>
      </w:r>
      <w:r w:rsidRPr="00695B2C">
        <w:rPr>
          <w:bCs/>
          <w:lang w:val="es-ES_tradnl"/>
        </w:rPr>
        <w:t>el</w:t>
      </w:r>
      <w:r w:rsidR="00083A1D" w:rsidRPr="00695B2C">
        <w:rPr>
          <w:bCs/>
          <w:lang w:val="es-ES_tradnl"/>
        </w:rPr>
        <w:t xml:space="preserve"> </w:t>
      </w:r>
      <w:r w:rsidRPr="00695B2C">
        <w:rPr>
          <w:bCs/>
          <w:lang w:val="es-ES_tradnl"/>
        </w:rPr>
        <w:t>mismo</w:t>
      </w:r>
      <w:r w:rsidR="00083A1D" w:rsidRPr="00695B2C">
        <w:rPr>
          <w:bCs/>
          <w:lang w:val="es-ES_tradnl"/>
        </w:rPr>
        <w:t xml:space="preserve"> </w:t>
      </w:r>
      <w:r w:rsidRPr="00695B2C">
        <w:rPr>
          <w:bCs/>
          <w:lang w:val="es-ES_tradnl"/>
        </w:rPr>
        <w:t>día,</w:t>
      </w:r>
      <w:r w:rsidR="00083A1D" w:rsidRPr="00695B2C">
        <w:rPr>
          <w:bCs/>
          <w:lang w:val="es-ES_tradnl"/>
        </w:rPr>
        <w:t xml:space="preserve"> </w:t>
      </w:r>
      <w:r w:rsidRPr="00695B2C">
        <w:rPr>
          <w:bCs/>
          <w:lang w:val="es-ES_tradnl"/>
        </w:rPr>
        <w:t>a</w:t>
      </w:r>
      <w:r w:rsidR="00083A1D" w:rsidRPr="00695B2C">
        <w:rPr>
          <w:bCs/>
          <w:lang w:val="es-ES_tradnl"/>
        </w:rPr>
        <w:t xml:space="preserve"> </w:t>
      </w:r>
      <w:r w:rsidRPr="00695B2C">
        <w:rPr>
          <w:bCs/>
          <w:lang w:val="es-ES_tradnl"/>
        </w:rPr>
        <w:t>través</w:t>
      </w:r>
      <w:r w:rsidR="00083A1D" w:rsidRPr="00695B2C">
        <w:rPr>
          <w:bCs/>
          <w:lang w:val="es-ES_tradnl"/>
        </w:rPr>
        <w:t xml:space="preserve"> </w:t>
      </w:r>
      <w:r w:rsidRPr="00695B2C">
        <w:rPr>
          <w:bCs/>
          <w:lang w:val="es-ES_tradnl"/>
        </w:rPr>
        <w:t>del</w:t>
      </w:r>
      <w:r w:rsidR="00083A1D" w:rsidRPr="00695B2C">
        <w:rPr>
          <w:bCs/>
          <w:lang w:val="es-ES_tradnl"/>
        </w:rPr>
        <w:t xml:space="preserve"> </w:t>
      </w:r>
      <w:r w:rsidRPr="00695B2C">
        <w:rPr>
          <w:bCs/>
          <w:lang w:val="es-ES_tradnl"/>
        </w:rPr>
        <w:t>Sistema</w:t>
      </w:r>
      <w:r w:rsidR="00083A1D" w:rsidRPr="00695B2C">
        <w:rPr>
          <w:bCs/>
          <w:lang w:val="es-ES_tradnl"/>
        </w:rPr>
        <w:t xml:space="preserve"> </w:t>
      </w:r>
      <w:r w:rsidRPr="00695B2C">
        <w:rPr>
          <w:bCs/>
          <w:lang w:val="es-ES_tradnl"/>
        </w:rPr>
        <w:t>de</w:t>
      </w:r>
      <w:r w:rsidR="00083A1D" w:rsidRPr="00695B2C">
        <w:rPr>
          <w:bCs/>
          <w:lang w:val="es-ES_tradnl"/>
        </w:rPr>
        <w:t xml:space="preserve"> </w:t>
      </w:r>
      <w:r w:rsidRPr="00695B2C">
        <w:rPr>
          <w:bCs/>
          <w:lang w:val="es-ES_tradnl"/>
        </w:rPr>
        <w:t>Acceso</w:t>
      </w:r>
      <w:r w:rsidR="00083A1D" w:rsidRPr="00695B2C">
        <w:rPr>
          <w:bCs/>
          <w:lang w:val="es-ES_tradnl"/>
        </w:rPr>
        <w:t xml:space="preserve"> </w:t>
      </w:r>
      <w:r w:rsidRPr="00695B2C">
        <w:rPr>
          <w:bCs/>
          <w:lang w:val="es-ES_tradnl"/>
        </w:rPr>
        <w:t>a</w:t>
      </w:r>
      <w:r w:rsidR="00083A1D" w:rsidRPr="00695B2C">
        <w:rPr>
          <w:bCs/>
          <w:lang w:val="es-ES_tradnl"/>
        </w:rPr>
        <w:t xml:space="preserve"> </w:t>
      </w:r>
      <w:r w:rsidRPr="00695B2C">
        <w:rPr>
          <w:bCs/>
          <w:lang w:val="es-ES_tradnl"/>
        </w:rPr>
        <w:t>la</w:t>
      </w:r>
      <w:r w:rsidR="00083A1D" w:rsidRPr="00695B2C">
        <w:rPr>
          <w:bCs/>
          <w:lang w:val="es-ES_tradnl"/>
        </w:rPr>
        <w:t xml:space="preserve"> </w:t>
      </w:r>
      <w:r w:rsidRPr="00695B2C">
        <w:rPr>
          <w:bCs/>
          <w:lang w:val="es-ES_tradnl"/>
        </w:rPr>
        <w:t>Información</w:t>
      </w:r>
      <w:r w:rsidR="00083A1D" w:rsidRPr="00695B2C">
        <w:rPr>
          <w:bCs/>
          <w:lang w:val="es-ES_tradnl"/>
        </w:rPr>
        <w:t xml:space="preserve"> </w:t>
      </w:r>
      <w:r w:rsidRPr="00695B2C">
        <w:rPr>
          <w:bCs/>
          <w:lang w:val="es-ES_tradnl"/>
        </w:rPr>
        <w:t>Mexiquense</w:t>
      </w:r>
      <w:r w:rsidR="00083A1D" w:rsidRPr="00695B2C">
        <w:rPr>
          <w:bCs/>
          <w:lang w:val="es-ES_tradnl"/>
        </w:rPr>
        <w:t xml:space="preserve"> </w:t>
      </w:r>
      <w:r w:rsidRPr="00695B2C">
        <w:rPr>
          <w:bCs/>
          <w:lang w:val="es-ES_tradnl"/>
        </w:rPr>
        <w:t>(SAIMEX),</w:t>
      </w:r>
      <w:r w:rsidR="00083A1D" w:rsidRPr="00695B2C">
        <w:rPr>
          <w:bCs/>
          <w:lang w:val="es-ES_tradnl"/>
        </w:rPr>
        <w:t xml:space="preserve"> </w:t>
      </w:r>
      <w:r w:rsidRPr="00695B2C">
        <w:rPr>
          <w:bCs/>
          <w:lang w:val="es-ES_tradnl"/>
        </w:rPr>
        <w:t>en</w:t>
      </w:r>
      <w:r w:rsidR="00083A1D" w:rsidRPr="00695B2C">
        <w:rPr>
          <w:bCs/>
          <w:lang w:val="es-ES_tradnl"/>
        </w:rPr>
        <w:t xml:space="preserve"> </w:t>
      </w:r>
      <w:r w:rsidRPr="00695B2C">
        <w:rPr>
          <w:bCs/>
          <w:lang w:val="es-ES_tradnl"/>
        </w:rPr>
        <w:t>el</w:t>
      </w:r>
      <w:r w:rsidR="00083A1D" w:rsidRPr="00695B2C">
        <w:rPr>
          <w:bCs/>
          <w:lang w:val="es-ES_tradnl"/>
        </w:rPr>
        <w:t xml:space="preserve"> </w:t>
      </w:r>
      <w:r w:rsidRPr="00695B2C">
        <w:rPr>
          <w:bCs/>
          <w:lang w:val="es-ES_tradnl"/>
        </w:rPr>
        <w:t>que</w:t>
      </w:r>
      <w:r w:rsidR="00083A1D" w:rsidRPr="00695B2C">
        <w:rPr>
          <w:bCs/>
          <w:lang w:val="es-ES_tradnl"/>
        </w:rPr>
        <w:t xml:space="preserve"> </w:t>
      </w:r>
      <w:r w:rsidRPr="00695B2C">
        <w:rPr>
          <w:bCs/>
          <w:lang w:val="es-ES_tradnl"/>
        </w:rPr>
        <w:t>se</w:t>
      </w:r>
      <w:r w:rsidR="00083A1D" w:rsidRPr="00695B2C">
        <w:rPr>
          <w:bCs/>
          <w:lang w:val="es-ES_tradnl"/>
        </w:rPr>
        <w:t xml:space="preserve"> </w:t>
      </w:r>
      <w:r w:rsidRPr="00695B2C">
        <w:rPr>
          <w:bCs/>
          <w:lang w:val="es-ES_tradnl"/>
        </w:rPr>
        <w:t>les</w:t>
      </w:r>
      <w:r w:rsidR="00083A1D" w:rsidRPr="00695B2C">
        <w:rPr>
          <w:bCs/>
          <w:lang w:val="es-ES_tradnl"/>
        </w:rPr>
        <w:t xml:space="preserve"> </w:t>
      </w:r>
      <w:r w:rsidRPr="00695B2C">
        <w:rPr>
          <w:bCs/>
          <w:lang w:val="es-ES_tradnl"/>
        </w:rPr>
        <w:t>otorgó</w:t>
      </w:r>
      <w:r w:rsidR="00083A1D" w:rsidRPr="00695B2C">
        <w:rPr>
          <w:bCs/>
          <w:lang w:val="es-ES_tradnl"/>
        </w:rPr>
        <w:t xml:space="preserve"> </w:t>
      </w:r>
      <w:r w:rsidRPr="00695B2C">
        <w:rPr>
          <w:bCs/>
          <w:lang w:val="es-ES_tradnl"/>
        </w:rPr>
        <w:t>un</w:t>
      </w:r>
      <w:r w:rsidR="00083A1D" w:rsidRPr="00695B2C">
        <w:rPr>
          <w:bCs/>
          <w:lang w:val="es-ES_tradnl"/>
        </w:rPr>
        <w:t xml:space="preserve"> </w:t>
      </w:r>
      <w:r w:rsidRPr="00695B2C">
        <w:rPr>
          <w:bCs/>
          <w:lang w:val="es-ES_tradnl"/>
        </w:rPr>
        <w:t>plazo</w:t>
      </w:r>
      <w:r w:rsidR="00083A1D" w:rsidRPr="00695B2C">
        <w:rPr>
          <w:bCs/>
          <w:lang w:val="es-ES_tradnl"/>
        </w:rPr>
        <w:t xml:space="preserve"> </w:t>
      </w:r>
      <w:r w:rsidRPr="00695B2C">
        <w:rPr>
          <w:bCs/>
          <w:lang w:val="es-ES_tradnl"/>
        </w:rPr>
        <w:t>de</w:t>
      </w:r>
      <w:r w:rsidR="00083A1D" w:rsidRPr="00695B2C">
        <w:rPr>
          <w:bCs/>
          <w:lang w:val="es-ES_tradnl"/>
        </w:rPr>
        <w:t xml:space="preserve"> </w:t>
      </w:r>
      <w:r w:rsidRPr="00695B2C">
        <w:rPr>
          <w:bCs/>
          <w:lang w:val="es-ES_tradnl"/>
        </w:rPr>
        <w:t>siete</w:t>
      </w:r>
      <w:r w:rsidR="00083A1D" w:rsidRPr="00695B2C">
        <w:rPr>
          <w:bCs/>
          <w:lang w:val="es-ES_tradnl"/>
        </w:rPr>
        <w:t xml:space="preserve"> </w:t>
      </w:r>
      <w:r w:rsidRPr="00695B2C">
        <w:rPr>
          <w:bCs/>
          <w:lang w:val="es-ES_tradnl"/>
        </w:rPr>
        <w:t>días</w:t>
      </w:r>
      <w:r w:rsidR="00083A1D" w:rsidRPr="00695B2C">
        <w:rPr>
          <w:bCs/>
          <w:lang w:val="es-ES_tradnl"/>
        </w:rPr>
        <w:t xml:space="preserve"> </w:t>
      </w:r>
      <w:r w:rsidRPr="00695B2C">
        <w:rPr>
          <w:bCs/>
          <w:lang w:val="es-ES_tradnl"/>
        </w:rPr>
        <w:t>hábiles</w:t>
      </w:r>
      <w:r w:rsidR="00083A1D" w:rsidRPr="00695B2C">
        <w:rPr>
          <w:bCs/>
          <w:lang w:val="es-ES_tradnl"/>
        </w:rPr>
        <w:t xml:space="preserve"> </w:t>
      </w:r>
      <w:r w:rsidRPr="00695B2C">
        <w:rPr>
          <w:bCs/>
          <w:lang w:val="es-ES_tradnl"/>
        </w:rPr>
        <w:t>posteriores</w:t>
      </w:r>
      <w:r w:rsidR="00083A1D" w:rsidRPr="00695B2C">
        <w:rPr>
          <w:bCs/>
          <w:lang w:val="es-ES_tradnl"/>
        </w:rPr>
        <w:t xml:space="preserve"> </w:t>
      </w:r>
      <w:r w:rsidRPr="00695B2C">
        <w:rPr>
          <w:bCs/>
          <w:lang w:val="es-ES_tradnl"/>
        </w:rPr>
        <w:t>a</w:t>
      </w:r>
      <w:r w:rsidR="00083A1D" w:rsidRPr="00695B2C">
        <w:rPr>
          <w:bCs/>
          <w:lang w:val="es-ES_tradnl"/>
        </w:rPr>
        <w:t xml:space="preserve"> </w:t>
      </w:r>
      <w:r w:rsidRPr="00695B2C">
        <w:rPr>
          <w:bCs/>
          <w:lang w:val="es-ES_tradnl"/>
        </w:rPr>
        <w:t>la</w:t>
      </w:r>
      <w:r w:rsidR="00083A1D" w:rsidRPr="00695B2C">
        <w:rPr>
          <w:bCs/>
          <w:lang w:val="es-ES_tradnl"/>
        </w:rPr>
        <w:t xml:space="preserve"> </w:t>
      </w:r>
      <w:r w:rsidRPr="00695B2C">
        <w:rPr>
          <w:bCs/>
          <w:lang w:val="es-ES_tradnl"/>
        </w:rPr>
        <w:t>misma,</w:t>
      </w:r>
      <w:r w:rsidR="00083A1D" w:rsidRPr="00695B2C">
        <w:rPr>
          <w:bCs/>
          <w:lang w:val="es-ES_tradnl"/>
        </w:rPr>
        <w:t xml:space="preserve"> </w:t>
      </w:r>
      <w:r w:rsidRPr="00695B2C">
        <w:rPr>
          <w:bCs/>
          <w:lang w:val="es-ES_tradnl"/>
        </w:rPr>
        <w:t>para</w:t>
      </w:r>
      <w:r w:rsidR="00083A1D" w:rsidRPr="00695B2C">
        <w:rPr>
          <w:bCs/>
          <w:lang w:val="es-ES_tradnl"/>
        </w:rPr>
        <w:t xml:space="preserve"> </w:t>
      </w:r>
      <w:r w:rsidRPr="00695B2C">
        <w:rPr>
          <w:bCs/>
          <w:lang w:val="es-ES_tradnl"/>
        </w:rPr>
        <w:t>que</w:t>
      </w:r>
      <w:r w:rsidR="00083A1D" w:rsidRPr="00695B2C">
        <w:rPr>
          <w:bCs/>
          <w:lang w:val="es-ES_tradnl"/>
        </w:rPr>
        <w:t xml:space="preserve"> </w:t>
      </w:r>
      <w:r w:rsidRPr="00695B2C">
        <w:rPr>
          <w:bCs/>
          <w:lang w:val="es-ES_tradnl"/>
        </w:rPr>
        <w:t>manifestaran</w:t>
      </w:r>
      <w:r w:rsidR="00083A1D" w:rsidRPr="00695B2C">
        <w:rPr>
          <w:bCs/>
          <w:lang w:val="es-ES_tradnl"/>
        </w:rPr>
        <w:t xml:space="preserve"> </w:t>
      </w:r>
      <w:r w:rsidRPr="00695B2C">
        <w:rPr>
          <w:bCs/>
          <w:lang w:val="es-ES_tradnl"/>
        </w:rPr>
        <w:t>lo</w:t>
      </w:r>
      <w:r w:rsidR="00083A1D" w:rsidRPr="00695B2C">
        <w:rPr>
          <w:bCs/>
          <w:lang w:val="es-ES_tradnl"/>
        </w:rPr>
        <w:t xml:space="preserve"> </w:t>
      </w:r>
      <w:r w:rsidRPr="00695B2C">
        <w:rPr>
          <w:bCs/>
          <w:lang w:val="es-ES_tradnl"/>
        </w:rPr>
        <w:t>que</w:t>
      </w:r>
      <w:r w:rsidR="00083A1D" w:rsidRPr="00695B2C">
        <w:rPr>
          <w:bCs/>
          <w:lang w:val="es-ES_tradnl"/>
        </w:rPr>
        <w:t xml:space="preserve"> </w:t>
      </w:r>
      <w:r w:rsidRPr="00695B2C">
        <w:rPr>
          <w:bCs/>
          <w:lang w:val="es-ES_tradnl"/>
        </w:rPr>
        <w:t>a</w:t>
      </w:r>
      <w:r w:rsidR="00083A1D" w:rsidRPr="00695B2C">
        <w:rPr>
          <w:bCs/>
          <w:lang w:val="es-ES_tradnl"/>
        </w:rPr>
        <w:t xml:space="preserve"> </w:t>
      </w:r>
      <w:r w:rsidRPr="00695B2C">
        <w:rPr>
          <w:bCs/>
          <w:lang w:val="es-ES_tradnl"/>
        </w:rPr>
        <w:t>su</w:t>
      </w:r>
      <w:r w:rsidR="00083A1D" w:rsidRPr="00695B2C">
        <w:rPr>
          <w:bCs/>
          <w:lang w:val="es-ES_tradnl"/>
        </w:rPr>
        <w:t xml:space="preserve"> </w:t>
      </w:r>
      <w:r w:rsidRPr="00695B2C">
        <w:rPr>
          <w:bCs/>
          <w:lang w:val="es-ES_tradnl"/>
        </w:rPr>
        <w:t>derecho</w:t>
      </w:r>
      <w:r w:rsidR="00083A1D" w:rsidRPr="00695B2C">
        <w:rPr>
          <w:bCs/>
          <w:lang w:val="es-ES_tradnl"/>
        </w:rPr>
        <w:t xml:space="preserve"> </w:t>
      </w:r>
      <w:r w:rsidRPr="00695B2C">
        <w:rPr>
          <w:bCs/>
          <w:lang w:val="es-ES_tradnl"/>
        </w:rPr>
        <w:t>conviniera</w:t>
      </w:r>
      <w:r w:rsidR="00083A1D" w:rsidRPr="00695B2C">
        <w:rPr>
          <w:bCs/>
          <w:lang w:val="es-ES_tradnl"/>
        </w:rPr>
        <w:t xml:space="preserve"> </w:t>
      </w:r>
      <w:r w:rsidRPr="00695B2C">
        <w:rPr>
          <w:bCs/>
          <w:lang w:val="es-ES_tradnl"/>
        </w:rPr>
        <w:t>y</w:t>
      </w:r>
      <w:r w:rsidR="00083A1D" w:rsidRPr="00695B2C">
        <w:rPr>
          <w:bCs/>
          <w:lang w:val="es-ES_tradnl"/>
        </w:rPr>
        <w:t xml:space="preserve"> </w:t>
      </w:r>
      <w:r w:rsidRPr="00695B2C">
        <w:rPr>
          <w:bCs/>
          <w:lang w:val="es-ES_tradnl"/>
        </w:rPr>
        <w:t>formularan</w:t>
      </w:r>
      <w:r w:rsidR="00083A1D" w:rsidRPr="00695B2C">
        <w:rPr>
          <w:bCs/>
          <w:lang w:val="es-ES_tradnl"/>
        </w:rPr>
        <w:t xml:space="preserve"> </w:t>
      </w:r>
      <w:r w:rsidRPr="00695B2C">
        <w:rPr>
          <w:bCs/>
          <w:lang w:val="es-ES_tradnl"/>
        </w:rPr>
        <w:t>alegatos.</w:t>
      </w:r>
    </w:p>
    <w:p w14:paraId="057FB5D9" w14:textId="77777777" w:rsidR="00177EE1" w:rsidRPr="00695B2C" w:rsidRDefault="00177EE1" w:rsidP="006461DA">
      <w:pPr>
        <w:spacing w:after="0" w:line="360" w:lineRule="auto"/>
      </w:pPr>
    </w:p>
    <w:p w14:paraId="79D2FF9D" w14:textId="1D1C246B" w:rsidR="006F61A0" w:rsidRPr="00695B2C" w:rsidRDefault="00177EE1" w:rsidP="006461DA">
      <w:pPr>
        <w:spacing w:after="0" w:line="360" w:lineRule="auto"/>
      </w:pPr>
      <w:r w:rsidRPr="00695B2C">
        <w:rPr>
          <w:b/>
        </w:rPr>
        <w:t>c)</w:t>
      </w:r>
      <w:r w:rsidR="00083A1D" w:rsidRPr="00695B2C">
        <w:rPr>
          <w:b/>
        </w:rPr>
        <w:t xml:space="preserve"> </w:t>
      </w:r>
      <w:r w:rsidRPr="00695B2C">
        <w:rPr>
          <w:b/>
        </w:rPr>
        <w:t>Informe</w:t>
      </w:r>
      <w:r w:rsidR="00083A1D" w:rsidRPr="00695B2C">
        <w:rPr>
          <w:b/>
        </w:rPr>
        <w:t xml:space="preserve"> </w:t>
      </w:r>
      <w:r w:rsidRPr="00695B2C">
        <w:rPr>
          <w:b/>
        </w:rPr>
        <w:t>Justificado.</w:t>
      </w:r>
      <w:r w:rsidR="00083A1D" w:rsidRPr="00695B2C">
        <w:rPr>
          <w:b/>
        </w:rPr>
        <w:t xml:space="preserve"> </w:t>
      </w:r>
      <w:r w:rsidR="007E6A4F" w:rsidRPr="00695B2C">
        <w:t xml:space="preserve">En fecha </w:t>
      </w:r>
      <w:r w:rsidR="00C95584" w:rsidRPr="00695B2C">
        <w:t>ocho</w:t>
      </w:r>
      <w:r w:rsidR="00F6245F" w:rsidRPr="00695B2C">
        <w:t xml:space="preserve"> de </w:t>
      </w:r>
      <w:r w:rsidR="007A3D34" w:rsidRPr="00695B2C">
        <w:t>marzo</w:t>
      </w:r>
      <w:r w:rsidR="007E6A4F" w:rsidRPr="00695B2C">
        <w:t xml:space="preserve"> </w:t>
      </w:r>
      <w:r w:rsidR="00F6245F" w:rsidRPr="00695B2C">
        <w:t>de dos mil veinti</w:t>
      </w:r>
      <w:r w:rsidR="0080433B" w:rsidRPr="00695B2C">
        <w:t>dós</w:t>
      </w:r>
      <w:r w:rsidR="00F6245F" w:rsidRPr="00695B2C">
        <w:t>, el Sujeto Obligado remitió</w:t>
      </w:r>
      <w:r w:rsidR="007E6A4F" w:rsidRPr="00695B2C">
        <w:t xml:space="preserve"> </w:t>
      </w:r>
      <w:r w:rsidR="00146C51" w:rsidRPr="00695B2C">
        <w:t>seis</w:t>
      </w:r>
      <w:r w:rsidR="00C95584" w:rsidRPr="00695B2C">
        <w:t xml:space="preserve"> documentos, que fueron objeto de análisis y </w:t>
      </w:r>
      <w:r w:rsidR="007A3D34" w:rsidRPr="00695B2C">
        <w:t>puesto</w:t>
      </w:r>
      <w:r w:rsidR="00C95584" w:rsidRPr="00695B2C">
        <w:t>s</w:t>
      </w:r>
      <w:r w:rsidR="007A3D34" w:rsidRPr="00695B2C">
        <w:t xml:space="preserve"> a la vista del Particular el </w:t>
      </w:r>
      <w:r w:rsidR="00C95584" w:rsidRPr="00695B2C">
        <w:t xml:space="preserve">veintiséis de abril de la </w:t>
      </w:r>
      <w:r w:rsidR="007A3D34" w:rsidRPr="00695B2C">
        <w:t>misma anualidad</w:t>
      </w:r>
      <w:r w:rsidR="00C95584" w:rsidRPr="00695B2C">
        <w:t xml:space="preserve"> y</w:t>
      </w:r>
      <w:r w:rsidR="008F6FA2" w:rsidRPr="00695B2C">
        <w:t xml:space="preserve"> que da cuenta de lo siguiente:</w:t>
      </w:r>
    </w:p>
    <w:p w14:paraId="36AB3601" w14:textId="614398CE" w:rsidR="007E6A4F" w:rsidRPr="00695B2C" w:rsidRDefault="007E6A4F" w:rsidP="006461DA">
      <w:pPr>
        <w:spacing w:after="0" w:line="360" w:lineRule="auto"/>
      </w:pPr>
    </w:p>
    <w:p w14:paraId="1FBF9C20" w14:textId="75390584" w:rsidR="007A3D34" w:rsidRPr="00695B2C" w:rsidRDefault="00C95584" w:rsidP="006461DA">
      <w:pPr>
        <w:pStyle w:val="Prrafodelista"/>
        <w:numPr>
          <w:ilvl w:val="0"/>
          <w:numId w:val="1"/>
        </w:numPr>
        <w:spacing w:line="360" w:lineRule="auto"/>
        <w:jc w:val="both"/>
        <w:rPr>
          <w:rFonts w:ascii="Palatino Linotype" w:hAnsi="Palatino Linotype"/>
          <w:b/>
          <w:bCs/>
        </w:rPr>
      </w:pPr>
      <w:r w:rsidRPr="00695B2C">
        <w:rPr>
          <w:rFonts w:ascii="Palatino Linotype" w:hAnsi="Palatino Linotype"/>
          <w:b/>
          <w:bCs/>
        </w:rPr>
        <w:t>Digitalización_2022_03_08_19_56_09_345.pdf</w:t>
      </w:r>
      <w:r w:rsidR="00146C51" w:rsidRPr="00695B2C">
        <w:rPr>
          <w:rFonts w:ascii="Palatino Linotype" w:hAnsi="Palatino Linotype"/>
          <w:b/>
          <w:bCs/>
        </w:rPr>
        <w:t xml:space="preserve">. </w:t>
      </w:r>
      <w:r w:rsidR="00146C51" w:rsidRPr="00695B2C">
        <w:rPr>
          <w:rFonts w:ascii="Palatino Linotype" w:hAnsi="Palatino Linotype"/>
        </w:rPr>
        <w:t>Documento</w:t>
      </w:r>
      <w:r w:rsidR="00E83C45" w:rsidRPr="00695B2C">
        <w:rPr>
          <w:rFonts w:ascii="Palatino Linotype" w:hAnsi="Palatino Linotype"/>
        </w:rPr>
        <w:t xml:space="preserve"> de una foja</w:t>
      </w:r>
      <w:r w:rsidR="00146C51" w:rsidRPr="00695B2C">
        <w:rPr>
          <w:rFonts w:ascii="Palatino Linotype" w:hAnsi="Palatino Linotype"/>
        </w:rPr>
        <w:t xml:space="preserve"> que contiene el oficio 0375/MAIP/FGJ/2022</w:t>
      </w:r>
      <w:r w:rsidR="00E83C45" w:rsidRPr="00695B2C">
        <w:rPr>
          <w:rFonts w:ascii="Palatino Linotype" w:hAnsi="Palatino Linotype"/>
        </w:rPr>
        <w:t>, por el que el Líder A de Proyectos, adscrito a la Unidad de Transparencia del Sujeto Obligado, informó al comisionado ponente, que se remitió informe justificado.</w:t>
      </w:r>
    </w:p>
    <w:p w14:paraId="1936C354" w14:textId="77777777" w:rsidR="00146C51" w:rsidRPr="00695B2C" w:rsidRDefault="00146C51" w:rsidP="006461DA">
      <w:pPr>
        <w:pStyle w:val="Prrafodelista"/>
        <w:spacing w:line="360" w:lineRule="auto"/>
        <w:rPr>
          <w:rFonts w:ascii="Palatino Linotype" w:hAnsi="Palatino Linotype" w:cstheme="minorBidi"/>
          <w:color w:val="000000" w:themeColor="text1"/>
        </w:rPr>
      </w:pPr>
    </w:p>
    <w:p w14:paraId="7559B6FB" w14:textId="40CD26B6" w:rsidR="00CF6032" w:rsidRPr="00695B2C" w:rsidRDefault="00092753" w:rsidP="006461DA">
      <w:pPr>
        <w:pStyle w:val="Prrafodelista"/>
        <w:numPr>
          <w:ilvl w:val="0"/>
          <w:numId w:val="1"/>
        </w:numPr>
        <w:spacing w:line="360" w:lineRule="auto"/>
        <w:jc w:val="both"/>
        <w:rPr>
          <w:rFonts w:ascii="Palatino Linotype" w:hAnsi="Palatino Linotype" w:cstheme="minorBidi"/>
          <w:color w:val="000000" w:themeColor="text1"/>
        </w:rPr>
      </w:pPr>
      <w:r>
        <w:rPr>
          <w:rFonts w:ascii="Palatino Linotype" w:hAnsi="Palatino Linotype"/>
          <w:b/>
          <w:bCs/>
          <w:noProof/>
        </w:rPr>
        <mc:AlternateContent>
          <mc:Choice Requires="wps">
            <w:drawing>
              <wp:anchor distT="0" distB="0" distL="114300" distR="114300" simplePos="0" relativeHeight="251664384" behindDoc="0" locked="0" layoutInCell="1" allowOverlap="1" wp14:anchorId="1952D90E" wp14:editId="229B6EC5">
                <wp:simplePos x="0" y="0"/>
                <wp:positionH relativeFrom="column">
                  <wp:posOffset>56515</wp:posOffset>
                </wp:positionH>
                <wp:positionV relativeFrom="paragraph">
                  <wp:posOffset>941070</wp:posOffset>
                </wp:positionV>
                <wp:extent cx="5632450" cy="2260600"/>
                <wp:effectExtent l="0" t="0" r="25400" b="25400"/>
                <wp:wrapNone/>
                <wp:docPr id="36" name="Conector recto 36"/>
                <wp:cNvGraphicFramePr/>
                <a:graphic xmlns:a="http://schemas.openxmlformats.org/drawingml/2006/main">
                  <a:graphicData uri="http://schemas.microsoft.com/office/word/2010/wordprocessingShape">
                    <wps:wsp>
                      <wps:cNvCnPr/>
                      <wps:spPr>
                        <a:xfrm flipV="1">
                          <a:off x="0" y="0"/>
                          <a:ext cx="5632450" cy="2260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CB50C96" id="Conector recto 36" o:spid="_x0000_s1026" style="position:absolute;flip:y;z-index:251664384;visibility:visible;mso-wrap-style:square;mso-wrap-distance-left:9pt;mso-wrap-distance-top:0;mso-wrap-distance-right:9pt;mso-wrap-distance-bottom:0;mso-position-horizontal:absolute;mso-position-horizontal-relative:text;mso-position-vertical:absolute;mso-position-vertical-relative:text" from="4.45pt,74.1pt" to="447.95pt,25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" strokecolor="#5b9bd5 [3204]" strokeweight=".5pt">
                <v:stroke joinstyle="miter"/>
              </v:line>
            </w:pict>
          </mc:Fallback>
        </mc:AlternateContent>
      </w:r>
      <w:r w:rsidR="00C95584" w:rsidRPr="00695B2C">
        <w:rPr>
          <w:rFonts w:ascii="Palatino Linotype" w:hAnsi="Palatino Linotype"/>
          <w:b/>
          <w:bCs/>
        </w:rPr>
        <w:t>nota.jpg</w:t>
      </w:r>
      <w:r w:rsidR="00146C51" w:rsidRPr="00695B2C">
        <w:rPr>
          <w:rFonts w:ascii="Palatino Linotype" w:hAnsi="Palatino Linotype"/>
          <w:b/>
          <w:bCs/>
        </w:rPr>
        <w:t xml:space="preserve">. </w:t>
      </w:r>
      <w:r w:rsidR="00CF6032" w:rsidRPr="00695B2C">
        <w:rPr>
          <w:rFonts w:ascii="Palatino Linotype" w:hAnsi="Palatino Linotype"/>
        </w:rPr>
        <w:t xml:space="preserve">Documento que contiene una imagen, que da cuenta </w:t>
      </w:r>
      <w:r w:rsidR="008A1FF4" w:rsidRPr="00695B2C">
        <w:rPr>
          <w:rFonts w:ascii="Palatino Linotype" w:hAnsi="Palatino Linotype"/>
        </w:rPr>
        <w:t xml:space="preserve">de información relativa al veintidós de febrero del dos mil veintidós y refiere a </w:t>
      </w:r>
      <w:r w:rsidR="00CF6032" w:rsidRPr="00695B2C">
        <w:rPr>
          <w:rFonts w:ascii="Palatino Linotype" w:hAnsi="Palatino Linotype"/>
        </w:rPr>
        <w:t>la siguiente información.</w:t>
      </w:r>
    </w:p>
    <w:p w14:paraId="14707624" w14:textId="1D0E7A3A" w:rsidR="00CF6032" w:rsidRPr="00695B2C" w:rsidRDefault="00CF6032" w:rsidP="006461DA">
      <w:pPr>
        <w:spacing w:after="0" w:line="360" w:lineRule="auto"/>
        <w:jc w:val="center"/>
      </w:pPr>
      <w:r w:rsidRPr="00695B2C">
        <w:rPr>
          <w:noProof/>
        </w:rPr>
        <w:lastRenderedPageBreak/>
        <w:drawing>
          <wp:inline distT="0" distB="0" distL="0" distR="0" wp14:anchorId="4F73D21E" wp14:editId="70E9D042">
            <wp:extent cx="5857875" cy="5790727"/>
            <wp:effectExtent l="0" t="0" r="0" b="635"/>
            <wp:docPr id="5" name="Imagen 5"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Texto, Aplicación, Word&#10;&#10;Descripción generada automáticamente"/>
                    <pic:cNvPicPr/>
                  </pic:nvPicPr>
                  <pic:blipFill rotWithShape="1">
                    <a:blip r:embed="rId11"/>
                    <a:srcRect l="27629" t="11408" r="27638" b="13839"/>
                    <a:stretch/>
                  </pic:blipFill>
                  <pic:spPr bwMode="auto">
                    <a:xfrm>
                      <a:off x="0" y="0"/>
                      <a:ext cx="5935202" cy="5867167"/>
                    </a:xfrm>
                    <a:prstGeom prst="rect">
                      <a:avLst/>
                    </a:prstGeom>
                    <a:ln>
                      <a:noFill/>
                    </a:ln>
                    <a:extLst>
                      <a:ext uri="{53640926-AAD7-44D8-BBD7-CCE9431645EC}">
                        <a14:shadowObscured xmlns:a14="http://schemas.microsoft.com/office/drawing/2010/main"/>
                      </a:ext>
                    </a:extLst>
                  </pic:spPr>
                </pic:pic>
              </a:graphicData>
            </a:graphic>
          </wp:inline>
        </w:drawing>
      </w:r>
    </w:p>
    <w:p w14:paraId="41C01400" w14:textId="77777777" w:rsidR="00146C51" w:rsidRPr="00695B2C" w:rsidRDefault="00146C51" w:rsidP="006461DA">
      <w:pPr>
        <w:pStyle w:val="Prrafodelista"/>
        <w:spacing w:line="360" w:lineRule="auto"/>
        <w:rPr>
          <w:rFonts w:ascii="Palatino Linotype" w:hAnsi="Palatino Linotype" w:cstheme="minorBidi"/>
          <w:color w:val="000000" w:themeColor="text1"/>
        </w:rPr>
      </w:pPr>
    </w:p>
    <w:p w14:paraId="5C1B6BED" w14:textId="6E28FBDF" w:rsidR="00146C51" w:rsidRPr="00695B2C" w:rsidRDefault="00146C51" w:rsidP="006461DA">
      <w:pPr>
        <w:pStyle w:val="Prrafodelista"/>
        <w:numPr>
          <w:ilvl w:val="0"/>
          <w:numId w:val="1"/>
        </w:numPr>
        <w:spacing w:line="360" w:lineRule="auto"/>
        <w:jc w:val="both"/>
        <w:rPr>
          <w:rFonts w:ascii="Palatino Linotype" w:hAnsi="Palatino Linotype"/>
          <w:b/>
          <w:bCs/>
        </w:rPr>
      </w:pPr>
      <w:r w:rsidRPr="00695B2C">
        <w:rPr>
          <w:rFonts w:ascii="Palatino Linotype" w:hAnsi="Palatino Linotype"/>
          <w:b/>
          <w:bCs/>
        </w:rPr>
        <w:t xml:space="preserve">Digitalización_2022_03_08_20_01_57_312.pdf. </w:t>
      </w:r>
      <w:r w:rsidR="0075641D" w:rsidRPr="00695B2C">
        <w:rPr>
          <w:rFonts w:ascii="Palatino Linotype" w:hAnsi="Palatino Linotype"/>
        </w:rPr>
        <w:t>Documento de seis fojas por el cual, se remitió el oficio 0374/MAIP/FGJ/2022, signado por el Líder “A” de Proyecto</w:t>
      </w:r>
      <w:r w:rsidR="00A64301" w:rsidRPr="00695B2C">
        <w:rPr>
          <w:rFonts w:ascii="Palatino Linotype" w:hAnsi="Palatino Linotype"/>
        </w:rPr>
        <w:t>,</w:t>
      </w:r>
      <w:r w:rsidR="0075641D" w:rsidRPr="00695B2C">
        <w:rPr>
          <w:rFonts w:ascii="Palatino Linotype" w:hAnsi="Palatino Linotype"/>
        </w:rPr>
        <w:t xml:space="preserve"> Adscrito a la Unidad de Transparencia, </w:t>
      </w:r>
      <w:r w:rsidR="00E157D4" w:rsidRPr="00695B2C">
        <w:rPr>
          <w:rFonts w:ascii="Palatino Linotype" w:hAnsi="Palatino Linotype"/>
        </w:rPr>
        <w:t>en suplencia de la Titular de la Unidad de Transparencia</w:t>
      </w:r>
      <w:r w:rsidR="00CD7F47" w:rsidRPr="00695B2C">
        <w:rPr>
          <w:rFonts w:ascii="Palatino Linotype" w:hAnsi="Palatino Linotype"/>
        </w:rPr>
        <w:t>, documento a través del cual, remitió informe justificado en los siguientes términos:</w:t>
      </w:r>
    </w:p>
    <w:p w14:paraId="531CFE66" w14:textId="7DA92CAD" w:rsidR="00CD7F47" w:rsidRPr="00695B2C" w:rsidRDefault="00CD7F47" w:rsidP="006461DA">
      <w:pPr>
        <w:spacing w:after="0" w:line="360" w:lineRule="auto"/>
        <w:jc w:val="center"/>
        <w:rPr>
          <w:b/>
          <w:bCs/>
        </w:rPr>
      </w:pPr>
      <w:r w:rsidRPr="00695B2C">
        <w:rPr>
          <w:noProof/>
        </w:rPr>
        <w:lastRenderedPageBreak/>
        <w:drawing>
          <wp:inline distT="0" distB="0" distL="0" distR="0" wp14:anchorId="14F266DF" wp14:editId="094603F8">
            <wp:extent cx="6941185" cy="5872286"/>
            <wp:effectExtent l="1270" t="0" r="0" b="0"/>
            <wp:docPr id="6" name="Imagen 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Texto&#10;&#10;Descripción generada automáticamente"/>
                    <pic:cNvPicPr/>
                  </pic:nvPicPr>
                  <pic:blipFill rotWithShape="1">
                    <a:blip r:embed="rId12"/>
                    <a:srcRect l="26478" t="20150" r="25172" b="7095"/>
                    <a:stretch/>
                  </pic:blipFill>
                  <pic:spPr bwMode="auto">
                    <a:xfrm rot="5400000">
                      <a:off x="0" y="0"/>
                      <a:ext cx="6990807" cy="5914267"/>
                    </a:xfrm>
                    <a:prstGeom prst="rect">
                      <a:avLst/>
                    </a:prstGeom>
                    <a:ln>
                      <a:noFill/>
                    </a:ln>
                    <a:extLst>
                      <a:ext uri="{53640926-AAD7-44D8-BBD7-CCE9431645EC}">
                        <a14:shadowObscured xmlns:a14="http://schemas.microsoft.com/office/drawing/2010/main"/>
                      </a:ext>
                    </a:extLst>
                  </pic:spPr>
                </pic:pic>
              </a:graphicData>
            </a:graphic>
          </wp:inline>
        </w:drawing>
      </w:r>
    </w:p>
    <w:p w14:paraId="5E23EF7E" w14:textId="23A79E59" w:rsidR="00CD7F47" w:rsidRPr="00695B2C" w:rsidRDefault="00CD7F47" w:rsidP="006461DA">
      <w:pPr>
        <w:spacing w:after="0" w:line="360" w:lineRule="auto"/>
        <w:rPr>
          <w:b/>
          <w:bCs/>
        </w:rPr>
      </w:pPr>
    </w:p>
    <w:p w14:paraId="7072938C" w14:textId="6C78EF55" w:rsidR="00CD7F47" w:rsidRPr="00695B2C" w:rsidRDefault="00CD7F47" w:rsidP="006461DA">
      <w:pPr>
        <w:spacing w:after="0" w:line="360" w:lineRule="auto"/>
        <w:rPr>
          <w:b/>
          <w:bCs/>
        </w:rPr>
      </w:pPr>
      <w:r w:rsidRPr="00695B2C">
        <w:rPr>
          <w:noProof/>
        </w:rPr>
        <w:lastRenderedPageBreak/>
        <w:drawing>
          <wp:inline distT="0" distB="0" distL="0" distR="0" wp14:anchorId="76829433" wp14:editId="763566A8">
            <wp:extent cx="6860252" cy="5834641"/>
            <wp:effectExtent l="0" t="1587" r="0" b="0"/>
            <wp:docPr id="7" name="Imagen 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exto&#10;&#10;Descripción generada automáticamente"/>
                    <pic:cNvPicPr/>
                  </pic:nvPicPr>
                  <pic:blipFill rotWithShape="1">
                    <a:blip r:embed="rId13"/>
                    <a:srcRect l="25564" t="19346" r="26522" b="8171"/>
                    <a:stretch/>
                  </pic:blipFill>
                  <pic:spPr bwMode="auto">
                    <a:xfrm rot="5400000">
                      <a:off x="0" y="0"/>
                      <a:ext cx="6883368" cy="5854301"/>
                    </a:xfrm>
                    <a:prstGeom prst="rect">
                      <a:avLst/>
                    </a:prstGeom>
                    <a:ln>
                      <a:noFill/>
                    </a:ln>
                    <a:extLst>
                      <a:ext uri="{53640926-AAD7-44D8-BBD7-CCE9431645EC}">
                        <a14:shadowObscured xmlns:a14="http://schemas.microsoft.com/office/drawing/2010/main"/>
                      </a:ext>
                    </a:extLst>
                  </pic:spPr>
                </pic:pic>
              </a:graphicData>
            </a:graphic>
          </wp:inline>
        </w:drawing>
      </w:r>
    </w:p>
    <w:p w14:paraId="23084328" w14:textId="05969ADE" w:rsidR="00146C51" w:rsidRPr="00695B2C" w:rsidRDefault="00CD7F47" w:rsidP="006461DA">
      <w:pPr>
        <w:pStyle w:val="Prrafodelista"/>
        <w:spacing w:line="360" w:lineRule="auto"/>
        <w:ind w:left="0"/>
        <w:rPr>
          <w:rFonts w:ascii="Palatino Linotype" w:hAnsi="Palatino Linotype"/>
          <w:b/>
          <w:bCs/>
        </w:rPr>
      </w:pPr>
      <w:r w:rsidRPr="00695B2C">
        <w:rPr>
          <w:rFonts w:ascii="Palatino Linotype" w:hAnsi="Palatino Linotype"/>
          <w:noProof/>
        </w:rPr>
        <w:lastRenderedPageBreak/>
        <w:drawing>
          <wp:inline distT="0" distB="0" distL="0" distR="0" wp14:anchorId="7DBFD78A" wp14:editId="602D2CA9">
            <wp:extent cx="6808541" cy="5830297"/>
            <wp:effectExtent l="0" t="6033" r="5398" b="5397"/>
            <wp:docPr id="8" name="Imagen 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Texto&#10;&#10;Descripción generada automáticamente"/>
                    <pic:cNvPicPr/>
                  </pic:nvPicPr>
                  <pic:blipFill rotWithShape="1">
                    <a:blip r:embed="rId14"/>
                    <a:srcRect l="26686" t="19453" r="25502" b="7726"/>
                    <a:stretch/>
                  </pic:blipFill>
                  <pic:spPr bwMode="auto">
                    <a:xfrm rot="5400000">
                      <a:off x="0" y="0"/>
                      <a:ext cx="6828997" cy="5847814"/>
                    </a:xfrm>
                    <a:prstGeom prst="rect">
                      <a:avLst/>
                    </a:prstGeom>
                    <a:ln>
                      <a:noFill/>
                    </a:ln>
                    <a:extLst>
                      <a:ext uri="{53640926-AAD7-44D8-BBD7-CCE9431645EC}">
                        <a14:shadowObscured xmlns:a14="http://schemas.microsoft.com/office/drawing/2010/main"/>
                      </a:ext>
                    </a:extLst>
                  </pic:spPr>
                </pic:pic>
              </a:graphicData>
            </a:graphic>
          </wp:inline>
        </w:drawing>
      </w:r>
    </w:p>
    <w:p w14:paraId="66269041" w14:textId="459F2328" w:rsidR="00CD7F47" w:rsidRPr="00695B2C" w:rsidRDefault="00CD7F47" w:rsidP="006461DA">
      <w:pPr>
        <w:pStyle w:val="Prrafodelista"/>
        <w:spacing w:line="360" w:lineRule="auto"/>
        <w:rPr>
          <w:rFonts w:ascii="Palatino Linotype" w:hAnsi="Palatino Linotype"/>
          <w:b/>
          <w:bCs/>
        </w:rPr>
      </w:pPr>
    </w:p>
    <w:p w14:paraId="0514A195" w14:textId="038781C3" w:rsidR="00CD7F47" w:rsidRPr="00695B2C" w:rsidRDefault="00CD7F47" w:rsidP="006461DA">
      <w:pPr>
        <w:pStyle w:val="Prrafodelista"/>
        <w:spacing w:line="360" w:lineRule="auto"/>
        <w:rPr>
          <w:rFonts w:ascii="Palatino Linotype" w:hAnsi="Palatino Linotype"/>
          <w:b/>
          <w:bCs/>
        </w:rPr>
      </w:pPr>
    </w:p>
    <w:p w14:paraId="0089C4E6" w14:textId="405361BA" w:rsidR="00CD7F47" w:rsidRPr="00695B2C" w:rsidRDefault="00CD7F47" w:rsidP="006461DA">
      <w:pPr>
        <w:pStyle w:val="Prrafodelista"/>
        <w:spacing w:line="360" w:lineRule="auto"/>
        <w:rPr>
          <w:rFonts w:ascii="Palatino Linotype" w:hAnsi="Palatino Linotype"/>
          <w:b/>
          <w:bCs/>
        </w:rPr>
      </w:pPr>
    </w:p>
    <w:p w14:paraId="59D902EC" w14:textId="17EE8882" w:rsidR="00CD7F47" w:rsidRPr="00695B2C" w:rsidRDefault="00CD7F47" w:rsidP="006461DA">
      <w:pPr>
        <w:pStyle w:val="Prrafodelista"/>
        <w:spacing w:line="360" w:lineRule="auto"/>
        <w:ind w:left="0"/>
        <w:jc w:val="center"/>
        <w:rPr>
          <w:rFonts w:ascii="Palatino Linotype" w:hAnsi="Palatino Linotype"/>
          <w:b/>
          <w:bCs/>
        </w:rPr>
      </w:pPr>
      <w:r w:rsidRPr="00695B2C">
        <w:rPr>
          <w:rFonts w:ascii="Palatino Linotype" w:hAnsi="Palatino Linotype"/>
          <w:noProof/>
        </w:rPr>
        <w:drawing>
          <wp:inline distT="0" distB="0" distL="0" distR="0" wp14:anchorId="34F7A3BE" wp14:editId="6F002192">
            <wp:extent cx="2150781" cy="5586106"/>
            <wp:effectExtent l="0" t="3175" r="0" b="0"/>
            <wp:docPr id="9" name="Imagen 9"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Texto&#10;&#10;Descripción generada automáticamente"/>
                    <pic:cNvPicPr/>
                  </pic:nvPicPr>
                  <pic:blipFill rotWithShape="1">
                    <a:blip r:embed="rId15"/>
                    <a:srcRect l="26834" t="19715" r="57260" b="6807"/>
                    <a:stretch/>
                  </pic:blipFill>
                  <pic:spPr bwMode="auto">
                    <a:xfrm rot="5400000">
                      <a:off x="0" y="0"/>
                      <a:ext cx="2160939" cy="5612489"/>
                    </a:xfrm>
                    <a:prstGeom prst="rect">
                      <a:avLst/>
                    </a:prstGeom>
                    <a:ln>
                      <a:noFill/>
                    </a:ln>
                    <a:extLst>
                      <a:ext uri="{53640926-AAD7-44D8-BBD7-CCE9431645EC}">
                        <a14:shadowObscured xmlns:a14="http://schemas.microsoft.com/office/drawing/2010/main"/>
                      </a:ext>
                    </a:extLst>
                  </pic:spPr>
                </pic:pic>
              </a:graphicData>
            </a:graphic>
          </wp:inline>
        </w:drawing>
      </w:r>
    </w:p>
    <w:p w14:paraId="524EA804" w14:textId="77777777" w:rsidR="00645CB8" w:rsidRPr="00695B2C" w:rsidRDefault="00645CB8" w:rsidP="006461DA">
      <w:pPr>
        <w:pStyle w:val="Prrafodelista"/>
        <w:spacing w:line="360" w:lineRule="auto"/>
        <w:jc w:val="both"/>
        <w:rPr>
          <w:rFonts w:ascii="Palatino Linotype" w:hAnsi="Palatino Linotype"/>
          <w:b/>
          <w:bCs/>
        </w:rPr>
      </w:pPr>
    </w:p>
    <w:p w14:paraId="6232C4B6" w14:textId="3873ECC2" w:rsidR="007E7DD3" w:rsidRPr="00695B2C" w:rsidRDefault="00146C51" w:rsidP="006461DA">
      <w:pPr>
        <w:pStyle w:val="Prrafodelista"/>
        <w:numPr>
          <w:ilvl w:val="0"/>
          <w:numId w:val="1"/>
        </w:numPr>
        <w:spacing w:line="360" w:lineRule="auto"/>
        <w:jc w:val="both"/>
        <w:rPr>
          <w:rFonts w:ascii="Palatino Linotype" w:hAnsi="Palatino Linotype"/>
          <w:b/>
          <w:bCs/>
        </w:rPr>
      </w:pPr>
      <w:proofErr w:type="spellStart"/>
      <w:r w:rsidRPr="00695B2C">
        <w:rPr>
          <w:rFonts w:ascii="Palatino Linotype" w:hAnsi="Palatino Linotype"/>
          <w:b/>
          <w:bCs/>
        </w:rPr>
        <w:t>femi</w:t>
      </w:r>
      <w:proofErr w:type="spellEnd"/>
      <w:r w:rsidRPr="00695B2C">
        <w:rPr>
          <w:rFonts w:ascii="Palatino Linotype" w:hAnsi="Palatino Linotype"/>
          <w:b/>
          <w:bCs/>
        </w:rPr>
        <w:t xml:space="preserve"> atizapan.jpg. </w:t>
      </w:r>
      <w:r w:rsidR="008A1FF4" w:rsidRPr="00695B2C">
        <w:rPr>
          <w:rFonts w:ascii="Palatino Linotype" w:eastAsia="Palatino Linotype" w:hAnsi="Palatino Linotype" w:cs="Palatino Linotype"/>
          <w:color w:val="000000" w:themeColor="text1"/>
          <w:szCs w:val="22"/>
          <w:lang w:val="es-ES" w:eastAsia="en-US"/>
        </w:rPr>
        <w:t>Documento que contiene una imagen, que da cuenta de información relativa al veintidós de febrero del dos mil veintidós y refiere a la siguiente información.</w:t>
      </w:r>
    </w:p>
    <w:p w14:paraId="5335FB4A" w14:textId="540EE3A0" w:rsidR="0078128A" w:rsidRPr="00695B2C" w:rsidRDefault="0078128A" w:rsidP="006461DA">
      <w:pPr>
        <w:spacing w:after="0" w:line="360" w:lineRule="auto"/>
        <w:jc w:val="center"/>
        <w:rPr>
          <w:b/>
          <w:bCs/>
        </w:rPr>
      </w:pPr>
      <w:r w:rsidRPr="00695B2C">
        <w:rPr>
          <w:noProof/>
        </w:rPr>
        <w:drawing>
          <wp:inline distT="0" distB="0" distL="0" distR="0" wp14:anchorId="5A3F4FAF" wp14:editId="667715F7">
            <wp:extent cx="4332704" cy="4167963"/>
            <wp:effectExtent l="0" t="0" r="0" b="4445"/>
            <wp:docPr id="10" name="Imagen 10"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Texto, Aplicación, Word&#10;&#10;Descripción generada automáticamente"/>
                    <pic:cNvPicPr/>
                  </pic:nvPicPr>
                  <pic:blipFill rotWithShape="1">
                    <a:blip r:embed="rId16"/>
                    <a:srcRect l="28451" t="12578" r="28298" b="13417"/>
                    <a:stretch/>
                  </pic:blipFill>
                  <pic:spPr bwMode="auto">
                    <a:xfrm>
                      <a:off x="0" y="0"/>
                      <a:ext cx="4347323" cy="4182027"/>
                    </a:xfrm>
                    <a:prstGeom prst="rect">
                      <a:avLst/>
                    </a:prstGeom>
                    <a:ln>
                      <a:noFill/>
                    </a:ln>
                    <a:extLst>
                      <a:ext uri="{53640926-AAD7-44D8-BBD7-CCE9431645EC}">
                        <a14:shadowObscured xmlns:a14="http://schemas.microsoft.com/office/drawing/2010/main"/>
                      </a:ext>
                    </a:extLst>
                  </pic:spPr>
                </pic:pic>
              </a:graphicData>
            </a:graphic>
          </wp:inline>
        </w:drawing>
      </w:r>
    </w:p>
    <w:p w14:paraId="36161562" w14:textId="1F99A180" w:rsidR="00146C51" w:rsidRPr="00695B2C" w:rsidRDefault="00146C51" w:rsidP="006461DA">
      <w:pPr>
        <w:pStyle w:val="Prrafodelista"/>
        <w:numPr>
          <w:ilvl w:val="0"/>
          <w:numId w:val="1"/>
        </w:numPr>
        <w:spacing w:line="360" w:lineRule="auto"/>
        <w:jc w:val="both"/>
        <w:rPr>
          <w:rFonts w:ascii="Palatino Linotype" w:hAnsi="Palatino Linotype"/>
          <w:b/>
          <w:bCs/>
          <w:i/>
          <w:iCs/>
        </w:rPr>
      </w:pPr>
      <w:r w:rsidRPr="00695B2C">
        <w:rPr>
          <w:rFonts w:ascii="Palatino Linotype" w:hAnsi="Palatino Linotype"/>
          <w:b/>
          <w:bCs/>
        </w:rPr>
        <w:lastRenderedPageBreak/>
        <w:t>ACUERDO 2122.pdf.</w:t>
      </w:r>
      <w:r w:rsidR="009F2C40" w:rsidRPr="00695B2C">
        <w:rPr>
          <w:rFonts w:ascii="Palatino Linotype" w:hAnsi="Palatino Linotype"/>
          <w:b/>
          <w:bCs/>
        </w:rPr>
        <w:t xml:space="preserve"> </w:t>
      </w:r>
      <w:r w:rsidR="009F2C40" w:rsidRPr="00695B2C">
        <w:rPr>
          <w:rFonts w:ascii="Palatino Linotype" w:eastAsia="Palatino Linotype" w:hAnsi="Palatino Linotype" w:cs="Palatino Linotype"/>
          <w:color w:val="000000" w:themeColor="text1"/>
          <w:szCs w:val="22"/>
          <w:lang w:val="es-ES" w:eastAsia="en-US"/>
        </w:rPr>
        <w:t>Documento consistente en once fojas, contiene el acuerdo 21/2022</w:t>
      </w:r>
      <w:r w:rsidR="007E2897" w:rsidRPr="00695B2C">
        <w:rPr>
          <w:rFonts w:ascii="Palatino Linotype" w:eastAsia="Palatino Linotype" w:hAnsi="Palatino Linotype" w:cs="Palatino Linotype"/>
          <w:color w:val="000000" w:themeColor="text1"/>
          <w:szCs w:val="22"/>
          <w:lang w:val="es-ES" w:eastAsia="en-US"/>
        </w:rPr>
        <w:t xml:space="preserve">, que lleva por nombre, </w:t>
      </w:r>
      <w:r w:rsidR="007E2897" w:rsidRPr="00695B2C">
        <w:rPr>
          <w:rFonts w:ascii="Palatino Linotype" w:eastAsia="Palatino Linotype" w:hAnsi="Palatino Linotype" w:cs="Palatino Linotype"/>
          <w:i/>
          <w:iCs/>
          <w:color w:val="000000" w:themeColor="text1"/>
          <w:szCs w:val="22"/>
          <w:lang w:val="es-ES" w:eastAsia="en-US"/>
        </w:rPr>
        <w:t>“ACUERDO QUE TIENE POR OBJETO CLASIFICAR COMO INFORMACIÓN RESERVADA LOS DOCUMENTOS QUE FORMAN PARTE DE LA CARPETA DE INVESTIGACIÓN INTEGRADA EN CONTRA DE ANDRÉS “N”, QUIEN FUE DETENIDO POR POLICÍAS DE INVESTIGACIÓN DE LA FGJEM EN CUMPLIMIENTO A UNA ORDEN DE APREHENSIÓN POR FEMINICIDIO.”,</w:t>
      </w:r>
      <w:r w:rsidR="007E2897" w:rsidRPr="00695B2C">
        <w:rPr>
          <w:rFonts w:ascii="Palatino Linotype" w:eastAsia="Palatino Linotype" w:hAnsi="Palatino Linotype" w:cs="Palatino Linotype"/>
          <w:color w:val="000000" w:themeColor="text1"/>
          <w:szCs w:val="22"/>
          <w:lang w:val="es-ES" w:eastAsia="en-US"/>
        </w:rPr>
        <w:t xml:space="preserve"> emitido por el cual el Comité de Transparencia del Sujeto Obligado y que de manera central, analiza y contempla la reserva de la información en los siguientes términos:</w:t>
      </w:r>
    </w:p>
    <w:p w14:paraId="63D581BE" w14:textId="77777777" w:rsidR="00881603" w:rsidRPr="00695B2C" w:rsidRDefault="00881603" w:rsidP="006461DA">
      <w:pPr>
        <w:spacing w:after="0" w:line="360" w:lineRule="auto"/>
        <w:ind w:left="360"/>
        <w:rPr>
          <w:b/>
          <w:bCs/>
          <w:i/>
          <w:iCs/>
        </w:rPr>
      </w:pPr>
    </w:p>
    <w:p w14:paraId="1904204F" w14:textId="77777777" w:rsidR="006956C9" w:rsidRPr="00695B2C" w:rsidRDefault="007E2897"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w:t>
      </w:r>
      <w:proofErr w:type="gramStart"/>
      <w:r w:rsidR="00881603" w:rsidRPr="00695B2C">
        <w:rPr>
          <w:rFonts w:eastAsia="Times New Roman" w:cs="Arial"/>
          <w:bCs/>
          <w:i/>
          <w:iCs/>
          <w:color w:val="auto"/>
          <w:sz w:val="20"/>
          <w:lang w:eastAsia="es-ES"/>
        </w:rPr>
        <w:t>PRIMERO.-</w:t>
      </w:r>
      <w:proofErr w:type="gramEnd"/>
      <w:r w:rsidR="00881603" w:rsidRPr="00695B2C">
        <w:rPr>
          <w:rFonts w:eastAsia="Times New Roman" w:cs="Arial"/>
          <w:bCs/>
          <w:i/>
          <w:iCs/>
          <w:color w:val="auto"/>
          <w:sz w:val="20"/>
          <w:lang w:eastAsia="es-ES"/>
        </w:rPr>
        <w:t xml:space="preserve"> Que atendiendo a la naturaleza de la información solicitada, esta Unidad de Transparencia realiza las siguientes consideraciones: </w:t>
      </w:r>
    </w:p>
    <w:p w14:paraId="2E6DC77F" w14:textId="77777777" w:rsidR="006956C9" w:rsidRPr="00695B2C" w:rsidRDefault="006956C9" w:rsidP="006461DA">
      <w:pPr>
        <w:spacing w:after="0" w:line="360" w:lineRule="auto"/>
        <w:ind w:left="567" w:right="616"/>
        <w:rPr>
          <w:rFonts w:eastAsia="Times New Roman" w:cs="Arial"/>
          <w:bCs/>
          <w:i/>
          <w:iCs/>
          <w:color w:val="auto"/>
          <w:sz w:val="20"/>
          <w:lang w:eastAsia="es-ES"/>
        </w:rPr>
      </w:pPr>
    </w:p>
    <w:p w14:paraId="258C3B12" w14:textId="77777777" w:rsidR="006956C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De conformidad con los artículos 6°, apartado A, fracciones I y II de la Constitución Política de los Estados Unidos Mexicanos y VIII, párrafo sexto y 5°, fracciones I y II de la Constitución Política del Estado Libre y Soberano de México, toda la información en posesión de los Sujetos Obligados será pública; salvo las excepciones que fije la Ley, información que deberá de ser protegida a través de un marco jurídico rígido, asimismo dicha información podrá ser reservada temporalmente en los términos que fijen las leyes de la materia. </w:t>
      </w:r>
    </w:p>
    <w:p w14:paraId="424A36EA" w14:textId="77777777" w:rsidR="006956C9" w:rsidRPr="00695B2C" w:rsidRDefault="006956C9" w:rsidP="006461DA">
      <w:pPr>
        <w:spacing w:after="0" w:line="360" w:lineRule="auto"/>
        <w:ind w:left="567" w:right="616"/>
        <w:rPr>
          <w:rFonts w:eastAsia="Times New Roman" w:cs="Arial"/>
          <w:bCs/>
          <w:i/>
          <w:iCs/>
          <w:color w:val="auto"/>
          <w:sz w:val="20"/>
          <w:lang w:eastAsia="es-ES"/>
        </w:rPr>
      </w:pPr>
    </w:p>
    <w:p w14:paraId="3A95E5EF" w14:textId="77777777" w:rsidR="006956C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ese sentido, el artículo 24, fracción VI, de la Ley de Transparencia y Acceso a la Información Pública del Estado de México y Municipios, precisa que los Sujetos Obligados serán los responsables de proteger y resguardar la información clasificada como reservada o confidencial. </w:t>
      </w:r>
    </w:p>
    <w:p w14:paraId="3764F65D" w14:textId="77777777" w:rsidR="006956C9" w:rsidRPr="00695B2C" w:rsidRDefault="006956C9" w:rsidP="006461DA">
      <w:pPr>
        <w:spacing w:after="0" w:line="360" w:lineRule="auto"/>
        <w:ind w:left="567" w:right="616"/>
        <w:rPr>
          <w:rFonts w:eastAsia="Times New Roman" w:cs="Arial"/>
          <w:bCs/>
          <w:i/>
          <w:iCs/>
          <w:color w:val="auto"/>
          <w:sz w:val="20"/>
          <w:lang w:eastAsia="es-ES"/>
        </w:rPr>
      </w:pPr>
    </w:p>
    <w:p w14:paraId="00B2AA21" w14:textId="77777777" w:rsidR="006956C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ese orden de ideas, es importante señalar que, el artículo 4, párrafo segundo de la Ley de Transparencia y Acceso a la Información Pública del Estado de México y Municipios, señala que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w:t>
      </w:r>
      <w:r w:rsidRPr="00695B2C">
        <w:rPr>
          <w:rFonts w:eastAsia="Times New Roman" w:cs="Arial"/>
          <w:bCs/>
          <w:i/>
          <w:iCs/>
          <w:color w:val="auto"/>
          <w:sz w:val="20"/>
          <w:lang w:eastAsia="es-ES"/>
        </w:rPr>
        <w:lastRenderedPageBreak/>
        <w:t xml:space="preserve">parte, en la Ley General de Transparencia y Acceso a la Información Pública y demás disposiciones de la materia, privilegiando el principio de máxima publicidad de la información. Sólo podrá ser clasificada excepcionalmente como reservada temporalmente en los términos de las causas legítimas y estrictamente necesarias previstas por la Ley. </w:t>
      </w:r>
    </w:p>
    <w:p w14:paraId="55B5B599" w14:textId="77777777" w:rsidR="006956C9" w:rsidRPr="00695B2C" w:rsidRDefault="006956C9" w:rsidP="006461DA">
      <w:pPr>
        <w:spacing w:after="0" w:line="360" w:lineRule="auto"/>
        <w:ind w:left="567" w:right="616"/>
        <w:rPr>
          <w:rFonts w:eastAsia="Times New Roman" w:cs="Arial"/>
          <w:bCs/>
          <w:i/>
          <w:iCs/>
          <w:color w:val="auto"/>
          <w:sz w:val="20"/>
          <w:lang w:eastAsia="es-ES"/>
        </w:rPr>
      </w:pPr>
    </w:p>
    <w:p w14:paraId="1DB73576" w14:textId="613552C8" w:rsidR="00881603"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ese sentido, los artículos 91, 122, 130 y 140, fracciones VI, IX y XI de la Ley de Transparencia de la entidad, en relación con las fracciones VII, XII y XIII, del artículo 113 de la Ley General de Transparencia y Acceso a la Información Pública, señalan que la clasificación es el proceso mediante el cual los sujetos obligados determinan que la información en su poder, actualiza alguno de los supuestos de reserva o confidencialidad, debiendo aplicar de manera restrictiva y limitada, las excepciones al derecho de acceso a la información, dichos ordenamientos señalan lo siguiente: </w:t>
      </w:r>
      <w:r w:rsidR="007E2897" w:rsidRPr="00695B2C">
        <w:rPr>
          <w:rFonts w:eastAsia="Times New Roman" w:cs="Arial"/>
          <w:bCs/>
          <w:i/>
          <w:iCs/>
          <w:color w:val="auto"/>
          <w:sz w:val="20"/>
          <w:lang w:eastAsia="es-ES"/>
        </w:rPr>
        <w:t xml:space="preserve"> </w:t>
      </w:r>
    </w:p>
    <w:p w14:paraId="1A7DFA93" w14:textId="77777777" w:rsidR="00881603" w:rsidRPr="00695B2C" w:rsidRDefault="00881603" w:rsidP="006461DA">
      <w:pPr>
        <w:spacing w:after="0" w:line="360" w:lineRule="auto"/>
        <w:ind w:left="567" w:right="616"/>
        <w:rPr>
          <w:rFonts w:eastAsia="Times New Roman" w:cs="Arial"/>
          <w:bCs/>
          <w:i/>
          <w:iCs/>
          <w:color w:val="auto"/>
          <w:sz w:val="20"/>
          <w:lang w:eastAsia="es-ES"/>
        </w:rPr>
      </w:pPr>
    </w:p>
    <w:p w14:paraId="43938D2D" w14:textId="77777777" w:rsidR="006956C9" w:rsidRPr="00695B2C" w:rsidRDefault="007E2897"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ese sentido, los artículos 91, 122, 130 y 140, fracciones VI, IX y XI de la Ley de Transparencia de la entidad, en relación con las fracciones VII, XII y XIII, del artículo 113 de la Ley General de Transparencia y Acceso a la Información Pública, señalan que la clasificación es el proceso mediante el cual los sujetos obligados determinan que la información en su poder, actualiza alguno de los supuestos de reserva o confidencialidad, debiendo aplicar de manera restrictiva y limitada, las excepciones al derecho de acceso a la información, dichos ordenamientos señalan lo siguiente: </w:t>
      </w:r>
    </w:p>
    <w:p w14:paraId="0805EF06" w14:textId="77777777" w:rsidR="006956C9" w:rsidRPr="00695B2C" w:rsidRDefault="006956C9" w:rsidP="006461DA">
      <w:pPr>
        <w:spacing w:after="0" w:line="360" w:lineRule="auto"/>
        <w:ind w:left="567" w:right="616"/>
        <w:rPr>
          <w:rFonts w:eastAsia="Times New Roman" w:cs="Arial"/>
          <w:bCs/>
          <w:i/>
          <w:iCs/>
          <w:color w:val="auto"/>
          <w:sz w:val="20"/>
          <w:lang w:eastAsia="es-ES"/>
        </w:rPr>
      </w:pPr>
    </w:p>
    <w:p w14:paraId="4C8B55B2" w14:textId="77777777" w:rsidR="006956C9" w:rsidRPr="00695B2C" w:rsidRDefault="007E2897"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“Artículo 91. El acceso a la información pública será restringido excepcionalmente, cuando ésta sea clasificada como reservada o confidencial.”</w:t>
      </w:r>
    </w:p>
    <w:p w14:paraId="38921105" w14:textId="77777777" w:rsidR="006956C9" w:rsidRPr="00695B2C" w:rsidRDefault="006956C9" w:rsidP="006461DA">
      <w:pPr>
        <w:spacing w:after="0" w:line="360" w:lineRule="auto"/>
        <w:ind w:left="567" w:right="616"/>
        <w:rPr>
          <w:rFonts w:eastAsia="Times New Roman" w:cs="Arial"/>
          <w:bCs/>
          <w:i/>
          <w:iCs/>
          <w:color w:val="auto"/>
          <w:sz w:val="20"/>
          <w:lang w:eastAsia="es-ES"/>
        </w:rPr>
      </w:pPr>
    </w:p>
    <w:p w14:paraId="1CCCED6D" w14:textId="77777777" w:rsidR="006956C9" w:rsidRPr="00695B2C" w:rsidRDefault="007E2897"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“Artículo 122. La clasificación es el proceso mediante el cual el sujeto obligado determina que la información en su poder </w:t>
      </w:r>
      <w:proofErr w:type="spellStart"/>
      <w:r w:rsidRPr="00695B2C">
        <w:rPr>
          <w:rFonts w:eastAsia="Times New Roman" w:cs="Arial"/>
          <w:bCs/>
          <w:i/>
          <w:iCs/>
          <w:color w:val="auto"/>
          <w:sz w:val="20"/>
          <w:lang w:eastAsia="es-ES"/>
        </w:rPr>
        <w:t>actualiza</w:t>
      </w:r>
      <w:proofErr w:type="spellEnd"/>
      <w:r w:rsidRPr="00695B2C">
        <w:rPr>
          <w:rFonts w:eastAsia="Times New Roman" w:cs="Arial"/>
          <w:bCs/>
          <w:i/>
          <w:iCs/>
          <w:color w:val="auto"/>
          <w:sz w:val="20"/>
          <w:lang w:eastAsia="es-ES"/>
        </w:rPr>
        <w:t xml:space="preserve"> alguno de los supuestos de reserva o confidencialidad, de conformidad con lo dispuesto en el presente título. </w:t>
      </w:r>
    </w:p>
    <w:p w14:paraId="7E6F48F8" w14:textId="77777777" w:rsidR="006956C9" w:rsidRPr="00695B2C" w:rsidRDefault="006956C9" w:rsidP="006461DA">
      <w:pPr>
        <w:spacing w:after="0" w:line="360" w:lineRule="auto"/>
        <w:ind w:left="567" w:right="616"/>
        <w:rPr>
          <w:rFonts w:eastAsia="Times New Roman" w:cs="Arial"/>
          <w:bCs/>
          <w:i/>
          <w:iCs/>
          <w:color w:val="auto"/>
          <w:sz w:val="20"/>
          <w:lang w:eastAsia="es-ES"/>
        </w:rPr>
      </w:pPr>
    </w:p>
    <w:p w14:paraId="12041728" w14:textId="77777777" w:rsidR="006956C9" w:rsidRPr="00695B2C" w:rsidRDefault="007E2897"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Los supuestos de reserva o confidencialidad previstos en las leyes deberán ser acordes con las bases, principios y disposiciones establecidos en la Ley General y, en ningún caso, podrán contravenirla. </w:t>
      </w:r>
    </w:p>
    <w:p w14:paraId="0A15FBAB" w14:textId="77777777" w:rsidR="006956C9" w:rsidRPr="00695B2C" w:rsidRDefault="006956C9" w:rsidP="006461DA">
      <w:pPr>
        <w:spacing w:after="0" w:line="360" w:lineRule="auto"/>
        <w:ind w:left="567" w:right="616"/>
        <w:rPr>
          <w:rFonts w:eastAsia="Times New Roman" w:cs="Arial"/>
          <w:bCs/>
          <w:i/>
          <w:iCs/>
          <w:color w:val="auto"/>
          <w:sz w:val="20"/>
          <w:lang w:eastAsia="es-ES"/>
        </w:rPr>
      </w:pPr>
    </w:p>
    <w:p w14:paraId="617F49EE" w14:textId="0864970E" w:rsidR="006956C9" w:rsidRPr="00695B2C" w:rsidRDefault="007E2897"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lastRenderedPageBreak/>
        <w:t xml:space="preserve">Los titulares de las áreas de los sujetos obligados serán los responsables de clasificar la información, de conformidad con lo dispuesto en la presente Ley y demás disposiciones jurídicas aplicables.” </w:t>
      </w:r>
    </w:p>
    <w:p w14:paraId="2DAC8F0F" w14:textId="77777777" w:rsidR="006956C9" w:rsidRPr="00695B2C" w:rsidRDefault="006956C9" w:rsidP="006461DA">
      <w:pPr>
        <w:spacing w:after="0" w:line="360" w:lineRule="auto"/>
        <w:ind w:left="567" w:right="616"/>
        <w:rPr>
          <w:rFonts w:eastAsia="Times New Roman" w:cs="Arial"/>
          <w:bCs/>
          <w:i/>
          <w:iCs/>
          <w:color w:val="auto"/>
          <w:sz w:val="20"/>
          <w:lang w:eastAsia="es-ES"/>
        </w:rPr>
      </w:pPr>
    </w:p>
    <w:p w14:paraId="67B662D5" w14:textId="77777777" w:rsidR="006956C9" w:rsidRPr="00695B2C" w:rsidRDefault="007E2897"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“Artículo 130. Los sujetos obligados deberán aplicar, de manera restrictiva y limitada, las excepciones al derecho de acceso a la información y sólo podrán invocarlas cuando acrediten su procedencia, sin ampliar las excepciones o supuestos de reserva o confidencialidad previstos en la Ley General y la presente Ley, aduciendo analogía o mayoría de razón.</w:t>
      </w:r>
      <w:r w:rsidR="006956C9" w:rsidRPr="00695B2C">
        <w:rPr>
          <w:rFonts w:eastAsia="Times New Roman" w:cs="Arial"/>
          <w:bCs/>
          <w:i/>
          <w:iCs/>
          <w:color w:val="auto"/>
          <w:sz w:val="20"/>
          <w:lang w:eastAsia="es-ES"/>
        </w:rPr>
        <w:t>”</w:t>
      </w:r>
    </w:p>
    <w:p w14:paraId="55C14F5F" w14:textId="77777777" w:rsidR="006956C9" w:rsidRPr="00695B2C" w:rsidRDefault="006956C9" w:rsidP="006461DA">
      <w:pPr>
        <w:spacing w:after="0" w:line="360" w:lineRule="auto"/>
        <w:ind w:left="567" w:right="616"/>
        <w:rPr>
          <w:rFonts w:eastAsia="Times New Roman" w:cs="Arial"/>
          <w:bCs/>
          <w:i/>
          <w:iCs/>
          <w:color w:val="auto"/>
          <w:sz w:val="20"/>
          <w:lang w:eastAsia="es-ES"/>
        </w:rPr>
      </w:pPr>
    </w:p>
    <w:p w14:paraId="7899B8FB" w14:textId="77777777" w:rsidR="006956C9" w:rsidRPr="00695B2C" w:rsidRDefault="007E2897"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“Artículo 140. El acceso a la información pública será restringido excepcionalmente, cuando por razones de interés público, ésta sea clasificada como reservada, conforme a los criterios siguientes:</w:t>
      </w:r>
      <w:r w:rsidR="00881603" w:rsidRPr="00695B2C">
        <w:rPr>
          <w:rFonts w:eastAsia="Times New Roman" w:cs="Arial"/>
          <w:bCs/>
          <w:i/>
          <w:iCs/>
          <w:color w:val="auto"/>
          <w:sz w:val="20"/>
          <w:lang w:eastAsia="es-ES"/>
        </w:rPr>
        <w:t xml:space="preserve"> </w:t>
      </w:r>
    </w:p>
    <w:p w14:paraId="75C92389" w14:textId="77777777" w:rsidR="006956C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VI.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14:paraId="7DBCB039" w14:textId="77777777" w:rsidR="006956C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IX. Se encuentre contenida dentro de las investigaciones de hechos que la Ley señala como delitos y se tramiten ante el Ministerio Público; … </w:t>
      </w:r>
    </w:p>
    <w:p w14:paraId="06E1AF38" w14:textId="77777777" w:rsidR="006956C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XI. Las que por disposición expresa de una ley tengan tal carácter, siempre que sean acordes con las bases, principios y disposiciones establecidos en esta Ley y no la contravengan; así como las previstas en tratados internacionales.”</w:t>
      </w:r>
    </w:p>
    <w:p w14:paraId="28A81758" w14:textId="77777777" w:rsidR="006956C9" w:rsidRPr="00695B2C" w:rsidRDefault="006956C9" w:rsidP="006461DA">
      <w:pPr>
        <w:spacing w:after="0" w:line="360" w:lineRule="auto"/>
        <w:ind w:left="567" w:right="616"/>
        <w:rPr>
          <w:rFonts w:eastAsia="Times New Roman" w:cs="Arial"/>
          <w:bCs/>
          <w:i/>
          <w:iCs/>
          <w:color w:val="auto"/>
          <w:sz w:val="20"/>
          <w:lang w:eastAsia="es-ES"/>
        </w:rPr>
      </w:pPr>
    </w:p>
    <w:p w14:paraId="244EA51E" w14:textId="77777777"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“Artículo 113. Como información reservada podrá clasificarse aquella cuya publicación: … </w:t>
      </w:r>
    </w:p>
    <w:p w14:paraId="2D116C1F" w14:textId="77777777"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VII. Obstruya la prevención o persecución de los delitos; … </w:t>
      </w:r>
    </w:p>
    <w:p w14:paraId="5C08ED9E" w14:textId="77777777"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XII. Se encuentre contenida dentro de las investigaciones de hechos que la ley señale como delitos y se tramiten ante el Ministerio Público, y </w:t>
      </w:r>
    </w:p>
    <w:p w14:paraId="221F38C5" w14:textId="106DB6C2" w:rsidR="007E2897"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XIII. Las que por disposición expresa de una ley tengan tal carácter, siempre que sean acordes con las bases, principios y disposiciones establecidos en esta Ley y no la contravengan; así como las previstas en tratados internacionales.”</w:t>
      </w:r>
    </w:p>
    <w:p w14:paraId="6C736210" w14:textId="2185F501" w:rsidR="00881603" w:rsidRPr="00695B2C" w:rsidRDefault="00881603" w:rsidP="006461DA">
      <w:pPr>
        <w:spacing w:after="0" w:line="360" w:lineRule="auto"/>
        <w:ind w:left="567" w:right="616"/>
        <w:rPr>
          <w:rFonts w:eastAsia="Times New Roman" w:cs="Arial"/>
          <w:bCs/>
          <w:i/>
          <w:iCs/>
          <w:color w:val="auto"/>
          <w:sz w:val="20"/>
          <w:lang w:eastAsia="es-ES"/>
        </w:rPr>
      </w:pPr>
    </w:p>
    <w:p w14:paraId="45205F00" w14:textId="77777777"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Aunado a los artículos referidos, los numerales Vigésimo sexto, Trigésimo Primero y Trigésimo Segundo de los Lineamientos Generales en Materia de Clasificación y Desclasificación de la Información, así como para la Elaboración de Versiones Públicas, aprobados por el Consejo Nacional del Sistema Nacional de Transparencia, Acceso a la Información Pública y Protección de Datos Personales, disponen que podrá considerarse como información reservada, en términos de lo previsto en el artículo 113 fracciones VII, XII y XIII de la Ley General de Transparencia antes invocada cuando: exista un proceso penal o una carpeta de investigación en trámite, se acredite el vínculo que existe entre la información solicitada y la carpeta de investigación, o el proceso penal, según sea el caso, y que la difusión de la información pueda impedir u obstruir las funciones que ejerce el Ministerio Público o su equivalente durante la etapa de investigación o ante los tribunales judiciales con motivo del ejercicio de la acción penal, así como aquella reservada por disposición de Ley. </w:t>
      </w:r>
    </w:p>
    <w:p w14:paraId="62A18C89" w14:textId="77777777" w:rsidR="00B67204" w:rsidRPr="00695B2C" w:rsidRDefault="00B67204" w:rsidP="006461DA">
      <w:pPr>
        <w:spacing w:after="0" w:line="360" w:lineRule="auto"/>
        <w:ind w:left="567" w:right="616"/>
        <w:rPr>
          <w:rFonts w:eastAsia="Times New Roman" w:cs="Arial"/>
          <w:bCs/>
          <w:i/>
          <w:iCs/>
          <w:color w:val="auto"/>
          <w:sz w:val="20"/>
          <w:lang w:eastAsia="es-ES"/>
        </w:rPr>
      </w:pPr>
    </w:p>
    <w:p w14:paraId="11A2075A" w14:textId="05E94FA8"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Situación que se actualiza en el presente asunto, ya que lo requerido por el peticionario a través de su solicitud de información consiste en las constancias que integran una Carpeta de Investigación, que actualmente se encuentra en trámite, por lo cual permitir su acceso o difundirla, pone en riesgo el desarrollo de la propia investigación, trasgrediendo la prohibición de divulgar la información producto de las actividades relativas a la procuración de justicia. </w:t>
      </w:r>
    </w:p>
    <w:p w14:paraId="06DA1B81" w14:textId="77777777" w:rsidR="00B67204" w:rsidRPr="00695B2C" w:rsidRDefault="00B67204" w:rsidP="006461DA">
      <w:pPr>
        <w:spacing w:after="0" w:line="360" w:lineRule="auto"/>
        <w:ind w:left="567" w:right="616"/>
        <w:rPr>
          <w:rFonts w:eastAsia="Times New Roman" w:cs="Arial"/>
          <w:bCs/>
          <w:i/>
          <w:iCs/>
          <w:color w:val="auto"/>
          <w:sz w:val="20"/>
          <w:lang w:eastAsia="es-ES"/>
        </w:rPr>
      </w:pPr>
    </w:p>
    <w:p w14:paraId="4C7AAE35" w14:textId="77777777" w:rsidR="00B67204" w:rsidRPr="00695B2C" w:rsidRDefault="00B67204"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SEGUNDO. -</w:t>
      </w:r>
      <w:r w:rsidR="00881603" w:rsidRPr="00695B2C">
        <w:rPr>
          <w:rFonts w:eastAsia="Times New Roman" w:cs="Arial"/>
          <w:bCs/>
          <w:i/>
          <w:iCs/>
          <w:color w:val="auto"/>
          <w:sz w:val="20"/>
          <w:lang w:eastAsia="es-ES"/>
        </w:rPr>
        <w:t xml:space="preserve"> Ahora bien, el artículo 15 del Código Nacional de Procedimientos Penales, señala que, en todo procedimiento penal, se respetará el derecho a la intimidad de cualquier persona que intervenga en él, asimismo, se protegerá la información que se refiere a la vida privada y los datos personales, en los términos y con las excepciones que fijen la Constitución y la legislación aplicable. </w:t>
      </w:r>
    </w:p>
    <w:p w14:paraId="78916700" w14:textId="77777777" w:rsidR="00B67204" w:rsidRPr="00695B2C" w:rsidRDefault="00B67204" w:rsidP="006461DA">
      <w:pPr>
        <w:spacing w:after="0" w:line="360" w:lineRule="auto"/>
        <w:ind w:left="567" w:right="616"/>
        <w:rPr>
          <w:rFonts w:eastAsia="Times New Roman" w:cs="Arial"/>
          <w:bCs/>
          <w:i/>
          <w:iCs/>
          <w:color w:val="auto"/>
          <w:sz w:val="20"/>
          <w:lang w:eastAsia="es-ES"/>
        </w:rPr>
      </w:pPr>
    </w:p>
    <w:p w14:paraId="3716F1AE" w14:textId="77777777"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El citado Código Nacional, señala en su artículo 127 que es competencia del Ministerio Público conducir la investigación, coordinar a las Policías y a los servicios periciales durante la investigación, resolver sobre el ejercicio de la acción penal en la forma establecida por la ley y en su caso, ordenar las diligencias pertinentes y útiles para demostrar, o no, la existencia del delito y la responsabilidad de quien lo cometió o participó en su comisión. </w:t>
      </w:r>
    </w:p>
    <w:p w14:paraId="3BA240D0" w14:textId="77777777" w:rsidR="00B67204" w:rsidRPr="00695B2C" w:rsidRDefault="00B67204" w:rsidP="006461DA">
      <w:pPr>
        <w:spacing w:after="0" w:line="360" w:lineRule="auto"/>
        <w:ind w:left="567" w:right="616"/>
        <w:rPr>
          <w:rFonts w:eastAsia="Times New Roman" w:cs="Arial"/>
          <w:bCs/>
          <w:i/>
          <w:iCs/>
          <w:color w:val="auto"/>
          <w:sz w:val="20"/>
          <w:lang w:eastAsia="es-ES"/>
        </w:rPr>
      </w:pPr>
    </w:p>
    <w:p w14:paraId="2B14DE23" w14:textId="0642617A" w:rsidR="00881603"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En ese sentido, el artículo 212 del Código de referencia, establece que cuando el Ministerio Público tenga conocimiento de la existencia de un hecho que la ley señale como delito, dirigirá la investigación penal, sin que pueda suspender, interrumpir o hacer cesar su curso, salvo en los casos autorizados en la misma. La investigación deberá realizarse de manera inmediata, eficiente, exhaustiva, profesional e imparcial, libre de estereotipos y discriminación, orientada a explorar todas las líneas de investigación posibles que permitan allegarse de datos para el esclarecimiento del hecho que la ley señala como delito; así como, la identificación de quien lo cometió o participó en su comisión.</w:t>
      </w:r>
    </w:p>
    <w:p w14:paraId="563CD42B" w14:textId="76A46004" w:rsidR="00881603" w:rsidRPr="00695B2C" w:rsidRDefault="00881603" w:rsidP="006461DA">
      <w:pPr>
        <w:spacing w:after="0" w:line="360" w:lineRule="auto"/>
        <w:ind w:left="567" w:right="616"/>
        <w:rPr>
          <w:rFonts w:eastAsia="Times New Roman" w:cs="Arial"/>
          <w:bCs/>
          <w:i/>
          <w:iCs/>
          <w:color w:val="auto"/>
          <w:sz w:val="20"/>
          <w:lang w:eastAsia="es-ES"/>
        </w:rPr>
      </w:pPr>
    </w:p>
    <w:p w14:paraId="7DC13D47" w14:textId="77777777"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Aunado a lo anterior, los artículos 15 y 106 del referido Código Nacional de Procedimientos Penales, a la letra señalan lo siguiente:</w:t>
      </w:r>
    </w:p>
    <w:p w14:paraId="5DA65100" w14:textId="77777777" w:rsidR="00B67204" w:rsidRPr="00695B2C" w:rsidRDefault="00B67204" w:rsidP="006461DA">
      <w:pPr>
        <w:spacing w:after="0" w:line="360" w:lineRule="auto"/>
        <w:ind w:left="567" w:right="616"/>
        <w:rPr>
          <w:rFonts w:eastAsia="Times New Roman" w:cs="Arial"/>
          <w:bCs/>
          <w:i/>
          <w:iCs/>
          <w:color w:val="auto"/>
          <w:sz w:val="20"/>
          <w:lang w:eastAsia="es-ES"/>
        </w:rPr>
      </w:pPr>
    </w:p>
    <w:p w14:paraId="1BE2C491" w14:textId="77777777"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"Artículo 15. Derecho a la intimidad yola privacidad En todo procedimiento penal se respetará el derecho a la intimidad de cualquier persona que intervenga en él, asimismo se protegerá la información que </w:t>
      </w:r>
      <w:proofErr w:type="spellStart"/>
      <w:r w:rsidRPr="00695B2C">
        <w:rPr>
          <w:rFonts w:eastAsia="Times New Roman" w:cs="Arial"/>
          <w:bCs/>
          <w:i/>
          <w:iCs/>
          <w:color w:val="auto"/>
          <w:sz w:val="20"/>
          <w:lang w:eastAsia="es-ES"/>
        </w:rPr>
        <w:t>serefiere</w:t>
      </w:r>
      <w:proofErr w:type="spellEnd"/>
      <w:r w:rsidRPr="00695B2C">
        <w:rPr>
          <w:rFonts w:eastAsia="Times New Roman" w:cs="Arial"/>
          <w:bCs/>
          <w:i/>
          <w:iCs/>
          <w:color w:val="auto"/>
          <w:sz w:val="20"/>
          <w:lang w:eastAsia="es-ES"/>
        </w:rPr>
        <w:t xml:space="preserve"> a la vida privada y los datos personales, en los términos y con las excepciones que fijan la Constitución, este Código y la legislación aplicable. </w:t>
      </w:r>
    </w:p>
    <w:p w14:paraId="213DA619" w14:textId="77777777" w:rsidR="00B67204" w:rsidRPr="00695B2C" w:rsidRDefault="00B67204" w:rsidP="006461DA">
      <w:pPr>
        <w:spacing w:after="0" w:line="360" w:lineRule="auto"/>
        <w:ind w:left="567" w:right="616"/>
        <w:rPr>
          <w:rFonts w:eastAsia="Times New Roman" w:cs="Arial"/>
          <w:bCs/>
          <w:i/>
          <w:iCs/>
          <w:color w:val="auto"/>
          <w:sz w:val="20"/>
          <w:lang w:eastAsia="es-ES"/>
        </w:rPr>
      </w:pPr>
    </w:p>
    <w:p w14:paraId="599AECFF" w14:textId="77777777"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Artículo 106. Reserva sobre la identidad En ningún caso se podrá hacer referencia o comunicar a terceros no legitimados la información confidencial relativa a los datos personales de los sujetos del procedimiento penal o de cualquier persona relacionada o mencionada en éste. </w:t>
      </w:r>
    </w:p>
    <w:p w14:paraId="62E7D397" w14:textId="77777777" w:rsidR="00B67204" w:rsidRPr="00695B2C" w:rsidRDefault="00B67204" w:rsidP="006461DA">
      <w:pPr>
        <w:spacing w:after="0" w:line="360" w:lineRule="auto"/>
        <w:ind w:left="567" w:right="616"/>
        <w:rPr>
          <w:rFonts w:eastAsia="Times New Roman" w:cs="Arial"/>
          <w:bCs/>
          <w:i/>
          <w:iCs/>
          <w:color w:val="auto"/>
          <w:sz w:val="20"/>
          <w:lang w:eastAsia="es-ES"/>
        </w:rPr>
      </w:pPr>
    </w:p>
    <w:p w14:paraId="7953DFEA" w14:textId="77777777"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Toda violación al deber de reserva por parte de los servidores públicos, será sancionada por la legislación aplicable. </w:t>
      </w:r>
    </w:p>
    <w:p w14:paraId="2ED01EE1" w14:textId="77777777" w:rsidR="00B67204" w:rsidRPr="00695B2C" w:rsidRDefault="00B67204" w:rsidP="006461DA">
      <w:pPr>
        <w:spacing w:after="0" w:line="360" w:lineRule="auto"/>
        <w:ind w:left="567" w:right="616"/>
        <w:rPr>
          <w:rFonts w:eastAsia="Times New Roman" w:cs="Arial"/>
          <w:bCs/>
          <w:i/>
          <w:iCs/>
          <w:color w:val="auto"/>
          <w:sz w:val="20"/>
          <w:lang w:eastAsia="es-ES"/>
        </w:rPr>
      </w:pPr>
    </w:p>
    <w:p w14:paraId="2EED5142" w14:textId="77777777"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los casos de personas sustraídas de la acción de la justicia, se admitirá la publicación de los datos que permitan la identificación del imputado para ejecutar la orden judicial de aprehensión o de comparecencia.” </w:t>
      </w:r>
    </w:p>
    <w:p w14:paraId="4AF27B63" w14:textId="77777777" w:rsidR="00B67204" w:rsidRPr="00695B2C" w:rsidRDefault="00B67204" w:rsidP="006461DA">
      <w:pPr>
        <w:spacing w:after="0" w:line="360" w:lineRule="auto"/>
        <w:ind w:left="567" w:right="616"/>
        <w:rPr>
          <w:rFonts w:eastAsia="Times New Roman" w:cs="Arial"/>
          <w:bCs/>
          <w:i/>
          <w:iCs/>
          <w:color w:val="auto"/>
          <w:sz w:val="20"/>
          <w:lang w:eastAsia="es-ES"/>
        </w:rPr>
      </w:pPr>
    </w:p>
    <w:p w14:paraId="3542D588" w14:textId="77777777"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lastRenderedPageBreak/>
        <w:t xml:space="preserve">Así pues, como se advierte del marco normativo invocado, existen disposiciones legales expresas que determinan la reserva de lo información requerida, así como de lo identidad de los sujetos del procedimiento penal o de cualquier persona relacionada o mencionada en éste, pues como se observó de los numerales transcritos, durante el procedimiento penal, existen derechos que deben de ser respetados, tales como el derecho a lo intimidad y a la privacidad, por lo que en el caso de entregar la información solicitada, se verían vulnerados, pues se estarían revelando información que se encuentra dentro de un proceso penal en trámite; por lo tanto se reitera la imposibilidad de entregar la información solicitada. </w:t>
      </w:r>
    </w:p>
    <w:p w14:paraId="7651E953" w14:textId="77777777" w:rsidR="00B67204" w:rsidRPr="00695B2C" w:rsidRDefault="00B67204" w:rsidP="006461DA">
      <w:pPr>
        <w:spacing w:after="0" w:line="360" w:lineRule="auto"/>
        <w:ind w:left="567" w:right="616"/>
        <w:rPr>
          <w:rFonts w:eastAsia="Times New Roman" w:cs="Arial"/>
          <w:bCs/>
          <w:i/>
          <w:iCs/>
          <w:color w:val="auto"/>
          <w:sz w:val="20"/>
          <w:lang w:eastAsia="es-ES"/>
        </w:rPr>
      </w:pPr>
    </w:p>
    <w:p w14:paraId="7197A701" w14:textId="77777777"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Por su parte, el artículo 213 del referido Código Nacional dicta que la investigación tiene por objeto que el Ministerio Público reúna indicios para el esclarecimiento de los hechos y, en su caso, los datos de prueba para sustentar el ejercicio de la acción penal contra el imputado y la reparación del daño. </w:t>
      </w:r>
    </w:p>
    <w:p w14:paraId="21E799A1" w14:textId="77777777" w:rsidR="00B67204" w:rsidRPr="00695B2C" w:rsidRDefault="00B67204" w:rsidP="006461DA">
      <w:pPr>
        <w:spacing w:after="0" w:line="360" w:lineRule="auto"/>
        <w:ind w:left="567" w:right="616"/>
        <w:rPr>
          <w:rFonts w:eastAsia="Times New Roman" w:cs="Arial"/>
          <w:bCs/>
          <w:i/>
          <w:iCs/>
          <w:color w:val="auto"/>
          <w:sz w:val="20"/>
          <w:lang w:eastAsia="es-ES"/>
        </w:rPr>
      </w:pPr>
    </w:p>
    <w:p w14:paraId="2C8E9361" w14:textId="77777777" w:rsidR="00B6720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Así mismo, de acuerdo al artículo 218 del Código Nacional de Procedimientos Penales, se advierte que los registros de la investigación, así como todos los documentos, independientemente de su contenido o naturaleza, los objetos, los registros de voz e imágenes o cosas que le estén relacionados, son estrictamente reservados, por lo que únicamente la víctima u ofendido, su asesor jurídico, el imputado y su defensor (estos dos últimos cuando se haya dictado auto de vinculación a proceso, o bien el imputado se encuentre detenido, sea citado para su comparecencia o sea sujeto a un acto de molestia y se pretenda recibir su entrevista), podrán tener acceso a los mismos, con las limitaciones previstas en el mismo código y demás disposiciones aplicables. En este sentido, la reserva de información debe entenderse en relación con personas ajenas a la investigación. </w:t>
      </w:r>
    </w:p>
    <w:p w14:paraId="6F137F9C" w14:textId="77777777" w:rsidR="00B67204" w:rsidRPr="00695B2C" w:rsidRDefault="00B67204" w:rsidP="006461DA">
      <w:pPr>
        <w:spacing w:after="0" w:line="360" w:lineRule="auto"/>
        <w:ind w:left="567" w:right="616"/>
        <w:rPr>
          <w:rFonts w:eastAsia="Times New Roman" w:cs="Arial"/>
          <w:bCs/>
          <w:i/>
          <w:iCs/>
          <w:color w:val="auto"/>
          <w:sz w:val="20"/>
          <w:lang w:eastAsia="es-ES"/>
        </w:rPr>
      </w:pPr>
    </w:p>
    <w:p w14:paraId="66BF7D8D"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De igual forma, dicho artículo señala que para efectos de acceso a la información pública gubernamental, el Ministerio Público únicamente deberá proporcionar una versión pública de las determinaciones de no ejercicio de la acción penal, archivo temporal o de aplicación de un criterio de oportunidad, siempre que haya transcurrido un plazo igual al de prescripción de los delitos de que se trate, de conformidad con lo dispuesto en el Código Penal Federal o estatal correspondiente, sin </w:t>
      </w:r>
      <w:r w:rsidRPr="00695B2C">
        <w:rPr>
          <w:rFonts w:eastAsia="Times New Roman" w:cs="Arial"/>
          <w:bCs/>
          <w:i/>
          <w:iCs/>
          <w:color w:val="auto"/>
          <w:sz w:val="20"/>
          <w:lang w:eastAsia="es-ES"/>
        </w:rPr>
        <w:lastRenderedPageBreak/>
        <w:t xml:space="preserve">que pueda ser menor de tres años, ni mayor de doce años, contado a partir de que dicha determinación haya quedado firme. </w:t>
      </w:r>
    </w:p>
    <w:p w14:paraId="54FFF54C"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60673EFF"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En ese tenor, queda de manifiesto que el Código Nacional de Procedimientos Penales establece de forma precisa, los supuestos que rigen la tramitación de las carpetas de investigación; así como, los derechos de las partes en ellas involucradas para acceder a las mismas, así como la publicidad de estas, cuando cumplan los requisitos legales para su difusión.</w:t>
      </w:r>
    </w:p>
    <w:p w14:paraId="3E968456"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1B0476F6" w14:textId="73E8A1DD" w:rsidR="00881603"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Por lo que corresponde al ámbito estatal, es preciso señalar lo establecido en los artículos 2 y 81, fracción V de la ley de Seguridad del Estado de México, establecen lo siguiente:</w:t>
      </w:r>
    </w:p>
    <w:p w14:paraId="59524FC3" w14:textId="45CAC0F5" w:rsidR="00881603" w:rsidRPr="00695B2C" w:rsidRDefault="00881603" w:rsidP="006461DA">
      <w:pPr>
        <w:spacing w:after="0" w:line="360" w:lineRule="auto"/>
        <w:ind w:left="567" w:right="616"/>
        <w:rPr>
          <w:rFonts w:eastAsia="Times New Roman" w:cs="Arial"/>
          <w:bCs/>
          <w:i/>
          <w:iCs/>
          <w:color w:val="auto"/>
          <w:sz w:val="20"/>
          <w:lang w:eastAsia="es-ES"/>
        </w:rPr>
      </w:pPr>
    </w:p>
    <w:p w14:paraId="032ADA8D"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“Artículo 2.- La seguridad pública es una función a cargo del Estado y los Municipios, que tiene como fines salvaguardar la integridad y derechos de las personas, así como preservar las libertades, el orden y la paz públicos y comprende la prevención especial y general de los delitos, la investigación para hacerla efectiva, así como la investigación y la persecución de los delitos, la reinserción social del individuo y la sanción de las infracciones administrativas, en las competencias respectivas en términos de esta Ley y demás ordenamientos jurídicos aplicables. </w:t>
      </w:r>
    </w:p>
    <w:p w14:paraId="3E6D3623"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1175552F"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Las acciones en el ejercicio de la función de seguridad pública tendrán como eje central a la persona humana y, por ende, contribuirán al establecimiento de la seguridad ciudadana, la cual tiene por objeto proteger a las personas; asegurar el ejercicio de su ciudadanía, sus libertades y derechos fundamentales; establecer espacios de participación social corresponsable y armónica; propiciar la solución pacífica de los conflictos interpersonales y sociales; fortalecer a las instituciones, y propiciar condiciones durables que permitan a los ciudadanos desarrollar sus capacidades, en un ambiente de paz y democracia. </w:t>
      </w:r>
    </w:p>
    <w:p w14:paraId="20FAE388"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0F01D5D7" w14:textId="5D51AA30"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Las referencias contenidas en esta Ley en materia de seguridad pública, deberán interpretarse de manera que contribuyan al objeto y fines de la seguridad ciudadana.”</w:t>
      </w:r>
    </w:p>
    <w:p w14:paraId="31EE0E7A"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0B8B8B65"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lastRenderedPageBreak/>
        <w:t xml:space="preserve">“Artículo 81.- Toda información para la seguridad pública generada o en poder de Instituciones de Seguridad Pública o de cualquier instancia del Sistema Estatal debe registrarse, clasificarse y tratarse de conformidad con las disposiciones aplicables. No </w:t>
      </w:r>
      <w:proofErr w:type="gramStart"/>
      <w:r w:rsidRPr="00695B2C">
        <w:rPr>
          <w:rFonts w:eastAsia="Times New Roman" w:cs="Arial"/>
          <w:bCs/>
          <w:i/>
          <w:iCs/>
          <w:color w:val="auto"/>
          <w:sz w:val="20"/>
          <w:lang w:eastAsia="es-ES"/>
        </w:rPr>
        <w:t>obstante</w:t>
      </w:r>
      <w:proofErr w:type="gramEnd"/>
      <w:r w:rsidRPr="00695B2C">
        <w:rPr>
          <w:rFonts w:eastAsia="Times New Roman" w:cs="Arial"/>
          <w:bCs/>
          <w:i/>
          <w:iCs/>
          <w:color w:val="auto"/>
          <w:sz w:val="20"/>
          <w:lang w:eastAsia="es-ES"/>
        </w:rPr>
        <w:t xml:space="preserve"> lo anterior, esta información se considerará reservada en los casos siguientes: </w:t>
      </w:r>
    </w:p>
    <w:p w14:paraId="4480C235" w14:textId="3010B20E"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 </w:t>
      </w:r>
    </w:p>
    <w:p w14:paraId="62C3F18A"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V. La contenida en averiguaciones previas, carpetas de investigación, expedientes y demás archivos relativos a la investigación para la prevención y la investigación de los delitos y faltas administrativas, en términos de las disposiciones aplicables.” </w:t>
      </w:r>
    </w:p>
    <w:p w14:paraId="768DEAD7"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1E1F4740"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Conforme a los artículos citados, se desprende que es reservada toda aquella información contenida en averiguaciones previas, carpetas de investigación, expedientes y demás archivos relativos a la investigación, sin omitir señalar, que este órgano autónomo forma parte de las autoridades estatales en materia de seguridad pública, de conformidad con el artículo 14, fracción IV de la Ley de Seguridad del Estado de México, mismo que establece lo siguiente: </w:t>
      </w:r>
    </w:p>
    <w:p w14:paraId="79BB60C8"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61A4439B"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“Artículo 14.-Son autoridades estatales en materia de seguridad pública: … </w:t>
      </w:r>
    </w:p>
    <w:p w14:paraId="3FF6F292"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IV. El Fiscal; y. </w:t>
      </w:r>
    </w:p>
    <w:p w14:paraId="34AE6C27"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 </w:t>
      </w:r>
    </w:p>
    <w:p w14:paraId="03E20A0D"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7EBE8B84"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Resulta preciso señalar, que esta Fiscalía General de Justicia es responsable de la investigación y del ejercicio de la acción penal a través de la institución del Ministerio Público, de acuerdo a lo señalado por los artículos 21 de la Constitución Política de los Estados Unidos Mexicanos; 81 y 83 de la Constitución Política del Estado Libre y Soberano de México, al cual le corresponde conducir la investigación, coordinar a las Policías y a los servicios periciales durante la investigación, resolver sobre el ejercicio de la acción penal en la forma establecida por la ley y, en su caso, ordenar las diligencias pertinentes y útiles para demostrar, o no, la existencia del delito y la responsabilidad de quien lo cometió o participó en su comisión. </w:t>
      </w:r>
    </w:p>
    <w:p w14:paraId="393337DD"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0C410883"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lastRenderedPageBreak/>
        <w:t>Así, la responsabilidad de investigar y perseguir los actos delictuosos debe asumirse por el Estado como una obligación propia y no como un mero trámite, ni su avance debe quedar a la gestión de los particulares afectados o de sus familiares, o de terceros completamente ajenos a la investigación correspondiente sino que realmente debe tratarse de una investigación seria, imparcial y efectiva, utilizando todos los medios legales disponibles que permitan la persecución, captura, enjuiciamiento y, en su caso, sanción a los responsables de los hechos, especialmente cuando están involucrados agentes estatales. Lo anterior, de conformidad con la siguiente Tesis Aislada:</w:t>
      </w:r>
    </w:p>
    <w:p w14:paraId="731FF048"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034649DD"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Época: Novena Época, Registro: 163168, Instancia: Pleno, Tipo de Tesis: Aislada, Fuente: Semanario Judicial de la Federación y su Gaceta, Tomo XXXIII, </w:t>
      </w:r>
      <w:proofErr w:type="gramStart"/>
      <w:r w:rsidRPr="00695B2C">
        <w:rPr>
          <w:rFonts w:eastAsia="Times New Roman" w:cs="Arial"/>
          <w:bCs/>
          <w:i/>
          <w:iCs/>
          <w:color w:val="auto"/>
          <w:sz w:val="20"/>
          <w:lang w:eastAsia="es-ES"/>
        </w:rPr>
        <w:t>Enero</w:t>
      </w:r>
      <w:proofErr w:type="gramEnd"/>
      <w:r w:rsidRPr="00695B2C">
        <w:rPr>
          <w:rFonts w:eastAsia="Times New Roman" w:cs="Arial"/>
          <w:bCs/>
          <w:i/>
          <w:iCs/>
          <w:color w:val="auto"/>
          <w:sz w:val="20"/>
          <w:lang w:eastAsia="es-ES"/>
        </w:rPr>
        <w:t xml:space="preserve"> de 2011, Materia(s): Constitucional, Tesis: P. LXIII/2010, Página: 25 </w:t>
      </w:r>
    </w:p>
    <w:p w14:paraId="36A6D478"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48134D22" w14:textId="59C78F83"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DERECHO DE ACCESO A LA JUSTICIA. LA INVESTIGACIÓN Y PERSECUCIÓN DE LOS DELITOS CONSTITUYEN UNA OBLIGACIÓN PROPIA DEL ESTADO QUE DEBE REALIZARSE DE FORMA SERIA, EFICAZ Y EFECTIVA. El derecho de acceso a la justicia previsto en la Constitución Política de los Estados Unidos Mexicanos está referido a la función jurisdiccional desarrollada por los tribunales, pero también debe entenderse vinculado, particularmente en el caso de la justicia penal, con la investigación y persecución de los delitos, función asignada al Ministerio Público conforme a los artículos 21 y 102, apartado A, constitucionales, pues tal prerrogativa tiene como presupuesto lógico, en una relación de interdependencia, la efectiva investigación de los delitos. Esta obligación de investigar y perseguir los actos delictuosos debe asumirse por el Estado como una obligación propia y no como un mero trámite, ni su avance debe quedar a la gestión de los particulares afectados o de sus familiares, sino que realmente debe tratarse de una investigación seria, imparcial y efectiva, utilizando todos los medios legales disponibles que permitan la persecución, captura, enjuiciamiento y, en su caso, sanción a los responsables de los hechos, especialmente cuando están involucrados agentes estatales. Ello es así, porque en el respeto a los derechos fundamentales, particularmente los relativos a la vida y a la integridad física, el Estado debe asumir una conducta activa y decidida para prevenir su vulneración, a través de las acciones legislativas, administrativas y judiciales necesarias, además de </w:t>
      </w:r>
      <w:r w:rsidRPr="00695B2C">
        <w:rPr>
          <w:rFonts w:eastAsia="Times New Roman" w:cs="Arial"/>
          <w:bCs/>
          <w:i/>
          <w:iCs/>
          <w:color w:val="auto"/>
          <w:sz w:val="20"/>
          <w:lang w:eastAsia="es-ES"/>
        </w:rPr>
        <w:lastRenderedPageBreak/>
        <w:t xml:space="preserve">acometer lo necesario para que, en caso de ser vulnerados, las conductas respectivas puedan ser sancionadas. </w:t>
      </w:r>
    </w:p>
    <w:p w14:paraId="66F82C47"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4A6E6F24"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TERCERO.- Con base en lo anterior, cuando proporcionar la información obstruya la prevención o persecución de los delitos, o se encuentre contenida dentro de las investigaciones de hechos que la ley señale como tal y se tramiten ante la Fiscalía General de Justicia del Estado, se estima que se trata de información reservada y por lo tanto no podrá difundirse, excepto dentro de los plazos y condiciones a que la propia ley se refiere, ya que por tratarse de información relacionada con la probable comisión de un ilícito, su divulgación podría obstruir la prevención o persecución de los delitos, siendo que debe prevalecer el interés que en la investigación respectiva, se permita al Ministerio Público allegarse de los datos para el esclarecimiento de los hechos que la ley señala como delitos, a efecto de poder resolver sobre su determinación. </w:t>
      </w:r>
    </w:p>
    <w:p w14:paraId="72D471B3"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2FF6B652"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Lo anterior, en estrecha relación con los numerales Vigésimo sexto, Trigésimo Primero y Trigésimo Segundo de los Lineamientos Generales en Materia de Clasificación y Desclasificación de la Información, así como para la Elaboración de Versiones Públicas, los cuales señalan lo siguiente: </w:t>
      </w:r>
    </w:p>
    <w:p w14:paraId="40F3E40E"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51EC28D0" w14:textId="77777777" w:rsidR="00EF30B4"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“Vigésimo sexto. De conformidad con el artículo 113, fracción VII de la Ley General, podrá considerarse como información reservada, aquella que obstruya la prevención de delitos al obstaculizar las acciones implementadas por las autoridades para evitar su comisión, o menoscabar o limitar la capacidad de las autoridades para evitar la comisión de delitos. Para que se verifique el supuesto de reserva, cuando se cause un perjuicio a las actividades de persecución de los delitos, deben de actualizarse los siguientes elementos: </w:t>
      </w:r>
    </w:p>
    <w:p w14:paraId="07D10E53" w14:textId="77777777" w:rsidR="00EF30B4" w:rsidRPr="00695B2C" w:rsidRDefault="00EF30B4" w:rsidP="006461DA">
      <w:pPr>
        <w:spacing w:after="0" w:line="360" w:lineRule="auto"/>
        <w:ind w:left="567" w:right="616"/>
        <w:rPr>
          <w:rFonts w:eastAsia="Times New Roman" w:cs="Arial"/>
          <w:bCs/>
          <w:i/>
          <w:iCs/>
          <w:color w:val="auto"/>
          <w:sz w:val="20"/>
          <w:lang w:eastAsia="es-ES"/>
        </w:rPr>
      </w:pPr>
    </w:p>
    <w:p w14:paraId="19E7412E" w14:textId="77777777" w:rsidR="00CC4198"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 La existencia de un proceso penal en sustanciación o una carpeta de investigación en trámite; </w:t>
      </w:r>
    </w:p>
    <w:p w14:paraId="5628FEE3" w14:textId="31260957" w:rsidR="00CC4198"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II. Que se acredite el vínculo que existe entre la información solicitada y la carpeta de investigación, o el proceso penal, según sea el caso, y </w:t>
      </w:r>
    </w:p>
    <w:p w14:paraId="222EF987"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lastRenderedPageBreak/>
        <w:t xml:space="preserve">III. Que la difusión de la información pueda impedir u obstruir las funciones que ejerce el Ministerio Público o su equivalente durante la etapa de investigación o ante los tribunales judiciales con motivo del ejercicio de la acción penal. </w:t>
      </w:r>
    </w:p>
    <w:p w14:paraId="27F056A9"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12D767E4"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Trigésimo primero. De conformidad con el artículo 113, fracción XII de la Ley General, podrá considerarse como información reservada, aquella que forme parte de las averiguaciones previas o carpetas de investigación que resulte de la etapa de investigación, durante la cual, de conformidad con la normativa en materia penal, el Ministerio Público o su equivalente reúne indicios para el esclarecimiento de los hechos y, en su caso, los datos de prueba para sustentar el ejercicio o no de la acción penal, la acusación contra el imputado y la reparación del daño. </w:t>
      </w:r>
    </w:p>
    <w:p w14:paraId="1F2C19BF"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4CB04117"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Trigésimo segundo. De conformidad con el artículo 113, fracción XIII de la Ley General, podrá considerarse como información reservada, aquella que por disposición expresa de una ley o de un Tratado Internacional del que el Estado mexicano sea parte, le otorgue tal carácter siempre que no se contravenga lo establecido en la Ley General. </w:t>
      </w:r>
    </w:p>
    <w:p w14:paraId="33935336"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3DC94E4C"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Para que se actualice este supuesto de reserva, los sujetos obligados deberán fundar y motivar la clasificación de la información, señalando de manera específica el supuesto normativo que expresamente le otorga ese carácter.” </w:t>
      </w:r>
    </w:p>
    <w:p w14:paraId="5E4583F7"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7B6C1C41"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CUARTO.- De lo anteriormente referido, se puede concluir que el contenido de una carpeta de investigación, al ser investigaciones del tipo criminal, se actualiza la excepción que dicta que esa información puede ser reservada, sin embargo previo a negar o limitar el Derecho de Acceso a la Información todas las autoridades deben realizar una prueba de daño que pondere y valore de manera fundada y motivada si ésta se proporciona o no, y si su divulgación podría causar un riesgo o perjuicio real, demostrable e identificable del perjuicio significativo al interés público o a la seguridad pública, que el riesgo de perjuicio que supondría la divulgación supera el interés público general de que se difunda; y que la limitación se adecua al principio de proporcionalidad y representa el medio menos restrictivo disponible representa el medio menos restrictivo disponible para evitar el perjuicio, </w:t>
      </w:r>
      <w:r w:rsidRPr="00695B2C">
        <w:rPr>
          <w:rFonts w:eastAsia="Times New Roman" w:cs="Arial"/>
          <w:bCs/>
          <w:i/>
          <w:iCs/>
          <w:color w:val="auto"/>
          <w:sz w:val="20"/>
          <w:lang w:eastAsia="es-ES"/>
        </w:rPr>
        <w:lastRenderedPageBreak/>
        <w:t xml:space="preserve">es decir de manera estricta debe demostrarse que el perjuicio u objetivo reservado, resulta mayormente afectado que los beneficios que podrían lograrse con la difusión de la información. </w:t>
      </w:r>
    </w:p>
    <w:p w14:paraId="6BC92E2D"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558A83B7"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Lo anterior, para lograr que de manera efectiva se respete el derecho humano establecido en el artículo 6°, fracción III, de la Constitución Política de los Estados Unidos Mexicanos, el cual dispone que toda persona, sin necesidad de acreditar interés alguno o justificar su utilización, tendrá acceso gratuito a la información pública. </w:t>
      </w:r>
    </w:p>
    <w:p w14:paraId="1E87AE17"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4DD8D148"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ese sentido, toda vez que no basta con que una norma legal tenga un fin legítimo para establecer una restricción al derecho fundamental, sino que, además, debe ser proporcional; es decir, se debe demostrar al ciudadano que la divulgación de la información amenaza con causar un perjuicio sustancial a la procuración de justicia, y que la negativa de la información se basa en que se perjudica más al interés público con su divulgación que al derecho del ciudadano, atendiendo a las consideraciones que señala el artículo 129 de la Ley de Transparencia de la entidad, en relación con el diverso 104 de la Ley General de Transparencia y Acceso a la Información pública, vinculado con el numeral Trigésimo tercero de los Lineamientos en materia de clasificación y desclasificación anteriormente señalados, se realizan las siguientes razones objetivas por las que la apertura de la información generaría una afectación, conforme a lo siguiente: </w:t>
      </w:r>
    </w:p>
    <w:p w14:paraId="141748BC"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734143F5"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I. Se deberá citar la fracción y, en su caso, la causal aplicable del artículo 113 de la Ley General, vinculándola con el Lineamiento específico del presente ordenamiento y, cuando corresponda, el supuesto normativo que expresamente le otorga el carácter de información reservada</w:t>
      </w:r>
      <w:r w:rsidR="006A7E69" w:rsidRPr="00695B2C">
        <w:rPr>
          <w:rFonts w:eastAsia="Times New Roman" w:cs="Arial"/>
          <w:bCs/>
          <w:i/>
          <w:iCs/>
          <w:color w:val="auto"/>
          <w:sz w:val="20"/>
          <w:lang w:eastAsia="es-ES"/>
        </w:rPr>
        <w:t>.</w:t>
      </w:r>
    </w:p>
    <w:p w14:paraId="482BCE5A"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455384B9"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Los artículos 6°, 16 y 20, apartado C, inciso V, de la Constitución Federal establecen el derecho a la protección de datos personales; el artículo 20, apartado B, inciso VI constitucional prevé que en las investigaciones abiertas se mantenga una reserva de actuaciones, así como el deber del Ministerio Público de mantener sigilo; y el artículo 20, apartado C, inciso V, párrafo segundo de la norma suprema obliga al Ministerio Público a garantizar la protección de las personas que intervengan en el proceso penal, particularmente la víctima, el ofendido y los testigos. Los derechos previstos en los </w:t>
      </w:r>
      <w:r w:rsidRPr="00695B2C">
        <w:rPr>
          <w:rFonts w:eastAsia="Times New Roman" w:cs="Arial"/>
          <w:bCs/>
          <w:i/>
          <w:iCs/>
          <w:color w:val="auto"/>
          <w:sz w:val="20"/>
          <w:lang w:eastAsia="es-ES"/>
        </w:rPr>
        <w:lastRenderedPageBreak/>
        <w:t xml:space="preserve">artículos constitucionales mencionados y los deberes que éstos imponen al Ministerio Público revelan que la tutela de las investigaciones abiertas y la seguridad de las personas son cuestiones de orden público, que justifican la restricción a la información solicitada. </w:t>
      </w:r>
    </w:p>
    <w:p w14:paraId="124E4CDE"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31B40412"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tal virtud, el artículo 218 del Código Nacional de Procedimientos Penales, señala que los registros de la investigación, así como todos los documentos, independientemente de su contenido o naturaleza, los objetos, los registros de voz e imágenes o cosas que le estén relacionados, son estrictamente reservados, por lo que únicamente las partes, podrán tener acceso a los mismos. </w:t>
      </w:r>
    </w:p>
    <w:p w14:paraId="262AEE0D"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5C8EA77C"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suma las fracciones VI, IX y XI del artículo 140 de la Ley de Transparencia del Estado de México, en relación con el numeral Vigésimo Sexto de los Lineamientos en Materia de Clasificación, señalan que el acceso a la información pública será restringida cuando su divulgación pueda causar daño u obstruya la prevención o persecución de los delitos, altere el proceso de investigación de las carpetas de investigación, afecte o vulnere la conducción o los derechos del debido proceso, se encuentre contenida dentro de las investigaciones de hechos que la Ley señale como delitos y se tramiten ante el Ministerio Público, así como aquellas que por disposición expresa de una ley tengan tal carácter. </w:t>
      </w:r>
    </w:p>
    <w:p w14:paraId="377BDCA7"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3C8F2BBE"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II. Mediante la ponderación de los intereses en conflicto, los sujetos obligados deberán demostrar que la publicidad de la información solicitada generaría un riesgo de perjuicio </w:t>
      </w:r>
      <w:proofErr w:type="gramStart"/>
      <w:r w:rsidRPr="00695B2C">
        <w:rPr>
          <w:rFonts w:eastAsia="Times New Roman" w:cs="Arial"/>
          <w:bCs/>
          <w:i/>
          <w:iCs/>
          <w:color w:val="auto"/>
          <w:sz w:val="20"/>
          <w:lang w:eastAsia="es-ES"/>
        </w:rPr>
        <w:t>y</w:t>
      </w:r>
      <w:proofErr w:type="gramEnd"/>
      <w:r w:rsidRPr="00695B2C">
        <w:rPr>
          <w:rFonts w:eastAsia="Times New Roman" w:cs="Arial"/>
          <w:bCs/>
          <w:i/>
          <w:iCs/>
          <w:color w:val="auto"/>
          <w:sz w:val="20"/>
          <w:lang w:eastAsia="es-ES"/>
        </w:rPr>
        <w:t xml:space="preserve"> por lo tanto, tendrán que acreditar que este último rebasa el interés público protegido por la reserva; </w:t>
      </w:r>
    </w:p>
    <w:p w14:paraId="7189E5AD"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0BB7017E"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La divulgación de la información solicitada, representa un riesgo real, demostrable e identificable de perjuicio significativo al interés público, toda vez que a la institución del Ministerio Público de conformidad a lo dispuesto en el artículo 33 de la Ley de la Fiscalía General de Justicia el Estado de México, es una institución única e indivisible, que funge como representante social en los intereses de quienes sean lesionadas o lesionados en sus derechos, a través de la investigación y persecución de los delitos y el ejercicio de la acción penal ante los tribunales competentes. </w:t>
      </w:r>
    </w:p>
    <w:p w14:paraId="34C69FA7"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4B5EA510"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lastRenderedPageBreak/>
        <w:t xml:space="preserve">La necesidad de mantener reservada la información es con el fin de que los elementos contenidos en la carpeta de investigación no sean utilizados de forma arbitraria o ventajosa por terceros ajenos a la investigación, </w:t>
      </w:r>
      <w:proofErr w:type="gramStart"/>
      <w:r w:rsidRPr="00695B2C">
        <w:rPr>
          <w:rFonts w:eastAsia="Times New Roman" w:cs="Arial"/>
          <w:bCs/>
          <w:i/>
          <w:iCs/>
          <w:color w:val="auto"/>
          <w:sz w:val="20"/>
          <w:lang w:eastAsia="es-ES"/>
        </w:rPr>
        <w:t>que</w:t>
      </w:r>
      <w:proofErr w:type="gramEnd"/>
      <w:r w:rsidRPr="00695B2C">
        <w:rPr>
          <w:rFonts w:eastAsia="Times New Roman" w:cs="Arial"/>
          <w:bCs/>
          <w:i/>
          <w:iCs/>
          <w:color w:val="auto"/>
          <w:sz w:val="20"/>
          <w:lang w:eastAsia="es-ES"/>
        </w:rPr>
        <w:t xml:space="preserve"> en términos del Código de Procedimientos Penales aplicable al caso concreto, no tienen derecho a acceder a la investigación. </w:t>
      </w:r>
    </w:p>
    <w:p w14:paraId="5AE82B50"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02A57234"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ese sentido, revelar la información requerida representa un menoscabo para la investigación y persecución del delito, pues, como ya se ha repetido, la reserva de la información, se encuentra expresamente prevista en diversas disposiciones normativas con tal carácter, siendo estas previsiones de orden público y de observancia general. </w:t>
      </w:r>
    </w:p>
    <w:p w14:paraId="41D8A0C4"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3D1CA32C" w14:textId="77777777" w:rsidR="006A7E69"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Si bien es cierto que la información generada por autoridades en ejercicio de sus funciones, es de carácter público, al formar parte de una carpeta de investigación, se actualiza la excepción a la publicidad de la información, para que la misma no pueda ser publicitada hasta pasado un lapso de tiempo y bajo ciertas modalidades, ya que exponer determinados datos de manera anticipada puede llevar al fracaso de las investigaciones que persiguen delitos. En ese sentido, las autoridades encargadas de investigar hechos ilícitos, como lo es la </w:t>
      </w:r>
      <w:proofErr w:type="gramStart"/>
      <w:r w:rsidRPr="00695B2C">
        <w:rPr>
          <w:rFonts w:eastAsia="Times New Roman" w:cs="Arial"/>
          <w:bCs/>
          <w:i/>
          <w:iCs/>
          <w:color w:val="auto"/>
          <w:sz w:val="20"/>
          <w:lang w:eastAsia="es-ES"/>
        </w:rPr>
        <w:t>Fiscalía General</w:t>
      </w:r>
      <w:proofErr w:type="gramEnd"/>
      <w:r w:rsidRPr="00695B2C">
        <w:rPr>
          <w:rFonts w:eastAsia="Times New Roman" w:cs="Arial"/>
          <w:bCs/>
          <w:i/>
          <w:iCs/>
          <w:color w:val="auto"/>
          <w:sz w:val="20"/>
          <w:lang w:eastAsia="es-ES"/>
        </w:rPr>
        <w:t xml:space="preserve"> de Justicia del Estado de México, deben de guardar sigilo y secrecía sobre sus actuaciones, pues no debe perderse de vista que, en muchos casos, el éxito de las investigaciones de este tipo depende de que sean oportunas y discretamente conducidas. </w:t>
      </w:r>
    </w:p>
    <w:p w14:paraId="0EFE0D89" w14:textId="77777777" w:rsidR="006A7E69" w:rsidRPr="00695B2C" w:rsidRDefault="006A7E69" w:rsidP="006461DA">
      <w:pPr>
        <w:spacing w:after="0" w:line="360" w:lineRule="auto"/>
        <w:ind w:left="567" w:right="616"/>
        <w:rPr>
          <w:rFonts w:eastAsia="Times New Roman" w:cs="Arial"/>
          <w:bCs/>
          <w:i/>
          <w:iCs/>
          <w:color w:val="auto"/>
          <w:sz w:val="20"/>
          <w:lang w:eastAsia="es-ES"/>
        </w:rPr>
      </w:pPr>
    </w:p>
    <w:p w14:paraId="3B7881E8" w14:textId="77777777" w:rsidR="00256878"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Es bajo tales perspectivas que resulta justificada la reserva de la información tratándose de carpetas de investigación, puesto que su divulgación a personas no autorizadas pone en riesgo la o las investigaciones en curso, robustece lo anterior la siguiente Tesis Aislada. Época: </w:t>
      </w:r>
    </w:p>
    <w:p w14:paraId="713C8D81" w14:textId="77777777" w:rsidR="00256878" w:rsidRPr="00695B2C" w:rsidRDefault="00256878" w:rsidP="006461DA">
      <w:pPr>
        <w:spacing w:after="0" w:line="360" w:lineRule="auto"/>
        <w:ind w:left="567" w:right="616"/>
        <w:rPr>
          <w:rFonts w:eastAsia="Times New Roman" w:cs="Arial"/>
          <w:bCs/>
          <w:i/>
          <w:iCs/>
          <w:color w:val="auto"/>
          <w:sz w:val="20"/>
          <w:lang w:eastAsia="es-ES"/>
        </w:rPr>
      </w:pPr>
    </w:p>
    <w:p w14:paraId="1140FD3D" w14:textId="77777777" w:rsidR="00256878"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Novena Época, Registro: 163166, Instancia: Pleno, Tipo de Tesis: Aislada, Fuente: Semanario Judicial de la Federación y su Gaceta, Tomo XXXIII, </w:t>
      </w:r>
      <w:proofErr w:type="gramStart"/>
      <w:r w:rsidRPr="00695B2C">
        <w:rPr>
          <w:rFonts w:eastAsia="Times New Roman" w:cs="Arial"/>
          <w:bCs/>
          <w:i/>
          <w:iCs/>
          <w:color w:val="auto"/>
          <w:sz w:val="20"/>
          <w:lang w:eastAsia="es-ES"/>
        </w:rPr>
        <w:t>Enero</w:t>
      </w:r>
      <w:proofErr w:type="gramEnd"/>
      <w:r w:rsidRPr="00695B2C">
        <w:rPr>
          <w:rFonts w:eastAsia="Times New Roman" w:cs="Arial"/>
          <w:bCs/>
          <w:i/>
          <w:iCs/>
          <w:color w:val="auto"/>
          <w:sz w:val="20"/>
          <w:lang w:eastAsia="es-ES"/>
        </w:rPr>
        <w:t xml:space="preserve"> de 2011, Materia(s): Constitucional, Tesis: P. LXII/2010, Página: 27 </w:t>
      </w:r>
    </w:p>
    <w:p w14:paraId="79412538" w14:textId="77777777" w:rsidR="00256878" w:rsidRPr="00695B2C" w:rsidRDefault="00256878" w:rsidP="006461DA">
      <w:pPr>
        <w:spacing w:after="0" w:line="360" w:lineRule="auto"/>
        <w:ind w:left="567" w:right="616"/>
        <w:rPr>
          <w:rFonts w:eastAsia="Times New Roman" w:cs="Arial"/>
          <w:bCs/>
          <w:i/>
          <w:iCs/>
          <w:color w:val="auto"/>
          <w:sz w:val="20"/>
          <w:lang w:eastAsia="es-ES"/>
        </w:rPr>
      </w:pPr>
    </w:p>
    <w:p w14:paraId="07A8FCDA" w14:textId="77777777" w:rsidR="00256878"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lastRenderedPageBreak/>
        <w:t xml:space="preserve">DERECHOS A LA VIDA Y A LA INTEGRIDAD PERSONAL. SU VIOLACIÓN GENERA EL DEBER DEL ESTADO DE INVESTIGAR EFECTIVAMENTE LOS HECHOS RESPECTIVOS. Los derechos a la vida y a la integridad personal imponen al Estado tanto la obligación de que los agentes públicos y los particulares se abstengan de afectarlos (dimensión sustantiva), como la de prevenir, proteger y sancionar su posible afectación por parte de autoridades y/o particulares (dimensión procesal); es decir, tales derechos no sólo presuponen que ninguna persona sea privada de su vida arbitrariamente (obligación negativa), sino que además requieren que el Estado adopte todas las medidas apropiadas para preservarlos (obligación positiva), conforme al deber de garantizar su pleno y libre ejercicio, lo cual implica no sólo la necesidad de que se inicien las averiguaciones para determinar a los sujetos involucrados en su violación, sino que tales procedimientos se lleven con diligencia, cuidado, profundidad y profesionalismo, a fin de que puedan constituir lo que la doctrina y la jurisprudencia llaman "investigaciones efectivas", que realmente lleven a identificar a los responsables, seguirles el procedimiento legalmente establecido en el que se reúnan las suficientes probanzas para que, en su caso, puedan ser justificadamente sancionados. Esto es así, toda vez que la omisión de reprimir esas conductas abusivas se traduce en un quebrantamiento constitucional por inacción, injusticia para las víctimas e impunidad, lo cual lacera no sólo a la víctima de la violación de que se trate, sino también a la sociedad. </w:t>
      </w:r>
    </w:p>
    <w:p w14:paraId="0110317F" w14:textId="77777777" w:rsidR="00256878" w:rsidRPr="00695B2C" w:rsidRDefault="00256878" w:rsidP="006461DA">
      <w:pPr>
        <w:spacing w:after="0" w:line="360" w:lineRule="auto"/>
        <w:ind w:left="567" w:right="616"/>
        <w:rPr>
          <w:rFonts w:eastAsia="Times New Roman" w:cs="Arial"/>
          <w:bCs/>
          <w:i/>
          <w:iCs/>
          <w:color w:val="auto"/>
          <w:sz w:val="20"/>
          <w:lang w:eastAsia="es-ES"/>
        </w:rPr>
      </w:pPr>
    </w:p>
    <w:p w14:paraId="03200E6C" w14:textId="77777777" w:rsidR="00256878"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III. Se debe de acreditar el vínculo entre la difusión de la información y la afectación del interés jurídico tutelado de que se trate; </w:t>
      </w:r>
    </w:p>
    <w:p w14:paraId="4CD32563" w14:textId="77777777" w:rsidR="00256878" w:rsidRPr="00695B2C" w:rsidRDefault="00256878" w:rsidP="006461DA">
      <w:pPr>
        <w:spacing w:after="0" w:line="360" w:lineRule="auto"/>
        <w:ind w:left="567" w:right="616"/>
        <w:rPr>
          <w:rFonts w:eastAsia="Times New Roman" w:cs="Arial"/>
          <w:bCs/>
          <w:i/>
          <w:iCs/>
          <w:color w:val="auto"/>
          <w:sz w:val="20"/>
          <w:lang w:eastAsia="es-ES"/>
        </w:rPr>
      </w:pPr>
    </w:p>
    <w:p w14:paraId="1B785B95" w14:textId="77777777" w:rsidR="00126CEB"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La normatividad penal aplicable restringe a terceros ajenos al procedimiento penal, el acceso a la información contenida en las carpetas de investigación, dado que su divulgación podría obstaculizar el proceso de investigación y, en consecuencia, la determinación del Ministerio Público. Por otro lado, es de resaltar que es prescindible la protección de la sociedad, toda vez que dentro de la misma es donde por acción u omisión acontecen diversos hechos ilícitos. </w:t>
      </w:r>
    </w:p>
    <w:p w14:paraId="7EA106EE" w14:textId="77777777" w:rsidR="00126CEB" w:rsidRPr="00695B2C" w:rsidRDefault="00126CEB" w:rsidP="006461DA">
      <w:pPr>
        <w:spacing w:after="0" w:line="360" w:lineRule="auto"/>
        <w:ind w:left="567" w:right="616"/>
        <w:rPr>
          <w:rFonts w:eastAsia="Times New Roman" w:cs="Arial"/>
          <w:bCs/>
          <w:i/>
          <w:iCs/>
          <w:color w:val="auto"/>
          <w:sz w:val="20"/>
          <w:lang w:eastAsia="es-ES"/>
        </w:rPr>
      </w:pPr>
    </w:p>
    <w:p w14:paraId="7C398B85" w14:textId="77777777" w:rsidR="00126CEB"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caso de divulgar la información solicitada, se pone en riesgo la seguridad pública, la integridad y seguridad de las personas que intervienen en la carpeta de investigación, además se podría </w:t>
      </w:r>
      <w:r w:rsidRPr="00695B2C">
        <w:rPr>
          <w:rFonts w:eastAsia="Times New Roman" w:cs="Arial"/>
          <w:bCs/>
          <w:i/>
          <w:iCs/>
          <w:color w:val="auto"/>
          <w:sz w:val="20"/>
          <w:lang w:eastAsia="es-ES"/>
        </w:rPr>
        <w:lastRenderedPageBreak/>
        <w:t xml:space="preserve">corromper la conservación del estado de derecho mexicano, en virtud de que podría traer a consecuencia que el gobernado se abstenga de denunciar la comisión de delitos cometidos en su contra o de otras personas. </w:t>
      </w:r>
    </w:p>
    <w:p w14:paraId="123E5B52" w14:textId="77777777" w:rsidR="00126CEB" w:rsidRPr="00695B2C" w:rsidRDefault="00126CEB" w:rsidP="006461DA">
      <w:pPr>
        <w:spacing w:after="0" w:line="360" w:lineRule="auto"/>
        <w:ind w:left="567" w:right="616"/>
        <w:rPr>
          <w:rFonts w:eastAsia="Times New Roman" w:cs="Arial"/>
          <w:bCs/>
          <w:i/>
          <w:iCs/>
          <w:color w:val="auto"/>
          <w:sz w:val="20"/>
          <w:lang w:eastAsia="es-ES"/>
        </w:rPr>
      </w:pPr>
    </w:p>
    <w:p w14:paraId="1E507678" w14:textId="77777777" w:rsidR="00126CEB"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Así pues, el riesgo de perjuicio lo representa la administración y procuración de justicia, ya que no solamente está prohibido revelar información reservada o confidencial relacionada con las conductas sancionadas por la Ley, sino que además está penado hacerlo, pues existen sanciones y responsabilidades a incurrir por los servidores públicos que hagan mal uso de ella, principalmente si se trata de servidores públicos integrantes de ciertas instituciones, entre ellas, la de procuración de justicia, como sería en el presente caso el revelar la información solicitada, misma que fue adquirida durante el desempeño de sus funciones, por lo que además, se estaría ante la presencia de un delito contra la administración de justicia por parte de este sujeto obligado al dar a conocer información reservada o confidencial que obre en una carpeta de investigación. </w:t>
      </w:r>
    </w:p>
    <w:p w14:paraId="414BBF48" w14:textId="77777777" w:rsidR="00126CEB" w:rsidRPr="00695B2C" w:rsidRDefault="00126CEB" w:rsidP="006461DA">
      <w:pPr>
        <w:spacing w:after="0" w:line="360" w:lineRule="auto"/>
        <w:ind w:left="567" w:right="616"/>
        <w:rPr>
          <w:rFonts w:eastAsia="Times New Roman" w:cs="Arial"/>
          <w:bCs/>
          <w:i/>
          <w:iCs/>
          <w:color w:val="auto"/>
          <w:sz w:val="20"/>
          <w:lang w:eastAsia="es-ES"/>
        </w:rPr>
      </w:pPr>
    </w:p>
    <w:p w14:paraId="41FA38D1" w14:textId="0FDD8BE0" w:rsidR="00126CEB"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Sin omitir señalar que la función del ministerio público es la persecución de los delitos en tribunales, esto es, buscar el castigo para los culpables y de divulgarse la tantas veces referida información, pudiera no cumplirse </w:t>
      </w:r>
      <w:proofErr w:type="gramStart"/>
      <w:r w:rsidRPr="00695B2C">
        <w:rPr>
          <w:rFonts w:eastAsia="Times New Roman" w:cs="Arial"/>
          <w:bCs/>
          <w:i/>
          <w:iCs/>
          <w:color w:val="auto"/>
          <w:sz w:val="20"/>
          <w:lang w:eastAsia="es-ES"/>
        </w:rPr>
        <w:t>ésta</w:t>
      </w:r>
      <w:proofErr w:type="gramEnd"/>
      <w:r w:rsidRPr="00695B2C">
        <w:rPr>
          <w:rFonts w:eastAsia="Times New Roman" w:cs="Arial"/>
          <w:bCs/>
          <w:i/>
          <w:iCs/>
          <w:color w:val="auto"/>
          <w:sz w:val="20"/>
          <w:lang w:eastAsia="es-ES"/>
        </w:rPr>
        <w:t xml:space="preserve"> obligación por parte de ésta representación social. Por tanto, se afirma que el perjuicio de difundir la misma supera el interés particular de conocerla, más aún cuando la reserva de la información obedece a un tiempo determinado. </w:t>
      </w:r>
    </w:p>
    <w:p w14:paraId="564C6B91" w14:textId="77777777" w:rsidR="00126CEB" w:rsidRPr="00695B2C" w:rsidRDefault="00126CEB" w:rsidP="006461DA">
      <w:pPr>
        <w:spacing w:after="0" w:line="360" w:lineRule="auto"/>
        <w:ind w:left="567" w:right="616"/>
        <w:rPr>
          <w:rFonts w:eastAsia="Times New Roman" w:cs="Arial"/>
          <w:bCs/>
          <w:i/>
          <w:iCs/>
          <w:color w:val="auto"/>
          <w:sz w:val="20"/>
          <w:lang w:eastAsia="es-ES"/>
        </w:rPr>
      </w:pPr>
    </w:p>
    <w:p w14:paraId="24C809B6" w14:textId="77777777" w:rsidR="00126CEB"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IV. Precisar las razones objetivas por las que la apertura de la información generaría una afectación, a través de los elementos de un riesgo real, demostrable e identificable; </w:t>
      </w:r>
    </w:p>
    <w:p w14:paraId="2EE8982B" w14:textId="77777777" w:rsidR="00126CEB" w:rsidRPr="00695B2C" w:rsidRDefault="00126CEB" w:rsidP="006461DA">
      <w:pPr>
        <w:spacing w:after="0" w:line="360" w:lineRule="auto"/>
        <w:ind w:left="567" w:right="616"/>
        <w:rPr>
          <w:rFonts w:eastAsia="Times New Roman" w:cs="Arial"/>
          <w:bCs/>
          <w:i/>
          <w:iCs/>
          <w:color w:val="auto"/>
          <w:sz w:val="20"/>
          <w:lang w:eastAsia="es-ES"/>
        </w:rPr>
      </w:pPr>
    </w:p>
    <w:p w14:paraId="3FAA7F1D" w14:textId="77777777" w:rsidR="00126CEB"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La información contenida en una Carpeta de Investigación, forma parte de un todo, relacionado y adminiculado entre sí, y al encontrarse en trámite, su estado procesal impide otorgar acceso a la información ahí contenida y que fuera requerida a esta Fiscalía General del Estado, vía el derecho de acceso a la información, pues hacerlo implicaría poner en riesgo las propias investigaciones, así como a las personas que en ella intervienen, por tanto, lo procedente es reservar todas las actuaciones que </w:t>
      </w:r>
      <w:r w:rsidRPr="00695B2C">
        <w:rPr>
          <w:rFonts w:eastAsia="Times New Roman" w:cs="Arial"/>
          <w:bCs/>
          <w:i/>
          <w:iCs/>
          <w:color w:val="auto"/>
          <w:sz w:val="20"/>
          <w:lang w:eastAsia="es-ES"/>
        </w:rPr>
        <w:lastRenderedPageBreak/>
        <w:t xml:space="preserve">la integran, es así que de acuerdo al estado procesal que guarda la indagatoria requerida, no es procedente otorgar acceso, porque hacerlo pondría en riesgo el desarrollo de la propia investigación. </w:t>
      </w:r>
    </w:p>
    <w:p w14:paraId="1A981EDC" w14:textId="77777777" w:rsidR="00126CEB" w:rsidRPr="00695B2C" w:rsidRDefault="00126CEB" w:rsidP="006461DA">
      <w:pPr>
        <w:spacing w:after="0" w:line="360" w:lineRule="auto"/>
        <w:ind w:left="567" w:right="616"/>
        <w:rPr>
          <w:rFonts w:eastAsia="Times New Roman" w:cs="Arial"/>
          <w:bCs/>
          <w:i/>
          <w:iCs/>
          <w:color w:val="auto"/>
          <w:sz w:val="20"/>
          <w:lang w:eastAsia="es-ES"/>
        </w:rPr>
      </w:pPr>
    </w:p>
    <w:p w14:paraId="60DE2BD1" w14:textId="77777777" w:rsidR="00126CEB"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ejercicio de sus atribuciones de investigación, la Procuraduría debe recabar una gran cantidad de información relacionada con los hechos delictivos, con los probables responsables, las víctimas u ofendidos, los testigos e incluso terceras personas. Entre otros, se recaban los datos generales de estos sujetos (como el nombre, domicilio, estado civil, ocupación, ingresos, entre otros datos). Así pues, las actuaciones de una investigación pueden comprender detalles muy íntimos de las personas involucradas en la investigación. Sólo a manera de ejemplo, es posible decir que, en una averiguación previa, puede figurar información atiente a las propiedades, cuentas bancarias, filiación, relaciones sentimentales o al estado de salud de los sujetos implicados en alguna indagatoria, entre otros detalles personales. El derecho a la protección de la información personal, incluyendo la que se puede encontrar en las investigaciones en curso a cargo de la Procuraduría General de la </w:t>
      </w:r>
      <w:proofErr w:type="spellStart"/>
      <w:r w:rsidRPr="00695B2C">
        <w:rPr>
          <w:rFonts w:eastAsia="Times New Roman" w:cs="Arial"/>
          <w:bCs/>
          <w:i/>
          <w:iCs/>
          <w:color w:val="auto"/>
          <w:sz w:val="20"/>
          <w:lang w:eastAsia="es-ES"/>
        </w:rPr>
        <w:t>Republica</w:t>
      </w:r>
      <w:proofErr w:type="spellEnd"/>
      <w:r w:rsidRPr="00695B2C">
        <w:rPr>
          <w:rFonts w:eastAsia="Times New Roman" w:cs="Arial"/>
          <w:bCs/>
          <w:i/>
          <w:iCs/>
          <w:color w:val="auto"/>
          <w:sz w:val="20"/>
          <w:lang w:eastAsia="es-ES"/>
        </w:rPr>
        <w:t xml:space="preserve">, está protegida en términos de la tutela que confieren los artículos 6°, 16 y 20, apartado C, inciso V, de la Constitución Política de los Estados Unidos Mexicanos. </w:t>
      </w:r>
    </w:p>
    <w:p w14:paraId="33368253" w14:textId="77777777" w:rsidR="00126CEB" w:rsidRPr="00695B2C" w:rsidRDefault="00126CEB" w:rsidP="006461DA">
      <w:pPr>
        <w:spacing w:after="0" w:line="360" w:lineRule="auto"/>
        <w:ind w:left="567" w:right="616"/>
        <w:rPr>
          <w:rFonts w:eastAsia="Times New Roman" w:cs="Arial"/>
          <w:bCs/>
          <w:i/>
          <w:iCs/>
          <w:color w:val="auto"/>
          <w:sz w:val="20"/>
          <w:lang w:eastAsia="es-ES"/>
        </w:rPr>
      </w:pPr>
    </w:p>
    <w:p w14:paraId="57D257E0" w14:textId="4643D45B" w:rsidR="00126CEB"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Revelar la información contenida en la carpeta de investigación podría vulnerar los derechos de las víctimas, familiares, testigos o, incluso, de los servidores públicos, toda vez que se colocarían en una situación de riesgo, pues se podría atentar contra su integridad física, psicológica, material o inmaterial; e incluso podría vulnerarse la imagen y la honra de las personas indagadas dentro del proceso penal. Por tanto, se afirma que el perjuicio de difundir la misma supera el interés particular de conocerla. </w:t>
      </w:r>
    </w:p>
    <w:p w14:paraId="0799AD9F" w14:textId="77777777" w:rsidR="00126CEB" w:rsidRPr="00695B2C" w:rsidRDefault="00126CEB" w:rsidP="006461DA">
      <w:pPr>
        <w:spacing w:after="0" w:line="360" w:lineRule="auto"/>
        <w:ind w:left="567" w:right="616"/>
        <w:rPr>
          <w:rFonts w:eastAsia="Times New Roman" w:cs="Arial"/>
          <w:bCs/>
          <w:i/>
          <w:iCs/>
          <w:color w:val="auto"/>
          <w:sz w:val="20"/>
          <w:lang w:eastAsia="es-ES"/>
        </w:rPr>
      </w:pPr>
    </w:p>
    <w:p w14:paraId="219D6B62" w14:textId="77777777" w:rsidR="00126CEB"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V. En la motivación de la clasificación, el sujeto obligado deberá acreditar las circunstancias de modo, tiempo y lugar del daño, y </w:t>
      </w:r>
    </w:p>
    <w:p w14:paraId="7B60107B" w14:textId="77777777" w:rsidR="00126CEB" w:rsidRPr="00695B2C" w:rsidRDefault="00126CEB" w:rsidP="006461DA">
      <w:pPr>
        <w:spacing w:after="0" w:line="360" w:lineRule="auto"/>
        <w:ind w:left="567" w:right="616"/>
        <w:rPr>
          <w:rFonts w:eastAsia="Times New Roman" w:cs="Arial"/>
          <w:bCs/>
          <w:i/>
          <w:iCs/>
          <w:color w:val="auto"/>
          <w:sz w:val="20"/>
          <w:lang w:eastAsia="es-ES"/>
        </w:rPr>
      </w:pPr>
    </w:p>
    <w:p w14:paraId="56E8C1B7" w14:textId="77777777" w:rsidR="00126CEB"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La divulgación de la información pone en riesgo la seguridad pública, la integridad y seguridad de las personas que intervienen en ella, además se podría corromper la conservación del estado de derecho mexicano, en virtud de que podría traer a consecuencia que el gobernado se abstenga de </w:t>
      </w:r>
      <w:r w:rsidRPr="00695B2C">
        <w:rPr>
          <w:rFonts w:eastAsia="Times New Roman" w:cs="Arial"/>
          <w:bCs/>
          <w:i/>
          <w:iCs/>
          <w:color w:val="auto"/>
          <w:sz w:val="20"/>
          <w:lang w:eastAsia="es-ES"/>
        </w:rPr>
        <w:lastRenderedPageBreak/>
        <w:t xml:space="preserve">denunciar la comisión de delitos cometidos en su contra o de otras personas, ocasionando que los delincuentes impunemente quebranten la ley. </w:t>
      </w:r>
    </w:p>
    <w:p w14:paraId="07355D20" w14:textId="77777777" w:rsidR="00126CEB" w:rsidRPr="00695B2C" w:rsidRDefault="00126CEB" w:rsidP="006461DA">
      <w:pPr>
        <w:spacing w:after="0" w:line="360" w:lineRule="auto"/>
        <w:ind w:left="567" w:right="616"/>
        <w:rPr>
          <w:rFonts w:eastAsia="Times New Roman" w:cs="Arial"/>
          <w:bCs/>
          <w:i/>
          <w:iCs/>
          <w:color w:val="auto"/>
          <w:sz w:val="20"/>
          <w:lang w:eastAsia="es-ES"/>
        </w:rPr>
      </w:pPr>
    </w:p>
    <w:p w14:paraId="7C58EDA8" w14:textId="77777777" w:rsidR="00126CEB"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Reiterándose que la reserva realizada, está debidamente justificada, y es idónea, necesaria y proporcional para que la investigación no se vea afectada, se persigan eficazmente los delitos, no se afecten las garantías de debido proceso penal, se salvaguarden los derechos de las personas involucradas en la averiguación previa (el inculpado, la víctima y el ofendido), así como para que se proteja a las personas. En caso de que no se protegiera tal información, ésta podría ser usada para causar algún daño físico, familiar o patrimonial a cualquiera de los sujetos involucrados en la investigación, incluyendo a los testigos del acto delictivo. </w:t>
      </w:r>
    </w:p>
    <w:p w14:paraId="3B793F7B" w14:textId="77777777" w:rsidR="00126CEB" w:rsidRPr="00695B2C" w:rsidRDefault="00126CEB" w:rsidP="006461DA">
      <w:pPr>
        <w:spacing w:after="0" w:line="360" w:lineRule="auto"/>
        <w:ind w:left="567" w:right="616"/>
        <w:rPr>
          <w:rFonts w:eastAsia="Times New Roman" w:cs="Arial"/>
          <w:bCs/>
          <w:i/>
          <w:iCs/>
          <w:color w:val="auto"/>
          <w:sz w:val="20"/>
          <w:lang w:eastAsia="es-ES"/>
        </w:rPr>
      </w:pPr>
    </w:p>
    <w:p w14:paraId="5247F550" w14:textId="77777777" w:rsidR="00126CEB"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VI. Deberán elegir la opción de excepción al acceso a la información que menos lo restrinja, la cual será adecuada y proporcional para la protección del interés público, y deberá interferir lo menos posible en el ejercicio efectivo del derecho de acceso a la información. </w:t>
      </w:r>
    </w:p>
    <w:p w14:paraId="2C309E5D" w14:textId="77777777" w:rsidR="00126CEB" w:rsidRPr="00695B2C" w:rsidRDefault="00126CEB" w:rsidP="006461DA">
      <w:pPr>
        <w:spacing w:after="0" w:line="360" w:lineRule="auto"/>
        <w:ind w:left="567" w:right="616"/>
        <w:rPr>
          <w:rFonts w:eastAsia="Times New Roman" w:cs="Arial"/>
          <w:bCs/>
          <w:i/>
          <w:iCs/>
          <w:color w:val="auto"/>
          <w:sz w:val="20"/>
          <w:lang w:eastAsia="es-ES"/>
        </w:rPr>
      </w:pPr>
    </w:p>
    <w:p w14:paraId="5B23B295" w14:textId="77777777" w:rsidR="00F16D28"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Como se ha indicado previamente, clasificar la Carpeta de Investigación solicitada se encuentra perfectamente ajustado al marco normativo en materia de Transparencia y Acceso a la Información Pública aplicable del Estado de México y atiende estrictamente al principio de proporcionalidad, toda vez que, la información contenida en una Carpeta de Investigación, forma parte de un todo, relacionado y adminiculado entre sí, y al encontrarse en trámite, su estado procesal impide otorgar acceso a la información ahí contenida, pues hacerlo implicaría poner en riesgo al personal de esta Institución, así como la eficacia de la investigación en curso, por tanto, lo procedente es reservar todas las actuaciones que la integran, toda vez que de acuerdo al estado procesal que guarda la indagatoria peticionada, no es procedente otorgar acceso, porque hacerlo pondría en riesgo el desarrollo de la propia investigación. </w:t>
      </w:r>
    </w:p>
    <w:p w14:paraId="6A70B039" w14:textId="77777777" w:rsidR="00F16D28" w:rsidRPr="00695B2C" w:rsidRDefault="00F16D28" w:rsidP="006461DA">
      <w:pPr>
        <w:spacing w:after="0" w:line="360" w:lineRule="auto"/>
        <w:ind w:left="567" w:right="616"/>
        <w:rPr>
          <w:rFonts w:eastAsia="Times New Roman" w:cs="Arial"/>
          <w:bCs/>
          <w:i/>
          <w:iCs/>
          <w:color w:val="auto"/>
          <w:sz w:val="20"/>
          <w:lang w:eastAsia="es-ES"/>
        </w:rPr>
      </w:pPr>
    </w:p>
    <w:p w14:paraId="38C68FDE" w14:textId="77777777" w:rsidR="00F16D28"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El acceso a la información pública tiene limitaciones, ya que no toda información que se encuentre en los archivos de este Sujeto Obligado puede ser difundida o entregada. Así ocurre, en el caso de información relacionada con la persecución e investigación de un delito, cuya excepción al acceso a </w:t>
      </w:r>
      <w:r w:rsidRPr="00695B2C">
        <w:rPr>
          <w:rFonts w:eastAsia="Times New Roman" w:cs="Arial"/>
          <w:bCs/>
          <w:i/>
          <w:iCs/>
          <w:color w:val="auto"/>
          <w:sz w:val="20"/>
          <w:lang w:eastAsia="es-ES"/>
        </w:rPr>
        <w:lastRenderedPageBreak/>
        <w:t xml:space="preserve">la información debe estar destinada a proteger un objetivo legítimo, mismo que puede desencadenar en posibles represalias contra la vida o integridad física de la víctima, familiares, testigos o, incluso, de los servidores públicos que desarrollan su trabajo con sigilo y eficacia, lo que se traduce en un perjuicio significativo al interés público. </w:t>
      </w:r>
    </w:p>
    <w:p w14:paraId="3165F61B" w14:textId="77777777" w:rsidR="00F16D28" w:rsidRPr="00695B2C" w:rsidRDefault="00F16D28" w:rsidP="006461DA">
      <w:pPr>
        <w:spacing w:after="0" w:line="360" w:lineRule="auto"/>
        <w:ind w:left="567" w:right="616"/>
        <w:rPr>
          <w:rFonts w:eastAsia="Times New Roman" w:cs="Arial"/>
          <w:bCs/>
          <w:i/>
          <w:iCs/>
          <w:color w:val="auto"/>
          <w:sz w:val="20"/>
          <w:lang w:eastAsia="es-ES"/>
        </w:rPr>
      </w:pPr>
    </w:p>
    <w:p w14:paraId="51A9D931" w14:textId="77777777" w:rsidR="001228CC"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Si bien es cierto que el derecho de acceso a la información es reconocido desde el marco Constitucional, no menos cierto es que éste no es absoluto, pues al difundir información como la solicitada no se estaría cumpliendo por parte de esta Fiscalía General con nuestra obligación de no ventilar información de carácter reservada, por lo que la limitación se adecua al principio de proporcionalidad y representa el medio menos restrictivo disponible para evitar el perjuicio que se pudiera ocasionar. </w:t>
      </w:r>
    </w:p>
    <w:p w14:paraId="5C33390F" w14:textId="77777777" w:rsidR="001228CC" w:rsidRPr="00695B2C" w:rsidRDefault="001228CC" w:rsidP="006461DA">
      <w:pPr>
        <w:spacing w:after="0" w:line="360" w:lineRule="auto"/>
        <w:ind w:left="567" w:right="616"/>
        <w:rPr>
          <w:rFonts w:eastAsia="Times New Roman" w:cs="Arial"/>
          <w:bCs/>
          <w:i/>
          <w:iCs/>
          <w:color w:val="auto"/>
          <w:sz w:val="20"/>
          <w:lang w:eastAsia="es-ES"/>
        </w:rPr>
      </w:pPr>
    </w:p>
    <w:p w14:paraId="788F34B1" w14:textId="7BFE0C85" w:rsidR="001228CC"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Con base en lo anterior, se acredita que la divulgación de la información lesionaría el interés jurídicamente protegido por la norma, y el daño que puede producirse con la publicidad de la información es mayor que el interés de conocerla. </w:t>
      </w:r>
    </w:p>
    <w:p w14:paraId="0081F33D" w14:textId="77777777" w:rsidR="001228CC" w:rsidRPr="00695B2C" w:rsidRDefault="001228CC" w:rsidP="006461DA">
      <w:pPr>
        <w:spacing w:after="0" w:line="360" w:lineRule="auto"/>
        <w:ind w:left="567" w:right="616"/>
        <w:rPr>
          <w:rFonts w:eastAsia="Times New Roman" w:cs="Arial"/>
          <w:bCs/>
          <w:i/>
          <w:iCs/>
          <w:color w:val="auto"/>
          <w:sz w:val="20"/>
          <w:lang w:eastAsia="es-ES"/>
        </w:rPr>
      </w:pPr>
    </w:p>
    <w:p w14:paraId="2EBFC5F9" w14:textId="28E551DA" w:rsidR="001228CC"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ese orden de ideas, proporcionar la información contenida en la carpeta de investigación que es materia del presente Acuerdo, provocaría un daño presente, probable y específico como a continuación se indica: </w:t>
      </w:r>
    </w:p>
    <w:p w14:paraId="3298C3E5" w14:textId="77777777" w:rsidR="001228CC" w:rsidRPr="00695B2C" w:rsidRDefault="001228CC" w:rsidP="006461DA">
      <w:pPr>
        <w:spacing w:after="0" w:line="360" w:lineRule="auto"/>
        <w:ind w:left="567" w:right="616"/>
        <w:rPr>
          <w:rFonts w:eastAsia="Times New Roman" w:cs="Arial"/>
          <w:bCs/>
          <w:i/>
          <w:iCs/>
          <w:color w:val="auto"/>
          <w:sz w:val="20"/>
          <w:lang w:eastAsia="es-ES"/>
        </w:rPr>
      </w:pPr>
    </w:p>
    <w:p w14:paraId="46FBB29F" w14:textId="77777777" w:rsidR="001228CC"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DAÑO PRESENTE: Proporcionar la información que conforma la carpeta de investigación requerida, permitiría vulnerar el correcto desarrollo de una investigación ministerial, así como las medidas de seguridad implementadas para preservar la ley; de igual forma, pone en riesgo la integridad de los servidores públicos encargados de la procuración de justicia, así como a la víctima y los testigos que intervienen en la investigación en curso, toda vez que la investigación que requerida no ha concluido. </w:t>
      </w:r>
    </w:p>
    <w:p w14:paraId="45ABFAED" w14:textId="77777777" w:rsidR="001228CC" w:rsidRPr="00695B2C" w:rsidRDefault="001228CC" w:rsidP="006461DA">
      <w:pPr>
        <w:spacing w:after="0" w:line="360" w:lineRule="auto"/>
        <w:ind w:left="567" w:right="616"/>
        <w:rPr>
          <w:rFonts w:eastAsia="Times New Roman" w:cs="Arial"/>
          <w:bCs/>
          <w:i/>
          <w:iCs/>
          <w:color w:val="auto"/>
          <w:sz w:val="20"/>
          <w:lang w:eastAsia="es-ES"/>
        </w:rPr>
      </w:pPr>
    </w:p>
    <w:p w14:paraId="5CAB0A87" w14:textId="77777777" w:rsidR="001228CC"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DAÑO PROBABLE: Revelar los datos o documentos contenidos en la carpeta de investigación que nos ocupa, pone en riesgo la seguridad pública y la vida de las personas que intervienen en ella, </w:t>
      </w:r>
      <w:r w:rsidRPr="00695B2C">
        <w:rPr>
          <w:rFonts w:eastAsia="Times New Roman" w:cs="Arial"/>
          <w:bCs/>
          <w:i/>
          <w:iCs/>
          <w:color w:val="auto"/>
          <w:sz w:val="20"/>
          <w:lang w:eastAsia="es-ES"/>
        </w:rPr>
        <w:lastRenderedPageBreak/>
        <w:t xml:space="preserve">aunado a que limita y vicia los mecanismos de defensa que tienen a su alcance las víctimas, ofendidos o imputados, de poder recurrir las decisiones o resultados a los que llegue el Ministerio Público durante la ejecución de las diligencias realizadas para el esclarecimiento de los hechos investigados. </w:t>
      </w:r>
    </w:p>
    <w:p w14:paraId="6141A675" w14:textId="77777777" w:rsidR="001228CC" w:rsidRPr="00695B2C" w:rsidRDefault="001228CC" w:rsidP="006461DA">
      <w:pPr>
        <w:spacing w:after="0" w:line="360" w:lineRule="auto"/>
        <w:ind w:left="567" w:right="616"/>
        <w:rPr>
          <w:rFonts w:eastAsia="Times New Roman" w:cs="Arial"/>
          <w:bCs/>
          <w:i/>
          <w:iCs/>
          <w:color w:val="auto"/>
          <w:sz w:val="20"/>
          <w:lang w:eastAsia="es-ES"/>
        </w:rPr>
      </w:pPr>
    </w:p>
    <w:p w14:paraId="27B19BA8" w14:textId="77777777" w:rsidR="001228CC"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DAÑO ESPECÍFICO: La divulgación de la información pone en riesgo la operatividad del Ministerio Público, al considerar la factibilidad de que cualquier persona con fines diversos pudiera realizar un análisis de vulnerabilidad de esta representación social, al conocer la forma de investigar los hechos constitutivos de delito, y más aún cuando se revelan datos de los integrantes en el desarrollo de las facultades y atribuciones propias de Ministerio Público Investigador, destacando que lo específico es salvaguardar la procuración de justicia y a la sociedad, ya que como tal tiene el derecho fundamental de desarrollarse en su vida, en un ambiente adecuado, garantizando, manteniendo y restableciendo el orden y la paz públicos en el territorio nacional. </w:t>
      </w:r>
    </w:p>
    <w:p w14:paraId="0A31AFCB" w14:textId="77777777" w:rsidR="001228CC" w:rsidRPr="00695B2C" w:rsidRDefault="001228CC" w:rsidP="006461DA">
      <w:pPr>
        <w:spacing w:after="0" w:line="360" w:lineRule="auto"/>
        <w:ind w:left="567" w:right="616"/>
        <w:rPr>
          <w:rFonts w:eastAsia="Times New Roman" w:cs="Arial"/>
          <w:bCs/>
          <w:i/>
          <w:iCs/>
          <w:color w:val="auto"/>
          <w:sz w:val="20"/>
          <w:lang w:eastAsia="es-ES"/>
        </w:rPr>
      </w:pPr>
    </w:p>
    <w:p w14:paraId="20B74492" w14:textId="77777777" w:rsidR="001228CC"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QUINTO.- Conforme a lo anteriormente expuesto, la reserva de la información contenida en las investigaciones penales es necesaria y justificada en aras de la adecuada procuración de justicia, pero ello no debe redundar en una negación absoluta del acceso a la información que las autoridades generen, sino como se ha realizado, la limitación al acceso a la información, se ha llevado a cabo a través de una restricción legítima fundada y motivada de la información solicitada, brindando al peticionario la certeza de que la negativa de información está justificada y no se trate de un acto arbitrario. Por lo antes expuesto, y en términos de los artículos 6°, apartado A, fracciones I y II de la Constitución Política de los Estados Unidos Mexicanos y VIII, párrafo sexto y 5°, fracciones I y II de la Constitución Política del Estado Libre y Soberano de México, 24, fracción VI, 49, fracción VIII, 91, 122, 130 y 140, fracciones VI, IX y XI de la Ley de Transparencia y Acceso a la Información Pública del Estado de México y Municipios, en relación con las fracciones VII, XII y XIII, del artículo 113 de la Ley General de Transparencia y Acceso a la Información Pública, y los numerales Vigésimo sexto, Trigésimo Primero y Trigésimo Segundo de los Lineamientos Generales en Materia de Clasificación y Desclasificación de la Información, así como para la Elaboración de Versiones Públicas, este Comité de Transparencia APRUEBA Y ORDENA: CLASIFICAR COMO INFORMACIÓN RESERVADA LOS DOCUMENTOS QUE FORMAN PARTE DE LA </w:t>
      </w:r>
      <w:r w:rsidRPr="00695B2C">
        <w:rPr>
          <w:rFonts w:eastAsia="Times New Roman" w:cs="Arial"/>
          <w:bCs/>
          <w:i/>
          <w:iCs/>
          <w:color w:val="auto"/>
          <w:sz w:val="20"/>
          <w:lang w:eastAsia="es-ES"/>
        </w:rPr>
        <w:lastRenderedPageBreak/>
        <w:t xml:space="preserve">CARPETA DE INVESTIGACIÓN INTEGRADA EN CONTRA DE ANDRÉS “N”, QUIEN FUE DETENIDO POR POLICÍAS DE INVESTIGACIÓN DE LA FGJEM EN CUMPLIMIENTO A UNA ORDEN DE APREHENSIÓN POR FEMINICIDIO </w:t>
      </w:r>
    </w:p>
    <w:p w14:paraId="5489A18D" w14:textId="77777777" w:rsidR="001228CC" w:rsidRPr="00695B2C" w:rsidRDefault="001228CC" w:rsidP="006461DA">
      <w:pPr>
        <w:spacing w:after="0" w:line="360" w:lineRule="auto"/>
        <w:ind w:left="567" w:right="616"/>
        <w:rPr>
          <w:rFonts w:eastAsia="Times New Roman" w:cs="Arial"/>
          <w:bCs/>
          <w:i/>
          <w:iCs/>
          <w:color w:val="auto"/>
          <w:sz w:val="20"/>
          <w:lang w:eastAsia="es-ES"/>
        </w:rPr>
      </w:pPr>
    </w:p>
    <w:p w14:paraId="1E957877" w14:textId="77777777" w:rsidR="001228CC"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mérito de lo antes expuesto, este Órgano Colegiado: </w:t>
      </w:r>
    </w:p>
    <w:p w14:paraId="675ED801" w14:textId="77777777" w:rsidR="001228CC" w:rsidRPr="00695B2C" w:rsidRDefault="001228CC" w:rsidP="006461DA">
      <w:pPr>
        <w:spacing w:after="0" w:line="360" w:lineRule="auto"/>
        <w:ind w:left="567" w:right="616"/>
        <w:rPr>
          <w:rFonts w:eastAsia="Times New Roman" w:cs="Arial"/>
          <w:bCs/>
          <w:i/>
          <w:iCs/>
          <w:color w:val="auto"/>
          <w:sz w:val="20"/>
          <w:lang w:eastAsia="es-ES"/>
        </w:rPr>
      </w:pPr>
    </w:p>
    <w:p w14:paraId="356C612A" w14:textId="7D328E7F" w:rsidR="001228CC" w:rsidRPr="00695B2C" w:rsidRDefault="00881603" w:rsidP="006461DA">
      <w:pPr>
        <w:spacing w:after="0" w:line="360" w:lineRule="auto"/>
        <w:ind w:left="567" w:right="616"/>
        <w:jc w:val="center"/>
        <w:rPr>
          <w:rFonts w:eastAsia="Times New Roman" w:cs="Arial"/>
          <w:bCs/>
          <w:i/>
          <w:iCs/>
          <w:color w:val="auto"/>
          <w:sz w:val="20"/>
          <w:lang w:eastAsia="es-ES"/>
        </w:rPr>
      </w:pPr>
      <w:r w:rsidRPr="00695B2C">
        <w:rPr>
          <w:rFonts w:eastAsia="Times New Roman" w:cs="Arial"/>
          <w:bCs/>
          <w:i/>
          <w:iCs/>
          <w:color w:val="auto"/>
          <w:sz w:val="20"/>
          <w:lang w:eastAsia="es-ES"/>
        </w:rPr>
        <w:t>RESUELVE</w:t>
      </w:r>
    </w:p>
    <w:p w14:paraId="1C803309" w14:textId="77777777" w:rsidR="001228CC" w:rsidRPr="00695B2C" w:rsidRDefault="001228CC" w:rsidP="006461DA">
      <w:pPr>
        <w:spacing w:after="0" w:line="360" w:lineRule="auto"/>
        <w:ind w:left="567" w:right="616"/>
        <w:rPr>
          <w:rFonts w:eastAsia="Times New Roman" w:cs="Arial"/>
          <w:bCs/>
          <w:i/>
          <w:iCs/>
          <w:color w:val="auto"/>
          <w:sz w:val="20"/>
          <w:lang w:eastAsia="es-ES"/>
        </w:rPr>
      </w:pPr>
    </w:p>
    <w:p w14:paraId="0E595E09" w14:textId="19D85D4E" w:rsidR="00881603" w:rsidRPr="00695B2C" w:rsidRDefault="00881603"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PRIMERO.- Se confirma clasificar con carácter de información RESERVADA LOS DOCUMENTOS QUE FORMAN PARTE DE LA CARPETA DE INVESTIGACIÓN INTEGRADA EN CONTRA DE ANDRÉS “N”, QUIEN FUE DETENIDO POR POLICÍAS DE INVESTIGACIÓN DE LA FGJEM EN CUMPLIMIENTO A UNA ORDEN DE APREHENSIÓN POR FEMINICIDIO, por un periodo de 5 años, de conformidad con el artículo 125 de la Ley de Transparencia y Acceso a la Información Pública del Estado de México, contados a partir de su clasificación, con base en los razonamientos lógico jurídicos expuestos en los Considerandos SEGUNDO, TERCERO y CUARTO del presente Acuerdo.</w:t>
      </w:r>
    </w:p>
    <w:p w14:paraId="111D6337" w14:textId="77777777" w:rsidR="005444DC" w:rsidRPr="00695B2C" w:rsidRDefault="005444DC" w:rsidP="006461DA">
      <w:pPr>
        <w:pStyle w:val="Prrafodelista"/>
        <w:spacing w:line="360" w:lineRule="auto"/>
        <w:rPr>
          <w:rFonts w:ascii="Palatino Linotype" w:hAnsi="Palatino Linotype"/>
          <w:b/>
          <w:bCs/>
        </w:rPr>
      </w:pPr>
    </w:p>
    <w:p w14:paraId="081582F5" w14:textId="037C4FF1" w:rsidR="005444DC" w:rsidRPr="00695B2C" w:rsidRDefault="005764C6" w:rsidP="006461DA">
      <w:pPr>
        <w:pStyle w:val="Prrafodelista"/>
        <w:numPr>
          <w:ilvl w:val="0"/>
          <w:numId w:val="1"/>
        </w:numPr>
        <w:spacing w:line="360" w:lineRule="auto"/>
        <w:jc w:val="both"/>
        <w:rPr>
          <w:rFonts w:ascii="Palatino Linotype" w:hAnsi="Palatino Linotype"/>
          <w:b/>
          <w:bCs/>
        </w:rPr>
      </w:pPr>
      <w:r w:rsidRPr="00695B2C">
        <w:rPr>
          <w:rFonts w:ascii="Palatino Linotype" w:hAnsi="Palatino Linotype"/>
          <w:noProof/>
        </w:rPr>
        <mc:AlternateContent>
          <mc:Choice Requires="wps">
            <w:drawing>
              <wp:anchor distT="0" distB="0" distL="114300" distR="114300" simplePos="0" relativeHeight="251660288" behindDoc="0" locked="0" layoutInCell="1" allowOverlap="1" wp14:anchorId="74E81F7C" wp14:editId="2530335C">
                <wp:simplePos x="0" y="0"/>
                <wp:positionH relativeFrom="column">
                  <wp:posOffset>107315</wp:posOffset>
                </wp:positionH>
                <wp:positionV relativeFrom="paragraph">
                  <wp:posOffset>1120140</wp:posOffset>
                </wp:positionV>
                <wp:extent cx="5562600" cy="1905000"/>
                <wp:effectExtent l="0" t="0" r="19050" b="19050"/>
                <wp:wrapNone/>
                <wp:docPr id="17" name="Conector recto 17"/>
                <wp:cNvGraphicFramePr/>
                <a:graphic xmlns:a="http://schemas.openxmlformats.org/drawingml/2006/main">
                  <a:graphicData uri="http://schemas.microsoft.com/office/word/2010/wordprocessingShape">
                    <wps:wsp>
                      <wps:cNvCnPr/>
                      <wps:spPr>
                        <a:xfrm flipV="1">
                          <a:off x="0" y="0"/>
                          <a:ext cx="5562600" cy="1905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B1EFEA3" id="Conector recto 17" o:spid="_x0000_s1026" style="position:absolute;flip:y;z-index:251660288;visibility:visible;mso-wrap-style:square;mso-wrap-distance-left:9pt;mso-wrap-distance-top:0;mso-wrap-distance-right:9pt;mso-wrap-distance-bottom:0;mso-position-horizontal:absolute;mso-position-horizontal-relative:text;mso-position-vertical:absolute;mso-position-vertical-relative:text" from="8.45pt,88.2pt" to="446.45pt,23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" strokecolor="#5b9bd5 [3204]" strokeweight=".5pt">
                <v:stroke joinstyle="miter"/>
              </v:line>
            </w:pict>
          </mc:Fallback>
        </mc:AlternateContent>
      </w:r>
      <w:r w:rsidR="003F3235" w:rsidRPr="00695B2C">
        <w:rPr>
          <w:rFonts w:ascii="Palatino Linotype" w:hAnsi="Palatino Linotype"/>
        </w:rPr>
        <w:t>Asimismo, se remitió el documento denominado</w:t>
      </w:r>
      <w:r w:rsidR="003F3235" w:rsidRPr="00695B2C">
        <w:rPr>
          <w:rFonts w:ascii="Palatino Linotype" w:hAnsi="Palatino Linotype"/>
          <w:b/>
          <w:bCs/>
        </w:rPr>
        <w:t xml:space="preserve"> </w:t>
      </w:r>
      <w:r w:rsidR="00146C51" w:rsidRPr="00695B2C">
        <w:rPr>
          <w:rFonts w:ascii="Palatino Linotype" w:hAnsi="Palatino Linotype"/>
          <w:b/>
          <w:bCs/>
        </w:rPr>
        <w:t xml:space="preserve">femi.jpg. </w:t>
      </w:r>
      <w:r w:rsidRPr="00695B2C">
        <w:rPr>
          <w:rFonts w:ascii="Palatino Linotype" w:eastAsia="Palatino Linotype" w:hAnsi="Palatino Linotype" w:cs="Palatino Linotype"/>
          <w:color w:val="000000" w:themeColor="text1"/>
          <w:szCs w:val="22"/>
          <w:lang w:val="es-ES" w:eastAsia="en-US"/>
        </w:rPr>
        <w:t>el cual</w:t>
      </w:r>
      <w:r w:rsidR="005444DC" w:rsidRPr="00695B2C">
        <w:rPr>
          <w:rFonts w:ascii="Palatino Linotype" w:eastAsia="Palatino Linotype" w:hAnsi="Palatino Linotype" w:cs="Palatino Linotype"/>
          <w:color w:val="000000" w:themeColor="text1"/>
          <w:szCs w:val="22"/>
          <w:lang w:val="es-ES" w:eastAsia="en-US"/>
        </w:rPr>
        <w:t xml:space="preserve"> contiene una imagen, que da cuenta de información relativa al veintidós de febrero del dos mil veintidós y refiere </w:t>
      </w:r>
      <w:r w:rsidRPr="00695B2C">
        <w:rPr>
          <w:rFonts w:ascii="Palatino Linotype" w:eastAsia="Palatino Linotype" w:hAnsi="Palatino Linotype" w:cs="Palatino Linotype"/>
          <w:color w:val="000000" w:themeColor="text1"/>
          <w:szCs w:val="22"/>
          <w:lang w:val="es-ES" w:eastAsia="en-US"/>
        </w:rPr>
        <w:t>las fases que lleva la investigación en los domicilios indicados por la propia fiscalía</w:t>
      </w:r>
      <w:r w:rsidR="005444DC" w:rsidRPr="00695B2C">
        <w:rPr>
          <w:rFonts w:ascii="Palatino Linotype" w:eastAsia="Palatino Linotype" w:hAnsi="Palatino Linotype" w:cs="Palatino Linotype"/>
          <w:color w:val="000000" w:themeColor="text1"/>
          <w:szCs w:val="22"/>
          <w:lang w:val="es-ES" w:eastAsia="en-US"/>
        </w:rPr>
        <w:t>.</w:t>
      </w:r>
    </w:p>
    <w:p w14:paraId="23D668E7" w14:textId="3555D700" w:rsidR="005444DC" w:rsidRPr="00695B2C" w:rsidRDefault="005444DC" w:rsidP="006461DA">
      <w:pPr>
        <w:spacing w:after="0" w:line="360" w:lineRule="auto"/>
        <w:jc w:val="center"/>
        <w:rPr>
          <w:b/>
          <w:bCs/>
        </w:rPr>
      </w:pPr>
      <w:r w:rsidRPr="00695B2C">
        <w:rPr>
          <w:noProof/>
        </w:rPr>
        <w:lastRenderedPageBreak/>
        <w:drawing>
          <wp:inline distT="0" distB="0" distL="0" distR="0" wp14:anchorId="3925D9CA" wp14:editId="49BB2EF8">
            <wp:extent cx="4904105" cy="5138565"/>
            <wp:effectExtent l="0" t="0" r="0" b="5080"/>
            <wp:docPr id="12" name="Imagen 12"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Texto, Aplicación, Word&#10;&#10;Descripción generada automáticamente"/>
                    <pic:cNvPicPr/>
                  </pic:nvPicPr>
                  <pic:blipFill rotWithShape="1">
                    <a:blip r:embed="rId17"/>
                    <a:srcRect l="29273" t="10823" r="29449" b="12247"/>
                    <a:stretch/>
                  </pic:blipFill>
                  <pic:spPr bwMode="auto">
                    <a:xfrm>
                      <a:off x="0" y="0"/>
                      <a:ext cx="4962848" cy="5200117"/>
                    </a:xfrm>
                    <a:prstGeom prst="rect">
                      <a:avLst/>
                    </a:prstGeom>
                    <a:ln>
                      <a:noFill/>
                    </a:ln>
                    <a:extLst>
                      <a:ext uri="{53640926-AAD7-44D8-BBD7-CCE9431645EC}">
                        <a14:shadowObscured xmlns:a14="http://schemas.microsoft.com/office/drawing/2010/main"/>
                      </a:ext>
                    </a:extLst>
                  </pic:spPr>
                </pic:pic>
              </a:graphicData>
            </a:graphic>
          </wp:inline>
        </w:drawing>
      </w:r>
    </w:p>
    <w:p w14:paraId="2CBD34E0" w14:textId="77777777" w:rsidR="00C95584" w:rsidRPr="00695B2C" w:rsidRDefault="00C95584" w:rsidP="006461DA">
      <w:pPr>
        <w:spacing w:after="0" w:line="360" w:lineRule="auto"/>
        <w:rPr>
          <w:b/>
          <w:bCs/>
        </w:rPr>
      </w:pPr>
    </w:p>
    <w:p w14:paraId="0AE4A481" w14:textId="53F561E9" w:rsidR="00CF238C" w:rsidRPr="00695B2C" w:rsidRDefault="00002216" w:rsidP="006461DA">
      <w:pPr>
        <w:spacing w:after="0" w:line="360" w:lineRule="auto"/>
        <w:rPr>
          <w:rFonts w:eastAsia="Palatino Linotype" w:cs="Palatino Linotype"/>
          <w:lang w:val="es-ES"/>
        </w:rPr>
      </w:pPr>
      <w:r w:rsidRPr="00695B2C">
        <w:rPr>
          <w:rFonts w:eastAsia="Palatino Linotype" w:cs="Palatino Linotype"/>
          <w:b/>
          <w:bCs/>
          <w:lang w:val="es-ES"/>
        </w:rPr>
        <w:t>d</w:t>
      </w:r>
      <w:r w:rsidR="00177EE1" w:rsidRPr="00695B2C">
        <w:rPr>
          <w:rFonts w:eastAsia="Palatino Linotype" w:cs="Palatino Linotype"/>
          <w:b/>
          <w:bCs/>
          <w:lang w:val="es-ES"/>
        </w:rPr>
        <w:t>)</w:t>
      </w:r>
      <w:r w:rsidR="00083A1D" w:rsidRPr="00695B2C">
        <w:rPr>
          <w:rFonts w:eastAsia="Palatino Linotype" w:cs="Palatino Linotype"/>
          <w:b/>
          <w:bCs/>
          <w:lang w:val="es-ES"/>
        </w:rPr>
        <w:t xml:space="preserve"> </w:t>
      </w:r>
      <w:r w:rsidRPr="00695B2C">
        <w:rPr>
          <w:rFonts w:eastAsia="Palatino Linotype" w:cs="Palatino Linotype"/>
          <w:b/>
          <w:bCs/>
          <w:lang w:val="es-ES"/>
        </w:rPr>
        <w:t>Manifestaciones</w:t>
      </w:r>
      <w:r w:rsidR="00177EE1" w:rsidRPr="00695B2C">
        <w:rPr>
          <w:rFonts w:eastAsia="Palatino Linotype" w:cs="Palatino Linotype"/>
          <w:b/>
          <w:bCs/>
          <w:lang w:val="es-ES"/>
        </w:rPr>
        <w:t>.</w:t>
      </w:r>
      <w:r w:rsidRPr="00695B2C">
        <w:rPr>
          <w:rFonts w:eastAsia="Palatino Linotype" w:cs="Palatino Linotype"/>
          <w:b/>
          <w:bCs/>
          <w:lang w:val="es-ES"/>
        </w:rPr>
        <w:t xml:space="preserve"> </w:t>
      </w:r>
      <w:r w:rsidR="00E52CFB" w:rsidRPr="00695B2C">
        <w:rPr>
          <w:rFonts w:eastAsia="Palatino Linotype" w:cs="Palatino Linotype"/>
          <w:lang w:val="es-ES"/>
        </w:rPr>
        <w:t>El particular, no realizó pronunciamiento alguno, transcurrido el plazo para aportar elementos favorables al ejercicio de su derecho de acceso.</w:t>
      </w:r>
    </w:p>
    <w:p w14:paraId="07B9FE57" w14:textId="055F0928" w:rsidR="00A94ABD" w:rsidRPr="00695B2C" w:rsidRDefault="00A94ABD" w:rsidP="006461DA">
      <w:pPr>
        <w:spacing w:after="0" w:line="360" w:lineRule="auto"/>
        <w:rPr>
          <w:rFonts w:eastAsia="Palatino Linotype" w:cs="Palatino Linotype"/>
          <w:lang w:val="es-ES"/>
        </w:rPr>
      </w:pPr>
    </w:p>
    <w:p w14:paraId="7A988DA6" w14:textId="7DA81087" w:rsidR="00A97427" w:rsidRPr="00695B2C" w:rsidRDefault="006E3E2F" w:rsidP="006461DA">
      <w:pPr>
        <w:spacing w:after="0" w:line="360" w:lineRule="auto"/>
        <w:rPr>
          <w:rFonts w:eastAsia="Palatino Linotype" w:cs="Palatino Linotype"/>
          <w:lang w:val="es-ES"/>
        </w:rPr>
      </w:pPr>
      <w:r w:rsidRPr="00695B2C">
        <w:rPr>
          <w:rFonts w:eastAsia="Palatino Linotype" w:cs="Palatino Linotype"/>
          <w:b/>
          <w:bCs/>
          <w:lang w:val="es-ES"/>
        </w:rPr>
        <w:t>e</w:t>
      </w:r>
      <w:r w:rsidR="00A97427" w:rsidRPr="00695B2C">
        <w:rPr>
          <w:rFonts w:eastAsia="Palatino Linotype" w:cs="Palatino Linotype"/>
          <w:b/>
          <w:bCs/>
          <w:lang w:val="es-ES"/>
        </w:rPr>
        <w:t>) Ampliación de plazo</w:t>
      </w:r>
      <w:r w:rsidR="00A97427" w:rsidRPr="00695B2C">
        <w:rPr>
          <w:rFonts w:eastAsia="Palatino Linotype" w:cs="Palatino Linotype"/>
          <w:lang w:val="es-ES"/>
        </w:rPr>
        <w:t xml:space="preserve">. </w:t>
      </w:r>
      <w:r w:rsidR="007A3D34" w:rsidRPr="00695B2C">
        <w:rPr>
          <w:rFonts w:eastAsia="Palatino Linotype" w:cs="Palatino Linotype"/>
          <w:lang w:val="es-ES"/>
        </w:rPr>
        <w:t xml:space="preserve">Por acuerdo de </w:t>
      </w:r>
      <w:r w:rsidR="003D5DF5" w:rsidRPr="00695B2C">
        <w:rPr>
          <w:rFonts w:eastAsia="Palatino Linotype" w:cs="Palatino Linotype"/>
          <w:lang w:val="es-ES"/>
        </w:rPr>
        <w:t>ocho</w:t>
      </w:r>
      <w:r w:rsidR="007A3D34" w:rsidRPr="00695B2C">
        <w:rPr>
          <w:rFonts w:eastAsia="Palatino Linotype" w:cs="Palatino Linotype"/>
          <w:lang w:val="es-ES"/>
        </w:rPr>
        <w:t xml:space="preserve"> de abril</w:t>
      </w:r>
      <w:r w:rsidR="00A97427" w:rsidRPr="00695B2C">
        <w:rPr>
          <w:rFonts w:eastAsia="Palatino Linotype" w:cs="Palatino Linotype"/>
          <w:lang w:val="es-ES"/>
        </w:rPr>
        <w:t xml:space="preserve">, se aprobó la ampliación de plazo </w:t>
      </w:r>
      <w:r w:rsidR="007A3D34" w:rsidRPr="00695B2C">
        <w:t xml:space="preserve">por un periodo de quince días, el plazo para resolver el citado medio de Impugnación, con el fin de contar con los elementos suficientes </w:t>
      </w:r>
      <w:r w:rsidR="006A1A4E" w:rsidRPr="00695B2C">
        <w:t>esto es, para allegarse de</w:t>
      </w:r>
      <w:r w:rsidR="007A3D34" w:rsidRPr="00695B2C">
        <w:t xml:space="preserve"> la información necesaria </w:t>
      </w:r>
      <w:r w:rsidR="006A1A4E" w:rsidRPr="00695B2C">
        <w:t>para</w:t>
      </w:r>
      <w:r w:rsidR="007A3D34" w:rsidRPr="00695B2C">
        <w:t xml:space="preserve"> </w:t>
      </w:r>
      <w:r w:rsidR="007A3D34" w:rsidRPr="00695B2C">
        <w:lastRenderedPageBreak/>
        <w:t>analizar, estudiar y resolver el fondo del</w:t>
      </w:r>
      <w:r w:rsidR="006A1A4E" w:rsidRPr="00695B2C">
        <w:t xml:space="preserve"> asunto, </w:t>
      </w:r>
      <w:r w:rsidR="00250D7E" w:rsidRPr="00695B2C">
        <w:rPr>
          <w:rFonts w:eastAsia="Palatino Linotype" w:cs="Palatino Linotype"/>
          <w:lang w:val="es-ES"/>
        </w:rPr>
        <w:t xml:space="preserve">acuerdo notificado a través del Sistema de Acceso a la Información Mexiquense </w:t>
      </w:r>
      <w:r w:rsidR="006A1A4E" w:rsidRPr="00695B2C">
        <w:rPr>
          <w:rFonts w:eastAsia="Palatino Linotype" w:cs="Palatino Linotype"/>
          <w:lang w:val="es-ES"/>
        </w:rPr>
        <w:t>el nueve de mayo del dos mil veintidós.</w:t>
      </w:r>
    </w:p>
    <w:p w14:paraId="71760501" w14:textId="77777777" w:rsidR="00177EE1" w:rsidRPr="00695B2C" w:rsidRDefault="00177EE1" w:rsidP="006461DA">
      <w:pPr>
        <w:spacing w:after="0" w:line="360" w:lineRule="auto"/>
        <w:rPr>
          <w:rFonts w:eastAsia="Palatino Linotype" w:cs="Palatino Linotype"/>
          <w:b/>
          <w:bCs/>
        </w:rPr>
      </w:pPr>
    </w:p>
    <w:p w14:paraId="57AAF05F" w14:textId="77F600D6" w:rsidR="00177EE1" w:rsidRPr="00092753" w:rsidRDefault="006E3E2F" w:rsidP="006461DA">
      <w:pPr>
        <w:spacing w:after="0" w:line="360" w:lineRule="auto"/>
        <w:rPr>
          <w:rFonts w:eastAsia="Palatino Linotype" w:cs="Palatino Linotype"/>
          <w:b/>
          <w:bCs/>
        </w:rPr>
      </w:pPr>
      <w:r w:rsidRPr="00695B2C">
        <w:rPr>
          <w:rFonts w:eastAsia="Times New Roman" w:cs="Tahoma"/>
          <w:b/>
          <w:color w:val="auto"/>
          <w:szCs w:val="24"/>
          <w:lang w:eastAsia="es-ES"/>
        </w:rPr>
        <w:t>f</w:t>
      </w:r>
      <w:r w:rsidR="00177EE1" w:rsidRPr="00695B2C">
        <w:rPr>
          <w:rFonts w:eastAsia="Times New Roman" w:cs="Tahoma"/>
          <w:b/>
          <w:color w:val="auto"/>
          <w:szCs w:val="24"/>
          <w:lang w:eastAsia="es-ES"/>
        </w:rPr>
        <w:t>)</w:t>
      </w:r>
      <w:r w:rsidR="00083A1D" w:rsidRPr="00695B2C">
        <w:rPr>
          <w:rFonts w:eastAsia="Times New Roman" w:cs="Tahoma"/>
          <w:b/>
          <w:color w:val="auto"/>
          <w:szCs w:val="24"/>
          <w:lang w:eastAsia="es-ES"/>
        </w:rPr>
        <w:t xml:space="preserve"> </w:t>
      </w:r>
      <w:r w:rsidR="00177EE1" w:rsidRPr="00695B2C">
        <w:rPr>
          <w:rFonts w:eastAsia="Times New Roman" w:cs="Tahoma"/>
          <w:b/>
          <w:color w:val="auto"/>
          <w:szCs w:val="24"/>
          <w:lang w:eastAsia="es-ES"/>
        </w:rPr>
        <w:t>Cierre</w:t>
      </w:r>
      <w:r w:rsidR="00083A1D" w:rsidRPr="00695B2C">
        <w:rPr>
          <w:rFonts w:eastAsia="Times New Roman" w:cs="Tahoma"/>
          <w:b/>
          <w:color w:val="auto"/>
          <w:szCs w:val="24"/>
          <w:lang w:eastAsia="es-ES"/>
        </w:rPr>
        <w:t xml:space="preserve"> </w:t>
      </w:r>
      <w:r w:rsidR="00177EE1" w:rsidRPr="00695B2C">
        <w:rPr>
          <w:rFonts w:eastAsia="Times New Roman" w:cs="Tahoma"/>
          <w:b/>
          <w:color w:val="auto"/>
          <w:szCs w:val="24"/>
          <w:lang w:eastAsia="es-ES"/>
        </w:rPr>
        <w:t>de</w:t>
      </w:r>
      <w:r w:rsidR="00083A1D" w:rsidRPr="00695B2C">
        <w:rPr>
          <w:rFonts w:eastAsia="Times New Roman" w:cs="Tahoma"/>
          <w:b/>
          <w:color w:val="auto"/>
          <w:szCs w:val="24"/>
          <w:lang w:eastAsia="es-ES"/>
        </w:rPr>
        <w:t xml:space="preserve"> </w:t>
      </w:r>
      <w:r w:rsidR="00177EE1" w:rsidRPr="00695B2C">
        <w:rPr>
          <w:rFonts w:eastAsia="Times New Roman" w:cs="Tahoma"/>
          <w:b/>
          <w:color w:val="auto"/>
          <w:szCs w:val="24"/>
          <w:lang w:eastAsia="es-ES"/>
        </w:rPr>
        <w:t>instrucción.</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El</w:t>
      </w:r>
      <w:r w:rsidR="00083A1D" w:rsidRPr="00695B2C">
        <w:rPr>
          <w:rFonts w:eastAsia="Times New Roman" w:cs="Tahoma"/>
          <w:color w:val="auto"/>
          <w:szCs w:val="24"/>
          <w:lang w:eastAsia="es-ES"/>
        </w:rPr>
        <w:t xml:space="preserve"> </w:t>
      </w:r>
      <w:r w:rsidR="00ED0DDF" w:rsidRPr="00695B2C">
        <w:rPr>
          <w:rFonts w:eastAsia="Times New Roman" w:cs="Tahoma"/>
          <w:color w:val="auto"/>
          <w:szCs w:val="24"/>
          <w:lang w:val="es-ES" w:eastAsia="es-ES"/>
        </w:rPr>
        <w:t xml:space="preserve">tres </w:t>
      </w:r>
      <w:r w:rsidR="008C49F0" w:rsidRPr="00695B2C">
        <w:rPr>
          <w:rFonts w:eastAsia="Times New Roman" w:cs="Tahoma"/>
          <w:color w:val="auto"/>
          <w:szCs w:val="24"/>
          <w:lang w:val="es-ES" w:eastAsia="es-ES"/>
        </w:rPr>
        <w:t xml:space="preserve">de </w:t>
      </w:r>
      <w:r w:rsidR="00ED0DDF" w:rsidRPr="00695B2C">
        <w:rPr>
          <w:rFonts w:eastAsia="Times New Roman" w:cs="Tahoma"/>
          <w:color w:val="auto"/>
          <w:szCs w:val="24"/>
          <w:lang w:val="es-ES" w:eastAsia="es-ES"/>
        </w:rPr>
        <w:t>junio</w:t>
      </w:r>
      <w:r w:rsidR="00ED0DDF" w:rsidRPr="00695B2C">
        <w:rPr>
          <w:rFonts w:eastAsia="Times New Roman" w:cs="Tahoma"/>
          <w:color w:val="auto"/>
          <w:szCs w:val="24"/>
          <w:lang w:eastAsia="es-ES"/>
        </w:rPr>
        <w:t xml:space="preserve"> </w:t>
      </w:r>
      <w:r w:rsidR="00177EE1" w:rsidRPr="00695B2C">
        <w:rPr>
          <w:rFonts w:eastAsia="Times New Roman" w:cs="Tahoma"/>
          <w:color w:val="auto"/>
          <w:szCs w:val="24"/>
          <w:lang w:val="es-ES" w:eastAsia="es-ES"/>
        </w:rPr>
        <w:t>de</w:t>
      </w:r>
      <w:r w:rsidR="00083A1D" w:rsidRPr="00695B2C">
        <w:rPr>
          <w:rFonts w:eastAsia="Times New Roman" w:cs="Tahoma"/>
          <w:color w:val="auto"/>
          <w:szCs w:val="24"/>
          <w:lang w:val="es-ES" w:eastAsia="es-ES"/>
        </w:rPr>
        <w:t xml:space="preserve"> </w:t>
      </w:r>
      <w:r w:rsidR="00177EE1" w:rsidRPr="00695B2C">
        <w:rPr>
          <w:rFonts w:eastAsia="Times New Roman" w:cs="Tahoma"/>
          <w:color w:val="auto"/>
          <w:szCs w:val="24"/>
          <w:lang w:val="es-ES" w:eastAsia="es-ES"/>
        </w:rPr>
        <w:t>dos</w:t>
      </w:r>
      <w:r w:rsidR="00083A1D" w:rsidRPr="00695B2C">
        <w:rPr>
          <w:rFonts w:eastAsia="Times New Roman" w:cs="Tahoma"/>
          <w:color w:val="auto"/>
          <w:szCs w:val="24"/>
          <w:lang w:val="es-ES" w:eastAsia="es-ES"/>
        </w:rPr>
        <w:t xml:space="preserve"> </w:t>
      </w:r>
      <w:r w:rsidR="00177EE1" w:rsidRPr="00695B2C">
        <w:rPr>
          <w:rFonts w:eastAsia="Times New Roman" w:cs="Tahoma"/>
          <w:color w:val="auto"/>
          <w:szCs w:val="24"/>
          <w:lang w:val="es-ES" w:eastAsia="es-ES"/>
        </w:rPr>
        <w:t>mil</w:t>
      </w:r>
      <w:r w:rsidR="00083A1D" w:rsidRPr="00695B2C">
        <w:rPr>
          <w:rFonts w:eastAsia="Times New Roman" w:cs="Tahoma"/>
          <w:color w:val="auto"/>
          <w:szCs w:val="24"/>
          <w:lang w:val="es-ES" w:eastAsia="es-ES"/>
        </w:rPr>
        <w:t xml:space="preserve"> </w:t>
      </w:r>
      <w:r w:rsidR="008C49F0" w:rsidRPr="00695B2C">
        <w:rPr>
          <w:rFonts w:eastAsia="Times New Roman" w:cs="Tahoma"/>
          <w:color w:val="auto"/>
          <w:szCs w:val="24"/>
          <w:lang w:val="es-ES" w:eastAsia="es-ES"/>
        </w:rPr>
        <w:t>veintidós</w:t>
      </w:r>
      <w:r w:rsidR="00250D7E" w:rsidRPr="00695B2C">
        <w:rPr>
          <w:rFonts w:eastAsia="Times New Roman" w:cs="Tahoma"/>
          <w:color w:val="auto"/>
          <w:szCs w:val="24"/>
          <w:lang w:val="es-ES" w:eastAsia="es-ES"/>
        </w:rPr>
        <w:t xml:space="preserve">, </w:t>
      </w:r>
      <w:r w:rsidR="00177EE1" w:rsidRPr="00695B2C">
        <w:rPr>
          <w:rFonts w:eastAsia="Times New Roman" w:cs="Tahoma"/>
          <w:color w:val="auto"/>
          <w:szCs w:val="24"/>
          <w:lang w:eastAsia="es-ES"/>
        </w:rPr>
        <w:t>al</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no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existir</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diligencias</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pendientes</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por</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desahogar,</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se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emitió</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el</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acuerdo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por</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medio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del</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cual</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se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declaró</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cerrada</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la</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instrucción</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y</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se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determinó</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pasar</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los</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expedientes</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a</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resolución,</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en</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términos</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lo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dispuesto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en</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los</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artículos</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185,</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fracciones</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VI</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y</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VIII,</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la</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Ley</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Transparencia</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y</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Acceso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a</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la</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Información</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Pública</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del</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Estado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México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y</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Municipios,</w:t>
      </w:r>
      <w:r w:rsidR="00083A1D" w:rsidRPr="00695B2C">
        <w:rPr>
          <w:rFonts w:eastAsia="Times New Roman" w:cs="Tahoma"/>
          <w:color w:val="auto"/>
          <w:szCs w:val="24"/>
          <w:lang w:eastAsia="es-ES"/>
        </w:rPr>
        <w:t xml:space="preserve"> </w:t>
      </w:r>
      <w:r w:rsidR="00177EE1" w:rsidRPr="00695B2C">
        <w:rPr>
          <w:rFonts w:eastAsia="Palatino Linotype" w:cs="Palatino Linotype"/>
          <w:lang w:val="es-ES"/>
        </w:rPr>
        <w:t>acto</w:t>
      </w:r>
      <w:r w:rsidR="00083A1D" w:rsidRPr="00695B2C">
        <w:rPr>
          <w:rFonts w:eastAsia="Palatino Linotype" w:cs="Palatino Linotype"/>
          <w:lang w:val="es-ES"/>
        </w:rPr>
        <w:t xml:space="preserve"> </w:t>
      </w:r>
      <w:r w:rsidR="00177EE1" w:rsidRPr="00695B2C">
        <w:rPr>
          <w:rFonts w:eastAsia="Palatino Linotype" w:cs="Palatino Linotype"/>
          <w:lang w:val="es-ES"/>
        </w:rPr>
        <w:t>que</w:t>
      </w:r>
      <w:r w:rsidR="00083A1D" w:rsidRPr="00695B2C">
        <w:rPr>
          <w:rFonts w:eastAsia="Palatino Linotype" w:cs="Palatino Linotype"/>
          <w:lang w:val="es-ES"/>
        </w:rPr>
        <w:t xml:space="preserve"> </w:t>
      </w:r>
      <w:r w:rsidR="00177EE1" w:rsidRPr="00695B2C">
        <w:rPr>
          <w:rFonts w:eastAsia="Palatino Linotype" w:cs="Palatino Linotype"/>
          <w:lang w:val="es-ES"/>
        </w:rPr>
        <w:t>fue</w:t>
      </w:r>
      <w:r w:rsidR="00083A1D" w:rsidRPr="00695B2C">
        <w:rPr>
          <w:rFonts w:eastAsia="Palatino Linotype" w:cs="Palatino Linotype"/>
          <w:lang w:val="es-ES"/>
        </w:rPr>
        <w:t xml:space="preserve"> </w:t>
      </w:r>
      <w:r w:rsidR="00177EE1" w:rsidRPr="00695B2C">
        <w:rPr>
          <w:rFonts w:eastAsia="Palatino Linotype" w:cs="Palatino Linotype"/>
          <w:lang w:val="es-ES"/>
        </w:rPr>
        <w:t>notificado</w:t>
      </w:r>
      <w:r w:rsidR="00083A1D" w:rsidRPr="00695B2C">
        <w:rPr>
          <w:rFonts w:eastAsia="Palatino Linotype" w:cs="Palatino Linotype"/>
          <w:lang w:val="es-ES"/>
        </w:rPr>
        <w:t xml:space="preserve"> </w:t>
      </w:r>
      <w:r w:rsidR="00177EE1" w:rsidRPr="00695B2C">
        <w:rPr>
          <w:rFonts w:eastAsia="Palatino Linotype" w:cs="Palatino Linotype"/>
          <w:lang w:val="es-ES"/>
        </w:rPr>
        <w:t>a</w:t>
      </w:r>
      <w:r w:rsidR="00083A1D" w:rsidRPr="00695B2C">
        <w:rPr>
          <w:rFonts w:eastAsia="Palatino Linotype" w:cs="Palatino Linotype"/>
          <w:lang w:val="es-ES"/>
        </w:rPr>
        <w:t xml:space="preserve"> </w:t>
      </w:r>
      <w:r w:rsidR="00177EE1" w:rsidRPr="00695B2C">
        <w:rPr>
          <w:rFonts w:eastAsia="Palatino Linotype" w:cs="Palatino Linotype"/>
          <w:lang w:val="es-ES"/>
        </w:rPr>
        <w:t>las</w:t>
      </w:r>
      <w:r w:rsidR="00083A1D" w:rsidRPr="00695B2C">
        <w:rPr>
          <w:rFonts w:eastAsia="Palatino Linotype" w:cs="Palatino Linotype"/>
          <w:lang w:val="es-ES"/>
        </w:rPr>
        <w:t xml:space="preserve"> </w:t>
      </w:r>
      <w:r w:rsidR="00177EE1" w:rsidRPr="00695B2C">
        <w:rPr>
          <w:rFonts w:eastAsia="Palatino Linotype" w:cs="Palatino Linotype"/>
          <w:lang w:val="es-ES"/>
        </w:rPr>
        <w:t>partes,</w:t>
      </w:r>
      <w:r w:rsidR="00083A1D" w:rsidRPr="00695B2C">
        <w:rPr>
          <w:rFonts w:eastAsia="Palatino Linotype" w:cs="Palatino Linotype"/>
          <w:lang w:val="es-ES"/>
        </w:rPr>
        <w:t xml:space="preserve"> </w:t>
      </w:r>
      <w:r w:rsidR="00177EE1" w:rsidRPr="00695B2C">
        <w:rPr>
          <w:rFonts w:eastAsia="Palatino Linotype" w:cs="Palatino Linotype"/>
          <w:lang w:val="es-ES"/>
        </w:rPr>
        <w:t>mediante</w:t>
      </w:r>
      <w:r w:rsidR="00083A1D" w:rsidRPr="00695B2C">
        <w:rPr>
          <w:rFonts w:eastAsia="Palatino Linotype" w:cs="Palatino Linotype"/>
          <w:lang w:val="es-ES"/>
        </w:rPr>
        <w:t xml:space="preserve"> </w:t>
      </w:r>
      <w:r w:rsidR="00177EE1" w:rsidRPr="00695B2C">
        <w:rPr>
          <w:rFonts w:eastAsia="Palatino Linotype" w:cs="Palatino Linotype"/>
          <w:lang w:val="es-ES"/>
        </w:rPr>
        <w:t>el</w:t>
      </w:r>
      <w:r w:rsidR="00083A1D" w:rsidRPr="00695B2C">
        <w:rPr>
          <w:rFonts w:eastAsia="Palatino Linotype" w:cs="Palatino Linotype"/>
          <w:lang w:val="es-ES"/>
        </w:rPr>
        <w:t xml:space="preserve"> </w:t>
      </w:r>
      <w:r w:rsidR="00177EE1" w:rsidRPr="00092753">
        <w:rPr>
          <w:rFonts w:eastAsia="Palatino Linotype" w:cs="Palatino Linotype"/>
          <w:lang w:val="es-ES"/>
        </w:rPr>
        <w:t>Sistema</w:t>
      </w:r>
      <w:r w:rsidR="00083A1D" w:rsidRPr="00092753">
        <w:rPr>
          <w:rFonts w:eastAsia="Palatino Linotype" w:cs="Palatino Linotype"/>
          <w:lang w:val="es-ES"/>
        </w:rPr>
        <w:t xml:space="preserve"> </w:t>
      </w:r>
      <w:r w:rsidR="00177EE1" w:rsidRPr="00092753">
        <w:rPr>
          <w:rFonts w:eastAsia="Palatino Linotype" w:cs="Palatino Linotype"/>
          <w:lang w:val="es-ES"/>
        </w:rPr>
        <w:t>de</w:t>
      </w:r>
      <w:r w:rsidR="00083A1D" w:rsidRPr="00092753">
        <w:rPr>
          <w:rFonts w:eastAsia="Palatino Linotype" w:cs="Palatino Linotype"/>
          <w:lang w:val="es-ES"/>
        </w:rPr>
        <w:t xml:space="preserve"> </w:t>
      </w:r>
      <w:r w:rsidR="00177EE1" w:rsidRPr="00092753">
        <w:rPr>
          <w:rFonts w:eastAsia="Palatino Linotype" w:cs="Palatino Linotype"/>
          <w:lang w:val="es-ES"/>
        </w:rPr>
        <w:t>Acceso</w:t>
      </w:r>
      <w:r w:rsidR="00083A1D" w:rsidRPr="00092753">
        <w:rPr>
          <w:rFonts w:eastAsia="Palatino Linotype" w:cs="Palatino Linotype"/>
          <w:lang w:val="es-ES"/>
        </w:rPr>
        <w:t xml:space="preserve"> </w:t>
      </w:r>
      <w:r w:rsidR="00177EE1" w:rsidRPr="00092753">
        <w:rPr>
          <w:rFonts w:eastAsia="Palatino Linotype" w:cs="Palatino Linotype"/>
          <w:lang w:val="es-ES"/>
        </w:rPr>
        <w:t>a</w:t>
      </w:r>
      <w:r w:rsidR="00083A1D" w:rsidRPr="00092753">
        <w:rPr>
          <w:rFonts w:eastAsia="Palatino Linotype" w:cs="Palatino Linotype"/>
          <w:lang w:val="es-ES"/>
        </w:rPr>
        <w:t xml:space="preserve"> </w:t>
      </w:r>
      <w:r w:rsidR="00177EE1" w:rsidRPr="00092753">
        <w:rPr>
          <w:rFonts w:eastAsia="Palatino Linotype" w:cs="Palatino Linotype"/>
          <w:lang w:val="es-ES"/>
        </w:rPr>
        <w:t>la</w:t>
      </w:r>
      <w:r w:rsidR="00083A1D" w:rsidRPr="00092753">
        <w:rPr>
          <w:rFonts w:eastAsia="Palatino Linotype" w:cs="Palatino Linotype"/>
          <w:lang w:val="es-ES"/>
        </w:rPr>
        <w:t xml:space="preserve"> </w:t>
      </w:r>
      <w:r w:rsidR="00177EE1" w:rsidRPr="00092753">
        <w:rPr>
          <w:rFonts w:eastAsia="Palatino Linotype" w:cs="Palatino Linotype"/>
          <w:lang w:val="es-ES"/>
        </w:rPr>
        <w:t>Información</w:t>
      </w:r>
      <w:r w:rsidR="00083A1D" w:rsidRPr="00092753">
        <w:rPr>
          <w:rFonts w:eastAsia="Palatino Linotype" w:cs="Palatino Linotype"/>
          <w:lang w:val="es-ES"/>
        </w:rPr>
        <w:t xml:space="preserve"> </w:t>
      </w:r>
      <w:r w:rsidR="00177EE1" w:rsidRPr="00092753">
        <w:rPr>
          <w:rFonts w:eastAsia="Palatino Linotype" w:cs="Palatino Linotype"/>
          <w:lang w:val="es-ES"/>
        </w:rPr>
        <w:t>Mexiquense</w:t>
      </w:r>
      <w:r w:rsidR="00083A1D" w:rsidRPr="00092753">
        <w:rPr>
          <w:rFonts w:eastAsia="Palatino Linotype" w:cs="Palatino Linotype"/>
          <w:lang w:val="es-ES"/>
        </w:rPr>
        <w:t xml:space="preserve"> </w:t>
      </w:r>
      <w:r w:rsidR="00177EE1" w:rsidRPr="00092753">
        <w:rPr>
          <w:rFonts w:eastAsia="Palatino Linotype" w:cs="Palatino Linotype"/>
          <w:lang w:val="es-ES"/>
        </w:rPr>
        <w:t>(SAIMEX),</w:t>
      </w:r>
      <w:r w:rsidR="00083A1D" w:rsidRPr="00092753">
        <w:rPr>
          <w:rFonts w:eastAsia="Palatino Linotype" w:cs="Palatino Linotype"/>
          <w:lang w:val="es-ES"/>
        </w:rPr>
        <w:t xml:space="preserve"> </w:t>
      </w:r>
      <w:r w:rsidR="00177EE1" w:rsidRPr="00092753">
        <w:rPr>
          <w:rFonts w:eastAsia="Palatino Linotype" w:cs="Palatino Linotype"/>
          <w:lang w:val="es-ES"/>
        </w:rPr>
        <w:t>el</w:t>
      </w:r>
      <w:r w:rsidR="00083A1D" w:rsidRPr="00092753">
        <w:rPr>
          <w:rFonts w:eastAsia="Palatino Linotype" w:cs="Palatino Linotype"/>
          <w:lang w:val="es-ES"/>
        </w:rPr>
        <w:t xml:space="preserve"> </w:t>
      </w:r>
      <w:r w:rsidR="00177EE1" w:rsidRPr="00092753">
        <w:rPr>
          <w:rFonts w:eastAsia="Palatino Linotype" w:cs="Palatino Linotype"/>
          <w:lang w:val="es-ES"/>
        </w:rPr>
        <w:t>mismo</w:t>
      </w:r>
      <w:r w:rsidR="00083A1D" w:rsidRPr="00092753">
        <w:rPr>
          <w:rFonts w:eastAsia="Palatino Linotype" w:cs="Palatino Linotype"/>
          <w:lang w:val="es-ES"/>
        </w:rPr>
        <w:t xml:space="preserve"> </w:t>
      </w:r>
      <w:r w:rsidR="00177EE1" w:rsidRPr="00092753">
        <w:rPr>
          <w:rFonts w:eastAsia="Palatino Linotype" w:cs="Palatino Linotype"/>
          <w:lang w:val="es-ES"/>
        </w:rPr>
        <w:t>día.</w:t>
      </w:r>
    </w:p>
    <w:p w14:paraId="53D453D6" w14:textId="3CB9E4E7" w:rsidR="00177EE1" w:rsidRPr="00092753" w:rsidRDefault="00177EE1" w:rsidP="006461DA">
      <w:pPr>
        <w:spacing w:after="0" w:line="360" w:lineRule="auto"/>
        <w:rPr>
          <w:rFonts w:eastAsia="Times New Roman" w:cs="Tahoma"/>
          <w:color w:val="auto"/>
          <w:szCs w:val="24"/>
          <w:lang w:eastAsia="es-ES"/>
        </w:rPr>
      </w:pPr>
    </w:p>
    <w:p w14:paraId="34E18990" w14:textId="646114FE" w:rsidR="00FD49C9" w:rsidRPr="00092753" w:rsidRDefault="00FD49C9" w:rsidP="006461DA">
      <w:pPr>
        <w:spacing w:after="0" w:line="360" w:lineRule="auto"/>
        <w:rPr>
          <w:rFonts w:eastAsia="Times New Roman" w:cs="Tahoma"/>
          <w:b/>
          <w:bCs/>
          <w:color w:val="auto"/>
          <w:szCs w:val="24"/>
          <w:lang w:eastAsia="es-ES"/>
        </w:rPr>
      </w:pPr>
      <w:r w:rsidRPr="00092753">
        <w:rPr>
          <w:rFonts w:eastAsia="Times New Roman" w:cs="Tahoma"/>
          <w:b/>
          <w:bCs/>
          <w:color w:val="auto"/>
          <w:szCs w:val="24"/>
          <w:lang w:eastAsia="es-ES"/>
        </w:rPr>
        <w:t xml:space="preserve">g) </w:t>
      </w:r>
      <w:r w:rsidR="00055475" w:rsidRPr="00092753">
        <w:rPr>
          <w:rFonts w:eastAsia="Times New Roman" w:cs="Tahoma"/>
          <w:b/>
          <w:bCs/>
          <w:color w:val="auto"/>
          <w:szCs w:val="24"/>
          <w:lang w:eastAsia="es-ES"/>
        </w:rPr>
        <w:t>Presentación del proyecto de la Ponencia del Comisionado Luis Gustavo Parra Noriega, v</w:t>
      </w:r>
      <w:r w:rsidRPr="00092753">
        <w:rPr>
          <w:rFonts w:eastAsia="Times New Roman" w:cs="Tahoma"/>
          <w:b/>
          <w:bCs/>
          <w:color w:val="auto"/>
          <w:szCs w:val="24"/>
          <w:lang w:eastAsia="es-ES"/>
        </w:rPr>
        <w:t xml:space="preserve">otación y </w:t>
      </w:r>
      <w:proofErr w:type="spellStart"/>
      <w:r w:rsidRPr="00092753">
        <w:rPr>
          <w:rFonts w:eastAsia="Times New Roman" w:cs="Tahoma"/>
          <w:b/>
          <w:bCs/>
          <w:color w:val="auto"/>
          <w:szCs w:val="24"/>
          <w:lang w:eastAsia="es-ES"/>
        </w:rPr>
        <w:t>returno</w:t>
      </w:r>
      <w:proofErr w:type="spellEnd"/>
      <w:r w:rsidRPr="00092753">
        <w:rPr>
          <w:rFonts w:eastAsia="Times New Roman" w:cs="Tahoma"/>
          <w:b/>
          <w:bCs/>
          <w:color w:val="auto"/>
          <w:szCs w:val="24"/>
          <w:lang w:eastAsia="es-ES"/>
        </w:rPr>
        <w:t>.</w:t>
      </w:r>
      <w:r w:rsidR="00055475" w:rsidRPr="00092753">
        <w:rPr>
          <w:rFonts w:eastAsia="Times New Roman" w:cs="Tahoma"/>
          <w:b/>
          <w:bCs/>
          <w:color w:val="auto"/>
          <w:szCs w:val="24"/>
          <w:lang w:eastAsia="es-ES"/>
        </w:rPr>
        <w:t xml:space="preserve"> (Vigésima Primera Sesión Ordinaria).</w:t>
      </w:r>
    </w:p>
    <w:p w14:paraId="51A0AB26" w14:textId="1BD2B4B0" w:rsidR="00FD49C9" w:rsidRPr="00092753" w:rsidRDefault="00FD49C9" w:rsidP="006461DA">
      <w:pPr>
        <w:spacing w:after="0" w:line="360" w:lineRule="auto"/>
        <w:rPr>
          <w:rFonts w:eastAsia="Times New Roman" w:cs="Tahoma"/>
          <w:color w:val="auto"/>
          <w:szCs w:val="24"/>
          <w:lang w:eastAsia="es-ES"/>
        </w:rPr>
      </w:pPr>
    </w:p>
    <w:p w14:paraId="7D6A7C48" w14:textId="3CEBC4B6" w:rsidR="00FD49C9" w:rsidRPr="00092753" w:rsidRDefault="00FD49C9" w:rsidP="006461DA">
      <w:pPr>
        <w:spacing w:after="0" w:line="360" w:lineRule="auto"/>
        <w:rPr>
          <w:rFonts w:eastAsia="Times New Roman" w:cs="Tahoma"/>
          <w:color w:val="auto"/>
          <w:szCs w:val="24"/>
          <w:lang w:eastAsia="es-ES"/>
        </w:rPr>
      </w:pPr>
      <w:r w:rsidRPr="00092753">
        <w:rPr>
          <w:rFonts w:eastAsia="Times New Roman" w:cs="Tahoma"/>
          <w:color w:val="auto"/>
          <w:szCs w:val="24"/>
          <w:lang w:eastAsia="es-ES"/>
        </w:rPr>
        <w:t xml:space="preserve">El ocho de junio del dos mil veintidós, </w:t>
      </w:r>
      <w:r w:rsidR="00055475" w:rsidRPr="00092753">
        <w:rPr>
          <w:rFonts w:eastAsia="Times New Roman" w:cs="Tahoma"/>
          <w:color w:val="auto"/>
          <w:szCs w:val="24"/>
          <w:lang w:eastAsia="es-ES"/>
        </w:rPr>
        <w:t xml:space="preserve">se llevó a cabo la Vigésima Primera Sesión Ordinaria del dos mil veintidós, en donde </w:t>
      </w:r>
      <w:r w:rsidRPr="00092753">
        <w:rPr>
          <w:rFonts w:eastAsia="Times New Roman" w:cs="Tahoma"/>
          <w:color w:val="auto"/>
          <w:szCs w:val="24"/>
          <w:lang w:eastAsia="es-ES"/>
        </w:rPr>
        <w:t>el Pleno del Instituto de Transparencia, Acceso a la Información Pública y Protección de Datos Personales del Estado de México y Municipios,</w:t>
      </w:r>
      <w:r w:rsidR="007C7A92" w:rsidRPr="00092753">
        <w:rPr>
          <w:rFonts w:eastAsia="Times New Roman" w:cs="Tahoma"/>
          <w:color w:val="auto"/>
          <w:szCs w:val="24"/>
          <w:lang w:eastAsia="es-ES"/>
        </w:rPr>
        <w:t xml:space="preserve"> </w:t>
      </w:r>
      <w:r w:rsidR="00D51370" w:rsidRPr="00092753">
        <w:rPr>
          <w:rFonts w:eastAsia="Times New Roman" w:cs="Tahoma"/>
          <w:color w:val="auto"/>
          <w:szCs w:val="24"/>
          <w:lang w:eastAsia="es-ES"/>
        </w:rPr>
        <w:t>analizó y votó</w:t>
      </w:r>
      <w:r w:rsidR="007C7A92" w:rsidRPr="00092753">
        <w:rPr>
          <w:rFonts w:eastAsia="Times New Roman" w:cs="Tahoma"/>
          <w:color w:val="auto"/>
          <w:szCs w:val="24"/>
          <w:lang w:eastAsia="es-ES"/>
        </w:rPr>
        <w:t xml:space="preserve"> el proyecto de resolución propuesto por el comisionado Ponente;</w:t>
      </w:r>
      <w:r w:rsidRPr="00092753">
        <w:rPr>
          <w:rFonts w:eastAsia="Times New Roman" w:cs="Tahoma"/>
          <w:color w:val="auto"/>
          <w:szCs w:val="24"/>
          <w:lang w:eastAsia="es-ES"/>
        </w:rPr>
        <w:t xml:space="preserve"> </w:t>
      </w:r>
      <w:r w:rsidR="00055475" w:rsidRPr="00092753">
        <w:rPr>
          <w:rFonts w:eastAsia="Times New Roman" w:cs="Tahoma"/>
          <w:color w:val="auto"/>
          <w:szCs w:val="24"/>
          <w:lang w:eastAsia="es-ES"/>
        </w:rPr>
        <w:t xml:space="preserve">con dos votos a favor de la resolución y tres en contra, </w:t>
      </w:r>
      <w:r w:rsidR="007C7A92" w:rsidRPr="00092753">
        <w:rPr>
          <w:rFonts w:eastAsia="Times New Roman" w:cs="Tahoma"/>
          <w:color w:val="auto"/>
          <w:szCs w:val="24"/>
          <w:lang w:eastAsia="es-ES"/>
        </w:rPr>
        <w:t>el Pleno, resolvió en no aprobar el proyecto en los términos planteados</w:t>
      </w:r>
      <w:r w:rsidR="00055475" w:rsidRPr="00092753">
        <w:rPr>
          <w:rFonts w:eastAsia="Times New Roman" w:cs="Tahoma"/>
          <w:color w:val="auto"/>
          <w:szCs w:val="24"/>
          <w:lang w:eastAsia="es-ES"/>
        </w:rPr>
        <w:t xml:space="preserve"> y returnó el asunto a la Comisionada Sharon Cristina Morales Martínez, para presentar una resolución, adecuada al criterio mayoritario del Pleno del INFOEM.</w:t>
      </w:r>
    </w:p>
    <w:p w14:paraId="43ED562C" w14:textId="030FAAF5" w:rsidR="00055475" w:rsidRPr="00092753" w:rsidRDefault="00055475" w:rsidP="006461DA">
      <w:pPr>
        <w:spacing w:after="0" w:line="360" w:lineRule="auto"/>
        <w:rPr>
          <w:rFonts w:eastAsia="Times New Roman" w:cs="Tahoma"/>
          <w:color w:val="auto"/>
          <w:szCs w:val="24"/>
          <w:lang w:eastAsia="es-ES"/>
        </w:rPr>
      </w:pPr>
    </w:p>
    <w:p w14:paraId="0B1E2BBC" w14:textId="13679252" w:rsidR="00055475" w:rsidRPr="00092753" w:rsidRDefault="00055475" w:rsidP="006461DA">
      <w:pPr>
        <w:spacing w:after="0" w:line="360" w:lineRule="auto"/>
        <w:rPr>
          <w:rFonts w:eastAsia="Times New Roman" w:cs="Tahoma"/>
          <w:b/>
          <w:bCs/>
          <w:color w:val="auto"/>
          <w:szCs w:val="24"/>
          <w:lang w:eastAsia="es-ES"/>
        </w:rPr>
      </w:pPr>
      <w:r w:rsidRPr="00092753">
        <w:rPr>
          <w:rFonts w:eastAsia="Times New Roman" w:cs="Tahoma"/>
          <w:b/>
          <w:bCs/>
          <w:color w:val="auto"/>
          <w:szCs w:val="24"/>
          <w:lang w:eastAsia="es-ES"/>
        </w:rPr>
        <w:t xml:space="preserve">h) Presentación del proyecto de la Ponencia de la Comisionada Sharon Cristina Morales Martínez, votación y </w:t>
      </w:r>
      <w:proofErr w:type="spellStart"/>
      <w:r w:rsidRPr="00092753">
        <w:rPr>
          <w:rFonts w:eastAsia="Times New Roman" w:cs="Tahoma"/>
          <w:b/>
          <w:bCs/>
          <w:color w:val="auto"/>
          <w:szCs w:val="24"/>
          <w:lang w:eastAsia="es-ES"/>
        </w:rPr>
        <w:t>returno</w:t>
      </w:r>
      <w:proofErr w:type="spellEnd"/>
      <w:r w:rsidRPr="00092753">
        <w:rPr>
          <w:rFonts w:eastAsia="Times New Roman" w:cs="Tahoma"/>
          <w:b/>
          <w:bCs/>
          <w:color w:val="auto"/>
          <w:szCs w:val="24"/>
          <w:lang w:eastAsia="es-ES"/>
        </w:rPr>
        <w:t>.</w:t>
      </w:r>
      <w:r w:rsidR="001A306A" w:rsidRPr="00092753">
        <w:rPr>
          <w:rFonts w:eastAsia="Times New Roman" w:cs="Tahoma"/>
          <w:b/>
          <w:bCs/>
          <w:color w:val="auto"/>
          <w:szCs w:val="24"/>
          <w:lang w:eastAsia="es-ES"/>
        </w:rPr>
        <w:t xml:space="preserve"> (Trigésima Primera Sesión Ordinaria)</w:t>
      </w:r>
    </w:p>
    <w:p w14:paraId="6F5CB03B" w14:textId="77777777" w:rsidR="00FD49C9" w:rsidRPr="00092753" w:rsidRDefault="00FD49C9" w:rsidP="006461DA">
      <w:pPr>
        <w:spacing w:after="0" w:line="360" w:lineRule="auto"/>
        <w:rPr>
          <w:rFonts w:eastAsia="Times New Roman" w:cs="Tahoma"/>
          <w:color w:val="auto"/>
          <w:szCs w:val="24"/>
          <w:lang w:eastAsia="es-ES"/>
        </w:rPr>
      </w:pPr>
    </w:p>
    <w:p w14:paraId="24A9F36C" w14:textId="2E9757DE" w:rsidR="001A306A" w:rsidRDefault="001A306A" w:rsidP="006461DA">
      <w:pPr>
        <w:spacing w:after="0" w:line="360" w:lineRule="auto"/>
        <w:rPr>
          <w:rFonts w:eastAsia="Times New Roman" w:cs="Tahoma"/>
          <w:color w:val="auto"/>
          <w:szCs w:val="24"/>
          <w:lang w:eastAsia="es-ES"/>
        </w:rPr>
      </w:pPr>
      <w:r w:rsidRPr="00092753">
        <w:rPr>
          <w:rFonts w:eastAsia="Times New Roman" w:cs="Tahoma"/>
          <w:color w:val="auto"/>
          <w:szCs w:val="24"/>
          <w:lang w:eastAsia="es-ES"/>
        </w:rPr>
        <w:t>En la Trigésima Primera Sesión Ordinaria, del treinta y uno de agosto del dos mil veintidós, el Pleno del Instituto de Transparencia, Acceso a la Información Pública y Protección de Datos Personales del Estado de México y Municipios,</w:t>
      </w:r>
      <w:r w:rsidR="007C7A92" w:rsidRPr="00092753">
        <w:rPr>
          <w:rFonts w:eastAsia="Times New Roman" w:cs="Tahoma"/>
          <w:color w:val="auto"/>
          <w:szCs w:val="24"/>
          <w:lang w:eastAsia="es-ES"/>
        </w:rPr>
        <w:t xml:space="preserve"> analizó el proyecto presentado por la </w:t>
      </w:r>
      <w:r w:rsidR="007C7A92" w:rsidRPr="00092753">
        <w:rPr>
          <w:rFonts w:eastAsia="Times New Roman" w:cs="Tahoma"/>
          <w:color w:val="auto"/>
          <w:szCs w:val="24"/>
          <w:lang w:eastAsia="es-ES"/>
        </w:rPr>
        <w:lastRenderedPageBreak/>
        <w:t xml:space="preserve">Comisionada Ponente, el cual se votó en contra con cuatro votos en ese sentido, por lo que se </w:t>
      </w:r>
      <w:r w:rsidRPr="00092753">
        <w:rPr>
          <w:rFonts w:eastAsia="Times New Roman" w:cs="Tahoma"/>
          <w:color w:val="auto"/>
          <w:szCs w:val="24"/>
          <w:lang w:eastAsia="es-ES"/>
        </w:rPr>
        <w:t>returnó el asunto al Comisionad</w:t>
      </w:r>
      <w:r w:rsidR="007C7A92" w:rsidRPr="00092753">
        <w:rPr>
          <w:rFonts w:eastAsia="Times New Roman" w:cs="Tahoma"/>
          <w:color w:val="auto"/>
          <w:szCs w:val="24"/>
          <w:lang w:eastAsia="es-ES"/>
        </w:rPr>
        <w:t>o</w:t>
      </w:r>
      <w:r w:rsidRPr="00092753">
        <w:rPr>
          <w:rFonts w:eastAsia="Times New Roman" w:cs="Tahoma"/>
          <w:color w:val="auto"/>
          <w:szCs w:val="24"/>
          <w:lang w:eastAsia="es-ES"/>
        </w:rPr>
        <w:t xml:space="preserve"> </w:t>
      </w:r>
      <w:r w:rsidR="007C7A92" w:rsidRPr="00092753">
        <w:rPr>
          <w:rFonts w:eastAsia="Times New Roman" w:cs="Tahoma"/>
          <w:color w:val="auto"/>
          <w:szCs w:val="24"/>
          <w:lang w:eastAsia="es-ES"/>
        </w:rPr>
        <w:t>Luis Gustavo Parra Noriega</w:t>
      </w:r>
      <w:r w:rsidRPr="00092753">
        <w:rPr>
          <w:rFonts w:eastAsia="Times New Roman" w:cs="Tahoma"/>
          <w:color w:val="auto"/>
          <w:szCs w:val="24"/>
          <w:lang w:eastAsia="es-ES"/>
        </w:rPr>
        <w:t xml:space="preserve">, para presentar una </w:t>
      </w:r>
      <w:r w:rsidR="00D51370" w:rsidRPr="00092753">
        <w:rPr>
          <w:rFonts w:eastAsia="Times New Roman" w:cs="Tahoma"/>
          <w:color w:val="auto"/>
          <w:szCs w:val="24"/>
          <w:lang w:eastAsia="es-ES"/>
        </w:rPr>
        <w:t>resolución en los términos que fueron debatidos por el Pleno.</w:t>
      </w:r>
    </w:p>
    <w:p w14:paraId="44FC7890" w14:textId="77777777" w:rsidR="001A306A" w:rsidRDefault="001A306A" w:rsidP="006461DA">
      <w:pPr>
        <w:spacing w:after="0" w:line="360" w:lineRule="auto"/>
        <w:rPr>
          <w:rFonts w:eastAsia="Times New Roman" w:cs="Tahoma"/>
          <w:color w:val="auto"/>
          <w:szCs w:val="24"/>
          <w:lang w:eastAsia="es-ES"/>
        </w:rPr>
      </w:pPr>
    </w:p>
    <w:p w14:paraId="13A12517" w14:textId="1BD7E86E" w:rsidR="00177EE1" w:rsidRPr="00695B2C" w:rsidRDefault="000C4C4B" w:rsidP="006461DA">
      <w:pPr>
        <w:spacing w:after="0" w:line="360" w:lineRule="auto"/>
        <w:rPr>
          <w:rFonts w:eastAsia="Times New Roman" w:cs="Tahoma"/>
          <w:color w:val="auto"/>
          <w:szCs w:val="24"/>
          <w:lang w:eastAsia="es-ES"/>
        </w:rPr>
      </w:pPr>
      <w:r w:rsidRPr="00695B2C">
        <w:rPr>
          <w:rFonts w:eastAsia="Times New Roman" w:cs="Tahoma"/>
          <w:color w:val="auto"/>
          <w:szCs w:val="24"/>
          <w:lang w:eastAsia="es-ES"/>
        </w:rPr>
        <w:t>Debido a</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que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fue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debidamente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sustanciado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integrado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el</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expediente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electrónico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y</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no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existe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diligencia</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pendiente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desahogo,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se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emite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la</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resolución</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que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conforme</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a</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Derecho</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proceda,</w:t>
      </w:r>
      <w:r w:rsidR="00083A1D" w:rsidRPr="00695B2C">
        <w:rPr>
          <w:rFonts w:eastAsia="Times New Roman" w:cs="Tahoma"/>
          <w:color w:val="auto"/>
          <w:szCs w:val="24"/>
          <w:lang w:eastAsia="es-ES"/>
        </w:rPr>
        <w:t xml:space="preserve"> </w:t>
      </w:r>
      <w:r w:rsidRPr="00695B2C">
        <w:rPr>
          <w:rFonts w:eastAsia="Times New Roman" w:cs="Tahoma"/>
          <w:color w:val="auto"/>
          <w:szCs w:val="24"/>
          <w:lang w:eastAsia="es-ES"/>
        </w:rPr>
        <w:t>de acuerdo con</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los</w:t>
      </w:r>
      <w:r w:rsidR="00083A1D" w:rsidRPr="00695B2C">
        <w:rPr>
          <w:rFonts w:eastAsia="Times New Roman" w:cs="Tahoma"/>
          <w:color w:val="auto"/>
          <w:szCs w:val="24"/>
          <w:lang w:eastAsia="es-ES"/>
        </w:rPr>
        <w:t xml:space="preserve"> </w:t>
      </w:r>
      <w:r w:rsidR="00177EE1" w:rsidRPr="00695B2C">
        <w:rPr>
          <w:rFonts w:eastAsia="Times New Roman" w:cs="Tahoma"/>
          <w:color w:val="auto"/>
          <w:szCs w:val="24"/>
          <w:lang w:eastAsia="es-ES"/>
        </w:rPr>
        <w:t>siguientes:</w:t>
      </w:r>
      <w:r w:rsidR="00083A1D" w:rsidRPr="00695B2C">
        <w:rPr>
          <w:rFonts w:eastAsia="Times New Roman" w:cs="Tahoma"/>
          <w:color w:val="auto"/>
          <w:szCs w:val="24"/>
          <w:lang w:eastAsia="es-ES"/>
        </w:rPr>
        <w:t xml:space="preserve"> </w:t>
      </w:r>
    </w:p>
    <w:p w14:paraId="2818AFDC" w14:textId="77777777" w:rsidR="00177EE1" w:rsidRPr="00695B2C" w:rsidRDefault="00177EE1" w:rsidP="006461DA">
      <w:pPr>
        <w:spacing w:after="0" w:line="360" w:lineRule="auto"/>
        <w:rPr>
          <w:rFonts w:eastAsia="Times New Roman" w:cs="Tahoma"/>
          <w:bCs/>
          <w:iCs/>
          <w:color w:val="auto"/>
          <w:lang w:val="es-ES" w:eastAsia="es-ES"/>
        </w:rPr>
      </w:pPr>
    </w:p>
    <w:p w14:paraId="10291291" w14:textId="77777777" w:rsidR="003D76E9" w:rsidRPr="00695B2C" w:rsidRDefault="003D76E9" w:rsidP="006461DA">
      <w:pPr>
        <w:spacing w:after="0" w:line="360" w:lineRule="auto"/>
        <w:contextualSpacing/>
        <w:jc w:val="center"/>
        <w:rPr>
          <w:rFonts w:cs="Tahoma"/>
          <w:b/>
        </w:rPr>
      </w:pPr>
      <w:r w:rsidRPr="00695B2C">
        <w:rPr>
          <w:rFonts w:cs="Tahoma"/>
          <w:b/>
        </w:rPr>
        <w:t>C O N S I D E R A N D O S</w:t>
      </w:r>
    </w:p>
    <w:p w14:paraId="12BA0EB5" w14:textId="77777777" w:rsidR="003D76E9" w:rsidRPr="00695B2C" w:rsidRDefault="003D76E9" w:rsidP="006461DA">
      <w:pPr>
        <w:spacing w:after="0" w:line="360" w:lineRule="auto"/>
        <w:contextualSpacing/>
        <w:jc w:val="center"/>
        <w:rPr>
          <w:rFonts w:cs="Tahoma"/>
          <w:b/>
        </w:rPr>
      </w:pPr>
    </w:p>
    <w:p w14:paraId="06D2FAEB" w14:textId="77777777" w:rsidR="003D76E9" w:rsidRPr="00695B2C" w:rsidRDefault="003D76E9" w:rsidP="006461DA">
      <w:pPr>
        <w:autoSpaceDE w:val="0"/>
        <w:autoSpaceDN w:val="0"/>
        <w:adjustRightInd w:val="0"/>
        <w:spacing w:after="0" w:line="360" w:lineRule="auto"/>
        <w:contextualSpacing/>
        <w:rPr>
          <w:rFonts w:cs="Tahoma"/>
          <w:b/>
        </w:rPr>
      </w:pPr>
      <w:r w:rsidRPr="00695B2C">
        <w:rPr>
          <w:rFonts w:eastAsia="Calibri" w:cs="Tahoma"/>
          <w:b/>
          <w:color w:val="000000"/>
          <w:lang w:eastAsia="es-MX"/>
        </w:rPr>
        <w:t>PRIMERO</w:t>
      </w:r>
      <w:r w:rsidRPr="00695B2C">
        <w:rPr>
          <w:rFonts w:eastAsia="Calibri" w:cs="Tahoma"/>
          <w:color w:val="000000"/>
          <w:lang w:eastAsia="es-MX"/>
        </w:rPr>
        <w:t xml:space="preserve">. </w:t>
      </w:r>
      <w:r w:rsidRPr="00695B2C">
        <w:rPr>
          <w:rFonts w:cs="Tahoma"/>
          <w:b/>
        </w:rPr>
        <w:t>Competencia.</w:t>
      </w:r>
    </w:p>
    <w:p w14:paraId="66F0AF95" w14:textId="77777777" w:rsidR="003D76E9" w:rsidRPr="00695B2C" w:rsidRDefault="003D76E9" w:rsidP="006461DA">
      <w:pPr>
        <w:autoSpaceDE w:val="0"/>
        <w:autoSpaceDN w:val="0"/>
        <w:adjustRightInd w:val="0"/>
        <w:spacing w:after="0" w:line="360" w:lineRule="auto"/>
        <w:contextualSpacing/>
        <w:rPr>
          <w:rFonts w:cs="Tahoma"/>
          <w:b/>
        </w:rPr>
      </w:pPr>
    </w:p>
    <w:p w14:paraId="3A8CD965" w14:textId="77777777" w:rsidR="003D76E9" w:rsidRPr="00695B2C" w:rsidRDefault="003D76E9" w:rsidP="006461DA">
      <w:pPr>
        <w:spacing w:after="0" w:line="360" w:lineRule="auto"/>
        <w:rPr>
          <w:rFonts w:cs="Tahoma"/>
          <w:shd w:val="clear" w:color="auto" w:fill="FFFFFF"/>
        </w:rPr>
      </w:pPr>
      <w:r w:rsidRPr="00695B2C">
        <w:rPr>
          <w:rFonts w:eastAsia="Calibri" w:cs="Tahoma"/>
          <w:color w:val="000000"/>
          <w:lang w:eastAsia="es-MX"/>
        </w:rPr>
        <w:t>El Instituto de Transparencia, Acceso a la Información Pública y Protección de Datos Personales del Estado de México y Municipios, es competente para conocer y resolver el presente Recurso de Revisión interpuesto por la parte recurrente, conforme a lo dispuesto en los artículos 6°, apartado A de la Constitución Política de los Estados Unidos Mexicanos; 5°, párrafos trigésimo, trigésimo primero y trigésimo segundo, fracciones I, II, III, IV y V de la Constitución Política del Estado Libre y Soberano de México; 1°, 8°, 9°, 10, 37 y 42, fracciones I, II y III, de la Ley General de Transparencia y Acceso a la Información Pública; 1°, 2°, fracciones II y IV; 13,  29, 36, fracciones I y II; 176, 178, 179, 181 párrafo tercero, 185, 188 y 189 de la Ley Transparencia y Acceso a la Información Pública del Estado de México y Municipios;</w:t>
      </w:r>
      <w:r w:rsidRPr="00695B2C">
        <w:rPr>
          <w:rFonts w:eastAsia="Calibri"/>
          <w:color w:val="000000"/>
          <w:lang w:eastAsia="es-MX"/>
        </w:rPr>
        <w:t xml:space="preserve"> 7°, </w:t>
      </w:r>
      <w:r w:rsidRPr="00695B2C">
        <w:rPr>
          <w:rFonts w:eastAsia="Calibri" w:cs="Tahoma"/>
          <w:color w:val="000000"/>
          <w:lang w:eastAsia="es-MX"/>
        </w:rPr>
        <w:t>9°, fracciones I y XXIV y 11 del Reglamento Interior del Instituto de Transparencia, Acceso a la Información</w:t>
      </w:r>
      <w:r w:rsidRPr="00695B2C">
        <w:rPr>
          <w:rFonts w:cs="Tahoma"/>
          <w:shd w:val="clear" w:color="auto" w:fill="FFFFFF"/>
        </w:rPr>
        <w:t xml:space="preserve"> Pública y Protección de Datos Personales del Estado de México y Municipios.</w:t>
      </w:r>
    </w:p>
    <w:p w14:paraId="487CD19B" w14:textId="77777777" w:rsidR="003D76E9" w:rsidRPr="00695B2C" w:rsidRDefault="003D76E9" w:rsidP="006461DA">
      <w:pPr>
        <w:spacing w:after="0" w:line="360" w:lineRule="auto"/>
        <w:contextualSpacing/>
        <w:rPr>
          <w:rFonts w:cs="Tahoma"/>
          <w:shd w:val="clear" w:color="auto" w:fill="FFFFFF"/>
        </w:rPr>
      </w:pPr>
    </w:p>
    <w:p w14:paraId="7781FFF2" w14:textId="77777777" w:rsidR="003D76E9" w:rsidRPr="00695B2C" w:rsidRDefault="003D76E9" w:rsidP="006461DA">
      <w:pPr>
        <w:autoSpaceDE w:val="0"/>
        <w:autoSpaceDN w:val="0"/>
        <w:adjustRightInd w:val="0"/>
        <w:spacing w:after="0" w:line="360" w:lineRule="auto"/>
        <w:rPr>
          <w:rFonts w:eastAsia="Calibri" w:cs="Tahoma"/>
          <w:color w:val="000000"/>
          <w:lang w:eastAsia="es-MX"/>
        </w:rPr>
      </w:pPr>
      <w:r w:rsidRPr="00695B2C">
        <w:rPr>
          <w:rFonts w:eastAsia="Calibri" w:cs="Tahoma"/>
          <w:b/>
          <w:color w:val="000000"/>
          <w:lang w:eastAsia="es-MX"/>
        </w:rPr>
        <w:t>SEGUNDO</w:t>
      </w:r>
      <w:r w:rsidRPr="00695B2C">
        <w:rPr>
          <w:rFonts w:eastAsia="Calibri" w:cs="Tahoma"/>
          <w:color w:val="000000"/>
          <w:lang w:eastAsia="es-MX"/>
        </w:rPr>
        <w:t xml:space="preserve">. </w:t>
      </w:r>
      <w:r w:rsidRPr="00695B2C">
        <w:rPr>
          <w:rFonts w:eastAsia="Calibri" w:cs="Tahoma"/>
          <w:b/>
          <w:color w:val="000000"/>
          <w:lang w:eastAsia="es-MX"/>
        </w:rPr>
        <w:t>Causales de improcedencia y sobreseimiento.</w:t>
      </w:r>
      <w:r w:rsidRPr="00695B2C">
        <w:rPr>
          <w:rFonts w:eastAsia="Calibri" w:cs="Tahoma"/>
          <w:color w:val="000000"/>
          <w:lang w:eastAsia="es-MX"/>
        </w:rPr>
        <w:t xml:space="preserve"> </w:t>
      </w:r>
    </w:p>
    <w:p w14:paraId="5144E28C" w14:textId="77777777" w:rsidR="003D76E9" w:rsidRPr="00695B2C" w:rsidRDefault="003D76E9" w:rsidP="006461DA">
      <w:pPr>
        <w:autoSpaceDE w:val="0"/>
        <w:autoSpaceDN w:val="0"/>
        <w:adjustRightInd w:val="0"/>
        <w:spacing w:after="0" w:line="360" w:lineRule="auto"/>
        <w:rPr>
          <w:rFonts w:eastAsia="Calibri" w:cs="Tahoma"/>
          <w:color w:val="000000"/>
          <w:lang w:eastAsia="es-MX"/>
        </w:rPr>
      </w:pPr>
    </w:p>
    <w:p w14:paraId="5AB3E39C" w14:textId="77777777" w:rsidR="003D76E9" w:rsidRPr="00695B2C" w:rsidRDefault="003D76E9" w:rsidP="006461DA">
      <w:pPr>
        <w:autoSpaceDE w:val="0"/>
        <w:autoSpaceDN w:val="0"/>
        <w:adjustRightInd w:val="0"/>
        <w:spacing w:after="0" w:line="360" w:lineRule="auto"/>
        <w:rPr>
          <w:rFonts w:eastAsia="Calibri" w:cs="Tahoma"/>
          <w:color w:val="000000"/>
          <w:lang w:eastAsia="es-MX"/>
        </w:rPr>
      </w:pPr>
      <w:r w:rsidRPr="00695B2C">
        <w:rPr>
          <w:rFonts w:eastAsia="Calibri" w:cs="Tahoma"/>
          <w:color w:val="000000"/>
          <w:lang w:eastAsia="es-MX"/>
        </w:rPr>
        <w:lastRenderedPageBreak/>
        <w:t>Este Instituto realiza el estudio oficioso de las causales de improcedencia, por tratarse de una cuestión de orden público y de estudio preferente acorde con el Criterio orientador en la Tesis de Jurisprudencia “IMPROCEDENCIA.” (Semanario Judicial de la Federación, Quinta Época, 1985, pág. 262), el cual establece que debe examinarse previamente la procedencia del juicio de amparo, sea que las partes lo soliciten o no, por ser una cuestión de orden público; de tal suerte, deberá ser desechado cualquier Recurso de Revisión que actualice alguno de los supuestos establecidos en el artículo 191 de la Ley de Transparencia y Acceso a la Información Pública del Estado de México y Municipios, por ser improcedente.</w:t>
      </w:r>
    </w:p>
    <w:p w14:paraId="422FADD7" w14:textId="77777777" w:rsidR="003D76E9" w:rsidRPr="00695B2C" w:rsidRDefault="003D76E9" w:rsidP="006461DA">
      <w:pPr>
        <w:autoSpaceDE w:val="0"/>
        <w:autoSpaceDN w:val="0"/>
        <w:adjustRightInd w:val="0"/>
        <w:spacing w:after="0" w:line="360" w:lineRule="auto"/>
        <w:rPr>
          <w:rFonts w:eastAsia="Calibri" w:cs="Tahoma"/>
          <w:color w:val="000000"/>
          <w:lang w:eastAsia="es-MX"/>
        </w:rPr>
      </w:pPr>
    </w:p>
    <w:p w14:paraId="3A2CE699" w14:textId="77777777" w:rsidR="003D76E9" w:rsidRPr="00695B2C" w:rsidRDefault="003D76E9" w:rsidP="006461DA">
      <w:pPr>
        <w:autoSpaceDE w:val="0"/>
        <w:autoSpaceDN w:val="0"/>
        <w:adjustRightInd w:val="0"/>
        <w:spacing w:after="0" w:line="360" w:lineRule="auto"/>
        <w:rPr>
          <w:rFonts w:eastAsia="Calibri" w:cs="Tahoma"/>
          <w:color w:val="000000"/>
          <w:lang w:eastAsia="es-MX"/>
        </w:rPr>
      </w:pPr>
      <w:r w:rsidRPr="00695B2C">
        <w:rPr>
          <w:rFonts w:eastAsia="Calibri" w:cs="Tahoma"/>
          <w:color w:val="000000"/>
          <w:lang w:eastAsia="es-MX"/>
        </w:rPr>
        <w:t>En el presente caso, no se actualiza ninguna de las causales de improcedencia establecidas en el ordenamiento jurídico previamente señalado, toda vez que: el recurso fue presentado dentro del plazo establecido en el artículo 178 de la Ley de Transparencia y Acceso a la Información Pública del Estado de México y Municipios; este Instituto no tiene conocimiento de que se encuentre en trámite algún medio de defensa presentado por el recurrente ante otra instancia; no existió prevención alguna; la veracidad de la respuesta no formó parte del agravio; ni se realizó una consulta o ampliación a los alcances del requerimiento informativo.</w:t>
      </w:r>
    </w:p>
    <w:p w14:paraId="67975F16" w14:textId="77777777" w:rsidR="003D76E9" w:rsidRPr="00695B2C" w:rsidRDefault="003D76E9" w:rsidP="006461DA">
      <w:pPr>
        <w:spacing w:after="0" w:line="360" w:lineRule="auto"/>
        <w:rPr>
          <w:rFonts w:eastAsia="Calibri" w:cs="Tahoma"/>
          <w:b/>
          <w:lang w:eastAsia="es-ES_tradnl"/>
        </w:rPr>
      </w:pPr>
    </w:p>
    <w:p w14:paraId="3527B139" w14:textId="77777777" w:rsidR="003D76E9" w:rsidRPr="00695B2C" w:rsidRDefault="003D76E9" w:rsidP="006461DA">
      <w:pPr>
        <w:spacing w:after="0" w:line="360" w:lineRule="auto"/>
        <w:rPr>
          <w:rFonts w:eastAsia="Calibri" w:cs="Tahoma"/>
          <w:b/>
          <w:lang w:eastAsia="es-ES_tradnl"/>
        </w:rPr>
      </w:pPr>
      <w:r w:rsidRPr="00695B2C">
        <w:rPr>
          <w:rFonts w:eastAsia="Calibri" w:cs="Tahoma"/>
          <w:b/>
          <w:lang w:eastAsia="es-ES_tradnl"/>
        </w:rPr>
        <w:t>Causales de sobreseimiento.</w:t>
      </w:r>
    </w:p>
    <w:p w14:paraId="4EC6B691" w14:textId="77777777" w:rsidR="003D76E9" w:rsidRPr="00695B2C" w:rsidRDefault="003D76E9" w:rsidP="006461DA">
      <w:pPr>
        <w:spacing w:after="0" w:line="360" w:lineRule="auto"/>
        <w:rPr>
          <w:rFonts w:eastAsia="Calibri" w:cs="Tahoma"/>
          <w:lang w:eastAsia="es-ES_tradnl"/>
        </w:rPr>
      </w:pPr>
    </w:p>
    <w:p w14:paraId="3856B0DE" w14:textId="77777777" w:rsidR="003D76E9" w:rsidRPr="00695B2C" w:rsidRDefault="003D76E9" w:rsidP="006461DA">
      <w:pPr>
        <w:spacing w:after="0" w:line="360" w:lineRule="auto"/>
        <w:rPr>
          <w:rFonts w:eastAsia="Calibri" w:cs="Tahoma"/>
          <w:lang w:eastAsia="es-ES_tradnl"/>
        </w:rPr>
      </w:pPr>
      <w:r w:rsidRPr="00695B2C">
        <w:rPr>
          <w:rFonts w:eastAsia="Calibri" w:cs="Tahoma"/>
          <w:lang w:eastAsia="es-ES_tradnl"/>
        </w:rPr>
        <w:t>Por lo que hace a las causales de sobreseimiento, del análisis realizado por este Instituto, se advierte que</w:t>
      </w:r>
      <w:r w:rsidRPr="00695B2C">
        <w:rPr>
          <w:rFonts w:eastAsia="Calibri" w:cs="Tahoma"/>
          <w:b/>
          <w:lang w:eastAsia="es-ES_tradnl"/>
        </w:rPr>
        <w:t xml:space="preserve"> no se actualiza ninguna de las previstas por el artículo 192 de la Ley de Transparencia y Acceso a la Información Pública del Estado de México y Municipios; </w:t>
      </w:r>
      <w:r w:rsidRPr="00695B2C">
        <w:rPr>
          <w:rFonts w:cs="Tahoma"/>
        </w:rPr>
        <w:t xml:space="preserve">lo anterior, en virtud de que no existe constancia en el expediente en que se actúa, de que la recurrente se hubiera desistido del recurso, hubiera fallecido, que sobreviniera alguna causal de improcedencia, que el Sujeto Obligado hubiese modificado o revocado el acto impugnado, o bien que el recurso de revisión hubiera quedado sin materia. </w:t>
      </w:r>
      <w:r w:rsidRPr="00695B2C">
        <w:rPr>
          <w:rFonts w:eastAsia="Calibri" w:cs="Tahoma"/>
          <w:bCs/>
          <w:lang w:eastAsia="es-ES_tradnl"/>
        </w:rPr>
        <w:t xml:space="preserve">Por tales motivos, </w:t>
      </w:r>
      <w:r w:rsidRPr="00695B2C">
        <w:rPr>
          <w:rFonts w:eastAsia="Calibri" w:cs="Tahoma"/>
          <w:lang w:eastAsia="es-ES_tradnl"/>
        </w:rPr>
        <w:t xml:space="preserve">se considera procedente entrar al fondo del presente asunto. </w:t>
      </w:r>
    </w:p>
    <w:p w14:paraId="5E2110EB" w14:textId="77777777" w:rsidR="003D76E9" w:rsidRPr="00695B2C" w:rsidRDefault="003D76E9" w:rsidP="006461DA">
      <w:pPr>
        <w:tabs>
          <w:tab w:val="left" w:pos="4962"/>
        </w:tabs>
        <w:spacing w:after="0" w:line="360" w:lineRule="auto"/>
        <w:rPr>
          <w:rFonts w:eastAsia="Calibri" w:cs="Tahoma"/>
          <w:b/>
          <w:iCs/>
          <w:lang w:val="es-ES" w:eastAsia="es-ES_tradnl"/>
        </w:rPr>
      </w:pPr>
      <w:r w:rsidRPr="00695B2C">
        <w:rPr>
          <w:rFonts w:eastAsia="Calibri" w:cs="Tahoma"/>
          <w:b/>
          <w:iCs/>
          <w:lang w:val="es-ES" w:eastAsia="es-ES_tradnl"/>
        </w:rPr>
        <w:lastRenderedPageBreak/>
        <w:t xml:space="preserve">TERCERO. Determinación de la Controversia. </w:t>
      </w:r>
    </w:p>
    <w:p w14:paraId="3592F3CB" w14:textId="77777777" w:rsidR="003D76E9" w:rsidRPr="00695B2C" w:rsidRDefault="003D76E9" w:rsidP="006461DA">
      <w:pPr>
        <w:tabs>
          <w:tab w:val="left" w:pos="4962"/>
        </w:tabs>
        <w:spacing w:after="0" w:line="360" w:lineRule="auto"/>
        <w:rPr>
          <w:rFonts w:eastAsia="Calibri" w:cs="Tahoma"/>
          <w:b/>
          <w:iCs/>
          <w:lang w:val="es-ES" w:eastAsia="es-ES_tradnl"/>
        </w:rPr>
      </w:pPr>
    </w:p>
    <w:p w14:paraId="619F8637" w14:textId="34281E4C" w:rsidR="003D76E9" w:rsidRPr="00695B2C" w:rsidRDefault="003D76E9" w:rsidP="006461DA">
      <w:pPr>
        <w:tabs>
          <w:tab w:val="left" w:pos="4962"/>
        </w:tabs>
        <w:spacing w:after="0" w:line="360" w:lineRule="auto"/>
        <w:rPr>
          <w:rFonts w:eastAsia="Calibri" w:cs="Tahoma"/>
          <w:iCs/>
          <w:lang w:val="es-ES" w:eastAsia="es-ES_tradnl"/>
        </w:rPr>
      </w:pPr>
      <w:r w:rsidRPr="00695B2C">
        <w:rPr>
          <w:rFonts w:eastAsia="Calibri" w:cs="Tahoma"/>
          <w:iCs/>
          <w:lang w:val="es-ES" w:eastAsia="es-ES_tradnl"/>
        </w:rPr>
        <w:t xml:space="preserve">Una vez realizado el estudio de las constancias que integran el expediente en que se actúa, se desprende que el Particular solicitó </w:t>
      </w:r>
      <w:r w:rsidR="00AB3C80" w:rsidRPr="00695B2C">
        <w:rPr>
          <w:rFonts w:eastAsia="Calibri" w:cs="Tahoma"/>
          <w:iCs/>
          <w:lang w:val="es-ES" w:eastAsia="es-ES_tradnl"/>
        </w:rPr>
        <w:t xml:space="preserve">a la </w:t>
      </w:r>
      <w:proofErr w:type="gramStart"/>
      <w:r w:rsidR="00AB3C80" w:rsidRPr="00695B2C">
        <w:rPr>
          <w:rFonts w:eastAsia="Calibri" w:cs="Tahoma"/>
          <w:iCs/>
          <w:lang w:val="es-ES" w:eastAsia="es-ES_tradnl"/>
        </w:rPr>
        <w:t>Fiscalía General</w:t>
      </w:r>
      <w:proofErr w:type="gramEnd"/>
      <w:r w:rsidR="00AB3C80" w:rsidRPr="00695B2C">
        <w:rPr>
          <w:rFonts w:eastAsia="Calibri" w:cs="Tahoma"/>
          <w:iCs/>
          <w:lang w:val="es-ES" w:eastAsia="es-ES_tradnl"/>
        </w:rPr>
        <w:t xml:space="preserve"> de Justicia </w:t>
      </w:r>
      <w:r w:rsidR="007F1E93" w:rsidRPr="00695B2C">
        <w:rPr>
          <w:rFonts w:eastAsia="Calibri" w:cs="Tahoma"/>
          <w:iCs/>
          <w:lang w:val="es-ES" w:eastAsia="es-ES_tradnl"/>
        </w:rPr>
        <w:t>la siguiente información</w:t>
      </w:r>
      <w:r w:rsidRPr="00695B2C">
        <w:rPr>
          <w:rFonts w:eastAsia="Calibri" w:cs="Tahoma"/>
          <w:iCs/>
          <w:lang w:val="es-ES" w:eastAsia="es-ES_tradnl"/>
        </w:rPr>
        <w:t>:</w:t>
      </w:r>
    </w:p>
    <w:p w14:paraId="3FECD328" w14:textId="77777777" w:rsidR="003D76E9" w:rsidRPr="00695B2C" w:rsidRDefault="003D76E9" w:rsidP="006461DA">
      <w:pPr>
        <w:tabs>
          <w:tab w:val="left" w:pos="4962"/>
        </w:tabs>
        <w:spacing w:after="0" w:line="360" w:lineRule="auto"/>
        <w:rPr>
          <w:rFonts w:eastAsia="Calibri" w:cs="Tahoma"/>
          <w:iCs/>
          <w:lang w:val="es-ES" w:eastAsia="es-ES_tradnl"/>
        </w:rPr>
      </w:pPr>
    </w:p>
    <w:p w14:paraId="7224BC70" w14:textId="45D0FFD4" w:rsidR="007F1E93" w:rsidRPr="00695B2C" w:rsidRDefault="007F1E93" w:rsidP="006461DA">
      <w:pPr>
        <w:spacing w:after="0" w:line="360" w:lineRule="auto"/>
        <w:ind w:left="567" w:right="567"/>
        <w:rPr>
          <w:rFonts w:eastAsia="Times New Roman" w:cs="Arial"/>
          <w:bCs/>
          <w:color w:val="auto"/>
          <w:lang w:eastAsia="es-ES"/>
        </w:rPr>
      </w:pPr>
      <w:r w:rsidRPr="00695B2C">
        <w:rPr>
          <w:rFonts w:eastAsia="Times New Roman" w:cs="Arial"/>
          <w:bCs/>
          <w:color w:val="auto"/>
          <w:lang w:eastAsia="es-ES"/>
        </w:rPr>
        <w:t xml:space="preserve">Sobre el caso del C. </w:t>
      </w:r>
      <w:r w:rsidR="005764C6" w:rsidRPr="00695B2C">
        <w:rPr>
          <w:rFonts w:eastAsia="Times New Roman" w:cs="Arial"/>
          <w:bCs/>
          <w:color w:val="auto"/>
          <w:lang w:eastAsia="es-ES"/>
        </w:rPr>
        <w:t>Andrés</w:t>
      </w:r>
      <w:r w:rsidRPr="00695B2C">
        <w:rPr>
          <w:rFonts w:eastAsia="Times New Roman" w:cs="Arial"/>
          <w:bCs/>
          <w:color w:val="auto"/>
          <w:lang w:eastAsia="es-ES"/>
        </w:rPr>
        <w:t xml:space="preserve"> N, </w:t>
      </w:r>
      <w:r w:rsidR="005764C6" w:rsidRPr="00695B2C">
        <w:rPr>
          <w:rFonts w:eastAsia="Times New Roman" w:cs="Arial"/>
          <w:bCs/>
          <w:color w:val="auto"/>
          <w:lang w:eastAsia="es-ES"/>
        </w:rPr>
        <w:t xml:space="preserve">procesado </w:t>
      </w:r>
      <w:r w:rsidR="003B5538" w:rsidRPr="00695B2C">
        <w:rPr>
          <w:rFonts w:eastAsia="Times New Roman" w:cs="Arial"/>
          <w:bCs/>
          <w:color w:val="auto"/>
          <w:lang w:eastAsia="es-ES"/>
        </w:rPr>
        <w:t xml:space="preserve">por </w:t>
      </w:r>
      <w:r w:rsidR="005764C6" w:rsidRPr="00695B2C">
        <w:rPr>
          <w:rFonts w:eastAsia="Times New Roman" w:cs="Arial"/>
          <w:bCs/>
          <w:color w:val="auto"/>
          <w:lang w:eastAsia="es-ES"/>
        </w:rPr>
        <w:t>el delito</w:t>
      </w:r>
      <w:r w:rsidR="003B5538" w:rsidRPr="00695B2C">
        <w:rPr>
          <w:rFonts w:eastAsia="Times New Roman" w:cs="Arial"/>
          <w:bCs/>
          <w:color w:val="auto"/>
          <w:lang w:eastAsia="es-ES"/>
        </w:rPr>
        <w:t xml:space="preserve"> de feminicidio</w:t>
      </w:r>
      <w:r w:rsidR="005764C6" w:rsidRPr="00695B2C">
        <w:rPr>
          <w:rFonts w:eastAsia="Times New Roman" w:cs="Arial"/>
          <w:bCs/>
          <w:color w:val="auto"/>
          <w:lang w:eastAsia="es-ES"/>
        </w:rPr>
        <w:t xml:space="preserve"> en contra de varias personas</w:t>
      </w:r>
      <w:r w:rsidRPr="00695B2C">
        <w:rPr>
          <w:rFonts w:eastAsia="Times New Roman" w:cs="Arial"/>
          <w:bCs/>
          <w:color w:val="auto"/>
          <w:lang w:eastAsia="es-ES"/>
        </w:rPr>
        <w:t xml:space="preserve">: </w:t>
      </w:r>
    </w:p>
    <w:p w14:paraId="5DDC340C" w14:textId="77777777" w:rsidR="007F1E93" w:rsidRPr="00695B2C" w:rsidRDefault="007F1E93" w:rsidP="006461DA">
      <w:pPr>
        <w:spacing w:after="0" w:line="360" w:lineRule="auto"/>
        <w:ind w:left="567" w:right="567"/>
        <w:rPr>
          <w:rFonts w:eastAsia="Times New Roman" w:cs="Arial"/>
          <w:bCs/>
          <w:color w:val="auto"/>
          <w:lang w:eastAsia="es-ES"/>
        </w:rPr>
      </w:pPr>
      <w:r w:rsidRPr="00695B2C">
        <w:rPr>
          <w:rFonts w:eastAsia="Times New Roman" w:cs="Arial"/>
          <w:bCs/>
          <w:color w:val="auto"/>
          <w:lang w:eastAsia="es-ES"/>
        </w:rPr>
        <w:t xml:space="preserve">1. El número de carpetas de investigación abiertas en su contra. </w:t>
      </w:r>
    </w:p>
    <w:p w14:paraId="68698EB0" w14:textId="77777777" w:rsidR="007F1E93" w:rsidRPr="00695B2C" w:rsidRDefault="007F1E93" w:rsidP="006461DA">
      <w:pPr>
        <w:spacing w:after="0" w:line="360" w:lineRule="auto"/>
        <w:ind w:left="567" w:right="567"/>
        <w:rPr>
          <w:rFonts w:eastAsia="Times New Roman" w:cs="Arial"/>
          <w:bCs/>
          <w:color w:val="auto"/>
          <w:lang w:eastAsia="es-ES"/>
        </w:rPr>
      </w:pPr>
      <w:r w:rsidRPr="00695B2C">
        <w:rPr>
          <w:rFonts w:eastAsia="Times New Roman" w:cs="Arial"/>
          <w:bCs/>
          <w:color w:val="auto"/>
          <w:lang w:eastAsia="es-ES"/>
        </w:rPr>
        <w:t xml:space="preserve">2. Si en ellas se aplicó algún protocolo por investigación de feminicidio, de aplicarse, requiero el mismo. </w:t>
      </w:r>
    </w:p>
    <w:p w14:paraId="5C75B462" w14:textId="77777777" w:rsidR="007F1E93" w:rsidRPr="00695B2C" w:rsidRDefault="007F1E93" w:rsidP="006461DA">
      <w:pPr>
        <w:spacing w:after="0" w:line="360" w:lineRule="auto"/>
        <w:ind w:left="567" w:right="567"/>
        <w:rPr>
          <w:rFonts w:eastAsia="Times New Roman" w:cs="Arial"/>
          <w:bCs/>
          <w:color w:val="auto"/>
          <w:lang w:eastAsia="es-ES"/>
        </w:rPr>
      </w:pPr>
      <w:r w:rsidRPr="00695B2C">
        <w:rPr>
          <w:rFonts w:eastAsia="Times New Roman" w:cs="Arial"/>
          <w:bCs/>
          <w:color w:val="auto"/>
          <w:lang w:eastAsia="es-ES"/>
        </w:rPr>
        <w:t xml:space="preserve">3. Las acciones de extinción de dominio promovidas para continuar con las investigaciones. </w:t>
      </w:r>
    </w:p>
    <w:p w14:paraId="554CD384" w14:textId="08581468" w:rsidR="007F1E93" w:rsidRPr="00695B2C" w:rsidRDefault="007F1E93" w:rsidP="006461DA">
      <w:pPr>
        <w:spacing w:after="0" w:line="360" w:lineRule="auto"/>
        <w:ind w:left="567" w:right="567"/>
        <w:rPr>
          <w:rFonts w:eastAsia="Times New Roman" w:cs="Arial"/>
          <w:bCs/>
          <w:color w:val="auto"/>
          <w:lang w:eastAsia="es-ES"/>
        </w:rPr>
      </w:pPr>
      <w:r w:rsidRPr="00695B2C">
        <w:rPr>
          <w:rFonts w:eastAsia="Times New Roman" w:cs="Arial"/>
          <w:bCs/>
          <w:color w:val="auto"/>
          <w:lang w:eastAsia="es-ES"/>
        </w:rPr>
        <w:t xml:space="preserve">4. Los permisos tramitados ante el Ayuntamiento de </w:t>
      </w:r>
      <w:r w:rsidR="00A64301" w:rsidRPr="00695B2C">
        <w:rPr>
          <w:rFonts w:eastAsia="Times New Roman" w:cs="Arial"/>
          <w:bCs/>
          <w:color w:val="auto"/>
          <w:lang w:eastAsia="es-ES"/>
        </w:rPr>
        <w:t>Atizapán</w:t>
      </w:r>
      <w:r w:rsidRPr="00695B2C">
        <w:rPr>
          <w:rFonts w:eastAsia="Times New Roman" w:cs="Arial"/>
          <w:bCs/>
          <w:color w:val="auto"/>
          <w:lang w:eastAsia="es-ES"/>
        </w:rPr>
        <w:t xml:space="preserve"> de Zaragoza para continuar con las labores de investigación. </w:t>
      </w:r>
    </w:p>
    <w:p w14:paraId="6B0D308A" w14:textId="77777777" w:rsidR="007F1E93" w:rsidRPr="00695B2C" w:rsidRDefault="007F1E93" w:rsidP="006461DA">
      <w:pPr>
        <w:spacing w:after="0" w:line="360" w:lineRule="auto"/>
        <w:ind w:left="567" w:right="567"/>
        <w:rPr>
          <w:rFonts w:eastAsia="Times New Roman" w:cs="Arial"/>
          <w:bCs/>
          <w:color w:val="auto"/>
          <w:lang w:eastAsia="es-ES"/>
        </w:rPr>
      </w:pPr>
      <w:r w:rsidRPr="00695B2C">
        <w:rPr>
          <w:rFonts w:eastAsia="Times New Roman" w:cs="Arial"/>
          <w:bCs/>
          <w:color w:val="auto"/>
          <w:lang w:eastAsia="es-ES"/>
        </w:rPr>
        <w:t xml:space="preserve">5. El número de ejercicio de acción penal ejercidas en contra de esa persona. </w:t>
      </w:r>
    </w:p>
    <w:p w14:paraId="0B824E35" w14:textId="27CB3E05" w:rsidR="007F1E93" w:rsidRPr="00695B2C" w:rsidRDefault="007F1E93" w:rsidP="006461DA">
      <w:pPr>
        <w:spacing w:after="0" w:line="360" w:lineRule="auto"/>
        <w:ind w:left="567" w:right="567"/>
        <w:rPr>
          <w:rFonts w:eastAsia="Times New Roman" w:cs="Arial"/>
          <w:bCs/>
          <w:color w:val="auto"/>
          <w:lang w:eastAsia="es-ES"/>
        </w:rPr>
      </w:pPr>
      <w:r w:rsidRPr="00695B2C">
        <w:rPr>
          <w:rFonts w:eastAsia="Times New Roman" w:cs="Arial"/>
          <w:bCs/>
          <w:color w:val="auto"/>
          <w:lang w:eastAsia="es-ES"/>
        </w:rPr>
        <w:t xml:space="preserve">6. El </w:t>
      </w:r>
      <w:r w:rsidR="0003491C" w:rsidRPr="00695B2C">
        <w:rPr>
          <w:rFonts w:eastAsia="Times New Roman" w:cs="Arial"/>
          <w:bCs/>
          <w:color w:val="auto"/>
          <w:lang w:eastAsia="es-ES"/>
        </w:rPr>
        <w:t>número</w:t>
      </w:r>
      <w:r w:rsidRPr="00695B2C">
        <w:rPr>
          <w:rFonts w:eastAsia="Times New Roman" w:cs="Arial"/>
          <w:bCs/>
          <w:color w:val="auto"/>
          <w:lang w:eastAsia="es-ES"/>
        </w:rPr>
        <w:t xml:space="preserve"> de restos rescatados y de personas identificadas y no identificadas </w:t>
      </w:r>
      <w:r w:rsidR="0003491C" w:rsidRPr="00695B2C">
        <w:rPr>
          <w:rFonts w:eastAsia="Times New Roman" w:cs="Arial"/>
          <w:bCs/>
          <w:color w:val="auto"/>
          <w:lang w:eastAsia="es-ES"/>
        </w:rPr>
        <w:t>(no se requirieron nombres, solo datos estadísticos).</w:t>
      </w:r>
    </w:p>
    <w:p w14:paraId="6F3C3CBE" w14:textId="52D3B33A" w:rsidR="007F1E93" w:rsidRPr="00695B2C" w:rsidRDefault="007F1E93" w:rsidP="006461DA">
      <w:pPr>
        <w:spacing w:after="0" w:line="360" w:lineRule="auto"/>
        <w:ind w:left="567" w:right="567"/>
        <w:rPr>
          <w:rFonts w:eastAsia="Times New Roman" w:cs="Arial"/>
          <w:bCs/>
          <w:color w:val="auto"/>
          <w:lang w:eastAsia="es-ES"/>
        </w:rPr>
      </w:pPr>
      <w:r w:rsidRPr="00695B2C">
        <w:rPr>
          <w:rFonts w:eastAsia="Times New Roman" w:cs="Arial"/>
          <w:bCs/>
          <w:color w:val="auto"/>
          <w:lang w:eastAsia="es-ES"/>
        </w:rPr>
        <w:t xml:space="preserve">7. Diligencias efectuadas para el rescate de restos, identificación y persecución de culpables sobre ese caso. </w:t>
      </w:r>
    </w:p>
    <w:p w14:paraId="330CDB52" w14:textId="77777777" w:rsidR="007F1E93" w:rsidRPr="00695B2C" w:rsidRDefault="007F1E93" w:rsidP="006461DA">
      <w:pPr>
        <w:spacing w:after="0" w:line="360" w:lineRule="auto"/>
        <w:ind w:left="567" w:right="567"/>
        <w:rPr>
          <w:rFonts w:eastAsia="Times New Roman" w:cs="Arial"/>
          <w:bCs/>
          <w:color w:val="auto"/>
          <w:lang w:eastAsia="es-ES"/>
        </w:rPr>
      </w:pPr>
      <w:r w:rsidRPr="00695B2C">
        <w:rPr>
          <w:rFonts w:eastAsia="Times New Roman" w:cs="Arial"/>
          <w:bCs/>
          <w:color w:val="auto"/>
          <w:lang w:eastAsia="es-ES"/>
        </w:rPr>
        <w:t xml:space="preserve">8. Las carpetas de investigación, amparos y demás expedientes relacionados con ese caso. </w:t>
      </w:r>
    </w:p>
    <w:p w14:paraId="0DDF334D" w14:textId="77777777" w:rsidR="00D51370" w:rsidRDefault="00D51370" w:rsidP="006461DA">
      <w:pPr>
        <w:tabs>
          <w:tab w:val="left" w:pos="0"/>
        </w:tabs>
        <w:spacing w:after="0" w:line="360" w:lineRule="auto"/>
        <w:ind w:right="49"/>
        <w:rPr>
          <w:rFonts w:eastAsia="Times New Roman" w:cs="Arial"/>
          <w:bCs/>
          <w:color w:val="auto"/>
          <w:lang w:eastAsia="es-ES"/>
        </w:rPr>
      </w:pPr>
    </w:p>
    <w:p w14:paraId="1AAE1ACC" w14:textId="3BE651DC" w:rsidR="007F1E93" w:rsidRPr="00695B2C" w:rsidRDefault="00B44C9F" w:rsidP="006461DA">
      <w:pPr>
        <w:tabs>
          <w:tab w:val="left" w:pos="0"/>
        </w:tabs>
        <w:spacing w:after="0" w:line="360" w:lineRule="auto"/>
        <w:ind w:right="49"/>
        <w:rPr>
          <w:rFonts w:eastAsia="Times New Roman" w:cs="Arial"/>
          <w:bCs/>
          <w:i/>
          <w:iCs/>
          <w:color w:val="auto"/>
          <w:lang w:eastAsia="es-ES"/>
        </w:rPr>
      </w:pPr>
      <w:r w:rsidRPr="00695B2C">
        <w:rPr>
          <w:rFonts w:eastAsia="Times New Roman" w:cs="Arial"/>
          <w:bCs/>
          <w:color w:val="auto"/>
          <w:lang w:eastAsia="es-ES"/>
        </w:rPr>
        <w:t>Toda esta información, fue requerida</w:t>
      </w:r>
      <w:r w:rsidR="007F1E93" w:rsidRPr="00695B2C">
        <w:rPr>
          <w:rFonts w:eastAsia="Times New Roman" w:cs="Arial"/>
          <w:bCs/>
          <w:color w:val="auto"/>
          <w:lang w:eastAsia="es-ES"/>
        </w:rPr>
        <w:t xml:space="preserve"> en versión pública,</w:t>
      </w:r>
      <w:r w:rsidRPr="00695B2C">
        <w:rPr>
          <w:rFonts w:eastAsia="Times New Roman" w:cs="Arial"/>
          <w:bCs/>
          <w:color w:val="auto"/>
          <w:lang w:eastAsia="es-ES"/>
        </w:rPr>
        <w:t xml:space="preserve"> y expresó</w:t>
      </w:r>
      <w:r w:rsidR="007F1E93" w:rsidRPr="00695B2C">
        <w:rPr>
          <w:rFonts w:eastAsia="Times New Roman" w:cs="Arial"/>
          <w:bCs/>
          <w:color w:val="auto"/>
          <w:lang w:eastAsia="es-ES"/>
        </w:rPr>
        <w:t xml:space="preserve"> que no puede ser reservada en términos del artículo 142, fracción I, de la Ley de Transparencia de</w:t>
      </w:r>
      <w:r w:rsidR="005764C6" w:rsidRPr="00695B2C">
        <w:rPr>
          <w:rFonts w:eastAsia="Times New Roman" w:cs="Arial"/>
          <w:bCs/>
          <w:color w:val="auto"/>
          <w:lang w:eastAsia="es-ES"/>
        </w:rPr>
        <w:t xml:space="preserve"> la Entidad</w:t>
      </w:r>
      <w:r w:rsidR="007F1E93" w:rsidRPr="00695B2C">
        <w:rPr>
          <w:rFonts w:eastAsia="Times New Roman" w:cs="Arial"/>
          <w:bCs/>
          <w:i/>
          <w:iCs/>
          <w:color w:val="auto"/>
          <w:lang w:eastAsia="es-ES"/>
        </w:rPr>
        <w:t>.</w:t>
      </w:r>
    </w:p>
    <w:p w14:paraId="7CCAF3E1" w14:textId="09CE5C49" w:rsidR="0003491C" w:rsidRPr="00695B2C" w:rsidRDefault="0003491C" w:rsidP="006461DA">
      <w:pPr>
        <w:tabs>
          <w:tab w:val="left" w:pos="0"/>
        </w:tabs>
        <w:spacing w:after="0" w:line="360" w:lineRule="auto"/>
        <w:ind w:right="49"/>
        <w:rPr>
          <w:rFonts w:eastAsia="Times New Roman" w:cs="Arial"/>
          <w:bCs/>
          <w:i/>
          <w:iCs/>
          <w:color w:val="auto"/>
          <w:lang w:eastAsia="es-ES"/>
        </w:rPr>
      </w:pPr>
    </w:p>
    <w:p w14:paraId="3E92FB81" w14:textId="1FF06BA0" w:rsidR="0003491C" w:rsidRPr="00695B2C" w:rsidRDefault="0003491C" w:rsidP="006461DA">
      <w:pPr>
        <w:tabs>
          <w:tab w:val="left" w:pos="0"/>
        </w:tabs>
        <w:spacing w:after="0" w:line="360" w:lineRule="auto"/>
        <w:ind w:right="49"/>
        <w:rPr>
          <w:rFonts w:eastAsia="Times New Roman" w:cs="Arial"/>
          <w:bCs/>
          <w:color w:val="auto"/>
          <w:lang w:eastAsia="es-ES"/>
        </w:rPr>
      </w:pPr>
      <w:r w:rsidRPr="00695B2C">
        <w:rPr>
          <w:rFonts w:eastAsia="Times New Roman" w:cs="Arial"/>
          <w:bCs/>
          <w:color w:val="auto"/>
          <w:lang w:eastAsia="es-ES"/>
        </w:rPr>
        <w:t>En respuesta, el Sujeto Obligado, informó que se tiene abierta una carpeta y s</w:t>
      </w:r>
      <w:r w:rsidR="00926173" w:rsidRPr="00695B2C">
        <w:rPr>
          <w:rFonts w:eastAsia="Times New Roman" w:cs="Arial"/>
          <w:bCs/>
          <w:color w:val="auto"/>
          <w:lang w:eastAsia="es-ES"/>
        </w:rPr>
        <w:t>ó</w:t>
      </w:r>
      <w:r w:rsidRPr="00695B2C">
        <w:rPr>
          <w:rFonts w:eastAsia="Times New Roman" w:cs="Arial"/>
          <w:bCs/>
          <w:color w:val="auto"/>
          <w:lang w:eastAsia="es-ES"/>
        </w:rPr>
        <w:t>lo se cuenta con un ejercicio de acción penal,</w:t>
      </w:r>
      <w:r w:rsidR="002978A3" w:rsidRPr="00695B2C">
        <w:rPr>
          <w:rFonts w:eastAsia="Times New Roman" w:cs="Arial"/>
          <w:bCs/>
          <w:color w:val="auto"/>
          <w:lang w:eastAsia="es-ES"/>
        </w:rPr>
        <w:t xml:space="preserve"> que para ello, se aplicó el protocolo de actuación para el Delito de </w:t>
      </w:r>
      <w:r w:rsidR="002978A3" w:rsidRPr="00695B2C">
        <w:rPr>
          <w:rFonts w:eastAsia="Times New Roman" w:cs="Arial"/>
          <w:bCs/>
          <w:color w:val="auto"/>
          <w:lang w:eastAsia="es-ES"/>
        </w:rPr>
        <w:lastRenderedPageBreak/>
        <w:t xml:space="preserve">Feminicidio, consultable en la liga de acceso directo </w:t>
      </w:r>
      <w:hyperlink r:id="rId18" w:history="1">
        <w:r w:rsidR="00D65665" w:rsidRPr="00695B2C">
          <w:rPr>
            <w:color w:val="auto"/>
            <w:u w:val="single"/>
            <w:lang w:eastAsia="es-ES"/>
          </w:rPr>
          <w:t>https://legislacion.edomex.gob.mx/sites/legislacion.edomex.gob.mx/files/files/pdf/gct/2016/abr226.pdf</w:t>
        </w:r>
      </w:hyperlink>
      <w:r w:rsidR="00D65665" w:rsidRPr="00695B2C">
        <w:rPr>
          <w:rFonts w:eastAsia="Times New Roman" w:cs="Arial"/>
          <w:bCs/>
          <w:color w:val="auto"/>
          <w:lang w:eastAsia="es-ES"/>
        </w:rPr>
        <w:t xml:space="preserve">, expresó que se </w:t>
      </w:r>
      <w:r w:rsidR="005A65F5" w:rsidRPr="00695B2C">
        <w:rPr>
          <w:rFonts w:eastAsia="Times New Roman" w:cs="Arial"/>
          <w:bCs/>
          <w:color w:val="auto"/>
          <w:lang w:eastAsia="es-ES"/>
        </w:rPr>
        <w:t>está</w:t>
      </w:r>
      <w:r w:rsidR="00D65665" w:rsidRPr="00695B2C">
        <w:rPr>
          <w:rFonts w:eastAsia="Times New Roman" w:cs="Arial"/>
          <w:bCs/>
          <w:color w:val="auto"/>
          <w:lang w:eastAsia="es-ES"/>
        </w:rPr>
        <w:t xml:space="preserve"> siguiendo el asunto por haber tipificado el Delito de Feminicidio en el Estado de México con fundamento en el artículo 272/2011 e informó que la información referente a la investigación, únicamente es de acceso para las partes y en ese sentido, estas deberán atender al trámite </w:t>
      </w:r>
      <w:r w:rsidR="005A65F5" w:rsidRPr="00695B2C">
        <w:rPr>
          <w:rFonts w:eastAsia="Times New Roman" w:cs="Arial"/>
          <w:bCs/>
          <w:color w:val="auto"/>
          <w:lang w:eastAsia="es-ES"/>
        </w:rPr>
        <w:t>específico</w:t>
      </w:r>
      <w:r w:rsidR="00D65665" w:rsidRPr="00695B2C">
        <w:rPr>
          <w:rFonts w:eastAsia="Times New Roman" w:cs="Arial"/>
          <w:bCs/>
          <w:color w:val="auto"/>
          <w:lang w:eastAsia="es-ES"/>
        </w:rPr>
        <w:t xml:space="preserve"> para acceder a la información</w:t>
      </w:r>
      <w:r w:rsidR="00842E28" w:rsidRPr="00695B2C">
        <w:rPr>
          <w:rFonts w:eastAsia="Times New Roman" w:cs="Arial"/>
          <w:bCs/>
          <w:color w:val="auto"/>
          <w:lang w:eastAsia="es-ES"/>
        </w:rPr>
        <w:t xml:space="preserve"> e invocó 17/09, que corresponde al privilegiar al acceso a datos personales a través de los trámites específicos inscritos en el Registro Federal de Trámites y Servicios o en el Registro correspondiente en materia fiscal.</w:t>
      </w:r>
    </w:p>
    <w:p w14:paraId="62F43A00" w14:textId="4E6203F7" w:rsidR="00842E28" w:rsidRPr="00695B2C" w:rsidRDefault="00842E28" w:rsidP="006461DA">
      <w:pPr>
        <w:tabs>
          <w:tab w:val="left" w:pos="0"/>
        </w:tabs>
        <w:spacing w:after="0" w:line="360" w:lineRule="auto"/>
        <w:ind w:right="49"/>
        <w:rPr>
          <w:rFonts w:eastAsia="Times New Roman" w:cs="Arial"/>
          <w:bCs/>
          <w:color w:val="auto"/>
          <w:lang w:eastAsia="es-ES"/>
        </w:rPr>
      </w:pPr>
    </w:p>
    <w:p w14:paraId="3553A1CA" w14:textId="46BFC44C" w:rsidR="003D76E9" w:rsidRPr="00695B2C" w:rsidRDefault="00842E28" w:rsidP="006461DA">
      <w:pPr>
        <w:tabs>
          <w:tab w:val="left" w:pos="0"/>
        </w:tabs>
        <w:spacing w:after="0" w:line="360" w:lineRule="auto"/>
        <w:ind w:right="49"/>
        <w:rPr>
          <w:rFonts w:eastAsia="Calibri" w:cs="Tahoma"/>
          <w:iCs/>
          <w:lang w:eastAsia="es-ES_tradnl"/>
        </w:rPr>
      </w:pPr>
      <w:r w:rsidRPr="00695B2C">
        <w:rPr>
          <w:rFonts w:eastAsia="Times New Roman" w:cs="Arial"/>
          <w:bCs/>
          <w:color w:val="auto"/>
          <w:lang w:eastAsia="es-ES"/>
        </w:rPr>
        <w:t>El Particular se inconformó</w:t>
      </w:r>
      <w:r w:rsidR="00D51370">
        <w:rPr>
          <w:rFonts w:eastAsia="Times New Roman" w:cs="Arial"/>
          <w:bCs/>
          <w:color w:val="auto"/>
          <w:lang w:eastAsia="es-ES"/>
        </w:rPr>
        <w:t>,</w:t>
      </w:r>
      <w:r w:rsidRPr="00695B2C">
        <w:rPr>
          <w:rFonts w:eastAsia="Times New Roman" w:cs="Arial"/>
          <w:bCs/>
          <w:color w:val="auto"/>
          <w:lang w:eastAsia="es-ES"/>
        </w:rPr>
        <w:t xml:space="preserve"> afirmando que no se le entregó información sobre los puntos 3 al 8, por lo que se identifica que </w:t>
      </w:r>
      <w:r w:rsidR="003D76E9" w:rsidRPr="00695B2C">
        <w:rPr>
          <w:rFonts w:eastAsia="Calibri" w:cs="Tahoma"/>
          <w:iCs/>
          <w:lang w:val="es-ES" w:eastAsia="es-ES_tradnl"/>
        </w:rPr>
        <w:t xml:space="preserve">se actualiza la causal de procedencia contemplada en el artículo 179, fracción </w:t>
      </w:r>
      <w:r w:rsidR="00367D37" w:rsidRPr="00695B2C">
        <w:rPr>
          <w:rFonts w:eastAsia="Calibri" w:cs="Tahoma"/>
          <w:iCs/>
          <w:lang w:val="es-ES" w:eastAsia="es-ES_tradnl"/>
        </w:rPr>
        <w:t>V</w:t>
      </w:r>
      <w:r w:rsidR="003D76E9" w:rsidRPr="00695B2C">
        <w:rPr>
          <w:rFonts w:eastAsia="Calibri" w:cs="Tahoma"/>
          <w:iCs/>
          <w:lang w:val="es-ES" w:eastAsia="es-ES_tradnl"/>
        </w:rPr>
        <w:t xml:space="preserve">, de la Ley de Transparencia y Acceso a la Información Pública del Estado de México y Municipios, que contempla que el recurso de revisión es un medio de protección que procederá en contra de </w:t>
      </w:r>
      <w:r w:rsidR="003D76E9" w:rsidRPr="00695B2C">
        <w:rPr>
          <w:rFonts w:eastAsia="Calibri" w:cs="Tahoma"/>
          <w:b/>
          <w:bCs/>
          <w:iCs/>
          <w:lang w:val="es-ES" w:eastAsia="es-ES_tradnl"/>
        </w:rPr>
        <w:t>–</w:t>
      </w:r>
      <w:r w:rsidR="00367D37" w:rsidRPr="00695B2C">
        <w:rPr>
          <w:rFonts w:eastAsia="Calibri" w:cs="Tahoma"/>
          <w:b/>
          <w:bCs/>
          <w:iCs/>
          <w:lang w:val="es-ES" w:eastAsia="es-ES_tradnl"/>
        </w:rPr>
        <w:t>la entrega de información incompleta</w:t>
      </w:r>
      <w:r w:rsidR="003D76E9" w:rsidRPr="00695B2C">
        <w:rPr>
          <w:rFonts w:eastAsia="Calibri" w:cs="Tahoma"/>
          <w:b/>
          <w:bCs/>
          <w:iCs/>
          <w:lang w:val="es-ES" w:eastAsia="es-ES_tradnl"/>
        </w:rPr>
        <w:t>-.</w:t>
      </w:r>
    </w:p>
    <w:p w14:paraId="64728465" w14:textId="77777777" w:rsidR="003D76E9" w:rsidRPr="00695B2C" w:rsidRDefault="003D76E9" w:rsidP="006461DA">
      <w:pPr>
        <w:tabs>
          <w:tab w:val="left" w:pos="4962"/>
        </w:tabs>
        <w:spacing w:after="0" w:line="360" w:lineRule="auto"/>
        <w:rPr>
          <w:rFonts w:eastAsia="Calibri" w:cs="Tahoma"/>
          <w:iCs/>
          <w:lang w:eastAsia="es-ES_tradnl"/>
        </w:rPr>
      </w:pPr>
    </w:p>
    <w:p w14:paraId="184DF182" w14:textId="77777777" w:rsidR="003D76E9" w:rsidRPr="00695B2C" w:rsidRDefault="003D76E9" w:rsidP="006461DA">
      <w:pPr>
        <w:spacing w:after="0" w:line="360" w:lineRule="auto"/>
        <w:ind w:right="-93"/>
        <w:rPr>
          <w:rFonts w:cs="Tahoma"/>
          <w:b/>
        </w:rPr>
      </w:pPr>
      <w:r w:rsidRPr="00695B2C">
        <w:rPr>
          <w:rFonts w:cs="Tahoma"/>
          <w:b/>
          <w:lang w:val="es-ES"/>
        </w:rPr>
        <w:t xml:space="preserve">CUARTO. </w:t>
      </w:r>
      <w:r w:rsidRPr="00695B2C">
        <w:rPr>
          <w:rFonts w:cs="Tahoma"/>
          <w:b/>
        </w:rPr>
        <w:t>Marco normativo aplicable en materia de transparencia y acceso a la información pública.</w:t>
      </w:r>
    </w:p>
    <w:p w14:paraId="0136C167" w14:textId="77777777" w:rsidR="003D76E9" w:rsidRPr="00695B2C" w:rsidRDefault="003D76E9" w:rsidP="006461DA">
      <w:pPr>
        <w:spacing w:after="0" w:line="360" w:lineRule="auto"/>
        <w:contextualSpacing/>
        <w:rPr>
          <w:rFonts w:cs="Tahoma"/>
        </w:rPr>
      </w:pPr>
    </w:p>
    <w:p w14:paraId="2CA6303C" w14:textId="77777777" w:rsidR="003D76E9" w:rsidRPr="00695B2C" w:rsidRDefault="003D76E9" w:rsidP="006461DA">
      <w:pPr>
        <w:widowControl w:val="0"/>
        <w:spacing w:after="0" w:line="360" w:lineRule="auto"/>
        <w:contextualSpacing/>
        <w:rPr>
          <w:rFonts w:cs="Tahoma"/>
        </w:rPr>
      </w:pPr>
      <w:r w:rsidRPr="00695B2C">
        <w:rPr>
          <w:rFonts w:cs="Tahoma"/>
        </w:rPr>
        <w:t>El artículo 6°, Apartado A), fracción I de la Constitución Política de los Estados Unidos Mexicanos, establece que toda la información en posesión de cualquier autoridad es pública y sólo podrá ser reservada temporalmente por razones de interés público.</w:t>
      </w:r>
    </w:p>
    <w:p w14:paraId="7E9540E4" w14:textId="77777777" w:rsidR="003D76E9" w:rsidRPr="00695B2C" w:rsidRDefault="003D76E9" w:rsidP="006461DA">
      <w:pPr>
        <w:spacing w:after="0" w:line="360" w:lineRule="auto"/>
        <w:contextualSpacing/>
        <w:rPr>
          <w:rFonts w:cs="Tahoma"/>
        </w:rPr>
      </w:pPr>
    </w:p>
    <w:p w14:paraId="3EE76107" w14:textId="77777777" w:rsidR="003D76E9" w:rsidRPr="00695B2C" w:rsidRDefault="003D76E9" w:rsidP="006461DA">
      <w:pPr>
        <w:spacing w:after="0" w:line="360" w:lineRule="auto"/>
        <w:rPr>
          <w:rFonts w:cs="Tahoma"/>
        </w:rPr>
      </w:pPr>
      <w:r w:rsidRPr="00695B2C">
        <w:rPr>
          <w:rFonts w:cs="Tahoma"/>
        </w:rPr>
        <w:t>La Ley General de Transparencia y Acceso a la Información Pública, publicada en el Diario Oficial de la Federación el 4 de mayo de 2015, dispone en su artículo 70, la información que se considera corresponde a las Obligaciones de Transparencia, la cual debe estar disponible para cualquier persona de manera permanente y actualizada.</w:t>
      </w:r>
    </w:p>
    <w:p w14:paraId="14CDB5B1" w14:textId="77777777" w:rsidR="003D76E9" w:rsidRPr="00695B2C" w:rsidRDefault="003D76E9" w:rsidP="006461DA">
      <w:pPr>
        <w:spacing w:after="0" w:line="360" w:lineRule="auto"/>
        <w:rPr>
          <w:rFonts w:cs="Tahoma"/>
        </w:rPr>
      </w:pPr>
      <w:r w:rsidRPr="00695B2C">
        <w:rPr>
          <w:rFonts w:cs="Tahoma"/>
        </w:rPr>
        <w:lastRenderedPageBreak/>
        <w:t>En este sentido, los 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establecen los formatos para dar cumplimiento a las Obligaciones de Transparencia, así como los plazos de actualización.</w:t>
      </w:r>
    </w:p>
    <w:p w14:paraId="32BFF4A2" w14:textId="77777777" w:rsidR="003D76E9" w:rsidRPr="00695B2C" w:rsidRDefault="003D76E9" w:rsidP="006461DA">
      <w:pPr>
        <w:spacing w:after="0" w:line="360" w:lineRule="auto"/>
        <w:rPr>
          <w:rFonts w:cs="Tahoma"/>
        </w:rPr>
      </w:pPr>
    </w:p>
    <w:p w14:paraId="0918C093" w14:textId="77777777" w:rsidR="003D76E9" w:rsidRPr="00695B2C" w:rsidRDefault="003D76E9" w:rsidP="006461DA">
      <w:pPr>
        <w:spacing w:after="0" w:line="360" w:lineRule="auto"/>
        <w:rPr>
          <w:rFonts w:cs="Tahoma"/>
        </w:rPr>
      </w:pPr>
      <w:r w:rsidRPr="00695B2C">
        <w:rPr>
          <w:rFonts w:cs="Tahoma"/>
        </w:rPr>
        <w:t>En materia local, el artículo 5°, fracción I de la Constitución Política del Estado Libre y Soberano de México, es coincidente con la Constitución Federal, en el sentido de la publicidad de toda la información, con la única restricción de proteger el interés público, así como la información referente a la intimidad de la vida privada y la imagen de las personas, con las excepciones que establezca la ley reglamentaria.</w:t>
      </w:r>
    </w:p>
    <w:p w14:paraId="15A07317" w14:textId="77777777" w:rsidR="003D76E9" w:rsidRPr="00695B2C" w:rsidRDefault="003D76E9" w:rsidP="006461DA">
      <w:pPr>
        <w:spacing w:after="0" w:line="360" w:lineRule="auto"/>
        <w:rPr>
          <w:rFonts w:cs="Tahoma"/>
        </w:rPr>
      </w:pPr>
    </w:p>
    <w:p w14:paraId="476BE8DC" w14:textId="77777777" w:rsidR="003D76E9" w:rsidRPr="00695B2C" w:rsidRDefault="003D76E9" w:rsidP="006461DA">
      <w:pPr>
        <w:spacing w:after="0" w:line="360" w:lineRule="auto"/>
        <w:rPr>
          <w:rFonts w:cs="Tahoma"/>
        </w:rPr>
      </w:pPr>
      <w:r w:rsidRPr="00695B2C">
        <w:rPr>
          <w:rFonts w:cs="Tahoma"/>
        </w:rPr>
        <w:t>Por su parte, la Ley de Transparencia y Acceso a la Información Pública del Estado de México y Municipios (Reglamentaria del artículo 5° de la Constitución Local), establece lo siguiente:</w:t>
      </w:r>
    </w:p>
    <w:p w14:paraId="11D11FE8" w14:textId="77777777" w:rsidR="003D76E9" w:rsidRPr="00695B2C" w:rsidRDefault="003D76E9" w:rsidP="006461DA">
      <w:pPr>
        <w:spacing w:after="0" w:line="360" w:lineRule="auto"/>
        <w:rPr>
          <w:rFonts w:cs="Tahoma"/>
        </w:rPr>
      </w:pPr>
    </w:p>
    <w:p w14:paraId="1EC1D4E9" w14:textId="77777777" w:rsidR="003D76E9" w:rsidRPr="00695B2C" w:rsidRDefault="003D76E9" w:rsidP="006461DA">
      <w:pPr>
        <w:spacing w:after="0" w:line="360" w:lineRule="auto"/>
        <w:rPr>
          <w:rFonts w:cs="Tahoma"/>
        </w:rPr>
      </w:pPr>
      <w:r w:rsidRPr="00695B2C">
        <w:rPr>
          <w:rFonts w:cs="Tahoma"/>
        </w:rPr>
        <w:t>El artículo 12, que, quienes generen, recopilen, administren, manejen, procesen, archiven o conserven información pública serán responsables de la misma.</w:t>
      </w:r>
    </w:p>
    <w:p w14:paraId="0D11A904" w14:textId="77777777" w:rsidR="003D76E9" w:rsidRPr="00695B2C" w:rsidRDefault="003D76E9" w:rsidP="006461DA">
      <w:pPr>
        <w:spacing w:after="0" w:line="360" w:lineRule="auto"/>
        <w:rPr>
          <w:rFonts w:cs="Tahoma"/>
        </w:rPr>
      </w:pPr>
    </w:p>
    <w:p w14:paraId="798DC508" w14:textId="77777777" w:rsidR="003D76E9" w:rsidRPr="00695B2C" w:rsidRDefault="003D76E9" w:rsidP="006461DA">
      <w:pPr>
        <w:spacing w:after="0" w:line="360" w:lineRule="auto"/>
        <w:rPr>
          <w:rFonts w:cs="Tahoma"/>
        </w:rPr>
      </w:pPr>
      <w:r w:rsidRPr="00695B2C">
        <w:rPr>
          <w:rFonts w:cs="Tahoma"/>
        </w:rPr>
        <w:t>El artículo 18, que, los Sujetos Obligados deberán documentar todo acto que derive del ejercicio de sus facultades, competencias o funciones, considerando desde su origen la eventual publicidad y reutilización de la información que generen.</w:t>
      </w:r>
    </w:p>
    <w:p w14:paraId="4ECCC827" w14:textId="77777777" w:rsidR="003D76E9" w:rsidRPr="00695B2C" w:rsidRDefault="003D76E9" w:rsidP="006461DA">
      <w:pPr>
        <w:spacing w:after="0" w:line="360" w:lineRule="auto"/>
        <w:rPr>
          <w:rFonts w:cs="Tahoma"/>
        </w:rPr>
      </w:pPr>
    </w:p>
    <w:p w14:paraId="212770F0" w14:textId="77777777" w:rsidR="003D76E9" w:rsidRPr="00695B2C" w:rsidRDefault="003D76E9" w:rsidP="006461DA">
      <w:pPr>
        <w:spacing w:after="0" w:line="360" w:lineRule="auto"/>
        <w:rPr>
          <w:rFonts w:cs="Tahoma"/>
        </w:rPr>
      </w:pPr>
      <w:r w:rsidRPr="00695B2C">
        <w:rPr>
          <w:rFonts w:cs="Tahoma"/>
        </w:rPr>
        <w:t>El artículo 19, que, se presume que la información debe existir si se refiere a las facultades, competencias y funciones que los ordenamientos jurídicos aplicables otorgan a los sujetos obligados y en caso de que dichas facultades no se hayan ejercido, se deberá motivar la respuesta en función de las causas que motivaron tal circunstancia.</w:t>
      </w:r>
    </w:p>
    <w:p w14:paraId="6CD644FC" w14:textId="77777777" w:rsidR="003D76E9" w:rsidRPr="00695B2C" w:rsidRDefault="003D76E9" w:rsidP="006461DA">
      <w:pPr>
        <w:spacing w:after="0" w:line="360" w:lineRule="auto"/>
        <w:ind w:right="-93"/>
        <w:rPr>
          <w:rFonts w:cs="Tahoma"/>
          <w:b/>
          <w:lang w:val="es-ES"/>
        </w:rPr>
      </w:pPr>
      <w:r w:rsidRPr="00695B2C">
        <w:rPr>
          <w:rFonts w:cs="Tahoma"/>
          <w:b/>
          <w:lang w:val="es-ES"/>
        </w:rPr>
        <w:lastRenderedPageBreak/>
        <w:t>QUINTO. Estudio de Fondo.</w:t>
      </w:r>
    </w:p>
    <w:p w14:paraId="73216BAF" w14:textId="77777777" w:rsidR="003D76E9" w:rsidRPr="00695B2C" w:rsidRDefault="003D76E9" w:rsidP="006461DA">
      <w:pPr>
        <w:spacing w:after="0" w:line="360" w:lineRule="auto"/>
        <w:rPr>
          <w:rFonts w:cs="Tahoma"/>
          <w:lang w:val="es-ES"/>
        </w:rPr>
      </w:pPr>
    </w:p>
    <w:p w14:paraId="642D12C8" w14:textId="77777777" w:rsidR="003D76E9" w:rsidRPr="00695B2C" w:rsidRDefault="003D76E9" w:rsidP="006461DA">
      <w:pPr>
        <w:spacing w:after="0" w:line="360" w:lineRule="auto"/>
        <w:rPr>
          <w:rFonts w:cs="Tahoma"/>
        </w:rPr>
      </w:pPr>
      <w:r w:rsidRPr="00695B2C">
        <w:rPr>
          <w:rFonts w:cs="Tahoma"/>
        </w:rPr>
        <w:t>Una vez determinada la vía sobre la que versará el presente Recurso y previa revisión del expediente electrónico formado en el Sistema de Acceso a la Información Mexiquense (SAIMEX), con motivo de la solicitud de información y del Recurso a que da origen, es conveniente analizar si la respuesta del Sujeto Obligado cumple con los requisitos y procedimientos del derecho de acceso a la información pública.</w:t>
      </w:r>
    </w:p>
    <w:p w14:paraId="30366663" w14:textId="77777777" w:rsidR="003D76E9" w:rsidRPr="00695B2C" w:rsidRDefault="003D76E9" w:rsidP="006461DA">
      <w:pPr>
        <w:spacing w:after="0" w:line="360" w:lineRule="auto"/>
        <w:rPr>
          <w:rFonts w:cs="Tahoma"/>
        </w:rPr>
      </w:pPr>
    </w:p>
    <w:p w14:paraId="3202B4BD" w14:textId="77777777" w:rsidR="003D76E9" w:rsidRPr="00695B2C" w:rsidRDefault="003D76E9" w:rsidP="006461DA">
      <w:pPr>
        <w:spacing w:after="0" w:line="360" w:lineRule="auto"/>
        <w:ind w:right="-93"/>
        <w:rPr>
          <w:rFonts w:eastAsia="Calibri" w:cs="Tahoma"/>
          <w:bCs/>
        </w:rPr>
      </w:pPr>
      <w:r w:rsidRPr="00695B2C">
        <w:rPr>
          <w:rFonts w:eastAsia="Calibri" w:cs="Tahoma"/>
          <w:bCs/>
        </w:rPr>
        <w:t xml:space="preserve">En ese orden de ideas, es importante señalar que, el artículo 4°, párrafo segundo de la Ley de Transparencia y Acceso a la Información Pública del Estado de México y Municipios, señala que 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  </w:t>
      </w:r>
    </w:p>
    <w:p w14:paraId="2CDC8928" w14:textId="77777777" w:rsidR="003D76E9" w:rsidRPr="00695B2C" w:rsidRDefault="003D76E9" w:rsidP="006461DA">
      <w:pPr>
        <w:spacing w:after="0" w:line="360" w:lineRule="auto"/>
        <w:ind w:right="-93"/>
        <w:rPr>
          <w:rFonts w:eastAsia="Calibri" w:cs="Tahoma"/>
          <w:bCs/>
        </w:rPr>
      </w:pPr>
    </w:p>
    <w:p w14:paraId="23869CD9" w14:textId="77777777" w:rsidR="003D76E9" w:rsidRPr="00695B2C" w:rsidRDefault="003D76E9" w:rsidP="006461DA">
      <w:pPr>
        <w:spacing w:after="0" w:line="360" w:lineRule="auto"/>
        <w:ind w:right="-93"/>
        <w:rPr>
          <w:rFonts w:eastAsia="Calibri" w:cs="Tahoma"/>
          <w:bCs/>
        </w:rPr>
      </w:pPr>
      <w:r w:rsidRPr="00695B2C">
        <w:rPr>
          <w:rFonts w:eastAsia="Calibri" w:cs="Tahoma"/>
          <w:bCs/>
        </w:rPr>
        <w:t>De lo anterior, se deduce que la información generada, obtenida, adquirida, transmitida, administrada o en posesión de los Sujetos Obligados, será accesible a cualquier persona, privilegiando el principio de máxima publicidad de la información.</w:t>
      </w:r>
    </w:p>
    <w:p w14:paraId="7E3BF816" w14:textId="77777777" w:rsidR="003D76E9" w:rsidRPr="00695B2C" w:rsidRDefault="003D76E9" w:rsidP="006461DA">
      <w:pPr>
        <w:spacing w:after="0" w:line="360" w:lineRule="auto"/>
        <w:ind w:right="-93"/>
        <w:rPr>
          <w:rFonts w:eastAsia="Calibri" w:cs="Tahoma"/>
          <w:bCs/>
        </w:rPr>
      </w:pPr>
    </w:p>
    <w:p w14:paraId="5DA95A3A" w14:textId="77777777" w:rsidR="003D76E9" w:rsidRPr="00695B2C" w:rsidRDefault="003D76E9" w:rsidP="006461DA">
      <w:pPr>
        <w:spacing w:after="0" w:line="360" w:lineRule="auto"/>
        <w:ind w:right="-93"/>
        <w:rPr>
          <w:rFonts w:eastAsia="Calibri" w:cs="Tahoma"/>
          <w:bCs/>
        </w:rPr>
      </w:pPr>
      <w:r w:rsidRPr="00695B2C">
        <w:rPr>
          <w:rFonts w:eastAsia="Calibri" w:cs="Tahoma"/>
          <w:bCs/>
        </w:rPr>
        <w:t xml:space="preserve">En síntesis, el derecho de acceso a la información pública se satisface en aquellos casos en que se entregue el soporte documental en que conste la información pública, sin la necesidad de elaborar documentos </w:t>
      </w:r>
      <w:r w:rsidRPr="00695B2C">
        <w:rPr>
          <w:rFonts w:eastAsia="Calibri" w:cs="Tahoma"/>
          <w:bCs/>
          <w:i/>
        </w:rPr>
        <w:t>ad hoc</w:t>
      </w:r>
      <w:r w:rsidRPr="00695B2C">
        <w:rPr>
          <w:rFonts w:eastAsia="Calibri" w:cs="Tahoma"/>
          <w:bCs/>
        </w:rPr>
        <w:t>; lo cual, toma sustento en el artículo 160 de la Ley de Transparencia y Acceso a la Información Pública del Estado de México y Municipios, el cual refiere que los sujetos obligados deberán entregar la información que obre en sus archivos.</w:t>
      </w:r>
    </w:p>
    <w:p w14:paraId="1C352C38" w14:textId="4AFFC200" w:rsidR="00E655E8" w:rsidRPr="00695B2C" w:rsidRDefault="003D76E9" w:rsidP="006461DA">
      <w:pPr>
        <w:spacing w:after="0" w:line="360" w:lineRule="auto"/>
        <w:ind w:right="-93"/>
        <w:rPr>
          <w:rFonts w:eastAsia="Calibri" w:cs="Tahoma"/>
          <w:bCs/>
        </w:rPr>
      </w:pPr>
      <w:r w:rsidRPr="00695B2C">
        <w:rPr>
          <w:rFonts w:eastAsia="Calibri" w:cs="Tahoma"/>
          <w:bCs/>
        </w:rPr>
        <w:lastRenderedPageBreak/>
        <w:t>Asimismo, el artículo 24 de la Ley de la materia, dispone que los Sujetos Obligados sólo proporcionarán la información pública que generen, administren o posean en el ejercicio de sus atribuciones; por consiguiente, la información pública se encuentra a disposición de cualquier persona, lo que implica que es deber de los sujetos obligados, garantizar el derecho de acceso a la información pública.</w:t>
      </w:r>
      <w:r w:rsidR="00926173" w:rsidRPr="00695B2C">
        <w:rPr>
          <w:rFonts w:eastAsia="Calibri" w:cs="Tahoma"/>
          <w:bCs/>
        </w:rPr>
        <w:t xml:space="preserve"> </w:t>
      </w:r>
      <w:r w:rsidR="00A27D2C" w:rsidRPr="00695B2C">
        <w:rPr>
          <w:rFonts w:eastAsia="Calibri" w:cs="Tahoma"/>
          <w:bCs/>
        </w:rPr>
        <w:t xml:space="preserve">El asunto </w:t>
      </w:r>
      <w:r w:rsidR="00712FC9" w:rsidRPr="00695B2C">
        <w:rPr>
          <w:rFonts w:eastAsia="Calibri" w:cs="Tahoma"/>
          <w:bCs/>
        </w:rPr>
        <w:t xml:space="preserve">en estudio cuenta con elementos </w:t>
      </w:r>
      <w:r w:rsidR="002974B1" w:rsidRPr="00695B2C">
        <w:rPr>
          <w:rFonts w:eastAsia="Calibri" w:cs="Tahoma"/>
          <w:bCs/>
        </w:rPr>
        <w:t xml:space="preserve">que lo convierten en información de </w:t>
      </w:r>
      <w:r w:rsidR="00712FC9" w:rsidRPr="00695B2C">
        <w:rPr>
          <w:rFonts w:eastAsia="Calibri" w:cs="Tahoma"/>
          <w:bCs/>
        </w:rPr>
        <w:t xml:space="preserve">relevancia social, al punto tal, que gozó de </w:t>
      </w:r>
      <w:r w:rsidR="002974B1" w:rsidRPr="00695B2C">
        <w:rPr>
          <w:rFonts w:eastAsia="Calibri" w:cs="Tahoma"/>
          <w:bCs/>
        </w:rPr>
        <w:t>difusión por parte de las autoridades e incluso de difusión a través de medios de comunicación con c</w:t>
      </w:r>
      <w:r w:rsidR="00712FC9" w:rsidRPr="00695B2C">
        <w:rPr>
          <w:rFonts w:eastAsia="Calibri" w:cs="Tahoma"/>
          <w:bCs/>
        </w:rPr>
        <w:t>obertura de alcance nacional</w:t>
      </w:r>
      <w:r w:rsidR="00E655E8" w:rsidRPr="00695B2C">
        <w:rPr>
          <w:rFonts w:eastAsia="Calibri" w:cs="Tahoma"/>
          <w:bCs/>
        </w:rPr>
        <w:t>.</w:t>
      </w:r>
    </w:p>
    <w:p w14:paraId="50C2B6B5" w14:textId="77777777" w:rsidR="00E655E8" w:rsidRPr="00695B2C" w:rsidRDefault="00E655E8" w:rsidP="006461DA">
      <w:pPr>
        <w:spacing w:after="0" w:line="360" w:lineRule="auto"/>
        <w:ind w:right="-93"/>
        <w:rPr>
          <w:rFonts w:eastAsia="Calibri" w:cs="Tahoma"/>
          <w:bCs/>
        </w:rPr>
      </w:pPr>
    </w:p>
    <w:p w14:paraId="4AA54E0F" w14:textId="76DE51CD" w:rsidR="00E655E8" w:rsidRPr="00695B2C" w:rsidRDefault="00015304" w:rsidP="006461DA">
      <w:pPr>
        <w:spacing w:after="0" w:line="360" w:lineRule="auto"/>
        <w:ind w:right="-93"/>
        <w:rPr>
          <w:rFonts w:eastAsia="Calibri" w:cs="Tahoma"/>
          <w:bCs/>
        </w:rPr>
      </w:pPr>
      <w:r w:rsidRPr="00695B2C">
        <w:rPr>
          <w:rFonts w:eastAsia="Calibri" w:cs="Tahoma"/>
          <w:bCs/>
        </w:rPr>
        <w:t xml:space="preserve">En estes sentido, se </w:t>
      </w:r>
      <w:r w:rsidR="00712FC9" w:rsidRPr="00695B2C">
        <w:rPr>
          <w:rFonts w:eastAsia="Calibri" w:cs="Tahoma"/>
          <w:bCs/>
        </w:rPr>
        <w:t xml:space="preserve">debe identificar, que el asunto en cuestión </w:t>
      </w:r>
      <w:r w:rsidR="00E655E8" w:rsidRPr="00695B2C">
        <w:rPr>
          <w:rFonts w:eastAsia="Calibri" w:cs="Tahoma"/>
          <w:bCs/>
        </w:rPr>
        <w:t>cobra relevancia por los siguientes elementos</w:t>
      </w:r>
      <w:r w:rsidRPr="00695B2C">
        <w:rPr>
          <w:rFonts w:eastAsia="Calibri" w:cs="Tahoma"/>
          <w:bCs/>
        </w:rPr>
        <w:t>:</w:t>
      </w:r>
    </w:p>
    <w:p w14:paraId="2D379666" w14:textId="77777777" w:rsidR="00050E04" w:rsidRPr="00695B2C" w:rsidRDefault="00050E04" w:rsidP="006461DA">
      <w:pPr>
        <w:spacing w:after="0" w:line="360" w:lineRule="auto"/>
        <w:ind w:right="-93"/>
        <w:rPr>
          <w:rFonts w:eastAsia="Calibri" w:cs="Tahoma"/>
          <w:bCs/>
        </w:rPr>
      </w:pPr>
    </w:p>
    <w:p w14:paraId="2C349232" w14:textId="36EEF6DD" w:rsidR="00050E04" w:rsidRPr="00695B2C" w:rsidRDefault="00050E04" w:rsidP="006461DA">
      <w:pPr>
        <w:spacing w:after="0" w:line="360" w:lineRule="auto"/>
        <w:ind w:right="-93"/>
        <w:rPr>
          <w:rFonts w:eastAsia="Calibri" w:cs="Tahoma"/>
          <w:b/>
          <w:caps/>
        </w:rPr>
      </w:pPr>
      <w:r w:rsidRPr="00695B2C">
        <w:rPr>
          <w:rFonts w:eastAsia="Calibri" w:cs="Tahoma"/>
          <w:b/>
          <w:caps/>
        </w:rPr>
        <w:t xml:space="preserve">Publicidad de </w:t>
      </w:r>
      <w:r w:rsidR="00B7171C" w:rsidRPr="00695B2C">
        <w:rPr>
          <w:rFonts w:eastAsia="Calibri" w:cs="Tahoma"/>
          <w:b/>
          <w:caps/>
        </w:rPr>
        <w:t>los d</w:t>
      </w:r>
      <w:r w:rsidRPr="00695B2C">
        <w:rPr>
          <w:rFonts w:eastAsia="Calibri" w:cs="Tahoma"/>
          <w:b/>
          <w:caps/>
        </w:rPr>
        <w:t xml:space="preserve">atos </w:t>
      </w:r>
      <w:r w:rsidR="00B7171C" w:rsidRPr="00695B2C">
        <w:rPr>
          <w:rFonts w:eastAsia="Calibri" w:cs="Tahoma"/>
          <w:b/>
          <w:caps/>
        </w:rPr>
        <w:t>p</w:t>
      </w:r>
      <w:r w:rsidRPr="00695B2C">
        <w:rPr>
          <w:rFonts w:eastAsia="Calibri" w:cs="Tahoma"/>
          <w:b/>
          <w:caps/>
        </w:rPr>
        <w:t xml:space="preserve">ersonales del imputado, </w:t>
      </w:r>
      <w:r w:rsidR="00695B2C" w:rsidRPr="00695B2C">
        <w:rPr>
          <w:rFonts w:eastAsia="Calibri" w:cs="Tahoma"/>
          <w:b/>
          <w:caps/>
        </w:rPr>
        <w:t xml:space="preserve">ASÍ COMO </w:t>
      </w:r>
      <w:r w:rsidRPr="00695B2C">
        <w:rPr>
          <w:rFonts w:eastAsia="Calibri" w:cs="Tahoma"/>
          <w:b/>
          <w:caps/>
        </w:rPr>
        <w:t>de diversas víctimas y familiar</w:t>
      </w:r>
      <w:r w:rsidR="003C6EAC" w:rsidRPr="00695B2C">
        <w:rPr>
          <w:rFonts w:eastAsia="Calibri" w:cs="Tahoma"/>
          <w:b/>
          <w:caps/>
        </w:rPr>
        <w:t>es.</w:t>
      </w:r>
    </w:p>
    <w:p w14:paraId="340BD21E" w14:textId="074DC774" w:rsidR="003C6EAC" w:rsidRPr="00695B2C" w:rsidRDefault="003C6EAC" w:rsidP="006461DA">
      <w:pPr>
        <w:spacing w:after="0" w:line="360" w:lineRule="auto"/>
        <w:ind w:right="-93"/>
        <w:rPr>
          <w:rFonts w:eastAsia="Calibri" w:cs="Tahoma"/>
          <w:b/>
        </w:rPr>
      </w:pPr>
    </w:p>
    <w:p w14:paraId="33FFA0DF" w14:textId="696329E8" w:rsidR="00015304" w:rsidRPr="00695B2C" w:rsidRDefault="003C6EAC" w:rsidP="006461DA">
      <w:pPr>
        <w:pStyle w:val="Prrafodelista"/>
        <w:numPr>
          <w:ilvl w:val="0"/>
          <w:numId w:val="1"/>
        </w:numPr>
        <w:spacing w:line="360" w:lineRule="auto"/>
        <w:ind w:right="-93"/>
        <w:rPr>
          <w:rFonts w:ascii="Palatino Linotype" w:eastAsia="Calibri" w:hAnsi="Palatino Linotype" w:cs="Tahoma"/>
          <w:bCs/>
        </w:rPr>
      </w:pPr>
      <w:r w:rsidRPr="00695B2C">
        <w:rPr>
          <w:rFonts w:ascii="Palatino Linotype" w:eastAsia="Calibri" w:hAnsi="Palatino Linotype" w:cs="Tahoma"/>
          <w:b/>
        </w:rPr>
        <w:t>Datos personales del imputado en calidad de</w:t>
      </w:r>
      <w:r w:rsidR="00015304" w:rsidRPr="00695B2C">
        <w:rPr>
          <w:rFonts w:ascii="Palatino Linotype" w:eastAsia="Calibri" w:hAnsi="Palatino Linotype" w:cs="Tahoma"/>
          <w:b/>
        </w:rPr>
        <w:t xml:space="preserve"> probable responsable del deli</w:t>
      </w:r>
      <w:r w:rsidR="00ED0DDF" w:rsidRPr="00695B2C">
        <w:rPr>
          <w:rFonts w:ascii="Palatino Linotype" w:eastAsia="Calibri" w:hAnsi="Palatino Linotype" w:cs="Tahoma"/>
          <w:b/>
        </w:rPr>
        <w:t>t</w:t>
      </w:r>
      <w:r w:rsidR="00015304" w:rsidRPr="00695B2C">
        <w:rPr>
          <w:rFonts w:ascii="Palatino Linotype" w:eastAsia="Calibri" w:hAnsi="Palatino Linotype" w:cs="Tahoma"/>
          <w:b/>
        </w:rPr>
        <w:t>o de</w:t>
      </w:r>
      <w:r w:rsidRPr="00695B2C">
        <w:rPr>
          <w:rFonts w:ascii="Palatino Linotype" w:eastAsia="Calibri" w:hAnsi="Palatino Linotype" w:cs="Tahoma"/>
          <w:b/>
        </w:rPr>
        <w:t xml:space="preserve"> </w:t>
      </w:r>
      <w:r w:rsidR="00015304" w:rsidRPr="00695B2C">
        <w:rPr>
          <w:rFonts w:ascii="Palatino Linotype" w:eastAsia="Calibri" w:hAnsi="Palatino Linotype" w:cs="Tahoma"/>
          <w:b/>
        </w:rPr>
        <w:t>feminicidio</w:t>
      </w:r>
      <w:r w:rsidRPr="00695B2C">
        <w:rPr>
          <w:rFonts w:ascii="Palatino Linotype" w:eastAsia="Calibri" w:hAnsi="Palatino Linotype" w:cs="Tahoma"/>
          <w:b/>
        </w:rPr>
        <w:t>.</w:t>
      </w:r>
      <w:r w:rsidRPr="00695B2C">
        <w:rPr>
          <w:rFonts w:ascii="Palatino Linotype" w:eastAsia="Calibri" w:hAnsi="Palatino Linotype" w:cs="Tahoma"/>
          <w:bCs/>
        </w:rPr>
        <w:t xml:space="preserve"> </w:t>
      </w:r>
    </w:p>
    <w:p w14:paraId="549B2D33" w14:textId="77777777" w:rsidR="00015304" w:rsidRPr="00695B2C" w:rsidRDefault="00015304" w:rsidP="006461DA">
      <w:pPr>
        <w:spacing w:after="0" w:line="360" w:lineRule="auto"/>
        <w:ind w:right="-93"/>
        <w:rPr>
          <w:rFonts w:eastAsia="Calibri" w:cs="Tahoma"/>
          <w:bCs/>
        </w:rPr>
      </w:pPr>
    </w:p>
    <w:p w14:paraId="3D1BCC46" w14:textId="452F79AE" w:rsidR="00F7693D" w:rsidRPr="00695B2C" w:rsidRDefault="00015304" w:rsidP="006461DA">
      <w:pPr>
        <w:spacing w:after="0" w:line="360" w:lineRule="auto"/>
        <w:ind w:right="-93"/>
        <w:rPr>
          <w:rFonts w:eastAsia="Calibri" w:cs="Tahoma"/>
          <w:bCs/>
        </w:rPr>
      </w:pPr>
      <w:r w:rsidRPr="00695B2C">
        <w:rPr>
          <w:rFonts w:eastAsia="Calibri" w:cs="Tahoma"/>
          <w:bCs/>
        </w:rPr>
        <w:t>E</w:t>
      </w:r>
      <w:r w:rsidR="003C6EAC" w:rsidRPr="00695B2C">
        <w:rPr>
          <w:rFonts w:eastAsia="Calibri" w:cs="Tahoma"/>
          <w:bCs/>
        </w:rPr>
        <w:t xml:space="preserve">l nombre de quien fue </w:t>
      </w:r>
      <w:r w:rsidRPr="00695B2C">
        <w:rPr>
          <w:rFonts w:eastAsia="Calibri" w:cs="Tahoma"/>
          <w:bCs/>
        </w:rPr>
        <w:t>señalado por el delito de feminicidio</w:t>
      </w:r>
      <w:r w:rsidR="00ED0DDF" w:rsidRPr="00695B2C">
        <w:rPr>
          <w:rFonts w:eastAsia="Calibri" w:cs="Tahoma"/>
          <w:bCs/>
        </w:rPr>
        <w:t>,</w:t>
      </w:r>
      <w:r w:rsidRPr="00695B2C">
        <w:rPr>
          <w:rFonts w:eastAsia="Calibri" w:cs="Tahoma"/>
          <w:bCs/>
        </w:rPr>
        <w:t xml:space="preserve"> fue </w:t>
      </w:r>
      <w:r w:rsidR="003C6EAC" w:rsidRPr="00695B2C">
        <w:rPr>
          <w:rFonts w:eastAsia="Calibri" w:cs="Tahoma"/>
          <w:bCs/>
        </w:rPr>
        <w:t>apodado de distintas maneras</w:t>
      </w:r>
      <w:r w:rsidRPr="00695B2C">
        <w:rPr>
          <w:rFonts w:eastAsia="Calibri" w:cs="Tahoma"/>
          <w:bCs/>
        </w:rPr>
        <w:t xml:space="preserve"> por esos hechos</w:t>
      </w:r>
      <w:r w:rsidR="003C6EAC" w:rsidRPr="00695B2C">
        <w:rPr>
          <w:rFonts w:eastAsia="Calibri" w:cs="Tahoma"/>
          <w:bCs/>
        </w:rPr>
        <w:t xml:space="preserve">, </w:t>
      </w:r>
      <w:r w:rsidR="00F7693D" w:rsidRPr="00695B2C">
        <w:rPr>
          <w:rFonts w:eastAsia="Calibri" w:cs="Tahoma"/>
          <w:bCs/>
        </w:rPr>
        <w:t xml:space="preserve">de acuerdo </w:t>
      </w:r>
      <w:r w:rsidR="003C6EAC" w:rsidRPr="00695B2C">
        <w:rPr>
          <w:rFonts w:eastAsia="Calibri" w:cs="Tahoma"/>
          <w:bCs/>
        </w:rPr>
        <w:t xml:space="preserve">con su biografía </w:t>
      </w:r>
      <w:r w:rsidR="00F7693D" w:rsidRPr="00695B2C">
        <w:rPr>
          <w:rFonts w:eastAsia="Calibri" w:cs="Tahoma"/>
          <w:bCs/>
        </w:rPr>
        <w:t xml:space="preserve">en donde es posible conocer </w:t>
      </w:r>
      <w:r w:rsidR="003C6EAC" w:rsidRPr="00695B2C">
        <w:rPr>
          <w:rFonts w:eastAsia="Calibri" w:cs="Tahoma"/>
          <w:bCs/>
        </w:rPr>
        <w:t xml:space="preserve">su nombre, </w:t>
      </w:r>
      <w:r w:rsidR="00F7693D" w:rsidRPr="00695B2C">
        <w:rPr>
          <w:rFonts w:eastAsia="Calibri" w:cs="Tahoma"/>
          <w:bCs/>
        </w:rPr>
        <w:t>fecha de nacimiento, los delitos que se le imputa</w:t>
      </w:r>
      <w:r w:rsidR="002B721B" w:rsidRPr="00695B2C">
        <w:rPr>
          <w:rFonts w:eastAsia="Calibri" w:cs="Tahoma"/>
          <w:bCs/>
        </w:rPr>
        <w:t xml:space="preserve">ron así como </w:t>
      </w:r>
      <w:r w:rsidR="002B721B" w:rsidRPr="00695B2C">
        <w:rPr>
          <w:rFonts w:eastAsia="Calibri" w:cs="Tahoma"/>
          <w:b/>
        </w:rPr>
        <w:t>que obtuvo sentencia vitalicia por dichos delitos</w:t>
      </w:r>
      <w:r w:rsidR="00F7693D" w:rsidRPr="00695B2C">
        <w:rPr>
          <w:rFonts w:eastAsia="Calibri" w:cs="Tahoma"/>
          <w:bCs/>
        </w:rPr>
        <w:t xml:space="preserve">, </w:t>
      </w:r>
      <w:r w:rsidR="002B721B" w:rsidRPr="00695B2C">
        <w:rPr>
          <w:rFonts w:eastAsia="Calibri" w:cs="Tahoma"/>
          <w:bCs/>
        </w:rPr>
        <w:t>de ig</w:t>
      </w:r>
      <w:r w:rsidR="003C6EAC" w:rsidRPr="00695B2C">
        <w:rPr>
          <w:rFonts w:eastAsia="Calibri" w:cs="Tahoma"/>
          <w:bCs/>
        </w:rPr>
        <w:t xml:space="preserve">ual manera, </w:t>
      </w:r>
      <w:r w:rsidR="002B721B" w:rsidRPr="00695B2C">
        <w:rPr>
          <w:rFonts w:eastAsia="Calibri" w:cs="Tahoma"/>
          <w:bCs/>
        </w:rPr>
        <w:t xml:space="preserve">se han hecho públicos los </w:t>
      </w:r>
      <w:r w:rsidR="003C6EAC" w:rsidRPr="00695B2C">
        <w:rPr>
          <w:rFonts w:eastAsia="Calibri" w:cs="Tahoma"/>
          <w:bCs/>
        </w:rPr>
        <w:t xml:space="preserve">apodos </w:t>
      </w:r>
      <w:r w:rsidR="002B721B" w:rsidRPr="00695B2C">
        <w:rPr>
          <w:rFonts w:eastAsia="Calibri" w:cs="Tahoma"/>
          <w:bCs/>
        </w:rPr>
        <w:t xml:space="preserve">con los que se le ha dado a conocer </w:t>
      </w:r>
      <w:r w:rsidR="001973C0" w:rsidRPr="00695B2C">
        <w:rPr>
          <w:rFonts w:eastAsia="Calibri" w:cs="Tahoma"/>
          <w:bCs/>
        </w:rPr>
        <w:t xml:space="preserve">como </w:t>
      </w:r>
      <w:r w:rsidRPr="00695B2C">
        <w:rPr>
          <w:rFonts w:eastAsia="Calibri" w:cs="Tahoma"/>
          <w:bCs/>
        </w:rPr>
        <w:t>“E</w:t>
      </w:r>
      <w:r w:rsidR="001973C0" w:rsidRPr="00695B2C">
        <w:rPr>
          <w:rFonts w:eastAsia="Calibri" w:cs="Tahoma"/>
          <w:bCs/>
        </w:rPr>
        <w:t>l feminicida de Atizapán</w:t>
      </w:r>
      <w:r w:rsidRPr="00695B2C">
        <w:rPr>
          <w:rFonts w:eastAsia="Calibri" w:cs="Tahoma"/>
          <w:bCs/>
        </w:rPr>
        <w:t>”</w:t>
      </w:r>
      <w:r w:rsidR="001973C0" w:rsidRPr="00695B2C">
        <w:rPr>
          <w:rFonts w:eastAsia="Calibri" w:cs="Tahoma"/>
          <w:bCs/>
        </w:rPr>
        <w:t xml:space="preserve">, </w:t>
      </w:r>
      <w:r w:rsidRPr="00695B2C">
        <w:rPr>
          <w:rFonts w:eastAsia="Calibri" w:cs="Tahoma"/>
          <w:bCs/>
        </w:rPr>
        <w:t xml:space="preserve">“El </w:t>
      </w:r>
      <w:r w:rsidR="001973C0" w:rsidRPr="00695B2C">
        <w:rPr>
          <w:rFonts w:eastAsia="Calibri" w:cs="Tahoma"/>
          <w:bCs/>
        </w:rPr>
        <w:t>Carnicero de Atizapán</w:t>
      </w:r>
      <w:r w:rsidRPr="00695B2C">
        <w:rPr>
          <w:rFonts w:eastAsia="Calibri" w:cs="Tahoma"/>
          <w:bCs/>
        </w:rPr>
        <w:t>”</w:t>
      </w:r>
      <w:r w:rsidR="001973C0" w:rsidRPr="00695B2C">
        <w:rPr>
          <w:rFonts w:eastAsia="Calibri" w:cs="Tahoma"/>
          <w:bCs/>
        </w:rPr>
        <w:t xml:space="preserve">, </w:t>
      </w:r>
      <w:r w:rsidRPr="00695B2C">
        <w:rPr>
          <w:rFonts w:eastAsia="Calibri" w:cs="Tahoma"/>
          <w:bCs/>
        </w:rPr>
        <w:t>“E</w:t>
      </w:r>
      <w:r w:rsidR="001973C0" w:rsidRPr="00695B2C">
        <w:rPr>
          <w:rFonts w:eastAsia="Calibri" w:cs="Tahoma"/>
          <w:bCs/>
        </w:rPr>
        <w:t>l chino</w:t>
      </w:r>
      <w:r w:rsidRPr="00695B2C">
        <w:rPr>
          <w:rFonts w:eastAsia="Calibri" w:cs="Tahoma"/>
          <w:bCs/>
        </w:rPr>
        <w:t>”</w:t>
      </w:r>
      <w:r w:rsidR="001973C0" w:rsidRPr="00695B2C">
        <w:rPr>
          <w:rFonts w:eastAsia="Calibri" w:cs="Tahoma"/>
          <w:bCs/>
        </w:rPr>
        <w:t xml:space="preserve">, </w:t>
      </w:r>
      <w:r w:rsidRPr="00695B2C">
        <w:rPr>
          <w:rFonts w:eastAsia="Calibri" w:cs="Tahoma"/>
          <w:bCs/>
        </w:rPr>
        <w:t xml:space="preserve">“El </w:t>
      </w:r>
      <w:r w:rsidR="001973C0" w:rsidRPr="00695B2C">
        <w:rPr>
          <w:rFonts w:eastAsia="Calibri" w:cs="Tahoma"/>
          <w:bCs/>
        </w:rPr>
        <w:t>Descuartizador de Atizapán</w:t>
      </w:r>
      <w:r w:rsidRPr="00695B2C">
        <w:rPr>
          <w:rFonts w:eastAsia="Calibri" w:cs="Tahoma"/>
          <w:bCs/>
        </w:rPr>
        <w:t>”</w:t>
      </w:r>
      <w:r w:rsidR="001973C0" w:rsidRPr="00695B2C">
        <w:rPr>
          <w:rFonts w:eastAsia="Calibri" w:cs="Tahoma"/>
          <w:bCs/>
        </w:rPr>
        <w:t xml:space="preserve"> o </w:t>
      </w:r>
      <w:r w:rsidRPr="00695B2C">
        <w:rPr>
          <w:rFonts w:eastAsia="Calibri" w:cs="Tahoma"/>
          <w:bCs/>
        </w:rPr>
        <w:t xml:space="preserve">“El </w:t>
      </w:r>
      <w:r w:rsidR="001973C0" w:rsidRPr="00695B2C">
        <w:rPr>
          <w:rFonts w:eastAsia="Calibri" w:cs="Tahoma"/>
          <w:bCs/>
        </w:rPr>
        <w:t>Monstruo de Atizapán</w:t>
      </w:r>
      <w:r w:rsidRPr="00695B2C">
        <w:rPr>
          <w:rFonts w:eastAsia="Calibri" w:cs="Tahoma"/>
          <w:bCs/>
        </w:rPr>
        <w:t>”</w:t>
      </w:r>
      <w:r w:rsidR="001973C0" w:rsidRPr="00695B2C">
        <w:rPr>
          <w:rFonts w:eastAsia="Calibri" w:cs="Tahoma"/>
          <w:bCs/>
        </w:rPr>
        <w:t xml:space="preserve">. </w:t>
      </w:r>
    </w:p>
    <w:p w14:paraId="19EE2302" w14:textId="58759060" w:rsidR="00F7693D" w:rsidRPr="00695B2C" w:rsidRDefault="00F7693D" w:rsidP="006461DA">
      <w:pPr>
        <w:spacing w:after="0" w:line="360" w:lineRule="auto"/>
        <w:ind w:right="-93"/>
        <w:rPr>
          <w:rFonts w:eastAsia="Calibri" w:cs="Tahoma"/>
          <w:bCs/>
        </w:rPr>
      </w:pPr>
    </w:p>
    <w:p w14:paraId="0114C3BD" w14:textId="77777777" w:rsidR="00F7693D" w:rsidRPr="00695B2C" w:rsidRDefault="00F7693D" w:rsidP="006461DA">
      <w:pPr>
        <w:spacing w:after="0" w:line="360" w:lineRule="auto"/>
        <w:ind w:right="-93"/>
        <w:rPr>
          <w:rFonts w:eastAsia="Calibri" w:cs="Tahoma"/>
          <w:bCs/>
        </w:rPr>
      </w:pPr>
      <w:r w:rsidRPr="00695B2C">
        <w:rPr>
          <w:noProof/>
        </w:rPr>
        <w:lastRenderedPageBreak/>
        <w:drawing>
          <wp:inline distT="0" distB="0" distL="0" distR="0" wp14:anchorId="22510A01" wp14:editId="19F98ECC">
            <wp:extent cx="5843270" cy="2635119"/>
            <wp:effectExtent l="0" t="0" r="5080" b="0"/>
            <wp:docPr id="20" name="Imagen 2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10;&#10;Descripción generada automáticamente"/>
                    <pic:cNvPicPr/>
                  </pic:nvPicPr>
                  <pic:blipFill rotWithShape="1">
                    <a:blip r:embed="rId19"/>
                    <a:srcRect t="16813" r="2807" b="5226"/>
                    <a:stretch/>
                  </pic:blipFill>
                  <pic:spPr bwMode="auto">
                    <a:xfrm>
                      <a:off x="0" y="0"/>
                      <a:ext cx="5845626" cy="2636181"/>
                    </a:xfrm>
                    <a:prstGeom prst="rect">
                      <a:avLst/>
                    </a:prstGeom>
                    <a:ln>
                      <a:noFill/>
                    </a:ln>
                    <a:extLst>
                      <a:ext uri="{53640926-AAD7-44D8-BBD7-CCE9431645EC}">
                        <a14:shadowObscured xmlns:a14="http://schemas.microsoft.com/office/drawing/2010/main"/>
                      </a:ext>
                    </a:extLst>
                  </pic:spPr>
                </pic:pic>
              </a:graphicData>
            </a:graphic>
          </wp:inline>
        </w:drawing>
      </w:r>
    </w:p>
    <w:p w14:paraId="36E9A572" w14:textId="7100612E" w:rsidR="00F7693D" w:rsidRPr="00695B2C" w:rsidRDefault="002B721B" w:rsidP="006461DA">
      <w:pPr>
        <w:spacing w:after="0" w:line="360" w:lineRule="auto"/>
        <w:ind w:left="567" w:right="567"/>
        <w:rPr>
          <w:rFonts w:eastAsia="Calibri" w:cs="Tahoma"/>
          <w:bCs/>
          <w:sz w:val="20"/>
          <w:szCs w:val="20"/>
        </w:rPr>
      </w:pPr>
      <w:r w:rsidRPr="00695B2C">
        <w:rPr>
          <w:rFonts w:eastAsia="Calibri" w:cs="Tahoma"/>
          <w:bCs/>
          <w:sz w:val="20"/>
          <w:szCs w:val="20"/>
        </w:rPr>
        <w:t xml:space="preserve">Información obtenida de la plataforma digital Wikipedia “La enciclopedia libre”, </w:t>
      </w:r>
      <w:r w:rsidR="00F7693D" w:rsidRPr="00695B2C">
        <w:rPr>
          <w:rFonts w:eastAsia="Calibri" w:cs="Tahoma"/>
          <w:bCs/>
          <w:sz w:val="20"/>
          <w:szCs w:val="20"/>
        </w:rPr>
        <w:t xml:space="preserve">consultable en la liga de acceso directo </w:t>
      </w:r>
      <w:hyperlink r:id="rId20" w:history="1">
        <w:r w:rsidR="00F7693D" w:rsidRPr="00695B2C">
          <w:rPr>
            <w:rStyle w:val="Hipervnculo"/>
            <w:rFonts w:eastAsia="Calibri" w:cs="Tahoma"/>
            <w:bCs/>
            <w:sz w:val="20"/>
            <w:szCs w:val="20"/>
          </w:rPr>
          <w:t>https://es.wikipedia.org/wiki/Andr%C3%A9s_Mendoza_(asesino_serial)</w:t>
        </w:r>
      </w:hyperlink>
      <w:r w:rsidR="00F7693D" w:rsidRPr="00695B2C">
        <w:rPr>
          <w:rFonts w:eastAsia="Calibri" w:cs="Tahoma"/>
          <w:bCs/>
          <w:sz w:val="20"/>
          <w:szCs w:val="20"/>
        </w:rPr>
        <w:t>,</w:t>
      </w:r>
    </w:p>
    <w:p w14:paraId="14A5E801" w14:textId="77777777" w:rsidR="00F7693D" w:rsidRPr="00695B2C" w:rsidRDefault="00F7693D" w:rsidP="006461DA">
      <w:pPr>
        <w:spacing w:after="0" w:line="360" w:lineRule="auto"/>
        <w:ind w:right="-93"/>
        <w:rPr>
          <w:rFonts w:eastAsia="Calibri" w:cs="Tahoma"/>
          <w:bCs/>
        </w:rPr>
      </w:pPr>
    </w:p>
    <w:p w14:paraId="3BC226A3" w14:textId="53077AB4" w:rsidR="00F7693D" w:rsidRPr="00695B2C" w:rsidRDefault="00F7693D" w:rsidP="006461DA">
      <w:pPr>
        <w:spacing w:after="0" w:line="360" w:lineRule="auto"/>
        <w:ind w:right="-93"/>
        <w:rPr>
          <w:rFonts w:eastAsia="Calibri" w:cs="Tahoma"/>
          <w:bCs/>
        </w:rPr>
      </w:pPr>
      <w:r w:rsidRPr="00695B2C">
        <w:rPr>
          <w:rFonts w:eastAsia="Calibri" w:cs="Tahoma"/>
          <w:bCs/>
        </w:rPr>
        <w:t>Asimismo, se identifica que los datos de su imagen física, actividades actuales e históricas, su participación en actividades no profesionales, así como demás datos de su vida personal, fueron divulgados por diversos medios de comunicación</w:t>
      </w:r>
      <w:r w:rsidR="002B721B" w:rsidRPr="00695B2C">
        <w:rPr>
          <w:rFonts w:eastAsia="Calibri" w:cs="Tahoma"/>
          <w:bCs/>
        </w:rPr>
        <w:t>, como la plataforma arriba señalada</w:t>
      </w:r>
      <w:r w:rsidRPr="00695B2C">
        <w:rPr>
          <w:rFonts w:eastAsia="Calibri" w:cs="Tahoma"/>
          <w:bCs/>
        </w:rPr>
        <w:t>.</w:t>
      </w:r>
    </w:p>
    <w:p w14:paraId="31309555" w14:textId="738B34B5" w:rsidR="00F7693D" w:rsidRPr="00695B2C" w:rsidRDefault="00F7693D" w:rsidP="006461DA">
      <w:pPr>
        <w:spacing w:after="0" w:line="360" w:lineRule="auto"/>
        <w:ind w:right="-93"/>
        <w:rPr>
          <w:rFonts w:eastAsia="Calibri" w:cs="Tahoma"/>
          <w:bCs/>
        </w:rPr>
      </w:pPr>
    </w:p>
    <w:p w14:paraId="6EB2A805" w14:textId="64188FB3" w:rsidR="00F7693D" w:rsidRPr="00695B2C" w:rsidRDefault="00F67649" w:rsidP="006461DA">
      <w:pPr>
        <w:spacing w:after="0" w:line="360" w:lineRule="auto"/>
        <w:ind w:right="-93"/>
        <w:rPr>
          <w:rFonts w:eastAsia="Calibri" w:cs="Tahoma"/>
          <w:bCs/>
        </w:rPr>
      </w:pPr>
      <w:r>
        <w:rPr>
          <w:rFonts w:eastAsia="Calibri" w:cs="Tahoma"/>
          <w:bCs/>
          <w:noProof/>
        </w:rPr>
        <mc:AlternateContent>
          <mc:Choice Requires="wps">
            <w:drawing>
              <wp:anchor distT="0" distB="0" distL="114300" distR="114300" simplePos="0" relativeHeight="251665408" behindDoc="0" locked="0" layoutInCell="1" allowOverlap="1" wp14:anchorId="1D4DB5AC" wp14:editId="0B9AF552">
                <wp:simplePos x="0" y="0"/>
                <wp:positionH relativeFrom="column">
                  <wp:posOffset>183515</wp:posOffset>
                </wp:positionH>
                <wp:positionV relativeFrom="paragraph">
                  <wp:posOffset>937895</wp:posOffset>
                </wp:positionV>
                <wp:extent cx="5659120" cy="1397000"/>
                <wp:effectExtent l="0" t="0" r="36830" b="31750"/>
                <wp:wrapNone/>
                <wp:docPr id="37" name="Conector recto 37"/>
                <wp:cNvGraphicFramePr/>
                <a:graphic xmlns:a="http://schemas.openxmlformats.org/drawingml/2006/main">
                  <a:graphicData uri="http://schemas.microsoft.com/office/word/2010/wordprocessingShape">
                    <wps:wsp>
                      <wps:cNvCnPr/>
                      <wps:spPr>
                        <a:xfrm flipV="1">
                          <a:off x="0" y="0"/>
                          <a:ext cx="5659120" cy="1397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4C45CF9" id="Conector recto 37" o:spid="_x0000_s1026" style="position:absolute;flip:y;z-index:251665408;visibility:visible;mso-wrap-style:square;mso-wrap-distance-left:9pt;mso-wrap-distance-top:0;mso-wrap-distance-right:9pt;mso-wrap-distance-bottom:0;mso-position-horizontal:absolute;mso-position-horizontal-relative:text;mso-position-vertical:absolute;mso-position-vertical-relative:text" from="14.45pt,73.85pt" to="460.05pt,1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" strokecolor="#5b9bd5 [3204]" strokeweight=".5pt">
                <v:stroke joinstyle="miter"/>
              </v:line>
            </w:pict>
          </mc:Fallback>
        </mc:AlternateContent>
      </w:r>
      <w:r w:rsidR="002B721B" w:rsidRPr="00695B2C">
        <w:rPr>
          <w:rFonts w:eastAsia="Calibri" w:cs="Tahoma"/>
          <w:bCs/>
        </w:rPr>
        <w:t xml:space="preserve">En el periódico “Excelsior”, se dio a conocer la participación de uno de los familiares para lograr la ubicación de una de las víctimas </w:t>
      </w:r>
      <w:r w:rsidR="00DE6BE7" w:rsidRPr="00695B2C">
        <w:rPr>
          <w:rFonts w:eastAsia="Calibri" w:cs="Tahoma"/>
          <w:bCs/>
        </w:rPr>
        <w:t>e identificar</w:t>
      </w:r>
      <w:r w:rsidR="002B721B" w:rsidRPr="00695B2C">
        <w:rPr>
          <w:rFonts w:eastAsia="Calibri" w:cs="Tahoma"/>
          <w:bCs/>
        </w:rPr>
        <w:t xml:space="preserve"> la participación de la persona señalada como responsable del delito de feminicidio.  </w:t>
      </w:r>
    </w:p>
    <w:p w14:paraId="7E811176" w14:textId="317F6D91" w:rsidR="00B7171C" w:rsidRPr="00695B2C" w:rsidRDefault="00B7171C" w:rsidP="006461DA">
      <w:pPr>
        <w:spacing w:after="0" w:line="360" w:lineRule="auto"/>
        <w:ind w:right="-93"/>
        <w:jc w:val="center"/>
        <w:rPr>
          <w:rFonts w:eastAsia="Calibri" w:cs="Tahoma"/>
          <w:bCs/>
        </w:rPr>
      </w:pPr>
      <w:r w:rsidRPr="00695B2C">
        <w:rPr>
          <w:noProof/>
        </w:rPr>
        <w:lastRenderedPageBreak/>
        <w:drawing>
          <wp:inline distT="0" distB="0" distL="0" distR="0" wp14:anchorId="349D6455" wp14:editId="649E1D9F">
            <wp:extent cx="5438548" cy="3035300"/>
            <wp:effectExtent l="0" t="0" r="0" b="0"/>
            <wp:docPr id="13" name="Imagen 1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Interfaz de usuario gráfica, Texto&#10;&#10;Descripción generada automáticamente"/>
                    <pic:cNvPicPr/>
                  </pic:nvPicPr>
                  <pic:blipFill rotWithShape="1">
                    <a:blip r:embed="rId21"/>
                    <a:srcRect l="15131" t="23693" r="17772" b="9699"/>
                    <a:stretch/>
                  </pic:blipFill>
                  <pic:spPr bwMode="auto">
                    <a:xfrm>
                      <a:off x="0" y="0"/>
                      <a:ext cx="5444534" cy="3038641"/>
                    </a:xfrm>
                    <a:prstGeom prst="rect">
                      <a:avLst/>
                    </a:prstGeom>
                    <a:ln>
                      <a:noFill/>
                    </a:ln>
                    <a:extLst>
                      <a:ext uri="{53640926-AAD7-44D8-BBD7-CCE9431645EC}">
                        <a14:shadowObscured xmlns:a14="http://schemas.microsoft.com/office/drawing/2010/main"/>
                      </a:ext>
                    </a:extLst>
                  </pic:spPr>
                </pic:pic>
              </a:graphicData>
            </a:graphic>
          </wp:inline>
        </w:drawing>
      </w:r>
    </w:p>
    <w:p w14:paraId="4FE12A4A" w14:textId="72C59C39" w:rsidR="00F7693D" w:rsidRPr="00695B2C" w:rsidRDefault="00B7171C" w:rsidP="006461DA">
      <w:pPr>
        <w:spacing w:after="0" w:line="360" w:lineRule="auto"/>
        <w:ind w:right="-93"/>
        <w:rPr>
          <w:rFonts w:eastAsia="Calibri" w:cs="Tahoma"/>
          <w:bCs/>
        </w:rPr>
      </w:pPr>
      <w:r w:rsidRPr="00695B2C">
        <w:rPr>
          <w:rFonts w:eastAsia="Calibri" w:cs="Tahoma"/>
          <w:bCs/>
        </w:rPr>
        <w:t>(Imágenes recuperada</w:t>
      </w:r>
      <w:r w:rsidR="00370CB1" w:rsidRPr="00695B2C">
        <w:rPr>
          <w:rFonts w:eastAsia="Calibri" w:cs="Tahoma"/>
          <w:bCs/>
        </w:rPr>
        <w:t>s</w:t>
      </w:r>
      <w:r w:rsidRPr="00695B2C">
        <w:rPr>
          <w:rFonts w:eastAsia="Calibri" w:cs="Tahoma"/>
          <w:bCs/>
        </w:rPr>
        <w:t xml:space="preserve"> el treinta y uno de mayo de dos mil veintidós a las quince horas con cincuenta y un minutos</w:t>
      </w:r>
      <w:r w:rsidR="00F7693D" w:rsidRPr="00695B2C">
        <w:rPr>
          <w:rFonts w:eastAsia="Calibri" w:cs="Tahoma"/>
          <w:bCs/>
        </w:rPr>
        <w:t xml:space="preserve">, del periódico “Excelsior”, en su liga de acceso directo </w:t>
      </w:r>
      <w:hyperlink r:id="rId22" w:history="1">
        <w:r w:rsidR="00F7693D" w:rsidRPr="00695B2C">
          <w:rPr>
            <w:rStyle w:val="Hipervnculo"/>
            <w:rFonts w:eastAsia="Calibri" w:cs="Tahoma"/>
            <w:bCs/>
          </w:rPr>
          <w:t>https://www.excelsior.com.mx/comunidad/esposo-de-victima-fue-clave-para-detener-al-asesino-serial-de-atizapan/1451622</w:t>
        </w:r>
      </w:hyperlink>
      <w:r w:rsidR="00F7693D" w:rsidRPr="00695B2C">
        <w:rPr>
          <w:rFonts w:eastAsia="Calibri" w:cs="Tahoma"/>
          <w:bCs/>
        </w:rPr>
        <w:t>.</w:t>
      </w:r>
      <w:r w:rsidR="009051EF" w:rsidRPr="00695B2C">
        <w:rPr>
          <w:rFonts w:eastAsia="Calibri" w:cs="Tahoma"/>
          <w:bCs/>
        </w:rPr>
        <w:t>)</w:t>
      </w:r>
    </w:p>
    <w:p w14:paraId="5FF63B9A" w14:textId="77777777" w:rsidR="00F7693D" w:rsidRPr="00695B2C" w:rsidRDefault="00F7693D" w:rsidP="006461DA">
      <w:pPr>
        <w:spacing w:after="0" w:line="360" w:lineRule="auto"/>
        <w:ind w:right="-93"/>
        <w:rPr>
          <w:rFonts w:eastAsia="Calibri" w:cs="Tahoma"/>
          <w:bCs/>
        </w:rPr>
      </w:pPr>
    </w:p>
    <w:p w14:paraId="13291C8B" w14:textId="793E319C" w:rsidR="00AB4186" w:rsidRPr="00695B2C" w:rsidRDefault="00AB4186" w:rsidP="006461DA">
      <w:pPr>
        <w:spacing w:after="0" w:line="360" w:lineRule="auto"/>
        <w:ind w:right="-93"/>
        <w:rPr>
          <w:rFonts w:eastAsia="Calibri" w:cs="Tahoma"/>
          <w:bCs/>
        </w:rPr>
      </w:pPr>
      <w:r w:rsidRPr="00695B2C">
        <w:rPr>
          <w:rFonts w:eastAsia="Calibri" w:cs="Tahoma"/>
          <w:bCs/>
        </w:rPr>
        <w:t>También e</w:t>
      </w:r>
      <w:r w:rsidR="00C010A3" w:rsidRPr="00695B2C">
        <w:rPr>
          <w:rFonts w:eastAsia="Calibri" w:cs="Tahoma"/>
          <w:bCs/>
        </w:rPr>
        <w:t>l</w:t>
      </w:r>
      <w:r w:rsidRPr="00695B2C">
        <w:rPr>
          <w:rFonts w:eastAsia="Calibri" w:cs="Tahoma"/>
          <w:bCs/>
        </w:rPr>
        <w:t xml:space="preserve"> periódico</w:t>
      </w:r>
      <w:r w:rsidR="00F7693D" w:rsidRPr="00695B2C">
        <w:rPr>
          <w:rFonts w:eastAsia="Calibri" w:cs="Tahoma"/>
          <w:bCs/>
        </w:rPr>
        <w:t xml:space="preserve"> digital </w:t>
      </w:r>
      <w:r w:rsidR="00F67649">
        <w:rPr>
          <w:rFonts w:eastAsia="Calibri" w:cs="Tahoma"/>
          <w:bCs/>
        </w:rPr>
        <w:t>I</w:t>
      </w:r>
      <w:r w:rsidR="00F7693D" w:rsidRPr="00695B2C">
        <w:rPr>
          <w:rFonts w:eastAsia="Calibri" w:cs="Tahoma"/>
          <w:bCs/>
        </w:rPr>
        <w:t>nfobae</w:t>
      </w:r>
      <w:r w:rsidR="00C010A3" w:rsidRPr="00695B2C">
        <w:rPr>
          <w:rFonts w:eastAsia="Calibri" w:cs="Tahoma"/>
          <w:bCs/>
        </w:rPr>
        <w:t>, publicó el 19 de junio información que el mismo imputado haría pública al reconocer que en efectuó los homicidios.</w:t>
      </w:r>
    </w:p>
    <w:p w14:paraId="7530A138" w14:textId="77777777" w:rsidR="00C010A3" w:rsidRPr="00695B2C" w:rsidRDefault="00C010A3" w:rsidP="006461DA">
      <w:pPr>
        <w:spacing w:after="0" w:line="360" w:lineRule="auto"/>
        <w:ind w:right="-93"/>
        <w:rPr>
          <w:rFonts w:eastAsia="Calibri" w:cs="Tahoma"/>
          <w:bCs/>
        </w:rPr>
      </w:pPr>
    </w:p>
    <w:p w14:paraId="705E0D18" w14:textId="77777777" w:rsidR="00C010A3" w:rsidRPr="00695B2C" w:rsidRDefault="00C010A3" w:rsidP="006461DA">
      <w:pPr>
        <w:spacing w:after="0" w:line="360" w:lineRule="auto"/>
        <w:ind w:left="567" w:right="567"/>
        <w:rPr>
          <w:rFonts w:eastAsia="Calibri" w:cs="Tahoma"/>
          <w:bCs/>
          <w:i/>
          <w:iCs/>
        </w:rPr>
      </w:pPr>
      <w:r w:rsidRPr="00695B2C">
        <w:rPr>
          <w:rFonts w:eastAsia="Calibri" w:cs="Tahoma"/>
          <w:bCs/>
          <w:i/>
          <w:iCs/>
        </w:rPr>
        <w:t>Comía cuerpos y los conservaba con sal: las atroces confesiones del presunto feminicida serial de Atizapán</w:t>
      </w:r>
    </w:p>
    <w:p w14:paraId="07392B57" w14:textId="1F7C4B4F" w:rsidR="00C010A3" w:rsidRPr="00695B2C" w:rsidRDefault="00C010A3" w:rsidP="006461DA">
      <w:pPr>
        <w:spacing w:after="0" w:line="360" w:lineRule="auto"/>
        <w:ind w:left="567" w:right="567"/>
        <w:rPr>
          <w:rFonts w:eastAsia="Calibri" w:cs="Tahoma"/>
          <w:bCs/>
          <w:i/>
          <w:iCs/>
        </w:rPr>
      </w:pPr>
      <w:r w:rsidRPr="00695B2C">
        <w:rPr>
          <w:rFonts w:eastAsia="Calibri" w:cs="Tahoma"/>
          <w:bCs/>
          <w:i/>
          <w:iCs/>
        </w:rPr>
        <w:t>Las audiencias de Andrés ………. comenzarán este jueves 20 de mayo, donde es probable que sea vinculado a proceso</w:t>
      </w:r>
    </w:p>
    <w:p w14:paraId="7E61C8F2" w14:textId="231CF2A4" w:rsidR="00C010A3" w:rsidRPr="00695B2C" w:rsidRDefault="00C010A3" w:rsidP="006461DA">
      <w:pPr>
        <w:spacing w:after="0" w:line="360" w:lineRule="auto"/>
        <w:ind w:left="567" w:right="567"/>
        <w:rPr>
          <w:rFonts w:eastAsia="Calibri" w:cs="Tahoma"/>
          <w:bCs/>
          <w:i/>
          <w:iCs/>
        </w:rPr>
      </w:pPr>
      <w:r w:rsidRPr="00695B2C">
        <w:rPr>
          <w:rFonts w:eastAsia="Calibri" w:cs="Tahoma"/>
          <w:bCs/>
          <w:i/>
          <w:iCs/>
        </w:rPr>
        <w:t>…</w:t>
      </w:r>
    </w:p>
    <w:p w14:paraId="28954FA0" w14:textId="5BC60AA3" w:rsidR="00C010A3" w:rsidRPr="00695B2C" w:rsidRDefault="00C010A3" w:rsidP="006461DA">
      <w:pPr>
        <w:spacing w:after="0" w:line="360" w:lineRule="auto"/>
        <w:ind w:left="567" w:right="567"/>
        <w:rPr>
          <w:rFonts w:eastAsia="Calibri" w:cs="Tahoma"/>
          <w:bCs/>
          <w:i/>
          <w:iCs/>
        </w:rPr>
      </w:pPr>
    </w:p>
    <w:p w14:paraId="5792EF32" w14:textId="7338DA79" w:rsidR="00C010A3" w:rsidRPr="00695B2C" w:rsidRDefault="00C010A3" w:rsidP="006461DA">
      <w:pPr>
        <w:spacing w:after="0" w:line="360" w:lineRule="auto"/>
        <w:ind w:left="567" w:right="567"/>
        <w:rPr>
          <w:rFonts w:eastAsia="Calibri" w:cs="Tahoma"/>
          <w:bCs/>
          <w:i/>
          <w:iCs/>
        </w:rPr>
      </w:pPr>
      <w:r w:rsidRPr="00695B2C">
        <w:rPr>
          <w:rFonts w:eastAsia="Calibri" w:cs="Tahoma"/>
          <w:bCs/>
          <w:i/>
          <w:iCs/>
        </w:rPr>
        <w:t xml:space="preserve">El </w:t>
      </w:r>
      <w:proofErr w:type="gramStart"/>
      <w:r w:rsidRPr="00695B2C">
        <w:rPr>
          <w:rFonts w:eastAsia="Calibri" w:cs="Tahoma"/>
          <w:bCs/>
          <w:i/>
          <w:iCs/>
        </w:rPr>
        <w:t>Chino</w:t>
      </w:r>
      <w:proofErr w:type="gramEnd"/>
      <w:r w:rsidRPr="00695B2C">
        <w:rPr>
          <w:rFonts w:eastAsia="Calibri" w:cs="Tahoma"/>
          <w:bCs/>
          <w:i/>
          <w:iCs/>
        </w:rPr>
        <w:t xml:space="preserve">, como era conocido por sus vecinos de la colonia Lomas de San Miguel, respondió ante autoridades del Estado de México que </w:t>
      </w:r>
      <w:r w:rsidRPr="00695B2C">
        <w:rPr>
          <w:rFonts w:eastAsia="Calibri" w:cs="Tahoma"/>
          <w:b/>
          <w:i/>
          <w:iCs/>
        </w:rPr>
        <w:t xml:space="preserve">hasta donde recordaba había asesinado a </w:t>
      </w:r>
      <w:r w:rsidRPr="00695B2C">
        <w:rPr>
          <w:rFonts w:eastAsia="Calibri" w:cs="Tahoma"/>
          <w:b/>
          <w:i/>
          <w:iCs/>
        </w:rPr>
        <w:lastRenderedPageBreak/>
        <w:t>15 personas en dos décadas, en su mayoría mujeres</w:t>
      </w:r>
      <w:r w:rsidRPr="00695B2C">
        <w:rPr>
          <w:rFonts w:eastAsia="Calibri" w:cs="Tahoma"/>
          <w:bCs/>
          <w:i/>
          <w:iCs/>
        </w:rPr>
        <w:t>. Pidió un vaso de agua antes de su declaración.</w:t>
      </w:r>
    </w:p>
    <w:p w14:paraId="6722556E" w14:textId="20D8F7C1" w:rsidR="00C010A3" w:rsidRPr="00695B2C" w:rsidRDefault="00C010A3" w:rsidP="006461DA">
      <w:pPr>
        <w:spacing w:after="0" w:line="360" w:lineRule="auto"/>
        <w:ind w:left="567" w:right="567"/>
        <w:rPr>
          <w:rFonts w:eastAsia="Calibri" w:cs="Tahoma"/>
          <w:bCs/>
        </w:rPr>
      </w:pPr>
      <w:r w:rsidRPr="00695B2C">
        <w:rPr>
          <w:rFonts w:eastAsia="Calibri" w:cs="Tahoma"/>
          <w:bCs/>
        </w:rPr>
        <w:t>(Énfasis añadido).</w:t>
      </w:r>
    </w:p>
    <w:p w14:paraId="3896726C" w14:textId="43B025B5" w:rsidR="00C010A3" w:rsidRPr="00695B2C" w:rsidRDefault="00C010A3" w:rsidP="006461DA">
      <w:pPr>
        <w:spacing w:after="0" w:line="360" w:lineRule="auto"/>
        <w:ind w:left="567" w:right="567"/>
        <w:rPr>
          <w:rFonts w:eastAsia="Calibri" w:cs="Tahoma"/>
          <w:bCs/>
          <w:sz w:val="20"/>
          <w:szCs w:val="20"/>
        </w:rPr>
      </w:pPr>
    </w:p>
    <w:p w14:paraId="75137852" w14:textId="2876834E" w:rsidR="00C010A3" w:rsidRPr="00695B2C" w:rsidRDefault="00C010A3" w:rsidP="006461DA">
      <w:pPr>
        <w:spacing w:after="0" w:line="360" w:lineRule="auto"/>
        <w:ind w:left="567" w:right="567"/>
        <w:rPr>
          <w:rFonts w:eastAsia="Calibri" w:cs="Tahoma"/>
          <w:bCs/>
          <w:sz w:val="20"/>
          <w:szCs w:val="20"/>
        </w:rPr>
      </w:pPr>
      <w:r w:rsidRPr="00695B2C">
        <w:rPr>
          <w:rFonts w:eastAsia="Calibri" w:cs="Tahoma"/>
          <w:bCs/>
          <w:sz w:val="20"/>
          <w:szCs w:val="20"/>
        </w:rPr>
        <w:t>(Información consultada el veintiséis de mayo de dos mil veintidós disponible en (</w:t>
      </w:r>
      <w:hyperlink r:id="rId23" w:history="1">
        <w:r w:rsidRPr="00695B2C">
          <w:rPr>
            <w:rStyle w:val="Hipervnculo"/>
            <w:rFonts w:eastAsia="Calibri" w:cs="Tahoma"/>
            <w:bCs/>
            <w:sz w:val="20"/>
            <w:szCs w:val="20"/>
          </w:rPr>
          <w:t>https://www.infobae.com/america/mexico/2021/05/19/comia-cuerpos-y-los-conservaba-con-sal-las-atroces-confesiones-del-presunto-feminicida-serial-de-atizapan/</w:t>
        </w:r>
      </w:hyperlink>
      <w:r w:rsidRPr="00695B2C">
        <w:rPr>
          <w:rFonts w:eastAsia="Calibri" w:cs="Tahoma"/>
          <w:bCs/>
          <w:sz w:val="20"/>
          <w:szCs w:val="20"/>
        </w:rPr>
        <w:t xml:space="preserve">) </w:t>
      </w:r>
    </w:p>
    <w:p w14:paraId="57A36C8A" w14:textId="7FA0013A" w:rsidR="00C010A3" w:rsidRPr="00695B2C" w:rsidRDefault="00C010A3" w:rsidP="006461DA">
      <w:pPr>
        <w:spacing w:after="0" w:line="360" w:lineRule="auto"/>
        <w:ind w:right="-93"/>
        <w:rPr>
          <w:rFonts w:eastAsia="Calibri" w:cs="Tahoma"/>
          <w:bCs/>
        </w:rPr>
      </w:pPr>
    </w:p>
    <w:p w14:paraId="409DD0AA" w14:textId="091F76B2" w:rsidR="00F7693D" w:rsidRPr="00695B2C" w:rsidRDefault="002B1A31" w:rsidP="006461DA">
      <w:pPr>
        <w:spacing w:after="0" w:line="360" w:lineRule="auto"/>
        <w:ind w:right="-93"/>
        <w:rPr>
          <w:rFonts w:eastAsia="Calibri" w:cs="Tahoma"/>
          <w:bCs/>
        </w:rPr>
      </w:pPr>
      <w:r w:rsidRPr="00695B2C">
        <w:rPr>
          <w:rFonts w:eastAsia="Calibri" w:cs="Tahoma"/>
          <w:bCs/>
        </w:rPr>
        <w:t xml:space="preserve">El periódico digital </w:t>
      </w:r>
      <w:r w:rsidR="00F67649">
        <w:rPr>
          <w:rFonts w:eastAsia="Calibri" w:cs="Tahoma"/>
          <w:bCs/>
        </w:rPr>
        <w:t>I</w:t>
      </w:r>
      <w:r w:rsidRPr="00695B2C">
        <w:rPr>
          <w:rFonts w:eastAsia="Calibri" w:cs="Tahoma"/>
          <w:bCs/>
        </w:rPr>
        <w:t>nfobae</w:t>
      </w:r>
      <w:r w:rsidR="00F7693D" w:rsidRPr="00695B2C">
        <w:rPr>
          <w:rFonts w:eastAsia="Calibri" w:cs="Tahoma"/>
          <w:bCs/>
        </w:rPr>
        <w:t xml:space="preserve"> Milenio</w:t>
      </w:r>
      <w:r w:rsidRPr="00695B2C">
        <w:rPr>
          <w:rFonts w:eastAsia="Calibri" w:cs="Tahoma"/>
          <w:bCs/>
        </w:rPr>
        <w:t>, publicó su versión sobre el asesinato de una mujer, como se muestra a continuación:</w:t>
      </w:r>
    </w:p>
    <w:p w14:paraId="1F8C1E08" w14:textId="77777777" w:rsidR="002B1A31" w:rsidRPr="00695B2C" w:rsidRDefault="002B1A31" w:rsidP="006461DA">
      <w:pPr>
        <w:spacing w:after="0" w:line="360" w:lineRule="auto"/>
        <w:ind w:left="567" w:right="567"/>
        <w:rPr>
          <w:rFonts w:eastAsia="Calibri" w:cs="Tahoma"/>
          <w:bCs/>
          <w:i/>
          <w:iCs/>
          <w:sz w:val="20"/>
          <w:szCs w:val="20"/>
        </w:rPr>
      </w:pPr>
    </w:p>
    <w:p w14:paraId="015AD3DE" w14:textId="18C3832D" w:rsidR="00F7693D" w:rsidRPr="00695B2C" w:rsidRDefault="002B1A31" w:rsidP="006461DA">
      <w:pPr>
        <w:spacing w:after="0" w:line="360" w:lineRule="auto"/>
        <w:ind w:left="567" w:right="567"/>
        <w:rPr>
          <w:rFonts w:eastAsia="Calibri" w:cs="Tahoma"/>
          <w:bCs/>
          <w:i/>
          <w:iCs/>
          <w:sz w:val="20"/>
          <w:szCs w:val="20"/>
        </w:rPr>
      </w:pPr>
      <w:r w:rsidRPr="00695B2C">
        <w:rPr>
          <w:rFonts w:eastAsia="Calibri" w:cs="Tahoma"/>
          <w:bCs/>
          <w:i/>
          <w:iCs/>
          <w:sz w:val="20"/>
          <w:szCs w:val="20"/>
        </w:rPr>
        <w:t>Detienen a presunto feminicida en Edomex; habría destazado a su pareja</w:t>
      </w:r>
    </w:p>
    <w:p w14:paraId="636A5DA6" w14:textId="4CB5B569" w:rsidR="002B1A31" w:rsidRPr="00695B2C" w:rsidRDefault="002B1A31" w:rsidP="006461DA">
      <w:pPr>
        <w:spacing w:after="0" w:line="360" w:lineRule="auto"/>
        <w:ind w:left="567" w:right="567"/>
        <w:rPr>
          <w:rFonts w:eastAsia="Calibri" w:cs="Tahoma"/>
          <w:bCs/>
          <w:i/>
          <w:iCs/>
          <w:sz w:val="20"/>
          <w:szCs w:val="20"/>
        </w:rPr>
      </w:pPr>
      <w:r w:rsidRPr="00695B2C">
        <w:rPr>
          <w:rFonts w:eastAsia="Calibri" w:cs="Tahoma"/>
          <w:bCs/>
          <w:i/>
          <w:iCs/>
          <w:sz w:val="20"/>
          <w:szCs w:val="20"/>
        </w:rPr>
        <w:t>…</w:t>
      </w:r>
    </w:p>
    <w:p w14:paraId="71FD68BD" w14:textId="475A8291" w:rsidR="002B1A31" w:rsidRPr="00695B2C" w:rsidRDefault="002B1A31" w:rsidP="006461DA">
      <w:pPr>
        <w:spacing w:after="0" w:line="360" w:lineRule="auto"/>
        <w:ind w:left="567" w:right="567"/>
        <w:rPr>
          <w:rFonts w:eastAsia="Calibri" w:cs="Tahoma"/>
          <w:bCs/>
          <w:i/>
          <w:iCs/>
          <w:sz w:val="20"/>
          <w:szCs w:val="20"/>
        </w:rPr>
      </w:pPr>
      <w:r w:rsidRPr="00695B2C">
        <w:rPr>
          <w:rFonts w:eastAsia="Calibri" w:cs="Tahoma"/>
          <w:bCs/>
          <w:i/>
          <w:iCs/>
          <w:sz w:val="20"/>
          <w:szCs w:val="20"/>
        </w:rPr>
        <w:t>…</w:t>
      </w:r>
    </w:p>
    <w:p w14:paraId="764FDACD" w14:textId="428D61BE" w:rsidR="002B1A31" w:rsidRPr="00695B2C" w:rsidRDefault="002B1A31" w:rsidP="006461DA">
      <w:pPr>
        <w:spacing w:after="0" w:line="360" w:lineRule="auto"/>
        <w:ind w:left="567" w:right="567"/>
        <w:rPr>
          <w:rFonts w:eastAsia="Calibri" w:cs="Tahoma"/>
          <w:bCs/>
          <w:i/>
          <w:iCs/>
          <w:sz w:val="20"/>
          <w:szCs w:val="20"/>
        </w:rPr>
      </w:pPr>
      <w:r w:rsidRPr="00695B2C">
        <w:rPr>
          <w:rFonts w:eastAsia="Calibri" w:cs="Tahoma"/>
          <w:bCs/>
          <w:i/>
          <w:iCs/>
          <w:sz w:val="20"/>
          <w:szCs w:val="20"/>
        </w:rPr>
        <w:t>…</w:t>
      </w:r>
    </w:p>
    <w:p w14:paraId="44EB9110" w14:textId="4E52595B" w:rsidR="002B1A31" w:rsidRPr="00695B2C" w:rsidRDefault="002B1A31" w:rsidP="006461DA">
      <w:pPr>
        <w:spacing w:after="0" w:line="360" w:lineRule="auto"/>
        <w:ind w:left="567" w:right="567"/>
        <w:rPr>
          <w:rFonts w:eastAsia="Calibri" w:cs="Tahoma"/>
          <w:bCs/>
          <w:i/>
          <w:iCs/>
          <w:sz w:val="20"/>
          <w:szCs w:val="20"/>
        </w:rPr>
      </w:pPr>
      <w:r w:rsidRPr="00695B2C">
        <w:rPr>
          <w:rFonts w:eastAsia="Calibri" w:cs="Tahoma"/>
          <w:bCs/>
          <w:i/>
          <w:iCs/>
          <w:sz w:val="20"/>
          <w:szCs w:val="20"/>
        </w:rPr>
        <w:t>…</w:t>
      </w:r>
    </w:p>
    <w:p w14:paraId="483AEA19" w14:textId="0399CE3E" w:rsidR="002B1A31" w:rsidRPr="00695B2C" w:rsidRDefault="002B1A31" w:rsidP="006461DA">
      <w:pPr>
        <w:spacing w:after="0" w:line="360" w:lineRule="auto"/>
        <w:ind w:left="567" w:right="567"/>
        <w:rPr>
          <w:rFonts w:eastAsia="Calibri" w:cs="Tahoma"/>
          <w:bCs/>
          <w:i/>
          <w:iCs/>
          <w:sz w:val="20"/>
          <w:szCs w:val="20"/>
        </w:rPr>
      </w:pPr>
      <w:r w:rsidRPr="00695B2C">
        <w:rPr>
          <w:rFonts w:eastAsia="Calibri" w:cs="Tahoma"/>
          <w:bCs/>
          <w:i/>
          <w:iCs/>
          <w:sz w:val="20"/>
          <w:szCs w:val="20"/>
        </w:rPr>
        <w:t xml:space="preserve">Sin embargo, este sábado alrededor de las 20:00 horas, los policías del municipio de Atizapán acudieron al domicilio de Andrés “N” para entrevistarlo, mismo que </w:t>
      </w:r>
      <w:proofErr w:type="gramStart"/>
      <w:r w:rsidRPr="00695B2C">
        <w:rPr>
          <w:rFonts w:eastAsia="Calibri" w:cs="Tahoma"/>
          <w:bCs/>
          <w:i/>
          <w:iCs/>
          <w:sz w:val="20"/>
          <w:szCs w:val="20"/>
        </w:rPr>
        <w:t>les</w:t>
      </w:r>
      <w:proofErr w:type="gramEnd"/>
      <w:r w:rsidRPr="00695B2C">
        <w:rPr>
          <w:rFonts w:eastAsia="Calibri" w:cs="Tahoma"/>
          <w:bCs/>
          <w:i/>
          <w:iCs/>
          <w:sz w:val="20"/>
          <w:szCs w:val="20"/>
        </w:rPr>
        <w:t xml:space="preserve"> permitió el acceso a su domicilio y al ingresar, los uniformados encontraron restos humanos de un cuerpo femenino, destazado sobre una mesa. Por estos hechos realizaron la detención del sujeto y dieron aviso a la Fiscalía de Feminicidios del Estado de México para continuar con las indagatorias del caso; en tanto, las autoridades mexiquenses se encuentran a la espera de que un juez de control libre la orden de aprehensión en su contra. https://www.milenio.com/policia/edomex-detienen-presunto-feminicida-esperan-orden-aprehension</w:t>
      </w:r>
    </w:p>
    <w:p w14:paraId="40610FD4" w14:textId="77777777" w:rsidR="002B1A31" w:rsidRPr="00695B2C" w:rsidRDefault="002B1A31" w:rsidP="006461DA">
      <w:pPr>
        <w:spacing w:after="0" w:line="360" w:lineRule="auto"/>
        <w:ind w:left="567" w:right="567"/>
        <w:rPr>
          <w:rFonts w:eastAsia="Calibri" w:cs="Tahoma"/>
          <w:bCs/>
          <w:sz w:val="20"/>
          <w:szCs w:val="20"/>
        </w:rPr>
      </w:pPr>
    </w:p>
    <w:p w14:paraId="4CEEE840" w14:textId="61ABD77E" w:rsidR="00F7693D" w:rsidRPr="00695B2C" w:rsidRDefault="002B1A31" w:rsidP="006461DA">
      <w:pPr>
        <w:spacing w:after="0" w:line="360" w:lineRule="auto"/>
        <w:ind w:left="567" w:right="567"/>
        <w:rPr>
          <w:rFonts w:eastAsia="Calibri" w:cs="Tahoma"/>
          <w:bCs/>
        </w:rPr>
      </w:pPr>
      <w:r w:rsidRPr="00695B2C">
        <w:rPr>
          <w:rFonts w:eastAsia="Calibri" w:cs="Tahoma"/>
          <w:bCs/>
          <w:sz w:val="20"/>
          <w:szCs w:val="20"/>
        </w:rPr>
        <w:t xml:space="preserve">(Información consultada el veintiséis de mayo de dos mil veintidós disponible en </w:t>
      </w:r>
      <w:hyperlink r:id="rId24" w:history="1">
        <w:r w:rsidRPr="00695B2C">
          <w:rPr>
            <w:rStyle w:val="Hipervnculo"/>
            <w:rFonts w:eastAsia="Calibri" w:cs="Tahoma"/>
            <w:bCs/>
          </w:rPr>
          <w:t>https://www.milenio.com/policia/edomex-detienen-presunto-feminicida-esperan-orden-aprehension</w:t>
        </w:r>
      </w:hyperlink>
      <w:r w:rsidRPr="00695B2C">
        <w:rPr>
          <w:rFonts w:eastAsia="Calibri" w:cs="Tahoma"/>
          <w:bCs/>
        </w:rPr>
        <w:t>).</w:t>
      </w:r>
    </w:p>
    <w:p w14:paraId="012A6E86" w14:textId="110D1DEE" w:rsidR="003E23C1" w:rsidRPr="00695B2C" w:rsidRDefault="0054661A" w:rsidP="006461DA">
      <w:pPr>
        <w:pStyle w:val="Prrafodelista"/>
        <w:numPr>
          <w:ilvl w:val="0"/>
          <w:numId w:val="1"/>
        </w:numPr>
        <w:spacing w:line="360" w:lineRule="auto"/>
        <w:ind w:right="-93"/>
        <w:rPr>
          <w:rFonts w:ascii="Palatino Linotype" w:eastAsia="Calibri" w:hAnsi="Palatino Linotype" w:cs="Tahoma"/>
          <w:bCs/>
        </w:rPr>
      </w:pPr>
      <w:r w:rsidRPr="00695B2C">
        <w:rPr>
          <w:rFonts w:ascii="Palatino Linotype" w:eastAsia="Calibri" w:hAnsi="Palatino Linotype" w:cs="Tahoma"/>
          <w:b/>
        </w:rPr>
        <w:lastRenderedPageBreak/>
        <w:t>Datos personales de las víctimas.</w:t>
      </w:r>
      <w:r w:rsidRPr="00695B2C">
        <w:rPr>
          <w:rFonts w:ascii="Palatino Linotype" w:eastAsia="Calibri" w:hAnsi="Palatino Linotype" w:cs="Tahoma"/>
          <w:bCs/>
        </w:rPr>
        <w:t xml:space="preserve"> </w:t>
      </w:r>
    </w:p>
    <w:p w14:paraId="3F41F446" w14:textId="77777777" w:rsidR="00965619" w:rsidRPr="00695B2C" w:rsidRDefault="00965619" w:rsidP="006461DA">
      <w:pPr>
        <w:pStyle w:val="Prrafodelista"/>
        <w:spacing w:line="360" w:lineRule="auto"/>
        <w:ind w:right="-93"/>
        <w:rPr>
          <w:rFonts w:ascii="Palatino Linotype" w:eastAsia="Calibri" w:hAnsi="Palatino Linotype" w:cs="Tahoma"/>
          <w:bCs/>
        </w:rPr>
      </w:pPr>
    </w:p>
    <w:p w14:paraId="2AE4A05F" w14:textId="569126AD" w:rsidR="0069743B" w:rsidRDefault="00965619" w:rsidP="006461DA">
      <w:pPr>
        <w:spacing w:after="0" w:line="360" w:lineRule="auto"/>
        <w:ind w:right="-93"/>
        <w:rPr>
          <w:rFonts w:eastAsia="Calibri" w:cs="Tahoma"/>
          <w:bCs/>
        </w:rPr>
      </w:pPr>
      <w:r w:rsidRPr="00695B2C">
        <w:rPr>
          <w:rFonts w:eastAsia="Calibri" w:cs="Tahoma"/>
          <w:bCs/>
        </w:rPr>
        <w:t xml:space="preserve">Se precisa que la información desarrollada y revelada por diversos medios de comunicación, se conceptualiza en la presente resolución de conformidad con la Tesis aislada 2a. LIII/2017 (10a.) de la décima época, con registro digital 2014070, publicada en la Gaceta del Semanario Judicial de la Federación. Libro 41, </w:t>
      </w:r>
      <w:proofErr w:type="gramStart"/>
      <w:r w:rsidRPr="00695B2C">
        <w:rPr>
          <w:rFonts w:eastAsia="Calibri" w:cs="Tahoma"/>
          <w:bCs/>
        </w:rPr>
        <w:t>Abril</w:t>
      </w:r>
      <w:proofErr w:type="gramEnd"/>
      <w:r w:rsidRPr="00695B2C">
        <w:rPr>
          <w:rFonts w:eastAsia="Calibri" w:cs="Tahoma"/>
          <w:bCs/>
        </w:rPr>
        <w:t xml:space="preserve"> de 2017, Tomo I, página 1070, que contempla la publicidad de los nombres de las víctimas en violaciones graves a los derechos humanos, que lleva por rubro y texto </w:t>
      </w:r>
      <w:r w:rsidR="0069743B" w:rsidRPr="00695B2C">
        <w:rPr>
          <w:rFonts w:eastAsia="Calibri" w:cs="Tahoma"/>
          <w:bCs/>
        </w:rPr>
        <w:t>lo siguiente:</w:t>
      </w:r>
    </w:p>
    <w:p w14:paraId="19859B22" w14:textId="77777777" w:rsidR="00775EFA" w:rsidRPr="00695B2C" w:rsidRDefault="00775EFA" w:rsidP="006461DA">
      <w:pPr>
        <w:spacing w:after="0" w:line="360" w:lineRule="auto"/>
        <w:ind w:right="-93"/>
        <w:rPr>
          <w:rFonts w:eastAsia="Calibri" w:cs="Tahoma"/>
          <w:bCs/>
        </w:rPr>
      </w:pPr>
    </w:p>
    <w:p w14:paraId="49A7B205" w14:textId="77777777" w:rsidR="00965619" w:rsidRPr="00695B2C" w:rsidRDefault="00965619" w:rsidP="006461DA">
      <w:pPr>
        <w:spacing w:after="0" w:line="360" w:lineRule="auto"/>
        <w:ind w:left="567" w:right="616"/>
        <w:rPr>
          <w:b/>
          <w:bCs/>
          <w:i/>
          <w:iCs/>
          <w:sz w:val="20"/>
          <w:szCs w:val="20"/>
        </w:rPr>
      </w:pPr>
      <w:r w:rsidRPr="00695B2C">
        <w:rPr>
          <w:b/>
          <w:bCs/>
          <w:i/>
          <w:iCs/>
          <w:sz w:val="20"/>
          <w:szCs w:val="20"/>
        </w:rPr>
        <w:t>VIOLACIONES GRAVES DE DERECHOS FUNDAMENTALES. POR REGLA GENERAL EL PRINCIPIO DE MÁXIMA PUBLICIDAD DE LAS INVESTIGACIONES RELACIONADAS CON AQUÉLLAS, ABARCA EL NOMBRE DE LAS VÍCTIMAS.</w:t>
      </w:r>
    </w:p>
    <w:p w14:paraId="416538CB" w14:textId="77777777" w:rsidR="00965619" w:rsidRPr="00695B2C" w:rsidRDefault="00965619" w:rsidP="006461DA">
      <w:pPr>
        <w:spacing w:after="0" w:line="360" w:lineRule="auto"/>
        <w:ind w:left="567" w:right="616"/>
        <w:rPr>
          <w:i/>
          <w:iCs/>
          <w:sz w:val="20"/>
          <w:szCs w:val="20"/>
        </w:rPr>
      </w:pPr>
      <w:r w:rsidRPr="00695B2C">
        <w:rPr>
          <w:i/>
          <w:iCs/>
          <w:sz w:val="20"/>
          <w:szCs w:val="20"/>
        </w:rPr>
        <w:t xml:space="preserve">Del artículo 14, párrafo último, de la Ley Federal de Transparencia y Acceso a la Información Pública Gubernamental, vigente hasta el 9 de mayo de 2016, se advierte que, por regla general, no podrá invocarse el carácter de información reservada cuando se trate de la investigación de violaciones graves de derechos fundamentales o delitos contra la humanidad, sin hacer distinciones o excepciones respecto al nombre de las víctimas, sino que presenta una directriz clara e indubitable del acceso a la publicidad de esa información, ante la entidad de las violaciones o delitos implicados que generan un interés de la sociedad para conocer la conducta estatal respecto a la debida investigación de tales actos, protegiendo en cualquier caso el honor de las víctimas. En ese sentido, la función social derivada de la publicidad de los nombres de las víctimas en esos casos radica en despertar la conciencia, tanto de la autoridad como de las personas en general, sobre la necesidad de evitar la repetición de hechos lesivos como los ocurridos en esos casos y conservar viva la memoria de la víctima; así, trasladar una mera cifra estadística o número de expediente por un "nombre o rostro" implica adquirir verdadera conciencia del problema en cuestión y dignifica al ser humano, dando un lugar decoroso a la memoria de quienes fueron lesionados por conductas especialmente gravosas y permite que la sociedad interpele ante el Estado para conocer la verdad de los hechos acontecidos, y </w:t>
      </w:r>
      <w:r w:rsidRPr="00695B2C">
        <w:rPr>
          <w:i/>
          <w:iCs/>
          <w:sz w:val="20"/>
          <w:szCs w:val="20"/>
        </w:rPr>
        <w:lastRenderedPageBreak/>
        <w:t>vigile que las autoridades cumplan su deber de investigar, juzgar y, en su caso, sancionar y reparar las violaciones graves de derechos fundamentales.</w:t>
      </w:r>
    </w:p>
    <w:p w14:paraId="7779CD3B" w14:textId="5BAF9DDA" w:rsidR="003E23C1" w:rsidRPr="00695B2C" w:rsidRDefault="009051EF" w:rsidP="006461DA">
      <w:pPr>
        <w:tabs>
          <w:tab w:val="left" w:pos="1665"/>
        </w:tabs>
        <w:spacing w:after="0" w:line="360" w:lineRule="auto"/>
        <w:ind w:right="-93"/>
        <w:rPr>
          <w:rFonts w:eastAsia="Calibri" w:cs="Tahoma"/>
          <w:bCs/>
        </w:rPr>
      </w:pPr>
      <w:r w:rsidRPr="00695B2C">
        <w:rPr>
          <w:rFonts w:eastAsia="Calibri" w:cs="Tahoma"/>
          <w:bCs/>
        </w:rPr>
        <w:tab/>
      </w:r>
    </w:p>
    <w:p w14:paraId="3D0CDB94" w14:textId="248542CD" w:rsidR="009051EF" w:rsidRPr="00695B2C" w:rsidRDefault="0069743B" w:rsidP="006461DA">
      <w:pPr>
        <w:spacing w:after="0" w:line="360" w:lineRule="auto"/>
        <w:ind w:right="-93"/>
        <w:rPr>
          <w:rFonts w:eastAsia="Calibri" w:cs="Tahoma"/>
          <w:bCs/>
        </w:rPr>
      </w:pPr>
      <w:r w:rsidRPr="00695B2C">
        <w:rPr>
          <w:rFonts w:eastAsia="Calibri" w:cs="Tahoma"/>
          <w:bCs/>
        </w:rPr>
        <w:t>En este contexto</w:t>
      </w:r>
      <w:r w:rsidR="00EF32AD" w:rsidRPr="00695B2C">
        <w:rPr>
          <w:rFonts w:eastAsia="Calibri" w:cs="Tahoma"/>
          <w:bCs/>
        </w:rPr>
        <w:t>, se revelaron datos</w:t>
      </w:r>
      <w:r w:rsidR="005A4CDF" w:rsidRPr="00695B2C">
        <w:rPr>
          <w:rFonts w:eastAsia="Calibri" w:cs="Tahoma"/>
          <w:bCs/>
        </w:rPr>
        <w:t xml:space="preserve"> los nombres de al menos </w:t>
      </w:r>
      <w:r w:rsidRPr="00695B2C">
        <w:rPr>
          <w:rFonts w:eastAsia="Calibri" w:cs="Tahoma"/>
          <w:bCs/>
        </w:rPr>
        <w:t xml:space="preserve">cuatro </w:t>
      </w:r>
      <w:r w:rsidR="005A4CDF" w:rsidRPr="00695B2C">
        <w:rPr>
          <w:rFonts w:eastAsia="Calibri" w:cs="Tahoma"/>
          <w:bCs/>
        </w:rPr>
        <w:t>de sus víctimas mortales a través de notas periodísticas,</w:t>
      </w:r>
      <w:r w:rsidR="009051EF" w:rsidRPr="00695B2C">
        <w:rPr>
          <w:rFonts w:eastAsia="Calibri" w:cs="Tahoma"/>
          <w:bCs/>
        </w:rPr>
        <w:t xml:space="preserve"> que son los siguientes:</w:t>
      </w:r>
    </w:p>
    <w:p w14:paraId="10219A19" w14:textId="58CA7D9D" w:rsidR="009051EF" w:rsidRPr="00695B2C" w:rsidRDefault="009051EF" w:rsidP="006461DA">
      <w:pPr>
        <w:spacing w:after="0" w:line="360" w:lineRule="auto"/>
        <w:ind w:right="-93"/>
        <w:rPr>
          <w:rFonts w:eastAsia="Calibri" w:cs="Tahoma"/>
          <w:bCs/>
        </w:rPr>
      </w:pPr>
    </w:p>
    <w:p w14:paraId="6B41E05A" w14:textId="47C8BEFF" w:rsidR="009051EF" w:rsidRPr="00695B2C" w:rsidRDefault="009051EF" w:rsidP="006461DA">
      <w:pPr>
        <w:pStyle w:val="Prrafodelista"/>
        <w:numPr>
          <w:ilvl w:val="1"/>
          <w:numId w:val="1"/>
        </w:numPr>
        <w:spacing w:line="360" w:lineRule="auto"/>
        <w:ind w:right="-93"/>
        <w:rPr>
          <w:rFonts w:ascii="Palatino Linotype" w:eastAsia="Calibri" w:hAnsi="Palatino Linotype" w:cs="Tahoma"/>
          <w:bCs/>
        </w:rPr>
      </w:pPr>
      <w:r w:rsidRPr="00695B2C">
        <w:rPr>
          <w:rFonts w:ascii="Palatino Linotype" w:eastAsia="Calibri" w:hAnsi="Palatino Linotype" w:cs="Tahoma"/>
          <w:bCs/>
        </w:rPr>
        <w:t>Norma Jiménez Carreón.</w:t>
      </w:r>
    </w:p>
    <w:p w14:paraId="7B54254F" w14:textId="513A7A45" w:rsidR="0069743B" w:rsidRPr="00695B2C" w:rsidRDefault="0069743B" w:rsidP="006461DA">
      <w:pPr>
        <w:pStyle w:val="Prrafodelista"/>
        <w:numPr>
          <w:ilvl w:val="1"/>
          <w:numId w:val="1"/>
        </w:numPr>
        <w:spacing w:line="360" w:lineRule="auto"/>
        <w:ind w:right="-93"/>
        <w:rPr>
          <w:rFonts w:ascii="Palatino Linotype" w:eastAsia="Calibri" w:hAnsi="Palatino Linotype" w:cs="Tahoma"/>
          <w:bCs/>
        </w:rPr>
      </w:pPr>
      <w:r w:rsidRPr="00695B2C">
        <w:rPr>
          <w:rFonts w:ascii="Palatino Linotype" w:eastAsia="Calibri" w:hAnsi="Palatino Linotype" w:cs="Tahoma"/>
          <w:bCs/>
        </w:rPr>
        <w:t>Berenice Sánchez Olvera</w:t>
      </w:r>
    </w:p>
    <w:p w14:paraId="62631707" w14:textId="5BFED555" w:rsidR="0069743B" w:rsidRPr="00695B2C" w:rsidRDefault="0069743B" w:rsidP="006461DA">
      <w:pPr>
        <w:pStyle w:val="Prrafodelista"/>
        <w:numPr>
          <w:ilvl w:val="1"/>
          <w:numId w:val="1"/>
        </w:numPr>
        <w:spacing w:line="360" w:lineRule="auto"/>
        <w:ind w:right="-93"/>
        <w:rPr>
          <w:rFonts w:ascii="Palatino Linotype" w:eastAsia="Calibri" w:hAnsi="Palatino Linotype" w:cs="Tahoma"/>
          <w:bCs/>
        </w:rPr>
      </w:pPr>
      <w:proofErr w:type="spellStart"/>
      <w:r w:rsidRPr="00695B2C">
        <w:rPr>
          <w:rFonts w:ascii="Palatino Linotype" w:eastAsia="Calibri" w:hAnsi="Palatino Linotype" w:cs="Tahoma"/>
          <w:bCs/>
        </w:rPr>
        <w:t>Alyn</w:t>
      </w:r>
      <w:proofErr w:type="spellEnd"/>
      <w:r w:rsidRPr="00695B2C">
        <w:rPr>
          <w:rFonts w:ascii="Palatino Linotype" w:eastAsia="Calibri" w:hAnsi="Palatino Linotype" w:cs="Tahoma"/>
          <w:bCs/>
        </w:rPr>
        <w:t xml:space="preserve"> N</w:t>
      </w:r>
    </w:p>
    <w:p w14:paraId="4B717831" w14:textId="2B0151EA" w:rsidR="0069743B" w:rsidRPr="00695B2C" w:rsidRDefault="0069743B" w:rsidP="006461DA">
      <w:pPr>
        <w:pStyle w:val="Prrafodelista"/>
        <w:numPr>
          <w:ilvl w:val="1"/>
          <w:numId w:val="1"/>
        </w:numPr>
        <w:spacing w:line="360" w:lineRule="auto"/>
        <w:ind w:right="-93"/>
        <w:rPr>
          <w:rFonts w:ascii="Palatino Linotype" w:eastAsia="Calibri" w:hAnsi="Palatino Linotype" w:cs="Tahoma"/>
          <w:bCs/>
        </w:rPr>
      </w:pPr>
      <w:r w:rsidRPr="00695B2C">
        <w:rPr>
          <w:rFonts w:ascii="Palatino Linotype" w:eastAsia="Calibri" w:hAnsi="Palatino Linotype" w:cs="Tahoma"/>
          <w:bCs/>
        </w:rPr>
        <w:t>Gardenia N</w:t>
      </w:r>
    </w:p>
    <w:p w14:paraId="6CB04377" w14:textId="638416D5" w:rsidR="0069743B" w:rsidRPr="00695B2C" w:rsidRDefault="0069743B" w:rsidP="006461DA">
      <w:pPr>
        <w:pStyle w:val="Prrafodelista"/>
        <w:numPr>
          <w:ilvl w:val="1"/>
          <w:numId w:val="1"/>
        </w:numPr>
        <w:spacing w:line="360" w:lineRule="auto"/>
        <w:ind w:right="-93"/>
        <w:rPr>
          <w:rFonts w:ascii="Palatino Linotype" w:eastAsia="Calibri" w:hAnsi="Palatino Linotype" w:cs="Tahoma"/>
          <w:bCs/>
        </w:rPr>
      </w:pPr>
      <w:r w:rsidRPr="00695B2C">
        <w:rPr>
          <w:rFonts w:ascii="Palatino Linotype" w:eastAsia="Calibri" w:hAnsi="Palatino Linotype" w:cs="Tahoma"/>
          <w:bCs/>
        </w:rPr>
        <w:t>Flor Nínive Vizcaino Mejía</w:t>
      </w:r>
    </w:p>
    <w:p w14:paraId="5D6CDC78" w14:textId="66A00F42" w:rsidR="0069743B" w:rsidRPr="00695B2C" w:rsidRDefault="0069743B" w:rsidP="006461DA">
      <w:pPr>
        <w:pStyle w:val="Prrafodelista"/>
        <w:numPr>
          <w:ilvl w:val="1"/>
          <w:numId w:val="1"/>
        </w:numPr>
        <w:spacing w:line="360" w:lineRule="auto"/>
        <w:ind w:right="-93"/>
        <w:rPr>
          <w:rFonts w:ascii="Palatino Linotype" w:eastAsia="Calibri" w:hAnsi="Palatino Linotype" w:cs="Tahoma"/>
          <w:bCs/>
        </w:rPr>
      </w:pPr>
      <w:r w:rsidRPr="00695B2C">
        <w:rPr>
          <w:rFonts w:ascii="Palatino Linotype" w:eastAsia="Calibri" w:hAnsi="Palatino Linotype" w:cs="Tahoma"/>
          <w:bCs/>
        </w:rPr>
        <w:t>Rubicela Gallegos Castillo</w:t>
      </w:r>
    </w:p>
    <w:p w14:paraId="25764845" w14:textId="69729298" w:rsidR="0069743B" w:rsidRPr="00695B2C" w:rsidRDefault="0069743B" w:rsidP="006461DA">
      <w:pPr>
        <w:pStyle w:val="Prrafodelista"/>
        <w:numPr>
          <w:ilvl w:val="1"/>
          <w:numId w:val="1"/>
        </w:numPr>
        <w:spacing w:line="360" w:lineRule="auto"/>
        <w:ind w:right="-93"/>
        <w:rPr>
          <w:rFonts w:ascii="Palatino Linotype" w:eastAsia="Calibri" w:hAnsi="Palatino Linotype" w:cs="Tahoma"/>
          <w:bCs/>
        </w:rPr>
      </w:pPr>
      <w:r w:rsidRPr="00695B2C">
        <w:rPr>
          <w:rFonts w:ascii="Palatino Linotype" w:eastAsia="Calibri" w:hAnsi="Palatino Linotype" w:cs="Tahoma"/>
          <w:bCs/>
        </w:rPr>
        <w:t>Reyna González Amador</w:t>
      </w:r>
    </w:p>
    <w:p w14:paraId="3A725FED" w14:textId="77777777" w:rsidR="009051EF" w:rsidRPr="00695B2C" w:rsidRDefault="009051EF" w:rsidP="006461DA">
      <w:pPr>
        <w:spacing w:after="0" w:line="360" w:lineRule="auto"/>
        <w:ind w:right="-93"/>
        <w:rPr>
          <w:rFonts w:eastAsia="Calibri" w:cs="Tahoma"/>
          <w:bCs/>
        </w:rPr>
      </w:pPr>
    </w:p>
    <w:p w14:paraId="3D8F2595" w14:textId="6973CDA8" w:rsidR="005A4CDF" w:rsidRPr="00695B2C" w:rsidRDefault="0069743B" w:rsidP="006461DA">
      <w:pPr>
        <w:spacing w:after="0" w:line="360" w:lineRule="auto"/>
        <w:ind w:right="-93"/>
        <w:rPr>
          <w:rFonts w:eastAsia="Calibri" w:cs="Tahoma"/>
          <w:bCs/>
        </w:rPr>
      </w:pPr>
      <w:r w:rsidRPr="00695B2C">
        <w:rPr>
          <w:rFonts w:eastAsia="Calibri" w:cs="Tahoma"/>
          <w:bCs/>
        </w:rPr>
        <w:t>Estos datos fueron</w:t>
      </w:r>
      <w:r w:rsidR="00F96A31" w:rsidRPr="00695B2C">
        <w:rPr>
          <w:rFonts w:eastAsia="Calibri" w:cs="Tahoma"/>
          <w:bCs/>
        </w:rPr>
        <w:t xml:space="preserve"> </w:t>
      </w:r>
      <w:r w:rsidRPr="00695B2C">
        <w:rPr>
          <w:rFonts w:eastAsia="Calibri" w:cs="Tahoma"/>
          <w:bCs/>
        </w:rPr>
        <w:t>publicados</w:t>
      </w:r>
      <w:r w:rsidR="00F96A31" w:rsidRPr="00695B2C">
        <w:rPr>
          <w:rFonts w:eastAsia="Calibri" w:cs="Tahoma"/>
          <w:bCs/>
        </w:rPr>
        <w:t xml:space="preserve"> como lo fue Excelsior (a través de un artículo publicado en la liga de acceso directo </w:t>
      </w:r>
      <w:hyperlink r:id="rId25" w:history="1">
        <w:r w:rsidR="00F96A31" w:rsidRPr="00695B2C">
          <w:rPr>
            <w:rStyle w:val="Hipervnculo"/>
            <w:rFonts w:eastAsia="Calibri" w:cs="Tahoma"/>
            <w:bCs/>
          </w:rPr>
          <w:t>https://www.excelsior.com.mx/comunidad/ellas-son-las-victimas-del-feminicida-serial-de-atizapan/1450127</w:t>
        </w:r>
      </w:hyperlink>
      <w:r w:rsidR="00F96A31" w:rsidRPr="00695B2C">
        <w:rPr>
          <w:rFonts w:eastAsia="Calibri" w:cs="Tahoma"/>
          <w:bCs/>
        </w:rPr>
        <w:t>)</w:t>
      </w:r>
      <w:r w:rsidR="005A4CDF" w:rsidRPr="00695B2C">
        <w:rPr>
          <w:rFonts w:eastAsia="Calibri" w:cs="Tahoma"/>
          <w:bCs/>
        </w:rPr>
        <w:t xml:space="preserve"> por diarios como los son Proceso (</w:t>
      </w:r>
      <w:r w:rsidR="0054661A" w:rsidRPr="00695B2C">
        <w:rPr>
          <w:rFonts w:eastAsia="Calibri" w:cs="Tahoma"/>
          <w:bCs/>
        </w:rPr>
        <w:t>a través de la liga electrónica</w:t>
      </w:r>
      <w:r w:rsidR="00F549E0" w:rsidRPr="00695B2C">
        <w:rPr>
          <w:rFonts w:eastAsia="Calibri" w:cs="Tahoma"/>
          <w:bCs/>
        </w:rPr>
        <w:t xml:space="preserve"> </w:t>
      </w:r>
      <w:hyperlink r:id="rId26" w:history="1">
        <w:r w:rsidR="00F549E0" w:rsidRPr="00695B2C">
          <w:rPr>
            <w:rStyle w:val="Hipervnculo"/>
            <w:rFonts w:eastAsia="Calibri" w:cs="Tahoma"/>
            <w:bCs/>
          </w:rPr>
          <w:t>https://www.proceso.com.mx/nacional/estados/2021/5/19/el-presunto-feminicida-serial-andres-n-confiesa-haber-matado-30-mujeres-en-20-anos-264219.html</w:t>
        </w:r>
      </w:hyperlink>
      <w:r w:rsidR="005A4CDF" w:rsidRPr="00695B2C">
        <w:rPr>
          <w:rFonts w:eastAsia="Calibri" w:cs="Tahoma"/>
          <w:bCs/>
        </w:rPr>
        <w:t xml:space="preserve">), </w:t>
      </w:r>
      <w:r w:rsidR="00775EFA">
        <w:rPr>
          <w:rFonts w:eastAsia="Calibri" w:cs="Tahoma"/>
          <w:bCs/>
        </w:rPr>
        <w:t>I</w:t>
      </w:r>
      <w:r w:rsidR="005A4CDF" w:rsidRPr="00695B2C">
        <w:rPr>
          <w:rFonts w:eastAsia="Calibri" w:cs="Tahoma"/>
          <w:bCs/>
        </w:rPr>
        <w:t>nfobae (</w:t>
      </w:r>
      <w:r w:rsidR="0054661A" w:rsidRPr="00695B2C">
        <w:rPr>
          <w:rFonts w:eastAsia="Calibri" w:cs="Tahoma"/>
          <w:bCs/>
        </w:rPr>
        <w:t xml:space="preserve">a través de la liga </w:t>
      </w:r>
      <w:hyperlink r:id="rId27" w:history="1">
        <w:r w:rsidR="0054661A" w:rsidRPr="00695B2C">
          <w:rPr>
            <w:rStyle w:val="Hipervnculo"/>
            <w:rFonts w:eastAsia="Calibri" w:cs="Tahoma"/>
            <w:bCs/>
          </w:rPr>
          <w:t>https://www.infobae.com/america/mexico/2021/05/19/identifican-a-rubicela-gallegos-como-otra-posible-victima-de-andres-n-el-feminicida-serial-de-atizapan/</w:t>
        </w:r>
      </w:hyperlink>
      <w:r w:rsidR="0054661A" w:rsidRPr="00695B2C">
        <w:rPr>
          <w:rFonts w:eastAsia="Calibri" w:cs="Tahoma"/>
          <w:bCs/>
        </w:rPr>
        <w:t xml:space="preserve">, así como la liga </w:t>
      </w:r>
      <w:hyperlink r:id="rId28" w:history="1">
        <w:r w:rsidR="0054661A" w:rsidRPr="00695B2C">
          <w:rPr>
            <w:rStyle w:val="Hipervnculo"/>
            <w:rFonts w:eastAsia="Calibri" w:cs="Tahoma"/>
            <w:bCs/>
          </w:rPr>
          <w:t>https://www.infobae.com/america/mexico/2021/05/19/cuidense-las-extrano-el-ultimo-mensaje-a-sus-hijas-de-flor-ninive-victima-de-andres-el-feminicida-serial-de-atizapan/</w:t>
        </w:r>
      </w:hyperlink>
      <w:r w:rsidR="005A4CDF" w:rsidRPr="00695B2C">
        <w:rPr>
          <w:rFonts w:eastAsia="Calibri" w:cs="Tahoma"/>
          <w:bCs/>
        </w:rPr>
        <w:t>),</w:t>
      </w:r>
      <w:r w:rsidR="00F549E0" w:rsidRPr="00695B2C">
        <w:rPr>
          <w:rFonts w:eastAsia="Calibri" w:cs="Tahoma"/>
          <w:bCs/>
        </w:rPr>
        <w:t xml:space="preserve"> esta información fue citada a partir de las credenciales de elector, halladas al interior del inmueble, por lo que, resulta necesario concluir, que fue información aportada por las autoridades a los medios de comunicación.</w:t>
      </w:r>
      <w:r w:rsidR="00370CB1" w:rsidRPr="00695B2C">
        <w:rPr>
          <w:rFonts w:eastAsia="Calibri" w:cs="Tahoma"/>
          <w:bCs/>
        </w:rPr>
        <w:t xml:space="preserve"> De igual manera, se expresó a los medios de comunicación la confirmación de la identidad de los restos óseos.</w:t>
      </w:r>
    </w:p>
    <w:p w14:paraId="34858833" w14:textId="77777777" w:rsidR="00D668BE" w:rsidRPr="00695B2C" w:rsidRDefault="00F549E0" w:rsidP="006461DA">
      <w:pPr>
        <w:pStyle w:val="Prrafodelista"/>
        <w:numPr>
          <w:ilvl w:val="0"/>
          <w:numId w:val="1"/>
        </w:numPr>
        <w:spacing w:line="360" w:lineRule="auto"/>
        <w:ind w:right="-93"/>
        <w:rPr>
          <w:rFonts w:ascii="Palatino Linotype" w:eastAsia="Calibri" w:hAnsi="Palatino Linotype" w:cs="Tahoma"/>
          <w:bCs/>
        </w:rPr>
      </w:pPr>
      <w:r w:rsidRPr="00695B2C">
        <w:rPr>
          <w:rFonts w:ascii="Palatino Linotype" w:eastAsia="Calibri" w:hAnsi="Palatino Linotype" w:cs="Tahoma"/>
          <w:b/>
        </w:rPr>
        <w:lastRenderedPageBreak/>
        <w:t>Datos personales de los familiares</w:t>
      </w:r>
      <w:r w:rsidRPr="00695B2C">
        <w:rPr>
          <w:rFonts w:ascii="Palatino Linotype" w:eastAsia="Calibri" w:hAnsi="Palatino Linotype" w:cs="Tahoma"/>
          <w:bCs/>
        </w:rPr>
        <w:t xml:space="preserve">. </w:t>
      </w:r>
    </w:p>
    <w:p w14:paraId="143CCF28" w14:textId="77777777" w:rsidR="00D668BE" w:rsidRPr="00695B2C" w:rsidRDefault="00D668BE" w:rsidP="006461DA">
      <w:pPr>
        <w:spacing w:after="0" w:line="360" w:lineRule="auto"/>
        <w:ind w:right="-93"/>
        <w:rPr>
          <w:rFonts w:eastAsia="Calibri" w:cs="Tahoma"/>
          <w:bCs/>
        </w:rPr>
      </w:pPr>
    </w:p>
    <w:p w14:paraId="42E70605" w14:textId="17041F98" w:rsidR="00296440" w:rsidRPr="00695B2C" w:rsidRDefault="00F549E0" w:rsidP="006461DA">
      <w:pPr>
        <w:spacing w:after="0" w:line="360" w:lineRule="auto"/>
        <w:ind w:right="-93"/>
        <w:rPr>
          <w:rFonts w:eastAsia="Calibri" w:cs="Tahoma"/>
          <w:bCs/>
        </w:rPr>
      </w:pPr>
      <w:r w:rsidRPr="00695B2C">
        <w:rPr>
          <w:rFonts w:eastAsia="Calibri" w:cs="Tahoma"/>
          <w:bCs/>
        </w:rPr>
        <w:t xml:space="preserve">A través de diversos medios, algunos de los familiares, dieron entrevista o realizaron pronunciamiento sobre los hechos, como se puede observar en el medio de comunicación “Milenio Digital”, información consultable en la liga de acceso directo </w:t>
      </w:r>
      <w:hyperlink r:id="rId29" w:history="1">
        <w:r w:rsidRPr="00695B2C">
          <w:rPr>
            <w:rStyle w:val="Hipervnculo"/>
            <w:rFonts w:eastAsia="Calibri" w:cs="Tahoma"/>
            <w:bCs/>
          </w:rPr>
          <w:t>https://www.youtube.com/watch?v=gckUOnErTaM</w:t>
        </w:r>
      </w:hyperlink>
      <w:r w:rsidR="00370CB1" w:rsidRPr="00695B2C">
        <w:rPr>
          <w:rFonts w:eastAsia="Calibri" w:cs="Tahoma"/>
          <w:bCs/>
        </w:rPr>
        <w:t xml:space="preserve">, en donde el padre de una de las víctimas, otorgó una entrevista, o como la tía de otra de sus víctimas, </w:t>
      </w:r>
      <w:r w:rsidR="00296440" w:rsidRPr="00695B2C">
        <w:rPr>
          <w:rFonts w:eastAsia="Calibri" w:cs="Tahoma"/>
          <w:bCs/>
        </w:rPr>
        <w:t xml:space="preserve">expresó lo que vivieron a partir de la desaparición de su sobrina, tanto ella, como las hijas de la víctima, información consultable en la liga de acceso directo </w:t>
      </w:r>
      <w:hyperlink r:id="rId30" w:history="1">
        <w:r w:rsidR="00296440" w:rsidRPr="00695B2C">
          <w:rPr>
            <w:rStyle w:val="Hipervnculo"/>
            <w:rFonts w:eastAsia="Calibri" w:cs="Tahoma"/>
            <w:bCs/>
          </w:rPr>
          <w:t>https://www.rockandpop.com.ar/las-hijas-de-flor-presunta-victima-de-andres-n-feminicida-de-atizapan-dejaron-la-escuela-por-terror-a-ser-secuestradas/</w:t>
        </w:r>
      </w:hyperlink>
      <w:r w:rsidR="00296440" w:rsidRPr="00695B2C">
        <w:rPr>
          <w:rFonts w:eastAsia="Calibri" w:cs="Tahoma"/>
          <w:bCs/>
        </w:rPr>
        <w:t xml:space="preserve">, así como la información del esposo de la última de las víctimas del imputado, información consultable en la liga de acceso directo </w:t>
      </w:r>
      <w:hyperlink r:id="rId31" w:history="1">
        <w:r w:rsidR="00296440" w:rsidRPr="00695B2C">
          <w:rPr>
            <w:rStyle w:val="Hipervnculo"/>
            <w:rFonts w:eastAsia="Calibri" w:cs="Tahoma"/>
            <w:bCs/>
          </w:rPr>
          <w:t>https://www.infobae.com/america/mexico/2021/05/20/fue-el-esposo-de-la-ultima-victima-y-no-la-policia-quien-descubrio-la-casa-del-horror-de-andres-n-el-feminicida-serial-de-atizapan/</w:t>
        </w:r>
      </w:hyperlink>
      <w:r w:rsidR="00296440" w:rsidRPr="00695B2C">
        <w:rPr>
          <w:rFonts w:eastAsia="Calibri" w:cs="Tahoma"/>
          <w:bCs/>
        </w:rPr>
        <w:t xml:space="preserve">. </w:t>
      </w:r>
    </w:p>
    <w:p w14:paraId="18F1C357" w14:textId="1AA5947A" w:rsidR="00296440" w:rsidRPr="00695B2C" w:rsidRDefault="00296440" w:rsidP="006461DA">
      <w:pPr>
        <w:spacing w:after="0" w:line="360" w:lineRule="auto"/>
        <w:ind w:right="-93"/>
        <w:rPr>
          <w:rFonts w:eastAsia="Calibri" w:cs="Tahoma"/>
          <w:bCs/>
        </w:rPr>
      </w:pPr>
    </w:p>
    <w:p w14:paraId="093BF0D6" w14:textId="0DFC03AD" w:rsidR="00370CB1" w:rsidRPr="00695B2C" w:rsidRDefault="00370CB1" w:rsidP="006461DA">
      <w:pPr>
        <w:spacing w:after="0" w:line="360" w:lineRule="auto"/>
        <w:ind w:right="-93"/>
        <w:jc w:val="center"/>
        <w:rPr>
          <w:rFonts w:eastAsia="Calibri" w:cs="Tahoma"/>
          <w:bCs/>
        </w:rPr>
      </w:pPr>
      <w:r w:rsidRPr="00695B2C">
        <w:rPr>
          <w:noProof/>
        </w:rPr>
        <w:drawing>
          <wp:inline distT="0" distB="0" distL="0" distR="0" wp14:anchorId="1825BAC6" wp14:editId="293584B5">
            <wp:extent cx="4335104" cy="2978150"/>
            <wp:effectExtent l="0" t="0" r="8890" b="0"/>
            <wp:docPr id="15" name="Imagen 1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Interfaz de usuario gráfica&#10;&#10;Descripción generada automáticamente"/>
                    <pic:cNvPicPr/>
                  </pic:nvPicPr>
                  <pic:blipFill rotWithShape="1">
                    <a:blip r:embed="rId32"/>
                    <a:srcRect l="1480" t="11722" r="34382" b="9908"/>
                    <a:stretch/>
                  </pic:blipFill>
                  <pic:spPr bwMode="auto">
                    <a:xfrm>
                      <a:off x="0" y="0"/>
                      <a:ext cx="4361449" cy="2996248"/>
                    </a:xfrm>
                    <a:prstGeom prst="rect">
                      <a:avLst/>
                    </a:prstGeom>
                    <a:ln>
                      <a:noFill/>
                    </a:ln>
                    <a:extLst>
                      <a:ext uri="{53640926-AAD7-44D8-BBD7-CCE9431645EC}">
                        <a14:shadowObscured xmlns:a14="http://schemas.microsoft.com/office/drawing/2010/main"/>
                      </a:ext>
                    </a:extLst>
                  </pic:spPr>
                </pic:pic>
              </a:graphicData>
            </a:graphic>
          </wp:inline>
        </w:drawing>
      </w:r>
    </w:p>
    <w:p w14:paraId="751E762B" w14:textId="22623140" w:rsidR="00296440" w:rsidRPr="00695B2C" w:rsidRDefault="00296440" w:rsidP="006461DA">
      <w:pPr>
        <w:spacing w:after="0" w:line="360" w:lineRule="auto"/>
        <w:ind w:right="-93"/>
        <w:jc w:val="center"/>
        <w:rPr>
          <w:rFonts w:eastAsia="Calibri" w:cs="Tahoma"/>
          <w:bCs/>
        </w:rPr>
      </w:pPr>
      <w:r w:rsidRPr="00695B2C">
        <w:rPr>
          <w:noProof/>
        </w:rPr>
        <w:lastRenderedPageBreak/>
        <w:drawing>
          <wp:inline distT="0" distB="0" distL="0" distR="0" wp14:anchorId="3BB05C7D" wp14:editId="749E4B9D">
            <wp:extent cx="5838313" cy="2413000"/>
            <wp:effectExtent l="0" t="0" r="0" b="6350"/>
            <wp:docPr id="16" name="Imagen 1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Sitio web&#10;&#10;Descripción generada automáticamente"/>
                    <pic:cNvPicPr/>
                  </pic:nvPicPr>
                  <pic:blipFill rotWithShape="1">
                    <a:blip r:embed="rId33"/>
                    <a:srcRect l="11348" t="34976" r="11688" b="8444"/>
                    <a:stretch/>
                  </pic:blipFill>
                  <pic:spPr bwMode="auto">
                    <a:xfrm>
                      <a:off x="0" y="0"/>
                      <a:ext cx="5845229" cy="2415858"/>
                    </a:xfrm>
                    <a:prstGeom prst="rect">
                      <a:avLst/>
                    </a:prstGeom>
                    <a:ln>
                      <a:noFill/>
                    </a:ln>
                    <a:extLst>
                      <a:ext uri="{53640926-AAD7-44D8-BBD7-CCE9431645EC}">
                        <a14:shadowObscured xmlns:a14="http://schemas.microsoft.com/office/drawing/2010/main"/>
                      </a:ext>
                    </a:extLst>
                  </pic:spPr>
                </pic:pic>
              </a:graphicData>
            </a:graphic>
          </wp:inline>
        </w:drawing>
      </w:r>
    </w:p>
    <w:p w14:paraId="2C083686" w14:textId="52207717" w:rsidR="00296440" w:rsidRPr="00695B2C" w:rsidRDefault="00296440" w:rsidP="006461DA">
      <w:pPr>
        <w:spacing w:after="0" w:line="360" w:lineRule="auto"/>
        <w:ind w:right="-93"/>
        <w:jc w:val="center"/>
        <w:rPr>
          <w:rFonts w:eastAsia="Calibri" w:cs="Tahoma"/>
          <w:bCs/>
        </w:rPr>
      </w:pPr>
    </w:p>
    <w:p w14:paraId="428580FA" w14:textId="27F9BCA2" w:rsidR="00296440" w:rsidRPr="00695B2C" w:rsidRDefault="00296440" w:rsidP="006461DA">
      <w:pPr>
        <w:spacing w:after="0" w:line="360" w:lineRule="auto"/>
        <w:ind w:right="-93"/>
        <w:jc w:val="center"/>
        <w:rPr>
          <w:rFonts w:eastAsia="Calibri" w:cs="Tahoma"/>
          <w:bCs/>
        </w:rPr>
      </w:pPr>
      <w:r w:rsidRPr="00695B2C">
        <w:rPr>
          <w:noProof/>
        </w:rPr>
        <w:drawing>
          <wp:inline distT="0" distB="0" distL="0" distR="0" wp14:anchorId="32C658D6" wp14:editId="1E01E893">
            <wp:extent cx="5696206" cy="2076450"/>
            <wp:effectExtent l="0" t="0" r="0" b="0"/>
            <wp:docPr id="18" name="Imagen 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10;&#10;Descripción generada automáticamente"/>
                    <pic:cNvPicPr/>
                  </pic:nvPicPr>
                  <pic:blipFill rotWithShape="1">
                    <a:blip r:embed="rId34"/>
                    <a:srcRect l="6085" t="25741" r="27146" b="30967"/>
                    <a:stretch/>
                  </pic:blipFill>
                  <pic:spPr bwMode="auto">
                    <a:xfrm>
                      <a:off x="0" y="0"/>
                      <a:ext cx="5704360" cy="2079423"/>
                    </a:xfrm>
                    <a:prstGeom prst="rect">
                      <a:avLst/>
                    </a:prstGeom>
                    <a:ln>
                      <a:noFill/>
                    </a:ln>
                    <a:extLst>
                      <a:ext uri="{53640926-AAD7-44D8-BBD7-CCE9431645EC}">
                        <a14:shadowObscured xmlns:a14="http://schemas.microsoft.com/office/drawing/2010/main"/>
                      </a:ext>
                    </a:extLst>
                  </pic:spPr>
                </pic:pic>
              </a:graphicData>
            </a:graphic>
          </wp:inline>
        </w:drawing>
      </w:r>
    </w:p>
    <w:p w14:paraId="7B97E65B" w14:textId="34120DDD" w:rsidR="00370CB1" w:rsidRPr="00695B2C" w:rsidRDefault="00370CB1" w:rsidP="006461DA">
      <w:pPr>
        <w:spacing w:after="0" w:line="360" w:lineRule="auto"/>
        <w:ind w:right="-93"/>
        <w:jc w:val="center"/>
        <w:rPr>
          <w:rFonts w:eastAsia="Calibri" w:cs="Tahoma"/>
          <w:bCs/>
        </w:rPr>
      </w:pPr>
      <w:r w:rsidRPr="00695B2C">
        <w:rPr>
          <w:rFonts w:eastAsia="Calibri" w:cs="Tahoma"/>
          <w:bCs/>
        </w:rPr>
        <w:t>(</w:t>
      </w:r>
      <w:r w:rsidR="00296440" w:rsidRPr="00695B2C">
        <w:rPr>
          <w:rFonts w:eastAsia="Calibri" w:cs="Tahoma"/>
          <w:bCs/>
        </w:rPr>
        <w:t xml:space="preserve">Imágenes </w:t>
      </w:r>
      <w:r w:rsidRPr="00695B2C">
        <w:rPr>
          <w:rFonts w:eastAsia="Calibri" w:cs="Tahoma"/>
          <w:bCs/>
        </w:rPr>
        <w:t>recuperada</w:t>
      </w:r>
      <w:r w:rsidR="00296440" w:rsidRPr="00695B2C">
        <w:rPr>
          <w:rFonts w:eastAsia="Calibri" w:cs="Tahoma"/>
          <w:bCs/>
        </w:rPr>
        <w:t>s</w:t>
      </w:r>
      <w:r w:rsidRPr="00695B2C">
        <w:rPr>
          <w:rFonts w:eastAsia="Calibri" w:cs="Tahoma"/>
          <w:bCs/>
        </w:rPr>
        <w:t xml:space="preserve"> el treinta y uno de mayo de dos mil veintidós a las dieciséis horas con dieciocho minutos)</w:t>
      </w:r>
    </w:p>
    <w:p w14:paraId="53CFEFF2" w14:textId="77777777" w:rsidR="00976136" w:rsidRPr="00695B2C" w:rsidRDefault="00976136" w:rsidP="006461DA">
      <w:pPr>
        <w:spacing w:after="0" w:line="360" w:lineRule="auto"/>
        <w:ind w:right="-93"/>
        <w:rPr>
          <w:rFonts w:eastAsia="Calibri" w:cs="Tahoma"/>
          <w:bCs/>
        </w:rPr>
      </w:pPr>
    </w:p>
    <w:p w14:paraId="389DA072" w14:textId="14B28844" w:rsidR="00976136" w:rsidRPr="00695B2C" w:rsidRDefault="00F96A31" w:rsidP="006461DA">
      <w:pPr>
        <w:spacing w:after="0" w:line="360" w:lineRule="auto"/>
        <w:ind w:right="-93"/>
        <w:rPr>
          <w:rFonts w:eastAsia="Calibri" w:cs="Tahoma"/>
          <w:bCs/>
        </w:rPr>
      </w:pPr>
      <w:r w:rsidRPr="00695B2C">
        <w:rPr>
          <w:rFonts w:eastAsia="Calibri" w:cs="Tahoma"/>
          <w:bCs/>
        </w:rPr>
        <w:t>Incluso</w:t>
      </w:r>
      <w:r w:rsidR="00976136" w:rsidRPr="00695B2C">
        <w:rPr>
          <w:rFonts w:eastAsia="Calibri" w:cs="Tahoma"/>
          <w:bCs/>
        </w:rPr>
        <w:t xml:space="preserve">, a través de la video nota realizada por Excélsior, consultable en la liga de acceso directo </w:t>
      </w:r>
      <w:hyperlink r:id="rId35" w:history="1">
        <w:r w:rsidR="00976136" w:rsidRPr="00695B2C">
          <w:rPr>
            <w:rStyle w:val="Hipervnculo"/>
            <w:rFonts w:eastAsia="Calibri" w:cs="Tahoma"/>
            <w:bCs/>
          </w:rPr>
          <w:t>https://www.youtube.com/watch?v=pRMey4EgBII</w:t>
        </w:r>
      </w:hyperlink>
      <w:r w:rsidR="00976136" w:rsidRPr="00695B2C">
        <w:rPr>
          <w:rFonts w:eastAsia="Calibri" w:cs="Tahoma"/>
          <w:bCs/>
        </w:rPr>
        <w:t>, se divulgó el nombre de posibles víctimas del imputado.</w:t>
      </w:r>
    </w:p>
    <w:p w14:paraId="120C1C59" w14:textId="75A84A56" w:rsidR="00976136" w:rsidRPr="00695B2C" w:rsidRDefault="00976136" w:rsidP="006461DA">
      <w:pPr>
        <w:spacing w:after="0" w:line="360" w:lineRule="auto"/>
        <w:ind w:right="-93"/>
        <w:rPr>
          <w:rFonts w:eastAsia="Calibri" w:cs="Tahoma"/>
          <w:bCs/>
        </w:rPr>
      </w:pPr>
    </w:p>
    <w:p w14:paraId="5438B46F" w14:textId="1C24D785" w:rsidR="00976136" w:rsidRPr="00695B2C" w:rsidRDefault="00976136" w:rsidP="006461DA">
      <w:pPr>
        <w:spacing w:after="0" w:line="360" w:lineRule="auto"/>
        <w:ind w:right="-93"/>
        <w:rPr>
          <w:rFonts w:eastAsia="Calibri" w:cs="Tahoma"/>
          <w:bCs/>
        </w:rPr>
      </w:pPr>
      <w:r w:rsidRPr="00695B2C">
        <w:rPr>
          <w:noProof/>
        </w:rPr>
        <w:lastRenderedPageBreak/>
        <w:drawing>
          <wp:inline distT="0" distB="0" distL="0" distR="0" wp14:anchorId="4C6CB7C6" wp14:editId="532A3FBC">
            <wp:extent cx="5791835" cy="2105025"/>
            <wp:effectExtent l="0" t="0" r="0" b="9525"/>
            <wp:docPr id="33" name="Imagen 3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nterfaz de usuario gráfica, Sitio web&#10;&#10;Descripción generada automáticamente"/>
                    <pic:cNvPicPr/>
                  </pic:nvPicPr>
                  <pic:blipFill rotWithShape="1">
                    <a:blip r:embed="rId36"/>
                    <a:srcRect t="16088" b="19267"/>
                    <a:stretch/>
                  </pic:blipFill>
                  <pic:spPr bwMode="auto">
                    <a:xfrm>
                      <a:off x="0" y="0"/>
                      <a:ext cx="5791835" cy="2105025"/>
                    </a:xfrm>
                    <a:prstGeom prst="rect">
                      <a:avLst/>
                    </a:prstGeom>
                    <a:ln>
                      <a:noFill/>
                    </a:ln>
                    <a:extLst>
                      <a:ext uri="{53640926-AAD7-44D8-BBD7-CCE9431645EC}">
                        <a14:shadowObscured xmlns:a14="http://schemas.microsoft.com/office/drawing/2010/main"/>
                      </a:ext>
                    </a:extLst>
                  </pic:spPr>
                </pic:pic>
              </a:graphicData>
            </a:graphic>
          </wp:inline>
        </w:drawing>
      </w:r>
    </w:p>
    <w:p w14:paraId="5DC21172" w14:textId="6C8BAB7C" w:rsidR="00976136" w:rsidRPr="00695B2C" w:rsidRDefault="00976136" w:rsidP="006461DA">
      <w:pPr>
        <w:spacing w:after="0" w:line="360" w:lineRule="auto"/>
        <w:ind w:right="-93"/>
        <w:rPr>
          <w:rFonts w:eastAsia="Calibri" w:cs="Tahoma"/>
          <w:bCs/>
        </w:rPr>
      </w:pPr>
      <w:r w:rsidRPr="00695B2C">
        <w:rPr>
          <w:rFonts w:eastAsia="Calibri" w:cs="Tahoma"/>
          <w:bCs/>
        </w:rPr>
        <w:t>(Imagen recuperada el treinta y uno de mayo del dos mil veintidós a las veintiún horas con cuarenta y siete minutos)</w:t>
      </w:r>
    </w:p>
    <w:p w14:paraId="453E93F5" w14:textId="2EE170CC" w:rsidR="00D668BE" w:rsidRPr="00695B2C" w:rsidRDefault="00D668BE" w:rsidP="006461DA">
      <w:pPr>
        <w:spacing w:after="0" w:line="360" w:lineRule="auto"/>
        <w:ind w:right="-93"/>
        <w:rPr>
          <w:rFonts w:eastAsia="Calibri" w:cs="Tahoma"/>
          <w:bCs/>
        </w:rPr>
      </w:pPr>
    </w:p>
    <w:p w14:paraId="1269761A" w14:textId="468E62F6" w:rsidR="00F96A31" w:rsidRPr="00695B2C" w:rsidRDefault="00F96A31" w:rsidP="006461DA">
      <w:pPr>
        <w:spacing w:after="0" w:line="360" w:lineRule="auto"/>
        <w:ind w:right="-93"/>
        <w:rPr>
          <w:rFonts w:eastAsia="Calibri" w:cs="Tahoma"/>
          <w:bCs/>
        </w:rPr>
      </w:pPr>
      <w:r w:rsidRPr="00695B2C">
        <w:rPr>
          <w:rFonts w:eastAsia="Calibri" w:cs="Tahoma"/>
          <w:bCs/>
        </w:rPr>
        <w:t>Es entonces que nos encontramos ante un caso de relevancia nacional, por la cantidad de víctimas mortales</w:t>
      </w:r>
      <w:r w:rsidR="00A12AB0" w:rsidRPr="00695B2C">
        <w:rPr>
          <w:rFonts w:eastAsia="Calibri" w:cs="Tahoma"/>
          <w:bCs/>
        </w:rPr>
        <w:t xml:space="preserve">, toda vez que se reveló </w:t>
      </w:r>
      <w:r w:rsidR="00695B2C">
        <w:rPr>
          <w:rFonts w:eastAsia="Calibri" w:cs="Tahoma"/>
          <w:bCs/>
        </w:rPr>
        <w:t xml:space="preserve">que </w:t>
      </w:r>
      <w:r w:rsidR="00A12AB0" w:rsidRPr="00695B2C">
        <w:rPr>
          <w:rFonts w:eastAsia="Calibri" w:cs="Tahoma"/>
          <w:bCs/>
        </w:rPr>
        <w:t xml:space="preserve">al menos </w:t>
      </w:r>
      <w:r w:rsidR="00695B2C">
        <w:rPr>
          <w:rFonts w:eastAsia="Calibri" w:cs="Tahoma"/>
          <w:bCs/>
        </w:rPr>
        <w:t xml:space="preserve">fueron </w:t>
      </w:r>
      <w:r w:rsidR="00A12AB0" w:rsidRPr="00695B2C">
        <w:rPr>
          <w:rFonts w:eastAsia="Calibri" w:cs="Tahoma"/>
          <w:bCs/>
        </w:rPr>
        <w:t>19 víctimas, de las cuales, 6 ya fueron identificadas a través de pruebas genéticas, lo cual, requirió de la difusión de la información para localizar a los familiares de las posibles víctimas</w:t>
      </w:r>
      <w:r w:rsidR="008261AB" w:rsidRPr="00695B2C">
        <w:rPr>
          <w:rFonts w:eastAsia="Calibri" w:cs="Tahoma"/>
          <w:bCs/>
        </w:rPr>
        <w:t xml:space="preserve">, </w:t>
      </w:r>
      <w:r w:rsidR="00695B2C">
        <w:rPr>
          <w:rFonts w:eastAsia="Calibri" w:cs="Tahoma"/>
          <w:bCs/>
        </w:rPr>
        <w:t>a través de</w:t>
      </w:r>
      <w:r w:rsidR="008261AB" w:rsidRPr="00695B2C">
        <w:rPr>
          <w:rFonts w:eastAsia="Calibri" w:cs="Tahoma"/>
          <w:bCs/>
        </w:rPr>
        <w:t xml:space="preserve"> la difusión </w:t>
      </w:r>
      <w:r w:rsidR="00D6422E" w:rsidRPr="00695B2C">
        <w:rPr>
          <w:rFonts w:eastAsia="Calibri" w:cs="Tahoma"/>
          <w:bCs/>
        </w:rPr>
        <w:t>realizada</w:t>
      </w:r>
      <w:r w:rsidR="008261AB" w:rsidRPr="00695B2C">
        <w:rPr>
          <w:rFonts w:eastAsia="Calibri" w:cs="Tahoma"/>
          <w:bCs/>
        </w:rPr>
        <w:t xml:space="preserve"> por los medios y </w:t>
      </w:r>
      <w:r w:rsidR="00D6422E" w:rsidRPr="00695B2C">
        <w:rPr>
          <w:rFonts w:eastAsia="Calibri" w:cs="Tahoma"/>
          <w:bCs/>
        </w:rPr>
        <w:t>porqu</w:t>
      </w:r>
      <w:r w:rsidR="00695B2C">
        <w:rPr>
          <w:rFonts w:eastAsia="Calibri" w:cs="Tahoma"/>
          <w:bCs/>
        </w:rPr>
        <w:t>e</w:t>
      </w:r>
      <w:r w:rsidR="008261AB" w:rsidRPr="00695B2C">
        <w:rPr>
          <w:rFonts w:eastAsia="Calibri" w:cs="Tahoma"/>
          <w:bCs/>
        </w:rPr>
        <w:t xml:space="preserve"> la persona que se encuentra sentenciado por estos delitos, era un </w:t>
      </w:r>
      <w:r w:rsidR="00D6422E" w:rsidRPr="00695B2C">
        <w:rPr>
          <w:rFonts w:eastAsia="Calibri" w:cs="Tahoma"/>
          <w:bCs/>
        </w:rPr>
        <w:t>participante de la vida social y política de su municipio, por señalar algunos de los elementos.</w:t>
      </w:r>
    </w:p>
    <w:p w14:paraId="19B28381" w14:textId="528443A9" w:rsidR="00A12AB0" w:rsidRPr="00695B2C" w:rsidRDefault="00A12AB0" w:rsidP="006461DA">
      <w:pPr>
        <w:spacing w:after="0" w:line="360" w:lineRule="auto"/>
        <w:ind w:right="-93"/>
        <w:rPr>
          <w:rFonts w:eastAsia="Calibri" w:cs="Tahoma"/>
          <w:bCs/>
        </w:rPr>
      </w:pPr>
    </w:p>
    <w:p w14:paraId="5CB1596A" w14:textId="4486BECA" w:rsidR="008261AB" w:rsidRPr="00695B2C" w:rsidRDefault="00A12AB0" w:rsidP="006461DA">
      <w:pPr>
        <w:spacing w:after="0" w:line="360" w:lineRule="auto"/>
        <w:ind w:right="-93"/>
        <w:rPr>
          <w:rFonts w:eastAsia="Calibri" w:cs="Tahoma"/>
          <w:bCs/>
        </w:rPr>
      </w:pPr>
      <w:r w:rsidRPr="00695B2C">
        <w:rPr>
          <w:rFonts w:eastAsia="Calibri" w:cs="Tahoma"/>
          <w:bCs/>
        </w:rPr>
        <w:t xml:space="preserve">La apertura de la información por parte de la Fiscalía permitió a la autoridad, vincular a las víctimas con sus familiares, quienes, a la postre, revelaron </w:t>
      </w:r>
      <w:r w:rsidRPr="00695B2C">
        <w:rPr>
          <w:rFonts w:eastAsia="Calibri" w:cs="Tahoma"/>
          <w:bCs/>
          <w:i/>
          <w:iCs/>
        </w:rPr>
        <w:t>motu proprio</w:t>
      </w:r>
      <w:r w:rsidRPr="00695B2C">
        <w:rPr>
          <w:rFonts w:eastAsia="Calibri" w:cs="Tahoma"/>
          <w:bCs/>
        </w:rPr>
        <w:t xml:space="preserve">, hechos </w:t>
      </w:r>
      <w:r w:rsidR="00D6422E" w:rsidRPr="00695B2C">
        <w:rPr>
          <w:rFonts w:eastAsia="Calibri" w:cs="Tahoma"/>
          <w:bCs/>
        </w:rPr>
        <w:t>ulteriores</w:t>
      </w:r>
      <w:r w:rsidRPr="00695B2C">
        <w:rPr>
          <w:rFonts w:eastAsia="Calibri" w:cs="Tahoma"/>
          <w:bCs/>
        </w:rPr>
        <w:t xml:space="preserve"> a la desaparición de sus familiares</w:t>
      </w:r>
      <w:r w:rsidR="008261AB" w:rsidRPr="00695B2C">
        <w:rPr>
          <w:rFonts w:eastAsia="Calibri" w:cs="Tahoma"/>
          <w:bCs/>
        </w:rPr>
        <w:t>.</w:t>
      </w:r>
      <w:r w:rsidR="00A96A83">
        <w:rPr>
          <w:rFonts w:eastAsia="Calibri" w:cs="Tahoma"/>
          <w:bCs/>
        </w:rPr>
        <w:t xml:space="preserve"> </w:t>
      </w:r>
      <w:r w:rsidR="008261AB" w:rsidRPr="00695B2C">
        <w:rPr>
          <w:rFonts w:eastAsia="Calibri" w:cs="Tahoma"/>
          <w:bCs/>
        </w:rPr>
        <w:t xml:space="preserve">La divulgación de la información y la identificación las víctimas en el caso en estudio, se identifica que genera un beneficio social, pues </w:t>
      </w:r>
      <w:r w:rsidR="00A96A83">
        <w:rPr>
          <w:rFonts w:eastAsia="Calibri" w:cs="Tahoma"/>
          <w:bCs/>
        </w:rPr>
        <w:t xml:space="preserve">permite transparentar </w:t>
      </w:r>
      <w:proofErr w:type="gramStart"/>
      <w:r w:rsidR="00A96A83">
        <w:rPr>
          <w:rFonts w:eastAsia="Calibri" w:cs="Tahoma"/>
          <w:bCs/>
        </w:rPr>
        <w:t>que</w:t>
      </w:r>
      <w:proofErr w:type="gramEnd"/>
      <w:r w:rsidR="00A96A83">
        <w:rPr>
          <w:rFonts w:eastAsia="Calibri" w:cs="Tahoma"/>
          <w:bCs/>
        </w:rPr>
        <w:t xml:space="preserve"> a diferencia de otros casos de desaparición y posible feminicidio, en este se hizo justicia y la Fiscalía hizo su trabajo para lograr una sentencia condenatoria</w:t>
      </w:r>
      <w:r w:rsidR="008261AB" w:rsidRPr="00695B2C">
        <w:rPr>
          <w:rFonts w:eastAsia="Calibri" w:cs="Tahoma"/>
          <w:bCs/>
        </w:rPr>
        <w:t>.</w:t>
      </w:r>
    </w:p>
    <w:p w14:paraId="5A2EDDE9" w14:textId="77777777" w:rsidR="008261AB" w:rsidRPr="00695B2C" w:rsidRDefault="008261AB" w:rsidP="006461DA">
      <w:pPr>
        <w:spacing w:after="0" w:line="360" w:lineRule="auto"/>
        <w:ind w:right="-93"/>
        <w:rPr>
          <w:rFonts w:eastAsia="Calibri" w:cs="Tahoma"/>
          <w:bCs/>
        </w:rPr>
      </w:pPr>
    </w:p>
    <w:p w14:paraId="7A349A3B" w14:textId="031D59FA" w:rsidR="00050E04" w:rsidRPr="00695B2C" w:rsidRDefault="00050E04" w:rsidP="006461DA">
      <w:pPr>
        <w:pStyle w:val="Prrafodelista"/>
        <w:numPr>
          <w:ilvl w:val="0"/>
          <w:numId w:val="1"/>
        </w:numPr>
        <w:spacing w:line="360" w:lineRule="auto"/>
        <w:ind w:right="-93"/>
        <w:jc w:val="both"/>
        <w:rPr>
          <w:rFonts w:ascii="Palatino Linotype" w:eastAsia="Calibri" w:hAnsi="Palatino Linotype" w:cs="Tahoma"/>
          <w:b/>
        </w:rPr>
      </w:pPr>
      <w:r w:rsidRPr="00695B2C">
        <w:rPr>
          <w:rFonts w:ascii="Palatino Linotype" w:eastAsia="Calibri" w:hAnsi="Palatino Linotype" w:cs="Tahoma"/>
          <w:b/>
        </w:rPr>
        <w:lastRenderedPageBreak/>
        <w:t xml:space="preserve">Divulgación </w:t>
      </w:r>
      <w:r w:rsidR="00D668BE" w:rsidRPr="00695B2C">
        <w:rPr>
          <w:rFonts w:ascii="Palatino Linotype" w:eastAsia="Calibri" w:hAnsi="Palatino Linotype" w:cs="Tahoma"/>
          <w:b/>
        </w:rPr>
        <w:t xml:space="preserve">de información </w:t>
      </w:r>
      <w:r w:rsidR="001A3ED8" w:rsidRPr="00695B2C">
        <w:rPr>
          <w:rFonts w:ascii="Palatino Linotype" w:eastAsia="Calibri" w:hAnsi="Palatino Linotype" w:cs="Tahoma"/>
          <w:b/>
        </w:rPr>
        <w:t>sobre</w:t>
      </w:r>
      <w:r w:rsidR="00296440" w:rsidRPr="00695B2C">
        <w:rPr>
          <w:rFonts w:ascii="Palatino Linotype" w:eastAsia="Calibri" w:hAnsi="Palatino Linotype" w:cs="Tahoma"/>
          <w:b/>
        </w:rPr>
        <w:t xml:space="preserve"> hechos</w:t>
      </w:r>
      <w:r w:rsidR="00843AFA" w:rsidRPr="00695B2C">
        <w:rPr>
          <w:rFonts w:ascii="Palatino Linotype" w:eastAsia="Calibri" w:hAnsi="Palatino Linotype" w:cs="Tahoma"/>
          <w:b/>
        </w:rPr>
        <w:t>, la investigación</w:t>
      </w:r>
      <w:r w:rsidR="00A96A83">
        <w:rPr>
          <w:rFonts w:ascii="Palatino Linotype" w:eastAsia="Calibri" w:hAnsi="Palatino Linotype" w:cs="Tahoma"/>
          <w:b/>
        </w:rPr>
        <w:t xml:space="preserve"> ministerial</w:t>
      </w:r>
      <w:r w:rsidR="00843AFA" w:rsidRPr="00695B2C">
        <w:rPr>
          <w:rFonts w:ascii="Palatino Linotype" w:eastAsia="Calibri" w:hAnsi="Palatino Linotype" w:cs="Tahoma"/>
          <w:b/>
        </w:rPr>
        <w:t xml:space="preserve"> y </w:t>
      </w:r>
      <w:r w:rsidR="00A96A83">
        <w:rPr>
          <w:rFonts w:ascii="Palatino Linotype" w:eastAsia="Calibri" w:hAnsi="Palatino Linotype" w:cs="Tahoma"/>
          <w:b/>
        </w:rPr>
        <w:t xml:space="preserve">los </w:t>
      </w:r>
      <w:r w:rsidR="00676570" w:rsidRPr="00695B2C">
        <w:rPr>
          <w:rFonts w:ascii="Palatino Linotype" w:eastAsia="Calibri" w:hAnsi="Palatino Linotype" w:cs="Tahoma"/>
          <w:b/>
        </w:rPr>
        <w:t>elementos desahogados en audiencia</w:t>
      </w:r>
      <w:r w:rsidR="00A96A83">
        <w:rPr>
          <w:rFonts w:ascii="Palatino Linotype" w:eastAsia="Calibri" w:hAnsi="Palatino Linotype" w:cs="Tahoma"/>
          <w:b/>
        </w:rPr>
        <w:t xml:space="preserve"> dentro del proceso penal</w:t>
      </w:r>
      <w:r w:rsidR="00843AFA" w:rsidRPr="00695B2C">
        <w:rPr>
          <w:rFonts w:ascii="Palatino Linotype" w:eastAsia="Calibri" w:hAnsi="Palatino Linotype" w:cs="Tahoma"/>
          <w:b/>
        </w:rPr>
        <w:t>.</w:t>
      </w:r>
    </w:p>
    <w:p w14:paraId="141EAE95" w14:textId="77777777" w:rsidR="001F7255" w:rsidRPr="00695B2C" w:rsidRDefault="001F7255" w:rsidP="006461DA">
      <w:pPr>
        <w:spacing w:after="0" w:line="360" w:lineRule="auto"/>
        <w:ind w:left="360" w:right="-93"/>
        <w:rPr>
          <w:rFonts w:eastAsia="Calibri" w:cs="Tahoma"/>
          <w:b/>
        </w:rPr>
      </w:pPr>
    </w:p>
    <w:p w14:paraId="75EC8707" w14:textId="69D46918" w:rsidR="001F7255" w:rsidRPr="00695B2C" w:rsidRDefault="00D6422E" w:rsidP="006461DA">
      <w:pPr>
        <w:spacing w:after="0" w:line="360" w:lineRule="auto"/>
        <w:ind w:right="-93"/>
        <w:rPr>
          <w:rFonts w:eastAsia="Calibri" w:cs="Tahoma"/>
          <w:bCs/>
        </w:rPr>
      </w:pPr>
      <w:r w:rsidRPr="00695B2C">
        <w:rPr>
          <w:rFonts w:eastAsia="Calibri" w:cs="Tahoma"/>
          <w:bCs/>
        </w:rPr>
        <w:t xml:space="preserve">Al dar seguimiento al conjunto de información que ya fue revelada, </w:t>
      </w:r>
      <w:r w:rsidR="001F7255" w:rsidRPr="00695B2C">
        <w:rPr>
          <w:rFonts w:eastAsia="Calibri" w:cs="Tahoma"/>
          <w:bCs/>
        </w:rPr>
        <w:t xml:space="preserve">este Organismo Garante, logró </w:t>
      </w:r>
      <w:r w:rsidR="00BF1EF0">
        <w:rPr>
          <w:rFonts w:eastAsia="Calibri" w:cs="Tahoma"/>
          <w:bCs/>
        </w:rPr>
        <w:t>construir</w:t>
      </w:r>
      <w:r w:rsidR="001F7255" w:rsidRPr="00695B2C">
        <w:rPr>
          <w:rFonts w:eastAsia="Calibri" w:cs="Tahoma"/>
          <w:bCs/>
        </w:rPr>
        <w:t xml:space="preserve"> una secuencia </w:t>
      </w:r>
      <w:r w:rsidR="00BF1EF0">
        <w:rPr>
          <w:rFonts w:eastAsia="Calibri" w:cs="Tahoma"/>
          <w:bCs/>
        </w:rPr>
        <w:t>de</w:t>
      </w:r>
      <w:r w:rsidRPr="00695B2C">
        <w:rPr>
          <w:rFonts w:eastAsia="Calibri" w:cs="Tahoma"/>
          <w:bCs/>
        </w:rPr>
        <w:t xml:space="preserve"> los hechos y actos que </w:t>
      </w:r>
      <w:r w:rsidR="00BF1EF0">
        <w:rPr>
          <w:rFonts w:eastAsia="Calibri" w:cs="Tahoma"/>
          <w:bCs/>
        </w:rPr>
        <w:t>fueron</w:t>
      </w:r>
      <w:r w:rsidRPr="00695B2C">
        <w:rPr>
          <w:rFonts w:eastAsia="Calibri" w:cs="Tahoma"/>
          <w:bCs/>
        </w:rPr>
        <w:t xml:space="preserve"> objeto del escrutinio públi</w:t>
      </w:r>
      <w:r w:rsidR="00BF1EF0">
        <w:rPr>
          <w:rFonts w:eastAsia="Calibri" w:cs="Tahoma"/>
          <w:bCs/>
        </w:rPr>
        <w:t>co</w:t>
      </w:r>
      <w:r w:rsidRPr="00695B2C">
        <w:rPr>
          <w:rFonts w:eastAsia="Calibri" w:cs="Tahoma"/>
          <w:bCs/>
        </w:rPr>
        <w:t>, al ser información de conocimiento de la población</w:t>
      </w:r>
      <w:r w:rsidR="001F7255" w:rsidRPr="00695B2C">
        <w:rPr>
          <w:rFonts w:eastAsia="Calibri" w:cs="Tahoma"/>
          <w:bCs/>
        </w:rPr>
        <w:t>:</w:t>
      </w:r>
    </w:p>
    <w:p w14:paraId="72C91F03" w14:textId="77777777" w:rsidR="001F7255" w:rsidRPr="00695B2C" w:rsidRDefault="001F7255" w:rsidP="006461DA">
      <w:pPr>
        <w:spacing w:after="0" w:line="360" w:lineRule="auto"/>
        <w:ind w:right="-93"/>
        <w:rPr>
          <w:rFonts w:eastAsia="Calibri" w:cs="Tahoma"/>
          <w:bCs/>
        </w:rPr>
      </w:pPr>
    </w:p>
    <w:p w14:paraId="056E5685" w14:textId="5B24B6AF" w:rsidR="001F7255" w:rsidRPr="00695B2C" w:rsidRDefault="00E731E1" w:rsidP="006461DA">
      <w:pPr>
        <w:pStyle w:val="Prrafodelista"/>
        <w:numPr>
          <w:ilvl w:val="0"/>
          <w:numId w:val="14"/>
        </w:numPr>
        <w:spacing w:line="360" w:lineRule="auto"/>
        <w:ind w:right="-93"/>
        <w:jc w:val="both"/>
        <w:rPr>
          <w:rFonts w:ascii="Palatino Linotype" w:hAnsi="Palatino Linotype" w:cs="Arial"/>
          <w:color w:val="000000"/>
        </w:rPr>
      </w:pPr>
      <w:r w:rsidRPr="00695B2C">
        <w:rPr>
          <w:rFonts w:ascii="Palatino Linotype" w:eastAsia="Calibri" w:hAnsi="Palatino Linotype" w:cs="Tahoma"/>
          <w:b/>
        </w:rPr>
        <w:t xml:space="preserve">15 </w:t>
      </w:r>
      <w:r w:rsidR="001F7255" w:rsidRPr="00695B2C">
        <w:rPr>
          <w:rFonts w:ascii="Palatino Linotype" w:eastAsia="Calibri" w:hAnsi="Palatino Linotype" w:cs="Tahoma"/>
          <w:b/>
        </w:rPr>
        <w:t>de mayo</w:t>
      </w:r>
      <w:r w:rsidR="00EB03E2" w:rsidRPr="00695B2C">
        <w:rPr>
          <w:rFonts w:ascii="Palatino Linotype" w:eastAsia="Calibri" w:hAnsi="Palatino Linotype" w:cs="Tahoma"/>
          <w:b/>
        </w:rPr>
        <w:t xml:space="preserve"> del 2021. Detención.</w:t>
      </w:r>
      <w:r w:rsidR="001F7255" w:rsidRPr="00695B2C">
        <w:rPr>
          <w:rFonts w:ascii="Palatino Linotype" w:eastAsia="Calibri" w:hAnsi="Palatino Linotype" w:cs="Tahoma"/>
          <w:b/>
        </w:rPr>
        <w:t xml:space="preserve"> </w:t>
      </w:r>
      <w:r w:rsidR="00EB03E2" w:rsidRPr="00695B2C">
        <w:rPr>
          <w:rFonts w:ascii="Palatino Linotype" w:eastAsia="Calibri" w:hAnsi="Palatino Linotype" w:cs="Tahoma"/>
          <w:bCs/>
        </w:rPr>
        <w:t>L</w:t>
      </w:r>
      <w:r w:rsidR="00EB03E2" w:rsidRPr="00695B2C">
        <w:rPr>
          <w:rFonts w:ascii="Palatino Linotype" w:hAnsi="Palatino Linotype" w:cs="Arial"/>
          <w:bCs/>
          <w:color w:val="000000"/>
        </w:rPr>
        <w:t xml:space="preserve">a Fiscalía del Edomex detuvo a Andrés Filemón </w:t>
      </w:r>
      <w:r w:rsidR="00820198" w:rsidRPr="00695B2C">
        <w:rPr>
          <w:rFonts w:ascii="Palatino Linotype" w:hAnsi="Palatino Linotype" w:cs="Arial"/>
          <w:bCs/>
          <w:color w:val="000000"/>
        </w:rPr>
        <w:t>“</w:t>
      </w:r>
      <w:r w:rsidR="00EB03E2" w:rsidRPr="00695B2C">
        <w:rPr>
          <w:rFonts w:ascii="Palatino Linotype" w:hAnsi="Palatino Linotype" w:cs="Arial"/>
          <w:bCs/>
          <w:color w:val="000000"/>
        </w:rPr>
        <w:t xml:space="preserve">N’ por el feminicidio de Reyna </w:t>
      </w:r>
      <w:r w:rsidR="00820198" w:rsidRPr="00695B2C">
        <w:rPr>
          <w:rFonts w:ascii="Palatino Linotype" w:hAnsi="Palatino Linotype" w:cs="Arial"/>
          <w:bCs/>
          <w:color w:val="000000"/>
        </w:rPr>
        <w:t>“N”</w:t>
      </w:r>
      <w:r w:rsidR="00562E42" w:rsidRPr="00695B2C">
        <w:rPr>
          <w:rFonts w:ascii="Palatino Linotype" w:hAnsi="Palatino Linotype" w:cs="Arial"/>
          <w:color w:val="000000"/>
        </w:rPr>
        <w:t xml:space="preserve">, lo que fue informado por diversos medios, </w:t>
      </w:r>
      <w:r w:rsidR="001E0B0B">
        <w:rPr>
          <w:rFonts w:ascii="Palatino Linotype" w:hAnsi="Palatino Linotype" w:cs="Arial"/>
          <w:color w:val="000000"/>
        </w:rPr>
        <w:t>como</w:t>
      </w:r>
      <w:r w:rsidR="00820198" w:rsidRPr="00695B2C">
        <w:rPr>
          <w:rFonts w:ascii="Palatino Linotype" w:hAnsi="Palatino Linotype" w:cs="Arial"/>
          <w:color w:val="000000"/>
        </w:rPr>
        <w:t xml:space="preserve"> </w:t>
      </w:r>
      <w:r w:rsidRPr="00695B2C">
        <w:rPr>
          <w:rFonts w:ascii="Palatino Linotype" w:hAnsi="Palatino Linotype" w:cs="Arial"/>
          <w:color w:val="000000"/>
        </w:rPr>
        <w:t>“</w:t>
      </w:r>
      <w:r w:rsidR="00820198" w:rsidRPr="00695B2C">
        <w:rPr>
          <w:rFonts w:ascii="Palatino Linotype" w:hAnsi="Palatino Linotype" w:cs="Arial"/>
          <w:color w:val="000000"/>
        </w:rPr>
        <w:t>Fuerza Informativa Azteca</w:t>
      </w:r>
      <w:r w:rsidRPr="00695B2C">
        <w:rPr>
          <w:rFonts w:ascii="Palatino Linotype" w:hAnsi="Palatino Linotype" w:cs="Arial"/>
          <w:color w:val="000000"/>
        </w:rPr>
        <w:t>”</w:t>
      </w:r>
      <w:r w:rsidR="00820198" w:rsidRPr="00695B2C">
        <w:rPr>
          <w:rFonts w:ascii="Palatino Linotype" w:hAnsi="Palatino Linotype" w:cs="Arial"/>
          <w:color w:val="000000"/>
        </w:rPr>
        <w:t xml:space="preserve"> </w:t>
      </w:r>
      <w:r w:rsidR="00562E42" w:rsidRPr="00695B2C">
        <w:rPr>
          <w:rFonts w:ascii="Palatino Linotype" w:hAnsi="Palatino Linotype" w:cs="Arial"/>
          <w:color w:val="000000"/>
        </w:rPr>
        <w:t xml:space="preserve">que </w:t>
      </w:r>
      <w:r w:rsidR="00820198" w:rsidRPr="00695B2C">
        <w:rPr>
          <w:rFonts w:ascii="Palatino Linotype" w:hAnsi="Palatino Linotype" w:cs="Arial"/>
          <w:color w:val="000000"/>
        </w:rPr>
        <w:t>a través de la liga de acceso directo</w:t>
      </w:r>
      <w:r w:rsidR="00EB03E2" w:rsidRPr="00695B2C">
        <w:rPr>
          <w:rFonts w:ascii="Palatino Linotype" w:hAnsi="Palatino Linotype" w:cs="Arial"/>
          <w:color w:val="000000"/>
        </w:rPr>
        <w:t xml:space="preserve"> </w:t>
      </w:r>
      <w:hyperlink r:id="rId37" w:history="1">
        <w:r w:rsidR="00EB03E2" w:rsidRPr="00695B2C">
          <w:rPr>
            <w:rStyle w:val="Hipervnculo"/>
            <w:rFonts w:ascii="Palatino Linotype" w:hAnsi="Palatino Linotype" w:cs="Arial"/>
          </w:rPr>
          <w:t>https://www.tvazteca.com/aztecanoticias/feminicida-atizapan-casa-victimas-mej</w:t>
        </w:r>
      </w:hyperlink>
      <w:r w:rsidR="00562E42" w:rsidRPr="00695B2C">
        <w:rPr>
          <w:rFonts w:ascii="Palatino Linotype" w:hAnsi="Palatino Linotype" w:cs="Arial"/>
          <w:color w:val="000000"/>
        </w:rPr>
        <w:t xml:space="preserve">, señaló elementos sobre la detención de la persona señalada. Asimismo, apunto </w:t>
      </w:r>
      <w:proofErr w:type="gramStart"/>
      <w:r w:rsidR="00562E42" w:rsidRPr="00695B2C">
        <w:rPr>
          <w:rFonts w:ascii="Palatino Linotype" w:hAnsi="Palatino Linotype" w:cs="Arial"/>
          <w:color w:val="000000"/>
        </w:rPr>
        <w:t>que</w:t>
      </w:r>
      <w:proofErr w:type="gramEnd"/>
      <w:r w:rsidR="00562E42" w:rsidRPr="00695B2C">
        <w:rPr>
          <w:rFonts w:ascii="Palatino Linotype" w:hAnsi="Palatino Linotype" w:cs="Arial"/>
          <w:color w:val="000000"/>
        </w:rPr>
        <w:t xml:space="preserve"> a</w:t>
      </w:r>
      <w:r w:rsidR="00820198" w:rsidRPr="00695B2C">
        <w:rPr>
          <w:rFonts w:ascii="Palatino Linotype" w:hAnsi="Palatino Linotype" w:cs="Arial"/>
          <w:color w:val="000000"/>
        </w:rPr>
        <w:t xml:space="preserve">l </w:t>
      </w:r>
      <w:r w:rsidR="00EB03E2" w:rsidRPr="00695B2C">
        <w:rPr>
          <w:rFonts w:ascii="Palatino Linotype" w:hAnsi="Palatino Linotype" w:cs="Arial"/>
          <w:color w:val="000000"/>
        </w:rPr>
        <w:t>realizar las investigaciones sobre este homicidio en su casa, encontraron restos óseos y artículos de mujer, lo que supuso que el hombre ya había cometido el mismo crimen en varias ocasiones.</w:t>
      </w:r>
      <w:r w:rsidRPr="00695B2C">
        <w:rPr>
          <w:rFonts w:ascii="Palatino Linotype" w:hAnsi="Palatino Linotype" w:cs="Arial"/>
          <w:color w:val="000000"/>
        </w:rPr>
        <w:t xml:space="preserve"> </w:t>
      </w:r>
    </w:p>
    <w:p w14:paraId="728268B5" w14:textId="77777777" w:rsidR="001E6553" w:rsidRPr="00695B2C" w:rsidRDefault="001E6553" w:rsidP="006461DA">
      <w:pPr>
        <w:pStyle w:val="Prrafodelista"/>
        <w:spacing w:line="360" w:lineRule="auto"/>
        <w:ind w:right="-93"/>
        <w:jc w:val="both"/>
        <w:rPr>
          <w:rFonts w:ascii="Palatino Linotype" w:eastAsia="Calibri" w:hAnsi="Palatino Linotype" w:cs="Tahoma"/>
          <w:b/>
        </w:rPr>
      </w:pPr>
    </w:p>
    <w:p w14:paraId="7F030094" w14:textId="49549D12" w:rsidR="00A50FC0" w:rsidRPr="00695B2C" w:rsidRDefault="00EB03E2" w:rsidP="006461DA">
      <w:pPr>
        <w:pStyle w:val="Prrafodelista"/>
        <w:numPr>
          <w:ilvl w:val="0"/>
          <w:numId w:val="14"/>
        </w:numPr>
        <w:spacing w:line="360" w:lineRule="auto"/>
        <w:ind w:right="-93"/>
        <w:jc w:val="both"/>
        <w:rPr>
          <w:rFonts w:ascii="Palatino Linotype" w:eastAsia="Calibri" w:hAnsi="Palatino Linotype" w:cs="Tahoma"/>
          <w:b/>
        </w:rPr>
      </w:pPr>
      <w:r w:rsidRPr="00695B2C">
        <w:rPr>
          <w:rFonts w:ascii="Palatino Linotype" w:eastAsia="Calibri" w:hAnsi="Palatino Linotype" w:cs="Tahoma"/>
          <w:b/>
        </w:rPr>
        <w:t xml:space="preserve">20 de mayo del 2021. Audiencia de vinculación a proceso. </w:t>
      </w:r>
      <w:r w:rsidR="00820198" w:rsidRPr="00695B2C">
        <w:rPr>
          <w:rFonts w:ascii="Palatino Linotype" w:eastAsia="Calibri" w:hAnsi="Palatino Linotype" w:cs="Tahoma"/>
          <w:bCs/>
        </w:rPr>
        <w:t xml:space="preserve">Medios de comunicación como “El </w:t>
      </w:r>
      <w:r w:rsidR="001E0B0B">
        <w:rPr>
          <w:rFonts w:ascii="Palatino Linotype" w:eastAsia="Calibri" w:hAnsi="Palatino Linotype" w:cs="Tahoma"/>
          <w:bCs/>
        </w:rPr>
        <w:t>E</w:t>
      </w:r>
      <w:r w:rsidR="00820198" w:rsidRPr="00695B2C">
        <w:rPr>
          <w:rFonts w:ascii="Palatino Linotype" w:eastAsia="Calibri" w:hAnsi="Palatino Linotype" w:cs="Tahoma"/>
          <w:bCs/>
        </w:rPr>
        <w:t xml:space="preserve">conomista”, publicaron la vinculación a proceso del indiciado, a través de la liga electrónica </w:t>
      </w:r>
      <w:hyperlink r:id="rId38" w:history="1">
        <w:r w:rsidR="00A50FC0" w:rsidRPr="00695B2C">
          <w:rPr>
            <w:rStyle w:val="Hipervnculo"/>
            <w:rFonts w:ascii="Palatino Linotype" w:eastAsia="Calibri" w:hAnsi="Palatino Linotype" w:cs="Tahoma"/>
            <w:bCs/>
          </w:rPr>
          <w:t>https://www.eleconomista.com.mx/politica/Juez-ordena-vinculacion-a-proceso-contra-presunto-feminicida-de-Atizapan-20210520-0096.html</w:t>
        </w:r>
      </w:hyperlink>
      <w:r w:rsidR="00A50FC0" w:rsidRPr="00695B2C">
        <w:rPr>
          <w:rFonts w:ascii="Palatino Linotype" w:eastAsia="Calibri" w:hAnsi="Palatino Linotype" w:cs="Tahoma"/>
          <w:bCs/>
        </w:rPr>
        <w:t>.</w:t>
      </w:r>
    </w:p>
    <w:p w14:paraId="53B1561A" w14:textId="2C48A6E4" w:rsidR="00E731E1" w:rsidRPr="00695B2C" w:rsidRDefault="00775EFA" w:rsidP="006461DA">
      <w:pPr>
        <w:pStyle w:val="Prrafodelista"/>
        <w:spacing w:line="360" w:lineRule="auto"/>
        <w:rPr>
          <w:rFonts w:ascii="Palatino Linotype" w:eastAsia="Calibri" w:hAnsi="Palatino Linotype" w:cs="Tahoma"/>
          <w:b/>
        </w:rPr>
      </w:pPr>
      <w:r>
        <w:rPr>
          <w:rFonts w:ascii="Palatino Linotype" w:eastAsia="Calibri" w:hAnsi="Palatino Linotype" w:cs="Tahoma"/>
          <w:b/>
          <w:noProof/>
        </w:rPr>
        <mc:AlternateContent>
          <mc:Choice Requires="wps">
            <w:drawing>
              <wp:anchor distT="0" distB="0" distL="114300" distR="114300" simplePos="0" relativeHeight="251666432" behindDoc="0" locked="0" layoutInCell="1" allowOverlap="1" wp14:anchorId="7A3753CA" wp14:editId="7FCD4D1C">
                <wp:simplePos x="0" y="0"/>
                <wp:positionH relativeFrom="column">
                  <wp:posOffset>342265</wp:posOffset>
                </wp:positionH>
                <wp:positionV relativeFrom="paragraph">
                  <wp:posOffset>292735</wp:posOffset>
                </wp:positionV>
                <wp:extent cx="5334000" cy="1435100"/>
                <wp:effectExtent l="0" t="0" r="19050" b="31750"/>
                <wp:wrapNone/>
                <wp:docPr id="38" name="Conector recto 38"/>
                <wp:cNvGraphicFramePr/>
                <a:graphic xmlns:a="http://schemas.openxmlformats.org/drawingml/2006/main">
                  <a:graphicData uri="http://schemas.microsoft.com/office/word/2010/wordprocessingShape">
                    <wps:wsp>
                      <wps:cNvCnPr/>
                      <wps:spPr>
                        <a:xfrm flipV="1">
                          <a:off x="0" y="0"/>
                          <a:ext cx="5334000" cy="14351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69A076" id="Conector recto 38" o:spid="_x0000_s1026" style="position:absolute;flip:y;z-index:251666432;visibility:visible;mso-wrap-style:square;mso-wrap-distance-left:9pt;mso-wrap-distance-top:0;mso-wrap-distance-right:9pt;mso-wrap-distance-bottom:0;mso-position-horizontal:absolute;mso-position-horizontal-relative:text;mso-position-vertical:absolute;mso-position-vertical-relative:text" from="26.95pt,23.05pt" to="446.95pt,13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" strokecolor="#5b9bd5 [3204]" strokeweight=".5pt">
                <v:stroke joinstyle="miter"/>
              </v:line>
            </w:pict>
          </mc:Fallback>
        </mc:AlternateContent>
      </w:r>
    </w:p>
    <w:p w14:paraId="251081E9" w14:textId="259A9B00" w:rsidR="00EB03E2" w:rsidRPr="00695B2C" w:rsidRDefault="00A50FC0" w:rsidP="006461DA">
      <w:pPr>
        <w:spacing w:after="0" w:line="360" w:lineRule="auto"/>
        <w:ind w:right="-93"/>
        <w:jc w:val="center"/>
        <w:rPr>
          <w:rFonts w:eastAsia="Calibri" w:cs="Tahoma"/>
          <w:b/>
        </w:rPr>
      </w:pPr>
      <w:r w:rsidRPr="00695B2C">
        <w:rPr>
          <w:noProof/>
        </w:rPr>
        <w:lastRenderedPageBreak/>
        <w:drawing>
          <wp:inline distT="0" distB="0" distL="0" distR="0" wp14:anchorId="466033A3" wp14:editId="372A8911">
            <wp:extent cx="4952081" cy="3012719"/>
            <wp:effectExtent l="0" t="0" r="1270" b="0"/>
            <wp:docPr id="19" name="Imagen 1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Texto, Aplicación&#10;&#10;Descripción generada automáticamente"/>
                    <pic:cNvPicPr/>
                  </pic:nvPicPr>
                  <pic:blipFill rotWithShape="1">
                    <a:blip r:embed="rId39"/>
                    <a:srcRect l="3290" t="16966" r="29942" b="10784"/>
                    <a:stretch/>
                  </pic:blipFill>
                  <pic:spPr bwMode="auto">
                    <a:xfrm>
                      <a:off x="0" y="0"/>
                      <a:ext cx="4966292" cy="3021365"/>
                    </a:xfrm>
                    <a:prstGeom prst="rect">
                      <a:avLst/>
                    </a:prstGeom>
                    <a:ln>
                      <a:noFill/>
                    </a:ln>
                    <a:extLst>
                      <a:ext uri="{53640926-AAD7-44D8-BBD7-CCE9431645EC}">
                        <a14:shadowObscured xmlns:a14="http://schemas.microsoft.com/office/drawing/2010/main"/>
                      </a:ext>
                    </a:extLst>
                  </pic:spPr>
                </pic:pic>
              </a:graphicData>
            </a:graphic>
          </wp:inline>
        </w:drawing>
      </w:r>
    </w:p>
    <w:p w14:paraId="2C7EEE51" w14:textId="4844CCF3" w:rsidR="001F7255" w:rsidRPr="00C26C4E" w:rsidRDefault="00A50FC0" w:rsidP="006461DA">
      <w:pPr>
        <w:spacing w:after="0" w:line="360" w:lineRule="auto"/>
        <w:ind w:left="567" w:right="567"/>
        <w:rPr>
          <w:rFonts w:eastAsia="Calibri" w:cs="Tahoma"/>
          <w:bCs/>
          <w:sz w:val="20"/>
          <w:szCs w:val="20"/>
        </w:rPr>
      </w:pPr>
      <w:r w:rsidRPr="00C26C4E">
        <w:rPr>
          <w:rFonts w:eastAsia="Calibri" w:cs="Tahoma"/>
          <w:bCs/>
          <w:sz w:val="20"/>
          <w:szCs w:val="20"/>
        </w:rPr>
        <w:t>(Imagen recuperada el treinta y uno de mayo del dos mil veintidós a las dieciséis horas con cuarenta y siete minutos)</w:t>
      </w:r>
    </w:p>
    <w:p w14:paraId="6AB994BD" w14:textId="77777777" w:rsidR="00C26C4E" w:rsidRDefault="00C26C4E" w:rsidP="006461DA">
      <w:pPr>
        <w:spacing w:after="0" w:line="360" w:lineRule="auto"/>
        <w:ind w:right="-93"/>
        <w:rPr>
          <w:rFonts w:eastAsia="Calibri" w:cs="Tahoma"/>
          <w:bCs/>
        </w:rPr>
      </w:pPr>
    </w:p>
    <w:p w14:paraId="568497E0" w14:textId="01DF34EB" w:rsidR="00A33082" w:rsidRPr="00695B2C" w:rsidRDefault="00843AFA" w:rsidP="006461DA">
      <w:pPr>
        <w:spacing w:after="0" w:line="360" w:lineRule="auto"/>
        <w:ind w:right="-93"/>
        <w:rPr>
          <w:rFonts w:eastAsia="Calibri" w:cs="Tahoma"/>
          <w:bCs/>
        </w:rPr>
      </w:pPr>
      <w:r w:rsidRPr="00695B2C">
        <w:rPr>
          <w:rFonts w:eastAsia="Calibri" w:cs="Tahoma"/>
          <w:bCs/>
        </w:rPr>
        <w:t xml:space="preserve">En la </w:t>
      </w:r>
      <w:r w:rsidR="00A33082" w:rsidRPr="00695B2C">
        <w:rPr>
          <w:rFonts w:eastAsia="Calibri" w:cs="Tahoma"/>
          <w:bCs/>
        </w:rPr>
        <w:t>primera audiencia, los medios de comunicación revelaron</w:t>
      </w:r>
      <w:r w:rsidR="00B45217">
        <w:rPr>
          <w:rFonts w:eastAsia="Calibri" w:cs="Tahoma"/>
          <w:bCs/>
        </w:rPr>
        <w:t xml:space="preserve"> que</w:t>
      </w:r>
      <w:r w:rsidR="00A33082" w:rsidRPr="00695B2C">
        <w:rPr>
          <w:rFonts w:eastAsia="Calibri" w:cs="Tahoma"/>
          <w:bCs/>
        </w:rPr>
        <w:t>:</w:t>
      </w:r>
    </w:p>
    <w:p w14:paraId="25AD7D23" w14:textId="6F22BD19" w:rsidR="00843AFA" w:rsidRPr="00695B2C" w:rsidRDefault="00B45217" w:rsidP="006461DA">
      <w:pPr>
        <w:pStyle w:val="Prrafodelista"/>
        <w:numPr>
          <w:ilvl w:val="1"/>
          <w:numId w:val="14"/>
        </w:numPr>
        <w:spacing w:line="360" w:lineRule="auto"/>
        <w:ind w:right="-93"/>
        <w:rPr>
          <w:rFonts w:ascii="Palatino Linotype" w:eastAsia="Calibri" w:hAnsi="Palatino Linotype" w:cs="Tahoma"/>
          <w:bCs/>
          <w:szCs w:val="22"/>
        </w:rPr>
      </w:pPr>
      <w:r w:rsidRPr="00B45217">
        <w:rPr>
          <w:rFonts w:ascii="Palatino Linotype" w:eastAsia="Calibri" w:hAnsi="Palatino Linotype" w:cs="Tahoma"/>
          <w:b/>
          <w:szCs w:val="22"/>
          <w:u w:val="single"/>
        </w:rPr>
        <w:t>El imputado s</w:t>
      </w:r>
      <w:r w:rsidR="00A33082" w:rsidRPr="00B45217">
        <w:rPr>
          <w:rFonts w:ascii="Palatino Linotype" w:eastAsia="Calibri" w:hAnsi="Palatino Linotype" w:cs="Tahoma"/>
          <w:b/>
          <w:szCs w:val="22"/>
          <w:u w:val="single"/>
        </w:rPr>
        <w:t>e declaró culpable ante el juez</w:t>
      </w:r>
      <w:r w:rsidR="00A33082" w:rsidRPr="00695B2C">
        <w:rPr>
          <w:rFonts w:ascii="Palatino Linotype" w:eastAsia="Calibri" w:hAnsi="Palatino Linotype" w:cs="Tahoma"/>
          <w:bCs/>
          <w:szCs w:val="22"/>
        </w:rPr>
        <w:t xml:space="preserve">, y se citaron las palabras textuales </w:t>
      </w:r>
      <w:r w:rsidR="00A33082" w:rsidRPr="00B45217">
        <w:rPr>
          <w:rFonts w:ascii="Palatino Linotype" w:hAnsi="Palatino Linotype"/>
          <w:b/>
          <w:bCs/>
          <w:i/>
          <w:iCs/>
          <w:color w:val="191919"/>
          <w:szCs w:val="22"/>
          <w:u w:val="single"/>
          <w:shd w:val="clear" w:color="auto" w:fill="FFFFFF"/>
        </w:rPr>
        <w:t>“Yo lo único que quiero es decir la verdad, lo he hecho, ya ni modo”</w:t>
      </w:r>
      <w:r w:rsidR="00A33082" w:rsidRPr="00B45217">
        <w:rPr>
          <w:rFonts w:ascii="Palatino Linotype" w:eastAsia="Calibri" w:hAnsi="Palatino Linotype" w:cs="Tahoma"/>
          <w:b/>
          <w:bCs/>
          <w:i/>
          <w:iCs/>
          <w:szCs w:val="22"/>
          <w:u w:val="single"/>
        </w:rPr>
        <w:t>.</w:t>
      </w:r>
      <w:r w:rsidR="00A33082" w:rsidRPr="00695B2C">
        <w:rPr>
          <w:rFonts w:ascii="Palatino Linotype" w:eastAsia="Calibri" w:hAnsi="Palatino Linotype" w:cs="Tahoma"/>
          <w:bCs/>
          <w:szCs w:val="22"/>
        </w:rPr>
        <w:t xml:space="preserve"> (</w:t>
      </w:r>
      <w:r w:rsidR="00753446" w:rsidRPr="00695B2C">
        <w:rPr>
          <w:rFonts w:ascii="Palatino Linotype" w:eastAsia="Calibri" w:hAnsi="Palatino Linotype" w:cs="Tahoma"/>
          <w:bCs/>
          <w:szCs w:val="22"/>
        </w:rPr>
        <w:t>Periódico</w:t>
      </w:r>
      <w:r w:rsidR="00A33082" w:rsidRPr="00695B2C">
        <w:rPr>
          <w:rFonts w:ascii="Palatino Linotype" w:eastAsia="Calibri" w:hAnsi="Palatino Linotype" w:cs="Tahoma"/>
          <w:bCs/>
          <w:szCs w:val="22"/>
        </w:rPr>
        <w:t xml:space="preserve"> “El País”</w:t>
      </w:r>
      <w:r w:rsidR="00753446" w:rsidRPr="00695B2C">
        <w:rPr>
          <w:rFonts w:ascii="Palatino Linotype" w:eastAsia="Calibri" w:hAnsi="Palatino Linotype" w:cs="Tahoma"/>
          <w:bCs/>
          <w:szCs w:val="22"/>
        </w:rPr>
        <w:t xml:space="preserve">, en su liga de acceso directo </w:t>
      </w:r>
      <w:hyperlink r:id="rId40" w:history="1">
        <w:r w:rsidR="00753446" w:rsidRPr="00695B2C">
          <w:rPr>
            <w:rStyle w:val="Hipervnculo"/>
            <w:rFonts w:ascii="Palatino Linotype" w:eastAsia="Calibri" w:hAnsi="Palatino Linotype" w:cs="Tahoma"/>
            <w:bCs/>
            <w:szCs w:val="22"/>
          </w:rPr>
          <w:t>https://elpais.com/mexico/2021-05-20/el-asesino-de-atizapan-se-declara-culpable-del-asesinato-de-reyna-ante-el-juez-lo-he-hecho-ya-ni-modo.html</w:t>
        </w:r>
      </w:hyperlink>
      <w:r w:rsidR="00753446" w:rsidRPr="00695B2C">
        <w:rPr>
          <w:rFonts w:ascii="Palatino Linotype" w:eastAsia="Calibri" w:hAnsi="Palatino Linotype" w:cs="Tahoma"/>
          <w:bCs/>
          <w:szCs w:val="22"/>
        </w:rPr>
        <w:t xml:space="preserve">” </w:t>
      </w:r>
    </w:p>
    <w:p w14:paraId="20A552F7" w14:textId="45D5AFAE" w:rsidR="00A33082" w:rsidRPr="00695B2C" w:rsidRDefault="0009502D" w:rsidP="006461DA">
      <w:pPr>
        <w:pStyle w:val="Prrafodelista"/>
        <w:numPr>
          <w:ilvl w:val="1"/>
          <w:numId w:val="14"/>
        </w:numPr>
        <w:spacing w:line="360" w:lineRule="auto"/>
        <w:ind w:right="-93"/>
        <w:jc w:val="both"/>
        <w:rPr>
          <w:rFonts w:ascii="Palatino Linotype" w:eastAsia="Calibri" w:hAnsi="Palatino Linotype" w:cs="Tahoma"/>
          <w:bCs/>
          <w:szCs w:val="22"/>
        </w:rPr>
      </w:pPr>
      <w:r w:rsidRPr="00695B2C">
        <w:rPr>
          <w:rFonts w:ascii="Palatino Linotype" w:eastAsia="Calibri" w:hAnsi="Palatino Linotype" w:cs="Tahoma"/>
          <w:bCs/>
          <w:szCs w:val="22"/>
        </w:rPr>
        <w:t xml:space="preserve">Se revelaron hallazgos, de la casa habitación del imputado, donde tras realizar varias excavaciones fueron localizadas otras piezas óseas, credenciales de elector, ropa, calzado y bolsas de mujer, libretas con varios nombres, maquillaje y joyería, información que fue revelada por el periódico “El Economista”, a través de la liga de acceso directo </w:t>
      </w:r>
      <w:hyperlink r:id="rId41" w:history="1">
        <w:r w:rsidRPr="00695B2C">
          <w:rPr>
            <w:rStyle w:val="Hipervnculo"/>
            <w:rFonts w:ascii="Palatino Linotype" w:eastAsia="Calibri" w:hAnsi="Palatino Linotype" w:cs="Tahoma"/>
            <w:bCs/>
            <w:szCs w:val="22"/>
          </w:rPr>
          <w:t>https://www.eleconomista.com.mx/politica/Juez-ordena-vinculacion-a-proceso-contra-presunto-feminicida-de-Atizapan-20210520-0096.html</w:t>
        </w:r>
      </w:hyperlink>
      <w:r w:rsidRPr="00695B2C">
        <w:rPr>
          <w:rFonts w:ascii="Palatino Linotype" w:eastAsia="Calibri" w:hAnsi="Palatino Linotype" w:cs="Tahoma"/>
          <w:bCs/>
          <w:szCs w:val="22"/>
        </w:rPr>
        <w:t>.</w:t>
      </w:r>
    </w:p>
    <w:p w14:paraId="7E86BCE8" w14:textId="1A15B257" w:rsidR="003466FD" w:rsidRPr="00695B2C" w:rsidRDefault="0009502D" w:rsidP="006461DA">
      <w:pPr>
        <w:pStyle w:val="Prrafodelista"/>
        <w:numPr>
          <w:ilvl w:val="1"/>
          <w:numId w:val="14"/>
        </w:numPr>
        <w:spacing w:line="360" w:lineRule="auto"/>
        <w:ind w:right="-93"/>
        <w:jc w:val="both"/>
        <w:rPr>
          <w:rFonts w:ascii="Palatino Linotype" w:eastAsia="Calibri" w:hAnsi="Palatino Linotype" w:cs="Tahoma"/>
          <w:bCs/>
          <w:szCs w:val="22"/>
        </w:rPr>
      </w:pPr>
      <w:r w:rsidRPr="00695B2C">
        <w:rPr>
          <w:rFonts w:ascii="Palatino Linotype" w:eastAsia="Calibri" w:hAnsi="Palatino Linotype" w:cs="Tahoma"/>
          <w:bCs/>
          <w:szCs w:val="22"/>
        </w:rPr>
        <w:lastRenderedPageBreak/>
        <w:t xml:space="preserve">A la fecha de la audiencia, se </w:t>
      </w:r>
      <w:r w:rsidR="00B45217">
        <w:rPr>
          <w:rFonts w:ascii="Palatino Linotype" w:eastAsia="Calibri" w:hAnsi="Palatino Linotype" w:cs="Tahoma"/>
          <w:bCs/>
          <w:szCs w:val="22"/>
        </w:rPr>
        <w:t>identificaron</w:t>
      </w:r>
      <w:r w:rsidRPr="00695B2C">
        <w:rPr>
          <w:rFonts w:ascii="Palatino Linotype" w:eastAsia="Calibri" w:hAnsi="Palatino Linotype" w:cs="Tahoma"/>
          <w:bCs/>
          <w:szCs w:val="22"/>
        </w:rPr>
        <w:t xml:space="preserve"> 2 mil restos óseos envueltos en ropa y sepultados en el domicilio, así como cuatro cráneos completos</w:t>
      </w:r>
      <w:r w:rsidR="00F93CFB" w:rsidRPr="00695B2C">
        <w:rPr>
          <w:rFonts w:ascii="Palatino Linotype" w:eastAsia="Calibri" w:hAnsi="Palatino Linotype" w:cs="Tahoma"/>
          <w:bCs/>
          <w:szCs w:val="22"/>
        </w:rPr>
        <w:t xml:space="preserve">; se encontró una colección de fotografías polaroid que tomó </w:t>
      </w:r>
      <w:r w:rsidR="00B45217">
        <w:rPr>
          <w:rFonts w:ascii="Palatino Linotype" w:eastAsia="Calibri" w:hAnsi="Palatino Linotype" w:cs="Tahoma"/>
          <w:bCs/>
          <w:szCs w:val="22"/>
        </w:rPr>
        <w:t>“</w:t>
      </w:r>
      <w:r w:rsidR="00F93CFB" w:rsidRPr="00695B2C">
        <w:rPr>
          <w:rFonts w:ascii="Palatino Linotype" w:eastAsia="Calibri" w:hAnsi="Palatino Linotype" w:cs="Tahoma"/>
          <w:bCs/>
          <w:szCs w:val="22"/>
        </w:rPr>
        <w:t xml:space="preserve">Andrés </w:t>
      </w:r>
      <w:r w:rsidR="00B45217">
        <w:rPr>
          <w:rFonts w:ascii="Palatino Linotype" w:eastAsia="Calibri" w:hAnsi="Palatino Linotype" w:cs="Tahoma"/>
          <w:bCs/>
          <w:szCs w:val="22"/>
        </w:rPr>
        <w:t xml:space="preserve">N” </w:t>
      </w:r>
      <w:r w:rsidR="00F93CFB" w:rsidRPr="00695B2C">
        <w:rPr>
          <w:rFonts w:ascii="Palatino Linotype" w:eastAsia="Calibri" w:hAnsi="Palatino Linotype" w:cs="Tahoma"/>
          <w:bCs/>
          <w:szCs w:val="22"/>
        </w:rPr>
        <w:t>a todas las mujeres que asesinó; autoridades explicaron que, tras matarlas, tomaba las instantáneas para después filmarse mientras realizaba cortes a los cuerpo</w:t>
      </w:r>
      <w:r w:rsidR="0002343C" w:rsidRPr="00695B2C">
        <w:rPr>
          <w:rFonts w:ascii="Palatino Linotype" w:eastAsia="Calibri" w:hAnsi="Palatino Linotype" w:cs="Tahoma"/>
          <w:bCs/>
          <w:szCs w:val="22"/>
        </w:rPr>
        <w:t>s</w:t>
      </w:r>
      <w:r w:rsidR="00F93CFB" w:rsidRPr="00695B2C">
        <w:rPr>
          <w:rFonts w:ascii="Palatino Linotype" w:eastAsia="Calibri" w:hAnsi="Palatino Linotype" w:cs="Tahoma"/>
          <w:bCs/>
          <w:szCs w:val="22"/>
        </w:rPr>
        <w:t xml:space="preserve"> de sus víctimas.</w:t>
      </w:r>
    </w:p>
    <w:p w14:paraId="059C93F4" w14:textId="424787C4" w:rsidR="00330FE7" w:rsidRPr="00695B2C" w:rsidRDefault="00330FE7" w:rsidP="006461DA">
      <w:pPr>
        <w:pStyle w:val="Prrafodelista"/>
        <w:numPr>
          <w:ilvl w:val="1"/>
          <w:numId w:val="14"/>
        </w:numPr>
        <w:spacing w:line="360" w:lineRule="auto"/>
        <w:ind w:right="-93"/>
        <w:jc w:val="both"/>
        <w:rPr>
          <w:rFonts w:ascii="Palatino Linotype" w:eastAsia="Calibri" w:hAnsi="Palatino Linotype" w:cs="Tahoma"/>
          <w:bCs/>
          <w:szCs w:val="22"/>
        </w:rPr>
      </w:pPr>
      <w:r w:rsidRPr="00695B2C">
        <w:rPr>
          <w:rFonts w:ascii="Palatino Linotype" w:eastAsia="Calibri" w:hAnsi="Palatino Linotype" w:cs="Tahoma"/>
          <w:bCs/>
          <w:szCs w:val="22"/>
        </w:rPr>
        <w:t xml:space="preserve">Se reveló la afirmación del imputado </w:t>
      </w:r>
      <w:r w:rsidRPr="00B45217">
        <w:rPr>
          <w:rFonts w:ascii="Palatino Linotype" w:eastAsia="Calibri" w:hAnsi="Palatino Linotype" w:cs="Tahoma"/>
          <w:bCs/>
          <w:i/>
          <w:iCs/>
          <w:szCs w:val="22"/>
        </w:rPr>
        <w:t>“le quité la piel del rostro porque estaba muy guapa”,</w:t>
      </w:r>
      <w:r w:rsidRPr="00695B2C">
        <w:rPr>
          <w:rFonts w:ascii="Palatino Linotype" w:eastAsia="Calibri" w:hAnsi="Palatino Linotype" w:cs="Tahoma"/>
          <w:bCs/>
          <w:szCs w:val="22"/>
        </w:rPr>
        <w:t xml:space="preserve"> frase con la que justificó la causa por la que destazó a su </w:t>
      </w:r>
      <w:r w:rsidR="005D3CA0" w:rsidRPr="00695B2C">
        <w:rPr>
          <w:rFonts w:ascii="Palatino Linotype" w:eastAsia="Calibri" w:hAnsi="Palatino Linotype" w:cs="Tahoma"/>
          <w:bCs/>
          <w:szCs w:val="22"/>
        </w:rPr>
        <w:t>última</w:t>
      </w:r>
      <w:r w:rsidRPr="00695B2C">
        <w:rPr>
          <w:rFonts w:ascii="Palatino Linotype" w:eastAsia="Calibri" w:hAnsi="Palatino Linotype" w:cs="Tahoma"/>
          <w:bCs/>
          <w:szCs w:val="22"/>
        </w:rPr>
        <w:t xml:space="preserve"> </w:t>
      </w:r>
      <w:r w:rsidR="00B42D8B" w:rsidRPr="00695B2C">
        <w:rPr>
          <w:rFonts w:ascii="Palatino Linotype" w:eastAsia="Calibri" w:hAnsi="Palatino Linotype" w:cs="Tahoma"/>
          <w:bCs/>
          <w:szCs w:val="22"/>
        </w:rPr>
        <w:t>víctima</w:t>
      </w:r>
      <w:r w:rsidRPr="00695B2C">
        <w:rPr>
          <w:rFonts w:ascii="Palatino Linotype" w:eastAsia="Calibri" w:hAnsi="Palatino Linotype" w:cs="Tahoma"/>
          <w:bCs/>
          <w:szCs w:val="22"/>
        </w:rPr>
        <w:t xml:space="preserve">, información consultable en la liga de acceso directo </w:t>
      </w:r>
      <w:hyperlink r:id="rId42" w:history="1">
        <w:r w:rsidR="00B42D8B" w:rsidRPr="00695B2C">
          <w:rPr>
            <w:rStyle w:val="Hipervnculo"/>
            <w:rFonts w:ascii="Palatino Linotype" w:eastAsia="Calibri" w:hAnsi="Palatino Linotype" w:cs="Tahoma"/>
            <w:bCs/>
            <w:szCs w:val="22"/>
          </w:rPr>
          <w:t>https://www.youtube.com/watch?v=HDc_gHsJ9wY</w:t>
        </w:r>
      </w:hyperlink>
      <w:r w:rsidR="00B42D8B" w:rsidRPr="00695B2C">
        <w:rPr>
          <w:rFonts w:ascii="Palatino Linotype" w:eastAsia="Calibri" w:hAnsi="Palatino Linotype" w:cs="Tahoma"/>
          <w:bCs/>
          <w:szCs w:val="22"/>
        </w:rPr>
        <w:t xml:space="preserve">, asimismo </w:t>
      </w:r>
      <w:r w:rsidR="00B45217">
        <w:rPr>
          <w:rFonts w:ascii="Palatino Linotype" w:eastAsia="Calibri" w:hAnsi="Palatino Linotype" w:cs="Tahoma"/>
          <w:bCs/>
          <w:szCs w:val="22"/>
        </w:rPr>
        <w:t>en</w:t>
      </w:r>
      <w:r w:rsidR="00B42D8B" w:rsidRPr="00695B2C">
        <w:rPr>
          <w:rFonts w:ascii="Palatino Linotype" w:eastAsia="Calibri" w:hAnsi="Palatino Linotype" w:cs="Tahoma"/>
          <w:bCs/>
          <w:szCs w:val="22"/>
        </w:rPr>
        <w:t xml:space="preserve"> la declaración inicial, por la cual detalló como dispuso de cada parte del cuerpo de su última víctima.</w:t>
      </w:r>
    </w:p>
    <w:p w14:paraId="46FB4403" w14:textId="4CEC0B7B" w:rsidR="00B42D8B" w:rsidRPr="00695B2C" w:rsidRDefault="00B45217" w:rsidP="006461DA">
      <w:pPr>
        <w:spacing w:after="0" w:line="360" w:lineRule="auto"/>
        <w:ind w:right="-93"/>
        <w:rPr>
          <w:rFonts w:eastAsia="Calibri" w:cs="Tahoma"/>
          <w:bCs/>
        </w:rPr>
      </w:pPr>
      <w:r>
        <w:rPr>
          <w:rFonts w:eastAsia="Calibri" w:cs="Tahoma"/>
          <w:bCs/>
          <w:noProof/>
        </w:rPr>
        <mc:AlternateContent>
          <mc:Choice Requires="wps">
            <w:drawing>
              <wp:anchor distT="0" distB="0" distL="114300" distR="114300" simplePos="0" relativeHeight="251663360" behindDoc="0" locked="0" layoutInCell="1" allowOverlap="1" wp14:anchorId="16815769" wp14:editId="449BD732">
                <wp:simplePos x="0" y="0"/>
                <wp:positionH relativeFrom="column">
                  <wp:posOffset>329565</wp:posOffset>
                </wp:positionH>
                <wp:positionV relativeFrom="paragraph">
                  <wp:posOffset>635</wp:posOffset>
                </wp:positionV>
                <wp:extent cx="5524500" cy="1663700"/>
                <wp:effectExtent l="0" t="0" r="19050" b="31750"/>
                <wp:wrapNone/>
                <wp:docPr id="14" name="Conector recto 14"/>
                <wp:cNvGraphicFramePr/>
                <a:graphic xmlns:a="http://schemas.openxmlformats.org/drawingml/2006/main">
                  <a:graphicData uri="http://schemas.microsoft.com/office/word/2010/wordprocessingShape">
                    <wps:wsp>
                      <wps:cNvCnPr/>
                      <wps:spPr>
                        <a:xfrm flipV="1">
                          <a:off x="0" y="0"/>
                          <a:ext cx="5524500" cy="16637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BF48CE" id="Conector recto 14" o:spid="_x0000_s1026" style="position:absolute;flip:y;z-index:251663360;visibility:visible;mso-wrap-style:square;mso-wrap-distance-left:9pt;mso-wrap-distance-top:0;mso-wrap-distance-right:9pt;mso-wrap-distance-bottom:0;mso-position-horizontal:absolute;mso-position-horizontal-relative:text;mso-position-vertical:absolute;mso-position-vertical-relative:text" from="25.95pt,.05pt" to="460.95pt,13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" strokecolor="#5b9bd5 [3204]" strokeweight=".5pt">
                <v:stroke joinstyle="miter"/>
              </v:line>
            </w:pict>
          </mc:Fallback>
        </mc:AlternateContent>
      </w:r>
    </w:p>
    <w:p w14:paraId="51694DDA" w14:textId="2AD769E4" w:rsidR="00B42D8B" w:rsidRPr="00695B2C" w:rsidRDefault="00B42D8B" w:rsidP="006461DA">
      <w:pPr>
        <w:spacing w:after="0" w:line="360" w:lineRule="auto"/>
        <w:ind w:right="-93"/>
        <w:jc w:val="center"/>
        <w:rPr>
          <w:rFonts w:eastAsia="Calibri" w:cs="Tahoma"/>
          <w:bCs/>
        </w:rPr>
      </w:pPr>
      <w:r w:rsidRPr="00695B2C">
        <w:rPr>
          <w:noProof/>
        </w:rPr>
        <w:drawing>
          <wp:inline distT="0" distB="0" distL="0" distR="0" wp14:anchorId="250619DC" wp14:editId="20393A78">
            <wp:extent cx="5467350" cy="2971146"/>
            <wp:effectExtent l="0" t="0" r="0" b="1270"/>
            <wp:docPr id="32" name="Imagen 32"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Una captura de pantalla de una computadora&#10;&#10;Descripción generada automáticamente"/>
                    <pic:cNvPicPr/>
                  </pic:nvPicPr>
                  <pic:blipFill rotWithShape="1">
                    <a:blip r:embed="rId43"/>
                    <a:srcRect l="2303" t="9068" r="16292" b="12247"/>
                    <a:stretch/>
                  </pic:blipFill>
                  <pic:spPr bwMode="auto">
                    <a:xfrm>
                      <a:off x="0" y="0"/>
                      <a:ext cx="5476980" cy="2976379"/>
                    </a:xfrm>
                    <a:prstGeom prst="rect">
                      <a:avLst/>
                    </a:prstGeom>
                    <a:ln>
                      <a:noFill/>
                    </a:ln>
                    <a:extLst>
                      <a:ext uri="{53640926-AAD7-44D8-BBD7-CCE9431645EC}">
                        <a14:shadowObscured xmlns:a14="http://schemas.microsoft.com/office/drawing/2010/main"/>
                      </a:ext>
                    </a:extLst>
                  </pic:spPr>
                </pic:pic>
              </a:graphicData>
            </a:graphic>
          </wp:inline>
        </w:drawing>
      </w:r>
    </w:p>
    <w:p w14:paraId="1B6165C2" w14:textId="49A95547" w:rsidR="00B42D8B" w:rsidRPr="00B45217" w:rsidRDefault="00B42D8B" w:rsidP="006461DA">
      <w:pPr>
        <w:spacing w:after="0" w:line="360" w:lineRule="auto"/>
        <w:ind w:left="567" w:right="567"/>
        <w:rPr>
          <w:rFonts w:eastAsia="Calibri" w:cs="Tahoma"/>
          <w:bCs/>
          <w:sz w:val="20"/>
          <w:szCs w:val="20"/>
        </w:rPr>
      </w:pPr>
      <w:r w:rsidRPr="00B45217">
        <w:rPr>
          <w:rFonts w:eastAsia="Calibri" w:cs="Tahoma"/>
          <w:bCs/>
          <w:sz w:val="20"/>
          <w:szCs w:val="20"/>
        </w:rPr>
        <w:t>(Imagen recuperada el treinta y uno de mayo del dos mil veintidós a las diecinueve horas con veintitrés minutos, en la liga de acceso directo señalada en el punto precedente)</w:t>
      </w:r>
      <w:r w:rsidR="00B45217" w:rsidRPr="00B45217">
        <w:rPr>
          <w:rFonts w:eastAsia="Calibri" w:cs="Tahoma"/>
          <w:bCs/>
          <w:sz w:val="20"/>
          <w:szCs w:val="20"/>
        </w:rPr>
        <w:t>.</w:t>
      </w:r>
    </w:p>
    <w:p w14:paraId="00397078" w14:textId="77777777" w:rsidR="00B45217" w:rsidRPr="00695B2C" w:rsidRDefault="00B45217" w:rsidP="006461DA">
      <w:pPr>
        <w:spacing w:after="0" w:line="360" w:lineRule="auto"/>
        <w:ind w:right="-93"/>
        <w:jc w:val="center"/>
        <w:rPr>
          <w:rFonts w:eastAsia="Calibri" w:cs="Tahoma"/>
          <w:bCs/>
        </w:rPr>
      </w:pPr>
    </w:p>
    <w:p w14:paraId="4F6F39DB" w14:textId="683B98E8" w:rsidR="003466FD" w:rsidRPr="00695B2C" w:rsidRDefault="003466FD" w:rsidP="006461DA">
      <w:pPr>
        <w:pStyle w:val="Prrafodelista"/>
        <w:numPr>
          <w:ilvl w:val="1"/>
          <w:numId w:val="14"/>
        </w:numPr>
        <w:spacing w:line="360" w:lineRule="auto"/>
        <w:ind w:right="-93"/>
        <w:jc w:val="both"/>
        <w:rPr>
          <w:rFonts w:ascii="Palatino Linotype" w:eastAsia="Calibri" w:hAnsi="Palatino Linotype" w:cs="Tahoma"/>
          <w:bCs/>
          <w:szCs w:val="22"/>
        </w:rPr>
      </w:pPr>
      <w:r w:rsidRPr="00695B2C">
        <w:rPr>
          <w:rFonts w:ascii="Palatino Linotype" w:eastAsia="Calibri" w:hAnsi="Palatino Linotype" w:cs="Tahoma"/>
          <w:bCs/>
          <w:szCs w:val="22"/>
        </w:rPr>
        <w:lastRenderedPageBreak/>
        <w:t xml:space="preserve">Asimismo, </w:t>
      </w:r>
      <w:r w:rsidR="00275047" w:rsidRPr="00695B2C">
        <w:rPr>
          <w:rFonts w:ascii="Palatino Linotype" w:eastAsia="Calibri" w:hAnsi="Palatino Linotype" w:cs="Tahoma"/>
          <w:bCs/>
          <w:szCs w:val="22"/>
        </w:rPr>
        <w:t xml:space="preserve">se revelaron las evidencias, como </w:t>
      </w:r>
      <w:r w:rsidR="002529DD" w:rsidRPr="00695B2C">
        <w:rPr>
          <w:rFonts w:ascii="Palatino Linotype" w:eastAsia="Calibri" w:hAnsi="Palatino Linotype" w:cs="Tahoma"/>
          <w:bCs/>
          <w:szCs w:val="22"/>
        </w:rPr>
        <w:t xml:space="preserve">la </w:t>
      </w:r>
      <w:r w:rsidR="00275047" w:rsidRPr="00695B2C">
        <w:rPr>
          <w:rFonts w:ascii="Palatino Linotype" w:eastAsia="Calibri" w:hAnsi="Palatino Linotype" w:cs="Tahoma"/>
          <w:bCs/>
          <w:szCs w:val="22"/>
        </w:rPr>
        <w:t xml:space="preserve">ropa, zapatos, bolsos, maquillaje, collares, aretes, anillos, pulseras y cadenas, también se encontró una libreta con varios nombres, </w:t>
      </w:r>
      <w:r w:rsidR="001E6553" w:rsidRPr="00695B2C">
        <w:rPr>
          <w:rFonts w:ascii="Palatino Linotype" w:eastAsia="Calibri" w:hAnsi="Palatino Linotype" w:cs="Tahoma"/>
          <w:bCs/>
          <w:szCs w:val="22"/>
        </w:rPr>
        <w:t xml:space="preserve">lo que se presume </w:t>
      </w:r>
      <w:r w:rsidR="002529DD" w:rsidRPr="00695B2C">
        <w:rPr>
          <w:rFonts w:ascii="Palatino Linotype" w:eastAsia="Calibri" w:hAnsi="Palatino Linotype" w:cs="Tahoma"/>
          <w:bCs/>
          <w:szCs w:val="22"/>
        </w:rPr>
        <w:t xml:space="preserve">es </w:t>
      </w:r>
      <w:r w:rsidR="001E6553" w:rsidRPr="00695B2C">
        <w:rPr>
          <w:rFonts w:ascii="Palatino Linotype" w:eastAsia="Calibri" w:hAnsi="Palatino Linotype" w:cs="Tahoma"/>
          <w:bCs/>
          <w:szCs w:val="22"/>
        </w:rPr>
        <w:t xml:space="preserve">un registro de las víctimas, que incluso presentaba marcas de labial, </w:t>
      </w:r>
      <w:r w:rsidR="00275047" w:rsidRPr="00695B2C">
        <w:rPr>
          <w:rFonts w:ascii="Palatino Linotype" w:eastAsia="Calibri" w:hAnsi="Palatino Linotype" w:cs="Tahoma"/>
          <w:bCs/>
          <w:szCs w:val="22"/>
        </w:rPr>
        <w:t xml:space="preserve"> </w:t>
      </w:r>
      <w:r w:rsidR="001E6553" w:rsidRPr="00695B2C">
        <w:rPr>
          <w:rFonts w:ascii="Palatino Linotype" w:eastAsia="Calibri" w:hAnsi="Palatino Linotype" w:cs="Tahoma"/>
          <w:bCs/>
          <w:szCs w:val="22"/>
        </w:rPr>
        <w:t xml:space="preserve">cráneos, cabelleras completas, un par de pies cortados y una lima para afilar objetos punzocortantes, evidencias encontradas en el inmueble, como puede identificarse en la información aportada por “El Imparcial”, a través del video localizable en la liga de acceso directo </w:t>
      </w:r>
      <w:hyperlink r:id="rId44" w:history="1">
        <w:r w:rsidR="001E6553" w:rsidRPr="00695B2C">
          <w:rPr>
            <w:rStyle w:val="Hipervnculo"/>
            <w:rFonts w:ascii="Palatino Linotype" w:eastAsia="Calibri" w:hAnsi="Palatino Linotype" w:cs="Tahoma"/>
            <w:bCs/>
            <w:szCs w:val="22"/>
          </w:rPr>
          <w:t>https://www.youtube.com/watch?v=bi1hZuh_vEo</w:t>
        </w:r>
      </w:hyperlink>
      <w:r w:rsidR="001E6553" w:rsidRPr="00695B2C">
        <w:rPr>
          <w:rFonts w:ascii="Palatino Linotype" w:eastAsia="Calibri" w:hAnsi="Palatino Linotype" w:cs="Tahoma"/>
          <w:bCs/>
          <w:szCs w:val="22"/>
        </w:rPr>
        <w:t xml:space="preserve">. </w:t>
      </w:r>
    </w:p>
    <w:p w14:paraId="60050D19" w14:textId="042AD93F" w:rsidR="001E6553" w:rsidRPr="00695B2C" w:rsidRDefault="001E6553" w:rsidP="006461DA">
      <w:pPr>
        <w:spacing w:after="0" w:line="360" w:lineRule="auto"/>
        <w:ind w:right="-93"/>
        <w:jc w:val="center"/>
        <w:rPr>
          <w:rFonts w:eastAsia="Calibri" w:cs="Tahoma"/>
          <w:bCs/>
        </w:rPr>
      </w:pPr>
      <w:r w:rsidRPr="00695B2C">
        <w:rPr>
          <w:noProof/>
        </w:rPr>
        <w:drawing>
          <wp:inline distT="0" distB="0" distL="0" distR="0" wp14:anchorId="7ADCEC66" wp14:editId="5F8649F1">
            <wp:extent cx="5085406" cy="3171825"/>
            <wp:effectExtent l="0" t="0" r="1270" b="0"/>
            <wp:docPr id="25" name="Imagen 25" descr="Captura de pantalla de un celular con texto e imágen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Captura de pantalla de un celular con texto e imágenes&#10;&#10;Descripción generada automáticamente"/>
                    <pic:cNvPicPr/>
                  </pic:nvPicPr>
                  <pic:blipFill rotWithShape="1">
                    <a:blip r:embed="rId45"/>
                    <a:srcRect l="2138" t="17258" r="34054" b="11954"/>
                    <a:stretch/>
                  </pic:blipFill>
                  <pic:spPr bwMode="auto">
                    <a:xfrm>
                      <a:off x="0" y="0"/>
                      <a:ext cx="5096465" cy="3178722"/>
                    </a:xfrm>
                    <a:prstGeom prst="rect">
                      <a:avLst/>
                    </a:prstGeom>
                    <a:ln>
                      <a:noFill/>
                    </a:ln>
                    <a:extLst>
                      <a:ext uri="{53640926-AAD7-44D8-BBD7-CCE9431645EC}">
                        <a14:shadowObscured xmlns:a14="http://schemas.microsoft.com/office/drawing/2010/main"/>
                      </a:ext>
                    </a:extLst>
                  </pic:spPr>
                </pic:pic>
              </a:graphicData>
            </a:graphic>
          </wp:inline>
        </w:drawing>
      </w:r>
    </w:p>
    <w:p w14:paraId="26238BD9" w14:textId="26DE7C3F" w:rsidR="00CC5FF1" w:rsidRDefault="00CC5FF1" w:rsidP="006461DA">
      <w:pPr>
        <w:spacing w:after="0" w:line="360" w:lineRule="auto"/>
        <w:ind w:left="567" w:right="567"/>
        <w:rPr>
          <w:rFonts w:eastAsia="Calibri" w:cs="Tahoma"/>
          <w:bCs/>
          <w:sz w:val="20"/>
          <w:szCs w:val="20"/>
        </w:rPr>
      </w:pPr>
      <w:r w:rsidRPr="00D80FF3">
        <w:rPr>
          <w:rFonts w:eastAsia="Calibri" w:cs="Tahoma"/>
          <w:bCs/>
          <w:sz w:val="20"/>
          <w:szCs w:val="20"/>
        </w:rPr>
        <w:t>(</w:t>
      </w:r>
      <w:r w:rsidR="00DB1014" w:rsidRPr="00D80FF3">
        <w:rPr>
          <w:rFonts w:eastAsia="Calibri" w:cs="Tahoma"/>
          <w:bCs/>
          <w:sz w:val="20"/>
          <w:szCs w:val="20"/>
        </w:rPr>
        <w:t>I</w:t>
      </w:r>
      <w:r w:rsidRPr="00D80FF3">
        <w:rPr>
          <w:rFonts w:eastAsia="Calibri" w:cs="Tahoma"/>
          <w:bCs/>
          <w:sz w:val="20"/>
          <w:szCs w:val="20"/>
        </w:rPr>
        <w:t xml:space="preserve">magen recuperada el treinta y uno de mayo del dos mil veintidós a las diecinueve horas con cincuenta minutos, en la liga de acceso directo señalada </w:t>
      </w:r>
      <w:r w:rsidR="006059EA" w:rsidRPr="00D80FF3">
        <w:rPr>
          <w:rFonts w:eastAsia="Calibri" w:cs="Tahoma"/>
          <w:bCs/>
          <w:sz w:val="20"/>
          <w:szCs w:val="20"/>
        </w:rPr>
        <w:t>en el punto precedente</w:t>
      </w:r>
      <w:r w:rsidRPr="00D80FF3">
        <w:rPr>
          <w:rFonts w:eastAsia="Calibri" w:cs="Tahoma"/>
          <w:bCs/>
          <w:sz w:val="20"/>
          <w:szCs w:val="20"/>
        </w:rPr>
        <w:t>)</w:t>
      </w:r>
      <w:r w:rsidR="00D80FF3">
        <w:rPr>
          <w:rFonts w:eastAsia="Calibri" w:cs="Tahoma"/>
          <w:bCs/>
          <w:sz w:val="20"/>
          <w:szCs w:val="20"/>
        </w:rPr>
        <w:t>.</w:t>
      </w:r>
    </w:p>
    <w:p w14:paraId="405132F3" w14:textId="77777777" w:rsidR="00D80FF3" w:rsidRPr="00D80FF3" w:rsidRDefault="00D80FF3" w:rsidP="006461DA">
      <w:pPr>
        <w:spacing w:after="0" w:line="360" w:lineRule="auto"/>
        <w:ind w:left="567" w:right="567"/>
        <w:rPr>
          <w:rFonts w:eastAsia="Calibri" w:cs="Tahoma"/>
          <w:bCs/>
          <w:sz w:val="20"/>
          <w:szCs w:val="20"/>
        </w:rPr>
      </w:pPr>
    </w:p>
    <w:p w14:paraId="4065E7E6" w14:textId="4924CA9B" w:rsidR="00DB1014" w:rsidRPr="00695B2C" w:rsidRDefault="00DB1014" w:rsidP="006461DA">
      <w:pPr>
        <w:pStyle w:val="Prrafodelista"/>
        <w:numPr>
          <w:ilvl w:val="1"/>
          <w:numId w:val="14"/>
        </w:numPr>
        <w:spacing w:line="360" w:lineRule="auto"/>
        <w:ind w:right="-93"/>
        <w:jc w:val="both"/>
        <w:rPr>
          <w:rFonts w:ascii="Palatino Linotype" w:eastAsia="Calibri" w:hAnsi="Palatino Linotype" w:cs="Tahoma"/>
          <w:bCs/>
          <w:szCs w:val="22"/>
        </w:rPr>
      </w:pPr>
      <w:r w:rsidRPr="00695B2C">
        <w:rPr>
          <w:rFonts w:ascii="Palatino Linotype" w:eastAsia="Calibri" w:hAnsi="Palatino Linotype" w:cs="Tahoma"/>
          <w:bCs/>
          <w:szCs w:val="22"/>
        </w:rPr>
        <w:t xml:space="preserve">Se filtraron incluso documentales, como credencial para votar del imputado (minuto 2:15 del video consultable en la liga de acceso directo </w:t>
      </w:r>
      <w:hyperlink r:id="rId46" w:history="1">
        <w:r w:rsidRPr="00695B2C">
          <w:rPr>
            <w:rStyle w:val="Hipervnculo"/>
            <w:rFonts w:ascii="Palatino Linotype" w:eastAsia="Calibri" w:hAnsi="Palatino Linotype" w:cs="Tahoma"/>
            <w:bCs/>
            <w:szCs w:val="22"/>
          </w:rPr>
          <w:t>https://www.youtube.com/watch?v=wY2I97E6WHE</w:t>
        </w:r>
      </w:hyperlink>
      <w:r w:rsidRPr="00695B2C">
        <w:rPr>
          <w:rFonts w:ascii="Palatino Linotype" w:eastAsia="Calibri" w:hAnsi="Palatino Linotype" w:cs="Tahoma"/>
          <w:bCs/>
          <w:szCs w:val="22"/>
        </w:rPr>
        <w:t>).</w:t>
      </w:r>
    </w:p>
    <w:p w14:paraId="60F63D20" w14:textId="0E2D4C73" w:rsidR="00DB1014" w:rsidRPr="00695B2C" w:rsidRDefault="00DB1014" w:rsidP="006461DA">
      <w:pPr>
        <w:spacing w:after="0" w:line="360" w:lineRule="auto"/>
        <w:ind w:right="-93"/>
        <w:jc w:val="center"/>
        <w:rPr>
          <w:rFonts w:eastAsia="Calibri" w:cs="Tahoma"/>
          <w:bCs/>
        </w:rPr>
      </w:pPr>
      <w:r w:rsidRPr="00695B2C">
        <w:rPr>
          <w:noProof/>
        </w:rPr>
        <w:lastRenderedPageBreak/>
        <w:drawing>
          <wp:inline distT="0" distB="0" distL="0" distR="0" wp14:anchorId="7ADA9B0F" wp14:editId="3E6F18C3">
            <wp:extent cx="3279590" cy="1914525"/>
            <wp:effectExtent l="0" t="0" r="0" b="0"/>
            <wp:docPr id="29" name="Imagen 2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nterfaz de usuario gráfica&#10;&#10;Descripción generada automáticamente"/>
                    <pic:cNvPicPr/>
                  </pic:nvPicPr>
                  <pic:blipFill rotWithShape="1">
                    <a:blip r:embed="rId47"/>
                    <a:srcRect l="2466" t="18136" r="34712" b="16634"/>
                    <a:stretch/>
                  </pic:blipFill>
                  <pic:spPr bwMode="auto">
                    <a:xfrm>
                      <a:off x="0" y="0"/>
                      <a:ext cx="3281172" cy="1915449"/>
                    </a:xfrm>
                    <a:prstGeom prst="rect">
                      <a:avLst/>
                    </a:prstGeom>
                    <a:ln>
                      <a:noFill/>
                    </a:ln>
                    <a:extLst>
                      <a:ext uri="{53640926-AAD7-44D8-BBD7-CCE9431645EC}">
                        <a14:shadowObscured xmlns:a14="http://schemas.microsoft.com/office/drawing/2010/main"/>
                      </a:ext>
                    </a:extLst>
                  </pic:spPr>
                </pic:pic>
              </a:graphicData>
            </a:graphic>
          </wp:inline>
        </w:drawing>
      </w:r>
    </w:p>
    <w:p w14:paraId="3F5C5958" w14:textId="0CB59F2F" w:rsidR="00DB1014" w:rsidRPr="008F2368" w:rsidRDefault="00DB1014" w:rsidP="006461DA">
      <w:pPr>
        <w:spacing w:after="0" w:line="360" w:lineRule="auto"/>
        <w:ind w:left="567" w:right="567"/>
        <w:rPr>
          <w:rFonts w:eastAsia="Calibri" w:cs="Tahoma"/>
          <w:bCs/>
          <w:sz w:val="20"/>
          <w:szCs w:val="20"/>
        </w:rPr>
      </w:pPr>
      <w:r w:rsidRPr="008F2368">
        <w:rPr>
          <w:rFonts w:eastAsia="Calibri" w:cs="Tahoma"/>
          <w:bCs/>
          <w:sz w:val="20"/>
          <w:szCs w:val="20"/>
        </w:rPr>
        <w:t>(Imagen recuperada el treinta y uno de mayo del dos mil veintidós a las veinte horas con dieciséis minutos, en la liga de acceso directo señalada en el punto precedente)</w:t>
      </w:r>
      <w:r w:rsidR="008F2368">
        <w:rPr>
          <w:rFonts w:eastAsia="Calibri" w:cs="Tahoma"/>
          <w:bCs/>
          <w:sz w:val="20"/>
          <w:szCs w:val="20"/>
        </w:rPr>
        <w:t>.</w:t>
      </w:r>
    </w:p>
    <w:p w14:paraId="2214C3FF" w14:textId="0A4E3AE8" w:rsidR="006059EA" w:rsidRPr="00695B2C" w:rsidRDefault="006059EA" w:rsidP="006461DA">
      <w:pPr>
        <w:pStyle w:val="Prrafodelista"/>
        <w:numPr>
          <w:ilvl w:val="1"/>
          <w:numId w:val="14"/>
        </w:numPr>
        <w:spacing w:line="360" w:lineRule="auto"/>
        <w:ind w:right="-93"/>
        <w:jc w:val="both"/>
        <w:rPr>
          <w:rFonts w:ascii="Palatino Linotype" w:eastAsia="Calibri" w:hAnsi="Palatino Linotype" w:cs="Tahoma"/>
          <w:bCs/>
          <w:szCs w:val="22"/>
        </w:rPr>
      </w:pPr>
      <w:r w:rsidRPr="00695B2C">
        <w:rPr>
          <w:rFonts w:ascii="Palatino Linotype" w:eastAsia="Calibri" w:hAnsi="Palatino Linotype" w:cs="Tahoma"/>
          <w:bCs/>
          <w:szCs w:val="22"/>
        </w:rPr>
        <w:t xml:space="preserve">Se determinó la comisión de al menos quince homicidios, acontecidos en un periodo que inició hace veinte años. Información </w:t>
      </w:r>
      <w:r w:rsidR="00FD6BE7">
        <w:rPr>
          <w:rFonts w:ascii="Palatino Linotype" w:eastAsia="Calibri" w:hAnsi="Palatino Linotype" w:cs="Tahoma"/>
          <w:bCs/>
          <w:szCs w:val="22"/>
        </w:rPr>
        <w:t xml:space="preserve">fue </w:t>
      </w:r>
      <w:r w:rsidRPr="00695B2C">
        <w:rPr>
          <w:rFonts w:ascii="Palatino Linotype" w:eastAsia="Calibri" w:hAnsi="Palatino Linotype" w:cs="Tahoma"/>
          <w:bCs/>
          <w:szCs w:val="22"/>
        </w:rPr>
        <w:t xml:space="preserve">publicada por Telediario en la liga de acceso directo </w:t>
      </w:r>
      <w:hyperlink r:id="rId48" w:history="1">
        <w:r w:rsidRPr="00695B2C">
          <w:rPr>
            <w:rStyle w:val="Hipervnculo"/>
            <w:rFonts w:ascii="Palatino Linotype" w:eastAsia="Calibri" w:hAnsi="Palatino Linotype" w:cs="Tahoma"/>
            <w:bCs/>
            <w:szCs w:val="22"/>
          </w:rPr>
          <w:t>https://www.youtube.com/watch?v=_TKZihzYzTQ</w:t>
        </w:r>
      </w:hyperlink>
      <w:r w:rsidRPr="00695B2C">
        <w:rPr>
          <w:rFonts w:ascii="Palatino Linotype" w:eastAsia="Calibri" w:hAnsi="Palatino Linotype" w:cs="Tahoma"/>
          <w:bCs/>
          <w:szCs w:val="22"/>
        </w:rPr>
        <w:t>.</w:t>
      </w:r>
    </w:p>
    <w:p w14:paraId="0D22FAED" w14:textId="409DB020" w:rsidR="006059EA" w:rsidRPr="00695B2C" w:rsidRDefault="006059EA" w:rsidP="006461DA">
      <w:pPr>
        <w:spacing w:after="0" w:line="360" w:lineRule="auto"/>
        <w:ind w:right="-93"/>
        <w:rPr>
          <w:rFonts w:eastAsia="Calibri" w:cs="Tahoma"/>
          <w:bCs/>
        </w:rPr>
      </w:pPr>
    </w:p>
    <w:p w14:paraId="7C7A93F6" w14:textId="0C08581F" w:rsidR="006059EA" w:rsidRPr="00695B2C" w:rsidRDefault="006059EA" w:rsidP="006461DA">
      <w:pPr>
        <w:spacing w:after="0" w:line="360" w:lineRule="auto"/>
        <w:ind w:right="-93"/>
        <w:jc w:val="center"/>
        <w:rPr>
          <w:rFonts w:eastAsia="Calibri" w:cs="Tahoma"/>
          <w:bCs/>
        </w:rPr>
      </w:pPr>
      <w:r w:rsidRPr="00695B2C">
        <w:rPr>
          <w:noProof/>
        </w:rPr>
        <w:drawing>
          <wp:inline distT="0" distB="0" distL="0" distR="0" wp14:anchorId="3729651E" wp14:editId="00614CAE">
            <wp:extent cx="3991625" cy="3162300"/>
            <wp:effectExtent l="0" t="0" r="8890" b="0"/>
            <wp:docPr id="27" name="Imagen 2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 Sitio web&#10;&#10;Descripción generada automáticamente"/>
                    <pic:cNvPicPr/>
                  </pic:nvPicPr>
                  <pic:blipFill rotWithShape="1">
                    <a:blip r:embed="rId49"/>
                    <a:srcRect l="2960" t="4787" r="34218" b="6688"/>
                    <a:stretch/>
                  </pic:blipFill>
                  <pic:spPr bwMode="auto">
                    <a:xfrm>
                      <a:off x="0" y="0"/>
                      <a:ext cx="3999324" cy="3168399"/>
                    </a:xfrm>
                    <a:prstGeom prst="rect">
                      <a:avLst/>
                    </a:prstGeom>
                    <a:ln>
                      <a:noFill/>
                    </a:ln>
                    <a:extLst>
                      <a:ext uri="{53640926-AAD7-44D8-BBD7-CCE9431645EC}">
                        <a14:shadowObscured xmlns:a14="http://schemas.microsoft.com/office/drawing/2010/main"/>
                      </a:ext>
                    </a:extLst>
                  </pic:spPr>
                </pic:pic>
              </a:graphicData>
            </a:graphic>
          </wp:inline>
        </w:drawing>
      </w:r>
    </w:p>
    <w:p w14:paraId="4F9AAE4D" w14:textId="014C7C06" w:rsidR="006059EA" w:rsidRDefault="006059EA" w:rsidP="006461DA">
      <w:pPr>
        <w:spacing w:after="0" w:line="360" w:lineRule="auto"/>
        <w:ind w:left="567" w:right="567"/>
        <w:jc w:val="left"/>
        <w:rPr>
          <w:rFonts w:eastAsia="Calibri" w:cs="Tahoma"/>
          <w:bCs/>
          <w:sz w:val="20"/>
          <w:szCs w:val="20"/>
        </w:rPr>
      </w:pPr>
      <w:r w:rsidRPr="00FD6BE7">
        <w:rPr>
          <w:rFonts w:eastAsia="Calibri" w:cs="Tahoma"/>
          <w:bCs/>
          <w:sz w:val="20"/>
          <w:szCs w:val="20"/>
        </w:rPr>
        <w:t>(</w:t>
      </w:r>
      <w:r w:rsidR="00DB1014" w:rsidRPr="00FD6BE7">
        <w:rPr>
          <w:rFonts w:eastAsia="Calibri" w:cs="Tahoma"/>
          <w:bCs/>
          <w:sz w:val="20"/>
          <w:szCs w:val="20"/>
        </w:rPr>
        <w:t>I</w:t>
      </w:r>
      <w:r w:rsidRPr="00FD6BE7">
        <w:rPr>
          <w:rFonts w:eastAsia="Calibri" w:cs="Tahoma"/>
          <w:bCs/>
          <w:sz w:val="20"/>
          <w:szCs w:val="20"/>
        </w:rPr>
        <w:t>magen recuperada el treinta y uno de mayo del dos mil veintidós a las veinte horas con cinco minutos, en la liga de acceso directo señalada en el punto precedente)</w:t>
      </w:r>
      <w:r w:rsidR="00FD6BE7">
        <w:rPr>
          <w:rFonts w:eastAsia="Calibri" w:cs="Tahoma"/>
          <w:bCs/>
          <w:sz w:val="20"/>
          <w:szCs w:val="20"/>
        </w:rPr>
        <w:t>.</w:t>
      </w:r>
    </w:p>
    <w:p w14:paraId="6E3EA79A" w14:textId="77777777" w:rsidR="004A4973" w:rsidRPr="00FD6BE7" w:rsidRDefault="004A4973" w:rsidP="006461DA">
      <w:pPr>
        <w:spacing w:after="0" w:line="360" w:lineRule="auto"/>
        <w:ind w:left="567" w:right="567"/>
        <w:jc w:val="left"/>
        <w:rPr>
          <w:rFonts w:eastAsia="Calibri" w:cs="Tahoma"/>
          <w:bCs/>
          <w:sz w:val="20"/>
          <w:szCs w:val="20"/>
        </w:rPr>
      </w:pPr>
    </w:p>
    <w:p w14:paraId="1956B598" w14:textId="2E8139A2" w:rsidR="00CC5FF1" w:rsidRPr="00695B2C" w:rsidRDefault="00DB1014" w:rsidP="006461DA">
      <w:pPr>
        <w:pStyle w:val="Prrafodelista"/>
        <w:numPr>
          <w:ilvl w:val="1"/>
          <w:numId w:val="14"/>
        </w:numPr>
        <w:spacing w:line="360" w:lineRule="auto"/>
        <w:ind w:right="-93"/>
        <w:jc w:val="both"/>
        <w:rPr>
          <w:rFonts w:ascii="Palatino Linotype" w:eastAsia="Calibri" w:hAnsi="Palatino Linotype" w:cs="Tahoma"/>
          <w:bCs/>
          <w:szCs w:val="22"/>
        </w:rPr>
      </w:pPr>
      <w:r w:rsidRPr="00695B2C">
        <w:rPr>
          <w:rFonts w:ascii="Palatino Linotype" w:eastAsia="Calibri" w:hAnsi="Palatino Linotype" w:cs="Tahoma"/>
          <w:bCs/>
          <w:szCs w:val="22"/>
        </w:rPr>
        <w:t>Los medios de comunicación afirman que e</w:t>
      </w:r>
      <w:r w:rsidR="005221D9" w:rsidRPr="00695B2C">
        <w:rPr>
          <w:rFonts w:ascii="Palatino Linotype" w:eastAsia="Calibri" w:hAnsi="Palatino Linotype" w:cs="Tahoma"/>
          <w:bCs/>
          <w:szCs w:val="22"/>
        </w:rPr>
        <w:t xml:space="preserve">l imputado, confesó haber cometido al menos quince homicidios e incluso, haber realizado actos de canibalismo, esto se corrobora con la nota publicada en video por Excelsior Noticias, en la liga de acceso directo </w:t>
      </w:r>
      <w:hyperlink r:id="rId50" w:history="1">
        <w:r w:rsidR="005221D9" w:rsidRPr="00695B2C">
          <w:rPr>
            <w:rStyle w:val="Hipervnculo"/>
            <w:rFonts w:ascii="Palatino Linotype" w:eastAsia="Calibri" w:hAnsi="Palatino Linotype" w:cs="Tahoma"/>
            <w:bCs/>
            <w:szCs w:val="22"/>
          </w:rPr>
          <w:t>https://www.youtube.com/watch?v=wY2I97E6WHE</w:t>
        </w:r>
      </w:hyperlink>
      <w:r w:rsidR="005221D9" w:rsidRPr="00695B2C">
        <w:rPr>
          <w:rFonts w:ascii="Palatino Linotype" w:eastAsia="Calibri" w:hAnsi="Palatino Linotype" w:cs="Tahoma"/>
          <w:bCs/>
          <w:szCs w:val="22"/>
        </w:rPr>
        <w:t xml:space="preserve">. </w:t>
      </w:r>
    </w:p>
    <w:p w14:paraId="2B9679AB" w14:textId="77777777" w:rsidR="005221D9" w:rsidRPr="00695B2C" w:rsidRDefault="005221D9" w:rsidP="006461DA">
      <w:pPr>
        <w:spacing w:after="0" w:line="360" w:lineRule="auto"/>
        <w:ind w:right="-93"/>
        <w:rPr>
          <w:rFonts w:eastAsia="Calibri" w:cs="Tahoma"/>
          <w:bCs/>
        </w:rPr>
      </w:pPr>
    </w:p>
    <w:p w14:paraId="2614E3C8" w14:textId="3CB8D1D5" w:rsidR="001E6553" w:rsidRPr="00695B2C" w:rsidRDefault="001E6553" w:rsidP="006461DA">
      <w:pPr>
        <w:pStyle w:val="Prrafodelista"/>
        <w:numPr>
          <w:ilvl w:val="0"/>
          <w:numId w:val="14"/>
        </w:numPr>
        <w:spacing w:line="360" w:lineRule="auto"/>
        <w:ind w:right="-93"/>
        <w:jc w:val="both"/>
        <w:rPr>
          <w:rFonts w:ascii="Palatino Linotype" w:eastAsia="Calibri" w:hAnsi="Palatino Linotype" w:cs="Tahoma"/>
          <w:b/>
        </w:rPr>
      </w:pPr>
      <w:r w:rsidRPr="00695B2C">
        <w:rPr>
          <w:rFonts w:ascii="Palatino Linotype" w:eastAsia="Calibri" w:hAnsi="Palatino Linotype" w:cs="Tahoma"/>
          <w:b/>
        </w:rPr>
        <w:t xml:space="preserve">2 de junio del 2021. Investigación. </w:t>
      </w:r>
      <w:r w:rsidRPr="00695B2C">
        <w:rPr>
          <w:rFonts w:ascii="Palatino Linotype" w:eastAsia="Calibri" w:hAnsi="Palatino Linotype" w:cs="Tahoma"/>
          <w:bCs/>
        </w:rPr>
        <w:t xml:space="preserve">El periódico “El Universal”, señalo a través de una nota periodística consultable en la liga de acceso directo </w:t>
      </w:r>
      <w:hyperlink r:id="rId51" w:history="1">
        <w:r w:rsidRPr="00695B2C">
          <w:rPr>
            <w:rStyle w:val="Hipervnculo"/>
            <w:rFonts w:ascii="Palatino Linotype" w:eastAsia="Calibri" w:hAnsi="Palatino Linotype" w:cs="Tahoma"/>
            <w:bCs/>
          </w:rPr>
          <w:t>https://www.eluniversal.com.mx/metropoli/aun-indagan-vivienda-del-feminicida-de-atizapan</w:t>
        </w:r>
      </w:hyperlink>
      <w:r w:rsidRPr="00695B2C">
        <w:rPr>
          <w:rFonts w:ascii="Palatino Linotype" w:eastAsia="Calibri" w:hAnsi="Palatino Linotype" w:cs="Tahoma"/>
          <w:bCs/>
        </w:rPr>
        <w:t xml:space="preserve">, que la Fiscalía se encontraba realizando la investigación en el domicilio del imputado y se publicó también la dirección del inmueble en donde se encontraron los hallazgos. </w:t>
      </w:r>
    </w:p>
    <w:p w14:paraId="0A7325C2" w14:textId="77777777" w:rsidR="001E6553" w:rsidRPr="00695B2C" w:rsidRDefault="001E6553" w:rsidP="006461DA">
      <w:pPr>
        <w:pStyle w:val="Prrafodelista"/>
        <w:spacing w:line="360" w:lineRule="auto"/>
        <w:ind w:right="-93"/>
        <w:jc w:val="both"/>
        <w:rPr>
          <w:rFonts w:ascii="Palatino Linotype" w:eastAsia="Calibri" w:hAnsi="Palatino Linotype" w:cs="Tahoma"/>
          <w:b/>
        </w:rPr>
      </w:pPr>
    </w:p>
    <w:p w14:paraId="7E7C3C7E" w14:textId="77777777" w:rsidR="001E6553" w:rsidRPr="00695B2C" w:rsidRDefault="001E6553" w:rsidP="006461DA">
      <w:pPr>
        <w:pStyle w:val="Prrafodelista"/>
        <w:spacing w:line="360" w:lineRule="auto"/>
        <w:ind w:right="-93"/>
        <w:jc w:val="both"/>
        <w:rPr>
          <w:rFonts w:ascii="Palatino Linotype" w:eastAsia="Calibri" w:hAnsi="Palatino Linotype" w:cs="Tahoma"/>
          <w:bCs/>
        </w:rPr>
      </w:pPr>
      <w:r w:rsidRPr="00695B2C">
        <w:rPr>
          <w:rFonts w:ascii="Palatino Linotype" w:eastAsia="Calibri" w:hAnsi="Palatino Linotype" w:cs="Tahoma"/>
          <w:bCs/>
        </w:rPr>
        <w:t>Diversos medios de comunicación señalaron la continuación de la investigación y que se siguieron encontrando restos óseos.</w:t>
      </w:r>
    </w:p>
    <w:p w14:paraId="7F29B6BD" w14:textId="77777777" w:rsidR="001E6553" w:rsidRPr="00695B2C" w:rsidRDefault="001E6553" w:rsidP="006461DA">
      <w:pPr>
        <w:pStyle w:val="Prrafodelista"/>
        <w:spacing w:line="360" w:lineRule="auto"/>
        <w:ind w:right="-93"/>
        <w:jc w:val="both"/>
        <w:rPr>
          <w:rFonts w:ascii="Palatino Linotype" w:eastAsia="Calibri" w:hAnsi="Palatino Linotype" w:cs="Tahoma"/>
          <w:bCs/>
        </w:rPr>
      </w:pPr>
    </w:p>
    <w:p w14:paraId="7E54725C" w14:textId="443B2ACC" w:rsidR="001E6553" w:rsidRPr="00B825AB" w:rsidRDefault="001E6553" w:rsidP="006461DA">
      <w:pPr>
        <w:pStyle w:val="Prrafodelista"/>
        <w:numPr>
          <w:ilvl w:val="0"/>
          <w:numId w:val="14"/>
        </w:numPr>
        <w:spacing w:line="360" w:lineRule="auto"/>
        <w:ind w:right="-93"/>
        <w:jc w:val="both"/>
        <w:rPr>
          <w:rFonts w:ascii="Palatino Linotype" w:eastAsia="Calibri" w:hAnsi="Palatino Linotype" w:cs="Tahoma"/>
          <w:b/>
        </w:rPr>
      </w:pPr>
      <w:r w:rsidRPr="00695B2C">
        <w:rPr>
          <w:rFonts w:ascii="Palatino Linotype" w:eastAsia="Calibri" w:hAnsi="Palatino Linotype" w:cs="Tahoma"/>
          <w:b/>
        </w:rPr>
        <w:t xml:space="preserve">Julio 2021. Hallazgos. </w:t>
      </w:r>
      <w:r w:rsidRPr="00695B2C">
        <w:rPr>
          <w:rFonts w:ascii="Palatino Linotype" w:eastAsia="Calibri" w:hAnsi="Palatino Linotype" w:cs="Tahoma"/>
          <w:bCs/>
        </w:rPr>
        <w:t>Durante este mes, tanto el periódico “Proceso”, como “Reforma” a través de respectivos artículos publicados en las ligas de acceso directo,</w:t>
      </w:r>
      <w:r w:rsidRPr="00695B2C">
        <w:rPr>
          <w:rFonts w:ascii="Palatino Linotype" w:eastAsia="Calibri" w:hAnsi="Palatino Linotype" w:cs="Tahoma"/>
          <w:b/>
        </w:rPr>
        <w:t xml:space="preserve"> </w:t>
      </w:r>
      <w:hyperlink r:id="rId52" w:history="1">
        <w:r w:rsidRPr="00695B2C">
          <w:rPr>
            <w:rStyle w:val="Hipervnculo"/>
            <w:rFonts w:ascii="Palatino Linotype" w:eastAsia="Calibri" w:hAnsi="Palatino Linotype" w:cs="Tahoma"/>
            <w:bCs/>
          </w:rPr>
          <w:t>https://www.proceso.com.mx/nacional/estados/2021/7/16/hay-mas-de-mil-restos-oseos-en-casa-de-andres-el-presunto-feminicida-de-atizapan-267979.html</w:t>
        </w:r>
      </w:hyperlink>
      <w:r w:rsidRPr="00695B2C">
        <w:rPr>
          <w:rFonts w:ascii="Palatino Linotype" w:eastAsia="Calibri" w:hAnsi="Palatino Linotype" w:cs="Tahoma"/>
          <w:bCs/>
        </w:rPr>
        <w:t xml:space="preserve">, </w:t>
      </w:r>
      <w:proofErr w:type="spellStart"/>
      <w:r w:rsidRPr="00695B2C">
        <w:rPr>
          <w:rFonts w:ascii="Palatino Linotype" w:eastAsia="Calibri" w:hAnsi="Palatino Linotype" w:cs="Tahoma"/>
          <w:bCs/>
        </w:rPr>
        <w:t>y</w:t>
      </w:r>
      <w:proofErr w:type="spellEnd"/>
      <w:r w:rsidRPr="00695B2C">
        <w:rPr>
          <w:rFonts w:ascii="Palatino Linotype" w:eastAsia="Calibri" w:hAnsi="Palatino Linotype" w:cs="Tahoma"/>
          <w:bCs/>
        </w:rPr>
        <w:t xml:space="preserve"> </w:t>
      </w:r>
      <w:hyperlink r:id="rId53" w:history="1">
        <w:r w:rsidRPr="00695B2C">
          <w:rPr>
            <w:rStyle w:val="Hipervnculo"/>
            <w:rFonts w:ascii="Palatino Linotype" w:eastAsia="Calibri" w:hAnsi="Palatino Linotype" w:cs="Tahoma"/>
            <w:bCs/>
          </w:rPr>
          <w:t>https://www.proceso.com.mx/nacional/estados/2021/7/16/hay-mas-de-mil-restos-oseos-en-casa-de-andres-el-presunto-feminicida-de-atizapan-267979.html</w:t>
        </w:r>
      </w:hyperlink>
      <w:r w:rsidRPr="00695B2C">
        <w:rPr>
          <w:rFonts w:ascii="Palatino Linotype" w:eastAsia="Calibri" w:hAnsi="Palatino Linotype" w:cs="Tahoma"/>
          <w:bCs/>
        </w:rPr>
        <w:t xml:space="preserve">, informaron sobre el hallazgo de más restos óseos, </w:t>
      </w:r>
      <w:r w:rsidR="004A4973">
        <w:rPr>
          <w:rFonts w:ascii="Palatino Linotype" w:eastAsia="Calibri" w:hAnsi="Palatino Linotype" w:cs="Tahoma"/>
          <w:bCs/>
        </w:rPr>
        <w:t xml:space="preserve">los cuales </w:t>
      </w:r>
      <w:r w:rsidRPr="00695B2C">
        <w:rPr>
          <w:rFonts w:ascii="Palatino Linotype" w:eastAsia="Calibri" w:hAnsi="Palatino Linotype" w:cs="Tahoma"/>
          <w:bCs/>
        </w:rPr>
        <w:t>llega</w:t>
      </w:r>
      <w:r w:rsidR="004A4973">
        <w:rPr>
          <w:rFonts w:ascii="Palatino Linotype" w:eastAsia="Calibri" w:hAnsi="Palatino Linotype" w:cs="Tahoma"/>
          <w:bCs/>
        </w:rPr>
        <w:t>ron</w:t>
      </w:r>
      <w:r w:rsidRPr="00695B2C">
        <w:rPr>
          <w:rFonts w:ascii="Palatino Linotype" w:eastAsia="Calibri" w:hAnsi="Palatino Linotype" w:cs="Tahoma"/>
          <w:bCs/>
        </w:rPr>
        <w:t xml:space="preserve"> a una cantidad cercana a los 4300 y que en palabras de La </w:t>
      </w:r>
      <w:r w:rsidR="004A4973">
        <w:rPr>
          <w:rFonts w:ascii="Palatino Linotype" w:eastAsia="Calibri" w:hAnsi="Palatino Linotype" w:cs="Tahoma"/>
          <w:bCs/>
        </w:rPr>
        <w:t>F</w:t>
      </w:r>
      <w:r w:rsidRPr="00695B2C">
        <w:rPr>
          <w:rFonts w:ascii="Palatino Linotype" w:eastAsia="Calibri" w:hAnsi="Palatino Linotype" w:cs="Tahoma"/>
          <w:bCs/>
        </w:rPr>
        <w:t xml:space="preserve">iscal para la Atención de Delitos Vinculados a la Violencia de Género, </w:t>
      </w:r>
      <w:proofErr w:type="spellStart"/>
      <w:r w:rsidRPr="00695B2C">
        <w:rPr>
          <w:rFonts w:ascii="Palatino Linotype" w:eastAsia="Calibri" w:hAnsi="Palatino Linotype" w:cs="Tahoma"/>
          <w:bCs/>
        </w:rPr>
        <w:t>Dilcya</w:t>
      </w:r>
      <w:proofErr w:type="spellEnd"/>
      <w:r w:rsidRPr="00695B2C">
        <w:rPr>
          <w:rFonts w:ascii="Palatino Linotype" w:eastAsia="Calibri" w:hAnsi="Palatino Linotype" w:cs="Tahoma"/>
          <w:bCs/>
        </w:rPr>
        <w:t xml:space="preserve"> García Espinoza de los Monteros, dijo a Noticieros Televisa que, de acuerdo con los peritajes en arqueología y en antropología realizados hasta ahora, los </w:t>
      </w:r>
      <w:r w:rsidRPr="00695B2C">
        <w:rPr>
          <w:rFonts w:ascii="Palatino Linotype" w:eastAsia="Calibri" w:hAnsi="Palatino Linotype" w:cs="Tahoma"/>
          <w:bCs/>
        </w:rPr>
        <w:lastRenderedPageBreak/>
        <w:t>restos óseos podrían corresponder a 19 víctimas, información consultable en las ligas de acceso directo</w:t>
      </w:r>
      <w:r w:rsidR="00CC5FF1" w:rsidRPr="00695B2C">
        <w:rPr>
          <w:rFonts w:ascii="Palatino Linotype" w:eastAsia="Calibri" w:hAnsi="Palatino Linotype" w:cs="Tahoma"/>
          <w:bCs/>
        </w:rPr>
        <w:t>.</w:t>
      </w:r>
      <w:r w:rsidRPr="00695B2C">
        <w:rPr>
          <w:rFonts w:ascii="Palatino Linotype" w:eastAsia="Calibri" w:hAnsi="Palatino Linotype" w:cs="Tahoma"/>
          <w:bCs/>
        </w:rPr>
        <w:t xml:space="preserve"> </w:t>
      </w:r>
    </w:p>
    <w:p w14:paraId="2CE5AB54" w14:textId="77777777" w:rsidR="00B825AB" w:rsidRPr="00695B2C" w:rsidRDefault="00B825AB" w:rsidP="006461DA">
      <w:pPr>
        <w:pStyle w:val="Prrafodelista"/>
        <w:spacing w:line="360" w:lineRule="auto"/>
        <w:ind w:right="-93"/>
        <w:jc w:val="both"/>
        <w:rPr>
          <w:rFonts w:ascii="Palatino Linotype" w:eastAsia="Calibri" w:hAnsi="Palatino Linotype" w:cs="Tahoma"/>
          <w:b/>
        </w:rPr>
      </w:pPr>
    </w:p>
    <w:p w14:paraId="6759BC61" w14:textId="2E8CD76A" w:rsidR="005D1D4D" w:rsidRPr="00695B2C" w:rsidRDefault="005D1D4D" w:rsidP="006461DA">
      <w:pPr>
        <w:pStyle w:val="Prrafodelista"/>
        <w:numPr>
          <w:ilvl w:val="0"/>
          <w:numId w:val="14"/>
        </w:numPr>
        <w:spacing w:line="360" w:lineRule="auto"/>
        <w:ind w:right="-93"/>
        <w:jc w:val="both"/>
        <w:rPr>
          <w:rFonts w:ascii="Palatino Linotype" w:eastAsia="Calibri" w:hAnsi="Palatino Linotype" w:cs="Tahoma"/>
          <w:b/>
        </w:rPr>
      </w:pPr>
      <w:r w:rsidRPr="00695B2C">
        <w:rPr>
          <w:rFonts w:ascii="Palatino Linotype" w:eastAsia="Calibri" w:hAnsi="Palatino Linotype" w:cs="Tahoma"/>
          <w:b/>
        </w:rPr>
        <w:t xml:space="preserve">19 de agosto del 2021. </w:t>
      </w:r>
      <w:r w:rsidRPr="00695B2C">
        <w:rPr>
          <w:rFonts w:ascii="Palatino Linotype" w:eastAsia="Calibri" w:hAnsi="Palatino Linotype" w:cs="Tahoma"/>
          <w:bCs/>
        </w:rPr>
        <w:t xml:space="preserve">El periódico Excélsior, afirmó que el </w:t>
      </w:r>
      <w:proofErr w:type="gramStart"/>
      <w:r w:rsidRPr="00695B2C">
        <w:rPr>
          <w:rFonts w:ascii="Palatino Linotype" w:eastAsia="Calibri" w:hAnsi="Palatino Linotype" w:cs="Tahoma"/>
          <w:bCs/>
        </w:rPr>
        <w:t>Fiscal General</w:t>
      </w:r>
      <w:proofErr w:type="gramEnd"/>
      <w:r w:rsidRPr="00695B2C">
        <w:rPr>
          <w:rFonts w:ascii="Palatino Linotype" w:eastAsia="Calibri" w:hAnsi="Palatino Linotype" w:cs="Tahoma"/>
          <w:bCs/>
        </w:rPr>
        <w:t xml:space="preserve"> del Estado de México, manifestó lo siguiente: </w:t>
      </w:r>
      <w:r w:rsidRPr="00695B2C">
        <w:rPr>
          <w:rFonts w:ascii="Palatino Linotype" w:eastAsia="Calibri" w:hAnsi="Palatino Linotype" w:cs="Tahoma"/>
          <w:bCs/>
          <w:i/>
          <w:iCs/>
        </w:rPr>
        <w:t>“</w:t>
      </w:r>
      <w:r w:rsidRPr="00695B2C">
        <w:rPr>
          <w:rFonts w:ascii="Palatino Linotype" w:hAnsi="Palatino Linotype"/>
          <w:bCs/>
          <w:i/>
          <w:iCs/>
          <w:color w:val="000000"/>
          <w:shd w:val="clear" w:color="auto" w:fill="FFFFFF"/>
        </w:rPr>
        <w:t>El</w:t>
      </w:r>
      <w:r w:rsidRPr="00695B2C">
        <w:rPr>
          <w:rFonts w:ascii="Palatino Linotype" w:hAnsi="Palatino Linotype"/>
          <w:i/>
          <w:iCs/>
          <w:color w:val="000000"/>
          <w:shd w:val="clear" w:color="auto" w:fill="FFFFFF"/>
        </w:rPr>
        <w:t xml:space="preserve"> fiscal general de Justicia del Estado de México, Alejandro Gómez Sánchez indicó que se está en proceso de lateralización de los restos óseos, “esto es, estamos ubicando cada uno de estos restos óseos por su nivel de descomposición de afectación, de preservación, estamos tratando de ubicar anatómicamente que resto óseo pertenece a cada parte, hacer el rompecabezas de cada una de las víctimas”.</w:t>
      </w:r>
    </w:p>
    <w:p w14:paraId="6C30D5FF" w14:textId="21BF7877" w:rsidR="005221D9" w:rsidRPr="00695B2C" w:rsidRDefault="005221D9" w:rsidP="006461DA">
      <w:pPr>
        <w:pStyle w:val="Prrafodelista"/>
        <w:spacing w:line="360" w:lineRule="auto"/>
        <w:ind w:right="-93"/>
        <w:jc w:val="both"/>
        <w:rPr>
          <w:rFonts w:ascii="Palatino Linotype" w:eastAsia="Calibri" w:hAnsi="Palatino Linotype" w:cs="Tahoma"/>
          <w:bCs/>
        </w:rPr>
      </w:pPr>
    </w:p>
    <w:p w14:paraId="497D3769" w14:textId="60A916AC" w:rsidR="005221D9" w:rsidRPr="00695B2C" w:rsidRDefault="005221D9" w:rsidP="006461DA">
      <w:pPr>
        <w:pStyle w:val="Prrafodelista"/>
        <w:spacing w:line="360" w:lineRule="auto"/>
        <w:ind w:right="-93"/>
        <w:jc w:val="both"/>
        <w:rPr>
          <w:rFonts w:ascii="Palatino Linotype" w:eastAsia="Calibri" w:hAnsi="Palatino Linotype" w:cs="Tahoma"/>
          <w:bCs/>
        </w:rPr>
      </w:pPr>
      <w:r w:rsidRPr="00695B2C">
        <w:rPr>
          <w:rFonts w:ascii="Palatino Linotype" w:eastAsia="Calibri" w:hAnsi="Palatino Linotype" w:cs="Tahoma"/>
          <w:bCs/>
        </w:rPr>
        <w:t xml:space="preserve">En esta fecha, la Fiscalía por conducto de los medios de comunicación, ya había informado al menos 19 personas víctimas, de entre las cuales, podría indicarse un “niño”, información aportada por “El Universal”, en la liga de acceso directo </w:t>
      </w:r>
      <w:hyperlink r:id="rId54" w:history="1">
        <w:r w:rsidRPr="00695B2C">
          <w:rPr>
            <w:rStyle w:val="Hipervnculo"/>
            <w:rFonts w:ascii="Palatino Linotype" w:eastAsia="Calibri" w:hAnsi="Palatino Linotype" w:cs="Tahoma"/>
            <w:bCs/>
          </w:rPr>
          <w:t>https://www.eluniversal.com.mx/metropoli/restos-hallados-en-casa-de-feminicida-serial-de-atizapan-serian-de-19-victimas-fiscal</w:t>
        </w:r>
      </w:hyperlink>
      <w:r w:rsidRPr="00695B2C">
        <w:rPr>
          <w:rFonts w:ascii="Palatino Linotype" w:eastAsia="Calibri" w:hAnsi="Palatino Linotype" w:cs="Tahoma"/>
          <w:bCs/>
        </w:rPr>
        <w:t xml:space="preserve">. </w:t>
      </w:r>
    </w:p>
    <w:p w14:paraId="2A1FD1C7" w14:textId="77777777" w:rsidR="005221D9" w:rsidRPr="00695B2C" w:rsidRDefault="005221D9" w:rsidP="006461DA">
      <w:pPr>
        <w:spacing w:after="0" w:line="360" w:lineRule="auto"/>
        <w:ind w:left="708" w:right="-93"/>
        <w:rPr>
          <w:rFonts w:eastAsia="Calibri" w:cs="Tahoma"/>
          <w:b/>
        </w:rPr>
      </w:pPr>
    </w:p>
    <w:p w14:paraId="6DF7EF4F" w14:textId="4C73459A" w:rsidR="005D1D4D" w:rsidRPr="00695B2C" w:rsidRDefault="005D1D4D" w:rsidP="006461DA">
      <w:pPr>
        <w:pStyle w:val="Prrafodelista"/>
        <w:numPr>
          <w:ilvl w:val="0"/>
          <w:numId w:val="14"/>
        </w:numPr>
        <w:spacing w:line="360" w:lineRule="auto"/>
        <w:ind w:right="-93"/>
        <w:jc w:val="both"/>
        <w:rPr>
          <w:rFonts w:ascii="Palatino Linotype" w:eastAsia="Calibri" w:hAnsi="Palatino Linotype" w:cs="Tahoma"/>
          <w:b/>
        </w:rPr>
      </w:pPr>
      <w:r w:rsidRPr="00695B2C">
        <w:rPr>
          <w:rFonts w:ascii="Palatino Linotype" w:eastAsia="Calibri" w:hAnsi="Palatino Linotype" w:cs="Tahoma"/>
          <w:b/>
        </w:rPr>
        <w:t>16</w:t>
      </w:r>
      <w:r w:rsidR="001E6553" w:rsidRPr="00695B2C">
        <w:rPr>
          <w:rFonts w:ascii="Palatino Linotype" w:eastAsia="Calibri" w:hAnsi="Palatino Linotype" w:cs="Tahoma"/>
          <w:b/>
        </w:rPr>
        <w:t xml:space="preserve"> de noviembre del 2021. </w:t>
      </w:r>
      <w:r w:rsidR="001E6553" w:rsidRPr="00695B2C">
        <w:rPr>
          <w:rFonts w:ascii="Palatino Linotype" w:eastAsia="Calibri" w:hAnsi="Palatino Linotype" w:cs="Tahoma"/>
          <w:bCs/>
        </w:rPr>
        <w:t xml:space="preserve">El imputado </w:t>
      </w:r>
      <w:r w:rsidR="006059EA" w:rsidRPr="00695B2C">
        <w:rPr>
          <w:rFonts w:ascii="Palatino Linotype" w:eastAsia="Calibri" w:hAnsi="Palatino Linotype" w:cs="Tahoma"/>
          <w:bCs/>
        </w:rPr>
        <w:t>dio</w:t>
      </w:r>
      <w:r w:rsidR="001E6553" w:rsidRPr="00695B2C">
        <w:rPr>
          <w:rFonts w:ascii="Palatino Linotype" w:eastAsia="Calibri" w:hAnsi="Palatino Linotype" w:cs="Tahoma"/>
          <w:bCs/>
        </w:rPr>
        <w:t xml:space="preserve"> una entrevista desde la cárcel</w:t>
      </w:r>
      <w:r w:rsidR="006059EA" w:rsidRPr="00695B2C">
        <w:rPr>
          <w:rFonts w:ascii="Palatino Linotype" w:eastAsia="Calibri" w:hAnsi="Palatino Linotype" w:cs="Tahoma"/>
          <w:bCs/>
        </w:rPr>
        <w:t xml:space="preserve"> en exclusiva a Grupo Milenio, a través de un video que puede ser reproducido en la liga de acceso directo</w:t>
      </w:r>
      <w:r w:rsidR="006059EA" w:rsidRPr="00695B2C">
        <w:rPr>
          <w:rFonts w:ascii="Palatino Linotype" w:eastAsia="Calibri" w:hAnsi="Palatino Linotype" w:cs="Tahoma"/>
          <w:b/>
        </w:rPr>
        <w:t xml:space="preserve"> </w:t>
      </w:r>
      <w:hyperlink r:id="rId55" w:history="1">
        <w:r w:rsidR="006059EA" w:rsidRPr="00695B2C">
          <w:rPr>
            <w:rStyle w:val="Hipervnculo"/>
            <w:rFonts w:ascii="Palatino Linotype" w:eastAsia="Calibri" w:hAnsi="Palatino Linotype" w:cs="Tahoma"/>
            <w:bCs/>
          </w:rPr>
          <w:t>https://www.youtube.com/watch?v=gckUOnErTaM</w:t>
        </w:r>
      </w:hyperlink>
      <w:r w:rsidR="006059EA" w:rsidRPr="00695B2C">
        <w:rPr>
          <w:rFonts w:ascii="Palatino Linotype" w:eastAsia="Calibri" w:hAnsi="Palatino Linotype" w:cs="Tahoma"/>
          <w:bCs/>
        </w:rPr>
        <w:t>, en dicha entrevista si bien no se declara culpable, se contextualiza, esto con lo que fue divulgado de la audiencia de vinculación.</w:t>
      </w:r>
    </w:p>
    <w:p w14:paraId="3B525EB1" w14:textId="6CAE1691" w:rsidR="006059EA" w:rsidRPr="00695B2C" w:rsidRDefault="006059EA" w:rsidP="006461DA">
      <w:pPr>
        <w:spacing w:after="0" w:line="360" w:lineRule="auto"/>
        <w:ind w:right="-93"/>
        <w:jc w:val="center"/>
        <w:rPr>
          <w:rFonts w:eastAsia="Calibri" w:cs="Tahoma"/>
          <w:b/>
        </w:rPr>
      </w:pPr>
      <w:r w:rsidRPr="00695B2C">
        <w:rPr>
          <w:noProof/>
        </w:rPr>
        <w:lastRenderedPageBreak/>
        <w:drawing>
          <wp:inline distT="0" distB="0" distL="0" distR="0" wp14:anchorId="6DA4B1E8" wp14:editId="30A1C235">
            <wp:extent cx="4266184" cy="2738649"/>
            <wp:effectExtent l="0" t="0" r="1270" b="5080"/>
            <wp:docPr id="28" name="Imagen 2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nterfaz de usuario gráfica&#10;&#10;Descripción generada automáticamente"/>
                    <pic:cNvPicPr/>
                  </pic:nvPicPr>
                  <pic:blipFill rotWithShape="1">
                    <a:blip r:embed="rId56"/>
                    <a:srcRect l="2138" t="17551" r="33560" b="9028"/>
                    <a:stretch/>
                  </pic:blipFill>
                  <pic:spPr bwMode="auto">
                    <a:xfrm>
                      <a:off x="0" y="0"/>
                      <a:ext cx="4272290" cy="2742569"/>
                    </a:xfrm>
                    <a:prstGeom prst="rect">
                      <a:avLst/>
                    </a:prstGeom>
                    <a:ln>
                      <a:noFill/>
                    </a:ln>
                    <a:extLst>
                      <a:ext uri="{53640926-AAD7-44D8-BBD7-CCE9431645EC}">
                        <a14:shadowObscured xmlns:a14="http://schemas.microsoft.com/office/drawing/2010/main"/>
                      </a:ext>
                    </a:extLst>
                  </pic:spPr>
                </pic:pic>
              </a:graphicData>
            </a:graphic>
          </wp:inline>
        </w:drawing>
      </w:r>
    </w:p>
    <w:p w14:paraId="4AE440D8" w14:textId="1B430D7F" w:rsidR="005D1D4D" w:rsidRDefault="005D1D4D" w:rsidP="006461DA">
      <w:pPr>
        <w:spacing w:after="0" w:line="360" w:lineRule="auto"/>
        <w:ind w:left="567" w:right="567"/>
        <w:rPr>
          <w:rFonts w:eastAsia="Calibri" w:cs="Tahoma"/>
          <w:bCs/>
          <w:i/>
          <w:iCs/>
          <w:sz w:val="20"/>
          <w:szCs w:val="20"/>
        </w:rPr>
      </w:pPr>
      <w:r w:rsidRPr="00B825AB">
        <w:rPr>
          <w:rFonts w:eastAsia="Calibri" w:cs="Tahoma"/>
          <w:bCs/>
          <w:i/>
          <w:iCs/>
          <w:sz w:val="20"/>
          <w:szCs w:val="20"/>
        </w:rPr>
        <w:t>(</w:t>
      </w:r>
      <w:r w:rsidR="00B42D8B" w:rsidRPr="00B825AB">
        <w:rPr>
          <w:rFonts w:eastAsia="Calibri" w:cs="Tahoma"/>
          <w:bCs/>
          <w:i/>
          <w:iCs/>
          <w:sz w:val="20"/>
          <w:szCs w:val="20"/>
        </w:rPr>
        <w:t>I</w:t>
      </w:r>
      <w:r w:rsidRPr="00B825AB">
        <w:rPr>
          <w:rFonts w:eastAsia="Calibri" w:cs="Tahoma"/>
          <w:bCs/>
          <w:i/>
          <w:iCs/>
          <w:sz w:val="20"/>
          <w:szCs w:val="20"/>
        </w:rPr>
        <w:t>magen recuperada el treinta y uno de mayo del dos mil veintidós a las veinte horas con ocho minutos, en la liga de acceso directo señalada en el punto precedente)</w:t>
      </w:r>
      <w:r w:rsidR="00B825AB">
        <w:rPr>
          <w:rFonts w:eastAsia="Calibri" w:cs="Tahoma"/>
          <w:bCs/>
          <w:i/>
          <w:iCs/>
          <w:sz w:val="20"/>
          <w:szCs w:val="20"/>
        </w:rPr>
        <w:t>.</w:t>
      </w:r>
    </w:p>
    <w:p w14:paraId="76698240" w14:textId="77777777" w:rsidR="00B825AB" w:rsidRPr="00B825AB" w:rsidRDefault="00B825AB" w:rsidP="006461DA">
      <w:pPr>
        <w:spacing w:after="0" w:line="360" w:lineRule="auto"/>
        <w:ind w:left="567" w:right="567"/>
        <w:rPr>
          <w:rFonts w:eastAsia="Calibri" w:cs="Tahoma"/>
          <w:bCs/>
          <w:i/>
          <w:iCs/>
          <w:sz w:val="20"/>
          <w:szCs w:val="20"/>
        </w:rPr>
      </w:pPr>
    </w:p>
    <w:p w14:paraId="6537DB10" w14:textId="48B6BC2C" w:rsidR="00B235B0" w:rsidRPr="00B825AB" w:rsidRDefault="00207DF4" w:rsidP="006461DA">
      <w:pPr>
        <w:pStyle w:val="Prrafodelista"/>
        <w:numPr>
          <w:ilvl w:val="0"/>
          <w:numId w:val="14"/>
        </w:numPr>
        <w:spacing w:line="360" w:lineRule="auto"/>
        <w:ind w:right="-93"/>
        <w:jc w:val="both"/>
        <w:rPr>
          <w:rFonts w:ascii="Palatino Linotype" w:eastAsia="Calibri" w:hAnsi="Palatino Linotype" w:cs="Tahoma"/>
          <w:b/>
        </w:rPr>
      </w:pPr>
      <w:r w:rsidRPr="00695B2C">
        <w:rPr>
          <w:rFonts w:ascii="Palatino Linotype" w:eastAsia="Calibri" w:hAnsi="Palatino Linotype" w:cs="Tahoma"/>
          <w:b/>
        </w:rPr>
        <w:t xml:space="preserve">22 y 23 de febrero del 2022. </w:t>
      </w:r>
      <w:r w:rsidRPr="00695B2C">
        <w:rPr>
          <w:rFonts w:ascii="Palatino Linotype" w:eastAsia="Calibri" w:hAnsi="Palatino Linotype" w:cs="Tahoma"/>
          <w:bCs/>
        </w:rPr>
        <w:t xml:space="preserve">Identifican a 6 víctimas y amplían la búsqueda a un predio aledaño. Por una parte, Fuerza Informativa Azteca, como medio de comunicación, informó a través de una nota periodística consultable en la liga de acceso directo </w:t>
      </w:r>
      <w:hyperlink r:id="rId57" w:history="1">
        <w:r w:rsidRPr="00695B2C">
          <w:rPr>
            <w:rStyle w:val="Hipervnculo"/>
            <w:rFonts w:ascii="Palatino Linotype" w:eastAsia="Calibri" w:hAnsi="Palatino Linotype" w:cs="Tahoma"/>
            <w:bCs/>
          </w:rPr>
          <w:t>https://www.tvazteca.com/aztecanoticias/notas/identifican-a-seis-victimas-del-feminicida-de-atizapan-vcp</w:t>
        </w:r>
      </w:hyperlink>
      <w:r w:rsidRPr="00695B2C">
        <w:rPr>
          <w:rFonts w:ascii="Palatino Linotype" w:eastAsia="Calibri" w:hAnsi="Palatino Linotype" w:cs="Tahoma"/>
          <w:b/>
        </w:rPr>
        <w:t xml:space="preserve"> </w:t>
      </w:r>
      <w:r w:rsidRPr="00695B2C">
        <w:rPr>
          <w:rFonts w:ascii="Palatino Linotype" w:eastAsia="Calibri" w:hAnsi="Palatino Linotype" w:cs="Tahoma"/>
          <w:bCs/>
        </w:rPr>
        <w:t xml:space="preserve">que “La Fiscalía del Estado de México, aseguró, que de acuerdo a las diligencias ministeriales efectuadas en la casa del feminicida serial Andrés Filemón, en la colonia Lomas de San Miguel, en Atizapán de Zaragoza, Estado de México, hasta el momento se han identificado a seis víctimas; los familiares ya fueron notificados.” y por otra </w:t>
      </w:r>
      <w:r w:rsidR="00676570" w:rsidRPr="00695B2C">
        <w:rPr>
          <w:rFonts w:ascii="Palatino Linotype" w:eastAsia="Calibri" w:hAnsi="Palatino Linotype" w:cs="Tahoma"/>
          <w:bCs/>
        </w:rPr>
        <w:t xml:space="preserve">el periódico “El Heraldo”, expresó a través de otra nota, consultable en la liga de acceso directo </w:t>
      </w:r>
      <w:hyperlink r:id="rId58" w:history="1">
        <w:r w:rsidR="00676570" w:rsidRPr="00695B2C">
          <w:rPr>
            <w:rStyle w:val="Hipervnculo"/>
            <w:rFonts w:ascii="Palatino Linotype" w:eastAsia="Calibri" w:hAnsi="Palatino Linotype" w:cs="Tahoma"/>
            <w:bCs/>
          </w:rPr>
          <w:t>https://heraldodemexico.com.mx/nacional/2022/2/23/andres-n-el-feminicida-de-atizapan-fiscalia-busca-mas-evidencias-de-sus-crimenes-en-un-inmueble-lado-de-su-casa-381488.html</w:t>
        </w:r>
      </w:hyperlink>
      <w:r w:rsidR="00676570" w:rsidRPr="00695B2C">
        <w:rPr>
          <w:rFonts w:ascii="Palatino Linotype" w:eastAsia="Calibri" w:hAnsi="Palatino Linotype" w:cs="Tahoma"/>
          <w:bCs/>
        </w:rPr>
        <w:t xml:space="preserve">, que la Fiscalía expresó lo siguiente “Las investigaciones no han cejado en el asunto relacionado con Andrés "N", es por ello que hemos encontrado la posible </w:t>
      </w:r>
      <w:r w:rsidR="00676570" w:rsidRPr="00695B2C">
        <w:rPr>
          <w:rFonts w:ascii="Palatino Linotype" w:eastAsia="Calibri" w:hAnsi="Palatino Linotype" w:cs="Tahoma"/>
          <w:bCs/>
        </w:rPr>
        <w:lastRenderedPageBreak/>
        <w:t xml:space="preserve">relación en todos estos asuntos con un segundo inmueble, que se encuentra aledaño al primero que fue cateado y que ha seguido en investigación y resguardo hasta este momento”. </w:t>
      </w:r>
      <w:r w:rsidRPr="00695B2C">
        <w:rPr>
          <w:rFonts w:ascii="Palatino Linotype" w:eastAsia="Calibri" w:hAnsi="Palatino Linotype" w:cs="Tahoma"/>
          <w:bCs/>
        </w:rPr>
        <w:t xml:space="preserve"> </w:t>
      </w:r>
    </w:p>
    <w:p w14:paraId="255DC59E" w14:textId="77777777" w:rsidR="00B825AB" w:rsidRPr="00695B2C" w:rsidRDefault="00B825AB" w:rsidP="006461DA">
      <w:pPr>
        <w:pStyle w:val="Prrafodelista"/>
        <w:spacing w:line="360" w:lineRule="auto"/>
        <w:ind w:right="-93"/>
        <w:jc w:val="both"/>
        <w:rPr>
          <w:rFonts w:ascii="Palatino Linotype" w:eastAsia="Calibri" w:hAnsi="Palatino Linotype" w:cs="Tahoma"/>
          <w:b/>
        </w:rPr>
      </w:pPr>
    </w:p>
    <w:p w14:paraId="778359B6" w14:textId="6D9B632B" w:rsidR="0002343C" w:rsidRPr="00695B2C" w:rsidRDefault="0002343C" w:rsidP="006461DA">
      <w:pPr>
        <w:pStyle w:val="Prrafodelista"/>
        <w:numPr>
          <w:ilvl w:val="0"/>
          <w:numId w:val="14"/>
        </w:numPr>
        <w:spacing w:line="360" w:lineRule="auto"/>
        <w:ind w:right="-93"/>
        <w:jc w:val="both"/>
        <w:rPr>
          <w:rFonts w:ascii="Palatino Linotype" w:eastAsia="Calibri" w:hAnsi="Palatino Linotype" w:cs="Tahoma"/>
          <w:b/>
        </w:rPr>
      </w:pPr>
      <w:r w:rsidRPr="00695B2C">
        <w:rPr>
          <w:rFonts w:ascii="Palatino Linotype" w:eastAsia="Calibri" w:hAnsi="Palatino Linotype" w:cs="Tahoma"/>
          <w:b/>
        </w:rPr>
        <w:t>18 de marzo del 202</w:t>
      </w:r>
      <w:r w:rsidR="003466FD" w:rsidRPr="00695B2C">
        <w:rPr>
          <w:rFonts w:ascii="Palatino Linotype" w:eastAsia="Calibri" w:hAnsi="Palatino Linotype" w:cs="Tahoma"/>
          <w:b/>
        </w:rPr>
        <w:t>2</w:t>
      </w:r>
      <w:r w:rsidRPr="00695B2C">
        <w:rPr>
          <w:rFonts w:ascii="Palatino Linotype" w:eastAsia="Calibri" w:hAnsi="Palatino Linotype" w:cs="Tahoma"/>
          <w:b/>
        </w:rPr>
        <w:t xml:space="preserve">. Sentencia de primera instancia. </w:t>
      </w:r>
      <w:r w:rsidRPr="00695B2C">
        <w:rPr>
          <w:rFonts w:ascii="Palatino Linotype" w:eastAsia="Calibri" w:hAnsi="Palatino Linotype" w:cs="Tahoma"/>
          <w:bCs/>
        </w:rPr>
        <w:t xml:space="preserve">A través de </w:t>
      </w:r>
      <w:r w:rsidR="00433F48" w:rsidRPr="00695B2C">
        <w:rPr>
          <w:rFonts w:ascii="Palatino Linotype" w:eastAsia="Calibri" w:hAnsi="Palatino Linotype" w:cs="Tahoma"/>
          <w:bCs/>
        </w:rPr>
        <w:t>su</w:t>
      </w:r>
      <w:r w:rsidRPr="00695B2C">
        <w:rPr>
          <w:rFonts w:ascii="Palatino Linotype" w:eastAsia="Calibri" w:hAnsi="Palatino Linotype" w:cs="Tahoma"/>
          <w:bCs/>
        </w:rPr>
        <w:t xml:space="preserve"> cuenta oficial de </w:t>
      </w:r>
      <w:r w:rsidRPr="00B825AB">
        <w:rPr>
          <w:rFonts w:ascii="Palatino Linotype" w:eastAsia="Calibri" w:hAnsi="Palatino Linotype" w:cs="Tahoma"/>
          <w:bCs/>
          <w:i/>
          <w:iCs/>
        </w:rPr>
        <w:t>Twitter</w:t>
      </w:r>
      <w:r w:rsidRPr="00695B2C">
        <w:rPr>
          <w:rFonts w:ascii="Palatino Linotype" w:eastAsia="Calibri" w:hAnsi="Palatino Linotype" w:cs="Tahoma"/>
          <w:bCs/>
        </w:rPr>
        <w:t xml:space="preserve">, la </w:t>
      </w:r>
      <w:proofErr w:type="gramStart"/>
      <w:r w:rsidRPr="00695B2C">
        <w:rPr>
          <w:rFonts w:ascii="Palatino Linotype" w:eastAsia="Calibri" w:hAnsi="Palatino Linotype" w:cs="Tahoma"/>
          <w:bCs/>
        </w:rPr>
        <w:t>Fiscalía General</w:t>
      </w:r>
      <w:proofErr w:type="gramEnd"/>
      <w:r w:rsidRPr="00695B2C">
        <w:rPr>
          <w:rFonts w:ascii="Palatino Linotype" w:eastAsia="Calibri" w:hAnsi="Palatino Linotype" w:cs="Tahoma"/>
          <w:bCs/>
        </w:rPr>
        <w:t xml:space="preserve"> de Justicia, informó </w:t>
      </w:r>
      <w:r w:rsidR="00433F48" w:rsidRPr="00695B2C">
        <w:rPr>
          <w:rFonts w:ascii="Palatino Linotype" w:eastAsia="Calibri" w:hAnsi="Palatino Linotype" w:cs="Tahoma"/>
          <w:bCs/>
        </w:rPr>
        <w:t xml:space="preserve">que se condenó al indiciado Andrés Filomeno Mendoza Celis, con prisión vitalicia y que se le impusieron 5000 días de salario mínimo, por concepto de multa, información consultable </w:t>
      </w:r>
      <w:hyperlink r:id="rId59" w:history="1">
        <w:r w:rsidR="00433F48" w:rsidRPr="00695B2C">
          <w:rPr>
            <w:rStyle w:val="Hipervnculo"/>
            <w:rFonts w:ascii="Palatino Linotype" w:eastAsia="Calibri" w:hAnsi="Palatino Linotype" w:cs="Tahoma"/>
            <w:bCs/>
          </w:rPr>
          <w:t>https://twitter.com/FiscaliaEdomex/status/1504960093137289221/photo/1</w:t>
        </w:r>
      </w:hyperlink>
      <w:r w:rsidR="00433F48" w:rsidRPr="00695B2C">
        <w:rPr>
          <w:rFonts w:ascii="Palatino Linotype" w:eastAsia="Calibri" w:hAnsi="Palatino Linotype" w:cs="Tahoma"/>
          <w:bCs/>
        </w:rPr>
        <w:t xml:space="preserve">. </w:t>
      </w:r>
    </w:p>
    <w:p w14:paraId="22FB5732" w14:textId="659BB039" w:rsidR="00433F48" w:rsidRPr="00695B2C" w:rsidRDefault="00433F48" w:rsidP="006461DA">
      <w:pPr>
        <w:spacing w:after="0" w:line="360" w:lineRule="auto"/>
        <w:ind w:right="-93"/>
        <w:jc w:val="center"/>
        <w:rPr>
          <w:rFonts w:eastAsia="Calibri" w:cs="Tahoma"/>
          <w:b/>
        </w:rPr>
      </w:pPr>
      <w:r w:rsidRPr="00695B2C">
        <w:rPr>
          <w:noProof/>
        </w:rPr>
        <w:drawing>
          <wp:inline distT="0" distB="0" distL="0" distR="0" wp14:anchorId="20C46BDA" wp14:editId="13035678">
            <wp:extent cx="4324867" cy="2374897"/>
            <wp:effectExtent l="0" t="0" r="0" b="6985"/>
            <wp:docPr id="24" name="Imagen 2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nterfaz de usuario gráfica, Aplicación&#10;&#10;Descripción generada automáticamente"/>
                    <pic:cNvPicPr/>
                  </pic:nvPicPr>
                  <pic:blipFill rotWithShape="1">
                    <a:blip r:embed="rId60"/>
                    <a:srcRect l="20387" t="32490" r="24236" b="13424"/>
                    <a:stretch/>
                  </pic:blipFill>
                  <pic:spPr bwMode="auto">
                    <a:xfrm>
                      <a:off x="0" y="0"/>
                      <a:ext cx="4343675" cy="2385225"/>
                    </a:xfrm>
                    <a:prstGeom prst="rect">
                      <a:avLst/>
                    </a:prstGeom>
                    <a:ln>
                      <a:noFill/>
                    </a:ln>
                    <a:extLst>
                      <a:ext uri="{53640926-AAD7-44D8-BBD7-CCE9431645EC}">
                        <a14:shadowObscured xmlns:a14="http://schemas.microsoft.com/office/drawing/2010/main"/>
                      </a:ext>
                    </a:extLst>
                  </pic:spPr>
                </pic:pic>
              </a:graphicData>
            </a:graphic>
          </wp:inline>
        </w:drawing>
      </w:r>
    </w:p>
    <w:p w14:paraId="66C0C075" w14:textId="1BF7757C" w:rsidR="0002343C" w:rsidRPr="00B825AB" w:rsidRDefault="00433F48" w:rsidP="006461DA">
      <w:pPr>
        <w:spacing w:after="0" w:line="360" w:lineRule="auto"/>
        <w:ind w:left="567" w:right="567"/>
        <w:rPr>
          <w:rFonts w:eastAsia="Calibri" w:cs="Tahoma"/>
          <w:bCs/>
          <w:i/>
          <w:iCs/>
          <w:sz w:val="20"/>
          <w:szCs w:val="20"/>
        </w:rPr>
      </w:pPr>
      <w:r w:rsidRPr="00B825AB">
        <w:rPr>
          <w:rFonts w:eastAsia="Calibri" w:cs="Tahoma"/>
          <w:bCs/>
          <w:i/>
          <w:iCs/>
          <w:sz w:val="20"/>
          <w:szCs w:val="20"/>
        </w:rPr>
        <w:t xml:space="preserve">(Imagen recuperada de la Red Social </w:t>
      </w:r>
      <w:r w:rsidR="003466FD" w:rsidRPr="00B825AB">
        <w:rPr>
          <w:rFonts w:eastAsia="Calibri" w:cs="Tahoma"/>
          <w:bCs/>
          <w:i/>
          <w:iCs/>
          <w:sz w:val="20"/>
          <w:szCs w:val="20"/>
        </w:rPr>
        <w:t xml:space="preserve">Twitter, de la cuenta oficial </w:t>
      </w:r>
      <w:r w:rsidRPr="00B825AB">
        <w:rPr>
          <w:rFonts w:eastAsia="Calibri" w:cs="Tahoma"/>
          <w:bCs/>
          <w:i/>
          <w:iCs/>
          <w:sz w:val="20"/>
          <w:szCs w:val="20"/>
        </w:rPr>
        <w:t xml:space="preserve">de la </w:t>
      </w:r>
      <w:proofErr w:type="gramStart"/>
      <w:r w:rsidRPr="00B825AB">
        <w:rPr>
          <w:rFonts w:eastAsia="Calibri" w:cs="Tahoma"/>
          <w:bCs/>
          <w:i/>
          <w:iCs/>
          <w:sz w:val="20"/>
          <w:szCs w:val="20"/>
        </w:rPr>
        <w:t>Fiscalía General</w:t>
      </w:r>
      <w:proofErr w:type="gramEnd"/>
      <w:r w:rsidRPr="00B825AB">
        <w:rPr>
          <w:rFonts w:eastAsia="Calibri" w:cs="Tahoma"/>
          <w:bCs/>
          <w:i/>
          <w:iCs/>
          <w:sz w:val="20"/>
          <w:szCs w:val="20"/>
        </w:rPr>
        <w:t xml:space="preserve"> de Justicia del Estado de México el treinta y uno de mayo del dos mil veintidós a las diecinueve horas con nueve minutos)</w:t>
      </w:r>
      <w:r w:rsidR="00976136" w:rsidRPr="00B825AB">
        <w:rPr>
          <w:rFonts w:eastAsia="Calibri" w:cs="Tahoma"/>
          <w:bCs/>
          <w:i/>
          <w:iCs/>
          <w:sz w:val="20"/>
          <w:szCs w:val="20"/>
        </w:rPr>
        <w:t>.</w:t>
      </w:r>
    </w:p>
    <w:p w14:paraId="35A1D1B9" w14:textId="10446A88" w:rsidR="00976136" w:rsidRPr="00695B2C" w:rsidRDefault="00976136" w:rsidP="006461DA">
      <w:pPr>
        <w:spacing w:after="0" w:line="360" w:lineRule="auto"/>
        <w:ind w:right="-93"/>
        <w:rPr>
          <w:rFonts w:eastAsia="Calibri" w:cs="Tahoma"/>
          <w:bCs/>
        </w:rPr>
      </w:pPr>
    </w:p>
    <w:p w14:paraId="0FFFE923" w14:textId="77777777" w:rsidR="00EB6F80" w:rsidRPr="00695B2C" w:rsidRDefault="00EB6F80" w:rsidP="006461DA">
      <w:pPr>
        <w:spacing w:after="0" w:line="360" w:lineRule="auto"/>
        <w:rPr>
          <w:color w:val="222222"/>
          <w:szCs w:val="24"/>
          <w:lang w:eastAsia="es-MX"/>
        </w:rPr>
      </w:pPr>
      <w:r w:rsidRPr="00695B2C">
        <w:rPr>
          <w:color w:val="222222"/>
          <w:szCs w:val="24"/>
          <w:lang w:eastAsia="es-MX"/>
        </w:rPr>
        <w:t>En ese contexto, sobre el valor probatorio de las notas periodísticas, cabe traer a colación la tesis aislada número I.4o.T.4 K, emitida por el Cuatro Tribunal Colegiado en Materia de Trabajo del Primer Circuito, publicada en el Semanario Judicial de la Federación y su Gaceta, en el Tomo II, página 541, en Diciembre de mil novecientos noventa y cinco, de la Novena Época, titulada </w:t>
      </w:r>
      <w:r w:rsidRPr="00695B2C">
        <w:rPr>
          <w:b/>
          <w:bCs/>
          <w:i/>
          <w:iCs/>
          <w:color w:val="222222"/>
          <w:szCs w:val="24"/>
          <w:lang w:eastAsia="es-MX"/>
        </w:rPr>
        <w:t xml:space="preserve">“NOTAS PERIODISTICAS, EL CONOCIMIENTO QUE DE ELLAS SE OBTIENE NO </w:t>
      </w:r>
      <w:r w:rsidRPr="00695B2C">
        <w:rPr>
          <w:b/>
          <w:bCs/>
          <w:i/>
          <w:iCs/>
          <w:color w:val="222222"/>
          <w:szCs w:val="24"/>
          <w:lang w:eastAsia="es-MX"/>
        </w:rPr>
        <w:lastRenderedPageBreak/>
        <w:t>CONSTITUYE ‘UN HECHO PUBLICO Y NOTORIO’”</w:t>
      </w:r>
      <w:r w:rsidRPr="00695B2C">
        <w:rPr>
          <w:color w:val="222222"/>
          <w:szCs w:val="24"/>
          <w:lang w:eastAsia="es-MX"/>
        </w:rPr>
        <w:t xml:space="preserve"> en la que se señala que el hecho de que el público lector adquiera conocimiento de algún hecho consignado en periódicos o revistas, no implica por esa sola circunstancia que la noticia se convierta en un hecho “público y notorio”, toda vez que se entiende por “notorio” lo que es público y sabido de todos, o un hecho cuyo conocimiento forme parte de la cultura propia de un círculo social determinado, en el tiempo de su realización.</w:t>
      </w:r>
    </w:p>
    <w:p w14:paraId="679F9850" w14:textId="77777777" w:rsidR="00EB6F80" w:rsidRPr="00695B2C" w:rsidRDefault="00EB6F80" w:rsidP="006461DA">
      <w:pPr>
        <w:tabs>
          <w:tab w:val="left" w:pos="4962"/>
        </w:tabs>
        <w:spacing w:after="0" w:line="360" w:lineRule="auto"/>
        <w:ind w:right="539"/>
        <w:rPr>
          <w:rFonts w:cs="Open Sans"/>
          <w:color w:val="333333"/>
          <w:lang w:eastAsia="es-MX"/>
        </w:rPr>
      </w:pPr>
    </w:p>
    <w:p w14:paraId="70A32288" w14:textId="438827E0" w:rsidR="00EB6F80" w:rsidRDefault="00EB6F80" w:rsidP="006461DA">
      <w:pPr>
        <w:spacing w:after="0" w:line="360" w:lineRule="auto"/>
        <w:rPr>
          <w:b/>
          <w:bCs/>
          <w:color w:val="222222"/>
          <w:szCs w:val="24"/>
          <w:lang w:eastAsia="es-MX"/>
        </w:rPr>
      </w:pPr>
      <w:r w:rsidRPr="00695B2C">
        <w:rPr>
          <w:color w:val="222222"/>
          <w:szCs w:val="24"/>
          <w:lang w:eastAsia="es-MX"/>
        </w:rPr>
        <w:t>De tal situación, lo consignado en las notas periodísticas no constituye un hecho público o notorio, sino que es una opinión de su autor, por lo que sólo se pueden tomar como </w:t>
      </w:r>
      <w:r w:rsidRPr="00695B2C">
        <w:rPr>
          <w:b/>
          <w:bCs/>
          <w:color w:val="222222"/>
          <w:szCs w:val="24"/>
          <w:lang w:eastAsia="es-MX"/>
        </w:rPr>
        <w:t>indicios.</w:t>
      </w:r>
    </w:p>
    <w:p w14:paraId="596E97A3" w14:textId="77777777" w:rsidR="00714640" w:rsidRPr="00695B2C" w:rsidRDefault="00714640" w:rsidP="006461DA">
      <w:pPr>
        <w:spacing w:after="0" w:line="360" w:lineRule="auto"/>
        <w:rPr>
          <w:color w:val="222222"/>
          <w:lang w:eastAsia="es-MX"/>
        </w:rPr>
      </w:pPr>
    </w:p>
    <w:p w14:paraId="5D958923" w14:textId="5FD44CA1" w:rsidR="00676570" w:rsidRPr="00695B2C" w:rsidRDefault="00676570" w:rsidP="006461DA">
      <w:pPr>
        <w:pStyle w:val="Prrafodelista"/>
        <w:numPr>
          <w:ilvl w:val="0"/>
          <w:numId w:val="1"/>
        </w:numPr>
        <w:spacing w:line="360" w:lineRule="auto"/>
        <w:ind w:right="-93"/>
        <w:jc w:val="both"/>
        <w:rPr>
          <w:rFonts w:ascii="Palatino Linotype" w:eastAsia="Calibri" w:hAnsi="Palatino Linotype" w:cs="Tahoma"/>
          <w:b/>
        </w:rPr>
      </w:pPr>
      <w:r w:rsidRPr="00695B2C">
        <w:rPr>
          <w:rFonts w:ascii="Palatino Linotype" w:eastAsia="Calibri" w:hAnsi="Palatino Linotype" w:cs="Tahoma"/>
          <w:b/>
        </w:rPr>
        <w:t>Divulgación</w:t>
      </w:r>
      <w:r w:rsidR="00976136" w:rsidRPr="00695B2C">
        <w:rPr>
          <w:rFonts w:ascii="Palatino Linotype" w:eastAsia="Calibri" w:hAnsi="Palatino Linotype" w:cs="Tahoma"/>
          <w:b/>
        </w:rPr>
        <w:t xml:space="preserve"> </w:t>
      </w:r>
      <w:r w:rsidR="001A3ED8" w:rsidRPr="00695B2C">
        <w:rPr>
          <w:rFonts w:ascii="Palatino Linotype" w:eastAsia="Calibri" w:hAnsi="Palatino Linotype" w:cs="Tahoma"/>
          <w:b/>
        </w:rPr>
        <w:t xml:space="preserve">oficial </w:t>
      </w:r>
      <w:r w:rsidR="00976136" w:rsidRPr="00695B2C">
        <w:rPr>
          <w:rFonts w:ascii="Palatino Linotype" w:eastAsia="Calibri" w:hAnsi="Palatino Linotype" w:cs="Tahoma"/>
          <w:b/>
        </w:rPr>
        <w:t>de la Información</w:t>
      </w:r>
      <w:r w:rsidRPr="00695B2C">
        <w:rPr>
          <w:rFonts w:ascii="Palatino Linotype" w:eastAsia="Calibri" w:hAnsi="Palatino Linotype" w:cs="Tahoma"/>
          <w:b/>
        </w:rPr>
        <w:t xml:space="preserve"> hecha </w:t>
      </w:r>
      <w:r w:rsidR="00976136" w:rsidRPr="00695B2C">
        <w:rPr>
          <w:rFonts w:ascii="Palatino Linotype" w:eastAsia="Calibri" w:hAnsi="Palatino Linotype" w:cs="Tahoma"/>
          <w:b/>
        </w:rPr>
        <w:t xml:space="preserve">por autoridades de la </w:t>
      </w:r>
      <w:proofErr w:type="gramStart"/>
      <w:r w:rsidR="00976136" w:rsidRPr="00695B2C">
        <w:rPr>
          <w:rFonts w:ascii="Palatino Linotype" w:eastAsia="Calibri" w:hAnsi="Palatino Linotype" w:cs="Tahoma"/>
          <w:b/>
        </w:rPr>
        <w:t>Fiscalía General</w:t>
      </w:r>
      <w:proofErr w:type="gramEnd"/>
      <w:r w:rsidR="00976136" w:rsidRPr="00695B2C">
        <w:rPr>
          <w:rFonts w:ascii="Palatino Linotype" w:eastAsia="Calibri" w:hAnsi="Palatino Linotype" w:cs="Tahoma"/>
          <w:b/>
        </w:rPr>
        <w:t xml:space="preserve"> de Justicia del Estado de México.</w:t>
      </w:r>
    </w:p>
    <w:p w14:paraId="1B559A03" w14:textId="77777777" w:rsidR="00B42D8B" w:rsidRPr="00695B2C" w:rsidRDefault="00B42D8B" w:rsidP="006461DA">
      <w:pPr>
        <w:spacing w:after="0" w:line="360" w:lineRule="auto"/>
        <w:ind w:right="-93"/>
        <w:rPr>
          <w:rFonts w:eastAsia="Calibri" w:cs="Tahoma"/>
          <w:bCs/>
        </w:rPr>
      </w:pPr>
    </w:p>
    <w:p w14:paraId="41C1948A" w14:textId="07D1F4FC" w:rsidR="009618BC" w:rsidRDefault="00676570" w:rsidP="006461DA">
      <w:pPr>
        <w:spacing w:after="0" w:line="360" w:lineRule="auto"/>
        <w:ind w:right="-93"/>
        <w:rPr>
          <w:rFonts w:eastAsia="Calibri" w:cs="Tahoma"/>
          <w:bCs/>
        </w:rPr>
      </w:pPr>
      <w:r w:rsidRPr="00695B2C">
        <w:rPr>
          <w:rFonts w:eastAsia="Calibri" w:cs="Tahoma"/>
          <w:bCs/>
        </w:rPr>
        <w:t>Como se identificó del estudio, la propia Fiscalía, por</w:t>
      </w:r>
      <w:r w:rsidR="009618BC" w:rsidRPr="00695B2C">
        <w:rPr>
          <w:rFonts w:eastAsia="Calibri" w:cs="Tahoma"/>
          <w:bCs/>
        </w:rPr>
        <w:t xml:space="preserve"> conducto de su</w:t>
      </w:r>
      <w:r w:rsidRPr="00695B2C">
        <w:rPr>
          <w:rFonts w:eastAsia="Calibri" w:cs="Tahoma"/>
          <w:bCs/>
        </w:rPr>
        <w:t xml:space="preserve"> entonces </w:t>
      </w:r>
      <w:proofErr w:type="gramStart"/>
      <w:r w:rsidRPr="00695B2C">
        <w:rPr>
          <w:rFonts w:eastAsia="Calibri" w:cs="Tahoma"/>
          <w:bCs/>
        </w:rPr>
        <w:t>Fiscal Gener</w:t>
      </w:r>
      <w:r w:rsidR="009618BC" w:rsidRPr="00695B2C">
        <w:rPr>
          <w:rFonts w:eastAsia="Calibri" w:cs="Tahoma"/>
          <w:bCs/>
        </w:rPr>
        <w:t>al</w:t>
      </w:r>
      <w:proofErr w:type="gramEnd"/>
      <w:r w:rsidR="009618BC" w:rsidRPr="00695B2C">
        <w:rPr>
          <w:rFonts w:eastAsia="Calibri" w:cs="Tahoma"/>
          <w:bCs/>
        </w:rPr>
        <w:t xml:space="preserve"> Lic. Alejandro Jaime Gómez Sánchez, de la Titular de la Fiscalía Central </w:t>
      </w:r>
      <w:r w:rsidR="006625FE" w:rsidRPr="00695B2C">
        <w:rPr>
          <w:rFonts w:eastAsia="Calibri" w:cs="Tahoma"/>
          <w:bCs/>
        </w:rPr>
        <w:t>p</w:t>
      </w:r>
      <w:r w:rsidR="009618BC" w:rsidRPr="00695B2C">
        <w:rPr>
          <w:rFonts w:eastAsia="Calibri" w:cs="Tahoma"/>
          <w:bCs/>
        </w:rPr>
        <w:t xml:space="preserve">ara </w:t>
      </w:r>
      <w:r w:rsidR="006625FE" w:rsidRPr="00695B2C">
        <w:rPr>
          <w:rFonts w:eastAsia="Calibri" w:cs="Tahoma"/>
          <w:bCs/>
        </w:rPr>
        <w:t>l</w:t>
      </w:r>
      <w:r w:rsidR="009618BC" w:rsidRPr="00695B2C">
        <w:rPr>
          <w:rFonts w:eastAsia="Calibri" w:cs="Tahoma"/>
          <w:bCs/>
        </w:rPr>
        <w:t xml:space="preserve">a Atención </w:t>
      </w:r>
      <w:r w:rsidR="006625FE" w:rsidRPr="00695B2C">
        <w:rPr>
          <w:rFonts w:eastAsia="Calibri" w:cs="Tahoma"/>
          <w:bCs/>
        </w:rPr>
        <w:t xml:space="preserve">de </w:t>
      </w:r>
      <w:r w:rsidR="009618BC" w:rsidRPr="00695B2C">
        <w:rPr>
          <w:rFonts w:eastAsia="Calibri" w:cs="Tahoma"/>
          <w:bCs/>
        </w:rPr>
        <w:t xml:space="preserve">Delitos Vinculados </w:t>
      </w:r>
      <w:r w:rsidR="006625FE" w:rsidRPr="00695B2C">
        <w:rPr>
          <w:rFonts w:eastAsia="Calibri" w:cs="Tahoma"/>
          <w:bCs/>
        </w:rPr>
        <w:t xml:space="preserve">a la </w:t>
      </w:r>
      <w:r w:rsidR="009618BC" w:rsidRPr="00695B2C">
        <w:rPr>
          <w:rFonts w:eastAsia="Calibri" w:cs="Tahoma"/>
          <w:bCs/>
        </w:rPr>
        <w:t>Violencia de Género, </w:t>
      </w:r>
      <w:hyperlink r:id="rId61" w:tgtFrame="_blank" w:history="1">
        <w:r w:rsidR="00714640" w:rsidRPr="00695B2C">
          <w:rPr>
            <w:rFonts w:eastAsia="Calibri" w:cs="Tahoma"/>
          </w:rPr>
          <w:t>Sylvia</w:t>
        </w:r>
        <w:r w:rsidR="009618BC" w:rsidRPr="00695B2C">
          <w:rPr>
            <w:rFonts w:eastAsia="Calibri" w:cs="Tahoma"/>
          </w:rPr>
          <w:t xml:space="preserve"> García Espinoza</w:t>
        </w:r>
      </w:hyperlink>
      <w:r w:rsidR="009618BC" w:rsidRPr="00695B2C">
        <w:rPr>
          <w:rFonts w:eastAsia="Calibri" w:cs="Tahoma"/>
          <w:bCs/>
        </w:rPr>
        <w:t xml:space="preserve"> de </w:t>
      </w:r>
      <w:r w:rsidR="006625FE" w:rsidRPr="00695B2C">
        <w:rPr>
          <w:rFonts w:eastAsia="Calibri" w:cs="Tahoma"/>
          <w:bCs/>
        </w:rPr>
        <w:t>l</w:t>
      </w:r>
      <w:r w:rsidR="009618BC" w:rsidRPr="00695B2C">
        <w:rPr>
          <w:rFonts w:eastAsia="Calibri" w:cs="Tahoma"/>
          <w:bCs/>
        </w:rPr>
        <w:t>os Monteros</w:t>
      </w:r>
      <w:r w:rsidR="00976136" w:rsidRPr="00695B2C">
        <w:rPr>
          <w:rFonts w:eastAsia="Calibri" w:cs="Tahoma"/>
          <w:bCs/>
        </w:rPr>
        <w:t>,</w:t>
      </w:r>
      <w:r w:rsidR="009618BC" w:rsidRPr="00695B2C">
        <w:rPr>
          <w:rFonts w:eastAsia="Calibri" w:cs="Tahoma"/>
          <w:bCs/>
        </w:rPr>
        <w:t xml:space="preserve"> así como de información aportada por Ministerios Públicos, revelaron diversa información que fue recabada durante la investigación:</w:t>
      </w:r>
    </w:p>
    <w:p w14:paraId="7673AB55" w14:textId="77777777" w:rsidR="00B825AB" w:rsidRPr="00695B2C" w:rsidRDefault="00B825AB" w:rsidP="006461DA">
      <w:pPr>
        <w:spacing w:after="0" w:line="360" w:lineRule="auto"/>
        <w:ind w:right="-93"/>
        <w:rPr>
          <w:rFonts w:eastAsia="Calibri" w:cs="Tahoma"/>
          <w:bCs/>
        </w:rPr>
      </w:pPr>
    </w:p>
    <w:p w14:paraId="41418299" w14:textId="1E6F23C4" w:rsidR="009618BC" w:rsidRPr="00695B2C" w:rsidRDefault="009618BC" w:rsidP="006461DA">
      <w:pPr>
        <w:pStyle w:val="Prrafodelista"/>
        <w:numPr>
          <w:ilvl w:val="0"/>
          <w:numId w:val="14"/>
        </w:numPr>
        <w:spacing w:line="360" w:lineRule="auto"/>
        <w:ind w:right="-93"/>
        <w:rPr>
          <w:rFonts w:ascii="Palatino Linotype" w:eastAsia="Calibri" w:hAnsi="Palatino Linotype" w:cs="Tahoma"/>
          <w:b/>
        </w:rPr>
      </w:pPr>
      <w:r w:rsidRPr="00695B2C">
        <w:rPr>
          <w:rFonts w:ascii="Palatino Linotype" w:eastAsia="Calibri" w:hAnsi="Palatino Linotype" w:cs="Tahoma"/>
          <w:b/>
        </w:rPr>
        <w:t xml:space="preserve">Del </w:t>
      </w:r>
      <w:proofErr w:type="gramStart"/>
      <w:r w:rsidRPr="00695B2C">
        <w:rPr>
          <w:rFonts w:ascii="Palatino Linotype" w:eastAsia="Calibri" w:hAnsi="Palatino Linotype" w:cs="Tahoma"/>
          <w:b/>
        </w:rPr>
        <w:t>Fiscal General</w:t>
      </w:r>
      <w:proofErr w:type="gramEnd"/>
      <w:r w:rsidRPr="00695B2C">
        <w:rPr>
          <w:rFonts w:ascii="Palatino Linotype" w:eastAsia="Calibri" w:hAnsi="Palatino Linotype" w:cs="Tahoma"/>
          <w:b/>
        </w:rPr>
        <w:t xml:space="preserve"> de Justicia del Estado de México.</w:t>
      </w:r>
    </w:p>
    <w:p w14:paraId="28BBE94D" w14:textId="77777777" w:rsidR="00976136" w:rsidRPr="00695B2C" w:rsidRDefault="00976136" w:rsidP="006461DA">
      <w:pPr>
        <w:pStyle w:val="Prrafodelista"/>
        <w:spacing w:line="360" w:lineRule="auto"/>
        <w:ind w:right="-93"/>
        <w:rPr>
          <w:rFonts w:ascii="Palatino Linotype" w:eastAsia="Calibri" w:hAnsi="Palatino Linotype" w:cs="Tahoma"/>
          <w:b/>
        </w:rPr>
      </w:pPr>
    </w:p>
    <w:p w14:paraId="34FC665F" w14:textId="6A357F2E" w:rsidR="009618BC" w:rsidRPr="00695B2C" w:rsidRDefault="00976136" w:rsidP="006461DA">
      <w:pPr>
        <w:spacing w:after="0" w:line="360" w:lineRule="auto"/>
        <w:ind w:right="-93"/>
        <w:rPr>
          <w:rFonts w:eastAsia="Calibri" w:cs="Tahoma"/>
          <w:bCs/>
        </w:rPr>
      </w:pPr>
      <w:r w:rsidRPr="00695B2C">
        <w:rPr>
          <w:rFonts w:eastAsia="Calibri" w:cs="Tahoma"/>
          <w:bCs/>
        </w:rPr>
        <w:t xml:space="preserve">El Titular de la Fiscalía, </w:t>
      </w:r>
      <w:r w:rsidR="009618BC" w:rsidRPr="00695B2C">
        <w:rPr>
          <w:rFonts w:eastAsia="Calibri" w:cs="Tahoma"/>
          <w:bCs/>
        </w:rPr>
        <w:t xml:space="preserve">a través de su cuenta institucional de </w:t>
      </w:r>
      <w:r w:rsidR="009618BC" w:rsidRPr="00B825AB">
        <w:rPr>
          <w:rFonts w:eastAsia="Calibri" w:cs="Tahoma"/>
          <w:bCs/>
          <w:i/>
          <w:iCs/>
        </w:rPr>
        <w:t>Twitter</w:t>
      </w:r>
      <w:r w:rsidRPr="00695B2C">
        <w:rPr>
          <w:rFonts w:eastAsia="Calibri" w:cs="Tahoma"/>
          <w:bCs/>
        </w:rPr>
        <w:t>, expresó</w:t>
      </w:r>
      <w:r w:rsidR="009618BC" w:rsidRPr="00695B2C">
        <w:rPr>
          <w:rFonts w:eastAsia="Calibri" w:cs="Tahoma"/>
          <w:bCs/>
        </w:rPr>
        <w:t xml:space="preserve"> lo siguiente:</w:t>
      </w:r>
    </w:p>
    <w:p w14:paraId="1F8262A6" w14:textId="77777777" w:rsidR="00976136" w:rsidRPr="00695B2C" w:rsidRDefault="00976136" w:rsidP="006461DA">
      <w:pPr>
        <w:spacing w:after="0" w:line="360" w:lineRule="auto"/>
        <w:ind w:right="-93"/>
        <w:rPr>
          <w:rFonts w:eastAsia="Calibri" w:cs="Tahoma"/>
          <w:b/>
        </w:rPr>
      </w:pPr>
    </w:p>
    <w:p w14:paraId="07CD36B6" w14:textId="4BF20A4F" w:rsidR="009618BC" w:rsidRPr="00695B2C" w:rsidRDefault="009618BC" w:rsidP="006461DA">
      <w:pPr>
        <w:spacing w:after="0" w:line="360" w:lineRule="auto"/>
        <w:ind w:right="-93"/>
        <w:rPr>
          <w:rFonts w:eastAsia="Calibri" w:cs="Tahoma"/>
          <w:bCs/>
        </w:rPr>
      </w:pPr>
      <w:r w:rsidRPr="00695B2C">
        <w:rPr>
          <w:rFonts w:eastAsia="Calibri" w:cs="Tahoma"/>
          <w:b/>
        </w:rPr>
        <w:t>18 de mayo del 2021</w:t>
      </w:r>
      <w:r w:rsidRPr="00695B2C">
        <w:rPr>
          <w:rFonts w:eastAsia="Calibri" w:cs="Tahoma"/>
          <w:bCs/>
        </w:rPr>
        <w:t>, el cumplimiento de la orden de aprehensión</w:t>
      </w:r>
      <w:r w:rsidR="00A34D42" w:rsidRPr="00695B2C">
        <w:rPr>
          <w:rFonts w:eastAsia="Calibri" w:cs="Tahoma"/>
          <w:bCs/>
        </w:rPr>
        <w:t xml:space="preserve"> a través de las ligas de acceso directo: </w:t>
      </w:r>
      <w:hyperlink r:id="rId62" w:history="1">
        <w:r w:rsidR="00A34D42" w:rsidRPr="00695B2C">
          <w:rPr>
            <w:rStyle w:val="Hipervnculo"/>
            <w:rFonts w:eastAsia="Calibri" w:cs="Tahoma"/>
            <w:bCs/>
          </w:rPr>
          <w:t>https://twitter.com/FiscalEdomex/status/1394775971664912384/photo/1</w:t>
        </w:r>
      </w:hyperlink>
      <w:r w:rsidR="00A34D42" w:rsidRPr="00695B2C">
        <w:rPr>
          <w:rFonts w:eastAsia="Calibri" w:cs="Tahoma"/>
          <w:bCs/>
        </w:rPr>
        <w:t xml:space="preserve">, </w:t>
      </w:r>
      <w:hyperlink r:id="rId63" w:history="1">
        <w:r w:rsidR="00A34D42" w:rsidRPr="00695B2C">
          <w:rPr>
            <w:rStyle w:val="Hipervnculo"/>
            <w:rFonts w:eastAsia="Calibri" w:cs="Tahoma"/>
            <w:bCs/>
          </w:rPr>
          <w:t>https://twitter.com/FiscalEdomex/status/1394775971664912384/photo/2</w:t>
        </w:r>
      </w:hyperlink>
      <w:r w:rsidR="00A34D42" w:rsidRPr="00695B2C">
        <w:rPr>
          <w:rFonts w:eastAsia="Calibri" w:cs="Tahoma"/>
          <w:bCs/>
        </w:rPr>
        <w:t xml:space="preserve">, </w:t>
      </w:r>
      <w:hyperlink r:id="rId64" w:history="1">
        <w:r w:rsidR="00A34D42" w:rsidRPr="00695B2C">
          <w:rPr>
            <w:rStyle w:val="Hipervnculo"/>
            <w:rFonts w:eastAsia="Calibri" w:cs="Tahoma"/>
            <w:bCs/>
          </w:rPr>
          <w:t>https://twitter.com/FiscalEdomex/status/1394775971664912384/photo/3</w:t>
        </w:r>
      </w:hyperlink>
      <w:r w:rsidR="00A34D42" w:rsidRPr="00695B2C">
        <w:rPr>
          <w:rFonts w:eastAsia="Calibri" w:cs="Tahoma"/>
          <w:bCs/>
        </w:rPr>
        <w:t xml:space="preserve"> y </w:t>
      </w:r>
      <w:hyperlink r:id="rId65" w:history="1">
        <w:r w:rsidR="00A34D42" w:rsidRPr="00695B2C">
          <w:rPr>
            <w:rStyle w:val="Hipervnculo"/>
            <w:rFonts w:eastAsia="Calibri" w:cs="Tahoma"/>
            <w:bCs/>
          </w:rPr>
          <w:t>https://twitter.com/FiscalEdomex/status/1394775971664912384/photo/4</w:t>
        </w:r>
      </w:hyperlink>
      <w:r w:rsidR="00A34D42" w:rsidRPr="00695B2C">
        <w:rPr>
          <w:rFonts w:eastAsia="Calibri" w:cs="Tahoma"/>
          <w:bCs/>
        </w:rPr>
        <w:t xml:space="preserve">, así como del comunicado 663-2021 publicado en la liga de acceso directo </w:t>
      </w:r>
      <w:hyperlink r:id="rId66" w:history="1">
        <w:r w:rsidR="00A34D42" w:rsidRPr="00695B2C">
          <w:rPr>
            <w:rStyle w:val="Hipervnculo"/>
            <w:rFonts w:eastAsia="Calibri" w:cs="Tahoma"/>
            <w:bCs/>
          </w:rPr>
          <w:t>https://www.slideshare.net/FGJEM/comunicado-663-2021</w:t>
        </w:r>
      </w:hyperlink>
      <w:r w:rsidR="00A34D42" w:rsidRPr="00695B2C">
        <w:rPr>
          <w:rFonts w:eastAsia="Calibri" w:cs="Tahoma"/>
          <w:bCs/>
        </w:rPr>
        <w:t xml:space="preserve">.  </w:t>
      </w:r>
    </w:p>
    <w:p w14:paraId="695B60C8" w14:textId="719CB7BD" w:rsidR="00602083" w:rsidRPr="00695B2C" w:rsidRDefault="00602083" w:rsidP="006461DA">
      <w:pPr>
        <w:spacing w:after="0" w:line="360" w:lineRule="auto"/>
        <w:ind w:right="-93"/>
        <w:rPr>
          <w:rFonts w:eastAsia="Calibri" w:cs="Tahoma"/>
          <w:bCs/>
        </w:rPr>
      </w:pPr>
    </w:p>
    <w:p w14:paraId="2441BAC2" w14:textId="7D9C14A8" w:rsidR="00602083" w:rsidRPr="00695B2C" w:rsidRDefault="00602083" w:rsidP="006461DA">
      <w:pPr>
        <w:spacing w:after="0" w:line="360" w:lineRule="auto"/>
        <w:ind w:right="-93"/>
        <w:rPr>
          <w:rFonts w:eastAsia="Calibri" w:cs="Tahoma"/>
          <w:bCs/>
        </w:rPr>
      </w:pPr>
      <w:r w:rsidRPr="00695B2C">
        <w:rPr>
          <w:rFonts w:eastAsia="Calibri" w:cs="Tahoma"/>
          <w:bCs/>
        </w:rPr>
        <w:t xml:space="preserve">A </w:t>
      </w:r>
      <w:r w:rsidR="00B42D8B" w:rsidRPr="00695B2C">
        <w:rPr>
          <w:rFonts w:eastAsia="Calibri" w:cs="Tahoma"/>
          <w:bCs/>
        </w:rPr>
        <w:t>través</w:t>
      </w:r>
      <w:r w:rsidRPr="00695B2C">
        <w:rPr>
          <w:rFonts w:eastAsia="Calibri" w:cs="Tahoma"/>
          <w:bCs/>
        </w:rPr>
        <w:t xml:space="preserve"> de la liga de acceso directo de la misma cuenta, </w:t>
      </w:r>
      <w:hyperlink r:id="rId67" w:history="1">
        <w:r w:rsidRPr="00695B2C">
          <w:rPr>
            <w:rStyle w:val="Hipervnculo"/>
            <w:rFonts w:eastAsia="Calibri" w:cs="Tahoma"/>
            <w:bCs/>
          </w:rPr>
          <w:t>https://twitter.com/FiscalEdomex/status/1394776034424274949</w:t>
        </w:r>
      </w:hyperlink>
      <w:r w:rsidRPr="00695B2C">
        <w:rPr>
          <w:rFonts w:eastAsia="Calibri" w:cs="Tahoma"/>
          <w:bCs/>
        </w:rPr>
        <w:t>, publicó los hallazgos encontrados en el inmueble, la localización de diversos restos óseos, credenciales de elector, ropa, calzado y bolsas de mujer, además de otros indicios.</w:t>
      </w:r>
    </w:p>
    <w:p w14:paraId="1258B95D" w14:textId="0BBFBACF" w:rsidR="0002343C" w:rsidRPr="00695B2C" w:rsidRDefault="0002343C" w:rsidP="006461DA">
      <w:pPr>
        <w:spacing w:after="0" w:line="360" w:lineRule="auto"/>
        <w:ind w:right="-93"/>
        <w:rPr>
          <w:rFonts w:eastAsia="Calibri" w:cs="Tahoma"/>
          <w:b/>
        </w:rPr>
      </w:pPr>
    </w:p>
    <w:p w14:paraId="556E5371" w14:textId="56404026" w:rsidR="00602083" w:rsidRPr="00695B2C" w:rsidRDefault="00602083" w:rsidP="006461DA">
      <w:pPr>
        <w:spacing w:after="0" w:line="360" w:lineRule="auto"/>
        <w:ind w:right="-93"/>
        <w:rPr>
          <w:rFonts w:eastAsia="Calibri" w:cs="Tahoma"/>
          <w:bCs/>
        </w:rPr>
      </w:pPr>
      <w:r w:rsidRPr="00695B2C">
        <w:rPr>
          <w:rFonts w:eastAsia="Calibri" w:cs="Tahoma"/>
          <w:b/>
        </w:rPr>
        <w:t>19 de mayo del 2021.</w:t>
      </w:r>
      <w:r w:rsidRPr="00695B2C">
        <w:rPr>
          <w:rFonts w:eastAsia="Calibri" w:cs="Tahoma"/>
          <w:bCs/>
        </w:rPr>
        <w:t xml:space="preserve"> Que se realizaron excavaciones para </w:t>
      </w:r>
      <w:r w:rsidR="00B825AB">
        <w:rPr>
          <w:rFonts w:eastAsia="Calibri" w:cs="Tahoma"/>
          <w:bCs/>
        </w:rPr>
        <w:t xml:space="preserve">encontrar </w:t>
      </w:r>
      <w:r w:rsidRPr="00695B2C">
        <w:rPr>
          <w:rFonts w:eastAsia="Calibri" w:cs="Tahoma"/>
          <w:bCs/>
        </w:rPr>
        <w:t xml:space="preserve">restos óseos y demás indicios, publicado en la cuenta oficial de Twitter del </w:t>
      </w:r>
      <w:proofErr w:type="gramStart"/>
      <w:r w:rsidRPr="00695B2C">
        <w:rPr>
          <w:rFonts w:eastAsia="Calibri" w:cs="Tahoma"/>
          <w:bCs/>
        </w:rPr>
        <w:t>Fiscal General</w:t>
      </w:r>
      <w:proofErr w:type="gramEnd"/>
      <w:r w:rsidRPr="00695B2C">
        <w:rPr>
          <w:rFonts w:eastAsia="Calibri" w:cs="Tahoma"/>
          <w:bCs/>
        </w:rPr>
        <w:t xml:space="preserve">, en la liga de acceso directo </w:t>
      </w:r>
      <w:hyperlink r:id="rId68" w:history="1">
        <w:r w:rsidRPr="00695B2C">
          <w:rPr>
            <w:rStyle w:val="Hipervnculo"/>
            <w:rFonts w:eastAsia="Calibri" w:cs="Tahoma"/>
            <w:bCs/>
          </w:rPr>
          <w:t>https://twitter.com/FiscalEdomex/status/1395137781010153475</w:t>
        </w:r>
      </w:hyperlink>
      <w:r w:rsidRPr="00695B2C">
        <w:rPr>
          <w:rFonts w:eastAsia="Calibri" w:cs="Tahoma"/>
          <w:bCs/>
        </w:rPr>
        <w:t xml:space="preserve">.  </w:t>
      </w:r>
    </w:p>
    <w:p w14:paraId="26985FC3" w14:textId="67A33C43" w:rsidR="00990A4F" w:rsidRPr="00695B2C" w:rsidRDefault="00990A4F" w:rsidP="006461DA">
      <w:pPr>
        <w:spacing w:after="0" w:line="360" w:lineRule="auto"/>
        <w:ind w:right="-93"/>
        <w:rPr>
          <w:rFonts w:eastAsia="Calibri" w:cs="Tahoma"/>
          <w:bCs/>
        </w:rPr>
      </w:pPr>
    </w:p>
    <w:p w14:paraId="7C4BD617" w14:textId="294E4E38" w:rsidR="00602083" w:rsidRPr="00695B2C" w:rsidRDefault="00602083" w:rsidP="006461DA">
      <w:pPr>
        <w:spacing w:after="0" w:line="360" w:lineRule="auto"/>
        <w:ind w:right="-93"/>
        <w:rPr>
          <w:rFonts w:eastAsia="Calibri" w:cs="Tahoma"/>
          <w:b/>
          <w:u w:val="single"/>
        </w:rPr>
      </w:pPr>
      <w:r w:rsidRPr="00695B2C">
        <w:rPr>
          <w:rFonts w:eastAsia="Calibri" w:cs="Tahoma"/>
          <w:b/>
        </w:rPr>
        <w:t>20 de mayo del 2021</w:t>
      </w:r>
      <w:r w:rsidRPr="00695B2C">
        <w:rPr>
          <w:rFonts w:eastAsia="Calibri" w:cs="Tahoma"/>
          <w:bCs/>
        </w:rPr>
        <w:t>. Que se vinculó a proceso al imputado, además publicó el comunicado 668-2021</w:t>
      </w:r>
      <w:r w:rsidR="00BC02C8" w:rsidRPr="00695B2C">
        <w:rPr>
          <w:rFonts w:eastAsia="Calibri" w:cs="Tahoma"/>
          <w:bCs/>
        </w:rPr>
        <w:t xml:space="preserve"> con liga de acceso directo </w:t>
      </w:r>
      <w:hyperlink r:id="rId69" w:history="1">
        <w:r w:rsidR="00BC02C8" w:rsidRPr="00695B2C">
          <w:rPr>
            <w:rStyle w:val="Hipervnculo"/>
            <w:rFonts w:eastAsia="Calibri" w:cs="Tahoma"/>
            <w:bCs/>
          </w:rPr>
          <w:t>https://www.slideshare.net/FGJEM/comunicado-669-2021</w:t>
        </w:r>
      </w:hyperlink>
      <w:r w:rsidRPr="00695B2C">
        <w:rPr>
          <w:rFonts w:eastAsia="Calibri" w:cs="Tahoma"/>
          <w:bCs/>
        </w:rPr>
        <w:t xml:space="preserve">, por el que </w:t>
      </w:r>
      <w:r w:rsidR="00BC02C8" w:rsidRPr="00695B2C">
        <w:rPr>
          <w:rFonts w:eastAsia="Calibri" w:cs="Tahoma"/>
          <w:bCs/>
        </w:rPr>
        <w:t xml:space="preserve">aportó elementos suficientes relativas a la vinculación a proceso; </w:t>
      </w:r>
      <w:r w:rsidR="00BC02C8" w:rsidRPr="00695B2C">
        <w:rPr>
          <w:rFonts w:eastAsia="Calibri" w:cs="Tahoma"/>
          <w:b/>
          <w:u w:val="single"/>
        </w:rPr>
        <w:t xml:space="preserve">dicho documento contempla la necesidad de la difusión de la información, para que, en su caso, posibles </w:t>
      </w:r>
      <w:r w:rsidR="006625FE" w:rsidRPr="00695B2C">
        <w:rPr>
          <w:rFonts w:eastAsia="Calibri" w:cs="Tahoma"/>
          <w:b/>
          <w:u w:val="single"/>
        </w:rPr>
        <w:t xml:space="preserve">víctimas </w:t>
      </w:r>
      <w:r w:rsidR="00BC02C8" w:rsidRPr="00695B2C">
        <w:rPr>
          <w:rFonts w:eastAsia="Calibri" w:cs="Tahoma"/>
          <w:b/>
          <w:u w:val="single"/>
        </w:rPr>
        <w:t>puedan identificarlo y en su caso, denunciarlo, aun en caso de otros delitos.</w:t>
      </w:r>
    </w:p>
    <w:p w14:paraId="049A23DD" w14:textId="63AF7515" w:rsidR="00BC02C8" w:rsidRPr="00695B2C" w:rsidRDefault="00BC02C8" w:rsidP="006461DA">
      <w:pPr>
        <w:spacing w:after="0" w:line="360" w:lineRule="auto"/>
        <w:ind w:right="-93"/>
        <w:rPr>
          <w:rFonts w:eastAsia="Calibri" w:cs="Tahoma"/>
          <w:bCs/>
        </w:rPr>
      </w:pPr>
    </w:p>
    <w:p w14:paraId="5D2B9FB6" w14:textId="4CF8D3B6" w:rsidR="00BC02C8" w:rsidRPr="00695B2C" w:rsidRDefault="00BC02C8" w:rsidP="006461DA">
      <w:pPr>
        <w:pStyle w:val="Prrafodelista"/>
        <w:numPr>
          <w:ilvl w:val="0"/>
          <w:numId w:val="14"/>
        </w:numPr>
        <w:spacing w:line="360" w:lineRule="auto"/>
        <w:ind w:right="-93"/>
        <w:jc w:val="both"/>
        <w:rPr>
          <w:rFonts w:ascii="Palatino Linotype" w:eastAsia="Calibri" w:hAnsi="Palatino Linotype" w:cs="Tahoma"/>
          <w:bCs/>
        </w:rPr>
      </w:pPr>
      <w:r w:rsidRPr="00695B2C">
        <w:rPr>
          <w:rFonts w:ascii="Palatino Linotype" w:eastAsia="Calibri" w:hAnsi="Palatino Linotype" w:cs="Tahoma"/>
          <w:bCs/>
        </w:rPr>
        <w:t xml:space="preserve">De la Titular de la Fiscalía Central </w:t>
      </w:r>
      <w:r w:rsidR="00B825AB">
        <w:rPr>
          <w:rFonts w:ascii="Palatino Linotype" w:eastAsia="Calibri" w:hAnsi="Palatino Linotype" w:cs="Tahoma"/>
          <w:bCs/>
        </w:rPr>
        <w:t>p</w:t>
      </w:r>
      <w:r w:rsidRPr="00695B2C">
        <w:rPr>
          <w:rFonts w:ascii="Palatino Linotype" w:eastAsia="Calibri" w:hAnsi="Palatino Linotype" w:cs="Tahoma"/>
          <w:bCs/>
        </w:rPr>
        <w:t xml:space="preserve">ara </w:t>
      </w:r>
      <w:r w:rsidR="00B825AB">
        <w:rPr>
          <w:rFonts w:ascii="Palatino Linotype" w:eastAsia="Calibri" w:hAnsi="Palatino Linotype" w:cs="Tahoma"/>
          <w:bCs/>
        </w:rPr>
        <w:t>l</w:t>
      </w:r>
      <w:r w:rsidRPr="00695B2C">
        <w:rPr>
          <w:rFonts w:ascii="Palatino Linotype" w:eastAsia="Calibri" w:hAnsi="Palatino Linotype" w:cs="Tahoma"/>
          <w:bCs/>
        </w:rPr>
        <w:t xml:space="preserve">a Atención </w:t>
      </w:r>
      <w:r w:rsidR="00B825AB">
        <w:rPr>
          <w:rFonts w:ascii="Palatino Linotype" w:eastAsia="Calibri" w:hAnsi="Palatino Linotype" w:cs="Tahoma"/>
          <w:bCs/>
        </w:rPr>
        <w:t>d</w:t>
      </w:r>
      <w:r w:rsidRPr="00695B2C">
        <w:rPr>
          <w:rFonts w:ascii="Palatino Linotype" w:eastAsia="Calibri" w:hAnsi="Palatino Linotype" w:cs="Tahoma"/>
          <w:bCs/>
        </w:rPr>
        <w:t xml:space="preserve">e Delitos Vinculados </w:t>
      </w:r>
      <w:r w:rsidR="00B825AB">
        <w:rPr>
          <w:rFonts w:ascii="Palatino Linotype" w:eastAsia="Calibri" w:hAnsi="Palatino Linotype" w:cs="Tahoma"/>
          <w:bCs/>
        </w:rPr>
        <w:t>a</w:t>
      </w:r>
      <w:r w:rsidRPr="00695B2C">
        <w:rPr>
          <w:rFonts w:ascii="Palatino Linotype" w:eastAsia="Calibri" w:hAnsi="Palatino Linotype" w:cs="Tahoma"/>
          <w:bCs/>
        </w:rPr>
        <w:t xml:space="preserve"> </w:t>
      </w:r>
      <w:r w:rsidR="00B825AB">
        <w:rPr>
          <w:rFonts w:ascii="Palatino Linotype" w:eastAsia="Calibri" w:hAnsi="Palatino Linotype" w:cs="Tahoma"/>
          <w:bCs/>
        </w:rPr>
        <w:t>l</w:t>
      </w:r>
      <w:r w:rsidRPr="00695B2C">
        <w:rPr>
          <w:rFonts w:ascii="Palatino Linotype" w:eastAsia="Calibri" w:hAnsi="Palatino Linotype" w:cs="Tahoma"/>
          <w:bCs/>
        </w:rPr>
        <w:t>a Violencia de Género.</w:t>
      </w:r>
    </w:p>
    <w:p w14:paraId="034C3A8F" w14:textId="77777777" w:rsidR="00976136" w:rsidRPr="00695B2C" w:rsidRDefault="00976136" w:rsidP="006461DA">
      <w:pPr>
        <w:pStyle w:val="Prrafodelista"/>
        <w:spacing w:line="360" w:lineRule="auto"/>
        <w:ind w:right="-93"/>
        <w:jc w:val="both"/>
        <w:rPr>
          <w:rFonts w:ascii="Palatino Linotype" w:eastAsia="Calibri" w:hAnsi="Palatino Linotype" w:cs="Tahoma"/>
          <w:bCs/>
        </w:rPr>
      </w:pPr>
    </w:p>
    <w:p w14:paraId="6AAFC702" w14:textId="34C75F98" w:rsidR="00BC02C8" w:rsidRPr="00695B2C" w:rsidRDefault="00BC02C8" w:rsidP="006461DA">
      <w:pPr>
        <w:spacing w:after="0" w:line="360" w:lineRule="auto"/>
        <w:ind w:right="-93"/>
        <w:rPr>
          <w:rFonts w:eastAsia="Calibri" w:cs="Tahoma"/>
          <w:bCs/>
        </w:rPr>
      </w:pPr>
      <w:r w:rsidRPr="00695B2C">
        <w:rPr>
          <w:rFonts w:eastAsia="Calibri" w:cs="Tahoma"/>
          <w:b/>
        </w:rPr>
        <w:t>20 de mayo del 2021.</w:t>
      </w:r>
      <w:r w:rsidRPr="00695B2C">
        <w:rPr>
          <w:rFonts w:eastAsia="Calibri" w:cs="Tahoma"/>
          <w:bCs/>
        </w:rPr>
        <w:t xml:space="preserve"> En entrevista con Adela Micha, detalló </w:t>
      </w:r>
      <w:r w:rsidR="006625FE" w:rsidRPr="00695B2C">
        <w:rPr>
          <w:rFonts w:eastAsia="Calibri" w:cs="Tahoma"/>
          <w:bCs/>
        </w:rPr>
        <w:t>de</w:t>
      </w:r>
      <w:r w:rsidRPr="00695B2C">
        <w:rPr>
          <w:rFonts w:eastAsia="Calibri" w:cs="Tahoma"/>
          <w:bCs/>
        </w:rPr>
        <w:t xml:space="preserve"> la denuncia, la detención, </w:t>
      </w:r>
      <w:r w:rsidR="00E6046C" w:rsidRPr="00695B2C">
        <w:rPr>
          <w:rFonts w:eastAsia="Calibri" w:cs="Tahoma"/>
          <w:bCs/>
        </w:rPr>
        <w:t xml:space="preserve">el apoyo que se recibió de la Policía Municipal, datos del cateo formal, así como la identificación de hallazgos e indicios, como ropa que aparentemente son de distintas mujeres, maquillajes, bisutería, zapatos, celulares, una lista de personas, credenciales de elector; aseguraron el </w:t>
      </w:r>
      <w:r w:rsidR="00E6046C" w:rsidRPr="00695B2C">
        <w:rPr>
          <w:rFonts w:eastAsia="Calibri" w:cs="Tahoma"/>
          <w:bCs/>
        </w:rPr>
        <w:lastRenderedPageBreak/>
        <w:t xml:space="preserve">inmueble y </w:t>
      </w:r>
      <w:r w:rsidR="00D712C5" w:rsidRPr="00695B2C">
        <w:rPr>
          <w:rFonts w:eastAsia="Calibri" w:cs="Tahoma"/>
          <w:bCs/>
        </w:rPr>
        <w:t xml:space="preserve">afirmó </w:t>
      </w:r>
      <w:r w:rsidR="00E6046C" w:rsidRPr="00695B2C">
        <w:rPr>
          <w:rFonts w:eastAsia="Calibri" w:cs="Tahoma"/>
          <w:bCs/>
        </w:rPr>
        <w:t>que se encontraban buscando a las personas en las bases de datos, cotejándola con respecto a la lista.</w:t>
      </w:r>
    </w:p>
    <w:p w14:paraId="5B8712B6" w14:textId="73BC5D54" w:rsidR="00BC02C8" w:rsidRPr="00695B2C" w:rsidRDefault="00BC02C8" w:rsidP="006461DA">
      <w:pPr>
        <w:spacing w:after="0" w:line="360" w:lineRule="auto"/>
        <w:ind w:right="-93"/>
        <w:jc w:val="center"/>
        <w:rPr>
          <w:rFonts w:eastAsia="Calibri" w:cs="Tahoma"/>
          <w:bCs/>
        </w:rPr>
      </w:pPr>
      <w:r w:rsidRPr="00695B2C">
        <w:rPr>
          <w:noProof/>
        </w:rPr>
        <w:drawing>
          <wp:inline distT="0" distB="0" distL="0" distR="0" wp14:anchorId="1C554F89" wp14:editId="18F8CC21">
            <wp:extent cx="3995413" cy="1929110"/>
            <wp:effectExtent l="0" t="0" r="5715" b="0"/>
            <wp:docPr id="30" name="Imagen 3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Interfaz de usuario gráfica, Sitio web&#10;&#10;Descripción generada automáticamente"/>
                    <pic:cNvPicPr/>
                  </pic:nvPicPr>
                  <pic:blipFill rotWithShape="1">
                    <a:blip r:embed="rId70"/>
                    <a:srcRect l="2303" t="15666" r="34875" b="30382"/>
                    <a:stretch/>
                  </pic:blipFill>
                  <pic:spPr bwMode="auto">
                    <a:xfrm>
                      <a:off x="0" y="0"/>
                      <a:ext cx="4012247" cy="1937238"/>
                    </a:xfrm>
                    <a:prstGeom prst="rect">
                      <a:avLst/>
                    </a:prstGeom>
                    <a:ln>
                      <a:noFill/>
                    </a:ln>
                    <a:extLst>
                      <a:ext uri="{53640926-AAD7-44D8-BBD7-CCE9431645EC}">
                        <a14:shadowObscured xmlns:a14="http://schemas.microsoft.com/office/drawing/2010/main"/>
                      </a:ext>
                    </a:extLst>
                  </pic:spPr>
                </pic:pic>
              </a:graphicData>
            </a:graphic>
          </wp:inline>
        </w:drawing>
      </w:r>
    </w:p>
    <w:p w14:paraId="0B486F76" w14:textId="47AEDE33" w:rsidR="00330FE7" w:rsidRPr="00695B2C" w:rsidRDefault="00330FE7" w:rsidP="006461DA">
      <w:pPr>
        <w:spacing w:after="0" w:line="360" w:lineRule="auto"/>
        <w:ind w:left="567" w:right="567"/>
        <w:rPr>
          <w:rFonts w:eastAsia="Calibri" w:cs="Tahoma"/>
          <w:bCs/>
          <w:sz w:val="20"/>
          <w:szCs w:val="20"/>
        </w:rPr>
      </w:pPr>
      <w:r w:rsidRPr="00695B2C">
        <w:rPr>
          <w:rFonts w:eastAsia="Calibri" w:cs="Tahoma"/>
          <w:bCs/>
          <w:sz w:val="20"/>
          <w:szCs w:val="20"/>
        </w:rPr>
        <w:t>(Imagen recuperada el treinta y uno de mayo del dos mil veintidós a las veintiuna horas con diecinueve minutos de la liga señalada en el punto precedente</w:t>
      </w:r>
      <w:r w:rsidR="00D712C5" w:rsidRPr="00695B2C">
        <w:rPr>
          <w:rFonts w:eastAsia="Calibri" w:cs="Tahoma"/>
          <w:bCs/>
          <w:sz w:val="20"/>
          <w:szCs w:val="20"/>
        </w:rPr>
        <w:t xml:space="preserve">, en la liga de acceso directo </w:t>
      </w:r>
      <w:hyperlink r:id="rId71" w:history="1">
        <w:r w:rsidR="00EB6F80" w:rsidRPr="00695B2C">
          <w:rPr>
            <w:rStyle w:val="Hipervnculo"/>
            <w:rFonts w:eastAsia="Calibri" w:cs="Tahoma"/>
            <w:bCs/>
            <w:sz w:val="20"/>
            <w:szCs w:val="20"/>
          </w:rPr>
          <w:t>https://www.youtube.com/watch?v=wan0Ti_UTIc</w:t>
        </w:r>
      </w:hyperlink>
      <w:r w:rsidRPr="00695B2C">
        <w:rPr>
          <w:rFonts w:eastAsia="Calibri" w:cs="Tahoma"/>
          <w:bCs/>
          <w:sz w:val="20"/>
          <w:szCs w:val="20"/>
        </w:rPr>
        <w:t>)</w:t>
      </w:r>
    </w:p>
    <w:p w14:paraId="5CA72C7B" w14:textId="77777777" w:rsidR="00B42D8B" w:rsidRPr="00695B2C" w:rsidRDefault="00330FE7" w:rsidP="006461DA">
      <w:pPr>
        <w:spacing w:after="0" w:line="360" w:lineRule="auto"/>
        <w:ind w:right="-93"/>
        <w:rPr>
          <w:rFonts w:eastAsia="Calibri" w:cs="Tahoma"/>
          <w:b/>
        </w:rPr>
      </w:pPr>
      <w:r w:rsidRPr="00695B2C">
        <w:rPr>
          <w:rFonts w:eastAsia="Calibri" w:cs="Tahoma"/>
          <w:b/>
        </w:rPr>
        <w:t xml:space="preserve"> </w:t>
      </w:r>
    </w:p>
    <w:p w14:paraId="328AE580" w14:textId="45AE4584" w:rsidR="00330FE7" w:rsidRPr="00695B2C" w:rsidRDefault="00E6046C" w:rsidP="006461DA">
      <w:pPr>
        <w:spacing w:after="0" w:line="360" w:lineRule="auto"/>
        <w:ind w:right="-93"/>
        <w:rPr>
          <w:rFonts w:eastAsia="Calibri" w:cs="Tahoma"/>
          <w:bCs/>
        </w:rPr>
      </w:pPr>
      <w:r w:rsidRPr="00695B2C">
        <w:rPr>
          <w:rFonts w:eastAsia="Calibri" w:cs="Tahoma"/>
          <w:b/>
        </w:rPr>
        <w:t>20 de mayo del 2021.</w:t>
      </w:r>
      <w:r w:rsidRPr="00695B2C">
        <w:rPr>
          <w:rFonts w:eastAsia="Calibri" w:cs="Tahoma"/>
          <w:bCs/>
        </w:rPr>
        <w:t xml:space="preserve"> </w:t>
      </w:r>
      <w:r w:rsidR="00330FE7" w:rsidRPr="00695B2C">
        <w:rPr>
          <w:rFonts w:eastAsia="Calibri" w:cs="Tahoma"/>
          <w:bCs/>
        </w:rPr>
        <w:t xml:space="preserve">Ante el medio de comunicación Foro TV, en la liga de acceso directo </w:t>
      </w:r>
      <w:hyperlink r:id="rId72" w:history="1">
        <w:r w:rsidR="00330FE7" w:rsidRPr="00695B2C">
          <w:rPr>
            <w:rStyle w:val="Hipervnculo"/>
            <w:rFonts w:eastAsia="Calibri" w:cs="Tahoma"/>
            <w:bCs/>
          </w:rPr>
          <w:t>https://www.youtube.com/watch?v=kO0KPBoDBGI</w:t>
        </w:r>
      </w:hyperlink>
      <w:r w:rsidR="00330FE7" w:rsidRPr="00695B2C">
        <w:rPr>
          <w:rFonts w:eastAsia="Calibri" w:cs="Tahoma"/>
          <w:bCs/>
        </w:rPr>
        <w:t xml:space="preserve">, reveló las etapas del cateo y </w:t>
      </w:r>
      <w:r w:rsidR="00EB6F80" w:rsidRPr="00695B2C">
        <w:rPr>
          <w:rFonts w:eastAsia="Calibri" w:cs="Tahoma"/>
          <w:bCs/>
        </w:rPr>
        <w:t>especificó cada una de las zonas</w:t>
      </w:r>
      <w:r w:rsidR="00330FE7" w:rsidRPr="00695B2C">
        <w:rPr>
          <w:rFonts w:eastAsia="Calibri" w:cs="Tahoma"/>
          <w:bCs/>
        </w:rPr>
        <w:t xml:space="preserve">, las cuales fueron incluso descritas, dividiendo </w:t>
      </w:r>
      <w:r w:rsidR="00B42D8B" w:rsidRPr="00695B2C">
        <w:rPr>
          <w:rFonts w:eastAsia="Calibri" w:cs="Tahoma"/>
          <w:bCs/>
        </w:rPr>
        <w:t>y explicando las tres etapas del cateo al interior del inmueble.</w:t>
      </w:r>
    </w:p>
    <w:p w14:paraId="4B5F1809" w14:textId="77777777" w:rsidR="00330FE7" w:rsidRPr="00695B2C" w:rsidRDefault="00330FE7" w:rsidP="006461DA">
      <w:pPr>
        <w:spacing w:after="0" w:line="360" w:lineRule="auto"/>
        <w:ind w:right="-93"/>
        <w:rPr>
          <w:rFonts w:eastAsia="Calibri" w:cs="Tahoma"/>
          <w:bCs/>
        </w:rPr>
      </w:pPr>
    </w:p>
    <w:p w14:paraId="2F4E235D" w14:textId="2D68058F" w:rsidR="00BC02C8" w:rsidRPr="00695B2C" w:rsidRDefault="00330FE7" w:rsidP="006461DA">
      <w:pPr>
        <w:spacing w:after="0" w:line="360" w:lineRule="auto"/>
        <w:ind w:right="-93"/>
        <w:jc w:val="center"/>
        <w:rPr>
          <w:rFonts w:eastAsia="Calibri" w:cs="Tahoma"/>
          <w:bCs/>
        </w:rPr>
      </w:pPr>
      <w:r w:rsidRPr="00695B2C">
        <w:rPr>
          <w:noProof/>
        </w:rPr>
        <w:drawing>
          <wp:inline distT="0" distB="0" distL="0" distR="0" wp14:anchorId="345B8504" wp14:editId="54599D40">
            <wp:extent cx="4504477" cy="2233852"/>
            <wp:effectExtent l="0" t="0" r="0" b="0"/>
            <wp:docPr id="31" name="Imagen 3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Captura de pantalla de computadora&#10;&#10;Descripción generada automáticamente"/>
                    <pic:cNvPicPr/>
                  </pic:nvPicPr>
                  <pic:blipFill rotWithShape="1">
                    <a:blip r:embed="rId73"/>
                    <a:srcRect l="1480" t="7898" r="17937" b="21021"/>
                    <a:stretch/>
                  </pic:blipFill>
                  <pic:spPr bwMode="auto">
                    <a:xfrm>
                      <a:off x="0" y="0"/>
                      <a:ext cx="4511032" cy="2237103"/>
                    </a:xfrm>
                    <a:prstGeom prst="rect">
                      <a:avLst/>
                    </a:prstGeom>
                    <a:ln>
                      <a:noFill/>
                    </a:ln>
                    <a:extLst>
                      <a:ext uri="{53640926-AAD7-44D8-BBD7-CCE9431645EC}">
                        <a14:shadowObscured xmlns:a14="http://schemas.microsoft.com/office/drawing/2010/main"/>
                      </a:ext>
                    </a:extLst>
                  </pic:spPr>
                </pic:pic>
              </a:graphicData>
            </a:graphic>
          </wp:inline>
        </w:drawing>
      </w:r>
    </w:p>
    <w:p w14:paraId="42A5CE73" w14:textId="26B69ACC" w:rsidR="00330FE7" w:rsidRPr="00695B2C" w:rsidRDefault="00330FE7" w:rsidP="006461DA">
      <w:pPr>
        <w:spacing w:after="0" w:line="360" w:lineRule="auto"/>
        <w:ind w:right="-93"/>
        <w:rPr>
          <w:rFonts w:eastAsia="Calibri" w:cs="Tahoma"/>
          <w:bCs/>
        </w:rPr>
      </w:pPr>
      <w:r w:rsidRPr="00695B2C">
        <w:rPr>
          <w:rFonts w:eastAsia="Calibri" w:cs="Tahoma"/>
          <w:bCs/>
        </w:rPr>
        <w:lastRenderedPageBreak/>
        <w:t>(Imagen recuperada el treinta y uno de mayo del dos mil veintidós a las veintiuna horas con veintidós minutos de la liga señalada en el punto precedente)</w:t>
      </w:r>
    </w:p>
    <w:p w14:paraId="158273C7" w14:textId="25395CDA" w:rsidR="00330FE7" w:rsidRPr="00695B2C" w:rsidRDefault="00330FE7" w:rsidP="006461DA">
      <w:pPr>
        <w:spacing w:after="0" w:line="360" w:lineRule="auto"/>
        <w:ind w:right="-93"/>
        <w:rPr>
          <w:rFonts w:eastAsia="Calibri" w:cs="Tahoma"/>
          <w:b/>
        </w:rPr>
      </w:pPr>
    </w:p>
    <w:p w14:paraId="5B842F73" w14:textId="77777777" w:rsidR="00F52288" w:rsidRPr="00695B2C" w:rsidRDefault="00826A2E" w:rsidP="006461DA">
      <w:pPr>
        <w:spacing w:after="0" w:line="360" w:lineRule="auto"/>
        <w:ind w:right="-93"/>
        <w:rPr>
          <w:rFonts w:eastAsia="Calibri" w:cs="Tahoma"/>
          <w:bCs/>
        </w:rPr>
      </w:pPr>
      <w:r w:rsidRPr="00695B2C">
        <w:rPr>
          <w:rFonts w:eastAsia="Calibri" w:cs="Tahoma"/>
          <w:bCs/>
        </w:rPr>
        <w:t>De acuerdo con lo expuesto, el caso que nos ocupa fue mediatizado, por lo que los datos que fueron hechos de la opinión pública, fueron aportados por los ofendidos, medios de comunicación y autoridades</w:t>
      </w:r>
      <w:r w:rsidR="00A60AAA" w:rsidRPr="00695B2C">
        <w:rPr>
          <w:rFonts w:eastAsia="Calibri" w:cs="Tahoma"/>
          <w:bCs/>
        </w:rPr>
        <w:t>, primero por la urgente necesidad de encontrar a las personas desaparecidas; segundo porque las personas desaparecidas eran mujeres y en esta época la violencia y los feminicidios en contra de las mujeres en México se ha incrementado de manera alarmante, tercero, porque de acuerdo con la evidencia encontrada se trataba de un homicida serial por lo que era importante poder identificar si existían otras víctimas o se le relacionaba con la posible comisión de otros delitos.</w:t>
      </w:r>
    </w:p>
    <w:p w14:paraId="0BE22ADA" w14:textId="4F1CF2E8" w:rsidR="00F52288" w:rsidRPr="00695B2C" w:rsidRDefault="00F52288" w:rsidP="006461DA">
      <w:pPr>
        <w:spacing w:after="0" w:line="360" w:lineRule="auto"/>
        <w:ind w:right="-93"/>
        <w:rPr>
          <w:rFonts w:eastAsia="Calibri" w:cs="Tahoma"/>
          <w:bCs/>
        </w:rPr>
      </w:pPr>
    </w:p>
    <w:p w14:paraId="249F91B7" w14:textId="07456BF4" w:rsidR="00F52288" w:rsidRPr="00B825AB" w:rsidRDefault="00F52288" w:rsidP="006461DA">
      <w:pPr>
        <w:spacing w:after="0" w:line="360" w:lineRule="auto"/>
        <w:ind w:right="-93"/>
        <w:rPr>
          <w:rFonts w:eastAsia="Calibri" w:cs="Tahoma"/>
          <w:b/>
          <w:caps/>
        </w:rPr>
      </w:pPr>
      <w:r w:rsidRPr="00B825AB">
        <w:rPr>
          <w:rFonts w:eastAsia="Calibri" w:cs="Tahoma"/>
          <w:b/>
          <w:caps/>
        </w:rPr>
        <w:t>Análisis del contexto de violencia y feminicidios que aqueja a las mujeres en el país.</w:t>
      </w:r>
    </w:p>
    <w:p w14:paraId="24ABDF94" w14:textId="318D48F3" w:rsidR="00826A2E" w:rsidRPr="00695B2C" w:rsidRDefault="00A60AAA" w:rsidP="006461DA">
      <w:pPr>
        <w:spacing w:after="0" w:line="360" w:lineRule="auto"/>
        <w:ind w:right="-93"/>
        <w:rPr>
          <w:rFonts w:eastAsia="Calibri" w:cs="Tahoma"/>
          <w:bCs/>
        </w:rPr>
      </w:pPr>
      <w:r w:rsidRPr="00B825AB">
        <w:rPr>
          <w:rFonts w:eastAsia="Calibri" w:cs="Tahoma"/>
          <w:bCs/>
          <w:caps/>
        </w:rPr>
        <w:t xml:space="preserve"> </w:t>
      </w:r>
    </w:p>
    <w:p w14:paraId="0826CD6E" w14:textId="0E53573C" w:rsidR="00814762" w:rsidRPr="00695B2C" w:rsidRDefault="00814762" w:rsidP="006461DA">
      <w:pPr>
        <w:spacing w:after="0" w:line="360" w:lineRule="auto"/>
      </w:pPr>
      <w:r w:rsidRPr="00695B2C">
        <w:t xml:space="preserve">El feminicidio es considerado como un delito grave de conformidad con lo establecido en el artículo 9° del Código Penal del Estado de México, que no otorga beneficios sustitutivos ni suspensión de la pena de prisión en términos del artículo 69, fracción X, del referido Código y es tipificado por el artículo 281 del Código Penal vigente en la Entidad, que se comete </w:t>
      </w:r>
      <w:r w:rsidRPr="00695B2C">
        <w:rPr>
          <w:b/>
          <w:bCs/>
          <w:u w:val="single"/>
        </w:rPr>
        <w:t>cuando una persona priva de la vida a una mujer por razones de género</w:t>
      </w:r>
      <w:r w:rsidRPr="00695B2C">
        <w:t>, el mismo artículo enlista las circunstancias que pueden considerarse como constitutivas de esta violencia.</w:t>
      </w:r>
    </w:p>
    <w:p w14:paraId="53A3B207" w14:textId="77777777" w:rsidR="00814762" w:rsidRPr="00695B2C" w:rsidRDefault="00814762" w:rsidP="006461DA">
      <w:pPr>
        <w:spacing w:after="0" w:line="360" w:lineRule="auto"/>
      </w:pPr>
    </w:p>
    <w:p w14:paraId="49F191CE" w14:textId="2A5D259B" w:rsidR="00814762" w:rsidRPr="00695B2C" w:rsidRDefault="00814762" w:rsidP="006461DA">
      <w:pPr>
        <w:spacing w:after="0" w:line="360" w:lineRule="auto"/>
      </w:pPr>
      <w:r w:rsidRPr="00695B2C">
        <w:t>La creación del tipo penal de feminicidio, fue el 14 de julio de 2012, que incluyó, en el Código Penal Federal este supuesto</w:t>
      </w:r>
      <w:r w:rsidR="00714640">
        <w:t>,</w:t>
      </w:r>
      <w:r w:rsidRPr="00695B2C">
        <w:t xml:space="preserve"> su inclusión, obedece a la violencia de género que se incrementó en el país y que encontró una de sus escenas más emblemáticas, con las víctimas de Ciudad Juárez, problemática que data al menos, desde el año 1993, como se puede consultar en diversas fuentes y trabajos de investigación, como lo es el artículo científico “La cultura del feminicidio </w:t>
      </w:r>
      <w:r w:rsidRPr="00695B2C">
        <w:lastRenderedPageBreak/>
        <w:t xml:space="preserve">en Ciudad Juárez, 1993-1999”, de Julia Estela Monárrez Fragoso, consultable en la liga de acceso directo </w:t>
      </w:r>
      <w:hyperlink r:id="rId74" w:history="1">
        <w:r w:rsidRPr="00695B2C">
          <w:rPr>
            <w:rStyle w:val="Hipervnculo"/>
          </w:rPr>
          <w:t>http://www.scielo.org.mx/scielo.php?script=sci_arttext&amp;pid=S0187-73722000000100004</w:t>
        </w:r>
      </w:hyperlink>
      <w:r w:rsidRPr="00695B2C">
        <w:t xml:space="preserve"> </w:t>
      </w:r>
    </w:p>
    <w:p w14:paraId="53736ED1" w14:textId="77777777" w:rsidR="00814762" w:rsidRPr="00695B2C" w:rsidRDefault="00814762" w:rsidP="006461DA">
      <w:pPr>
        <w:spacing w:after="0" w:line="360" w:lineRule="auto"/>
      </w:pPr>
    </w:p>
    <w:p w14:paraId="0E6F1FBF" w14:textId="5D204E37" w:rsidR="00814762" w:rsidRPr="00695B2C" w:rsidRDefault="00814762" w:rsidP="006461DA">
      <w:pPr>
        <w:spacing w:after="0" w:line="360" w:lineRule="auto"/>
      </w:pPr>
      <w:r w:rsidRPr="00695B2C">
        <w:t xml:space="preserve">Esta problemática escaló al punto tal, que no bastó con la creación del tipo penal, sino que el 31 de julio de 2015, el Sistema Nacional de Prevención, Atención, Sanción y Erradicación de la Violencia contra las Mujeres acordó la procedencia de la declaratoria de Alerta de Violencia de Género contra las Mujeres para el Estado de México en once municipios; en octubre de 2019, la CONAVIM declaró una segunda Alerta, esta vez enfocada a la desaparición de niñas, adolescentes y mujeres en la </w:t>
      </w:r>
      <w:r w:rsidR="004A00EE" w:rsidRPr="00695B2C">
        <w:t>E</w:t>
      </w:r>
      <w:r w:rsidRPr="00695B2C">
        <w:t>ntidad, en siete de los municipios que ya estaban considerados en la primera alerta, esta declaratoria, tiene como finalidad, el focalizar los esfuerzos gubernamentales para la disminución de la violencia, de manera coordinada en los tres niveles de gobierno.</w:t>
      </w:r>
    </w:p>
    <w:p w14:paraId="5821915E" w14:textId="77777777" w:rsidR="00814762" w:rsidRPr="00695B2C" w:rsidRDefault="00814762" w:rsidP="006461DA">
      <w:pPr>
        <w:spacing w:after="0" w:line="360" w:lineRule="auto"/>
      </w:pPr>
    </w:p>
    <w:p w14:paraId="1AD298B8" w14:textId="03E40AFE" w:rsidR="00814762" w:rsidRPr="00695B2C" w:rsidRDefault="00814762" w:rsidP="006461DA">
      <w:pPr>
        <w:spacing w:after="0" w:line="360" w:lineRule="auto"/>
      </w:pPr>
      <w:r w:rsidRPr="00695B2C">
        <w:t xml:space="preserve">El aumento de cifras ha generado la necesidad por parte de la </w:t>
      </w:r>
      <w:proofErr w:type="gramStart"/>
      <w:r w:rsidRPr="00695B2C">
        <w:t>Fiscalía General</w:t>
      </w:r>
      <w:proofErr w:type="gramEnd"/>
      <w:r w:rsidRPr="00695B2C">
        <w:t xml:space="preserve"> de Justicia del Estado de México, a publicar las estadísticas de los feminicidios y homicidios dolosos a través de la página electrónica institucional, con liga de acceso directo </w:t>
      </w:r>
      <w:r w:rsidR="004A00EE" w:rsidRPr="00695B2C">
        <w:t xml:space="preserve"> </w:t>
      </w:r>
      <w:hyperlink r:id="rId75" w:history="1">
        <w:r w:rsidR="004A00EE" w:rsidRPr="00695B2C">
          <w:rPr>
            <w:rStyle w:val="Hipervnculo"/>
          </w:rPr>
          <w:t>https://fgjem.edomex.gob.mx/estadisticas-feminicidio-homicidio</w:t>
        </w:r>
      </w:hyperlink>
      <w:r w:rsidRPr="00695B2C">
        <w:t>, lo que nos permite identificar la urgencia que tenemos de solucionar esta problemática.</w:t>
      </w:r>
    </w:p>
    <w:p w14:paraId="5E865A49" w14:textId="25718481" w:rsidR="004A00EE" w:rsidRPr="00695B2C" w:rsidRDefault="004A00EE" w:rsidP="006461DA">
      <w:pPr>
        <w:spacing w:after="0" w:line="360" w:lineRule="auto"/>
      </w:pPr>
    </w:p>
    <w:p w14:paraId="0EF4FEAA" w14:textId="586B7E78" w:rsidR="004A00EE" w:rsidRPr="00695B2C" w:rsidRDefault="004A00EE" w:rsidP="006461DA">
      <w:pPr>
        <w:spacing w:after="0" w:line="360" w:lineRule="auto"/>
      </w:pPr>
      <w:r w:rsidRPr="00695B2C">
        <w:t>En la imagen se muestra el alto nivel de violencia que viven las mujeres en el Estado de México:</w:t>
      </w:r>
    </w:p>
    <w:p w14:paraId="527DA12C" w14:textId="26AE0032" w:rsidR="004A00EE" w:rsidRPr="00695B2C" w:rsidRDefault="004A00EE" w:rsidP="006461DA">
      <w:pPr>
        <w:spacing w:after="0" w:line="360" w:lineRule="auto"/>
      </w:pPr>
    </w:p>
    <w:p w14:paraId="7C4A3801" w14:textId="37188B4C" w:rsidR="004A00EE" w:rsidRPr="00695B2C" w:rsidRDefault="004A00EE" w:rsidP="006461DA">
      <w:pPr>
        <w:spacing w:after="0" w:line="360" w:lineRule="auto"/>
        <w:jc w:val="center"/>
      </w:pPr>
      <w:r w:rsidRPr="00695B2C">
        <w:rPr>
          <w:noProof/>
        </w:rPr>
        <w:lastRenderedPageBreak/>
        <mc:AlternateContent>
          <mc:Choice Requires="wps">
            <w:drawing>
              <wp:anchor distT="0" distB="0" distL="114300" distR="114300" simplePos="0" relativeHeight="251661312" behindDoc="0" locked="0" layoutInCell="1" allowOverlap="1" wp14:anchorId="43A4B5A1" wp14:editId="0517702D">
                <wp:simplePos x="0" y="0"/>
                <wp:positionH relativeFrom="column">
                  <wp:posOffset>176737</wp:posOffset>
                </wp:positionH>
                <wp:positionV relativeFrom="paragraph">
                  <wp:posOffset>2831554</wp:posOffset>
                </wp:positionV>
                <wp:extent cx="682656" cy="320318"/>
                <wp:effectExtent l="19050" t="95250" r="0" b="99060"/>
                <wp:wrapNone/>
                <wp:docPr id="23" name="Flecha: a la derecha 23"/>
                <wp:cNvGraphicFramePr/>
                <a:graphic xmlns:a="http://schemas.openxmlformats.org/drawingml/2006/main">
                  <a:graphicData uri="http://schemas.microsoft.com/office/word/2010/wordprocessingShape">
                    <wps:wsp>
                      <wps:cNvSpPr/>
                      <wps:spPr>
                        <a:xfrm rot="19844497">
                          <a:off x="0" y="0"/>
                          <a:ext cx="682656" cy="320318"/>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396EA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a la derecha 23" o:spid="_x0000_s1026" type="#_x0000_t13" style="position:absolute;margin-left:13.9pt;margin-top:222.95pt;width:53.75pt;height:25.2pt;rotation:-1917477fd;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" adj="16532" fillcolor="red" strokecolor="red" strokeweight="1pt"/>
            </w:pict>
          </mc:Fallback>
        </mc:AlternateContent>
      </w:r>
      <w:r w:rsidRPr="00695B2C">
        <w:rPr>
          <w:noProof/>
        </w:rPr>
        <w:drawing>
          <wp:inline distT="0" distB="0" distL="0" distR="0" wp14:anchorId="0A6D0AC4" wp14:editId="444F9EB2">
            <wp:extent cx="4272897" cy="3175000"/>
            <wp:effectExtent l="0" t="0" r="0" b="6350"/>
            <wp:docPr id="21" name="Imagen 21" descr="Interfaz de usuario gráfica, Aplicación, Histo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 Aplicación, Histograma&#10;&#10;Descripción generada automáticamente"/>
                    <pic:cNvPicPr/>
                  </pic:nvPicPr>
                  <pic:blipFill rotWithShape="1">
                    <a:blip r:embed="rId76"/>
                    <a:srcRect l="28177" t="22803" r="24460" b="14636"/>
                    <a:stretch/>
                  </pic:blipFill>
                  <pic:spPr bwMode="auto">
                    <a:xfrm>
                      <a:off x="0" y="0"/>
                      <a:ext cx="4292953" cy="3189903"/>
                    </a:xfrm>
                    <a:prstGeom prst="rect">
                      <a:avLst/>
                    </a:prstGeom>
                    <a:ln>
                      <a:noFill/>
                    </a:ln>
                    <a:extLst>
                      <a:ext uri="{53640926-AAD7-44D8-BBD7-CCE9431645EC}">
                        <a14:shadowObscured xmlns:a14="http://schemas.microsoft.com/office/drawing/2010/main"/>
                      </a:ext>
                    </a:extLst>
                  </pic:spPr>
                </pic:pic>
              </a:graphicData>
            </a:graphic>
          </wp:inline>
        </w:drawing>
      </w:r>
    </w:p>
    <w:p w14:paraId="1C398EF5" w14:textId="77777777" w:rsidR="00814762" w:rsidRPr="00695B2C" w:rsidRDefault="00814762" w:rsidP="006461DA">
      <w:pPr>
        <w:spacing w:after="0" w:line="360" w:lineRule="auto"/>
      </w:pPr>
    </w:p>
    <w:p w14:paraId="672E04C0" w14:textId="475720E2" w:rsidR="00814762" w:rsidRPr="00695B2C" w:rsidRDefault="00814762" w:rsidP="006461DA">
      <w:pPr>
        <w:spacing w:after="0" w:line="360" w:lineRule="auto"/>
      </w:pPr>
      <w:r w:rsidRPr="00695B2C">
        <w:t xml:space="preserve">Las cifras oficiales publicadas por el </w:t>
      </w:r>
      <w:r w:rsidR="00FB4C30">
        <w:t xml:space="preserve">Secretariado Ejecutivo del Sistema Nacional de Seguridad Pública </w:t>
      </w:r>
      <w:r w:rsidRPr="00695B2C">
        <w:t xml:space="preserve">y difundidas por el medio de comunicación “El Financiero”, revelan un incremento del delito de feminicidio para el año 2021, con un total de 1004 (consultable en la liga de acceso directo </w:t>
      </w:r>
      <w:hyperlink r:id="rId77" w:history="1">
        <w:r w:rsidRPr="00695B2C">
          <w:rPr>
            <w:rStyle w:val="Hipervnculo"/>
          </w:rPr>
          <w:t>https://www.elfinanciero.com.mx/nacional/2022/01/20/feminicidios-en-mexico-2021-es-el-ano-mas-violento-contra-las-mujeres/</w:t>
        </w:r>
      </w:hyperlink>
      <w:r w:rsidRPr="00695B2C">
        <w:t xml:space="preserve">),  y al primer trimestre del 2022, se reveló una cifra de 229 feminicidios, (información difundida por el Sol de México a través de la nota periodística consultable en la liga de acceso directo </w:t>
      </w:r>
      <w:hyperlink r:id="rId78" w:history="1">
        <w:r w:rsidRPr="00695B2C">
          <w:rPr>
            <w:rStyle w:val="Hipervnculo"/>
          </w:rPr>
          <w:t>https://www.elsoldemexico.com.mx/mexico/sociedad/data-van-229-feminicidios-en-lo-que-va-del-2022-8231129.html</w:t>
        </w:r>
      </w:hyperlink>
      <w:r w:rsidRPr="00695B2C">
        <w:t>) por lo que, ante el incremento de las cifras, se debe identificar la necesidad de modificar y adecuar políticas públicas, así como adoptar medidas suficientes para contribuir a la solución de esta problemática, desde todos sectores de gobierno.</w:t>
      </w:r>
    </w:p>
    <w:p w14:paraId="2986D8C4" w14:textId="0AFAAE94" w:rsidR="00C54071" w:rsidRPr="00695B2C" w:rsidRDefault="00C54071" w:rsidP="006461DA">
      <w:pPr>
        <w:spacing w:after="0" w:line="360" w:lineRule="auto"/>
      </w:pPr>
    </w:p>
    <w:p w14:paraId="4E08263A" w14:textId="27A664EA" w:rsidR="00C54071" w:rsidRPr="00695B2C" w:rsidRDefault="00C54071" w:rsidP="006461DA">
      <w:pPr>
        <w:spacing w:after="0" w:line="360" w:lineRule="auto"/>
      </w:pPr>
      <w:r w:rsidRPr="00695B2C">
        <w:t xml:space="preserve">Es justamente por este nivel de violencia que se vive y se percibe diariamente </w:t>
      </w:r>
      <w:r w:rsidR="005B37DA" w:rsidRPr="00695B2C">
        <w:t xml:space="preserve">en el país </w:t>
      </w:r>
      <w:r w:rsidRPr="00695B2C">
        <w:t xml:space="preserve">que los delitos cometidos por la personas </w:t>
      </w:r>
      <w:r w:rsidR="005B37DA" w:rsidRPr="00695B2C">
        <w:t xml:space="preserve">de </w:t>
      </w:r>
      <w:r w:rsidRPr="00695B2C">
        <w:t>qu</w:t>
      </w:r>
      <w:r w:rsidR="005B37DA" w:rsidRPr="00695B2C">
        <w:t xml:space="preserve">ien </w:t>
      </w:r>
      <w:r w:rsidRPr="00695B2C">
        <w:t xml:space="preserve">se solicita información cobra relevancia de interés </w:t>
      </w:r>
      <w:r w:rsidRPr="00695B2C">
        <w:lastRenderedPageBreak/>
        <w:t xml:space="preserve">público, </w:t>
      </w:r>
      <w:r w:rsidR="005B37DA" w:rsidRPr="00695B2C">
        <w:t xml:space="preserve">ya que se conjugan varios factores como la participación de las familias por encontrar a mujeres desaparecidas, se trató de feminicidios, el número de casos convirtió al imputado en feminicida serial, se dio una amplia difusión de todos los detalles de la investigación y del proceso penal Asimismo, vale la pena señalar que </w:t>
      </w:r>
      <w:r w:rsidRPr="00695B2C">
        <w:t xml:space="preserve">las estadísticas no permiten identificar el número de casos resueltos, por lo que dar a conocer las cifras sobre impunidad en el delito de feminicidio también debe ser considerada información de interés público. </w:t>
      </w:r>
    </w:p>
    <w:p w14:paraId="41F6E6EC" w14:textId="774EAA2F" w:rsidR="00826A2E" w:rsidRPr="00695B2C" w:rsidRDefault="00826A2E" w:rsidP="006461DA">
      <w:pPr>
        <w:spacing w:after="0" w:line="360" w:lineRule="auto"/>
        <w:ind w:right="-93"/>
        <w:rPr>
          <w:rFonts w:eastAsia="Calibri" w:cs="Tahoma"/>
          <w:b/>
        </w:rPr>
      </w:pPr>
    </w:p>
    <w:p w14:paraId="1FE3B201" w14:textId="51354DE2" w:rsidR="00826A2E" w:rsidRPr="00646592" w:rsidRDefault="00F52288" w:rsidP="006461DA">
      <w:pPr>
        <w:spacing w:after="0" w:line="360" w:lineRule="auto"/>
        <w:ind w:right="-93"/>
        <w:rPr>
          <w:rFonts w:eastAsia="Calibri" w:cs="Tahoma"/>
          <w:b/>
          <w:caps/>
        </w:rPr>
      </w:pPr>
      <w:r w:rsidRPr="00646592">
        <w:rPr>
          <w:rFonts w:eastAsia="Calibri" w:cs="Tahoma"/>
          <w:b/>
          <w:caps/>
        </w:rPr>
        <w:t xml:space="preserve">Comparativo de la </w:t>
      </w:r>
      <w:r w:rsidR="00646592">
        <w:rPr>
          <w:rFonts w:eastAsia="Calibri" w:cs="Tahoma"/>
          <w:b/>
          <w:caps/>
        </w:rPr>
        <w:t xml:space="preserve">INFORMACIÓN </w:t>
      </w:r>
      <w:r w:rsidRPr="00646592">
        <w:rPr>
          <w:rFonts w:eastAsia="Calibri" w:cs="Tahoma"/>
          <w:b/>
          <w:caps/>
        </w:rPr>
        <w:t>solicit</w:t>
      </w:r>
      <w:r w:rsidR="00646592">
        <w:rPr>
          <w:rFonts w:eastAsia="Calibri" w:cs="Tahoma"/>
          <w:b/>
          <w:caps/>
        </w:rPr>
        <w:t>ADA</w:t>
      </w:r>
      <w:r w:rsidRPr="00646592">
        <w:rPr>
          <w:rFonts w:eastAsia="Calibri" w:cs="Tahoma"/>
          <w:b/>
          <w:caps/>
        </w:rPr>
        <w:t xml:space="preserve"> </w:t>
      </w:r>
      <w:r w:rsidR="00646592">
        <w:rPr>
          <w:rFonts w:eastAsia="Calibri" w:cs="Tahoma"/>
          <w:b/>
          <w:caps/>
        </w:rPr>
        <w:t xml:space="preserve">POR EL AHORA RECURRENTE </w:t>
      </w:r>
      <w:r w:rsidRPr="00646592">
        <w:rPr>
          <w:rFonts w:eastAsia="Calibri" w:cs="Tahoma"/>
          <w:b/>
          <w:caps/>
        </w:rPr>
        <w:t>y la información proporcionada por el Sujeto Obligado.</w:t>
      </w:r>
    </w:p>
    <w:p w14:paraId="0D8CC6F6" w14:textId="77777777" w:rsidR="00826A2E" w:rsidRPr="00695B2C" w:rsidRDefault="00826A2E" w:rsidP="006461DA">
      <w:pPr>
        <w:spacing w:after="0" w:line="360" w:lineRule="auto"/>
        <w:ind w:right="-93"/>
        <w:rPr>
          <w:rFonts w:eastAsia="Calibri" w:cs="Tahoma"/>
          <w:b/>
        </w:rPr>
      </w:pPr>
    </w:p>
    <w:p w14:paraId="4291394A" w14:textId="0796CC9E" w:rsidR="005D1632" w:rsidRPr="00695B2C" w:rsidRDefault="005D1632" w:rsidP="006461DA">
      <w:pPr>
        <w:spacing w:after="0" w:line="360" w:lineRule="auto"/>
        <w:ind w:right="-93"/>
        <w:rPr>
          <w:rFonts w:eastAsia="Times New Roman" w:cs="Arial"/>
          <w:bCs/>
          <w:color w:val="auto"/>
          <w:lang w:eastAsia="es-ES"/>
        </w:rPr>
      </w:pPr>
      <w:r w:rsidRPr="00695B2C">
        <w:rPr>
          <w:rFonts w:eastAsia="Calibri" w:cs="Tahoma"/>
          <w:bCs/>
        </w:rPr>
        <w:t xml:space="preserve">Ahora bien, para </w:t>
      </w:r>
      <w:r w:rsidR="00554394" w:rsidRPr="00695B2C">
        <w:rPr>
          <w:rFonts w:eastAsia="Calibri" w:cs="Tahoma"/>
          <w:bCs/>
        </w:rPr>
        <w:t>observar</w:t>
      </w:r>
      <w:r w:rsidR="004877A7" w:rsidRPr="00695B2C">
        <w:rPr>
          <w:rFonts w:eastAsia="Calibri" w:cs="Tahoma"/>
          <w:bCs/>
        </w:rPr>
        <w:t xml:space="preserve"> de manera clara </w:t>
      </w:r>
      <w:r w:rsidRPr="00695B2C">
        <w:rPr>
          <w:rFonts w:eastAsia="Calibri" w:cs="Tahoma"/>
          <w:bCs/>
        </w:rPr>
        <w:t>lo requerido por el Particular, se ordenan los puntos de información enlistados en su solicitud y se correlacionan con la información aportada en respuesta e informe justificado</w:t>
      </w:r>
      <w:r w:rsidR="004877A7" w:rsidRPr="00695B2C">
        <w:rPr>
          <w:rFonts w:eastAsia="Calibri" w:cs="Tahoma"/>
          <w:bCs/>
        </w:rPr>
        <w:t xml:space="preserve">, para </w:t>
      </w:r>
      <w:r w:rsidR="00554394" w:rsidRPr="00695B2C">
        <w:rPr>
          <w:rFonts w:eastAsia="Calibri" w:cs="Tahoma"/>
          <w:bCs/>
        </w:rPr>
        <w:t>identificar aquellos datos que fueron proporcionados y lo que requieren análisis.</w:t>
      </w:r>
    </w:p>
    <w:p w14:paraId="3D6AA4BA" w14:textId="3F3E440B" w:rsidR="005D1632" w:rsidRPr="00695B2C" w:rsidRDefault="005D1632" w:rsidP="006461DA">
      <w:pPr>
        <w:spacing w:after="0" w:line="360" w:lineRule="auto"/>
        <w:ind w:right="-93"/>
        <w:rPr>
          <w:rFonts w:eastAsia="Times New Roman" w:cs="Arial"/>
          <w:bCs/>
          <w:color w:val="auto"/>
          <w:lang w:eastAsia="es-ES"/>
        </w:rPr>
      </w:pPr>
    </w:p>
    <w:tbl>
      <w:tblPr>
        <w:tblStyle w:val="Tablaconcuadrcula"/>
        <w:tblW w:w="0" w:type="auto"/>
        <w:tblLook w:val="04A0" w:firstRow="1" w:lastRow="0" w:firstColumn="1" w:lastColumn="0" w:noHBand="0" w:noVBand="1"/>
      </w:tblPr>
      <w:tblGrid>
        <w:gridCol w:w="464"/>
        <w:gridCol w:w="1799"/>
        <w:gridCol w:w="2694"/>
        <w:gridCol w:w="1984"/>
        <w:gridCol w:w="2170"/>
      </w:tblGrid>
      <w:tr w:rsidR="007D663D" w:rsidRPr="00695B2C" w14:paraId="192E0DD7" w14:textId="77777777" w:rsidTr="00B61556">
        <w:tc>
          <w:tcPr>
            <w:tcW w:w="464" w:type="dxa"/>
            <w:shd w:val="clear" w:color="auto" w:fill="E7E6E6" w:themeFill="background2"/>
            <w:vAlign w:val="center"/>
          </w:tcPr>
          <w:p w14:paraId="4F950BE6" w14:textId="48EF8769" w:rsidR="007D663D" w:rsidRPr="00695B2C" w:rsidRDefault="007D663D" w:rsidP="006461DA">
            <w:pPr>
              <w:spacing w:line="360" w:lineRule="auto"/>
              <w:ind w:right="-93"/>
              <w:jc w:val="center"/>
              <w:rPr>
                <w:rFonts w:eastAsia="Times New Roman" w:cs="Arial"/>
                <w:bCs/>
                <w:color w:val="auto"/>
                <w:sz w:val="18"/>
                <w:szCs w:val="18"/>
                <w:lang w:eastAsia="es-ES"/>
              </w:rPr>
            </w:pPr>
            <w:r w:rsidRPr="00695B2C">
              <w:rPr>
                <w:rFonts w:eastAsia="Times New Roman" w:cs="Arial"/>
                <w:bCs/>
                <w:color w:val="auto"/>
                <w:sz w:val="18"/>
                <w:szCs w:val="18"/>
                <w:lang w:eastAsia="es-ES"/>
              </w:rPr>
              <w:t>No</w:t>
            </w:r>
          </w:p>
        </w:tc>
        <w:tc>
          <w:tcPr>
            <w:tcW w:w="1799" w:type="dxa"/>
            <w:shd w:val="clear" w:color="auto" w:fill="E7E6E6" w:themeFill="background2"/>
            <w:vAlign w:val="center"/>
          </w:tcPr>
          <w:p w14:paraId="5CA83C3B" w14:textId="187903B2" w:rsidR="007D663D" w:rsidRPr="00695B2C" w:rsidRDefault="00595872" w:rsidP="006461DA">
            <w:pPr>
              <w:spacing w:line="360" w:lineRule="auto"/>
              <w:ind w:right="-93"/>
              <w:jc w:val="center"/>
              <w:rPr>
                <w:rFonts w:eastAsia="Times New Roman" w:cs="Arial"/>
                <w:bCs/>
                <w:color w:val="auto"/>
                <w:sz w:val="18"/>
                <w:szCs w:val="18"/>
                <w:lang w:eastAsia="es-ES"/>
              </w:rPr>
            </w:pPr>
            <w:r w:rsidRPr="00695B2C">
              <w:rPr>
                <w:rFonts w:eastAsia="Times New Roman" w:cs="Arial"/>
                <w:bCs/>
                <w:color w:val="auto"/>
                <w:sz w:val="18"/>
                <w:szCs w:val="18"/>
                <w:lang w:eastAsia="es-ES"/>
              </w:rPr>
              <w:t>S</w:t>
            </w:r>
            <w:r w:rsidR="007D663D" w:rsidRPr="00695B2C">
              <w:rPr>
                <w:rFonts w:eastAsia="Times New Roman" w:cs="Arial"/>
                <w:bCs/>
                <w:color w:val="auto"/>
                <w:sz w:val="18"/>
                <w:szCs w:val="18"/>
                <w:lang w:eastAsia="es-ES"/>
              </w:rPr>
              <w:t>olicitud</w:t>
            </w:r>
          </w:p>
        </w:tc>
        <w:tc>
          <w:tcPr>
            <w:tcW w:w="2694" w:type="dxa"/>
            <w:shd w:val="clear" w:color="auto" w:fill="E7E6E6" w:themeFill="background2"/>
            <w:vAlign w:val="center"/>
          </w:tcPr>
          <w:p w14:paraId="3D1B94E0" w14:textId="70A6CCE5" w:rsidR="007D663D" w:rsidRPr="00695B2C" w:rsidRDefault="007D663D" w:rsidP="006461DA">
            <w:pPr>
              <w:spacing w:line="360" w:lineRule="auto"/>
              <w:ind w:right="-93"/>
              <w:jc w:val="center"/>
              <w:rPr>
                <w:rFonts w:eastAsia="Times New Roman" w:cs="Arial"/>
                <w:bCs/>
                <w:color w:val="auto"/>
                <w:sz w:val="18"/>
                <w:szCs w:val="18"/>
                <w:lang w:eastAsia="es-ES"/>
              </w:rPr>
            </w:pPr>
            <w:r w:rsidRPr="00695B2C">
              <w:rPr>
                <w:rFonts w:eastAsia="Times New Roman" w:cs="Arial"/>
                <w:bCs/>
                <w:color w:val="auto"/>
                <w:sz w:val="18"/>
                <w:szCs w:val="18"/>
                <w:lang w:eastAsia="es-ES"/>
              </w:rPr>
              <w:t>Respuesta</w:t>
            </w:r>
          </w:p>
        </w:tc>
        <w:tc>
          <w:tcPr>
            <w:tcW w:w="1984" w:type="dxa"/>
            <w:shd w:val="clear" w:color="auto" w:fill="E7E6E6" w:themeFill="background2"/>
            <w:vAlign w:val="center"/>
          </w:tcPr>
          <w:p w14:paraId="662B2F5D" w14:textId="64702932" w:rsidR="007D663D" w:rsidRPr="00695B2C" w:rsidRDefault="00786F7B" w:rsidP="006461DA">
            <w:pPr>
              <w:spacing w:line="360" w:lineRule="auto"/>
              <w:ind w:right="-93"/>
              <w:jc w:val="center"/>
              <w:rPr>
                <w:rFonts w:eastAsia="Times New Roman" w:cs="Arial"/>
                <w:bCs/>
                <w:color w:val="auto"/>
                <w:sz w:val="18"/>
                <w:szCs w:val="18"/>
                <w:lang w:eastAsia="es-ES"/>
              </w:rPr>
            </w:pPr>
            <w:r w:rsidRPr="00695B2C">
              <w:rPr>
                <w:rFonts w:eastAsia="Times New Roman" w:cs="Arial"/>
                <w:bCs/>
                <w:color w:val="auto"/>
                <w:sz w:val="18"/>
                <w:szCs w:val="18"/>
                <w:lang w:eastAsia="es-ES"/>
              </w:rPr>
              <w:t>I</w:t>
            </w:r>
            <w:r w:rsidR="007D663D" w:rsidRPr="00695B2C">
              <w:rPr>
                <w:rFonts w:eastAsia="Times New Roman" w:cs="Arial"/>
                <w:bCs/>
                <w:color w:val="auto"/>
                <w:sz w:val="18"/>
                <w:szCs w:val="18"/>
                <w:lang w:eastAsia="es-ES"/>
              </w:rPr>
              <w:t xml:space="preserve">nforme </w:t>
            </w:r>
            <w:r w:rsidRPr="00695B2C">
              <w:rPr>
                <w:rFonts w:eastAsia="Times New Roman" w:cs="Arial"/>
                <w:bCs/>
                <w:color w:val="auto"/>
                <w:sz w:val="18"/>
                <w:szCs w:val="18"/>
                <w:lang w:eastAsia="es-ES"/>
              </w:rPr>
              <w:t>Justificado</w:t>
            </w:r>
            <w:r w:rsidR="007D663D" w:rsidRPr="00695B2C">
              <w:rPr>
                <w:rFonts w:eastAsia="Times New Roman" w:cs="Arial"/>
                <w:bCs/>
                <w:color w:val="auto"/>
                <w:sz w:val="18"/>
                <w:szCs w:val="18"/>
                <w:lang w:eastAsia="es-ES"/>
              </w:rPr>
              <w:t>.</w:t>
            </w:r>
          </w:p>
        </w:tc>
        <w:tc>
          <w:tcPr>
            <w:tcW w:w="2170" w:type="dxa"/>
            <w:shd w:val="clear" w:color="auto" w:fill="E7E6E6" w:themeFill="background2"/>
            <w:vAlign w:val="center"/>
          </w:tcPr>
          <w:p w14:paraId="21C4E265" w14:textId="7EDD08ED" w:rsidR="007D663D" w:rsidRPr="00695B2C" w:rsidRDefault="007D663D" w:rsidP="006461DA">
            <w:pPr>
              <w:spacing w:line="360" w:lineRule="auto"/>
              <w:ind w:right="-93"/>
              <w:jc w:val="center"/>
              <w:rPr>
                <w:rFonts w:eastAsia="Times New Roman" w:cs="Arial"/>
                <w:bCs/>
                <w:color w:val="auto"/>
                <w:sz w:val="18"/>
                <w:szCs w:val="18"/>
                <w:lang w:eastAsia="es-ES"/>
              </w:rPr>
            </w:pPr>
            <w:r w:rsidRPr="00695B2C">
              <w:rPr>
                <w:rFonts w:eastAsia="Times New Roman" w:cs="Arial"/>
                <w:bCs/>
                <w:color w:val="auto"/>
                <w:sz w:val="18"/>
                <w:szCs w:val="18"/>
                <w:lang w:eastAsia="es-ES"/>
              </w:rPr>
              <w:t>Observaci</w:t>
            </w:r>
            <w:r w:rsidR="00786F7B" w:rsidRPr="00695B2C">
              <w:rPr>
                <w:rFonts w:eastAsia="Times New Roman" w:cs="Arial"/>
                <w:bCs/>
                <w:color w:val="auto"/>
                <w:sz w:val="18"/>
                <w:szCs w:val="18"/>
                <w:lang w:eastAsia="es-ES"/>
              </w:rPr>
              <w:t>ones</w:t>
            </w:r>
          </w:p>
        </w:tc>
      </w:tr>
      <w:tr w:rsidR="007D663D" w:rsidRPr="00695B2C" w14:paraId="0FAC5FC4" w14:textId="77777777" w:rsidTr="00B61556">
        <w:tc>
          <w:tcPr>
            <w:tcW w:w="464" w:type="dxa"/>
            <w:vAlign w:val="center"/>
          </w:tcPr>
          <w:p w14:paraId="3C545A68" w14:textId="11FE7CA1" w:rsidR="007D663D" w:rsidRPr="00695B2C" w:rsidRDefault="00C20687" w:rsidP="006461DA">
            <w:pPr>
              <w:spacing w:line="360" w:lineRule="auto"/>
              <w:ind w:right="-93"/>
              <w:jc w:val="center"/>
              <w:rPr>
                <w:rFonts w:eastAsia="Times New Roman" w:cs="Arial"/>
                <w:bCs/>
                <w:color w:val="auto"/>
                <w:sz w:val="18"/>
                <w:szCs w:val="18"/>
                <w:lang w:eastAsia="es-ES"/>
              </w:rPr>
            </w:pPr>
            <w:r w:rsidRPr="00695B2C">
              <w:rPr>
                <w:rFonts w:eastAsia="Times New Roman" w:cs="Arial"/>
                <w:bCs/>
                <w:color w:val="auto"/>
                <w:sz w:val="18"/>
                <w:szCs w:val="18"/>
                <w:lang w:eastAsia="es-ES"/>
              </w:rPr>
              <w:t>1</w:t>
            </w:r>
          </w:p>
        </w:tc>
        <w:tc>
          <w:tcPr>
            <w:tcW w:w="1799" w:type="dxa"/>
          </w:tcPr>
          <w:p w14:paraId="16D5C015" w14:textId="2107ED24" w:rsidR="007D663D" w:rsidRPr="00695B2C" w:rsidRDefault="00C20687" w:rsidP="006461DA">
            <w:pPr>
              <w:spacing w:line="360" w:lineRule="auto"/>
              <w:ind w:right="-93"/>
              <w:rPr>
                <w:rFonts w:eastAsia="Times New Roman" w:cs="Arial"/>
                <w:bCs/>
                <w:color w:val="auto"/>
                <w:sz w:val="18"/>
                <w:szCs w:val="18"/>
                <w:lang w:eastAsia="es-ES"/>
              </w:rPr>
            </w:pPr>
            <w:proofErr w:type="spellStart"/>
            <w:r w:rsidRPr="00695B2C">
              <w:rPr>
                <w:rFonts w:eastAsia="Times New Roman" w:cs="Arial"/>
                <w:bCs/>
                <w:color w:val="auto"/>
                <w:sz w:val="18"/>
                <w:szCs w:val="18"/>
                <w:lang w:eastAsia="es-ES"/>
              </w:rPr>
              <w:t>Numero</w:t>
            </w:r>
            <w:proofErr w:type="spellEnd"/>
            <w:r w:rsidRPr="00695B2C">
              <w:rPr>
                <w:rFonts w:eastAsia="Times New Roman" w:cs="Arial"/>
                <w:bCs/>
                <w:color w:val="auto"/>
                <w:sz w:val="18"/>
                <w:szCs w:val="18"/>
                <w:lang w:eastAsia="es-ES"/>
              </w:rPr>
              <w:t xml:space="preserve"> de carpetas abierta en su contra.</w:t>
            </w:r>
          </w:p>
        </w:tc>
        <w:tc>
          <w:tcPr>
            <w:tcW w:w="2694" w:type="dxa"/>
          </w:tcPr>
          <w:p w14:paraId="2136AA57" w14:textId="75878F30" w:rsidR="007D663D" w:rsidRPr="00695B2C" w:rsidRDefault="00786F7B"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S</w:t>
            </w:r>
            <w:r w:rsidR="00F66ADA" w:rsidRPr="00695B2C">
              <w:rPr>
                <w:rFonts w:eastAsia="Times New Roman" w:cs="Arial"/>
                <w:bCs/>
                <w:color w:val="auto"/>
                <w:sz w:val="18"/>
                <w:szCs w:val="18"/>
                <w:lang w:eastAsia="es-ES"/>
              </w:rPr>
              <w:t xml:space="preserve">e tiene una carpeta abierta en su contra y el ejercicio de una acción penal, </w:t>
            </w:r>
          </w:p>
        </w:tc>
        <w:tc>
          <w:tcPr>
            <w:tcW w:w="1984" w:type="dxa"/>
          </w:tcPr>
          <w:p w14:paraId="493194BC" w14:textId="5BABA104" w:rsidR="007D663D" w:rsidRPr="00695B2C" w:rsidRDefault="00F66ADA"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Reiteró el sentido de su respuesta.</w:t>
            </w:r>
          </w:p>
        </w:tc>
        <w:tc>
          <w:tcPr>
            <w:tcW w:w="2170" w:type="dxa"/>
          </w:tcPr>
          <w:p w14:paraId="61FB0DAE" w14:textId="77777777" w:rsidR="007D663D" w:rsidRPr="00695B2C" w:rsidRDefault="003B1AA7"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Se entregó en respuesta y el Particular n</w:t>
            </w:r>
            <w:r w:rsidR="00F66ADA" w:rsidRPr="00695B2C">
              <w:rPr>
                <w:rFonts w:eastAsia="Times New Roman" w:cs="Arial"/>
                <w:bCs/>
                <w:color w:val="auto"/>
                <w:sz w:val="18"/>
                <w:szCs w:val="18"/>
                <w:lang w:eastAsia="es-ES"/>
              </w:rPr>
              <w:t>o se inconformó sobre este punto.</w:t>
            </w:r>
          </w:p>
          <w:p w14:paraId="0E23D4EE" w14:textId="58BDC16B" w:rsidR="00786F7B" w:rsidRPr="00695B2C" w:rsidRDefault="00786F7B"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(se relaciona con el punto 5).</w:t>
            </w:r>
          </w:p>
        </w:tc>
      </w:tr>
      <w:tr w:rsidR="007D663D" w:rsidRPr="00695B2C" w14:paraId="45694BE8" w14:textId="77777777" w:rsidTr="00B61556">
        <w:tc>
          <w:tcPr>
            <w:tcW w:w="464" w:type="dxa"/>
            <w:vAlign w:val="center"/>
          </w:tcPr>
          <w:p w14:paraId="75FED52F" w14:textId="6AFFF2EB" w:rsidR="007D663D" w:rsidRPr="00695B2C" w:rsidRDefault="00C20687" w:rsidP="006461DA">
            <w:pPr>
              <w:spacing w:line="360" w:lineRule="auto"/>
              <w:ind w:right="-93"/>
              <w:jc w:val="center"/>
              <w:rPr>
                <w:rFonts w:eastAsia="Times New Roman" w:cs="Arial"/>
                <w:bCs/>
                <w:color w:val="auto"/>
                <w:sz w:val="18"/>
                <w:szCs w:val="18"/>
                <w:lang w:eastAsia="es-ES"/>
              </w:rPr>
            </w:pPr>
            <w:r w:rsidRPr="00695B2C">
              <w:rPr>
                <w:rFonts w:eastAsia="Times New Roman" w:cs="Arial"/>
                <w:bCs/>
                <w:color w:val="auto"/>
                <w:sz w:val="18"/>
                <w:szCs w:val="18"/>
                <w:lang w:eastAsia="es-ES"/>
              </w:rPr>
              <w:t>2</w:t>
            </w:r>
          </w:p>
        </w:tc>
        <w:tc>
          <w:tcPr>
            <w:tcW w:w="1799" w:type="dxa"/>
          </w:tcPr>
          <w:p w14:paraId="62E2A99C" w14:textId="01DEDB49" w:rsidR="007D663D" w:rsidRPr="00695B2C" w:rsidRDefault="00C20687"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Protocolo aplicado por investigación de feminicidio.</w:t>
            </w:r>
          </w:p>
        </w:tc>
        <w:tc>
          <w:tcPr>
            <w:tcW w:w="2694" w:type="dxa"/>
          </w:tcPr>
          <w:p w14:paraId="2C91A37C" w14:textId="2C91BE8A" w:rsidR="007D663D" w:rsidRPr="00695B2C" w:rsidRDefault="00786F7B"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Aplicó el “Protocolo de Actuación en la Investigación del Delito de Feminicidio”, entregó la</w:t>
            </w:r>
            <w:r w:rsidR="003B1AA7" w:rsidRPr="00695B2C">
              <w:rPr>
                <w:rFonts w:eastAsia="Times New Roman" w:cs="Arial"/>
                <w:bCs/>
                <w:color w:val="auto"/>
                <w:sz w:val="18"/>
                <w:szCs w:val="18"/>
                <w:lang w:eastAsia="es-ES"/>
              </w:rPr>
              <w:t xml:space="preserve"> liga de acceso </w:t>
            </w:r>
            <w:r w:rsidR="00803986" w:rsidRPr="00695B2C">
              <w:rPr>
                <w:rFonts w:eastAsia="Times New Roman" w:cs="Arial"/>
                <w:bCs/>
                <w:color w:val="auto"/>
                <w:sz w:val="18"/>
                <w:szCs w:val="18"/>
                <w:lang w:eastAsia="es-ES"/>
              </w:rPr>
              <w:t>directo refirió</w:t>
            </w:r>
            <w:r w:rsidRPr="00695B2C">
              <w:rPr>
                <w:rFonts w:eastAsia="Times New Roman" w:cs="Arial"/>
                <w:bCs/>
                <w:color w:val="auto"/>
                <w:sz w:val="18"/>
                <w:szCs w:val="18"/>
                <w:lang w:eastAsia="es-ES"/>
              </w:rPr>
              <w:t xml:space="preserve"> </w:t>
            </w:r>
            <w:r w:rsidR="00C93AA9" w:rsidRPr="00695B2C">
              <w:rPr>
                <w:rFonts w:eastAsia="Times New Roman" w:cs="Arial"/>
                <w:bCs/>
                <w:color w:val="auto"/>
                <w:sz w:val="18"/>
                <w:szCs w:val="18"/>
                <w:lang w:eastAsia="es-ES"/>
              </w:rPr>
              <w:t>su publicación</w:t>
            </w:r>
            <w:r w:rsidR="003B1AA7" w:rsidRPr="00695B2C">
              <w:rPr>
                <w:rFonts w:eastAsia="Times New Roman" w:cs="Arial"/>
                <w:bCs/>
                <w:color w:val="auto"/>
                <w:sz w:val="18"/>
                <w:szCs w:val="18"/>
                <w:lang w:eastAsia="es-ES"/>
              </w:rPr>
              <w:t xml:space="preserve"> </w:t>
            </w:r>
            <w:r w:rsidRPr="00695B2C">
              <w:rPr>
                <w:rFonts w:eastAsia="Times New Roman" w:cs="Arial"/>
                <w:bCs/>
                <w:color w:val="auto"/>
                <w:sz w:val="18"/>
                <w:szCs w:val="18"/>
                <w:lang w:eastAsia="es-ES"/>
              </w:rPr>
              <w:t xml:space="preserve">en </w:t>
            </w:r>
            <w:r w:rsidR="003B1AA7" w:rsidRPr="00695B2C">
              <w:rPr>
                <w:rFonts w:eastAsia="Times New Roman" w:cs="Arial"/>
                <w:bCs/>
                <w:color w:val="auto"/>
                <w:sz w:val="18"/>
                <w:szCs w:val="18"/>
                <w:lang w:eastAsia="es-ES"/>
              </w:rPr>
              <w:t>la Gaceta del Gobierno de</w:t>
            </w:r>
            <w:r w:rsidRPr="00695B2C">
              <w:rPr>
                <w:rFonts w:eastAsia="Times New Roman" w:cs="Arial"/>
                <w:bCs/>
                <w:color w:val="auto"/>
                <w:sz w:val="18"/>
                <w:szCs w:val="18"/>
                <w:lang w:eastAsia="es-ES"/>
              </w:rPr>
              <w:t>l</w:t>
            </w:r>
            <w:r w:rsidR="003B1AA7" w:rsidRPr="00695B2C">
              <w:rPr>
                <w:rFonts w:eastAsia="Times New Roman" w:cs="Arial"/>
                <w:bCs/>
                <w:color w:val="auto"/>
                <w:sz w:val="18"/>
                <w:szCs w:val="18"/>
                <w:lang w:eastAsia="es-ES"/>
              </w:rPr>
              <w:t xml:space="preserve"> 22 de abril del 2016</w:t>
            </w:r>
            <w:r w:rsidR="00C93AA9" w:rsidRPr="00695B2C">
              <w:rPr>
                <w:rFonts w:eastAsia="Times New Roman" w:cs="Arial"/>
                <w:bCs/>
                <w:color w:val="auto"/>
                <w:sz w:val="18"/>
                <w:szCs w:val="18"/>
                <w:lang w:eastAsia="es-ES"/>
              </w:rPr>
              <w:t>.</w:t>
            </w:r>
            <w:r w:rsidR="003B1AA7" w:rsidRPr="00695B2C">
              <w:rPr>
                <w:rFonts w:eastAsia="Times New Roman" w:cs="Arial"/>
                <w:bCs/>
                <w:color w:val="auto"/>
                <w:sz w:val="18"/>
                <w:szCs w:val="18"/>
                <w:lang w:eastAsia="es-ES"/>
              </w:rPr>
              <w:t xml:space="preserve"> </w:t>
            </w:r>
          </w:p>
        </w:tc>
        <w:tc>
          <w:tcPr>
            <w:tcW w:w="1984" w:type="dxa"/>
          </w:tcPr>
          <w:p w14:paraId="6A398F68" w14:textId="4B830BCC" w:rsidR="007D663D" w:rsidRPr="00695B2C" w:rsidRDefault="00C93AA9"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No se pronunció</w:t>
            </w:r>
          </w:p>
        </w:tc>
        <w:tc>
          <w:tcPr>
            <w:tcW w:w="2170" w:type="dxa"/>
          </w:tcPr>
          <w:p w14:paraId="3D3F6DEF" w14:textId="2FA53E1B" w:rsidR="007D663D" w:rsidRPr="00695B2C" w:rsidRDefault="003B1AA7"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Se entregó en respuesta y el Particular no se inconformó sobre este punto.</w:t>
            </w:r>
          </w:p>
        </w:tc>
      </w:tr>
      <w:tr w:rsidR="00AF3FF8" w:rsidRPr="00695B2C" w14:paraId="1F439AFD" w14:textId="77777777" w:rsidTr="00B61556">
        <w:tc>
          <w:tcPr>
            <w:tcW w:w="464" w:type="dxa"/>
            <w:vAlign w:val="center"/>
          </w:tcPr>
          <w:p w14:paraId="1BD6AE4F" w14:textId="781717AE" w:rsidR="00AF3FF8" w:rsidRPr="00695B2C" w:rsidRDefault="00AF3FF8" w:rsidP="006461DA">
            <w:pPr>
              <w:spacing w:line="360" w:lineRule="auto"/>
              <w:ind w:right="-93"/>
              <w:jc w:val="center"/>
              <w:rPr>
                <w:rFonts w:eastAsia="Times New Roman" w:cs="Arial"/>
                <w:bCs/>
                <w:color w:val="auto"/>
                <w:sz w:val="18"/>
                <w:szCs w:val="18"/>
                <w:lang w:eastAsia="es-ES"/>
              </w:rPr>
            </w:pPr>
            <w:r w:rsidRPr="00695B2C">
              <w:rPr>
                <w:rFonts w:eastAsia="Times New Roman" w:cs="Arial"/>
                <w:bCs/>
                <w:color w:val="auto"/>
                <w:sz w:val="18"/>
                <w:szCs w:val="18"/>
                <w:lang w:eastAsia="es-ES"/>
              </w:rPr>
              <w:lastRenderedPageBreak/>
              <w:t>3</w:t>
            </w:r>
          </w:p>
        </w:tc>
        <w:tc>
          <w:tcPr>
            <w:tcW w:w="1799" w:type="dxa"/>
          </w:tcPr>
          <w:p w14:paraId="7391D433" w14:textId="4C9780EE"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Acciones de extinción de dominio.</w:t>
            </w:r>
          </w:p>
        </w:tc>
        <w:tc>
          <w:tcPr>
            <w:tcW w:w="2694" w:type="dxa"/>
          </w:tcPr>
          <w:p w14:paraId="3C86AF53" w14:textId="239F2508"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No realizó pronunciamiento alguno.</w:t>
            </w:r>
          </w:p>
        </w:tc>
        <w:tc>
          <w:tcPr>
            <w:tcW w:w="1984" w:type="dxa"/>
          </w:tcPr>
          <w:p w14:paraId="1600D44D" w14:textId="37A6F494" w:rsidR="00AF3FF8" w:rsidRPr="00695B2C" w:rsidRDefault="00C93AA9"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No realizó pronunciamiento alguno.</w:t>
            </w:r>
          </w:p>
        </w:tc>
        <w:tc>
          <w:tcPr>
            <w:tcW w:w="2170" w:type="dxa"/>
          </w:tcPr>
          <w:p w14:paraId="38DD5CF3" w14:textId="3BD8C263"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No realizó pronunciamiento alguno.</w:t>
            </w:r>
          </w:p>
        </w:tc>
      </w:tr>
      <w:tr w:rsidR="00AF3FF8" w:rsidRPr="00695B2C" w14:paraId="0460BF0E" w14:textId="77777777" w:rsidTr="00B61556">
        <w:tc>
          <w:tcPr>
            <w:tcW w:w="464" w:type="dxa"/>
            <w:vAlign w:val="center"/>
          </w:tcPr>
          <w:p w14:paraId="432AF3C5" w14:textId="28F46739" w:rsidR="00AF3FF8" w:rsidRPr="00695B2C" w:rsidRDefault="00AF3FF8" w:rsidP="006461DA">
            <w:pPr>
              <w:spacing w:line="360" w:lineRule="auto"/>
              <w:ind w:right="-93"/>
              <w:jc w:val="center"/>
              <w:rPr>
                <w:rFonts w:eastAsia="Times New Roman" w:cs="Arial"/>
                <w:bCs/>
                <w:color w:val="auto"/>
                <w:sz w:val="18"/>
                <w:szCs w:val="18"/>
                <w:lang w:eastAsia="es-ES"/>
              </w:rPr>
            </w:pPr>
            <w:r w:rsidRPr="00695B2C">
              <w:rPr>
                <w:rFonts w:eastAsia="Times New Roman" w:cs="Arial"/>
                <w:bCs/>
                <w:color w:val="auto"/>
                <w:sz w:val="18"/>
                <w:szCs w:val="18"/>
                <w:lang w:eastAsia="es-ES"/>
              </w:rPr>
              <w:t>4</w:t>
            </w:r>
          </w:p>
        </w:tc>
        <w:tc>
          <w:tcPr>
            <w:tcW w:w="1799" w:type="dxa"/>
          </w:tcPr>
          <w:p w14:paraId="7F9DA509" w14:textId="288937B9"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Permisos tramitados ante el ayuntamiento de Atizapán de Zaragoza para continuar con las labores de investigación.</w:t>
            </w:r>
          </w:p>
        </w:tc>
        <w:tc>
          <w:tcPr>
            <w:tcW w:w="2694" w:type="dxa"/>
          </w:tcPr>
          <w:p w14:paraId="5DD15543" w14:textId="5F48A220"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No realizó pronunciamiento alguno.</w:t>
            </w:r>
          </w:p>
        </w:tc>
        <w:tc>
          <w:tcPr>
            <w:tcW w:w="1984" w:type="dxa"/>
          </w:tcPr>
          <w:p w14:paraId="42C0C315" w14:textId="4A0A452C"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No realizó pronunciamiento alguno.</w:t>
            </w:r>
          </w:p>
        </w:tc>
        <w:tc>
          <w:tcPr>
            <w:tcW w:w="2170" w:type="dxa"/>
          </w:tcPr>
          <w:p w14:paraId="7808CB00" w14:textId="46C68793"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No realizó pronunciamiento alguno.</w:t>
            </w:r>
          </w:p>
        </w:tc>
      </w:tr>
      <w:tr w:rsidR="00AF3FF8" w:rsidRPr="00695B2C" w14:paraId="168390C8" w14:textId="77777777" w:rsidTr="00B61556">
        <w:tc>
          <w:tcPr>
            <w:tcW w:w="464" w:type="dxa"/>
            <w:vAlign w:val="center"/>
          </w:tcPr>
          <w:p w14:paraId="03530E9A" w14:textId="4328B6AC" w:rsidR="00AF3FF8" w:rsidRPr="00695B2C" w:rsidRDefault="00AF3FF8" w:rsidP="006461DA">
            <w:pPr>
              <w:spacing w:line="360" w:lineRule="auto"/>
              <w:ind w:right="-93"/>
              <w:jc w:val="center"/>
              <w:rPr>
                <w:rFonts w:eastAsia="Times New Roman" w:cs="Arial"/>
                <w:bCs/>
                <w:color w:val="auto"/>
                <w:sz w:val="18"/>
                <w:szCs w:val="18"/>
                <w:lang w:eastAsia="es-ES"/>
              </w:rPr>
            </w:pPr>
            <w:r w:rsidRPr="00695B2C">
              <w:rPr>
                <w:rFonts w:eastAsia="Times New Roman" w:cs="Arial"/>
                <w:bCs/>
                <w:color w:val="auto"/>
                <w:sz w:val="18"/>
                <w:szCs w:val="18"/>
                <w:lang w:eastAsia="es-ES"/>
              </w:rPr>
              <w:t>5</w:t>
            </w:r>
          </w:p>
        </w:tc>
        <w:tc>
          <w:tcPr>
            <w:tcW w:w="1799" w:type="dxa"/>
          </w:tcPr>
          <w:p w14:paraId="0E8E3FE6" w14:textId="344369A1"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El número de ejercicio de acción penal ejercidas en contra del imputado.</w:t>
            </w:r>
          </w:p>
        </w:tc>
        <w:tc>
          <w:tcPr>
            <w:tcW w:w="2694" w:type="dxa"/>
          </w:tcPr>
          <w:p w14:paraId="02361CCC" w14:textId="7430EE52"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Refirió que es una.</w:t>
            </w:r>
          </w:p>
        </w:tc>
        <w:tc>
          <w:tcPr>
            <w:tcW w:w="1984" w:type="dxa"/>
          </w:tcPr>
          <w:p w14:paraId="70FB6119" w14:textId="368AFDA1"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No realizó pronunciamiento.</w:t>
            </w:r>
          </w:p>
        </w:tc>
        <w:tc>
          <w:tcPr>
            <w:tcW w:w="2170" w:type="dxa"/>
          </w:tcPr>
          <w:p w14:paraId="76C8F59D" w14:textId="4ED1DE6E"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Se contestó al momento de la emisión de la respuesta y se correlacionó al punto número 1.</w:t>
            </w:r>
          </w:p>
        </w:tc>
      </w:tr>
      <w:tr w:rsidR="00AF3FF8" w:rsidRPr="00695B2C" w14:paraId="27CE842F" w14:textId="77777777" w:rsidTr="00B61556">
        <w:tc>
          <w:tcPr>
            <w:tcW w:w="464" w:type="dxa"/>
            <w:vAlign w:val="center"/>
          </w:tcPr>
          <w:p w14:paraId="27E45662" w14:textId="0BF4AA79" w:rsidR="00AF3FF8" w:rsidRPr="00695B2C" w:rsidRDefault="00AF3FF8" w:rsidP="006461DA">
            <w:pPr>
              <w:spacing w:line="360" w:lineRule="auto"/>
              <w:ind w:right="-93"/>
              <w:jc w:val="center"/>
              <w:rPr>
                <w:rFonts w:eastAsia="Times New Roman" w:cs="Arial"/>
                <w:bCs/>
                <w:color w:val="auto"/>
                <w:sz w:val="18"/>
                <w:szCs w:val="18"/>
                <w:lang w:eastAsia="es-ES"/>
              </w:rPr>
            </w:pPr>
            <w:r w:rsidRPr="00695B2C">
              <w:rPr>
                <w:rFonts w:eastAsia="Times New Roman" w:cs="Arial"/>
                <w:bCs/>
                <w:color w:val="auto"/>
                <w:sz w:val="18"/>
                <w:szCs w:val="18"/>
                <w:lang w:eastAsia="es-ES"/>
              </w:rPr>
              <w:t>6</w:t>
            </w:r>
          </w:p>
        </w:tc>
        <w:tc>
          <w:tcPr>
            <w:tcW w:w="1799" w:type="dxa"/>
          </w:tcPr>
          <w:p w14:paraId="50560F2A" w14:textId="552C2119"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N</w:t>
            </w:r>
            <w:r w:rsidR="00C93AA9" w:rsidRPr="00695B2C">
              <w:rPr>
                <w:rFonts w:eastAsia="Times New Roman" w:cs="Arial"/>
                <w:bCs/>
                <w:color w:val="auto"/>
                <w:sz w:val="18"/>
                <w:szCs w:val="18"/>
                <w:lang w:eastAsia="es-ES"/>
              </w:rPr>
              <w:t>ú</w:t>
            </w:r>
            <w:r w:rsidRPr="00695B2C">
              <w:rPr>
                <w:rFonts w:eastAsia="Times New Roman" w:cs="Arial"/>
                <w:bCs/>
                <w:color w:val="auto"/>
                <w:sz w:val="18"/>
                <w:szCs w:val="18"/>
                <w:lang w:eastAsia="es-ES"/>
              </w:rPr>
              <w:t>mero de restos rescatados y de personas identificadas y no identificadas (datos estadísticos)</w:t>
            </w:r>
          </w:p>
        </w:tc>
        <w:tc>
          <w:tcPr>
            <w:tcW w:w="2694" w:type="dxa"/>
          </w:tcPr>
          <w:p w14:paraId="1090952E" w14:textId="3AB1BCF4"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No realizó pronunciamiento alguno.</w:t>
            </w:r>
          </w:p>
        </w:tc>
        <w:tc>
          <w:tcPr>
            <w:tcW w:w="1984" w:type="dxa"/>
          </w:tcPr>
          <w:p w14:paraId="15B7ADCD" w14:textId="5CA6E65A"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 xml:space="preserve">Entregó </w:t>
            </w:r>
            <w:r w:rsidR="00C93AA9" w:rsidRPr="00695B2C">
              <w:rPr>
                <w:rFonts w:eastAsia="Times New Roman" w:cs="Arial"/>
                <w:bCs/>
                <w:color w:val="auto"/>
                <w:sz w:val="18"/>
                <w:szCs w:val="18"/>
                <w:lang w:eastAsia="es-ES"/>
              </w:rPr>
              <w:t xml:space="preserve">dos </w:t>
            </w:r>
            <w:r w:rsidRPr="00695B2C">
              <w:rPr>
                <w:rFonts w:eastAsia="Times New Roman" w:cs="Arial"/>
                <w:bCs/>
                <w:color w:val="auto"/>
                <w:sz w:val="18"/>
                <w:szCs w:val="18"/>
                <w:lang w:eastAsia="es-ES"/>
              </w:rPr>
              <w:t>Tarjeta</w:t>
            </w:r>
            <w:r w:rsidR="00C93AA9" w:rsidRPr="00695B2C">
              <w:rPr>
                <w:rFonts w:eastAsia="Times New Roman" w:cs="Arial"/>
                <w:bCs/>
                <w:color w:val="auto"/>
                <w:sz w:val="18"/>
                <w:szCs w:val="18"/>
                <w:lang w:eastAsia="es-ES"/>
              </w:rPr>
              <w:t>s</w:t>
            </w:r>
            <w:r w:rsidRPr="00695B2C">
              <w:rPr>
                <w:rFonts w:eastAsia="Times New Roman" w:cs="Arial"/>
                <w:bCs/>
                <w:color w:val="auto"/>
                <w:sz w:val="18"/>
                <w:szCs w:val="18"/>
                <w:lang w:eastAsia="es-ES"/>
              </w:rPr>
              <w:t xml:space="preserve"> Informativa</w:t>
            </w:r>
            <w:r w:rsidR="00C93AA9" w:rsidRPr="00695B2C">
              <w:rPr>
                <w:rFonts w:eastAsia="Times New Roman" w:cs="Arial"/>
                <w:bCs/>
                <w:color w:val="auto"/>
                <w:sz w:val="18"/>
                <w:szCs w:val="18"/>
                <w:lang w:eastAsia="es-ES"/>
              </w:rPr>
              <w:t>s</w:t>
            </w:r>
            <w:r w:rsidRPr="00695B2C">
              <w:rPr>
                <w:rFonts w:eastAsia="Times New Roman" w:cs="Arial"/>
                <w:bCs/>
                <w:color w:val="auto"/>
                <w:sz w:val="18"/>
                <w:szCs w:val="18"/>
                <w:lang w:eastAsia="es-ES"/>
              </w:rPr>
              <w:t xml:space="preserve"> </w:t>
            </w:r>
            <w:r w:rsidR="00C93AA9" w:rsidRPr="00695B2C">
              <w:rPr>
                <w:rFonts w:eastAsia="Times New Roman" w:cs="Arial"/>
                <w:bCs/>
                <w:color w:val="auto"/>
                <w:sz w:val="18"/>
                <w:szCs w:val="18"/>
                <w:lang w:eastAsia="es-ES"/>
              </w:rPr>
              <w:t>de</w:t>
            </w:r>
            <w:r w:rsidRPr="00695B2C">
              <w:rPr>
                <w:rFonts w:eastAsia="Times New Roman" w:cs="Arial"/>
                <w:bCs/>
                <w:color w:val="auto"/>
                <w:sz w:val="18"/>
                <w:szCs w:val="18"/>
                <w:lang w:eastAsia="es-ES"/>
              </w:rPr>
              <w:t xml:space="preserve"> fechas 22 y 23 de febrero de 2022, que detallan la cantidad de restos encontrados y la cantidad </w:t>
            </w:r>
            <w:r w:rsidR="00B61556" w:rsidRPr="00695B2C">
              <w:rPr>
                <w:rFonts w:eastAsia="Times New Roman" w:cs="Arial"/>
                <w:bCs/>
                <w:color w:val="auto"/>
                <w:sz w:val="18"/>
                <w:szCs w:val="18"/>
                <w:lang w:eastAsia="es-ES"/>
              </w:rPr>
              <w:t>de identificables</w:t>
            </w:r>
            <w:r w:rsidRPr="00695B2C">
              <w:rPr>
                <w:rFonts w:eastAsia="Times New Roman" w:cs="Arial"/>
                <w:bCs/>
                <w:color w:val="auto"/>
                <w:sz w:val="18"/>
                <w:szCs w:val="18"/>
                <w:lang w:eastAsia="es-ES"/>
              </w:rPr>
              <w:t>.</w:t>
            </w:r>
          </w:p>
        </w:tc>
        <w:tc>
          <w:tcPr>
            <w:tcW w:w="2170" w:type="dxa"/>
          </w:tcPr>
          <w:p w14:paraId="42934BC4" w14:textId="440DFB39"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Entregó información en informe justificado, que debe ser objeto de análisis para identificar si atiende o no a este punto requerido.</w:t>
            </w:r>
          </w:p>
        </w:tc>
      </w:tr>
      <w:tr w:rsidR="00AF3FF8" w:rsidRPr="00695B2C" w14:paraId="0AD9821C" w14:textId="77777777" w:rsidTr="00B61556">
        <w:tc>
          <w:tcPr>
            <w:tcW w:w="464" w:type="dxa"/>
            <w:vAlign w:val="center"/>
          </w:tcPr>
          <w:p w14:paraId="1696B5A1" w14:textId="443C8A18" w:rsidR="00AF3FF8" w:rsidRPr="00695B2C" w:rsidRDefault="00AF3FF8" w:rsidP="006461DA">
            <w:pPr>
              <w:spacing w:line="360" w:lineRule="auto"/>
              <w:ind w:right="-93"/>
              <w:jc w:val="center"/>
              <w:rPr>
                <w:rFonts w:eastAsia="Times New Roman" w:cs="Arial"/>
                <w:bCs/>
                <w:color w:val="auto"/>
                <w:sz w:val="18"/>
                <w:szCs w:val="18"/>
                <w:lang w:eastAsia="es-ES"/>
              </w:rPr>
            </w:pPr>
            <w:r w:rsidRPr="00695B2C">
              <w:rPr>
                <w:rFonts w:eastAsia="Times New Roman" w:cs="Arial"/>
                <w:bCs/>
                <w:color w:val="auto"/>
                <w:sz w:val="18"/>
                <w:szCs w:val="18"/>
                <w:lang w:eastAsia="es-ES"/>
              </w:rPr>
              <w:t>7</w:t>
            </w:r>
          </w:p>
        </w:tc>
        <w:tc>
          <w:tcPr>
            <w:tcW w:w="1799" w:type="dxa"/>
          </w:tcPr>
          <w:p w14:paraId="626A31B4" w14:textId="1F01AFF8"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Descripción de las diligencias efectuadas para:</w:t>
            </w:r>
          </w:p>
          <w:p w14:paraId="1EC86DF3" w14:textId="71972744"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a) El rescate de restos.</w:t>
            </w:r>
          </w:p>
          <w:p w14:paraId="38B1BAB8" w14:textId="750CDAB2"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b) Identificación y persecución de culpables.</w:t>
            </w:r>
          </w:p>
        </w:tc>
        <w:tc>
          <w:tcPr>
            <w:tcW w:w="2694" w:type="dxa"/>
          </w:tcPr>
          <w:p w14:paraId="1554EECD" w14:textId="325532A8"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Refirió que la información es únicamente accesible a las partes.</w:t>
            </w:r>
          </w:p>
        </w:tc>
        <w:tc>
          <w:tcPr>
            <w:tcW w:w="1984" w:type="dxa"/>
          </w:tcPr>
          <w:p w14:paraId="7659ECA9" w14:textId="6B8D8BF9" w:rsidR="00AF3FF8" w:rsidRPr="00695B2C" w:rsidRDefault="00B92E5C"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En la</w:t>
            </w:r>
            <w:r w:rsidR="00460242" w:rsidRPr="00695B2C">
              <w:rPr>
                <w:rFonts w:eastAsia="Times New Roman" w:cs="Arial"/>
                <w:bCs/>
                <w:color w:val="auto"/>
                <w:sz w:val="18"/>
                <w:szCs w:val="18"/>
                <w:lang w:eastAsia="es-ES"/>
              </w:rPr>
              <w:t xml:space="preserve"> “Tarjeta informativa”, informó sobre las diligencias ministeriales que se enc</w:t>
            </w:r>
            <w:r w:rsidRPr="00695B2C">
              <w:rPr>
                <w:rFonts w:eastAsia="Times New Roman" w:cs="Arial"/>
                <w:bCs/>
                <w:color w:val="auto"/>
                <w:sz w:val="18"/>
                <w:szCs w:val="18"/>
                <w:lang w:eastAsia="es-ES"/>
              </w:rPr>
              <w:t>ontraba</w:t>
            </w:r>
            <w:r w:rsidR="00460242" w:rsidRPr="00695B2C">
              <w:rPr>
                <w:rFonts w:eastAsia="Times New Roman" w:cs="Arial"/>
                <w:bCs/>
                <w:color w:val="auto"/>
                <w:sz w:val="18"/>
                <w:szCs w:val="18"/>
                <w:lang w:eastAsia="es-ES"/>
              </w:rPr>
              <w:t xml:space="preserve"> realizando y entregó información suficiente para </w:t>
            </w:r>
            <w:r w:rsidRPr="00695B2C">
              <w:rPr>
                <w:rFonts w:eastAsia="Times New Roman" w:cs="Arial"/>
                <w:bCs/>
                <w:color w:val="auto"/>
                <w:sz w:val="18"/>
                <w:szCs w:val="18"/>
                <w:lang w:eastAsia="es-ES"/>
              </w:rPr>
              <w:t xml:space="preserve">identificar las etapas </w:t>
            </w:r>
            <w:r w:rsidRPr="00695B2C">
              <w:rPr>
                <w:rFonts w:eastAsia="Times New Roman" w:cs="Arial"/>
                <w:bCs/>
                <w:color w:val="auto"/>
                <w:sz w:val="18"/>
                <w:szCs w:val="18"/>
                <w:lang w:eastAsia="es-ES"/>
              </w:rPr>
              <w:lastRenderedPageBreak/>
              <w:t>realizadas en la investigación</w:t>
            </w:r>
            <w:r w:rsidR="00460242" w:rsidRPr="00695B2C">
              <w:rPr>
                <w:rFonts w:eastAsia="Times New Roman" w:cs="Arial"/>
                <w:bCs/>
                <w:color w:val="auto"/>
                <w:sz w:val="18"/>
                <w:szCs w:val="18"/>
                <w:lang w:eastAsia="es-ES"/>
              </w:rPr>
              <w:t>.</w:t>
            </w:r>
          </w:p>
        </w:tc>
        <w:tc>
          <w:tcPr>
            <w:tcW w:w="2170" w:type="dxa"/>
          </w:tcPr>
          <w:p w14:paraId="72D90674" w14:textId="166D3F4B" w:rsidR="00AF3FF8" w:rsidRPr="00695B2C" w:rsidRDefault="00460242"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lastRenderedPageBreak/>
              <w:t xml:space="preserve">Entregó </w:t>
            </w:r>
            <w:r w:rsidR="00500236" w:rsidRPr="00695B2C">
              <w:rPr>
                <w:rFonts w:eastAsia="Times New Roman" w:cs="Arial"/>
                <w:bCs/>
                <w:color w:val="auto"/>
                <w:sz w:val="18"/>
                <w:szCs w:val="18"/>
                <w:lang w:eastAsia="es-ES"/>
              </w:rPr>
              <w:t xml:space="preserve">parte de la </w:t>
            </w:r>
            <w:r w:rsidRPr="00695B2C">
              <w:rPr>
                <w:rFonts w:eastAsia="Times New Roman" w:cs="Arial"/>
                <w:bCs/>
                <w:color w:val="auto"/>
                <w:sz w:val="18"/>
                <w:szCs w:val="18"/>
                <w:lang w:eastAsia="es-ES"/>
              </w:rPr>
              <w:t>información en informe justificado, que debe ser objeto de análisis para identificar si atiende o no a este punto requerido.</w:t>
            </w:r>
          </w:p>
        </w:tc>
      </w:tr>
      <w:tr w:rsidR="00AF3FF8" w:rsidRPr="00695B2C" w14:paraId="7306B702" w14:textId="77777777" w:rsidTr="00B61556">
        <w:tc>
          <w:tcPr>
            <w:tcW w:w="464" w:type="dxa"/>
            <w:vAlign w:val="center"/>
          </w:tcPr>
          <w:p w14:paraId="78AEA6D9" w14:textId="618AA604" w:rsidR="00AF3FF8" w:rsidRPr="00695B2C" w:rsidRDefault="00AF3FF8" w:rsidP="006461DA">
            <w:pPr>
              <w:spacing w:line="360" w:lineRule="auto"/>
              <w:ind w:right="-93"/>
              <w:jc w:val="center"/>
              <w:rPr>
                <w:rFonts w:eastAsia="Times New Roman" w:cs="Arial"/>
                <w:bCs/>
                <w:color w:val="auto"/>
                <w:sz w:val="18"/>
                <w:szCs w:val="18"/>
                <w:lang w:eastAsia="es-ES"/>
              </w:rPr>
            </w:pPr>
            <w:r w:rsidRPr="00695B2C">
              <w:rPr>
                <w:rFonts w:eastAsia="Times New Roman" w:cs="Arial"/>
                <w:bCs/>
                <w:color w:val="auto"/>
                <w:sz w:val="18"/>
                <w:szCs w:val="18"/>
                <w:lang w:eastAsia="es-ES"/>
              </w:rPr>
              <w:t>8</w:t>
            </w:r>
          </w:p>
        </w:tc>
        <w:tc>
          <w:tcPr>
            <w:tcW w:w="1799" w:type="dxa"/>
          </w:tcPr>
          <w:p w14:paraId="0E389129" w14:textId="7FCC055B"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Las carpetas de investigación, amparos y demás expedientes relacionados con ese caso.</w:t>
            </w:r>
            <w:r w:rsidR="0030380F" w:rsidRPr="00695B2C">
              <w:rPr>
                <w:rFonts w:eastAsia="Times New Roman" w:cs="Arial"/>
                <w:bCs/>
                <w:color w:val="auto"/>
                <w:sz w:val="18"/>
                <w:szCs w:val="18"/>
                <w:lang w:eastAsia="es-ES"/>
              </w:rPr>
              <w:t xml:space="preserve"> </w:t>
            </w:r>
          </w:p>
        </w:tc>
        <w:tc>
          <w:tcPr>
            <w:tcW w:w="2694" w:type="dxa"/>
          </w:tcPr>
          <w:p w14:paraId="2B25945C" w14:textId="5A442D37" w:rsidR="00AF3FF8" w:rsidRPr="00695B2C" w:rsidRDefault="00AF3FF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Refirió que la información es únicamente accesible a las partes.</w:t>
            </w:r>
          </w:p>
        </w:tc>
        <w:tc>
          <w:tcPr>
            <w:tcW w:w="1984" w:type="dxa"/>
          </w:tcPr>
          <w:p w14:paraId="5BB94551" w14:textId="3505C484" w:rsidR="00AF3FF8" w:rsidRPr="00695B2C" w:rsidRDefault="00460242"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 xml:space="preserve">Clasificó la carpeta de investigación, como información reservada en términos del artículo 140, fracciones VI, IX y XI. </w:t>
            </w:r>
          </w:p>
        </w:tc>
        <w:tc>
          <w:tcPr>
            <w:tcW w:w="2170" w:type="dxa"/>
          </w:tcPr>
          <w:p w14:paraId="6DA52198" w14:textId="131F971F" w:rsidR="00AF3FF8" w:rsidRPr="00695B2C" w:rsidRDefault="00805848" w:rsidP="006461DA">
            <w:pPr>
              <w:spacing w:line="360" w:lineRule="auto"/>
              <w:ind w:right="-93"/>
              <w:rPr>
                <w:rFonts w:eastAsia="Times New Roman" w:cs="Arial"/>
                <w:bCs/>
                <w:color w:val="auto"/>
                <w:sz w:val="18"/>
                <w:szCs w:val="18"/>
                <w:lang w:eastAsia="es-ES"/>
              </w:rPr>
            </w:pPr>
            <w:r w:rsidRPr="00695B2C">
              <w:rPr>
                <w:rFonts w:eastAsia="Times New Roman" w:cs="Arial"/>
                <w:bCs/>
                <w:color w:val="auto"/>
                <w:sz w:val="18"/>
                <w:szCs w:val="18"/>
                <w:lang w:eastAsia="es-ES"/>
              </w:rPr>
              <w:t>Es necesario entrar al análisis de su clasificación y en su caso confirmarla o modificarla.</w:t>
            </w:r>
          </w:p>
        </w:tc>
      </w:tr>
    </w:tbl>
    <w:p w14:paraId="52C536FB" w14:textId="4568C356" w:rsidR="005D1632" w:rsidRPr="00695B2C" w:rsidRDefault="005D1632" w:rsidP="006461DA">
      <w:pPr>
        <w:spacing w:after="0" w:line="360" w:lineRule="auto"/>
        <w:ind w:right="-93"/>
        <w:rPr>
          <w:rFonts w:eastAsia="Times New Roman" w:cs="Arial"/>
          <w:bCs/>
          <w:color w:val="auto"/>
          <w:lang w:eastAsia="es-ES"/>
        </w:rPr>
      </w:pPr>
    </w:p>
    <w:p w14:paraId="7E0B6F61" w14:textId="3A2E93BA" w:rsidR="00792AEE" w:rsidRPr="00695B2C" w:rsidRDefault="00E71CA6" w:rsidP="006461DA">
      <w:pPr>
        <w:spacing w:after="0" w:line="360" w:lineRule="auto"/>
        <w:rPr>
          <w:rFonts w:cs="Tahoma"/>
          <w:bCs/>
          <w:iCs/>
          <w:color w:val="000000"/>
          <w:lang w:val="es-ES"/>
        </w:rPr>
      </w:pPr>
      <w:r w:rsidRPr="00695B2C">
        <w:rPr>
          <w:rFonts w:eastAsia="Times New Roman" w:cs="Arial"/>
          <w:bCs/>
          <w:color w:val="auto"/>
          <w:lang w:eastAsia="es-ES"/>
        </w:rPr>
        <w:t xml:space="preserve">De acuerdo con el cuadro anterior, </w:t>
      </w:r>
      <w:r w:rsidR="001D1C9F" w:rsidRPr="00695B2C">
        <w:rPr>
          <w:rFonts w:eastAsia="Times New Roman" w:cs="Arial"/>
          <w:bCs/>
          <w:color w:val="auto"/>
          <w:lang w:eastAsia="es-ES"/>
        </w:rPr>
        <w:t xml:space="preserve">no es dable entrar al estudio de los </w:t>
      </w:r>
      <w:r w:rsidRPr="00695B2C">
        <w:rPr>
          <w:rFonts w:eastAsia="Times New Roman" w:cs="Arial"/>
          <w:bCs/>
          <w:color w:val="auto"/>
          <w:lang w:eastAsia="es-ES"/>
        </w:rPr>
        <w:t xml:space="preserve">contenidos de información </w:t>
      </w:r>
      <w:r w:rsidR="001D1C9F" w:rsidRPr="00695B2C">
        <w:rPr>
          <w:rFonts w:eastAsia="Times New Roman" w:cs="Arial"/>
          <w:bCs/>
          <w:color w:val="auto"/>
          <w:lang w:eastAsia="es-ES"/>
        </w:rPr>
        <w:t xml:space="preserve">1 y 2, toda vez que no fueron puntos de inconformidad planteados en el medio de impugnación, </w:t>
      </w:r>
      <w:r w:rsidR="00792AEE" w:rsidRPr="00695B2C">
        <w:rPr>
          <w:rFonts w:cs="Tahoma"/>
          <w:bCs/>
          <w:iCs/>
        </w:rPr>
        <w:t>por lo que resulta relevante traer a colación el Criterio 01/20, emitido por el Instituto Nacional de Transparencia, Acceso a la Información y Protección de Datos Personales, que establece lo siguiente</w:t>
      </w:r>
      <w:r w:rsidR="00792AEE" w:rsidRPr="00695B2C">
        <w:rPr>
          <w:rFonts w:cs="Tahoma"/>
          <w:bCs/>
          <w:iCs/>
          <w:color w:val="000000"/>
          <w:lang w:val="es-ES"/>
        </w:rPr>
        <w:t>:</w:t>
      </w:r>
    </w:p>
    <w:p w14:paraId="17BCDE64" w14:textId="77777777" w:rsidR="00792AEE" w:rsidRPr="00695B2C" w:rsidRDefault="00792AEE" w:rsidP="006461DA">
      <w:pPr>
        <w:spacing w:after="0" w:line="360" w:lineRule="auto"/>
        <w:rPr>
          <w:rFonts w:cs="Tahoma"/>
          <w:bCs/>
          <w:i/>
        </w:rPr>
      </w:pPr>
    </w:p>
    <w:p w14:paraId="43AC696F" w14:textId="77777777" w:rsidR="00792AEE" w:rsidRPr="00695B2C" w:rsidRDefault="00792AEE" w:rsidP="006461DA">
      <w:pPr>
        <w:spacing w:after="0" w:line="360" w:lineRule="auto"/>
        <w:ind w:left="567" w:right="539"/>
        <w:rPr>
          <w:rFonts w:cs="Tahoma"/>
          <w:bCs/>
          <w:i/>
          <w:sz w:val="20"/>
          <w:szCs w:val="20"/>
        </w:rPr>
      </w:pPr>
      <w:r w:rsidRPr="00695B2C">
        <w:rPr>
          <w:rFonts w:cs="Tahoma"/>
          <w:b/>
          <w:i/>
          <w:sz w:val="20"/>
          <w:szCs w:val="20"/>
        </w:rPr>
        <w:t>Actos consentidos tácitamente. Improcedencia de su análisis</w:t>
      </w:r>
      <w:r w:rsidRPr="00695B2C">
        <w:rPr>
          <w:rFonts w:cs="Tahoma"/>
          <w:bCs/>
          <w:i/>
          <w:sz w:val="20"/>
          <w:szCs w:val="20"/>
        </w:rPr>
        <w:t>. Si en su recurso de revisión, la persona recurrente no expresó inconformidad alguna con ciertas partes de la respuesta otorgada, se entienden tácitamente consentidas, por ende, no deben formar parte del estudio de fondo de la resolución que emite el Instituto.</w:t>
      </w:r>
    </w:p>
    <w:p w14:paraId="4855AFA0" w14:textId="77777777" w:rsidR="00792AEE" w:rsidRPr="00695B2C" w:rsidRDefault="00792AEE" w:rsidP="006461DA">
      <w:pPr>
        <w:spacing w:after="0" w:line="360" w:lineRule="auto"/>
        <w:rPr>
          <w:rFonts w:cs="Tahoma"/>
          <w:bCs/>
          <w:iCs/>
        </w:rPr>
      </w:pPr>
    </w:p>
    <w:p w14:paraId="6601D129" w14:textId="7BB43157" w:rsidR="00367D37" w:rsidRDefault="00792AEE" w:rsidP="006461DA">
      <w:pPr>
        <w:spacing w:after="0" w:line="360" w:lineRule="auto"/>
        <w:rPr>
          <w:rFonts w:cs="Tahoma"/>
          <w:bCs/>
          <w:iCs/>
        </w:rPr>
      </w:pPr>
      <w:r w:rsidRPr="00695B2C">
        <w:rPr>
          <w:rFonts w:cs="Tahoma"/>
          <w:bCs/>
          <w:iCs/>
        </w:rPr>
        <w:t>Es por ello, que al resultar improcedente entrar al análisis de las partes de la respuesta del Sujeto Obligado que no fueron impugnadas por el Recurrente, únicamente se debe analizar lo que refiere a los motivos de inconformidad hechos valer por el Recurrente en la interposición de su medio de impugnación; es entonces que el Recurso de Revisión, debe versar exclusivamente sobre los motivos de inconformidad hechos por el Particular y atender de manera específica, aquellos puntos que le generan agravio.</w:t>
      </w:r>
    </w:p>
    <w:p w14:paraId="4AD5C31A" w14:textId="05AA96E3" w:rsidR="00830AD7" w:rsidRDefault="00830AD7" w:rsidP="006461DA">
      <w:pPr>
        <w:spacing w:after="0" w:line="360" w:lineRule="auto"/>
        <w:rPr>
          <w:rFonts w:cs="Tahoma"/>
          <w:bCs/>
          <w:iCs/>
        </w:rPr>
      </w:pPr>
    </w:p>
    <w:p w14:paraId="3962C051" w14:textId="718EEF96" w:rsidR="00830AD7" w:rsidRPr="00646592" w:rsidRDefault="00830AD7" w:rsidP="006461DA">
      <w:pPr>
        <w:spacing w:after="0" w:line="360" w:lineRule="auto"/>
        <w:ind w:right="-93"/>
        <w:rPr>
          <w:rFonts w:eastAsia="Calibri" w:cs="Tahoma"/>
          <w:b/>
          <w:caps/>
        </w:rPr>
      </w:pPr>
      <w:r>
        <w:rPr>
          <w:rFonts w:eastAsia="Calibri" w:cs="Tahoma"/>
          <w:b/>
          <w:caps/>
        </w:rPr>
        <w:t xml:space="preserve">ANÁLISIS </w:t>
      </w:r>
      <w:r w:rsidRPr="00646592">
        <w:rPr>
          <w:rFonts w:eastAsia="Calibri" w:cs="Tahoma"/>
          <w:b/>
          <w:caps/>
        </w:rPr>
        <w:t xml:space="preserve">de la </w:t>
      </w:r>
      <w:r>
        <w:rPr>
          <w:rFonts w:eastAsia="Calibri" w:cs="Tahoma"/>
          <w:b/>
          <w:caps/>
        </w:rPr>
        <w:t xml:space="preserve">INFORMACIÓN </w:t>
      </w:r>
      <w:r w:rsidRPr="00646592">
        <w:rPr>
          <w:rFonts w:eastAsia="Calibri" w:cs="Tahoma"/>
          <w:b/>
          <w:caps/>
        </w:rPr>
        <w:t>solicit</w:t>
      </w:r>
      <w:r>
        <w:rPr>
          <w:rFonts w:eastAsia="Calibri" w:cs="Tahoma"/>
          <w:b/>
          <w:caps/>
        </w:rPr>
        <w:t>ADA</w:t>
      </w:r>
      <w:r w:rsidRPr="00646592">
        <w:rPr>
          <w:rFonts w:eastAsia="Calibri" w:cs="Tahoma"/>
          <w:b/>
          <w:caps/>
        </w:rPr>
        <w:t xml:space="preserve"> </w:t>
      </w:r>
      <w:r>
        <w:rPr>
          <w:rFonts w:eastAsia="Calibri" w:cs="Tahoma"/>
          <w:b/>
          <w:caps/>
        </w:rPr>
        <w:t>POR EL AHORA RECURRENTE</w:t>
      </w:r>
      <w:r w:rsidRPr="00646592">
        <w:rPr>
          <w:rFonts w:eastAsia="Calibri" w:cs="Tahoma"/>
          <w:b/>
          <w:caps/>
        </w:rPr>
        <w:t>.</w:t>
      </w:r>
    </w:p>
    <w:p w14:paraId="6A83D5F8" w14:textId="77777777" w:rsidR="004B0052" w:rsidRDefault="004B0052" w:rsidP="006461DA">
      <w:pPr>
        <w:spacing w:after="0" w:line="360" w:lineRule="auto"/>
        <w:rPr>
          <w:rFonts w:cs="Tahoma"/>
          <w:bCs/>
          <w:iCs/>
        </w:rPr>
      </w:pPr>
    </w:p>
    <w:p w14:paraId="05754403" w14:textId="7B74CC4F" w:rsidR="00792AEE" w:rsidRPr="00695B2C" w:rsidRDefault="00792AEE" w:rsidP="006461DA">
      <w:pPr>
        <w:spacing w:after="0" w:line="360" w:lineRule="auto"/>
        <w:rPr>
          <w:rFonts w:cs="Tahoma"/>
          <w:bCs/>
          <w:iCs/>
        </w:rPr>
      </w:pPr>
      <w:r w:rsidRPr="00695B2C">
        <w:rPr>
          <w:rFonts w:cs="Tahoma"/>
          <w:bCs/>
          <w:iCs/>
        </w:rPr>
        <w:t xml:space="preserve">A modo de análisis previo al estudio del fondo del asunto, se identifica que </w:t>
      </w:r>
      <w:r w:rsidR="003C1FDE" w:rsidRPr="00695B2C">
        <w:rPr>
          <w:rFonts w:cs="Tahoma"/>
          <w:bCs/>
          <w:iCs/>
        </w:rPr>
        <w:t xml:space="preserve">los Sujetos Obligados </w:t>
      </w:r>
      <w:r w:rsidRPr="00695B2C">
        <w:rPr>
          <w:rFonts w:cs="Tahoma"/>
          <w:bCs/>
          <w:iCs/>
        </w:rPr>
        <w:t xml:space="preserve">se encuentran constreñidos a atender todos los puntos de la solicitud o bien pronunciarse de manera específica sobre cada uno de los puntos planteados por el particular </w:t>
      </w:r>
      <w:r w:rsidR="003C1FDE" w:rsidRPr="00695B2C">
        <w:rPr>
          <w:rFonts w:cs="Tahoma"/>
          <w:bCs/>
          <w:iCs/>
        </w:rPr>
        <w:t>y además que exista congruencia entre lo solicitado y lo que responde el Sujeto Obligado</w:t>
      </w:r>
      <w:r w:rsidRPr="00695B2C">
        <w:rPr>
          <w:rFonts w:cs="Tahoma"/>
          <w:bCs/>
          <w:iCs/>
        </w:rPr>
        <w:t>, para ello, es dable citar el criterio 01/17 del Instituto Nacional de Transparencia, Acceso a la Información Pública y Protección de Datos Personales, que lleva por rubro y texto:</w:t>
      </w:r>
    </w:p>
    <w:p w14:paraId="7EBEDE9C" w14:textId="4ECE0DD3" w:rsidR="00792AEE" w:rsidRPr="00695B2C" w:rsidRDefault="00792AEE" w:rsidP="006461DA">
      <w:pPr>
        <w:spacing w:after="0" w:line="360" w:lineRule="auto"/>
        <w:rPr>
          <w:rFonts w:cs="Tahoma"/>
          <w:bCs/>
          <w:iCs/>
        </w:rPr>
      </w:pPr>
    </w:p>
    <w:p w14:paraId="7B6EF75C" w14:textId="77777777" w:rsidR="00792AEE" w:rsidRPr="00695B2C" w:rsidRDefault="00792AEE" w:rsidP="006461DA">
      <w:pPr>
        <w:spacing w:after="0" w:line="360" w:lineRule="auto"/>
        <w:ind w:left="567" w:right="539"/>
        <w:rPr>
          <w:rFonts w:cs="Tahoma"/>
          <w:bCs/>
          <w:i/>
          <w:sz w:val="20"/>
          <w:szCs w:val="20"/>
        </w:rPr>
      </w:pPr>
      <w:r w:rsidRPr="00695B2C">
        <w:rPr>
          <w:rFonts w:cs="Tahoma"/>
          <w:b/>
          <w:i/>
          <w:sz w:val="20"/>
          <w:szCs w:val="20"/>
        </w:rPr>
        <w:t>Congruencia y exhaustividad. Sus alcances para garantizar el derecho de acceso a la información.</w:t>
      </w:r>
      <w:r w:rsidRPr="00695B2C">
        <w:rPr>
          <w:rFonts w:cs="Tahoma"/>
          <w:bCs/>
          <w:i/>
          <w:sz w:val="20"/>
          <w:szCs w:val="20"/>
        </w:rPr>
        <w:t xml:space="preserve"> 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la congruencia implica que exista concordancia entre el requerimiento formulado por el particular y la respuesta proporcionada por el sujeto obligado; mientras que la exhaustividad significa que dicha respuesta se refiera expresamente a cada uno de los puntos solicitados. Por lo anterior, los sujetos obligados cumplirán con los principios de congruencia y exhaustividad, cuando las respuestas que emitan guarden una relación lógica con lo solicitado y atiendan de manera puntual y expresa, cada uno de los contenidos de información.</w:t>
      </w:r>
    </w:p>
    <w:p w14:paraId="1E142251" w14:textId="51F52833" w:rsidR="00792AEE" w:rsidRPr="00695B2C" w:rsidRDefault="00792AEE" w:rsidP="006461DA">
      <w:pPr>
        <w:spacing w:after="0" w:line="360" w:lineRule="auto"/>
        <w:rPr>
          <w:rFonts w:cs="Tahoma"/>
        </w:rPr>
      </w:pPr>
    </w:p>
    <w:p w14:paraId="61F47A0E" w14:textId="136F8612" w:rsidR="003C1FDE" w:rsidRPr="00695B2C" w:rsidRDefault="003C1FDE" w:rsidP="006461DA">
      <w:pPr>
        <w:spacing w:after="0" w:line="360" w:lineRule="auto"/>
        <w:rPr>
          <w:rFonts w:cs="Tahoma"/>
          <w:bCs/>
          <w:iCs/>
          <w:color w:val="000000"/>
        </w:rPr>
      </w:pPr>
      <w:r w:rsidRPr="00695B2C">
        <w:rPr>
          <w:rFonts w:cs="Tahoma"/>
        </w:rPr>
        <w:t>Es por ello, que el análisis de cada uno de estos puntos deberá también identificar la congruencia entre la solicitud y la información aportada por el Sujeto Obligado.</w:t>
      </w:r>
      <w:r w:rsidR="00E71CA6" w:rsidRPr="00695B2C">
        <w:rPr>
          <w:rFonts w:cs="Tahoma"/>
        </w:rPr>
        <w:t xml:space="preserve"> </w:t>
      </w:r>
      <w:r w:rsidRPr="00695B2C">
        <w:rPr>
          <w:rFonts w:cs="Tahoma"/>
        </w:rPr>
        <w:t>Asimismo, es relevante establecer que este Organismo Garante,</w:t>
      </w:r>
      <w:r w:rsidRPr="00695B2C">
        <w:rPr>
          <w:rFonts w:cs="Tahoma"/>
          <w:bCs/>
          <w:iCs/>
          <w:color w:val="000000"/>
        </w:rPr>
        <w:t xml:space="preserve"> no cuentan con facultades para pronunciarse </w:t>
      </w:r>
      <w:r w:rsidR="006F507D" w:rsidRPr="00695B2C">
        <w:rPr>
          <w:rFonts w:cs="Tahoma"/>
          <w:bCs/>
          <w:iCs/>
          <w:color w:val="000000"/>
        </w:rPr>
        <w:t>sobre la veracidad del</w:t>
      </w:r>
      <w:r w:rsidRPr="00695B2C">
        <w:rPr>
          <w:rFonts w:cs="Tahoma"/>
          <w:bCs/>
          <w:iCs/>
          <w:color w:val="000000"/>
        </w:rPr>
        <w:t xml:space="preserve"> contenido de los documentos, para lo que sirve traer el criterio 31/10 del Instituto Federal de Acceso a la Información y Protección de Datos (IFAI), actualmente Instituto Nacional de Transparencia, Acceso a la Información Pública y Protección de Datos Personales del Estado de México y Municipios (INAI), cuyo rubro y texto establecen:</w:t>
      </w:r>
    </w:p>
    <w:p w14:paraId="7AFB5B40" w14:textId="77777777" w:rsidR="003C1FDE" w:rsidRPr="00695B2C" w:rsidRDefault="003C1FDE" w:rsidP="006461DA">
      <w:pPr>
        <w:spacing w:after="0" w:line="360" w:lineRule="auto"/>
        <w:rPr>
          <w:rFonts w:cs="Tahoma"/>
          <w:bCs/>
          <w:iCs/>
          <w:color w:val="000000"/>
        </w:rPr>
      </w:pPr>
    </w:p>
    <w:p w14:paraId="17E8A33C" w14:textId="77777777" w:rsidR="003C1FDE" w:rsidRPr="00695B2C" w:rsidRDefault="003C1FDE" w:rsidP="006461DA">
      <w:pPr>
        <w:spacing w:after="0" w:line="360" w:lineRule="auto"/>
        <w:ind w:left="567" w:right="616"/>
        <w:rPr>
          <w:rFonts w:cs="Tahoma"/>
          <w:bCs/>
          <w:i/>
          <w:color w:val="000000"/>
          <w:sz w:val="20"/>
          <w:szCs w:val="20"/>
          <w:lang w:val="es-ES"/>
        </w:rPr>
      </w:pPr>
      <w:r w:rsidRPr="00695B2C">
        <w:rPr>
          <w:rFonts w:cs="Tahoma"/>
          <w:b/>
          <w:i/>
          <w:color w:val="000000"/>
          <w:sz w:val="20"/>
          <w:szCs w:val="20"/>
          <w:lang w:val="es-ES"/>
        </w:rPr>
        <w:lastRenderedPageBreak/>
        <w:t>El Instituto Federal de Acceso a la Información y Protección de Datos no cuenta con facultades para pronunciarse respecto de la veracidad de los documentos proporcionados por los sujetos obligados.</w:t>
      </w:r>
      <w:r w:rsidRPr="00695B2C">
        <w:rPr>
          <w:rFonts w:cs="Tahoma"/>
          <w:bCs/>
          <w:i/>
          <w:color w:val="000000"/>
          <w:sz w:val="20"/>
          <w:szCs w:val="20"/>
          <w:lang w:val="es-ES"/>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14:paraId="5E00DB93" w14:textId="71862462" w:rsidR="003C1FDE" w:rsidRPr="00695B2C" w:rsidRDefault="003C1FDE" w:rsidP="006461DA">
      <w:pPr>
        <w:spacing w:after="0" w:line="360" w:lineRule="auto"/>
        <w:rPr>
          <w:rFonts w:cs="Tahoma"/>
          <w:lang w:val="es-ES"/>
        </w:rPr>
      </w:pPr>
    </w:p>
    <w:p w14:paraId="5C21DB76" w14:textId="4527D07F" w:rsidR="00914564" w:rsidRPr="00695B2C" w:rsidRDefault="00A56A6C" w:rsidP="006461DA">
      <w:pPr>
        <w:spacing w:after="0" w:line="360" w:lineRule="auto"/>
        <w:rPr>
          <w:rFonts w:cs="Tahoma"/>
          <w:lang w:val="es-ES"/>
        </w:rPr>
      </w:pPr>
      <w:r w:rsidRPr="00695B2C">
        <w:rPr>
          <w:rFonts w:cs="Tahoma"/>
          <w:lang w:val="es-ES"/>
        </w:rPr>
        <w:t>Ahora bien, antes de entrar al estudio espec</w:t>
      </w:r>
      <w:r w:rsidR="00E71CA6" w:rsidRPr="00695B2C">
        <w:rPr>
          <w:rFonts w:cs="Tahoma"/>
          <w:lang w:val="es-ES"/>
        </w:rPr>
        <w:t>í</w:t>
      </w:r>
      <w:r w:rsidRPr="00695B2C">
        <w:rPr>
          <w:rFonts w:cs="Tahoma"/>
          <w:lang w:val="es-ES"/>
        </w:rPr>
        <w:t>fico de cada uno de los puntos planteados por el Particular y que fueron objeto de su inconformidad, se debe decir que este asunto cuenta con un interés especial de la sociedad,</w:t>
      </w:r>
      <w:r w:rsidR="00CF32E2" w:rsidRPr="00695B2C">
        <w:rPr>
          <w:rFonts w:cs="Tahoma"/>
          <w:lang w:val="es-ES"/>
        </w:rPr>
        <w:t xml:space="preserve"> p</w:t>
      </w:r>
      <w:r w:rsidR="00E71CA6" w:rsidRPr="00695B2C">
        <w:rPr>
          <w:rFonts w:cs="Tahoma"/>
          <w:lang w:val="es-ES"/>
        </w:rPr>
        <w:t>or</w:t>
      </w:r>
      <w:r w:rsidR="00CF32E2" w:rsidRPr="00695B2C">
        <w:rPr>
          <w:rFonts w:cs="Tahoma"/>
          <w:lang w:val="es-ES"/>
        </w:rPr>
        <w:t xml:space="preserve"> lo que se exponen</w:t>
      </w:r>
      <w:r w:rsidR="00914564" w:rsidRPr="00695B2C">
        <w:rPr>
          <w:rFonts w:cs="Tahoma"/>
          <w:lang w:val="es-ES"/>
        </w:rPr>
        <w:t xml:space="preserve"> elementos que fueron analizados y desarrollados durante los argumentos vertidos por este Organismo Garante.</w:t>
      </w:r>
    </w:p>
    <w:p w14:paraId="7C22D51C" w14:textId="77777777" w:rsidR="00914564" w:rsidRPr="00695B2C" w:rsidRDefault="00914564" w:rsidP="006461DA">
      <w:pPr>
        <w:spacing w:after="0" w:line="360" w:lineRule="auto"/>
        <w:rPr>
          <w:rFonts w:cs="Tahoma"/>
          <w:lang w:val="es-ES"/>
        </w:rPr>
      </w:pPr>
    </w:p>
    <w:p w14:paraId="15494A7E" w14:textId="2E15039E" w:rsidR="00914564" w:rsidRPr="00695B2C" w:rsidRDefault="00914564" w:rsidP="006461DA">
      <w:pPr>
        <w:pStyle w:val="Prrafodelista"/>
        <w:numPr>
          <w:ilvl w:val="0"/>
          <w:numId w:val="9"/>
        </w:numPr>
        <w:spacing w:line="360" w:lineRule="auto"/>
        <w:jc w:val="both"/>
        <w:rPr>
          <w:rFonts w:ascii="Palatino Linotype" w:hAnsi="Palatino Linotype" w:cs="Tahoma"/>
          <w:lang w:val="es-ES"/>
        </w:rPr>
      </w:pPr>
      <w:r w:rsidRPr="00695B2C">
        <w:rPr>
          <w:rFonts w:ascii="Palatino Linotype" w:hAnsi="Palatino Linotype" w:cs="Tahoma"/>
          <w:lang w:val="es-ES"/>
        </w:rPr>
        <w:t xml:space="preserve">Como elemento primordial, los medios de comunicación han seguido el presente caso, </w:t>
      </w:r>
      <w:r w:rsidR="00FF0D15" w:rsidRPr="00695B2C">
        <w:rPr>
          <w:rFonts w:ascii="Palatino Linotype" w:hAnsi="Palatino Linotype" w:cs="Tahoma"/>
          <w:lang w:val="es-ES"/>
        </w:rPr>
        <w:t>e hicieron públicos todos los detalles de la investigación, incluidos datos personales de las víctimas y ofendidos.</w:t>
      </w:r>
    </w:p>
    <w:p w14:paraId="4882A4ED" w14:textId="77777777" w:rsidR="002B10F5" w:rsidRPr="00695B2C" w:rsidRDefault="002B10F5" w:rsidP="006461DA">
      <w:pPr>
        <w:pStyle w:val="Prrafodelista"/>
        <w:spacing w:line="360" w:lineRule="auto"/>
        <w:jc w:val="both"/>
        <w:rPr>
          <w:rFonts w:ascii="Palatino Linotype" w:hAnsi="Palatino Linotype" w:cs="Tahoma"/>
          <w:lang w:val="es-ES"/>
        </w:rPr>
      </w:pPr>
    </w:p>
    <w:p w14:paraId="05C4EEDC" w14:textId="402CB11C" w:rsidR="00914564" w:rsidRPr="00695B2C" w:rsidRDefault="007E65E9" w:rsidP="006461DA">
      <w:pPr>
        <w:pStyle w:val="Prrafodelista"/>
        <w:numPr>
          <w:ilvl w:val="0"/>
          <w:numId w:val="9"/>
        </w:numPr>
        <w:spacing w:line="360" w:lineRule="auto"/>
        <w:jc w:val="both"/>
        <w:rPr>
          <w:rFonts w:ascii="Palatino Linotype" w:hAnsi="Palatino Linotype" w:cs="Tahoma"/>
          <w:lang w:val="es-ES"/>
        </w:rPr>
      </w:pPr>
      <w:r w:rsidRPr="00695B2C">
        <w:rPr>
          <w:rFonts w:ascii="Palatino Linotype" w:hAnsi="Palatino Linotype" w:cs="Tahoma"/>
          <w:lang w:val="es-ES"/>
        </w:rPr>
        <w:t>Los delitos investigados son</w:t>
      </w:r>
      <w:r w:rsidR="00914564" w:rsidRPr="00695B2C">
        <w:rPr>
          <w:rFonts w:ascii="Palatino Linotype" w:hAnsi="Palatino Linotype" w:cs="Tahoma"/>
          <w:lang w:val="es-ES"/>
        </w:rPr>
        <w:t xml:space="preserve"> privación de la vida tipificado como feminicidio</w:t>
      </w:r>
      <w:r w:rsidRPr="00695B2C">
        <w:rPr>
          <w:rFonts w:ascii="Palatino Linotype" w:hAnsi="Palatino Linotype" w:cs="Tahoma"/>
          <w:lang w:val="es-ES"/>
        </w:rPr>
        <w:t>, en contra de varias mujeres</w:t>
      </w:r>
      <w:r w:rsidR="00914564" w:rsidRPr="00695B2C">
        <w:rPr>
          <w:rFonts w:ascii="Palatino Linotype" w:hAnsi="Palatino Linotype" w:cs="Tahoma"/>
          <w:lang w:val="es-ES"/>
        </w:rPr>
        <w:t>.</w:t>
      </w:r>
    </w:p>
    <w:p w14:paraId="0901BE58" w14:textId="77777777" w:rsidR="002B10F5" w:rsidRPr="00695B2C" w:rsidRDefault="002B10F5" w:rsidP="006461DA">
      <w:pPr>
        <w:pStyle w:val="Prrafodelista"/>
        <w:spacing w:line="360" w:lineRule="auto"/>
        <w:rPr>
          <w:rFonts w:ascii="Palatino Linotype" w:hAnsi="Palatino Linotype" w:cs="Tahoma"/>
          <w:lang w:val="es-ES"/>
        </w:rPr>
      </w:pPr>
    </w:p>
    <w:p w14:paraId="1FE42A5B" w14:textId="7AFE6C83" w:rsidR="003D0222" w:rsidRPr="00695B2C" w:rsidRDefault="00914564" w:rsidP="006461DA">
      <w:pPr>
        <w:pStyle w:val="Prrafodelista"/>
        <w:numPr>
          <w:ilvl w:val="0"/>
          <w:numId w:val="9"/>
        </w:numPr>
        <w:spacing w:line="360" w:lineRule="auto"/>
        <w:jc w:val="both"/>
        <w:rPr>
          <w:rFonts w:ascii="Palatino Linotype" w:hAnsi="Palatino Linotype" w:cs="Tahoma"/>
          <w:lang w:val="es-ES"/>
        </w:rPr>
      </w:pPr>
      <w:r w:rsidRPr="00695B2C">
        <w:rPr>
          <w:rFonts w:ascii="Palatino Linotype" w:hAnsi="Palatino Linotype" w:cs="Tahoma"/>
          <w:lang w:val="es-ES"/>
        </w:rPr>
        <w:t xml:space="preserve">El </w:t>
      </w:r>
      <w:r w:rsidR="003D0222" w:rsidRPr="00695B2C">
        <w:rPr>
          <w:rFonts w:ascii="Palatino Linotype" w:hAnsi="Palatino Linotype" w:cs="Tahoma"/>
          <w:lang w:val="es-ES"/>
        </w:rPr>
        <w:t>probable a</w:t>
      </w:r>
      <w:r w:rsidRPr="00695B2C">
        <w:rPr>
          <w:rFonts w:ascii="Palatino Linotype" w:hAnsi="Palatino Linotype" w:cs="Tahoma"/>
          <w:lang w:val="es-ES"/>
        </w:rPr>
        <w:t xml:space="preserve">utor del </w:t>
      </w:r>
      <w:r w:rsidR="003D0222" w:rsidRPr="00695B2C">
        <w:rPr>
          <w:rFonts w:ascii="Palatino Linotype" w:hAnsi="Palatino Linotype" w:cs="Tahoma"/>
          <w:lang w:val="es-ES"/>
        </w:rPr>
        <w:t>delito</w:t>
      </w:r>
      <w:r w:rsidRPr="00695B2C">
        <w:rPr>
          <w:rFonts w:ascii="Palatino Linotype" w:hAnsi="Palatino Linotype" w:cs="Tahoma"/>
          <w:lang w:val="es-ES"/>
        </w:rPr>
        <w:t xml:space="preserve"> fue detenido el 18 de mayo del 2021, por la Fiscalía del Estado de México</w:t>
      </w:r>
      <w:r w:rsidR="003D0222" w:rsidRPr="00695B2C">
        <w:rPr>
          <w:rFonts w:ascii="Palatino Linotype" w:hAnsi="Palatino Linotype" w:cs="Tahoma"/>
          <w:lang w:val="es-ES"/>
        </w:rPr>
        <w:t>, en su domicilio, información que se encuentra publicada en diversos medios de comunicación, pues es el mismo lugar del hallazgo de los cuerpos.</w:t>
      </w:r>
    </w:p>
    <w:p w14:paraId="5FE01754" w14:textId="7C786891" w:rsidR="003D0222" w:rsidRPr="00695B2C" w:rsidRDefault="003D0222" w:rsidP="006461DA">
      <w:pPr>
        <w:pStyle w:val="Prrafodelista"/>
        <w:numPr>
          <w:ilvl w:val="0"/>
          <w:numId w:val="9"/>
        </w:numPr>
        <w:spacing w:line="360" w:lineRule="auto"/>
        <w:jc w:val="both"/>
        <w:rPr>
          <w:rFonts w:ascii="Palatino Linotype" w:hAnsi="Palatino Linotype" w:cs="Tahoma"/>
          <w:lang w:val="es-ES"/>
        </w:rPr>
      </w:pPr>
      <w:r w:rsidRPr="00695B2C">
        <w:rPr>
          <w:rFonts w:ascii="Palatino Linotype" w:hAnsi="Palatino Linotype" w:cs="Tahoma"/>
          <w:lang w:val="es-ES"/>
        </w:rPr>
        <w:lastRenderedPageBreak/>
        <w:t>El probable autor del delito fue vinculado a proceso el 20 de mayo del 2021.</w:t>
      </w:r>
    </w:p>
    <w:p w14:paraId="52588A7C" w14:textId="77777777" w:rsidR="002B10F5" w:rsidRPr="00695B2C" w:rsidRDefault="002B10F5" w:rsidP="006461DA">
      <w:pPr>
        <w:pStyle w:val="Prrafodelista"/>
        <w:spacing w:line="360" w:lineRule="auto"/>
        <w:rPr>
          <w:rFonts w:ascii="Palatino Linotype" w:hAnsi="Palatino Linotype" w:cs="Tahoma"/>
          <w:lang w:val="es-ES"/>
        </w:rPr>
      </w:pPr>
    </w:p>
    <w:p w14:paraId="4B568E47" w14:textId="4A58477F" w:rsidR="00D76407" w:rsidRPr="00695B2C" w:rsidRDefault="00D76407" w:rsidP="006461DA">
      <w:pPr>
        <w:pStyle w:val="Prrafodelista"/>
        <w:numPr>
          <w:ilvl w:val="0"/>
          <w:numId w:val="9"/>
        </w:numPr>
        <w:spacing w:line="360" w:lineRule="auto"/>
        <w:jc w:val="both"/>
        <w:rPr>
          <w:rFonts w:ascii="Palatino Linotype" w:hAnsi="Palatino Linotype" w:cs="Tahoma"/>
          <w:lang w:val="es-ES"/>
        </w:rPr>
      </w:pPr>
      <w:r w:rsidRPr="00695B2C">
        <w:rPr>
          <w:rFonts w:ascii="Palatino Linotype" w:hAnsi="Palatino Linotype" w:cs="Tahoma"/>
          <w:lang w:val="es-ES"/>
        </w:rPr>
        <w:t xml:space="preserve">Durante este proceso, el probable </w:t>
      </w:r>
      <w:r w:rsidR="00BE037F" w:rsidRPr="00695B2C">
        <w:rPr>
          <w:rFonts w:ascii="Palatino Linotype" w:hAnsi="Palatino Linotype" w:cs="Tahoma"/>
          <w:lang w:val="es-ES"/>
        </w:rPr>
        <w:t>responsable</w:t>
      </w:r>
      <w:r w:rsidRPr="00695B2C">
        <w:rPr>
          <w:rFonts w:ascii="Palatino Linotype" w:hAnsi="Palatino Linotype" w:cs="Tahoma"/>
          <w:lang w:val="es-ES"/>
        </w:rPr>
        <w:t xml:space="preserve">, </w:t>
      </w:r>
      <w:r w:rsidRPr="00695B2C">
        <w:rPr>
          <w:rFonts w:ascii="Palatino Linotype" w:hAnsi="Palatino Linotype" w:cs="Tahoma"/>
          <w:b/>
          <w:bCs/>
          <w:u w:val="single"/>
          <w:lang w:val="es-ES"/>
        </w:rPr>
        <w:t>se declaró confeso</w:t>
      </w:r>
      <w:r w:rsidR="003B5A01" w:rsidRPr="00695B2C">
        <w:rPr>
          <w:rFonts w:ascii="Palatino Linotype" w:hAnsi="Palatino Linotype" w:cs="Tahoma"/>
          <w:b/>
          <w:bCs/>
          <w:u w:val="single"/>
          <w:lang w:val="es-ES"/>
        </w:rPr>
        <w:t xml:space="preserve"> en audiencia inicial</w:t>
      </w:r>
      <w:r w:rsidR="003B5A01" w:rsidRPr="00695B2C">
        <w:rPr>
          <w:rFonts w:ascii="Palatino Linotype" w:hAnsi="Palatino Linotype" w:cs="Tahoma"/>
          <w:lang w:val="es-ES"/>
        </w:rPr>
        <w:t>,</w:t>
      </w:r>
      <w:r w:rsidR="006223E7" w:rsidRPr="00695B2C">
        <w:rPr>
          <w:rFonts w:ascii="Palatino Linotype" w:hAnsi="Palatino Linotype" w:cs="Tahoma"/>
          <w:lang w:val="es-ES"/>
        </w:rPr>
        <w:t xml:space="preserve"> lo que fue publicado por </w:t>
      </w:r>
      <w:r w:rsidR="00BE037F" w:rsidRPr="00695B2C">
        <w:rPr>
          <w:rFonts w:ascii="Palatino Linotype" w:hAnsi="Palatino Linotype" w:cs="Tahoma"/>
          <w:lang w:val="es-ES"/>
        </w:rPr>
        <w:t>el diario El</w:t>
      </w:r>
      <w:r w:rsidR="006223E7" w:rsidRPr="00695B2C">
        <w:rPr>
          <w:rFonts w:ascii="Palatino Linotype" w:hAnsi="Palatino Linotype" w:cs="Tahoma"/>
          <w:lang w:val="es-ES"/>
        </w:rPr>
        <w:t xml:space="preserve"> Universal y que refiere que la propia información, fue aportada durante el desarrollo de la audiencia inicial, información localizable en la liga de acceso directo </w:t>
      </w:r>
      <w:hyperlink r:id="rId79" w:history="1">
        <w:r w:rsidR="006223E7" w:rsidRPr="00695B2C">
          <w:rPr>
            <w:rFonts w:ascii="Palatino Linotype" w:hAnsi="Palatino Linotype" w:cs="Tahoma"/>
            <w:lang w:val="es-ES"/>
          </w:rPr>
          <w:t>https://www.youtube.com/watch?v=HDc_gHsJ9wY</w:t>
        </w:r>
      </w:hyperlink>
      <w:r w:rsidR="006223E7" w:rsidRPr="00695B2C">
        <w:rPr>
          <w:rFonts w:ascii="Palatino Linotype" w:hAnsi="Palatino Linotype" w:cs="Tahoma"/>
          <w:lang w:val="es-ES"/>
        </w:rPr>
        <w:t>.</w:t>
      </w:r>
    </w:p>
    <w:p w14:paraId="3A762B1D" w14:textId="77777777" w:rsidR="002B10F5" w:rsidRPr="00695B2C" w:rsidRDefault="002B10F5" w:rsidP="006461DA">
      <w:pPr>
        <w:pStyle w:val="Prrafodelista"/>
        <w:spacing w:line="360" w:lineRule="auto"/>
        <w:jc w:val="both"/>
        <w:rPr>
          <w:rFonts w:ascii="Palatino Linotype" w:hAnsi="Palatino Linotype" w:cs="Tahoma"/>
          <w:lang w:val="es-ES"/>
        </w:rPr>
      </w:pPr>
    </w:p>
    <w:p w14:paraId="1E72C41B" w14:textId="257E8143" w:rsidR="006223E7" w:rsidRPr="00695B2C" w:rsidRDefault="003B5A01" w:rsidP="006461DA">
      <w:pPr>
        <w:pStyle w:val="Prrafodelista"/>
        <w:numPr>
          <w:ilvl w:val="0"/>
          <w:numId w:val="9"/>
        </w:numPr>
        <w:spacing w:line="360" w:lineRule="auto"/>
        <w:jc w:val="both"/>
        <w:rPr>
          <w:rFonts w:ascii="Palatino Linotype" w:hAnsi="Palatino Linotype" w:cs="Tahoma"/>
          <w:lang w:val="es-ES"/>
        </w:rPr>
      </w:pPr>
      <w:r w:rsidRPr="00695B2C">
        <w:rPr>
          <w:rFonts w:ascii="Palatino Linotype" w:hAnsi="Palatino Linotype" w:cs="Tahoma"/>
          <w:lang w:val="es-ES"/>
        </w:rPr>
        <w:t xml:space="preserve">El feminicida fue entrevistado por grupo Milenio, video consultable en la liga de acceso directo </w:t>
      </w:r>
      <w:hyperlink r:id="rId80" w:history="1">
        <w:r w:rsidR="002B10F5" w:rsidRPr="00695B2C">
          <w:rPr>
            <w:rStyle w:val="Hipervnculo"/>
            <w:rFonts w:ascii="Palatino Linotype" w:hAnsi="Palatino Linotype" w:cs="Tahoma"/>
            <w:lang w:val="es-ES"/>
          </w:rPr>
          <w:t>https://www.youtube.com/watch?v=gckUOnErTaM</w:t>
        </w:r>
      </w:hyperlink>
      <w:r w:rsidRPr="00695B2C">
        <w:rPr>
          <w:rFonts w:ascii="Palatino Linotype" w:hAnsi="Palatino Linotype" w:cs="Tahoma"/>
          <w:lang w:val="es-ES"/>
        </w:rPr>
        <w:t>.</w:t>
      </w:r>
    </w:p>
    <w:p w14:paraId="0131A0E4" w14:textId="77777777" w:rsidR="002B10F5" w:rsidRPr="00695B2C" w:rsidRDefault="002B10F5" w:rsidP="006461DA">
      <w:pPr>
        <w:pStyle w:val="Prrafodelista"/>
        <w:spacing w:line="360" w:lineRule="auto"/>
        <w:rPr>
          <w:rFonts w:ascii="Palatino Linotype" w:hAnsi="Palatino Linotype" w:cs="Tahoma"/>
          <w:lang w:val="es-ES"/>
        </w:rPr>
      </w:pPr>
    </w:p>
    <w:p w14:paraId="55182541" w14:textId="157E9B5C" w:rsidR="006223E7" w:rsidRPr="00695B2C" w:rsidRDefault="003B5A01" w:rsidP="006461DA">
      <w:pPr>
        <w:pStyle w:val="Prrafodelista"/>
        <w:numPr>
          <w:ilvl w:val="0"/>
          <w:numId w:val="9"/>
        </w:numPr>
        <w:spacing w:line="360" w:lineRule="auto"/>
        <w:jc w:val="both"/>
        <w:rPr>
          <w:rFonts w:ascii="Palatino Linotype" w:hAnsi="Palatino Linotype" w:cs="Tahoma"/>
          <w:lang w:val="es-ES"/>
        </w:rPr>
      </w:pPr>
      <w:r w:rsidRPr="00695B2C">
        <w:rPr>
          <w:rFonts w:ascii="Palatino Linotype" w:hAnsi="Palatino Linotype" w:cs="Tahoma"/>
          <w:lang w:val="es-ES"/>
        </w:rPr>
        <w:t xml:space="preserve">La información fue solicitada el 14 de febrero de 2021, </w:t>
      </w:r>
      <w:r w:rsidR="00BE037F" w:rsidRPr="00695B2C">
        <w:rPr>
          <w:rFonts w:ascii="Palatino Linotype" w:hAnsi="Palatino Linotype" w:cs="Tahoma"/>
          <w:lang w:val="es-ES"/>
        </w:rPr>
        <w:t>en</w:t>
      </w:r>
      <w:r w:rsidRPr="00695B2C">
        <w:rPr>
          <w:rFonts w:ascii="Palatino Linotype" w:hAnsi="Palatino Linotype" w:cs="Tahoma"/>
          <w:lang w:val="es-ES"/>
        </w:rPr>
        <w:t xml:space="preserve"> </w:t>
      </w:r>
      <w:r w:rsidR="00BE037F" w:rsidRPr="00695B2C">
        <w:rPr>
          <w:rFonts w:ascii="Palatino Linotype" w:hAnsi="Palatino Linotype" w:cs="Tahoma"/>
          <w:lang w:val="es-ES"/>
        </w:rPr>
        <w:t>es</w:t>
      </w:r>
      <w:r w:rsidR="007552EE" w:rsidRPr="00695B2C">
        <w:rPr>
          <w:rFonts w:ascii="Palatino Linotype" w:hAnsi="Palatino Linotype" w:cs="Tahoma"/>
          <w:lang w:val="es-ES"/>
        </w:rPr>
        <w:t>a</w:t>
      </w:r>
      <w:r w:rsidR="00BE037F" w:rsidRPr="00695B2C">
        <w:rPr>
          <w:rFonts w:ascii="Palatino Linotype" w:hAnsi="Palatino Linotype" w:cs="Tahoma"/>
          <w:lang w:val="es-ES"/>
        </w:rPr>
        <w:t xml:space="preserve"> </w:t>
      </w:r>
      <w:r w:rsidRPr="00695B2C">
        <w:rPr>
          <w:rFonts w:ascii="Palatino Linotype" w:hAnsi="Palatino Linotype" w:cs="Tahoma"/>
          <w:lang w:val="es-ES"/>
        </w:rPr>
        <w:t>fecha, no existía sentencia, pero s</w:t>
      </w:r>
      <w:r w:rsidR="007552EE" w:rsidRPr="00695B2C">
        <w:rPr>
          <w:rFonts w:ascii="Palatino Linotype" w:hAnsi="Palatino Linotype" w:cs="Tahoma"/>
          <w:lang w:val="es-ES"/>
        </w:rPr>
        <w:t>í</w:t>
      </w:r>
      <w:r w:rsidRPr="00695B2C">
        <w:rPr>
          <w:rFonts w:ascii="Palatino Linotype" w:hAnsi="Palatino Linotype" w:cs="Tahoma"/>
          <w:lang w:val="es-ES"/>
        </w:rPr>
        <w:t xml:space="preserve"> existía vinculación a proceso</w:t>
      </w:r>
      <w:r w:rsidR="00BE037F" w:rsidRPr="00695B2C">
        <w:rPr>
          <w:rFonts w:ascii="Palatino Linotype" w:hAnsi="Palatino Linotype" w:cs="Tahoma"/>
          <w:lang w:val="es-ES"/>
        </w:rPr>
        <w:t xml:space="preserve"> y el indiciado ya se había declarado culpable de los delitos que le fueron imputados</w:t>
      </w:r>
      <w:r w:rsidRPr="00695B2C">
        <w:rPr>
          <w:rFonts w:ascii="Palatino Linotype" w:hAnsi="Palatino Linotype" w:cs="Tahoma"/>
          <w:lang w:val="es-ES"/>
        </w:rPr>
        <w:t>.</w:t>
      </w:r>
    </w:p>
    <w:p w14:paraId="282B6CEB" w14:textId="77777777" w:rsidR="002B10F5" w:rsidRPr="00695B2C" w:rsidRDefault="002B10F5" w:rsidP="006461DA">
      <w:pPr>
        <w:pStyle w:val="Prrafodelista"/>
        <w:spacing w:line="360" w:lineRule="auto"/>
        <w:jc w:val="both"/>
        <w:rPr>
          <w:rFonts w:ascii="Palatino Linotype" w:hAnsi="Palatino Linotype"/>
          <w:lang w:val="es-ES"/>
        </w:rPr>
      </w:pPr>
    </w:p>
    <w:p w14:paraId="1B58F483" w14:textId="5B0281B3" w:rsidR="002B10F5" w:rsidRPr="00695B2C" w:rsidRDefault="003B5A01" w:rsidP="006461DA">
      <w:pPr>
        <w:pStyle w:val="Prrafodelista"/>
        <w:numPr>
          <w:ilvl w:val="0"/>
          <w:numId w:val="9"/>
        </w:numPr>
        <w:spacing w:line="360" w:lineRule="auto"/>
        <w:jc w:val="both"/>
        <w:rPr>
          <w:rFonts w:ascii="Palatino Linotype" w:hAnsi="Palatino Linotype" w:cs="Tahoma"/>
          <w:lang w:val="es-ES"/>
        </w:rPr>
      </w:pPr>
      <w:r w:rsidRPr="00695B2C">
        <w:rPr>
          <w:rFonts w:ascii="Palatino Linotype" w:hAnsi="Palatino Linotype" w:cs="Tahoma"/>
          <w:lang w:val="es-ES"/>
        </w:rPr>
        <w:t xml:space="preserve">La Fiscalía, a través de su cuenta oficial de </w:t>
      </w:r>
      <w:r w:rsidRPr="00695B2C">
        <w:rPr>
          <w:rFonts w:ascii="Palatino Linotype" w:hAnsi="Palatino Linotype" w:cs="Tahoma"/>
          <w:i/>
          <w:iCs/>
          <w:lang w:val="es-ES"/>
        </w:rPr>
        <w:t>Twitter</w:t>
      </w:r>
      <w:r w:rsidR="00CE74B4" w:rsidRPr="00695B2C">
        <w:rPr>
          <w:rFonts w:ascii="Palatino Linotype" w:hAnsi="Palatino Linotype" w:cs="Tahoma"/>
          <w:lang w:val="es-ES"/>
        </w:rPr>
        <w:t xml:space="preserve"> publicó en fecha 16 de marzo del 2022, que la </w:t>
      </w:r>
      <w:r w:rsidR="00CE67F4" w:rsidRPr="00695B2C">
        <w:rPr>
          <w:rFonts w:ascii="Palatino Linotype" w:hAnsi="Palatino Linotype" w:cs="Tahoma"/>
          <w:lang w:val="es-ES"/>
        </w:rPr>
        <w:t xml:space="preserve">fecha </w:t>
      </w:r>
      <w:r w:rsidR="00CE74B4" w:rsidRPr="00695B2C">
        <w:rPr>
          <w:rFonts w:ascii="Palatino Linotype" w:hAnsi="Palatino Linotype" w:cs="Tahoma"/>
          <w:lang w:val="es-ES"/>
        </w:rPr>
        <w:t>para la celebración de la audiencia en donde se sentenciaría al imputado fue celebrada el 18 de marzo de 2022</w:t>
      </w:r>
      <w:r w:rsidR="002B10F5" w:rsidRPr="00695B2C">
        <w:rPr>
          <w:rFonts w:ascii="Palatino Linotype" w:hAnsi="Palatino Linotype" w:cs="Tahoma"/>
          <w:lang w:val="es-ES"/>
        </w:rPr>
        <w:t>.</w:t>
      </w:r>
    </w:p>
    <w:p w14:paraId="0A36A4B2" w14:textId="77777777" w:rsidR="00FB0637" w:rsidRPr="00695B2C" w:rsidRDefault="00FB0637" w:rsidP="006461DA">
      <w:pPr>
        <w:pStyle w:val="Prrafodelista"/>
        <w:spacing w:line="360" w:lineRule="auto"/>
        <w:jc w:val="both"/>
        <w:rPr>
          <w:rFonts w:ascii="Palatino Linotype" w:hAnsi="Palatino Linotype" w:cs="Tahoma"/>
          <w:lang w:val="es-ES"/>
        </w:rPr>
      </w:pPr>
    </w:p>
    <w:p w14:paraId="04E02BD7" w14:textId="7CBF3758" w:rsidR="00CE67F4" w:rsidRPr="00695B2C" w:rsidRDefault="00CE67F4" w:rsidP="006461DA">
      <w:pPr>
        <w:pStyle w:val="Prrafodelista"/>
        <w:numPr>
          <w:ilvl w:val="0"/>
          <w:numId w:val="9"/>
        </w:numPr>
        <w:spacing w:line="360" w:lineRule="auto"/>
        <w:rPr>
          <w:rFonts w:ascii="Palatino Linotype" w:hAnsi="Palatino Linotype" w:cs="Tahoma"/>
          <w:lang w:val="es-ES"/>
        </w:rPr>
      </w:pPr>
      <w:r w:rsidRPr="00695B2C">
        <w:rPr>
          <w:rFonts w:ascii="Palatino Linotype" w:hAnsi="Palatino Linotype" w:cs="Tahoma"/>
          <w:lang w:val="es-ES"/>
        </w:rPr>
        <w:t>La imagen del imputado fue dada a conocer, en virtud de que el objetivo de la Fiscalía era que las personas pudieran denunciar, en virtud del alto número de posibles víctimas, por lo que la difusión de su imagen tuvo un propósito legítimo.</w:t>
      </w:r>
    </w:p>
    <w:p w14:paraId="4B5BF0C0" w14:textId="77777777" w:rsidR="002B10F5" w:rsidRPr="00695B2C" w:rsidRDefault="002B10F5" w:rsidP="006461DA">
      <w:pPr>
        <w:pStyle w:val="Prrafodelista"/>
        <w:spacing w:line="360" w:lineRule="auto"/>
        <w:rPr>
          <w:rFonts w:ascii="Palatino Linotype" w:hAnsi="Palatino Linotype" w:cs="Tahoma"/>
          <w:lang w:val="es-ES"/>
        </w:rPr>
      </w:pPr>
    </w:p>
    <w:p w14:paraId="66E0C7AB" w14:textId="5C295F9D" w:rsidR="00CE74B4" w:rsidRPr="00695B2C" w:rsidRDefault="00CE74B4" w:rsidP="006461DA">
      <w:pPr>
        <w:pStyle w:val="Prrafodelista"/>
        <w:numPr>
          <w:ilvl w:val="0"/>
          <w:numId w:val="9"/>
        </w:numPr>
        <w:spacing w:line="360" w:lineRule="auto"/>
        <w:jc w:val="both"/>
        <w:rPr>
          <w:rFonts w:ascii="Palatino Linotype" w:hAnsi="Palatino Linotype" w:cs="Tahoma"/>
          <w:lang w:val="es-ES"/>
        </w:rPr>
      </w:pPr>
      <w:r w:rsidRPr="00695B2C">
        <w:rPr>
          <w:rFonts w:ascii="Palatino Linotype" w:hAnsi="Palatino Linotype" w:cs="Tahoma"/>
          <w:lang w:val="es-ES"/>
        </w:rPr>
        <w:t xml:space="preserve">Durante el proceso, se fueron revelando </w:t>
      </w:r>
      <w:r w:rsidR="00826A2E" w:rsidRPr="00695B2C">
        <w:rPr>
          <w:rFonts w:ascii="Palatino Linotype" w:hAnsi="Palatino Linotype" w:cs="Tahoma"/>
          <w:lang w:val="es-ES"/>
        </w:rPr>
        <w:t>datos sobre</w:t>
      </w:r>
      <w:r w:rsidRPr="00695B2C">
        <w:rPr>
          <w:rFonts w:ascii="Palatino Linotype" w:hAnsi="Palatino Linotype" w:cs="Tahoma"/>
          <w:lang w:val="es-ES"/>
        </w:rPr>
        <w:t xml:space="preserve"> la cantidad de víctimas, los lugares de los hallazgos, el desarrollo de las audiencias, </w:t>
      </w:r>
      <w:r w:rsidR="00C934C1" w:rsidRPr="00695B2C">
        <w:rPr>
          <w:rFonts w:ascii="Palatino Linotype" w:hAnsi="Palatino Linotype" w:cs="Tahoma"/>
          <w:lang w:val="es-ES"/>
        </w:rPr>
        <w:t>datos incluso revelados previos a la judicialización del caso.</w:t>
      </w:r>
    </w:p>
    <w:p w14:paraId="0F45D840" w14:textId="77777777" w:rsidR="00826A2E" w:rsidRPr="00695B2C" w:rsidRDefault="00826A2E" w:rsidP="006461DA">
      <w:pPr>
        <w:spacing w:after="0" w:line="360" w:lineRule="auto"/>
        <w:rPr>
          <w:rFonts w:cs="Tahoma"/>
        </w:rPr>
      </w:pPr>
    </w:p>
    <w:p w14:paraId="6319460A" w14:textId="723EBFF3" w:rsidR="004F07EF" w:rsidRPr="00695B2C" w:rsidRDefault="0030380F" w:rsidP="006461DA">
      <w:pPr>
        <w:spacing w:after="0" w:line="360" w:lineRule="auto"/>
        <w:rPr>
          <w:rFonts w:cs="Tahoma"/>
        </w:rPr>
      </w:pPr>
      <w:r w:rsidRPr="00695B2C">
        <w:rPr>
          <w:rFonts w:cs="Tahoma"/>
        </w:rPr>
        <w:lastRenderedPageBreak/>
        <w:t>Es en este contexto, lo procedente</w:t>
      </w:r>
      <w:r w:rsidR="002B10F5" w:rsidRPr="00695B2C">
        <w:rPr>
          <w:rFonts w:cs="Tahoma"/>
        </w:rPr>
        <w:t xml:space="preserve"> </w:t>
      </w:r>
      <w:r w:rsidRPr="00695B2C">
        <w:rPr>
          <w:rFonts w:cs="Tahoma"/>
        </w:rPr>
        <w:t>es realizar el análisis de cada uno de los puntos sobre los que el Particular se inconformó</w:t>
      </w:r>
      <w:r w:rsidR="00961043" w:rsidRPr="00695B2C">
        <w:rPr>
          <w:rFonts w:cs="Tahoma"/>
        </w:rPr>
        <w:t xml:space="preserve">, </w:t>
      </w:r>
      <w:r w:rsidR="002B10F5" w:rsidRPr="00695B2C">
        <w:rPr>
          <w:rFonts w:cs="Tahoma"/>
        </w:rPr>
        <w:t>con excepción de los identificados en los numerales</w:t>
      </w:r>
      <w:r w:rsidR="00961043" w:rsidRPr="00695B2C">
        <w:rPr>
          <w:rFonts w:cs="Tahoma"/>
        </w:rPr>
        <w:t xml:space="preserve"> 1 y 2, toda vez que el propio Particular </w:t>
      </w:r>
      <w:r w:rsidR="002B10F5" w:rsidRPr="00695B2C">
        <w:rPr>
          <w:rFonts w:cs="Tahoma"/>
        </w:rPr>
        <w:t xml:space="preserve">se </w:t>
      </w:r>
      <w:r w:rsidR="00961043" w:rsidRPr="00695B2C">
        <w:rPr>
          <w:rFonts w:cs="Tahoma"/>
        </w:rPr>
        <w:t>dio por atendido</w:t>
      </w:r>
      <w:r w:rsidR="002B10F5" w:rsidRPr="00695B2C">
        <w:rPr>
          <w:rFonts w:cs="Tahoma"/>
        </w:rPr>
        <w:t xml:space="preserve"> con lo entregado en respuesta.</w:t>
      </w:r>
    </w:p>
    <w:p w14:paraId="3D537B93" w14:textId="36C11956" w:rsidR="002B10F5" w:rsidRPr="00695B2C" w:rsidRDefault="002B10F5" w:rsidP="006461DA">
      <w:pPr>
        <w:spacing w:after="0" w:line="360" w:lineRule="auto"/>
        <w:rPr>
          <w:rFonts w:cs="Tahoma"/>
        </w:rPr>
      </w:pPr>
    </w:p>
    <w:p w14:paraId="28F5C0C6" w14:textId="146A00F2" w:rsidR="002B10F5" w:rsidRPr="00695B2C" w:rsidRDefault="002B10F5" w:rsidP="006461DA">
      <w:pPr>
        <w:pStyle w:val="Prrafodelista"/>
        <w:numPr>
          <w:ilvl w:val="0"/>
          <w:numId w:val="1"/>
        </w:numPr>
        <w:spacing w:line="360" w:lineRule="auto"/>
        <w:rPr>
          <w:rFonts w:ascii="Palatino Linotype" w:hAnsi="Palatino Linotype" w:cs="Tahoma"/>
          <w:b/>
          <w:bCs/>
        </w:rPr>
      </w:pPr>
      <w:r w:rsidRPr="00695B2C">
        <w:rPr>
          <w:rFonts w:ascii="Palatino Linotype" w:hAnsi="Palatino Linotype" w:cs="Tahoma"/>
          <w:b/>
          <w:bCs/>
        </w:rPr>
        <w:t>Análisis de los contenidos de información impugnados por el Recurrente.</w:t>
      </w:r>
    </w:p>
    <w:p w14:paraId="40FCDA47" w14:textId="3230C68D" w:rsidR="0030380F" w:rsidRPr="00695B2C" w:rsidRDefault="0030380F" w:rsidP="006461DA">
      <w:pPr>
        <w:spacing w:after="0" w:line="360" w:lineRule="auto"/>
        <w:rPr>
          <w:rFonts w:cs="Tahoma"/>
        </w:rPr>
      </w:pPr>
    </w:p>
    <w:p w14:paraId="143DD090" w14:textId="35C46F00" w:rsidR="0030380F" w:rsidRPr="00695B2C" w:rsidRDefault="0030380F" w:rsidP="006461DA">
      <w:pPr>
        <w:spacing w:after="0" w:line="360" w:lineRule="auto"/>
        <w:rPr>
          <w:rFonts w:cs="Tahoma"/>
          <w:b/>
          <w:bCs/>
        </w:rPr>
      </w:pPr>
      <w:r w:rsidRPr="00695B2C">
        <w:rPr>
          <w:rFonts w:cs="Tahoma"/>
          <w:b/>
          <w:bCs/>
        </w:rPr>
        <w:t>3. Las acciones de extinción de dominio, promovidas para continuar con las investigaciones.</w:t>
      </w:r>
    </w:p>
    <w:p w14:paraId="4BE31888" w14:textId="5EC78C5F" w:rsidR="0030380F" w:rsidRPr="00695B2C" w:rsidRDefault="0030380F" w:rsidP="006461DA">
      <w:pPr>
        <w:spacing w:after="0" w:line="360" w:lineRule="auto"/>
        <w:rPr>
          <w:rFonts w:cs="Tahoma"/>
        </w:rPr>
      </w:pPr>
    </w:p>
    <w:p w14:paraId="12E5881B" w14:textId="77777777" w:rsidR="004251F5" w:rsidRPr="00695B2C" w:rsidRDefault="00645CB8" w:rsidP="006461DA">
      <w:pPr>
        <w:spacing w:after="0" w:line="360" w:lineRule="auto"/>
      </w:pPr>
      <w:r w:rsidRPr="00695B2C">
        <w:rPr>
          <w:rFonts w:cs="Tahoma"/>
        </w:rPr>
        <w:t>De manera específica, el Sujeto Obligado no realizó pronunciamiento sobre este punto</w:t>
      </w:r>
      <w:r w:rsidR="00D454DE" w:rsidRPr="00695B2C">
        <w:rPr>
          <w:rFonts w:cs="Tahoma"/>
        </w:rPr>
        <w:t>, respecto a si se estaba ejerciendo una acción de extinción de dominio</w:t>
      </w:r>
      <w:r w:rsidR="002B10F5" w:rsidRPr="00695B2C">
        <w:rPr>
          <w:rFonts w:cs="Tahoma"/>
        </w:rPr>
        <w:t>;</w:t>
      </w:r>
      <w:r w:rsidRPr="00695B2C">
        <w:rPr>
          <w:rFonts w:cs="Tahoma"/>
        </w:rPr>
        <w:t xml:space="preserve"> sin embargo, a través del documento </w:t>
      </w:r>
      <w:proofErr w:type="spellStart"/>
      <w:r w:rsidRPr="00695B2C">
        <w:rPr>
          <w:b/>
          <w:bCs/>
        </w:rPr>
        <w:t>femi</w:t>
      </w:r>
      <w:proofErr w:type="spellEnd"/>
      <w:r w:rsidRPr="00695B2C">
        <w:rPr>
          <w:b/>
          <w:bCs/>
        </w:rPr>
        <w:t xml:space="preserve"> atizapan.jpg., </w:t>
      </w:r>
      <w:r w:rsidR="003637E6" w:rsidRPr="00695B2C">
        <w:t>el que el Sujeto Obligado, informó que la Fiscalía, se encontraba haciendo investigaciones en dos inmuebles</w:t>
      </w:r>
      <w:r w:rsidR="00F47F04" w:rsidRPr="00695B2C">
        <w:t>, uno que es propiedad de la persona señalada en la solicitud y uno contiguo</w:t>
      </w:r>
      <w:r w:rsidR="00D454DE" w:rsidRPr="00695B2C">
        <w:t>; del primero de estos</w:t>
      </w:r>
      <w:r w:rsidR="0096033D" w:rsidRPr="00695B2C">
        <w:t xml:space="preserve"> se conocieron todos los datos desde la comunicación de la noticia</w:t>
      </w:r>
      <w:r w:rsidR="002B10F5" w:rsidRPr="00695B2C">
        <w:t xml:space="preserve"> </w:t>
      </w:r>
      <w:r w:rsidR="0096033D" w:rsidRPr="00695B2C">
        <w:t>por medios masivos de comunicación</w:t>
      </w:r>
      <w:r w:rsidR="004251F5" w:rsidRPr="00695B2C">
        <w:t>.</w:t>
      </w:r>
    </w:p>
    <w:p w14:paraId="28967474" w14:textId="77777777" w:rsidR="004251F5" w:rsidRPr="00695B2C" w:rsidRDefault="004251F5" w:rsidP="006461DA">
      <w:pPr>
        <w:spacing w:after="0" w:line="360" w:lineRule="auto"/>
      </w:pPr>
    </w:p>
    <w:p w14:paraId="430FE568" w14:textId="4508E5EF" w:rsidR="002508C2" w:rsidRPr="00695B2C" w:rsidRDefault="004251F5" w:rsidP="006461DA">
      <w:pPr>
        <w:spacing w:after="0" w:line="360" w:lineRule="auto"/>
        <w:rPr>
          <w:rStyle w:val="Hipervnculo"/>
        </w:rPr>
      </w:pPr>
      <w:r w:rsidRPr="00695B2C">
        <w:t xml:space="preserve">De la relatoría de los hechos difundida a través de los medios de comunicación, fue un particular, </w:t>
      </w:r>
      <w:r w:rsidR="00092ECF" w:rsidRPr="00695B2C">
        <w:t>quien, ante la desaparición de su esposa, acudió ante las autoridades, quienes le apoyaron a geolocalizar la ubicación del celular de su esposa, que fue ubicado en la casa de Andrés “N”; el referido esposo, tuvo apoyo efectivo pues fue identificado como un expolicía</w:t>
      </w:r>
      <w:r w:rsidR="00191E94" w:rsidRPr="00695B2C">
        <w:t xml:space="preserve">. El domicilio de la detención fue publicado por diversos medios de comunicación, como lo es “El Financiero” a través de su nota periodística publicada veintidós de febrero del dos mil veintidós, consultable en la liga de acceso directo </w:t>
      </w:r>
      <w:hyperlink r:id="rId81" w:history="1">
        <w:r w:rsidR="00191E94" w:rsidRPr="00695B2C">
          <w:rPr>
            <w:rStyle w:val="Hipervnculo"/>
          </w:rPr>
          <w:t>https://www.elfinanciero.com.mx/edomex/2022/02/22/identifican-a-6-de-las-19-presuntas-victimas-del-feminicida-de-atizapan/</w:t>
        </w:r>
      </w:hyperlink>
      <w:r w:rsidR="00191E94" w:rsidRPr="00695B2C">
        <w:t xml:space="preserve">, por el periódico Excélsior, a través de su nota periodística publicada el veintiuno de mayo del dos mil veintiuno en la liga de acceso directo </w:t>
      </w:r>
      <w:hyperlink r:id="rId82" w:history="1">
        <w:r w:rsidR="00191E94" w:rsidRPr="00695B2C">
          <w:rPr>
            <w:rStyle w:val="Hipervnculo"/>
          </w:rPr>
          <w:t>https://www.excelsior.com.mx/comunidad/margaritas-22-la-casa-del-infierno-del-feminicida-de-atizapan/1450248</w:t>
        </w:r>
      </w:hyperlink>
      <w:r w:rsidR="00191E94" w:rsidRPr="00695B2C">
        <w:t xml:space="preserve">, por el medio de comunicación Grupo Milenio, quien difundió la </w:t>
      </w:r>
      <w:r w:rsidR="00191E94" w:rsidRPr="00695B2C">
        <w:lastRenderedPageBreak/>
        <w:t xml:space="preserve">información el 19 de mayo del dos mil veintiuno, un día previo a la audiencia de vinculación a proceso, información consultable en la liga electrónica </w:t>
      </w:r>
      <w:hyperlink r:id="rId83" w:history="1">
        <w:r w:rsidR="00191E94" w:rsidRPr="00695B2C">
          <w:rPr>
            <w:rStyle w:val="Hipervnculo"/>
          </w:rPr>
          <w:t>https://www.milenio.com/policia/feminicida-serial-de-atizapan-testimonios-cuentan-como-era</w:t>
        </w:r>
      </w:hyperlink>
      <w:r w:rsidR="002508C2" w:rsidRPr="00695B2C">
        <w:t>, así como la publicación realizada por “La Jornada”, el 17 de marzo del dos mil veintidós, en el contexto de la primera de las sentencias, en la cual fue declarado culpable y a la postre, se le dictó prisión vitalicia, información consultable en la liga de acceso directo</w:t>
      </w:r>
      <w:r w:rsidR="002508C2" w:rsidRPr="00695B2C">
        <w:rPr>
          <w:rStyle w:val="Hipervnculo"/>
        </w:rPr>
        <w:t xml:space="preserve"> </w:t>
      </w:r>
      <w:hyperlink r:id="rId84" w:anchor=":~:text=En%20el%20cateo%20realizado%20en,han%20sido%20identificadas%20por%20t%C3%A9cnicas" w:history="1">
        <w:r w:rsidR="002508C2" w:rsidRPr="00695B2C">
          <w:rPr>
            <w:rStyle w:val="Hipervnculo"/>
          </w:rPr>
          <w:t>https://www.jornada.com.mx/notas/2022/03/17/estados/declaran-culpable-de-una-muerte-a-presunto-feminicida-serial-de-atizapan/#:~:text=En%20el%20cateo%20realizado%20en,han%20sido%20identificadas%20por%20t%C3%A9cnicas</w:t>
        </w:r>
      </w:hyperlink>
    </w:p>
    <w:p w14:paraId="779944B3" w14:textId="77777777" w:rsidR="00191E94" w:rsidRPr="00695B2C" w:rsidRDefault="00191E94" w:rsidP="006461DA">
      <w:pPr>
        <w:spacing w:after="0" w:line="360" w:lineRule="auto"/>
      </w:pPr>
    </w:p>
    <w:p w14:paraId="4207B5D1" w14:textId="649F82C6" w:rsidR="008B2482" w:rsidRPr="00695B2C" w:rsidRDefault="00714640" w:rsidP="006461DA">
      <w:pPr>
        <w:spacing w:after="0" w:line="360" w:lineRule="auto"/>
      </w:pPr>
      <w:r>
        <w:t>L</w:t>
      </w:r>
      <w:r w:rsidR="008B2482" w:rsidRPr="00695B2C">
        <w:t xml:space="preserve">os medios de </w:t>
      </w:r>
      <w:r w:rsidR="007005C8" w:rsidRPr="00695B2C">
        <w:t>comunicación</w:t>
      </w:r>
      <w:r w:rsidR="008B2482" w:rsidRPr="00695B2C">
        <w:t xml:space="preserve"> difundieron el </w:t>
      </w:r>
      <w:r w:rsidR="00022F21" w:rsidRPr="00695B2C">
        <w:t xml:space="preserve">domicilio específico de los hechos y las imágenes que permiten identificar el </w:t>
      </w:r>
      <w:r w:rsidR="008B2482" w:rsidRPr="00695B2C">
        <w:t>lugar</w:t>
      </w:r>
      <w:r w:rsidR="00022F21" w:rsidRPr="00695B2C">
        <w:t>, además de</w:t>
      </w:r>
      <w:r w:rsidR="008B2482" w:rsidRPr="00695B2C">
        <w:t xml:space="preserve"> las investigaciones que se están realizando</w:t>
      </w:r>
      <w:r w:rsidR="00022F21" w:rsidRPr="00695B2C">
        <w:t xml:space="preserve"> y se precisó que el titular de la propiedad era el imputado por el delito de feminici</w:t>
      </w:r>
      <w:r w:rsidR="000A1DFF" w:rsidRPr="00695B2C">
        <w:t>di</w:t>
      </w:r>
      <w:r w:rsidR="00022F21" w:rsidRPr="00695B2C">
        <w:t>o en agravio de por lo menos seis mujeres.</w:t>
      </w:r>
    </w:p>
    <w:p w14:paraId="1D0C43F4" w14:textId="77777777" w:rsidR="008B2482" w:rsidRPr="00695B2C" w:rsidRDefault="008B2482" w:rsidP="006461DA">
      <w:pPr>
        <w:spacing w:after="0" w:line="360" w:lineRule="auto"/>
      </w:pPr>
    </w:p>
    <w:p w14:paraId="74BD5C6A" w14:textId="57BDC964" w:rsidR="00936074" w:rsidRPr="00695B2C" w:rsidRDefault="00F47F04" w:rsidP="006461DA">
      <w:pPr>
        <w:spacing w:after="0" w:line="360" w:lineRule="auto"/>
      </w:pPr>
      <w:r w:rsidRPr="00695B2C">
        <w:t xml:space="preserve">Corresponde entonces, </w:t>
      </w:r>
      <w:r w:rsidR="00714640">
        <w:t>advertir</w:t>
      </w:r>
      <w:r w:rsidRPr="00695B2C">
        <w:t xml:space="preserve"> la extinción de dominio como una figura que se encuentra regulada por la Ley Nacional de Extinción de Dominio, definida por su artículo 3°, como la</w:t>
      </w:r>
      <w:r w:rsidR="00936074" w:rsidRPr="00695B2C">
        <w:t xml:space="preserve"> pérdida de los derechos que tenga una persona en relación con los </w:t>
      </w:r>
      <w:r w:rsidRPr="00695B2C">
        <w:t>b</w:t>
      </w:r>
      <w:r w:rsidR="00936074" w:rsidRPr="00695B2C">
        <w:t xml:space="preserve">ienes a que se refiere la </w:t>
      </w:r>
      <w:r w:rsidRPr="00695B2C">
        <w:t>referida ley</w:t>
      </w:r>
      <w:r w:rsidR="00936074" w:rsidRPr="00695B2C">
        <w:t xml:space="preserve">, declarada por sentencia de la autoridad judicial, sin contraprestación, ni compensación alguna para su propietario o para quien se ostente o comporte como tal, ni para quien, por cualquier circunstancia, posea o detente los citados </w:t>
      </w:r>
      <w:r w:rsidRPr="00695B2C">
        <w:t>b</w:t>
      </w:r>
      <w:r w:rsidR="00936074" w:rsidRPr="00695B2C">
        <w:t>ienes.</w:t>
      </w:r>
    </w:p>
    <w:p w14:paraId="409C17FD" w14:textId="3F5112D6" w:rsidR="00D454DE" w:rsidRPr="00695B2C" w:rsidRDefault="00D454DE" w:rsidP="006461DA">
      <w:pPr>
        <w:spacing w:after="0" w:line="360" w:lineRule="auto"/>
      </w:pPr>
    </w:p>
    <w:p w14:paraId="01B35615" w14:textId="77777777" w:rsidR="00E914EB" w:rsidRPr="00695B2C" w:rsidRDefault="00D454DE"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Artículo 7. La acción de extinción de dominio procederá sobre aquellos Bienes de carácter patrimonial cuya Legítima Procedencia no pueda acreditarse, en particular, Bienes que sean instrumento, objeto o producto de los hechos ilícitos, sin perjuicio del lugar de su realización, tales como: </w:t>
      </w:r>
    </w:p>
    <w:p w14:paraId="2EFC4801" w14:textId="4FE4248F" w:rsidR="00E914EB" w:rsidRPr="00695B2C" w:rsidRDefault="00D454DE"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lastRenderedPageBreak/>
        <w:t xml:space="preserve">I. Bienes que provengan de la transformación o conversión, parcial o total, física o jurídica del producto, instrumentos u objeto material de hechos ilícitos a que se refiere el párrafo cuarto del artículo 22 de la Constitución; </w:t>
      </w:r>
    </w:p>
    <w:p w14:paraId="1993A315" w14:textId="77777777" w:rsidR="00E914EB" w:rsidRPr="00695B2C" w:rsidRDefault="00E914EB" w:rsidP="006461DA">
      <w:pPr>
        <w:spacing w:after="0" w:line="360" w:lineRule="auto"/>
        <w:ind w:left="567" w:right="616"/>
        <w:rPr>
          <w:rFonts w:cs="Tahoma"/>
          <w:bCs/>
          <w:i/>
          <w:color w:val="000000"/>
          <w:sz w:val="20"/>
          <w:szCs w:val="20"/>
          <w:lang w:val="es-ES"/>
        </w:rPr>
      </w:pPr>
    </w:p>
    <w:p w14:paraId="1DF253E3" w14:textId="10EAC4FC" w:rsidR="00E914EB" w:rsidRPr="00695B2C" w:rsidRDefault="00D454DE"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II. Bienes </w:t>
      </w:r>
      <w:r w:rsidRPr="00695B2C">
        <w:rPr>
          <w:rFonts w:cs="Tahoma"/>
          <w:bCs/>
          <w:i/>
          <w:color w:val="000000"/>
          <w:sz w:val="20"/>
          <w:szCs w:val="20"/>
          <w:u w:val="single"/>
          <w:lang w:val="es-ES"/>
        </w:rPr>
        <w:t>[de procedencia lícita]</w:t>
      </w:r>
      <w:r w:rsidRPr="00695B2C">
        <w:rPr>
          <w:rFonts w:cs="Tahoma"/>
          <w:bCs/>
          <w:i/>
          <w:color w:val="000000"/>
          <w:sz w:val="20"/>
          <w:szCs w:val="20"/>
          <w:lang w:val="es-ES"/>
        </w:rPr>
        <w:t xml:space="preserve"> utilizados para ocultar otros Bienes de origen ilícito, o mezclados material o jurídicamente con Bienes de ilícita procedencia;</w:t>
      </w:r>
    </w:p>
    <w:p w14:paraId="12AECE48" w14:textId="7488ED53" w:rsidR="00E914EB" w:rsidRPr="00695B2C" w:rsidRDefault="00D454DE" w:rsidP="006461DA">
      <w:pPr>
        <w:spacing w:after="0" w:line="360" w:lineRule="auto"/>
        <w:ind w:left="567" w:right="616"/>
        <w:rPr>
          <w:rFonts w:cs="Tahoma"/>
          <w:bCs/>
          <w:i/>
          <w:color w:val="000000"/>
          <w:sz w:val="18"/>
          <w:szCs w:val="18"/>
          <w:u w:val="single"/>
          <w:lang w:val="es-ES"/>
        </w:rPr>
      </w:pPr>
      <w:r w:rsidRPr="00695B2C">
        <w:rPr>
          <w:rFonts w:cs="Tahoma"/>
          <w:bCs/>
          <w:i/>
          <w:color w:val="000000"/>
          <w:sz w:val="18"/>
          <w:szCs w:val="18"/>
          <w:u w:val="single"/>
          <w:lang w:val="es-ES"/>
        </w:rPr>
        <w:t xml:space="preserve">Fracción declarada inválida por sentencia de la SCJN a Acción de Inconstitucionalidad notificada para efectos legales 22-06-2021 y publicada DOF 06-01-2022 (En la porción normativa “de procedencia lícita”) </w:t>
      </w:r>
    </w:p>
    <w:p w14:paraId="2181F041" w14:textId="77777777" w:rsidR="00E914EB" w:rsidRPr="00695B2C" w:rsidRDefault="00E914EB" w:rsidP="006461DA">
      <w:pPr>
        <w:spacing w:after="0" w:line="360" w:lineRule="auto"/>
        <w:ind w:left="567" w:right="616"/>
        <w:rPr>
          <w:rFonts w:cs="Tahoma"/>
          <w:bCs/>
          <w:i/>
          <w:color w:val="000000"/>
          <w:sz w:val="20"/>
          <w:szCs w:val="20"/>
          <w:lang w:val="es-ES"/>
        </w:rPr>
      </w:pPr>
    </w:p>
    <w:p w14:paraId="5CADA735" w14:textId="44057C64" w:rsidR="00E914EB" w:rsidRPr="00695B2C" w:rsidRDefault="00D454DE"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III. Bienes respecto de los cuales el titular del bien no acredite la procedencia lícita de éstos; </w:t>
      </w:r>
    </w:p>
    <w:p w14:paraId="0450421B" w14:textId="77777777" w:rsidR="00E914EB" w:rsidRPr="00695B2C" w:rsidRDefault="00D454DE" w:rsidP="006461DA">
      <w:pPr>
        <w:spacing w:after="0" w:line="360" w:lineRule="auto"/>
        <w:ind w:left="567" w:right="616"/>
        <w:rPr>
          <w:rFonts w:cs="Tahoma"/>
          <w:bCs/>
          <w:i/>
          <w:color w:val="000000"/>
          <w:sz w:val="20"/>
          <w:szCs w:val="20"/>
          <w:lang w:val="es-ES"/>
        </w:rPr>
      </w:pPr>
      <w:r w:rsidRPr="00695B2C">
        <w:rPr>
          <w:rFonts w:cs="Tahoma"/>
          <w:bCs/>
          <w:i/>
          <w:color w:val="000000"/>
          <w:sz w:val="20"/>
          <w:szCs w:val="20"/>
          <w:u w:val="single"/>
          <w:lang w:val="es-ES"/>
        </w:rPr>
        <w:t>IV. [Bienes de origen lícito cuyo valor sea equivalente a cualquiera de los Bienes descritos en las fracciones anteriores, cuando no sea posible su localización, identificación, incautación, aseguramiento o aprehensión material;]</w:t>
      </w:r>
      <w:r w:rsidRPr="00695B2C">
        <w:rPr>
          <w:rFonts w:cs="Tahoma"/>
          <w:bCs/>
          <w:i/>
          <w:color w:val="000000"/>
          <w:sz w:val="20"/>
          <w:szCs w:val="20"/>
          <w:lang w:val="es-ES"/>
        </w:rPr>
        <w:t xml:space="preserve"> </w:t>
      </w:r>
    </w:p>
    <w:p w14:paraId="338DA1F2" w14:textId="77777777" w:rsidR="00E914EB" w:rsidRPr="00695B2C" w:rsidRDefault="00D454DE" w:rsidP="006461DA">
      <w:pPr>
        <w:spacing w:after="0" w:line="360" w:lineRule="auto"/>
        <w:ind w:left="567" w:right="616"/>
        <w:rPr>
          <w:rFonts w:cs="Tahoma"/>
          <w:bCs/>
          <w:i/>
          <w:color w:val="000000"/>
          <w:sz w:val="18"/>
          <w:szCs w:val="18"/>
          <w:u w:val="single"/>
          <w:lang w:val="es-ES"/>
        </w:rPr>
      </w:pPr>
      <w:r w:rsidRPr="00695B2C">
        <w:rPr>
          <w:rFonts w:cs="Tahoma"/>
          <w:bCs/>
          <w:i/>
          <w:color w:val="000000"/>
          <w:sz w:val="18"/>
          <w:szCs w:val="18"/>
          <w:u w:val="single"/>
          <w:lang w:val="es-ES"/>
        </w:rPr>
        <w:t xml:space="preserve">Fracción declarada inválida por sentencia de la SCJN a Acción de Inconstitucionalidad notificada para efectos legales 22-06-2021 y publicada DOF 06-01-2022 </w:t>
      </w:r>
    </w:p>
    <w:p w14:paraId="6C043674" w14:textId="77777777" w:rsidR="00E914EB" w:rsidRPr="00695B2C" w:rsidRDefault="00E914EB" w:rsidP="006461DA">
      <w:pPr>
        <w:spacing w:after="0" w:line="360" w:lineRule="auto"/>
        <w:ind w:left="567" w:right="616"/>
        <w:rPr>
          <w:rFonts w:cs="Tahoma"/>
          <w:bCs/>
          <w:i/>
          <w:color w:val="000000"/>
          <w:sz w:val="18"/>
          <w:szCs w:val="18"/>
          <w:u w:val="single"/>
          <w:lang w:val="es-ES"/>
        </w:rPr>
      </w:pPr>
    </w:p>
    <w:p w14:paraId="443DD9D2" w14:textId="77777777" w:rsidR="00E914EB" w:rsidRPr="00695B2C" w:rsidRDefault="00D454DE"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V. Bienes utilizados para la comisión de hechos ilícitos por un tercero, </w:t>
      </w:r>
      <w:r w:rsidRPr="00695B2C">
        <w:rPr>
          <w:rFonts w:cs="Tahoma"/>
          <w:bCs/>
          <w:i/>
          <w:color w:val="000000"/>
          <w:sz w:val="20"/>
          <w:szCs w:val="20"/>
          <w:u w:val="single"/>
          <w:lang w:val="es-ES"/>
        </w:rPr>
        <w:t>[si su dueño tuvo conocimiento de ello y no lo notificó a la autoridad por cualquier medio o tampoco hizo algo para impedirlo,]</w:t>
      </w:r>
      <w:r w:rsidRPr="00695B2C">
        <w:rPr>
          <w:rFonts w:cs="Tahoma"/>
          <w:bCs/>
          <w:i/>
          <w:color w:val="000000"/>
          <w:sz w:val="20"/>
          <w:szCs w:val="20"/>
          <w:lang w:val="es-ES"/>
        </w:rPr>
        <w:t xml:space="preserve"> y </w:t>
      </w:r>
    </w:p>
    <w:p w14:paraId="244C71FD" w14:textId="50B17E0F" w:rsidR="00D454DE" w:rsidRPr="00695B2C" w:rsidRDefault="00D454DE" w:rsidP="006461DA">
      <w:pPr>
        <w:spacing w:after="0" w:line="360" w:lineRule="auto"/>
        <w:ind w:left="567" w:right="616"/>
        <w:rPr>
          <w:rFonts w:cs="Tahoma"/>
          <w:bCs/>
          <w:i/>
          <w:color w:val="000000"/>
          <w:sz w:val="18"/>
          <w:szCs w:val="18"/>
          <w:u w:val="single"/>
          <w:lang w:val="es-ES"/>
        </w:rPr>
      </w:pPr>
      <w:r w:rsidRPr="00695B2C">
        <w:rPr>
          <w:rFonts w:cs="Tahoma"/>
          <w:bCs/>
          <w:i/>
          <w:color w:val="000000"/>
          <w:sz w:val="18"/>
          <w:szCs w:val="18"/>
          <w:u w:val="single"/>
          <w:lang w:val="es-ES"/>
        </w:rPr>
        <w:t>Fracción declarada inválida por sentencia de la SCJN a Acción de Inconstitucionalidad notificada para efectos legales 22-06-2021 y publicada DOF 06-01-2022 (En la porción normativa “si su dueño tuvo conocimiento de ello y no lo notificó a la autoridad por cualquier medio o tampoco hizo algo para impedirlo”)</w:t>
      </w:r>
    </w:p>
    <w:p w14:paraId="0EC6DC90" w14:textId="7E082CD1" w:rsidR="00D454DE" w:rsidRPr="00695B2C" w:rsidRDefault="00D454DE" w:rsidP="006461DA">
      <w:pPr>
        <w:spacing w:after="0" w:line="360" w:lineRule="auto"/>
        <w:ind w:left="567" w:right="616"/>
        <w:rPr>
          <w:rFonts w:cs="Tahoma"/>
          <w:bCs/>
          <w:i/>
          <w:color w:val="000000"/>
          <w:sz w:val="20"/>
          <w:szCs w:val="20"/>
          <w:lang w:val="es-ES"/>
        </w:rPr>
      </w:pPr>
    </w:p>
    <w:p w14:paraId="2F24C029" w14:textId="77777777" w:rsidR="00584090" w:rsidRPr="00695B2C" w:rsidRDefault="00D454DE"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VI. Bienes que constituyan ingresos, rentas, productos, rendimientos, frutos, accesorios, ganancias y otros beneficios derivados de los Bienes a que se refieren las fracciones anteriores. </w:t>
      </w:r>
    </w:p>
    <w:p w14:paraId="266CBA58" w14:textId="77777777" w:rsidR="00584090" w:rsidRPr="00695B2C" w:rsidRDefault="00584090" w:rsidP="006461DA">
      <w:pPr>
        <w:spacing w:after="0" w:line="360" w:lineRule="auto"/>
        <w:ind w:left="567" w:right="616"/>
        <w:rPr>
          <w:rFonts w:cs="Tahoma"/>
          <w:bCs/>
          <w:i/>
          <w:color w:val="000000"/>
          <w:sz w:val="20"/>
          <w:szCs w:val="20"/>
          <w:lang w:val="es-ES"/>
        </w:rPr>
      </w:pPr>
    </w:p>
    <w:p w14:paraId="2A34217D" w14:textId="2FECB1C6" w:rsidR="00584090" w:rsidRPr="00695B2C" w:rsidRDefault="00D454DE"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Los derechos de posesión sobre Bienes que correspondan al régimen de propiedad ejidal o comunal, podrán ser objeto de extinción de dominio. </w:t>
      </w:r>
    </w:p>
    <w:p w14:paraId="63999730" w14:textId="77777777" w:rsidR="00584090" w:rsidRPr="00695B2C" w:rsidRDefault="00584090" w:rsidP="006461DA">
      <w:pPr>
        <w:spacing w:after="0" w:line="360" w:lineRule="auto"/>
        <w:ind w:left="567" w:right="616"/>
        <w:rPr>
          <w:rFonts w:cs="Tahoma"/>
          <w:bCs/>
          <w:i/>
          <w:color w:val="000000"/>
          <w:sz w:val="20"/>
          <w:szCs w:val="20"/>
          <w:lang w:val="es-ES"/>
        </w:rPr>
      </w:pPr>
    </w:p>
    <w:p w14:paraId="0531A233" w14:textId="77777777" w:rsidR="00584090" w:rsidRPr="00695B2C" w:rsidRDefault="00D454DE" w:rsidP="006461DA">
      <w:pPr>
        <w:spacing w:after="0" w:line="360" w:lineRule="auto"/>
        <w:ind w:left="567" w:right="616"/>
        <w:rPr>
          <w:rFonts w:cs="Tahoma"/>
          <w:bCs/>
          <w:i/>
          <w:color w:val="000000"/>
          <w:sz w:val="20"/>
          <w:szCs w:val="20"/>
          <w:lang w:val="es-ES"/>
        </w:rPr>
      </w:pPr>
      <w:r w:rsidRPr="00695B2C">
        <w:rPr>
          <w:rFonts w:cs="Tahoma"/>
          <w:b/>
          <w:i/>
          <w:color w:val="000000"/>
          <w:sz w:val="20"/>
          <w:szCs w:val="20"/>
          <w:lang w:val="es-ES"/>
        </w:rPr>
        <w:lastRenderedPageBreak/>
        <w:t>Artículo 8. La acción de extinción de dominio se ejercitará a través de un proceso jurisdiccional de naturaleza civil, de carácter patrimonial</w:t>
      </w:r>
      <w:r w:rsidRPr="00695B2C">
        <w:rPr>
          <w:rFonts w:cs="Tahoma"/>
          <w:bCs/>
          <w:i/>
          <w:color w:val="000000"/>
          <w:sz w:val="20"/>
          <w:szCs w:val="20"/>
          <w:lang w:val="es-ES"/>
        </w:rPr>
        <w:t xml:space="preserve"> y con prevalencia a la oralidad, mediante una vía especial y procederá sobre los Bienes descritos en el artículo anterior, independientemente de quien lo tenga en su poder o lo haya adquirido. </w:t>
      </w:r>
    </w:p>
    <w:p w14:paraId="0A47623E" w14:textId="77777777" w:rsidR="00584090" w:rsidRPr="00695B2C" w:rsidRDefault="00584090" w:rsidP="006461DA">
      <w:pPr>
        <w:spacing w:after="0" w:line="360" w:lineRule="auto"/>
        <w:ind w:left="567" w:right="616"/>
        <w:rPr>
          <w:rFonts w:cs="Tahoma"/>
          <w:bCs/>
          <w:i/>
          <w:color w:val="000000"/>
          <w:sz w:val="20"/>
          <w:szCs w:val="20"/>
          <w:lang w:val="es-ES"/>
        </w:rPr>
      </w:pPr>
    </w:p>
    <w:p w14:paraId="6B3534FE" w14:textId="77777777" w:rsidR="00584090" w:rsidRPr="00695B2C" w:rsidRDefault="00D454DE" w:rsidP="006461DA">
      <w:pPr>
        <w:spacing w:after="0" w:line="360" w:lineRule="auto"/>
        <w:ind w:left="567" w:right="616"/>
        <w:rPr>
          <w:rFonts w:cs="Tahoma"/>
          <w:bCs/>
          <w:i/>
          <w:color w:val="000000"/>
          <w:sz w:val="20"/>
          <w:szCs w:val="20"/>
          <w:lang w:val="es-ES"/>
        </w:rPr>
      </w:pPr>
      <w:r w:rsidRPr="00695B2C">
        <w:rPr>
          <w:rFonts w:cs="Tahoma"/>
          <w:b/>
          <w:i/>
          <w:color w:val="000000"/>
          <w:sz w:val="20"/>
          <w:szCs w:val="20"/>
          <w:lang w:val="es-ES"/>
        </w:rPr>
        <w:t>El ejercicio de la acción de extinción de dominio corresponde al Ministerio Público.</w:t>
      </w:r>
      <w:r w:rsidRPr="00695B2C">
        <w:rPr>
          <w:rFonts w:cs="Tahoma"/>
          <w:bCs/>
          <w:i/>
          <w:color w:val="000000"/>
          <w:sz w:val="20"/>
          <w:szCs w:val="20"/>
          <w:lang w:val="es-ES"/>
        </w:rPr>
        <w:t xml:space="preserve"> El proceso de extinción de dominio </w:t>
      </w:r>
      <w:r w:rsidRPr="00695B2C">
        <w:rPr>
          <w:rFonts w:cs="Tahoma"/>
          <w:b/>
          <w:i/>
          <w:color w:val="000000"/>
          <w:sz w:val="20"/>
          <w:szCs w:val="20"/>
          <w:lang w:val="es-ES"/>
        </w:rPr>
        <w:t>será autónomo, distinto e independiente de aquel o aquellos de materia penal de los cuales se haya obtenido la información relativa a los hechos que sustentan</w:t>
      </w:r>
      <w:r w:rsidRPr="00695B2C">
        <w:rPr>
          <w:rFonts w:cs="Tahoma"/>
          <w:bCs/>
          <w:i/>
          <w:color w:val="000000"/>
          <w:sz w:val="20"/>
          <w:szCs w:val="20"/>
          <w:lang w:val="es-ES"/>
        </w:rPr>
        <w:t xml:space="preserve"> la acción o de cualquier otro que se haya iniciado con anterioridad o simultáneamente. </w:t>
      </w:r>
    </w:p>
    <w:p w14:paraId="0B7A00B6" w14:textId="77777777" w:rsidR="00F51897" w:rsidRDefault="00F51897" w:rsidP="006461DA">
      <w:pPr>
        <w:spacing w:after="0" w:line="360" w:lineRule="auto"/>
        <w:rPr>
          <w:rFonts w:cs="Tahoma"/>
        </w:rPr>
      </w:pPr>
    </w:p>
    <w:p w14:paraId="5769D495" w14:textId="335E9135" w:rsidR="00C51699" w:rsidRPr="00695B2C" w:rsidRDefault="00F51897" w:rsidP="006461DA">
      <w:pPr>
        <w:spacing w:after="0" w:line="360" w:lineRule="auto"/>
        <w:rPr>
          <w:rFonts w:cs="Tahoma"/>
        </w:rPr>
      </w:pPr>
      <w:r>
        <w:rPr>
          <w:rFonts w:cs="Tahoma"/>
        </w:rPr>
        <w:t>C</w:t>
      </w:r>
      <w:r w:rsidR="00B0549F" w:rsidRPr="00695B2C">
        <w:rPr>
          <w:rFonts w:cs="Tahoma"/>
        </w:rPr>
        <w:t xml:space="preserve">onforme a lo expresado por el Sujeto Obligado, la posibilidad de ejercer la acción de extinción de dominio sobre los bienes inmuebles señalados por la propia </w:t>
      </w:r>
      <w:r w:rsidR="00C51699" w:rsidRPr="00695B2C">
        <w:rPr>
          <w:rFonts w:cs="Tahoma"/>
        </w:rPr>
        <w:t>F</w:t>
      </w:r>
      <w:r w:rsidR="00B0549F" w:rsidRPr="00695B2C">
        <w:rPr>
          <w:rFonts w:cs="Tahoma"/>
        </w:rPr>
        <w:t xml:space="preserve">iscalía, </w:t>
      </w:r>
      <w:r w:rsidR="008B2482" w:rsidRPr="00695B2C">
        <w:rPr>
          <w:rFonts w:cs="Tahoma"/>
        </w:rPr>
        <w:t xml:space="preserve">ahora bien, su procedencia, </w:t>
      </w:r>
      <w:r w:rsidR="00B0549F" w:rsidRPr="00695B2C">
        <w:rPr>
          <w:rFonts w:cs="Tahoma"/>
        </w:rPr>
        <w:t>ya</w:t>
      </w:r>
      <w:r w:rsidR="008B2482" w:rsidRPr="00695B2C">
        <w:rPr>
          <w:rFonts w:cs="Tahoma"/>
        </w:rPr>
        <w:t xml:space="preserve"> sale de las facultades del Organismo Autónomo </w:t>
      </w:r>
      <w:r w:rsidR="00902E64" w:rsidRPr="00695B2C">
        <w:rPr>
          <w:rFonts w:cs="Tahoma"/>
        </w:rPr>
        <w:t>y es</w:t>
      </w:r>
      <w:r w:rsidR="008B2482" w:rsidRPr="00695B2C">
        <w:rPr>
          <w:rFonts w:cs="Tahoma"/>
        </w:rPr>
        <w:t xml:space="preserve"> </w:t>
      </w:r>
      <w:r w:rsidR="00B0549F" w:rsidRPr="00695B2C">
        <w:rPr>
          <w:rFonts w:cs="Tahoma"/>
        </w:rPr>
        <w:t xml:space="preserve">parte de un ejercicio deliberativo de la autoridad judicial, </w:t>
      </w:r>
      <w:r w:rsidR="008B2482" w:rsidRPr="00695B2C">
        <w:rPr>
          <w:rFonts w:cs="Tahoma"/>
        </w:rPr>
        <w:t>quien es la autoridad encargada de determinar o no su procedencia.</w:t>
      </w:r>
      <w:r w:rsidR="000A1DFF" w:rsidRPr="00695B2C">
        <w:rPr>
          <w:rFonts w:cs="Tahoma"/>
        </w:rPr>
        <w:t xml:space="preserve"> No se omite señalar que, para el caso que nos ocupa, destacan diversos elementos que a continuación se explican:</w:t>
      </w:r>
    </w:p>
    <w:p w14:paraId="71D71F0E" w14:textId="1F0260A9" w:rsidR="000A1DFF" w:rsidRPr="00695B2C" w:rsidRDefault="000A1DFF" w:rsidP="006461DA">
      <w:pPr>
        <w:spacing w:after="0" w:line="360" w:lineRule="auto"/>
        <w:rPr>
          <w:rFonts w:cs="Tahoma"/>
        </w:rPr>
      </w:pPr>
    </w:p>
    <w:p w14:paraId="3942F0D6" w14:textId="26061C97" w:rsidR="000A1DFF" w:rsidRPr="00695B2C" w:rsidRDefault="000A1DFF" w:rsidP="006461DA">
      <w:pPr>
        <w:pStyle w:val="Prrafodelista"/>
        <w:numPr>
          <w:ilvl w:val="0"/>
          <w:numId w:val="15"/>
        </w:numPr>
        <w:spacing w:line="360" w:lineRule="auto"/>
        <w:jc w:val="both"/>
        <w:rPr>
          <w:rFonts w:ascii="Palatino Linotype" w:hAnsi="Palatino Linotype" w:cs="Tahoma"/>
        </w:rPr>
      </w:pPr>
      <w:r w:rsidRPr="00695B2C">
        <w:rPr>
          <w:rFonts w:ascii="Palatino Linotype" w:hAnsi="Palatino Linotype" w:cs="Tahoma"/>
        </w:rPr>
        <w:t>Primero, todos los datos relacionados con el inmueble, su propietario, los motivos por los cuales se hubiere solicitado la extinción de dominio son públicos.</w:t>
      </w:r>
    </w:p>
    <w:p w14:paraId="5383880C" w14:textId="16ED856F" w:rsidR="000A1DFF" w:rsidRPr="00695B2C" w:rsidRDefault="000A1DFF" w:rsidP="006461DA">
      <w:pPr>
        <w:spacing w:after="0" w:line="360" w:lineRule="auto"/>
        <w:rPr>
          <w:rFonts w:cs="Tahoma"/>
        </w:rPr>
      </w:pPr>
    </w:p>
    <w:p w14:paraId="673D604D" w14:textId="0452903C" w:rsidR="000A1DFF" w:rsidRPr="00695B2C" w:rsidRDefault="000A1DFF" w:rsidP="006461DA">
      <w:pPr>
        <w:pStyle w:val="Prrafodelista"/>
        <w:numPr>
          <w:ilvl w:val="0"/>
          <w:numId w:val="15"/>
        </w:numPr>
        <w:spacing w:line="360" w:lineRule="auto"/>
        <w:jc w:val="both"/>
        <w:rPr>
          <w:rFonts w:ascii="Palatino Linotype" w:hAnsi="Palatino Linotype" w:cs="Tahoma"/>
        </w:rPr>
      </w:pPr>
      <w:r w:rsidRPr="00695B2C">
        <w:rPr>
          <w:rFonts w:ascii="Palatino Linotype" w:hAnsi="Palatino Linotype" w:cs="Tahoma"/>
        </w:rPr>
        <w:t>Segundo, el proceso es de carácter civil, lo ejerce el ministerio público y es independiente del proceso penal, por lo que la Fiscalía no indicó si se realizó o no se realizó y tampoco se clasificó.</w:t>
      </w:r>
    </w:p>
    <w:p w14:paraId="6E73F009" w14:textId="2A063AC0" w:rsidR="000A1DFF" w:rsidRPr="00695B2C" w:rsidRDefault="000A1DFF" w:rsidP="006461DA">
      <w:pPr>
        <w:spacing w:after="0" w:line="360" w:lineRule="auto"/>
        <w:rPr>
          <w:rFonts w:cs="Tahoma"/>
        </w:rPr>
      </w:pPr>
    </w:p>
    <w:p w14:paraId="4C089078" w14:textId="58CF56A0" w:rsidR="000A1DFF" w:rsidRPr="00695B2C" w:rsidRDefault="000A1DFF" w:rsidP="006461DA">
      <w:pPr>
        <w:pStyle w:val="Prrafodelista"/>
        <w:numPr>
          <w:ilvl w:val="0"/>
          <w:numId w:val="15"/>
        </w:numPr>
        <w:spacing w:line="360" w:lineRule="auto"/>
        <w:jc w:val="both"/>
        <w:rPr>
          <w:rFonts w:ascii="Palatino Linotype" w:hAnsi="Palatino Linotype" w:cs="Tahoma"/>
        </w:rPr>
      </w:pPr>
      <w:r w:rsidRPr="00695B2C">
        <w:rPr>
          <w:rFonts w:ascii="Palatino Linotype" w:hAnsi="Palatino Linotype" w:cs="Tahoma"/>
        </w:rPr>
        <w:t>Tercero, al ser un juicio civil, la información contenida en el mismo no puede afectar las investigaciones que en su caso hubiere realizado la Fiscalía.</w:t>
      </w:r>
    </w:p>
    <w:p w14:paraId="253B20BA" w14:textId="0B522475" w:rsidR="000A1DFF" w:rsidRPr="00695B2C" w:rsidRDefault="000A1DFF" w:rsidP="006461DA">
      <w:pPr>
        <w:pStyle w:val="Prrafodelista"/>
        <w:spacing w:line="360" w:lineRule="auto"/>
        <w:jc w:val="both"/>
        <w:rPr>
          <w:rFonts w:ascii="Palatino Linotype" w:hAnsi="Palatino Linotype" w:cs="Tahoma"/>
        </w:rPr>
      </w:pPr>
    </w:p>
    <w:p w14:paraId="694D61A9" w14:textId="29123E20" w:rsidR="000A1DFF" w:rsidRPr="00695B2C" w:rsidRDefault="000A1DFF" w:rsidP="006461DA">
      <w:pPr>
        <w:pStyle w:val="Prrafodelista"/>
        <w:numPr>
          <w:ilvl w:val="0"/>
          <w:numId w:val="15"/>
        </w:numPr>
        <w:spacing w:line="360" w:lineRule="auto"/>
        <w:jc w:val="both"/>
        <w:rPr>
          <w:rFonts w:ascii="Palatino Linotype" w:hAnsi="Palatino Linotype" w:cs="Tahoma"/>
        </w:rPr>
      </w:pPr>
      <w:r w:rsidRPr="00695B2C">
        <w:rPr>
          <w:rFonts w:ascii="Palatino Linotype" w:hAnsi="Palatino Linotype" w:cs="Tahoma"/>
        </w:rPr>
        <w:lastRenderedPageBreak/>
        <w:t xml:space="preserve">Cuarto, a la fecha de emisión de la presente resolución el imputado ha sido sentenciado por el delito de feminicidio; sin </w:t>
      </w:r>
      <w:r w:rsidR="00C73970" w:rsidRPr="00695B2C">
        <w:rPr>
          <w:rFonts w:ascii="Palatino Linotype" w:hAnsi="Palatino Linotype" w:cs="Tahoma"/>
        </w:rPr>
        <w:t>embargo,</w:t>
      </w:r>
      <w:r w:rsidRPr="00695B2C">
        <w:rPr>
          <w:rFonts w:ascii="Palatino Linotype" w:hAnsi="Palatino Linotype" w:cs="Tahoma"/>
        </w:rPr>
        <w:t xml:space="preserve"> a la fecha de presentación de la solicitud, el mismo y se había declarado culpable.</w:t>
      </w:r>
    </w:p>
    <w:p w14:paraId="4C97B317" w14:textId="77777777" w:rsidR="004143DE" w:rsidRPr="00695B2C" w:rsidRDefault="004143DE" w:rsidP="006461DA">
      <w:pPr>
        <w:pStyle w:val="Prrafodelista"/>
        <w:spacing w:line="360" w:lineRule="auto"/>
        <w:rPr>
          <w:rFonts w:ascii="Palatino Linotype" w:hAnsi="Palatino Linotype" w:cs="Tahoma"/>
        </w:rPr>
      </w:pPr>
    </w:p>
    <w:p w14:paraId="30A1DC93" w14:textId="59E9051A" w:rsidR="004143DE" w:rsidRPr="00695B2C" w:rsidRDefault="004143DE" w:rsidP="006461DA">
      <w:pPr>
        <w:pStyle w:val="Prrafodelista"/>
        <w:numPr>
          <w:ilvl w:val="0"/>
          <w:numId w:val="15"/>
        </w:numPr>
        <w:spacing w:line="360" w:lineRule="auto"/>
        <w:jc w:val="both"/>
        <w:rPr>
          <w:rFonts w:ascii="Palatino Linotype" w:hAnsi="Palatino Linotype" w:cs="Tahoma"/>
        </w:rPr>
      </w:pPr>
      <w:r w:rsidRPr="00695B2C">
        <w:rPr>
          <w:rFonts w:ascii="Palatino Linotype" w:hAnsi="Palatino Linotype" w:cs="Tahoma"/>
        </w:rPr>
        <w:t>Al ser un juicio del orden civil, la Fiscalía no cuenta con el expediente del proceso judicial, únicamente con los documentos que haya generado y en su caso los que le hayan notificado, documentos que son conocidos por las partes en juicio, por lo que tampoco se advierte que la información pueda poner en riesgo el proceso judicial.</w:t>
      </w:r>
    </w:p>
    <w:p w14:paraId="1E5FB2FC" w14:textId="77777777" w:rsidR="00C51699" w:rsidRPr="00695B2C" w:rsidRDefault="00C51699" w:rsidP="006461DA">
      <w:pPr>
        <w:spacing w:after="0" w:line="360" w:lineRule="auto"/>
        <w:rPr>
          <w:rFonts w:cs="Tahoma"/>
        </w:rPr>
      </w:pPr>
    </w:p>
    <w:p w14:paraId="17D6CFE7" w14:textId="741D4A3E" w:rsidR="007F440D" w:rsidRPr="008665C0" w:rsidRDefault="007F440D" w:rsidP="006461DA">
      <w:pPr>
        <w:spacing w:after="0" w:line="360" w:lineRule="auto"/>
        <w:rPr>
          <w:rFonts w:cs="Tahoma"/>
        </w:rPr>
      </w:pPr>
      <w:r w:rsidRPr="008665C0">
        <w:rPr>
          <w:rFonts w:cs="Tahoma"/>
        </w:rPr>
        <w:t xml:space="preserve">Incluso, la información relativa a las acciones de extinción de dominio, son publicadas por la propia </w:t>
      </w:r>
      <w:proofErr w:type="gramStart"/>
      <w:r w:rsidRPr="008665C0">
        <w:rPr>
          <w:rFonts w:cs="Tahoma"/>
        </w:rPr>
        <w:t>Fiscalía General</w:t>
      </w:r>
      <w:proofErr w:type="gramEnd"/>
      <w:r w:rsidRPr="008665C0">
        <w:rPr>
          <w:rFonts w:cs="Tahoma"/>
        </w:rPr>
        <w:t xml:space="preserve"> de Justicia del Estado de México, en su página electrónica institucional, con liga de acceso directo </w:t>
      </w:r>
      <w:hyperlink r:id="rId85" w:history="1">
        <w:r w:rsidRPr="008665C0">
          <w:rPr>
            <w:rStyle w:val="Hipervnculo"/>
            <w:rFonts w:cs="Tahoma"/>
          </w:rPr>
          <w:t>https://fgjem.edomex.gob.mx/bienes-extension-dominio</w:t>
        </w:r>
      </w:hyperlink>
      <w:r w:rsidRPr="008665C0">
        <w:rPr>
          <w:rFonts w:cs="Tahoma"/>
        </w:rPr>
        <w:t xml:space="preserve">, </w:t>
      </w:r>
    </w:p>
    <w:p w14:paraId="235E749B" w14:textId="79AC20D7" w:rsidR="007F440D" w:rsidRPr="008665C0" w:rsidRDefault="007F440D" w:rsidP="006461DA">
      <w:pPr>
        <w:spacing w:after="0" w:line="360" w:lineRule="auto"/>
        <w:rPr>
          <w:rFonts w:cs="Tahoma"/>
        </w:rPr>
      </w:pPr>
    </w:p>
    <w:p w14:paraId="5B74E3B2" w14:textId="13AAFD18" w:rsidR="007F440D" w:rsidRPr="001E30E9" w:rsidRDefault="007F440D" w:rsidP="006461DA">
      <w:pPr>
        <w:spacing w:after="0" w:line="360" w:lineRule="auto"/>
        <w:rPr>
          <w:rFonts w:cs="Tahoma"/>
          <w:highlight w:val="yellow"/>
        </w:rPr>
      </w:pPr>
      <w:r w:rsidRPr="001E30E9">
        <w:rPr>
          <w:noProof/>
          <w:highlight w:val="yellow"/>
        </w:rPr>
        <w:drawing>
          <wp:inline distT="0" distB="0" distL="0" distR="0" wp14:anchorId="21BC460E" wp14:editId="76E65DFA">
            <wp:extent cx="5791835" cy="3105205"/>
            <wp:effectExtent l="0" t="0" r="0" b="0"/>
            <wp:docPr id="35" name="Imagen 3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 Texto, Aplicación&#10;&#10;Descripción generada automáticamente"/>
                    <pic:cNvPicPr/>
                  </pic:nvPicPr>
                  <pic:blipFill rotWithShape="1">
                    <a:blip r:embed="rId86"/>
                    <a:srcRect t="4640"/>
                    <a:stretch/>
                  </pic:blipFill>
                  <pic:spPr bwMode="auto">
                    <a:xfrm>
                      <a:off x="0" y="0"/>
                      <a:ext cx="5791835" cy="3105205"/>
                    </a:xfrm>
                    <a:prstGeom prst="rect">
                      <a:avLst/>
                    </a:prstGeom>
                    <a:ln>
                      <a:noFill/>
                    </a:ln>
                    <a:extLst>
                      <a:ext uri="{53640926-AAD7-44D8-BBD7-CCE9431645EC}">
                        <a14:shadowObscured xmlns:a14="http://schemas.microsoft.com/office/drawing/2010/main"/>
                      </a:ext>
                    </a:extLst>
                  </pic:spPr>
                </pic:pic>
              </a:graphicData>
            </a:graphic>
          </wp:inline>
        </w:drawing>
      </w:r>
    </w:p>
    <w:p w14:paraId="447F9DD1" w14:textId="5AA2FE32" w:rsidR="007F440D" w:rsidRPr="008665C0" w:rsidRDefault="00AD1133" w:rsidP="006461DA">
      <w:pPr>
        <w:spacing w:after="0" w:line="360" w:lineRule="auto"/>
        <w:jc w:val="center"/>
        <w:rPr>
          <w:rFonts w:cs="Tahoma"/>
        </w:rPr>
      </w:pPr>
      <w:r w:rsidRPr="008665C0">
        <w:rPr>
          <w:rFonts w:cs="Tahoma"/>
        </w:rPr>
        <w:t>(</w:t>
      </w:r>
      <w:r w:rsidR="008665C0">
        <w:rPr>
          <w:rFonts w:cs="Tahoma"/>
        </w:rPr>
        <w:t>I</w:t>
      </w:r>
      <w:r w:rsidRPr="008665C0">
        <w:rPr>
          <w:rFonts w:cs="Tahoma"/>
        </w:rPr>
        <w:t>nformación</w:t>
      </w:r>
      <w:r w:rsidR="007F440D" w:rsidRPr="008665C0">
        <w:rPr>
          <w:rFonts w:cs="Tahoma"/>
        </w:rPr>
        <w:t xml:space="preserve"> recopilada el primero de septiembre del dos mil veintidós)</w:t>
      </w:r>
    </w:p>
    <w:p w14:paraId="23BEEA4E" w14:textId="77777777" w:rsidR="001E30E9" w:rsidRPr="008665C0" w:rsidRDefault="001E30E9" w:rsidP="006461DA">
      <w:pPr>
        <w:spacing w:after="0" w:line="360" w:lineRule="auto"/>
        <w:rPr>
          <w:rFonts w:cs="Tahoma"/>
        </w:rPr>
      </w:pPr>
    </w:p>
    <w:p w14:paraId="643E86A8" w14:textId="77777777" w:rsidR="002360DE" w:rsidRPr="007F0676" w:rsidRDefault="001E30E9" w:rsidP="006461DA">
      <w:pPr>
        <w:spacing w:after="0" w:line="360" w:lineRule="auto"/>
        <w:rPr>
          <w:rFonts w:cs="Tahoma"/>
        </w:rPr>
      </w:pPr>
      <w:r w:rsidRPr="007F0676">
        <w:rPr>
          <w:rFonts w:cs="Tahoma"/>
        </w:rPr>
        <w:lastRenderedPageBreak/>
        <w:t xml:space="preserve">Esta información es publicada, </w:t>
      </w:r>
      <w:r w:rsidR="002360DE" w:rsidRPr="007F0676">
        <w:rPr>
          <w:rFonts w:cs="Tahoma"/>
        </w:rPr>
        <w:t>por lo contemplado en el artículo 86 de la Ley Nacional de Extinción de Dominio, que señala:</w:t>
      </w:r>
    </w:p>
    <w:p w14:paraId="7637F18D" w14:textId="77777777" w:rsidR="002360DE" w:rsidRPr="007F0676" w:rsidRDefault="002360DE" w:rsidP="006461DA">
      <w:pPr>
        <w:spacing w:after="0" w:line="360" w:lineRule="auto"/>
        <w:rPr>
          <w:rFonts w:cs="Tahoma"/>
        </w:rPr>
      </w:pPr>
    </w:p>
    <w:p w14:paraId="57BB8ABB" w14:textId="77777777" w:rsidR="002360DE" w:rsidRPr="007F0676" w:rsidRDefault="002360DE" w:rsidP="006461DA">
      <w:pPr>
        <w:spacing w:after="0" w:line="360" w:lineRule="auto"/>
        <w:ind w:left="567" w:right="616"/>
        <w:rPr>
          <w:rFonts w:cs="Tahoma"/>
          <w:bCs/>
          <w:i/>
          <w:color w:val="000000"/>
          <w:sz w:val="20"/>
          <w:szCs w:val="20"/>
          <w:lang w:val="es-ES"/>
        </w:rPr>
      </w:pPr>
      <w:r w:rsidRPr="007F0676">
        <w:rPr>
          <w:rFonts w:cs="Tahoma"/>
          <w:bCs/>
          <w:i/>
          <w:color w:val="000000"/>
          <w:sz w:val="20"/>
          <w:szCs w:val="20"/>
          <w:lang w:val="es-ES"/>
        </w:rPr>
        <w:t xml:space="preserve">Artículo 86. En todo caso y para emplazar a juicio a cualquier persona que tenga un derecho sobre el o los Bienes patrimoniales objeto de la acción, en razón de los efectos universales del presente juicio, la notificación se realizará a través de la publicación de edictos por tres veces consecutivas en el Diario Oficial de la Federación o Gaceta o Periódico Oficial del Gobierno del Estado respectivo, y por Internet, en la página de la Fiscalía, a fin de hacer accesible el conocimiento de la notificación a que se refiere este artículo por cualquier persona interesada. </w:t>
      </w:r>
    </w:p>
    <w:p w14:paraId="5AA013AC" w14:textId="77777777" w:rsidR="002360DE" w:rsidRPr="007F0676" w:rsidRDefault="002360DE" w:rsidP="006461DA">
      <w:pPr>
        <w:spacing w:after="0" w:line="360" w:lineRule="auto"/>
        <w:ind w:left="567" w:right="616"/>
        <w:rPr>
          <w:rFonts w:cs="Tahoma"/>
          <w:bCs/>
          <w:i/>
          <w:color w:val="000000"/>
          <w:sz w:val="20"/>
          <w:szCs w:val="20"/>
          <w:lang w:val="es-ES"/>
        </w:rPr>
      </w:pPr>
    </w:p>
    <w:p w14:paraId="478CDAD8" w14:textId="50C61853" w:rsidR="007F440D" w:rsidRPr="007F0676" w:rsidRDefault="002360DE" w:rsidP="006461DA">
      <w:pPr>
        <w:spacing w:after="0" w:line="360" w:lineRule="auto"/>
        <w:ind w:left="567" w:right="616"/>
        <w:rPr>
          <w:rFonts w:cs="Tahoma"/>
          <w:bCs/>
          <w:i/>
          <w:color w:val="000000"/>
          <w:sz w:val="20"/>
          <w:szCs w:val="20"/>
          <w:lang w:val="es-ES"/>
        </w:rPr>
      </w:pPr>
      <w:r w:rsidRPr="007F0676">
        <w:rPr>
          <w:rFonts w:cs="Tahoma"/>
          <w:bCs/>
          <w:i/>
          <w:color w:val="000000"/>
          <w:sz w:val="20"/>
          <w:szCs w:val="20"/>
          <w:lang w:val="es-ES"/>
        </w:rPr>
        <w:t>Toda Persona Afectada que considere tener interés jurídico sobre los Bienes materia de la acción de extinción de dominio deberá comparecer dentro de los treinta días hábiles siguientes, contados a partir de cuando haya surtido efectos la publicación del último edicto, a efecto de dar contestación a la demanda, acreditar su interés jurídico y expresar lo que a su derecho convenga.</w:t>
      </w:r>
      <w:r w:rsidR="001E30E9" w:rsidRPr="007F0676">
        <w:rPr>
          <w:rFonts w:cs="Tahoma"/>
          <w:bCs/>
          <w:i/>
          <w:color w:val="000000"/>
          <w:sz w:val="20"/>
          <w:szCs w:val="20"/>
          <w:lang w:val="es-ES"/>
        </w:rPr>
        <w:t xml:space="preserve"> </w:t>
      </w:r>
    </w:p>
    <w:p w14:paraId="33DBA246" w14:textId="77777777" w:rsidR="001E30E9" w:rsidRPr="007F0676" w:rsidRDefault="001E30E9" w:rsidP="006461DA">
      <w:pPr>
        <w:spacing w:after="0" w:line="360" w:lineRule="auto"/>
        <w:rPr>
          <w:rFonts w:cs="Tahoma"/>
        </w:rPr>
      </w:pPr>
    </w:p>
    <w:p w14:paraId="567B844D" w14:textId="7EBE795F" w:rsidR="00902E64" w:rsidRPr="007F0676" w:rsidRDefault="00AD1133" w:rsidP="006461DA">
      <w:pPr>
        <w:spacing w:after="0" w:line="360" w:lineRule="auto"/>
        <w:rPr>
          <w:rFonts w:cs="Tahoma"/>
        </w:rPr>
      </w:pPr>
      <w:r w:rsidRPr="007F0676">
        <w:rPr>
          <w:rFonts w:cs="Tahoma"/>
        </w:rPr>
        <w:t xml:space="preserve">De la revisión de los expedientes </w:t>
      </w:r>
      <w:r w:rsidR="002360DE" w:rsidRPr="007F0676">
        <w:rPr>
          <w:rFonts w:cs="Tahoma"/>
        </w:rPr>
        <w:t xml:space="preserve">de extinción de dominio, </w:t>
      </w:r>
      <w:r w:rsidRPr="007F0676">
        <w:rPr>
          <w:rFonts w:cs="Tahoma"/>
        </w:rPr>
        <w:t>notificados</w:t>
      </w:r>
      <w:r w:rsidR="002360DE" w:rsidRPr="007F0676">
        <w:rPr>
          <w:rFonts w:cs="Tahoma"/>
        </w:rPr>
        <w:t xml:space="preserve"> en la página electrónica de la Fiscalía General de Justicia del Estado de México</w:t>
      </w:r>
      <w:r w:rsidRPr="007F0676">
        <w:rPr>
          <w:rFonts w:cs="Tahoma"/>
        </w:rPr>
        <w:t xml:space="preserve">, no fue identificable el asunto iniciado sobre bienes relativos a la comisión de los delitos de feminicidio </w:t>
      </w:r>
      <w:r w:rsidR="002360DE" w:rsidRPr="007F0676">
        <w:rPr>
          <w:rFonts w:cs="Tahoma"/>
        </w:rPr>
        <w:t xml:space="preserve">que nos ocupa </w:t>
      </w:r>
      <w:r w:rsidRPr="007F0676">
        <w:rPr>
          <w:rFonts w:cs="Tahoma"/>
        </w:rPr>
        <w:t>y</w:t>
      </w:r>
      <w:r w:rsidR="00C51699" w:rsidRPr="007F0676">
        <w:rPr>
          <w:rFonts w:cs="Tahoma"/>
        </w:rPr>
        <w:t xml:space="preserve"> el Sujeto Obligado</w:t>
      </w:r>
      <w:r w:rsidR="00902E64" w:rsidRPr="007F0676">
        <w:rPr>
          <w:rFonts w:cs="Tahoma"/>
        </w:rPr>
        <w:t xml:space="preserve"> </w:t>
      </w:r>
      <w:r w:rsidRPr="007F0676">
        <w:rPr>
          <w:rFonts w:cs="Tahoma"/>
        </w:rPr>
        <w:t>tampoco</w:t>
      </w:r>
      <w:r w:rsidR="00902E64" w:rsidRPr="007F0676">
        <w:rPr>
          <w:rFonts w:cs="Tahoma"/>
        </w:rPr>
        <w:t xml:space="preserve"> se pronunció al respecto por lo que</w:t>
      </w:r>
      <w:r w:rsidR="00C51699" w:rsidRPr="007F0676">
        <w:rPr>
          <w:rFonts w:cs="Tahoma"/>
        </w:rPr>
        <w:t xml:space="preserve">, deberá </w:t>
      </w:r>
      <w:r w:rsidR="00902E64" w:rsidRPr="007F0676">
        <w:rPr>
          <w:rFonts w:cs="Tahoma"/>
        </w:rPr>
        <w:t>emitir</w:t>
      </w:r>
      <w:r w:rsidR="00C51699" w:rsidRPr="007F0676">
        <w:rPr>
          <w:rFonts w:cs="Tahoma"/>
        </w:rPr>
        <w:t xml:space="preserve"> </w:t>
      </w:r>
      <w:r w:rsidR="00902E64" w:rsidRPr="007F0676">
        <w:rPr>
          <w:rFonts w:cs="Tahoma"/>
        </w:rPr>
        <w:t>respuesta</w:t>
      </w:r>
      <w:r w:rsidR="00C51699" w:rsidRPr="007F0676">
        <w:rPr>
          <w:rFonts w:cs="Tahoma"/>
        </w:rPr>
        <w:t xml:space="preserve"> para</w:t>
      </w:r>
      <w:r w:rsidR="00902E64" w:rsidRPr="007F0676">
        <w:rPr>
          <w:rFonts w:cs="Tahoma"/>
        </w:rPr>
        <w:t xml:space="preserve"> que</w:t>
      </w:r>
      <w:r w:rsidR="00C51699" w:rsidRPr="007F0676">
        <w:rPr>
          <w:rFonts w:cs="Tahoma"/>
        </w:rPr>
        <w:t>, en su caso,</w:t>
      </w:r>
      <w:r w:rsidRPr="007F0676">
        <w:rPr>
          <w:rFonts w:cs="Tahoma"/>
        </w:rPr>
        <w:t xml:space="preserve"> y así</w:t>
      </w:r>
      <w:r w:rsidR="00C51699" w:rsidRPr="007F0676">
        <w:rPr>
          <w:rFonts w:cs="Tahoma"/>
        </w:rPr>
        <w:t xml:space="preserve"> </w:t>
      </w:r>
      <w:r w:rsidR="00902E64" w:rsidRPr="007F0676">
        <w:rPr>
          <w:rFonts w:cs="Tahoma"/>
        </w:rPr>
        <w:t>haga</w:t>
      </w:r>
      <w:r w:rsidR="00C51699" w:rsidRPr="007F0676">
        <w:rPr>
          <w:rFonts w:cs="Tahoma"/>
        </w:rPr>
        <w:t xml:space="preserve"> entrega de las acciones de </w:t>
      </w:r>
      <w:r w:rsidR="00B060D8" w:rsidRPr="007F0676">
        <w:rPr>
          <w:rFonts w:cs="Tahoma"/>
        </w:rPr>
        <w:t>extinción</w:t>
      </w:r>
      <w:r w:rsidR="00C51699" w:rsidRPr="007F0676">
        <w:rPr>
          <w:rFonts w:cs="Tahoma"/>
        </w:rPr>
        <w:t xml:space="preserve"> de dominio iniciadas</w:t>
      </w:r>
      <w:r w:rsidR="00211AA9" w:rsidRPr="007F0676">
        <w:rPr>
          <w:rFonts w:cs="Tahoma"/>
        </w:rPr>
        <w:t>, en su caso en versión pública,</w:t>
      </w:r>
      <w:r w:rsidR="004143DE" w:rsidRPr="007F0676">
        <w:rPr>
          <w:rFonts w:cs="Tahoma"/>
        </w:rPr>
        <w:t xml:space="preserve"> en la que únicamente</w:t>
      </w:r>
      <w:r w:rsidR="00211AA9" w:rsidRPr="007F0676">
        <w:rPr>
          <w:rFonts w:cs="Tahoma"/>
        </w:rPr>
        <w:t xml:space="preserve"> </w:t>
      </w:r>
      <w:r w:rsidR="004143DE" w:rsidRPr="007F0676">
        <w:rPr>
          <w:rFonts w:cs="Tahoma"/>
        </w:rPr>
        <w:t xml:space="preserve">clasifique </w:t>
      </w:r>
      <w:r w:rsidR="00211AA9" w:rsidRPr="007F0676">
        <w:rPr>
          <w:rFonts w:cs="Tahoma"/>
        </w:rPr>
        <w:t xml:space="preserve">los datos </w:t>
      </w:r>
      <w:r w:rsidR="004143DE" w:rsidRPr="007F0676">
        <w:rPr>
          <w:rFonts w:cs="Tahoma"/>
        </w:rPr>
        <w:t xml:space="preserve">personales </w:t>
      </w:r>
      <w:r w:rsidR="00211AA9" w:rsidRPr="007F0676">
        <w:rPr>
          <w:rFonts w:cs="Tahoma"/>
        </w:rPr>
        <w:t>confidenciales</w:t>
      </w:r>
      <w:r w:rsidR="00902E64" w:rsidRPr="007F0676">
        <w:rPr>
          <w:rFonts w:cs="Tahoma"/>
        </w:rPr>
        <w:t>.</w:t>
      </w:r>
      <w:r w:rsidR="00C72EBC" w:rsidRPr="007F0676">
        <w:rPr>
          <w:rFonts w:cs="Tahoma"/>
        </w:rPr>
        <w:t xml:space="preserve"> Ahora bien, en caso de que la Fiscalía no haya realizado la acción de extinción de dominio, bastará con que lo haga del conocimiento del Recurrente de manera precisa y clara, toda vez que debe dejarse claro que la inexistencia y la clasificación son dos supuestos que no pueden coexistir.</w:t>
      </w:r>
    </w:p>
    <w:p w14:paraId="297B4672" w14:textId="77777777" w:rsidR="00902E64" w:rsidRPr="007F0676" w:rsidRDefault="00902E64" w:rsidP="006461DA">
      <w:pPr>
        <w:spacing w:after="0" w:line="360" w:lineRule="auto"/>
        <w:rPr>
          <w:rFonts w:cs="Tahoma"/>
        </w:rPr>
      </w:pPr>
    </w:p>
    <w:p w14:paraId="0E2C6451" w14:textId="67DC7289" w:rsidR="0030380F" w:rsidRPr="007F0676" w:rsidRDefault="0030380F" w:rsidP="006461DA">
      <w:pPr>
        <w:spacing w:after="0" w:line="360" w:lineRule="auto"/>
        <w:rPr>
          <w:rFonts w:cs="Tahoma"/>
          <w:b/>
          <w:bCs/>
        </w:rPr>
      </w:pPr>
      <w:r w:rsidRPr="007F0676">
        <w:rPr>
          <w:rFonts w:cs="Tahoma"/>
          <w:b/>
          <w:bCs/>
        </w:rPr>
        <w:t xml:space="preserve">4. Los permisos tramitados ante el </w:t>
      </w:r>
      <w:r w:rsidR="00DB3D91" w:rsidRPr="007F0676">
        <w:rPr>
          <w:rFonts w:cs="Tahoma"/>
          <w:b/>
          <w:bCs/>
        </w:rPr>
        <w:t xml:space="preserve">Ayuntamiento </w:t>
      </w:r>
      <w:r w:rsidRPr="007F0676">
        <w:rPr>
          <w:rFonts w:cs="Tahoma"/>
          <w:b/>
          <w:bCs/>
        </w:rPr>
        <w:t>de Atizapán de Zaragoza para continuar con las labores de investigación.</w:t>
      </w:r>
    </w:p>
    <w:p w14:paraId="6F70E0A3" w14:textId="5866B417" w:rsidR="005A19D0" w:rsidRPr="007F0676" w:rsidRDefault="005A19D0" w:rsidP="006461DA">
      <w:pPr>
        <w:spacing w:after="0" w:line="360" w:lineRule="auto"/>
        <w:rPr>
          <w:rFonts w:cs="Tahoma"/>
          <w:b/>
          <w:bCs/>
        </w:rPr>
      </w:pPr>
    </w:p>
    <w:p w14:paraId="5A5BCF1F" w14:textId="18E72294" w:rsidR="00CF0595" w:rsidRPr="007F0676" w:rsidRDefault="00B10F73" w:rsidP="006461DA">
      <w:pPr>
        <w:spacing w:after="0" w:line="360" w:lineRule="auto"/>
        <w:rPr>
          <w:rFonts w:cs="Tahoma"/>
        </w:rPr>
      </w:pPr>
      <w:r w:rsidRPr="007F0676">
        <w:rPr>
          <w:rFonts w:cs="Tahoma"/>
        </w:rPr>
        <w:lastRenderedPageBreak/>
        <w:t xml:space="preserve">Sobre este tipo de información se debe esclarece que el </w:t>
      </w:r>
      <w:r w:rsidR="005A19D0" w:rsidRPr="007F0676">
        <w:rPr>
          <w:rFonts w:cs="Tahoma"/>
        </w:rPr>
        <w:t>Ministerio Público, cuenta con facultades constitucionales</w:t>
      </w:r>
      <w:r w:rsidR="00CF0595" w:rsidRPr="007F0676">
        <w:rPr>
          <w:rFonts w:cs="Tahoma"/>
        </w:rPr>
        <w:t xml:space="preserve"> que se contemplan en los artículos 19, 20 y 21, de la Carta </w:t>
      </w:r>
      <w:r w:rsidR="00C934C1" w:rsidRPr="007F0676">
        <w:rPr>
          <w:rFonts w:cs="Tahoma"/>
        </w:rPr>
        <w:t>Magna</w:t>
      </w:r>
      <w:r w:rsidR="00BC3180" w:rsidRPr="007F0676">
        <w:rPr>
          <w:rFonts w:cs="Tahoma"/>
        </w:rPr>
        <w:t>, siendo el 21, el que cobra especial relevancia sobre este punto</w:t>
      </w:r>
      <w:r w:rsidR="00AD1133" w:rsidRPr="007F0676">
        <w:rPr>
          <w:rFonts w:cs="Tahoma"/>
        </w:rPr>
        <w:t xml:space="preserve">, </w:t>
      </w:r>
      <w:r w:rsidR="00BC3180" w:rsidRPr="007F0676">
        <w:rPr>
          <w:rFonts w:cs="Tahoma"/>
        </w:rPr>
        <w:t>así como diversas disposiciones tanto del Código Nacional de Procedimientos Penales, como de la Ley General del Sistema de Seguridad Pública, que se invocan a continuación</w:t>
      </w:r>
    </w:p>
    <w:p w14:paraId="396CA6F8" w14:textId="77777777" w:rsidR="003968C5" w:rsidRPr="007F0676" w:rsidRDefault="003968C5" w:rsidP="006461DA">
      <w:pPr>
        <w:spacing w:after="0" w:line="360" w:lineRule="auto"/>
        <w:rPr>
          <w:rFonts w:cs="Tahoma"/>
        </w:rPr>
      </w:pPr>
    </w:p>
    <w:p w14:paraId="0BA68D7C" w14:textId="0A003480" w:rsidR="00382002" w:rsidRPr="007F0676" w:rsidRDefault="00FF6FBF" w:rsidP="006461DA">
      <w:pPr>
        <w:spacing w:after="0" w:line="360" w:lineRule="auto"/>
        <w:ind w:right="616"/>
        <w:rPr>
          <w:rFonts w:cs="Tahoma"/>
          <w:b/>
          <w:bCs/>
        </w:rPr>
      </w:pPr>
      <w:r w:rsidRPr="007F0676">
        <w:rPr>
          <w:rFonts w:cs="Tahoma"/>
          <w:b/>
          <w:bCs/>
        </w:rPr>
        <w:t>Constitución Política de los Estados Unidos Mexicanos.</w:t>
      </w:r>
    </w:p>
    <w:p w14:paraId="129328A4" w14:textId="77777777" w:rsidR="00FF6FBF" w:rsidRPr="007F0676" w:rsidRDefault="00FF6FBF" w:rsidP="006461DA">
      <w:pPr>
        <w:spacing w:after="0" w:line="360" w:lineRule="auto"/>
        <w:ind w:left="567" w:right="616"/>
        <w:rPr>
          <w:rFonts w:cs="Tahoma"/>
          <w:b/>
          <w:i/>
          <w:color w:val="000000"/>
          <w:sz w:val="20"/>
          <w:szCs w:val="20"/>
          <w:lang w:val="es-ES"/>
        </w:rPr>
      </w:pPr>
    </w:p>
    <w:p w14:paraId="549362C2" w14:textId="03E56653" w:rsidR="00FF6FBF" w:rsidRPr="007F0676" w:rsidRDefault="00FF6FBF" w:rsidP="006461DA">
      <w:pPr>
        <w:spacing w:after="0" w:line="360" w:lineRule="auto"/>
        <w:ind w:left="567" w:right="616"/>
        <w:rPr>
          <w:rFonts w:cs="Tahoma"/>
          <w:b/>
          <w:i/>
          <w:color w:val="000000"/>
          <w:sz w:val="20"/>
          <w:szCs w:val="20"/>
          <w:lang w:val="es-ES"/>
        </w:rPr>
      </w:pPr>
      <w:r w:rsidRPr="007F0676">
        <w:rPr>
          <w:rFonts w:cs="Tahoma"/>
          <w:b/>
          <w:i/>
          <w:color w:val="000000"/>
          <w:sz w:val="20"/>
          <w:szCs w:val="20"/>
          <w:lang w:val="es-ES"/>
        </w:rPr>
        <w:t xml:space="preserve">Artículo 21. La investigación de los delitos corresponde al Ministerio Público y a las policías, las cuales actuarán bajo la conducción y mando de aquél en el ejercicio de esta función. </w:t>
      </w:r>
    </w:p>
    <w:p w14:paraId="02153F62" w14:textId="77777777" w:rsidR="00FF6FBF" w:rsidRPr="007F0676" w:rsidRDefault="00FF6FBF" w:rsidP="006461DA">
      <w:pPr>
        <w:spacing w:after="0" w:line="360" w:lineRule="auto"/>
        <w:ind w:left="567" w:right="616"/>
        <w:rPr>
          <w:rFonts w:cs="Tahoma"/>
          <w:bCs/>
          <w:i/>
          <w:color w:val="000000"/>
          <w:sz w:val="20"/>
          <w:szCs w:val="20"/>
          <w:lang w:val="es-ES"/>
        </w:rPr>
      </w:pPr>
    </w:p>
    <w:p w14:paraId="329DC7BF" w14:textId="77777777" w:rsidR="00FF6FBF" w:rsidRPr="00695B2C" w:rsidRDefault="00FF6FBF" w:rsidP="006461DA">
      <w:pPr>
        <w:spacing w:after="0" w:line="360" w:lineRule="auto"/>
        <w:ind w:left="567" w:right="616"/>
        <w:rPr>
          <w:rFonts w:cs="Tahoma"/>
          <w:bCs/>
          <w:i/>
          <w:color w:val="000000"/>
          <w:sz w:val="20"/>
          <w:szCs w:val="20"/>
          <w:lang w:val="es-ES"/>
        </w:rPr>
      </w:pPr>
      <w:r w:rsidRPr="007F0676">
        <w:rPr>
          <w:rFonts w:cs="Tahoma"/>
          <w:b/>
          <w:i/>
          <w:color w:val="000000"/>
          <w:sz w:val="20"/>
          <w:szCs w:val="20"/>
          <w:lang w:val="es-ES"/>
        </w:rPr>
        <w:t>El ejercicio de la acción penal ante los tribunales corresponde al Ministerio Público</w:t>
      </w:r>
      <w:r w:rsidRPr="007F0676">
        <w:rPr>
          <w:rFonts w:cs="Tahoma"/>
          <w:bCs/>
          <w:i/>
          <w:color w:val="000000"/>
          <w:sz w:val="20"/>
          <w:szCs w:val="20"/>
          <w:lang w:val="es-ES"/>
        </w:rPr>
        <w:t>. La ley determinará los casos en que los particulares podrán ejercer la acción penal ante la autoridad judicial.</w:t>
      </w:r>
    </w:p>
    <w:p w14:paraId="03D42833" w14:textId="77777777" w:rsidR="00FF6FBF" w:rsidRPr="00695B2C" w:rsidRDefault="00FF6FBF" w:rsidP="006461DA">
      <w:pPr>
        <w:spacing w:after="0" w:line="360" w:lineRule="auto"/>
        <w:ind w:left="567" w:right="616"/>
        <w:rPr>
          <w:rFonts w:cs="Tahoma"/>
          <w:bCs/>
          <w:i/>
          <w:color w:val="000000"/>
          <w:sz w:val="20"/>
          <w:szCs w:val="20"/>
          <w:lang w:val="es-ES"/>
        </w:rPr>
      </w:pPr>
    </w:p>
    <w:p w14:paraId="628A2602"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 La imposición de las penas, su modificación y duración son propias y exclusivas de la autoridad judicial. </w:t>
      </w:r>
    </w:p>
    <w:p w14:paraId="1B4F369D" w14:textId="77777777" w:rsidR="00FF6FBF" w:rsidRPr="00695B2C" w:rsidRDefault="00FF6FBF" w:rsidP="006461DA">
      <w:pPr>
        <w:spacing w:after="0" w:line="360" w:lineRule="auto"/>
        <w:ind w:left="567" w:right="616"/>
        <w:rPr>
          <w:rFonts w:cs="Tahoma"/>
          <w:bCs/>
          <w:i/>
          <w:color w:val="000000"/>
          <w:sz w:val="20"/>
          <w:szCs w:val="20"/>
          <w:lang w:val="es-ES"/>
        </w:rPr>
      </w:pPr>
    </w:p>
    <w:p w14:paraId="54F1689F"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Compete a la autoridad administrativa la aplicación de sanciones por las infracciones de los reglamentos gubernativos y de policía, las que únicamente consistirán en multa, arresto hasta por treinta y seis horas o en trabajo a favor de la comunidad; pero si el infractor no pagare la multa que se le hubiese impuesto, se permutará esta por el arresto correspondiente, que no excederá en ningún caso de treinta y seis horas. </w:t>
      </w:r>
    </w:p>
    <w:p w14:paraId="6DA818E8" w14:textId="77777777" w:rsidR="00FF6FBF" w:rsidRPr="00695B2C" w:rsidRDefault="00FF6FBF" w:rsidP="006461DA">
      <w:pPr>
        <w:spacing w:after="0" w:line="360" w:lineRule="auto"/>
        <w:ind w:left="567" w:right="616"/>
        <w:rPr>
          <w:rFonts w:cs="Tahoma"/>
          <w:bCs/>
          <w:i/>
          <w:color w:val="000000"/>
          <w:sz w:val="20"/>
          <w:szCs w:val="20"/>
          <w:lang w:val="es-ES"/>
        </w:rPr>
      </w:pPr>
    </w:p>
    <w:p w14:paraId="44E5DC4D"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Si el infractor de los reglamentos gubernativos y de policía fuese jornalero, obrero o trabajador, no podrá ser sancionado con multa mayor del importe de su jornal o salario de un día. </w:t>
      </w:r>
    </w:p>
    <w:p w14:paraId="032F3E43" w14:textId="77777777" w:rsidR="00FF6FBF" w:rsidRPr="00695B2C" w:rsidRDefault="00FF6FBF" w:rsidP="006461DA">
      <w:pPr>
        <w:spacing w:after="0" w:line="360" w:lineRule="auto"/>
        <w:ind w:left="567" w:right="616"/>
        <w:rPr>
          <w:rFonts w:cs="Tahoma"/>
          <w:bCs/>
          <w:i/>
          <w:color w:val="000000"/>
          <w:sz w:val="20"/>
          <w:szCs w:val="20"/>
          <w:lang w:val="es-ES"/>
        </w:rPr>
      </w:pPr>
    </w:p>
    <w:p w14:paraId="0069970D"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Tratándose de trabajadores no asalariados, la multa que se imponga por infracción de los reglamentos gubernativos y de policía, no excederá del equivalente a un día de su ingreso. </w:t>
      </w:r>
    </w:p>
    <w:p w14:paraId="0C9E3101" w14:textId="77777777" w:rsidR="00FF6FBF" w:rsidRPr="00695B2C" w:rsidRDefault="00FF6FBF" w:rsidP="006461DA">
      <w:pPr>
        <w:spacing w:after="0" w:line="360" w:lineRule="auto"/>
        <w:ind w:left="567" w:right="616"/>
        <w:rPr>
          <w:rFonts w:cs="Tahoma"/>
          <w:bCs/>
          <w:i/>
          <w:color w:val="000000"/>
          <w:sz w:val="20"/>
          <w:szCs w:val="20"/>
          <w:lang w:val="es-ES"/>
        </w:rPr>
      </w:pPr>
    </w:p>
    <w:p w14:paraId="714A1426"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El Ministerio Público podrá considerar criterios de oportunidad para el ejercicio de la acción penal, en los supuestos y condiciones que fije la ley. </w:t>
      </w:r>
    </w:p>
    <w:p w14:paraId="4573F072" w14:textId="77777777" w:rsidR="00FF6FBF" w:rsidRPr="00695B2C" w:rsidRDefault="00FF6FBF" w:rsidP="006461DA">
      <w:pPr>
        <w:spacing w:after="0" w:line="360" w:lineRule="auto"/>
        <w:ind w:left="567" w:right="616"/>
        <w:rPr>
          <w:rFonts w:cs="Tahoma"/>
          <w:bCs/>
          <w:i/>
          <w:color w:val="000000"/>
          <w:sz w:val="20"/>
          <w:szCs w:val="20"/>
          <w:lang w:val="es-ES"/>
        </w:rPr>
      </w:pPr>
    </w:p>
    <w:p w14:paraId="24FC8C3F"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El Ejecutivo Federal podrá, con la aprobación del Senado en cada caso, reconocer la jurisdicción de la Corte Penal Internacional. </w:t>
      </w:r>
    </w:p>
    <w:p w14:paraId="2DCA79F5" w14:textId="77777777" w:rsidR="00FF6FBF" w:rsidRPr="00695B2C" w:rsidRDefault="00FF6FBF" w:rsidP="006461DA">
      <w:pPr>
        <w:spacing w:after="0" w:line="360" w:lineRule="auto"/>
        <w:ind w:left="567" w:right="616"/>
        <w:rPr>
          <w:rFonts w:cs="Tahoma"/>
          <w:bCs/>
          <w:i/>
          <w:color w:val="000000"/>
          <w:sz w:val="20"/>
          <w:szCs w:val="20"/>
          <w:lang w:val="es-ES"/>
        </w:rPr>
      </w:pPr>
    </w:p>
    <w:p w14:paraId="6772A35B"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La seguridad pública es una función del Estado a cargo de la Federación, las entidades federativas y los Municipios, cuyos fines son salvaguardar la vida, las libertades, la integridad y el patrimonio de las personas, así como contribuir a la generación y preservación del orden público y la paz social, de conformidad con lo previsto en esta Constitución y las leyes en la materia. La seguridad pública comprende la prevención, investigación y persecución de los delitos, así como la sanción de las infracciones administrativas, en los términos de la ley, en las respectivas competencias que esta Constitución señala. La actuación de las instituciones de seguridad pública se regirá por los principios de legalidad, objetividad, eficiencia, profesionalismo, honradez y respeto a los derechos humanos reconocidos en esta Constitución. </w:t>
      </w:r>
    </w:p>
    <w:p w14:paraId="5AEE2BF5" w14:textId="77777777" w:rsidR="00FF6FBF" w:rsidRPr="00695B2C" w:rsidRDefault="00FF6FBF" w:rsidP="006461DA">
      <w:pPr>
        <w:spacing w:after="0" w:line="360" w:lineRule="auto"/>
        <w:ind w:left="567" w:right="616"/>
        <w:rPr>
          <w:rFonts w:cs="Tahoma"/>
          <w:bCs/>
          <w:i/>
          <w:color w:val="000000"/>
          <w:sz w:val="20"/>
          <w:szCs w:val="20"/>
          <w:lang w:val="es-ES"/>
        </w:rPr>
      </w:pPr>
    </w:p>
    <w:p w14:paraId="112AB29A"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Las instituciones de seguridad pública, incluyendo la Guardia Nacional, serán de carácter civil, disciplinado y profesional. </w:t>
      </w:r>
      <w:r w:rsidRPr="00695B2C">
        <w:rPr>
          <w:rFonts w:cs="Tahoma"/>
          <w:b/>
          <w:i/>
          <w:color w:val="000000"/>
          <w:sz w:val="20"/>
          <w:szCs w:val="20"/>
          <w:lang w:val="es-ES"/>
        </w:rPr>
        <w:t>El Ministerio Público y las instituciones policiales de los tres órdenes de gobierno deberán coordinarse entre sí para cumplir los fines de la seguridad pública y conformarán el Sistema Nacional de Seguridad Pública, que estará sujeto a las siguientes bases mínimas</w:t>
      </w:r>
      <w:r w:rsidRPr="00695B2C">
        <w:rPr>
          <w:rFonts w:cs="Tahoma"/>
          <w:bCs/>
          <w:i/>
          <w:color w:val="000000"/>
          <w:sz w:val="20"/>
          <w:szCs w:val="20"/>
          <w:lang w:val="es-ES"/>
        </w:rPr>
        <w:t xml:space="preserve">: </w:t>
      </w:r>
    </w:p>
    <w:p w14:paraId="65050351" w14:textId="77777777" w:rsidR="00FF6FBF" w:rsidRPr="00695B2C" w:rsidRDefault="00FF6FBF" w:rsidP="006461DA">
      <w:pPr>
        <w:spacing w:after="0" w:line="360" w:lineRule="auto"/>
        <w:ind w:left="567" w:right="616"/>
        <w:rPr>
          <w:rFonts w:cs="Tahoma"/>
          <w:bCs/>
          <w:i/>
          <w:color w:val="000000"/>
          <w:sz w:val="20"/>
          <w:szCs w:val="20"/>
          <w:lang w:val="es-ES"/>
        </w:rPr>
      </w:pPr>
    </w:p>
    <w:p w14:paraId="31C79339"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a) La regulación de la selección, ingreso, formación, permanencia, evaluación, reconocimiento y certificación de los integrantes de las instituciones de seguridad pública. La operación y desarrollo de estas acciones será competencia de la Federación, las entidades federativas y los Municipios en el ámbito de sus respectivas atribuciones. </w:t>
      </w:r>
    </w:p>
    <w:p w14:paraId="2D0DF5FF" w14:textId="77777777" w:rsidR="00FF6FBF" w:rsidRPr="00695B2C" w:rsidRDefault="00FF6FBF" w:rsidP="006461DA">
      <w:pPr>
        <w:spacing w:after="0" w:line="360" w:lineRule="auto"/>
        <w:ind w:left="567" w:right="616"/>
        <w:rPr>
          <w:rFonts w:cs="Tahoma"/>
          <w:bCs/>
          <w:i/>
          <w:color w:val="000000"/>
          <w:sz w:val="20"/>
          <w:szCs w:val="20"/>
          <w:lang w:val="es-ES"/>
        </w:rPr>
      </w:pPr>
    </w:p>
    <w:p w14:paraId="1CE107F0" w14:textId="66C345C1"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lastRenderedPageBreak/>
        <w:t xml:space="preserve">b) El establecimiento de un sistema nacional de información en seguridad pública a cargo de la Federación al que ésta, las entidades federativas y los Municipios, a través de las dependencias responsables de la seguridad pública, proporcionarán la información de que dispongan en la materia, conforme a la ley. El sistema contendrá también las bases de datos criminalísticos y de personal para las instituciones de seguridad pública. Ninguna persona podrá ingresar a las instituciones de seguridad pública si no ha sido debidamente certificada y registrada en el sistema. </w:t>
      </w:r>
    </w:p>
    <w:p w14:paraId="6C57E410" w14:textId="77777777" w:rsidR="00FF6FBF" w:rsidRPr="00695B2C" w:rsidRDefault="00FF6FBF" w:rsidP="006461DA">
      <w:pPr>
        <w:spacing w:after="0" w:line="360" w:lineRule="auto"/>
        <w:ind w:left="567" w:right="616"/>
        <w:rPr>
          <w:rFonts w:cs="Tahoma"/>
          <w:bCs/>
          <w:i/>
          <w:color w:val="000000"/>
          <w:sz w:val="20"/>
          <w:szCs w:val="20"/>
          <w:lang w:val="es-ES"/>
        </w:rPr>
      </w:pPr>
    </w:p>
    <w:p w14:paraId="533DF87A"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c) La formulación de políticas públicas tendientes a prevenir la comisión de delitos. </w:t>
      </w:r>
    </w:p>
    <w:p w14:paraId="0ABB557F" w14:textId="77777777" w:rsidR="00FF6FBF" w:rsidRPr="00695B2C" w:rsidRDefault="00FF6FBF" w:rsidP="006461DA">
      <w:pPr>
        <w:spacing w:after="0" w:line="360" w:lineRule="auto"/>
        <w:ind w:left="567" w:right="616"/>
        <w:rPr>
          <w:rFonts w:cs="Tahoma"/>
          <w:bCs/>
          <w:i/>
          <w:color w:val="000000"/>
          <w:sz w:val="20"/>
          <w:szCs w:val="20"/>
          <w:lang w:val="es-ES"/>
        </w:rPr>
      </w:pPr>
    </w:p>
    <w:p w14:paraId="303140EE"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d) Se determinará la participación de la comunidad que coadyuvará, entre otros, en los procesos de evaluación de las políticas de prevención del </w:t>
      </w:r>
      <w:proofErr w:type="gramStart"/>
      <w:r w:rsidRPr="00695B2C">
        <w:rPr>
          <w:rFonts w:cs="Tahoma"/>
          <w:bCs/>
          <w:i/>
          <w:color w:val="000000"/>
          <w:sz w:val="20"/>
          <w:szCs w:val="20"/>
          <w:lang w:val="es-ES"/>
        </w:rPr>
        <w:t>delito</w:t>
      </w:r>
      <w:proofErr w:type="gramEnd"/>
      <w:r w:rsidRPr="00695B2C">
        <w:rPr>
          <w:rFonts w:cs="Tahoma"/>
          <w:bCs/>
          <w:i/>
          <w:color w:val="000000"/>
          <w:sz w:val="20"/>
          <w:szCs w:val="20"/>
          <w:lang w:val="es-ES"/>
        </w:rPr>
        <w:t xml:space="preserve"> así como de las instituciones de seguridad pública. </w:t>
      </w:r>
    </w:p>
    <w:p w14:paraId="20EE1EA6" w14:textId="77777777" w:rsidR="00FF6FBF" w:rsidRPr="00695B2C" w:rsidRDefault="00FF6FBF" w:rsidP="006461DA">
      <w:pPr>
        <w:spacing w:after="0" w:line="360" w:lineRule="auto"/>
        <w:ind w:left="567" w:right="616"/>
        <w:rPr>
          <w:rFonts w:cs="Tahoma"/>
          <w:bCs/>
          <w:i/>
          <w:color w:val="000000"/>
          <w:sz w:val="20"/>
          <w:szCs w:val="20"/>
          <w:lang w:val="es-ES"/>
        </w:rPr>
      </w:pPr>
    </w:p>
    <w:p w14:paraId="307598C3"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e) Los fondos de ayuda federal para la seguridad pública, a nivel nacional serán aportados a las entidades federativas y municipios para ser destinados exclusivamente a estos fines. </w:t>
      </w:r>
    </w:p>
    <w:p w14:paraId="7AD36778" w14:textId="77777777" w:rsidR="00FF6FBF" w:rsidRPr="00695B2C" w:rsidRDefault="00FF6FBF" w:rsidP="006461DA">
      <w:pPr>
        <w:spacing w:after="0" w:line="360" w:lineRule="auto"/>
        <w:ind w:left="567" w:right="616"/>
        <w:rPr>
          <w:rFonts w:cs="Tahoma"/>
          <w:bCs/>
          <w:i/>
          <w:color w:val="000000"/>
          <w:sz w:val="20"/>
          <w:szCs w:val="20"/>
          <w:lang w:val="es-ES"/>
        </w:rPr>
      </w:pPr>
    </w:p>
    <w:p w14:paraId="5887D184"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La Federación contará con una institución policial de carácter civil denominada Guardia Nacional, cuyos fines son los señalados en el párrafo noveno de este artículo, la coordinación y colaboración con las entidades federativas y Municipios, así como la salvaguarda de los bienes y recursos de la Nación. </w:t>
      </w:r>
    </w:p>
    <w:p w14:paraId="067F808A" w14:textId="77777777" w:rsidR="00FF6FBF" w:rsidRPr="00695B2C" w:rsidRDefault="00FF6FBF" w:rsidP="006461DA">
      <w:pPr>
        <w:spacing w:after="0" w:line="360" w:lineRule="auto"/>
        <w:ind w:left="567" w:right="616"/>
        <w:rPr>
          <w:rFonts w:cs="Tahoma"/>
          <w:bCs/>
          <w:i/>
          <w:color w:val="000000"/>
          <w:sz w:val="20"/>
          <w:szCs w:val="20"/>
          <w:lang w:val="es-ES"/>
        </w:rPr>
      </w:pPr>
    </w:p>
    <w:p w14:paraId="4D695C16" w14:textId="77777777" w:rsidR="00FF6FBF" w:rsidRPr="00695B2C"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La ley determinará la estructura orgánica y de dirección de la Guardia Nacional, que estará adscrita a la secretaría del ramo de seguridad pública, que formulará la Estrategia Nacional de Seguridad Pública, los respectivos programas, políticas y acciones. </w:t>
      </w:r>
    </w:p>
    <w:p w14:paraId="26174150" w14:textId="77777777" w:rsidR="00FF6FBF" w:rsidRPr="00695B2C" w:rsidRDefault="00FF6FBF" w:rsidP="006461DA">
      <w:pPr>
        <w:spacing w:after="0" w:line="360" w:lineRule="auto"/>
        <w:ind w:left="567" w:right="616"/>
        <w:rPr>
          <w:rFonts w:cs="Tahoma"/>
          <w:bCs/>
          <w:i/>
          <w:color w:val="000000"/>
          <w:sz w:val="20"/>
          <w:szCs w:val="20"/>
          <w:lang w:val="es-ES"/>
        </w:rPr>
      </w:pPr>
    </w:p>
    <w:p w14:paraId="44E0CD2D" w14:textId="77777777" w:rsidR="009E6CF1" w:rsidRDefault="00FF6FBF"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La formación y el desempeño de los integrantes de la Guardia Nacional y de las demás instituciones policiales se regirán por una doctrina policial fundada en el servicio a la sociedad, la disciplina, el respeto a los derechos humanos, al imperio de la ley, al mando superior, y en lo conducente a la perspectiva de género. </w:t>
      </w:r>
    </w:p>
    <w:p w14:paraId="1E409B6C" w14:textId="5C124B54" w:rsidR="00B10F73" w:rsidRPr="009E6CF1" w:rsidRDefault="00FF6FBF" w:rsidP="006461DA">
      <w:pPr>
        <w:spacing w:after="0" w:line="360" w:lineRule="auto"/>
        <w:ind w:left="567" w:right="616"/>
        <w:rPr>
          <w:rFonts w:cs="Tahoma"/>
          <w:bCs/>
          <w:i/>
          <w:color w:val="000000"/>
          <w:sz w:val="20"/>
          <w:szCs w:val="20"/>
          <w:lang w:val="es-ES"/>
        </w:rPr>
      </w:pPr>
      <w:r w:rsidRPr="00695B2C">
        <w:rPr>
          <w:rFonts w:cs="Tahoma"/>
        </w:rPr>
        <w:t>(Énfasis añadido)</w:t>
      </w:r>
      <w:r w:rsidR="009E6CF1">
        <w:rPr>
          <w:rFonts w:cs="Tahoma"/>
        </w:rPr>
        <w:t>.</w:t>
      </w:r>
    </w:p>
    <w:p w14:paraId="2E79334F" w14:textId="44EAD3FD" w:rsidR="009E08E9" w:rsidRPr="00695B2C" w:rsidRDefault="009E08E9" w:rsidP="006461DA">
      <w:pPr>
        <w:spacing w:after="0" w:line="360" w:lineRule="auto"/>
        <w:ind w:right="616"/>
        <w:rPr>
          <w:rFonts w:cs="Tahoma"/>
          <w:b/>
          <w:bCs/>
        </w:rPr>
      </w:pPr>
      <w:r w:rsidRPr="00695B2C">
        <w:rPr>
          <w:rFonts w:cs="Tahoma"/>
          <w:b/>
          <w:bCs/>
        </w:rPr>
        <w:lastRenderedPageBreak/>
        <w:t>Código Nacional del Procedimientos Penales.</w:t>
      </w:r>
    </w:p>
    <w:p w14:paraId="2FB9EB17" w14:textId="0A7C90C0" w:rsidR="00C93308" w:rsidRPr="00695B2C" w:rsidRDefault="00C93308" w:rsidP="006461DA">
      <w:pPr>
        <w:spacing w:after="0" w:line="360" w:lineRule="auto"/>
        <w:ind w:left="567" w:right="616"/>
        <w:rPr>
          <w:rFonts w:cs="Tahoma"/>
          <w:b/>
          <w:bCs/>
        </w:rPr>
      </w:pPr>
    </w:p>
    <w:p w14:paraId="67C9BC7C" w14:textId="52120C64" w:rsidR="00C93308" w:rsidRPr="00695B2C" w:rsidRDefault="00C93308"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Artículo 3o. Glosario Para los efectos de este Código, según corresponda, se entenderá por:</w:t>
      </w:r>
    </w:p>
    <w:p w14:paraId="39309BD7" w14:textId="40076BA2" w:rsidR="00C93308" w:rsidRPr="00695B2C" w:rsidRDefault="00C93308"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I. al VIII. …</w:t>
      </w:r>
    </w:p>
    <w:p w14:paraId="77B90083" w14:textId="29C2FCEA" w:rsidR="00C93308" w:rsidRPr="00695B2C" w:rsidRDefault="00C93308" w:rsidP="006461DA">
      <w:pPr>
        <w:spacing w:after="0" w:line="360" w:lineRule="auto"/>
        <w:ind w:left="567" w:right="616"/>
        <w:rPr>
          <w:rFonts w:cs="Tahoma"/>
          <w:b/>
          <w:i/>
          <w:color w:val="000000"/>
          <w:sz w:val="20"/>
          <w:szCs w:val="20"/>
          <w:lang w:val="es-ES"/>
        </w:rPr>
      </w:pPr>
      <w:r w:rsidRPr="00695B2C">
        <w:rPr>
          <w:rFonts w:cs="Tahoma"/>
          <w:b/>
          <w:i/>
          <w:color w:val="000000"/>
          <w:sz w:val="20"/>
          <w:szCs w:val="20"/>
          <w:lang w:val="es-ES"/>
        </w:rPr>
        <w:t>IX. Ministerio Público: El Ministerio Público de la Federación o al Ministerio Público de las Entidades federativas;</w:t>
      </w:r>
    </w:p>
    <w:p w14:paraId="386D76FF" w14:textId="156430E9" w:rsidR="00C93308" w:rsidRPr="00695B2C" w:rsidRDefault="00C93308"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X. …</w:t>
      </w:r>
    </w:p>
    <w:p w14:paraId="3FB5068E" w14:textId="7A133117" w:rsidR="00C93308" w:rsidRPr="00695B2C" w:rsidRDefault="00C93308"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XI. </w:t>
      </w:r>
      <w:r w:rsidRPr="00695B2C">
        <w:rPr>
          <w:rFonts w:cs="Tahoma"/>
          <w:b/>
          <w:i/>
          <w:color w:val="000000"/>
          <w:sz w:val="20"/>
          <w:szCs w:val="20"/>
          <w:lang w:val="es-ES"/>
        </w:rPr>
        <w:t>Policía</w:t>
      </w:r>
      <w:r w:rsidRPr="00695B2C">
        <w:rPr>
          <w:rFonts w:cs="Tahoma"/>
          <w:bCs/>
          <w:i/>
          <w:color w:val="000000"/>
          <w:sz w:val="20"/>
          <w:szCs w:val="20"/>
          <w:lang w:val="es-ES"/>
        </w:rPr>
        <w:t xml:space="preserve">: Los cuerpos de Policía especializados en la investigación de delitos del fuero federal o del fuero común, así como los cuerpos de seguridad pública de los fueros federal o común, que en el ámbito de sus respectivas competencias actúan todos </w:t>
      </w:r>
      <w:r w:rsidRPr="00695B2C">
        <w:rPr>
          <w:rFonts w:cs="Tahoma"/>
          <w:b/>
          <w:i/>
          <w:color w:val="000000"/>
          <w:sz w:val="20"/>
          <w:szCs w:val="20"/>
          <w:lang w:val="es-ES"/>
        </w:rPr>
        <w:t>bajo el mando y la conducción del Ministerio Público para efectos de la investigación, en términos de lo que disponen la Constitución, este Código y demás disposiciones aplicables;</w:t>
      </w:r>
    </w:p>
    <w:p w14:paraId="083D9546" w14:textId="76F72535" w:rsidR="00C93308" w:rsidRPr="00695B2C" w:rsidRDefault="00C93308"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XII. al XVI. …</w:t>
      </w:r>
    </w:p>
    <w:p w14:paraId="097BC35F" w14:textId="77777777" w:rsidR="00763609" w:rsidRPr="00695B2C" w:rsidRDefault="00763609" w:rsidP="006461DA">
      <w:pPr>
        <w:spacing w:after="0" w:line="360" w:lineRule="auto"/>
        <w:ind w:firstLine="567"/>
        <w:rPr>
          <w:rFonts w:cs="Tahoma"/>
        </w:rPr>
      </w:pPr>
      <w:r w:rsidRPr="00695B2C">
        <w:rPr>
          <w:rFonts w:cs="Tahoma"/>
        </w:rPr>
        <w:t>(Énfasis añadido)</w:t>
      </w:r>
    </w:p>
    <w:p w14:paraId="01B3094B" w14:textId="3D4659EA" w:rsidR="009E08E9" w:rsidRPr="00695B2C" w:rsidRDefault="009E08E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Artículo 127. Competencia del Ministerio Público </w:t>
      </w:r>
    </w:p>
    <w:p w14:paraId="364D6012" w14:textId="018D7F34" w:rsidR="009E08E9" w:rsidRPr="00695B2C" w:rsidRDefault="009E08E9" w:rsidP="006461DA">
      <w:pPr>
        <w:spacing w:after="0" w:line="360" w:lineRule="auto"/>
        <w:ind w:left="567" w:right="616"/>
        <w:rPr>
          <w:rFonts w:cs="Tahoma"/>
          <w:bCs/>
          <w:i/>
          <w:color w:val="000000"/>
          <w:sz w:val="20"/>
          <w:szCs w:val="20"/>
          <w:lang w:val="es-ES"/>
        </w:rPr>
      </w:pPr>
      <w:r w:rsidRPr="00695B2C">
        <w:rPr>
          <w:rFonts w:cs="Tahoma"/>
          <w:b/>
          <w:i/>
          <w:color w:val="000000"/>
          <w:sz w:val="20"/>
          <w:szCs w:val="20"/>
          <w:lang w:val="es-ES"/>
        </w:rPr>
        <w:t>Compete al Ministerio Público</w:t>
      </w:r>
      <w:r w:rsidRPr="00695B2C">
        <w:rPr>
          <w:rFonts w:cs="Tahoma"/>
          <w:bCs/>
          <w:i/>
          <w:color w:val="000000"/>
          <w:sz w:val="20"/>
          <w:szCs w:val="20"/>
          <w:lang w:val="es-ES"/>
        </w:rPr>
        <w:t xml:space="preserve"> conducir la investigación, </w:t>
      </w:r>
      <w:r w:rsidRPr="00695B2C">
        <w:rPr>
          <w:rFonts w:cs="Tahoma"/>
          <w:b/>
          <w:i/>
          <w:color w:val="000000"/>
          <w:sz w:val="20"/>
          <w:szCs w:val="20"/>
          <w:lang w:val="es-ES"/>
        </w:rPr>
        <w:t>coordinar a las Policías</w:t>
      </w:r>
      <w:r w:rsidRPr="00695B2C">
        <w:rPr>
          <w:rFonts w:cs="Tahoma"/>
          <w:bCs/>
          <w:i/>
          <w:color w:val="000000"/>
          <w:sz w:val="20"/>
          <w:szCs w:val="20"/>
          <w:lang w:val="es-ES"/>
        </w:rPr>
        <w:t xml:space="preserve"> y a los servicios periciales durante la investigación, resolver sobre el ejercicio de la acción penal en la forma establecida por la ley y, en su caso, ordenar las diligencias pertinentes y útiles para demostrar, o no, la existencia del delito y la responsabilidad de quien lo cometió o participó en su comisión.</w:t>
      </w:r>
    </w:p>
    <w:p w14:paraId="539404A9" w14:textId="77777777" w:rsidR="00763609" w:rsidRPr="00695B2C" w:rsidRDefault="00763609" w:rsidP="006461DA">
      <w:pPr>
        <w:spacing w:after="0" w:line="360" w:lineRule="auto"/>
        <w:ind w:firstLine="567"/>
        <w:rPr>
          <w:rFonts w:cs="Tahoma"/>
        </w:rPr>
      </w:pPr>
      <w:r w:rsidRPr="00695B2C">
        <w:rPr>
          <w:rFonts w:cs="Tahoma"/>
        </w:rPr>
        <w:t>(Énfasis añadido)</w:t>
      </w:r>
    </w:p>
    <w:p w14:paraId="2C55AE1B" w14:textId="77777777" w:rsidR="00763609" w:rsidRPr="00695B2C" w:rsidRDefault="00763609" w:rsidP="006461DA">
      <w:pPr>
        <w:spacing w:after="0" w:line="360" w:lineRule="auto"/>
        <w:ind w:left="567" w:right="616"/>
        <w:rPr>
          <w:rFonts w:cs="Tahoma"/>
          <w:bCs/>
          <w:i/>
          <w:color w:val="000000"/>
          <w:sz w:val="20"/>
          <w:szCs w:val="20"/>
          <w:lang w:val="es-ES"/>
        </w:rPr>
      </w:pPr>
    </w:p>
    <w:p w14:paraId="0D6E105D" w14:textId="03421B24" w:rsidR="009E08E9" w:rsidRPr="00695B2C" w:rsidRDefault="009E08E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Artículo 131. Obligaciones del Ministerio Público </w:t>
      </w:r>
    </w:p>
    <w:p w14:paraId="0ED536C8" w14:textId="36FC7054" w:rsidR="009E08E9" w:rsidRPr="00695B2C" w:rsidRDefault="009E08E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Para los efectos del presente Código, el Ministerio Público tendrá las siguientes obligaciones:</w:t>
      </w:r>
    </w:p>
    <w:p w14:paraId="27B814AA" w14:textId="2ED931FB" w:rsidR="009E08E9" w:rsidRPr="00695B2C" w:rsidRDefault="009E08E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I al II…</w:t>
      </w:r>
    </w:p>
    <w:p w14:paraId="5D5F3124" w14:textId="3F318048" w:rsidR="009E08E9" w:rsidRPr="00695B2C" w:rsidRDefault="009E08E9" w:rsidP="006461DA">
      <w:pPr>
        <w:spacing w:after="0" w:line="360" w:lineRule="auto"/>
        <w:ind w:left="567" w:right="616"/>
        <w:rPr>
          <w:rFonts w:cs="Tahoma"/>
          <w:b/>
          <w:i/>
          <w:color w:val="000000"/>
          <w:sz w:val="20"/>
          <w:szCs w:val="20"/>
          <w:lang w:val="es-ES"/>
        </w:rPr>
      </w:pPr>
      <w:r w:rsidRPr="00695B2C">
        <w:rPr>
          <w:rFonts w:cs="Tahoma"/>
          <w:b/>
          <w:i/>
          <w:color w:val="000000"/>
          <w:sz w:val="20"/>
          <w:szCs w:val="20"/>
          <w:lang w:val="es-ES"/>
        </w:rPr>
        <w:t>III. Ejercer la conducción y el mando de la investigación de los delitos, para lo cual deberá coordinar a las Policías y a los peritos durante la misma;</w:t>
      </w:r>
    </w:p>
    <w:p w14:paraId="511B331D" w14:textId="047634AD" w:rsidR="009E08E9" w:rsidRPr="00695B2C" w:rsidRDefault="009E08E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IV. Ordenar o supervisar, según sea el caso, la aplicación y ejecución de las medidas necesarias para impedir que se pierdan, destruyan o alteren los indicios, una vez que tenga noticia </w:t>
      </w:r>
      <w:r w:rsidR="008F04AB" w:rsidRPr="00695B2C">
        <w:rPr>
          <w:rFonts w:cs="Tahoma"/>
          <w:bCs/>
          <w:i/>
          <w:color w:val="000000"/>
          <w:sz w:val="20"/>
          <w:szCs w:val="20"/>
          <w:lang w:val="es-ES"/>
        </w:rPr>
        <w:t>de este</w:t>
      </w:r>
      <w:r w:rsidRPr="00695B2C">
        <w:rPr>
          <w:rFonts w:cs="Tahoma"/>
          <w:bCs/>
          <w:i/>
          <w:color w:val="000000"/>
          <w:sz w:val="20"/>
          <w:szCs w:val="20"/>
          <w:lang w:val="es-ES"/>
        </w:rPr>
        <w:t xml:space="preserve">, así como cerciorarse de que se han seguido las reglas y protocolos para su preservación y procesamiento; </w:t>
      </w:r>
    </w:p>
    <w:p w14:paraId="5C72F614" w14:textId="77777777" w:rsidR="009E08E9" w:rsidRPr="00695B2C" w:rsidRDefault="009E08E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lastRenderedPageBreak/>
        <w:t xml:space="preserve">V. Iniciar la investigación correspondiente cuando así proceda y, en su caso, ordenar la recolección de indicios y medios de prueba que deberán servir para sus respectivas resoluciones y las del Órgano jurisdiccional, así como recabar los elementos necesarios que determinen el daño causado por el delito y la cuantificación del mismo para los efectos de su reparación; </w:t>
      </w:r>
    </w:p>
    <w:p w14:paraId="691315AF" w14:textId="03B7078A" w:rsidR="009E08E9" w:rsidRPr="00695B2C" w:rsidRDefault="009E08E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VI. Ejercer funciones de investigación respecto de los delitos en materias concurrentes, cuando ejerza la facultad de atracción y en los demás casos que las leyes lo establezcan;</w:t>
      </w:r>
    </w:p>
    <w:p w14:paraId="7F5BCDCE" w14:textId="60755A79" w:rsidR="00C93308" w:rsidRPr="00695B2C" w:rsidRDefault="00C93308" w:rsidP="006461DA">
      <w:pPr>
        <w:spacing w:after="0" w:line="360" w:lineRule="auto"/>
        <w:ind w:left="567" w:right="616"/>
        <w:rPr>
          <w:rFonts w:cs="Tahoma"/>
          <w:b/>
          <w:i/>
          <w:color w:val="000000"/>
          <w:sz w:val="20"/>
          <w:szCs w:val="20"/>
          <w:lang w:val="es-ES"/>
        </w:rPr>
      </w:pPr>
      <w:r w:rsidRPr="00695B2C">
        <w:rPr>
          <w:rFonts w:cs="Tahoma"/>
          <w:b/>
          <w:i/>
          <w:color w:val="000000"/>
          <w:sz w:val="20"/>
          <w:szCs w:val="20"/>
          <w:lang w:val="es-ES"/>
        </w:rPr>
        <w:t>VII. Ordenar a la Policía y a sus auxiliares, en el ámbito de su competencia, la práctica de actos de investigación conducentes para el esclarecimiento del hecho delictivo, así como analizar las que dichas autoridades hubieren practicado;</w:t>
      </w:r>
    </w:p>
    <w:p w14:paraId="111CADCD" w14:textId="4BFC9265" w:rsidR="00C93308" w:rsidRPr="00695B2C" w:rsidRDefault="00C93308"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VIII al IX…</w:t>
      </w:r>
    </w:p>
    <w:p w14:paraId="33890F4C" w14:textId="4A12E5D1" w:rsidR="00C93308" w:rsidRPr="00695B2C" w:rsidRDefault="00C93308" w:rsidP="006461DA">
      <w:pPr>
        <w:spacing w:after="0" w:line="360" w:lineRule="auto"/>
        <w:ind w:left="567" w:right="616"/>
        <w:rPr>
          <w:rFonts w:cs="Tahoma"/>
          <w:b/>
          <w:i/>
          <w:color w:val="000000"/>
          <w:sz w:val="20"/>
          <w:szCs w:val="20"/>
          <w:lang w:val="es-ES"/>
        </w:rPr>
      </w:pPr>
      <w:r w:rsidRPr="00695B2C">
        <w:rPr>
          <w:rFonts w:cs="Tahoma"/>
          <w:b/>
          <w:i/>
          <w:color w:val="000000"/>
          <w:sz w:val="20"/>
          <w:szCs w:val="20"/>
          <w:lang w:val="es-ES"/>
        </w:rPr>
        <w:t>X. Solicitar al Órgano jurisdiccional la autorización de actos de investigación y demás actuaciones que sean necesarias dentro de la misma;</w:t>
      </w:r>
    </w:p>
    <w:p w14:paraId="520763E2" w14:textId="252E6C9D" w:rsidR="00C93308" w:rsidRPr="00695B2C" w:rsidRDefault="00C93308"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XI. al XXIV…</w:t>
      </w:r>
    </w:p>
    <w:p w14:paraId="5FE758C5" w14:textId="77777777" w:rsidR="00763609" w:rsidRPr="00695B2C" w:rsidRDefault="00763609" w:rsidP="006461DA">
      <w:pPr>
        <w:spacing w:after="0" w:line="360" w:lineRule="auto"/>
        <w:ind w:firstLine="567"/>
        <w:rPr>
          <w:rFonts w:cs="Tahoma"/>
        </w:rPr>
      </w:pPr>
      <w:r w:rsidRPr="00695B2C">
        <w:rPr>
          <w:rFonts w:cs="Tahoma"/>
        </w:rPr>
        <w:t>(Énfasis añadido)</w:t>
      </w:r>
    </w:p>
    <w:p w14:paraId="44788A54" w14:textId="77777777" w:rsidR="00763609" w:rsidRPr="00695B2C" w:rsidRDefault="00C93308"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Artículo 132. Obligaciones del Policía </w:t>
      </w:r>
    </w:p>
    <w:p w14:paraId="33633D09" w14:textId="77777777" w:rsidR="00763609" w:rsidRPr="00695B2C" w:rsidRDefault="00C93308" w:rsidP="006461DA">
      <w:pPr>
        <w:spacing w:after="0" w:line="360" w:lineRule="auto"/>
        <w:ind w:left="567" w:right="616"/>
        <w:rPr>
          <w:rFonts w:cs="Tahoma"/>
          <w:bCs/>
          <w:i/>
          <w:color w:val="000000"/>
          <w:sz w:val="20"/>
          <w:szCs w:val="20"/>
          <w:lang w:val="es-ES"/>
        </w:rPr>
      </w:pPr>
      <w:r w:rsidRPr="00695B2C">
        <w:rPr>
          <w:rFonts w:cs="Tahoma"/>
          <w:b/>
          <w:i/>
          <w:color w:val="000000"/>
          <w:sz w:val="20"/>
          <w:szCs w:val="20"/>
          <w:lang w:val="es-ES"/>
        </w:rPr>
        <w:t>El Policía actuará bajo la conducción y mando del Ministerio Público en la investigación de los delitos en estricto apego a los principios de legalidad, objetividad, eficiencia, profesionalismo, honradez y respeto a los derechos humanos reconocidos en la Constitución.</w:t>
      </w:r>
      <w:r w:rsidRPr="00695B2C">
        <w:rPr>
          <w:rFonts w:cs="Tahoma"/>
          <w:bCs/>
          <w:i/>
          <w:color w:val="000000"/>
          <w:sz w:val="20"/>
          <w:szCs w:val="20"/>
          <w:lang w:val="es-ES"/>
        </w:rPr>
        <w:t xml:space="preserve"> </w:t>
      </w:r>
    </w:p>
    <w:p w14:paraId="29671C86" w14:textId="77777777" w:rsidR="00763609" w:rsidRPr="00695B2C" w:rsidRDefault="00C93308"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Para los efectos del presente Código, el Policía tendrá las siguientes obligaciones: </w:t>
      </w:r>
    </w:p>
    <w:p w14:paraId="63E81836" w14:textId="77777777" w:rsidR="00763609" w:rsidRPr="00695B2C" w:rsidRDefault="00C93308"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I. </w:t>
      </w:r>
      <w:r w:rsidRPr="00695B2C">
        <w:rPr>
          <w:rFonts w:cs="Tahoma"/>
          <w:b/>
          <w:i/>
          <w:color w:val="000000"/>
          <w:sz w:val="20"/>
          <w:szCs w:val="20"/>
          <w:lang w:val="es-ES"/>
        </w:rPr>
        <w:t xml:space="preserve">Recibir las denuncias </w:t>
      </w:r>
      <w:r w:rsidRPr="00695B2C">
        <w:rPr>
          <w:rFonts w:cs="Tahoma"/>
          <w:bCs/>
          <w:i/>
          <w:color w:val="000000"/>
          <w:sz w:val="20"/>
          <w:szCs w:val="20"/>
          <w:lang w:val="es-ES"/>
        </w:rPr>
        <w:t xml:space="preserve">sobre hechos que puedan ser constitutivos de delito </w:t>
      </w:r>
      <w:r w:rsidRPr="00695B2C">
        <w:rPr>
          <w:rFonts w:cs="Tahoma"/>
          <w:b/>
          <w:i/>
          <w:color w:val="000000"/>
          <w:sz w:val="20"/>
          <w:szCs w:val="20"/>
          <w:lang w:val="es-ES"/>
        </w:rPr>
        <w:t>e informar al Ministerio Público</w:t>
      </w:r>
      <w:r w:rsidRPr="00695B2C">
        <w:rPr>
          <w:rFonts w:cs="Tahoma"/>
          <w:bCs/>
          <w:i/>
          <w:color w:val="000000"/>
          <w:sz w:val="20"/>
          <w:szCs w:val="20"/>
          <w:lang w:val="es-ES"/>
        </w:rPr>
        <w:t xml:space="preserve"> por cualquier medio y </w:t>
      </w:r>
      <w:r w:rsidRPr="00695B2C">
        <w:rPr>
          <w:rFonts w:cs="Tahoma"/>
          <w:b/>
          <w:i/>
          <w:color w:val="000000"/>
          <w:sz w:val="20"/>
          <w:szCs w:val="20"/>
          <w:lang w:val="es-ES"/>
        </w:rPr>
        <w:t>de forma inmediata</w:t>
      </w:r>
      <w:r w:rsidRPr="00695B2C">
        <w:rPr>
          <w:rFonts w:cs="Tahoma"/>
          <w:bCs/>
          <w:i/>
          <w:color w:val="000000"/>
          <w:sz w:val="20"/>
          <w:szCs w:val="20"/>
          <w:lang w:val="es-ES"/>
        </w:rPr>
        <w:t xml:space="preserve"> de </w:t>
      </w:r>
      <w:r w:rsidRPr="00695B2C">
        <w:rPr>
          <w:rFonts w:cs="Tahoma"/>
          <w:b/>
          <w:i/>
          <w:color w:val="000000"/>
          <w:sz w:val="20"/>
          <w:szCs w:val="20"/>
          <w:lang w:val="es-ES"/>
        </w:rPr>
        <w:t>las diligencias practicadas</w:t>
      </w:r>
      <w:r w:rsidRPr="00695B2C">
        <w:rPr>
          <w:rFonts w:cs="Tahoma"/>
          <w:bCs/>
          <w:i/>
          <w:color w:val="000000"/>
          <w:sz w:val="20"/>
          <w:szCs w:val="20"/>
          <w:lang w:val="es-ES"/>
        </w:rPr>
        <w:t xml:space="preserve">; </w:t>
      </w:r>
    </w:p>
    <w:p w14:paraId="2945339C" w14:textId="77777777" w:rsidR="00763609" w:rsidRPr="00695B2C" w:rsidRDefault="00C93308"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II. </w:t>
      </w:r>
      <w:r w:rsidRPr="00695B2C">
        <w:rPr>
          <w:rFonts w:cs="Tahoma"/>
          <w:b/>
          <w:i/>
          <w:color w:val="000000"/>
          <w:sz w:val="20"/>
          <w:szCs w:val="20"/>
          <w:lang w:val="es-ES"/>
        </w:rPr>
        <w:t>Recibir denuncias anónimas e inmediatamente hacerlo del conocimiento del Ministerio Público</w:t>
      </w:r>
      <w:r w:rsidRPr="00695B2C">
        <w:rPr>
          <w:rFonts w:cs="Tahoma"/>
          <w:bCs/>
          <w:i/>
          <w:color w:val="000000"/>
          <w:sz w:val="20"/>
          <w:szCs w:val="20"/>
          <w:lang w:val="es-ES"/>
        </w:rPr>
        <w:t xml:space="preserve"> a efecto de que éste coordine la investigación; </w:t>
      </w:r>
    </w:p>
    <w:p w14:paraId="0A7F47E8" w14:textId="77777777" w:rsidR="00763609" w:rsidRPr="00695B2C" w:rsidRDefault="00C93308"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III. Realizar detenciones en los casos que autoriza la Constitución, haciendo saber a la persona detenida los derechos que ésta le otorga; </w:t>
      </w:r>
    </w:p>
    <w:p w14:paraId="64EBAB4C" w14:textId="77777777" w:rsidR="00763609" w:rsidRPr="00695B2C" w:rsidRDefault="00C93308"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IV. Impedir que se consumen los delitos o que los hechos produzcan consecuencias ulteriores. Especialmente estará obligada a realizar todos los actos necesarios para evitar una agresión real, </w:t>
      </w:r>
      <w:r w:rsidRPr="00695B2C">
        <w:rPr>
          <w:rFonts w:cs="Tahoma"/>
          <w:bCs/>
          <w:i/>
          <w:color w:val="000000"/>
          <w:sz w:val="20"/>
          <w:szCs w:val="20"/>
          <w:lang w:val="es-ES"/>
        </w:rPr>
        <w:lastRenderedPageBreak/>
        <w:t xml:space="preserve">actual o inminente y sin derecho en protección de bienes jurídicos de los gobernados a quienes tiene la obligación de proteger; </w:t>
      </w:r>
    </w:p>
    <w:p w14:paraId="3ABD54BF" w14:textId="018B9600" w:rsidR="00C93308" w:rsidRPr="00695B2C" w:rsidRDefault="00C93308" w:rsidP="006461DA">
      <w:pPr>
        <w:spacing w:after="0" w:line="360" w:lineRule="auto"/>
        <w:ind w:left="567" w:right="616"/>
        <w:rPr>
          <w:rFonts w:cs="Tahoma"/>
          <w:b/>
          <w:i/>
          <w:color w:val="000000"/>
          <w:sz w:val="20"/>
          <w:szCs w:val="20"/>
          <w:lang w:val="es-ES"/>
        </w:rPr>
      </w:pPr>
      <w:r w:rsidRPr="00695B2C">
        <w:rPr>
          <w:rFonts w:cs="Tahoma"/>
          <w:b/>
          <w:i/>
          <w:color w:val="000000"/>
          <w:sz w:val="20"/>
          <w:szCs w:val="20"/>
          <w:lang w:val="es-ES"/>
        </w:rPr>
        <w:t>V. Actuar bajo el mando del Ministerio Público en el aseguramiento de bienes relacionados con la investigación de los delitos;</w:t>
      </w:r>
    </w:p>
    <w:p w14:paraId="439683CE" w14:textId="77777777" w:rsidR="00763609" w:rsidRPr="00695B2C" w:rsidRDefault="0076360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VI. Informar sin dilación por cualquier medio al Ministerio Público sobre la detención de cualquier persona, e inscribir inmediatamente las detenciones en el registro que al efecto establezcan las disposiciones aplicables; </w:t>
      </w:r>
    </w:p>
    <w:p w14:paraId="046A9149" w14:textId="77777777" w:rsidR="00763609" w:rsidRPr="00695B2C" w:rsidRDefault="0076360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VII. Practicar las inspecciones y otros actos de investigación, así como reportar sus resultados al Ministerio Público. En aquellos que se requiera autorización judicial, deberá solicitarla a través del Ministerio Público; </w:t>
      </w:r>
    </w:p>
    <w:p w14:paraId="39A506B9" w14:textId="77777777" w:rsidR="00763609" w:rsidRPr="00695B2C" w:rsidRDefault="0076360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VIII. Preservar el lugar de los hechos o del hallazgo y en general, realizar todos los actos necesarios para garantizar la integridad de los indicios. En su caso deberá dar aviso a la Policía con capacidades para procesar la escena del hecho y al Ministerio Público conforme a las disposiciones previstas en este Código y en la legislación aplicable; </w:t>
      </w:r>
    </w:p>
    <w:p w14:paraId="1C53CA6A" w14:textId="77777777" w:rsidR="00763609" w:rsidRPr="00695B2C" w:rsidRDefault="0076360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IX. Recolectar y resguardar objetos relacionados con la investigación de los delitos, en los términos de la fracción anterior; </w:t>
      </w:r>
    </w:p>
    <w:p w14:paraId="79454BC8" w14:textId="77777777" w:rsidR="00763609" w:rsidRPr="00695B2C" w:rsidRDefault="0076360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X. Entrevistar a las personas que pudieran aportar algún dato o elemento para la investigación; </w:t>
      </w:r>
    </w:p>
    <w:p w14:paraId="4455CFBE" w14:textId="77777777" w:rsidR="00763609" w:rsidRPr="00695B2C" w:rsidRDefault="0076360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XI. Requerir a las autoridades competentes y solicitar a las personas físicas o morales, informes y documentos para fines de la investigación. En caso de negativa, informará al Ministerio Público para que determine lo conducente; </w:t>
      </w:r>
    </w:p>
    <w:p w14:paraId="2AA43ED7" w14:textId="77777777" w:rsidR="00763609" w:rsidRPr="00695B2C" w:rsidRDefault="0076360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XII. Proporcionar atención a víctimas u ofendidos o testigos del delito. Para tal efecto, deberá: </w:t>
      </w:r>
    </w:p>
    <w:p w14:paraId="48968952" w14:textId="77777777" w:rsidR="00763609" w:rsidRPr="00695B2C" w:rsidRDefault="0076360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a) Prestar protección y auxilio inmediato, de conformidad con las disposiciones aplicables; </w:t>
      </w:r>
    </w:p>
    <w:p w14:paraId="37301A9F" w14:textId="77777777" w:rsidR="00763609" w:rsidRPr="00695B2C" w:rsidRDefault="0076360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b) Informar a la víctima u ofendido sobre los derechos que en su favor se establecen; </w:t>
      </w:r>
    </w:p>
    <w:p w14:paraId="67185400" w14:textId="77777777" w:rsidR="00763609" w:rsidRPr="00695B2C" w:rsidRDefault="0076360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c) Procurar que reciban atención médica y psicológica cuando sea necesaria, y </w:t>
      </w:r>
    </w:p>
    <w:p w14:paraId="45603291" w14:textId="77777777" w:rsidR="00763609" w:rsidRPr="00695B2C" w:rsidRDefault="0076360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d) Adoptar las medidas que se consideren necesarias, en el ámbito de su competencia, tendientes a evitar que se ponga en peligro su integridad física y psicológica; </w:t>
      </w:r>
    </w:p>
    <w:p w14:paraId="40518B40" w14:textId="77777777" w:rsidR="00763609" w:rsidRPr="00695B2C" w:rsidRDefault="0076360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XIII. Dar cumplimiento a los mandamientos ministeriales y jurisdiccionales que les sean instruidos; XIV. Emitir el informe policial y demás documentos, de conformidad con las disposiciones aplicables. </w:t>
      </w:r>
      <w:r w:rsidRPr="00695B2C">
        <w:rPr>
          <w:rFonts w:cs="Tahoma"/>
          <w:bCs/>
          <w:i/>
          <w:color w:val="000000"/>
          <w:sz w:val="20"/>
          <w:szCs w:val="20"/>
          <w:lang w:val="es-ES"/>
        </w:rPr>
        <w:lastRenderedPageBreak/>
        <w:t xml:space="preserve">Para tal efecto se podrá apoyar en los conocimientos que resulten necesarios, sin que ello tenga el carácter de informes periciales, y </w:t>
      </w:r>
    </w:p>
    <w:p w14:paraId="63062E41" w14:textId="7A378E0D" w:rsidR="00763609" w:rsidRPr="00695B2C" w:rsidRDefault="00763609"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XV. Las demás que le confieran este Código y otras disposiciones aplicables.</w:t>
      </w:r>
    </w:p>
    <w:p w14:paraId="2FA96F98" w14:textId="0E6C0F27" w:rsidR="00763609" w:rsidRPr="00695B2C" w:rsidRDefault="00763609" w:rsidP="006461DA">
      <w:pPr>
        <w:spacing w:after="0" w:line="360" w:lineRule="auto"/>
        <w:ind w:firstLine="567"/>
        <w:rPr>
          <w:rFonts w:cs="Tahoma"/>
        </w:rPr>
      </w:pPr>
      <w:r w:rsidRPr="00695B2C">
        <w:rPr>
          <w:rFonts w:cs="Tahoma"/>
        </w:rPr>
        <w:t>(Énfasis añadido)</w:t>
      </w:r>
    </w:p>
    <w:p w14:paraId="1388C4A5" w14:textId="1D5E66FB" w:rsidR="00763609" w:rsidRPr="00695B2C" w:rsidRDefault="00763609" w:rsidP="006461DA">
      <w:pPr>
        <w:spacing w:after="0" w:line="360" w:lineRule="auto"/>
        <w:rPr>
          <w:rFonts w:cs="Tahoma"/>
          <w:highlight w:val="yellow"/>
        </w:rPr>
      </w:pPr>
    </w:p>
    <w:p w14:paraId="7A698EFF" w14:textId="6B48E9B7" w:rsidR="00763609" w:rsidRDefault="00D87760" w:rsidP="006461DA">
      <w:pPr>
        <w:spacing w:after="0" w:line="360" w:lineRule="auto"/>
        <w:ind w:right="616"/>
        <w:rPr>
          <w:rFonts w:cs="Tahoma"/>
          <w:b/>
          <w:bCs/>
        </w:rPr>
      </w:pPr>
      <w:r w:rsidRPr="00695B2C">
        <w:rPr>
          <w:rFonts w:cs="Tahoma"/>
          <w:b/>
          <w:bCs/>
        </w:rPr>
        <w:t>Ley General del Sistema Nacional de Seguridad Pública</w:t>
      </w:r>
    </w:p>
    <w:p w14:paraId="673AFF66" w14:textId="77777777" w:rsidR="00A037DA" w:rsidRPr="00695B2C" w:rsidRDefault="00A037DA" w:rsidP="006461DA">
      <w:pPr>
        <w:spacing w:after="0" w:line="360" w:lineRule="auto"/>
        <w:ind w:right="616"/>
        <w:rPr>
          <w:rFonts w:cs="Tahoma"/>
          <w:b/>
          <w:bCs/>
        </w:rPr>
      </w:pPr>
    </w:p>
    <w:p w14:paraId="69745258" w14:textId="6C6A97D3" w:rsidR="00D87760" w:rsidRPr="00695B2C" w:rsidRDefault="00D87760"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Artículo 41.- Además de lo señalado en el artículo anterior, los integrantes de las Instituciones Policiales, tendrán específicamente las obligaciones siguientes:</w:t>
      </w:r>
    </w:p>
    <w:p w14:paraId="504F5B35" w14:textId="25F946D3" w:rsidR="00D87760" w:rsidRPr="00695B2C" w:rsidRDefault="00D87760"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I. al II. …</w:t>
      </w:r>
    </w:p>
    <w:p w14:paraId="671EE4FE" w14:textId="2BD60479" w:rsidR="00D87760" w:rsidRPr="00695B2C" w:rsidRDefault="00D87760" w:rsidP="006461DA">
      <w:pPr>
        <w:spacing w:after="0" w:line="360" w:lineRule="auto"/>
        <w:ind w:left="567" w:right="616"/>
        <w:rPr>
          <w:rFonts w:cs="Tahoma"/>
          <w:b/>
          <w:i/>
          <w:color w:val="000000"/>
          <w:sz w:val="20"/>
          <w:szCs w:val="20"/>
          <w:lang w:val="es-ES"/>
        </w:rPr>
      </w:pPr>
      <w:r w:rsidRPr="00695B2C">
        <w:rPr>
          <w:rFonts w:cs="Tahoma"/>
          <w:b/>
          <w:i/>
          <w:color w:val="000000"/>
          <w:sz w:val="20"/>
          <w:szCs w:val="20"/>
          <w:lang w:val="es-ES"/>
        </w:rPr>
        <w:t>III. Apoyar a las autoridades que así se lo soliciten en la investigación y persecución de delitos bajo el mando y conducción del Ministerio Público, así como en situaciones de grave riesgo, catástrofes o desastres;</w:t>
      </w:r>
    </w:p>
    <w:p w14:paraId="4C7672B8" w14:textId="1BCA3463" w:rsidR="00D87760" w:rsidRPr="00695B2C" w:rsidRDefault="00D87760" w:rsidP="006461DA">
      <w:pPr>
        <w:spacing w:after="0" w:line="360" w:lineRule="auto"/>
        <w:ind w:left="567" w:right="616"/>
        <w:rPr>
          <w:rFonts w:cs="Tahoma"/>
          <w:b/>
          <w:i/>
          <w:color w:val="000000"/>
          <w:sz w:val="20"/>
          <w:szCs w:val="20"/>
          <w:lang w:val="es-ES"/>
        </w:rPr>
      </w:pPr>
      <w:r w:rsidRPr="00695B2C">
        <w:rPr>
          <w:rFonts w:cs="Tahoma"/>
          <w:b/>
          <w:i/>
          <w:color w:val="000000"/>
          <w:sz w:val="20"/>
          <w:szCs w:val="20"/>
          <w:lang w:val="es-ES"/>
        </w:rPr>
        <w:t>IV. Ejecutar los mandamientos judiciales y ministeriales;</w:t>
      </w:r>
    </w:p>
    <w:p w14:paraId="39ECF0B0" w14:textId="50D99A8C" w:rsidR="00D87760" w:rsidRPr="00695B2C" w:rsidRDefault="00D87760"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IV. al XI. </w:t>
      </w:r>
    </w:p>
    <w:p w14:paraId="195D2F24" w14:textId="77777777" w:rsidR="00254F51" w:rsidRPr="00695B2C" w:rsidRDefault="00254F51" w:rsidP="006461DA">
      <w:pPr>
        <w:spacing w:after="0" w:line="360" w:lineRule="auto"/>
        <w:ind w:firstLine="567"/>
        <w:rPr>
          <w:rFonts w:cs="Tahoma"/>
        </w:rPr>
      </w:pPr>
      <w:r w:rsidRPr="00695B2C">
        <w:rPr>
          <w:rFonts w:cs="Tahoma"/>
        </w:rPr>
        <w:t>(Énfasis añadido)</w:t>
      </w:r>
    </w:p>
    <w:p w14:paraId="15D1420D" w14:textId="501AFB81" w:rsidR="00D87760" w:rsidRPr="00695B2C" w:rsidRDefault="00D87760" w:rsidP="006461DA">
      <w:pPr>
        <w:spacing w:after="0" w:line="360" w:lineRule="auto"/>
        <w:ind w:right="616"/>
        <w:rPr>
          <w:rFonts w:cs="Tahoma"/>
          <w:highlight w:val="yellow"/>
        </w:rPr>
      </w:pPr>
    </w:p>
    <w:p w14:paraId="433318E4" w14:textId="447628D3" w:rsidR="0005390B" w:rsidRPr="00695B2C" w:rsidRDefault="0005390B" w:rsidP="006461DA">
      <w:pPr>
        <w:spacing w:after="0" w:line="360" w:lineRule="auto"/>
        <w:rPr>
          <w:rFonts w:cs="Tahoma"/>
        </w:rPr>
      </w:pPr>
      <w:r w:rsidRPr="00695B2C">
        <w:rPr>
          <w:rFonts w:cs="Tahoma"/>
        </w:rPr>
        <w:t xml:space="preserve">Es en este contexto, no se logra advertir permiso alguno que deba ser requerido por el Ministerio Publica a la autoridad administrativa municipal, pues su coordinación con las </w:t>
      </w:r>
      <w:r w:rsidR="00254F51" w:rsidRPr="00695B2C">
        <w:rPr>
          <w:rFonts w:cs="Tahoma"/>
        </w:rPr>
        <w:t>policías</w:t>
      </w:r>
      <w:r w:rsidRPr="00695B2C">
        <w:rPr>
          <w:rFonts w:cs="Tahoma"/>
        </w:rPr>
        <w:t xml:space="preserve"> se realiza por atribuciones constitucionales perfectamente delimitadas por el Código Nacional de Procedimientos Penales y la Ley General del Sistema Nacional de Seguridad Pública</w:t>
      </w:r>
      <w:r w:rsidR="00254F51" w:rsidRPr="00695B2C">
        <w:rPr>
          <w:rFonts w:cs="Tahoma"/>
        </w:rPr>
        <w:t>.</w:t>
      </w:r>
    </w:p>
    <w:p w14:paraId="0408F4CE" w14:textId="050E31EE" w:rsidR="00254F51" w:rsidRPr="00695B2C" w:rsidRDefault="00254F51" w:rsidP="006461DA">
      <w:pPr>
        <w:spacing w:after="0" w:line="360" w:lineRule="auto"/>
        <w:rPr>
          <w:rFonts w:cs="Tahoma"/>
        </w:rPr>
      </w:pPr>
    </w:p>
    <w:p w14:paraId="0C9E2BC4" w14:textId="18AFA3EC" w:rsidR="00254F51" w:rsidRPr="00695B2C" w:rsidRDefault="00254F51" w:rsidP="006461DA">
      <w:pPr>
        <w:spacing w:after="0" w:line="360" w:lineRule="auto"/>
        <w:rPr>
          <w:rFonts w:cs="Tahoma"/>
        </w:rPr>
      </w:pPr>
      <w:r w:rsidRPr="00695B2C">
        <w:rPr>
          <w:rFonts w:cs="Tahoma"/>
        </w:rPr>
        <w:t>En este contexto, se identifica, que la Constitución Política del Estado Libre y Soberano de México, así como la Ley de Seguridad del Estado de México, contemplan también, las atribuciones del Ministerio Público, de los policías, así como la coordinación que deben realizar.</w:t>
      </w:r>
    </w:p>
    <w:p w14:paraId="5DA30D15" w14:textId="77777777" w:rsidR="00A037DA" w:rsidRDefault="00A037DA" w:rsidP="006461DA">
      <w:pPr>
        <w:spacing w:after="0" w:line="360" w:lineRule="auto"/>
        <w:ind w:right="-93"/>
        <w:rPr>
          <w:rFonts w:cs="Tahoma"/>
          <w:b/>
          <w:bCs/>
        </w:rPr>
      </w:pPr>
    </w:p>
    <w:p w14:paraId="0B057A7F" w14:textId="4C43BC7E" w:rsidR="00254F51" w:rsidRPr="00695B2C" w:rsidRDefault="00254F51" w:rsidP="006461DA">
      <w:pPr>
        <w:spacing w:after="0" w:line="360" w:lineRule="auto"/>
        <w:ind w:right="-93"/>
        <w:rPr>
          <w:rFonts w:cs="Tahoma"/>
          <w:b/>
          <w:bCs/>
        </w:rPr>
      </w:pPr>
      <w:r w:rsidRPr="00695B2C">
        <w:rPr>
          <w:rFonts w:cs="Tahoma"/>
          <w:b/>
          <w:bCs/>
        </w:rPr>
        <w:lastRenderedPageBreak/>
        <w:t>Constitución Política del Estado Libre y Soberano de</w:t>
      </w:r>
      <w:r w:rsidR="00AF0E12">
        <w:rPr>
          <w:rFonts w:cs="Tahoma"/>
          <w:b/>
          <w:bCs/>
        </w:rPr>
        <w:t xml:space="preserve"> </w:t>
      </w:r>
      <w:r w:rsidRPr="00695B2C">
        <w:rPr>
          <w:rFonts w:cs="Tahoma"/>
          <w:b/>
          <w:bCs/>
        </w:rPr>
        <w:t>México.</w:t>
      </w:r>
    </w:p>
    <w:p w14:paraId="09DB5A4F" w14:textId="0435A4AE" w:rsidR="00254F51" w:rsidRPr="00695B2C" w:rsidRDefault="00254F51" w:rsidP="006461DA">
      <w:pPr>
        <w:spacing w:after="0" w:line="360" w:lineRule="auto"/>
        <w:ind w:left="567" w:right="616"/>
        <w:rPr>
          <w:rFonts w:cs="Tahoma"/>
          <w:b/>
          <w:bCs/>
        </w:rPr>
      </w:pPr>
    </w:p>
    <w:p w14:paraId="09FE8F3A" w14:textId="77777777" w:rsidR="00254F51" w:rsidRPr="00695B2C" w:rsidRDefault="00254F51" w:rsidP="006461DA">
      <w:pPr>
        <w:spacing w:after="0" w:line="360" w:lineRule="auto"/>
        <w:ind w:left="567" w:right="616"/>
        <w:rPr>
          <w:rFonts w:cs="Tahoma"/>
          <w:b/>
          <w:i/>
          <w:color w:val="000000"/>
          <w:sz w:val="20"/>
          <w:szCs w:val="20"/>
          <w:lang w:val="es-ES"/>
        </w:rPr>
      </w:pPr>
      <w:r w:rsidRPr="00695B2C">
        <w:rPr>
          <w:rFonts w:cs="Tahoma"/>
          <w:b/>
          <w:i/>
          <w:color w:val="000000"/>
          <w:sz w:val="20"/>
          <w:szCs w:val="20"/>
          <w:lang w:val="es-ES"/>
        </w:rPr>
        <w:t xml:space="preserve">Artículo 81.- La investigación de los delitos corresponde al Ministerio Público y a las policías, las cuales actuarán bajo la conducción y mando de aquél en el ejercicio de esta función. </w:t>
      </w:r>
    </w:p>
    <w:p w14:paraId="16EE7605" w14:textId="77777777" w:rsidR="00254F51" w:rsidRPr="00695B2C" w:rsidRDefault="00254F51" w:rsidP="006461DA">
      <w:pPr>
        <w:spacing w:after="0" w:line="360" w:lineRule="auto"/>
        <w:ind w:left="567" w:right="616"/>
        <w:rPr>
          <w:rFonts w:cs="Tahoma"/>
          <w:bCs/>
          <w:i/>
          <w:color w:val="000000"/>
          <w:sz w:val="20"/>
          <w:szCs w:val="20"/>
          <w:lang w:val="es-ES"/>
        </w:rPr>
      </w:pPr>
    </w:p>
    <w:p w14:paraId="4C5B95DF" w14:textId="77777777" w:rsidR="00254F51" w:rsidRPr="00695B2C" w:rsidRDefault="00254F51"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La persecución de los delitos y la decisión del ejercicio de la acción penal ante los órganos jurisdiccionales corresponden, en forma autónoma, al Ministerio Público. Los particulares podrán ejercer la acción penal ante la autoridad judicial y hacer la persecución del delito en los casos previstos en la ley. </w:t>
      </w:r>
    </w:p>
    <w:p w14:paraId="777EB760" w14:textId="77777777" w:rsidR="00254F51" w:rsidRPr="00695B2C" w:rsidRDefault="00254F51" w:rsidP="006461DA">
      <w:pPr>
        <w:spacing w:after="0" w:line="360" w:lineRule="auto"/>
        <w:ind w:left="567" w:right="616"/>
        <w:rPr>
          <w:rFonts w:cs="Tahoma"/>
          <w:bCs/>
          <w:i/>
          <w:color w:val="000000"/>
          <w:sz w:val="20"/>
          <w:szCs w:val="20"/>
          <w:lang w:val="es-ES"/>
        </w:rPr>
      </w:pPr>
    </w:p>
    <w:p w14:paraId="5DABADFC" w14:textId="77777777" w:rsidR="00254F51" w:rsidRPr="00695B2C" w:rsidRDefault="00254F51" w:rsidP="006461DA">
      <w:pPr>
        <w:spacing w:after="0" w:line="360" w:lineRule="auto"/>
        <w:ind w:left="567" w:right="616"/>
        <w:rPr>
          <w:rFonts w:cs="Tahoma"/>
          <w:b/>
          <w:i/>
          <w:color w:val="000000"/>
          <w:sz w:val="20"/>
          <w:szCs w:val="20"/>
          <w:lang w:val="es-ES"/>
        </w:rPr>
      </w:pPr>
      <w:r w:rsidRPr="00695B2C">
        <w:rPr>
          <w:rFonts w:cs="Tahoma"/>
          <w:b/>
          <w:i/>
          <w:color w:val="000000"/>
          <w:sz w:val="20"/>
          <w:szCs w:val="20"/>
          <w:lang w:val="es-ES"/>
        </w:rPr>
        <w:t xml:space="preserve">Las policías del Estado auxiliarán al Ministerio Público en el cumplimiento de sus atribuciones. </w:t>
      </w:r>
    </w:p>
    <w:p w14:paraId="5D450627" w14:textId="77777777" w:rsidR="00254F51" w:rsidRPr="00695B2C" w:rsidRDefault="00254F51" w:rsidP="006461DA">
      <w:pPr>
        <w:spacing w:after="0" w:line="360" w:lineRule="auto"/>
        <w:ind w:left="567" w:right="616"/>
        <w:rPr>
          <w:rFonts w:cs="Tahoma"/>
          <w:b/>
          <w:i/>
          <w:color w:val="000000"/>
          <w:sz w:val="20"/>
          <w:szCs w:val="20"/>
          <w:lang w:val="es-ES"/>
        </w:rPr>
      </w:pPr>
    </w:p>
    <w:p w14:paraId="75CE190B" w14:textId="77777777" w:rsidR="00254F51" w:rsidRPr="00695B2C" w:rsidRDefault="00254F51"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Todas las autoridades del Estado y los municipios, deben cumplir los requerimientos del Ministerio Público en ejercicio de sus atribuciones. </w:t>
      </w:r>
    </w:p>
    <w:p w14:paraId="66B0EEF8" w14:textId="77777777" w:rsidR="00254F51" w:rsidRPr="00695B2C" w:rsidRDefault="00254F51" w:rsidP="006461DA">
      <w:pPr>
        <w:spacing w:after="0" w:line="360" w:lineRule="auto"/>
        <w:ind w:left="567" w:right="616"/>
        <w:rPr>
          <w:rFonts w:cs="Tahoma"/>
          <w:bCs/>
          <w:i/>
          <w:color w:val="000000"/>
          <w:sz w:val="20"/>
          <w:szCs w:val="20"/>
          <w:lang w:val="es-ES"/>
        </w:rPr>
      </w:pPr>
    </w:p>
    <w:p w14:paraId="31A3A01D" w14:textId="77777777" w:rsidR="00254F51" w:rsidRPr="00695B2C" w:rsidRDefault="00254F51"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El Ministerio Público solicitará las medidas cautelares contra los imputados y providencias precautorias, buscará y presentará las pruebas que acrediten la participación de éstos en hechos que las leyes señalen como delitos, aplicará medidas de protección, procurará que los procesos en materia penal se sigan con regularidad para que la impartición de justicia sea pronta y expedita, pedirá la aplicación de las penas e intervendrá en todos los asuntos que la Ley determine. </w:t>
      </w:r>
    </w:p>
    <w:p w14:paraId="21C9DC4B" w14:textId="77777777" w:rsidR="00254F51" w:rsidRPr="00695B2C" w:rsidRDefault="00254F51" w:rsidP="006461DA">
      <w:pPr>
        <w:spacing w:after="0" w:line="360" w:lineRule="auto"/>
        <w:ind w:left="567" w:right="616"/>
        <w:rPr>
          <w:rFonts w:cs="Tahoma"/>
          <w:bCs/>
          <w:i/>
          <w:color w:val="000000"/>
          <w:sz w:val="20"/>
          <w:szCs w:val="20"/>
          <w:lang w:val="es-ES"/>
        </w:rPr>
      </w:pPr>
    </w:p>
    <w:p w14:paraId="18FB51D9" w14:textId="6D424123" w:rsidR="00254F51" w:rsidRPr="00695B2C" w:rsidRDefault="00254F51"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Asimismo, podrá aplicar mecanismos alternativos de solución de controversias, criterios de oportunidad para el ejercicio de la acción penal y formas anticipadas de terminación del procedimiento, en los supuestos y condiciones que establezcan las leyes.</w:t>
      </w:r>
    </w:p>
    <w:p w14:paraId="2ABBFBAF" w14:textId="77777777" w:rsidR="00254F51" w:rsidRPr="00695B2C" w:rsidRDefault="00254F51" w:rsidP="006461DA">
      <w:pPr>
        <w:spacing w:after="0" w:line="360" w:lineRule="auto"/>
        <w:ind w:firstLine="567"/>
        <w:rPr>
          <w:rFonts w:cs="Tahoma"/>
        </w:rPr>
      </w:pPr>
      <w:r w:rsidRPr="00695B2C">
        <w:rPr>
          <w:rFonts w:cs="Tahoma"/>
        </w:rPr>
        <w:t>(Énfasis añadido)</w:t>
      </w:r>
    </w:p>
    <w:p w14:paraId="3FCA497E" w14:textId="77777777" w:rsidR="00254F51" w:rsidRPr="00695B2C" w:rsidRDefault="00254F51" w:rsidP="006461DA">
      <w:pPr>
        <w:spacing w:after="0" w:line="360" w:lineRule="auto"/>
        <w:rPr>
          <w:rFonts w:cs="Tahoma"/>
        </w:rPr>
      </w:pPr>
    </w:p>
    <w:p w14:paraId="3784158A" w14:textId="77777777" w:rsidR="007B13C2" w:rsidRPr="00695B2C" w:rsidRDefault="007B13C2" w:rsidP="006461DA">
      <w:pPr>
        <w:spacing w:after="0" w:line="360" w:lineRule="auto"/>
        <w:ind w:left="567" w:right="616"/>
        <w:rPr>
          <w:rFonts w:cs="Tahoma"/>
          <w:b/>
          <w:i/>
          <w:color w:val="000000"/>
          <w:sz w:val="20"/>
          <w:szCs w:val="20"/>
          <w:lang w:val="es-ES"/>
        </w:rPr>
      </w:pPr>
      <w:r w:rsidRPr="00695B2C">
        <w:rPr>
          <w:rFonts w:cs="Tahoma"/>
          <w:b/>
          <w:i/>
          <w:color w:val="000000"/>
          <w:sz w:val="20"/>
          <w:szCs w:val="20"/>
          <w:lang w:val="es-ES"/>
        </w:rPr>
        <w:lastRenderedPageBreak/>
        <w:t xml:space="preserve">Artículo 86.- El Ministerio Público y las policías se coordinarán en términos de la Ley General del Sistema Nacional de Seguridad Pública, así como de la Ley local en la materia. </w:t>
      </w:r>
    </w:p>
    <w:p w14:paraId="32107320" w14:textId="77777777" w:rsidR="007B13C2" w:rsidRPr="00695B2C" w:rsidRDefault="007B13C2" w:rsidP="006461DA">
      <w:pPr>
        <w:spacing w:after="0" w:line="360" w:lineRule="auto"/>
        <w:ind w:left="567" w:right="616"/>
        <w:rPr>
          <w:rFonts w:cs="Tahoma"/>
          <w:bCs/>
          <w:i/>
          <w:color w:val="000000"/>
          <w:sz w:val="20"/>
          <w:szCs w:val="20"/>
          <w:lang w:val="es-ES"/>
        </w:rPr>
      </w:pPr>
    </w:p>
    <w:p w14:paraId="362F75FB" w14:textId="7928BC1C" w:rsidR="0005390B" w:rsidRPr="00695B2C" w:rsidRDefault="007B13C2"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El Ministerio Público y las policías, en el ejercicio de sus funciones, prestarán el auxilio que les soliciten los órganos del poder público y los órganos constitucionales autónomos.</w:t>
      </w:r>
    </w:p>
    <w:p w14:paraId="6C8D5680" w14:textId="77777777" w:rsidR="007B13C2" w:rsidRPr="00695B2C" w:rsidRDefault="007B13C2" w:rsidP="006461DA">
      <w:pPr>
        <w:spacing w:after="0" w:line="360" w:lineRule="auto"/>
        <w:ind w:firstLine="567"/>
        <w:rPr>
          <w:rFonts w:cs="Tahoma"/>
        </w:rPr>
      </w:pPr>
      <w:r w:rsidRPr="00695B2C">
        <w:rPr>
          <w:rFonts w:cs="Tahoma"/>
        </w:rPr>
        <w:t>(Énfasis añadido)</w:t>
      </w:r>
    </w:p>
    <w:p w14:paraId="2AC57516" w14:textId="2EA3584C" w:rsidR="007B13C2" w:rsidRPr="00695B2C" w:rsidRDefault="007B13C2" w:rsidP="006461DA">
      <w:pPr>
        <w:spacing w:after="0" w:line="360" w:lineRule="auto"/>
        <w:ind w:left="567" w:right="616"/>
        <w:rPr>
          <w:rFonts w:cs="Tahoma"/>
          <w:bCs/>
          <w:i/>
          <w:color w:val="000000"/>
          <w:sz w:val="20"/>
          <w:szCs w:val="20"/>
          <w:lang w:val="es-ES"/>
        </w:rPr>
      </w:pPr>
    </w:p>
    <w:p w14:paraId="4FED380D" w14:textId="6B251850" w:rsidR="00F65B95" w:rsidRPr="00695B2C" w:rsidRDefault="00F65B95"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Preceptos contenidos en la Ley de Seguridad del Estado de México</w:t>
      </w:r>
    </w:p>
    <w:p w14:paraId="612BB764" w14:textId="7A5E1848" w:rsidR="00F65B95" w:rsidRPr="00695B2C" w:rsidRDefault="00F65B95"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Artículo 6.- Para los efectos de esta Ley, se entenderá por:</w:t>
      </w:r>
    </w:p>
    <w:p w14:paraId="06D66C09" w14:textId="4C7C0CCE" w:rsidR="00F65B95" w:rsidRPr="00695B2C" w:rsidRDefault="00F65B95"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I. al X. …</w:t>
      </w:r>
    </w:p>
    <w:p w14:paraId="4E0428FB" w14:textId="60C929DC" w:rsidR="00F65B95" w:rsidRPr="00695B2C" w:rsidRDefault="00F65B95"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XI. Instituciones Policiales: a los cuerpos de policía, de vigilancia y custodia de los establecimientos penitenciarios, de detención preventiva y de centros de arraigos; y en general, todas las dependencias encargadas de la seguridad pública a nivel estatal y municipal, que realicen funciones similares;</w:t>
      </w:r>
    </w:p>
    <w:p w14:paraId="2057CD9E" w14:textId="6377E111" w:rsidR="00F65B95" w:rsidRPr="00695B2C" w:rsidRDefault="00F65B95" w:rsidP="006461DA">
      <w:pPr>
        <w:spacing w:after="0" w:line="360" w:lineRule="auto"/>
        <w:ind w:left="567" w:right="616"/>
        <w:rPr>
          <w:rFonts w:cs="Tahoma"/>
          <w:bCs/>
          <w:i/>
          <w:color w:val="000000"/>
          <w:sz w:val="20"/>
          <w:szCs w:val="20"/>
          <w:lang w:val="es-ES"/>
        </w:rPr>
      </w:pPr>
    </w:p>
    <w:p w14:paraId="09022BA3" w14:textId="64A46987" w:rsidR="00F65B95" w:rsidRPr="00695B2C" w:rsidRDefault="00F65B95"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 xml:space="preserve">Artículo 21.- Son atribuciones de los </w:t>
      </w:r>
      <w:proofErr w:type="gramStart"/>
      <w:r w:rsidRPr="00695B2C">
        <w:rPr>
          <w:rFonts w:cs="Tahoma"/>
          <w:bCs/>
          <w:i/>
          <w:color w:val="000000"/>
          <w:sz w:val="20"/>
          <w:szCs w:val="20"/>
          <w:lang w:val="es-ES"/>
        </w:rPr>
        <w:t>Presidentes</w:t>
      </w:r>
      <w:proofErr w:type="gramEnd"/>
      <w:r w:rsidRPr="00695B2C">
        <w:rPr>
          <w:rFonts w:cs="Tahoma"/>
          <w:bCs/>
          <w:i/>
          <w:color w:val="000000"/>
          <w:sz w:val="20"/>
          <w:szCs w:val="20"/>
          <w:lang w:val="es-ES"/>
        </w:rPr>
        <w:t xml:space="preserve"> Municipales:</w:t>
      </w:r>
    </w:p>
    <w:p w14:paraId="12713D2F" w14:textId="192425C9" w:rsidR="00F65B95" w:rsidRPr="00695B2C" w:rsidRDefault="00F65B95"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I. Ejercer el mando directo de los integrantes de las instituciones policiales a su cargo, salvo en los supuestos establecidos en esta Ley, en los términos de la Constitución Federal y la Constitución Estatal, a fin de salvaguardar la integridad física y los derechos de las personas, así como preservar las libertades, el orden y la paz públicos;</w:t>
      </w:r>
    </w:p>
    <w:p w14:paraId="1ACA418D" w14:textId="3D399A06" w:rsidR="00F65B95" w:rsidRPr="00695B2C" w:rsidRDefault="00F65B95"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II. al III. …</w:t>
      </w:r>
    </w:p>
    <w:p w14:paraId="61628CE9" w14:textId="703D00C6" w:rsidR="00F65B95" w:rsidRPr="00695B2C" w:rsidRDefault="00F65B95" w:rsidP="006461DA">
      <w:pPr>
        <w:spacing w:after="0" w:line="360" w:lineRule="auto"/>
        <w:ind w:left="567" w:right="616"/>
        <w:rPr>
          <w:rFonts w:cs="Tahoma"/>
          <w:b/>
          <w:i/>
          <w:color w:val="000000"/>
          <w:sz w:val="20"/>
          <w:szCs w:val="20"/>
          <w:lang w:val="es-ES"/>
        </w:rPr>
      </w:pPr>
      <w:r w:rsidRPr="00695B2C">
        <w:rPr>
          <w:rFonts w:cs="Tahoma"/>
          <w:b/>
          <w:i/>
          <w:color w:val="000000"/>
          <w:sz w:val="20"/>
          <w:szCs w:val="20"/>
          <w:lang w:val="es-ES"/>
        </w:rPr>
        <w:t>VI. Supervisar la actuación de los integrantes de las instituciones policiales a su cargo, en la investigación de delitos, bajo el mando y conducción del ministerio público;</w:t>
      </w:r>
    </w:p>
    <w:p w14:paraId="6F53A875" w14:textId="4823729F" w:rsidR="00915F76" w:rsidRPr="00695B2C" w:rsidRDefault="00915F76"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VII. al XXII. …</w:t>
      </w:r>
    </w:p>
    <w:p w14:paraId="2F9BB493" w14:textId="1E692436" w:rsidR="00915F76" w:rsidRPr="00695B2C" w:rsidRDefault="00915F76" w:rsidP="006461DA">
      <w:pPr>
        <w:spacing w:after="0" w:line="360" w:lineRule="auto"/>
        <w:ind w:left="567" w:right="616"/>
        <w:rPr>
          <w:rFonts w:cs="Tahoma"/>
          <w:b/>
          <w:i/>
          <w:color w:val="000000"/>
          <w:sz w:val="20"/>
          <w:szCs w:val="20"/>
          <w:lang w:val="es-ES"/>
        </w:rPr>
      </w:pPr>
      <w:r w:rsidRPr="00695B2C">
        <w:rPr>
          <w:rFonts w:cs="Tahoma"/>
          <w:b/>
          <w:i/>
          <w:color w:val="000000"/>
          <w:sz w:val="20"/>
          <w:szCs w:val="20"/>
          <w:lang w:val="es-ES"/>
        </w:rPr>
        <w:t>XXIII. Canalizar las denuncias de hechos probablemente constitutivos de delito, inmediatamente al ministerio público;</w:t>
      </w:r>
    </w:p>
    <w:p w14:paraId="429EFFE9" w14:textId="73574553" w:rsidR="00915F76" w:rsidRPr="00695B2C" w:rsidRDefault="00915F76" w:rsidP="006461DA">
      <w:pPr>
        <w:spacing w:after="0" w:line="360" w:lineRule="auto"/>
        <w:ind w:left="567" w:right="616"/>
        <w:rPr>
          <w:rFonts w:cs="Tahoma"/>
          <w:bCs/>
          <w:i/>
          <w:color w:val="000000"/>
          <w:sz w:val="20"/>
          <w:szCs w:val="20"/>
          <w:lang w:val="es-ES"/>
        </w:rPr>
      </w:pPr>
      <w:r w:rsidRPr="00695B2C">
        <w:rPr>
          <w:rFonts w:cs="Tahoma"/>
          <w:bCs/>
          <w:i/>
          <w:color w:val="000000"/>
          <w:sz w:val="20"/>
          <w:szCs w:val="20"/>
          <w:lang w:val="es-ES"/>
        </w:rPr>
        <w:t>XXIV al XXVIII. ...</w:t>
      </w:r>
    </w:p>
    <w:p w14:paraId="6DB7F1E3" w14:textId="77777777" w:rsidR="00915F76" w:rsidRPr="00695B2C" w:rsidRDefault="00915F76" w:rsidP="006461DA">
      <w:pPr>
        <w:spacing w:after="0" w:line="360" w:lineRule="auto"/>
        <w:ind w:firstLine="567"/>
        <w:rPr>
          <w:rFonts w:cs="Tahoma"/>
        </w:rPr>
      </w:pPr>
      <w:r w:rsidRPr="00695B2C">
        <w:rPr>
          <w:rFonts w:cs="Tahoma"/>
        </w:rPr>
        <w:t>(Énfasis añadido)</w:t>
      </w:r>
    </w:p>
    <w:p w14:paraId="760B7FC7" w14:textId="5581D4F6" w:rsidR="00915F76" w:rsidRPr="00695B2C" w:rsidRDefault="00915F76" w:rsidP="006461DA">
      <w:pPr>
        <w:spacing w:after="0" w:line="360" w:lineRule="auto"/>
        <w:ind w:right="616"/>
        <w:rPr>
          <w:rFonts w:cs="Tahoma"/>
          <w:b/>
          <w:i/>
          <w:color w:val="000000"/>
          <w:sz w:val="20"/>
          <w:szCs w:val="20"/>
          <w:lang w:val="es-ES"/>
        </w:rPr>
      </w:pPr>
    </w:p>
    <w:p w14:paraId="5BF06A71" w14:textId="48EC720F" w:rsidR="00B0549F" w:rsidRPr="00695B2C" w:rsidRDefault="00915F76" w:rsidP="006461DA">
      <w:pPr>
        <w:spacing w:after="0" w:line="360" w:lineRule="auto"/>
        <w:rPr>
          <w:rFonts w:cs="Tahoma"/>
          <w:highlight w:val="yellow"/>
        </w:rPr>
      </w:pPr>
      <w:r w:rsidRPr="00BF7069">
        <w:rPr>
          <w:rFonts w:cs="Tahoma"/>
          <w:bCs/>
          <w:iCs/>
          <w:color w:val="000000"/>
          <w:lang w:val="es-ES"/>
        </w:rPr>
        <w:lastRenderedPageBreak/>
        <w:t>Es entonces que se advierte que el Presidente Municipal, no otorga permisos sino únicamente vigila a las corporaciones policiacas a su cargo y en su caso, remite posibles hechos constitutivos de delito al Ministerio Público, por lo que</w:t>
      </w:r>
      <w:r w:rsidRPr="00BF7069">
        <w:rPr>
          <w:rFonts w:cs="Tahoma"/>
          <w:b/>
          <w:i/>
          <w:color w:val="000000"/>
          <w:lang w:val="es-ES"/>
        </w:rPr>
        <w:t xml:space="preserve">, </w:t>
      </w:r>
      <w:r w:rsidR="00B0549F" w:rsidRPr="00BF7069">
        <w:rPr>
          <w:rFonts w:cs="Tahoma"/>
        </w:rPr>
        <w:t xml:space="preserve">no se identifica que sea dable ordenar este punto de información, </w:t>
      </w:r>
      <w:r w:rsidR="00C934C1" w:rsidRPr="00BF7069">
        <w:rPr>
          <w:rFonts w:cs="Tahoma"/>
        </w:rPr>
        <w:t>aun</w:t>
      </w:r>
      <w:r w:rsidR="00B0549F" w:rsidRPr="00BF7069">
        <w:rPr>
          <w:rFonts w:cs="Tahoma"/>
        </w:rPr>
        <w:t xml:space="preserve"> cuando el Sujeto Obligado no realizó pronunciamiento</w:t>
      </w:r>
      <w:r w:rsidR="00B10F73" w:rsidRPr="00BF7069">
        <w:rPr>
          <w:rFonts w:cs="Tahoma"/>
        </w:rPr>
        <w:t>, no se deja de lado que el Recurrente solicitó además de diversos puntos, las carpetas de investigación, así como las diligencias, lo que nos permite identificar que su objetivo es conocer todos los detalles respecto del actuar de la autoridad ministerial, para realizar la investigación y detención del imputado para consegui</w:t>
      </w:r>
      <w:r w:rsidR="00814762" w:rsidRPr="00BF7069">
        <w:rPr>
          <w:rFonts w:cs="Tahoma"/>
        </w:rPr>
        <w:t>r</w:t>
      </w:r>
      <w:r w:rsidR="00B10F73" w:rsidRPr="00BF7069">
        <w:rPr>
          <w:rFonts w:cs="Tahoma"/>
        </w:rPr>
        <w:t xml:space="preserve"> una sentencia condenatoria que brindara justicia no sólo a los familiares sino a la sociedad que se traduce en </w:t>
      </w:r>
      <w:r w:rsidR="00814762" w:rsidRPr="00BF7069">
        <w:rPr>
          <w:rFonts w:cs="Tahoma"/>
        </w:rPr>
        <w:t>el sector ofendido, pues, con la sentencia condenatoria del sujeto no sólo se logra hacer justicia a las víctimas y sus familias, sino que,</w:t>
      </w:r>
      <w:r w:rsidR="00814762" w:rsidRPr="00695B2C">
        <w:rPr>
          <w:rFonts w:cs="Tahoma"/>
        </w:rPr>
        <w:t xml:space="preserve"> se impide que esta persona continúe cometiendo feminicidios y con ello se salvan vidas de mujeres y posiblemente de hombres pues él mismo refirió en sus declaraciones que recuerda que en su mayoría fueron mujeres las asesinadas.</w:t>
      </w:r>
    </w:p>
    <w:p w14:paraId="400A8C59" w14:textId="77777777" w:rsidR="00B0549F" w:rsidRPr="00695B2C" w:rsidRDefault="00B0549F" w:rsidP="006461DA">
      <w:pPr>
        <w:spacing w:after="0" w:line="360" w:lineRule="auto"/>
        <w:rPr>
          <w:rFonts w:cs="Tahoma"/>
          <w:highlight w:val="yellow"/>
        </w:rPr>
      </w:pPr>
    </w:p>
    <w:p w14:paraId="7971B75D" w14:textId="4A682A0F" w:rsidR="0030380F" w:rsidRPr="00695B2C" w:rsidRDefault="0030380F" w:rsidP="006461DA">
      <w:pPr>
        <w:spacing w:after="0" w:line="360" w:lineRule="auto"/>
        <w:rPr>
          <w:rFonts w:cs="Tahoma"/>
          <w:b/>
          <w:bCs/>
        </w:rPr>
      </w:pPr>
      <w:r w:rsidRPr="00695B2C">
        <w:rPr>
          <w:rFonts w:cs="Tahoma"/>
          <w:b/>
          <w:bCs/>
        </w:rPr>
        <w:t xml:space="preserve">5. El </w:t>
      </w:r>
      <w:r w:rsidR="007005C8" w:rsidRPr="00695B2C">
        <w:rPr>
          <w:rFonts w:cs="Tahoma"/>
          <w:b/>
          <w:bCs/>
        </w:rPr>
        <w:t>número</w:t>
      </w:r>
      <w:r w:rsidRPr="00695B2C">
        <w:rPr>
          <w:rFonts w:cs="Tahoma"/>
          <w:b/>
          <w:bCs/>
        </w:rPr>
        <w:t xml:space="preserve"> de ejercicios de la acción </w:t>
      </w:r>
      <w:r w:rsidR="00DD3890" w:rsidRPr="00695B2C">
        <w:rPr>
          <w:rFonts w:cs="Tahoma"/>
          <w:b/>
          <w:bCs/>
        </w:rPr>
        <w:t>ejercidas en contra del imputado.</w:t>
      </w:r>
    </w:p>
    <w:p w14:paraId="356AB9D4" w14:textId="5154525D" w:rsidR="00DD3890" w:rsidRPr="00695B2C" w:rsidRDefault="00DD3890" w:rsidP="006461DA">
      <w:pPr>
        <w:spacing w:after="0" w:line="360" w:lineRule="auto"/>
        <w:rPr>
          <w:rFonts w:cs="Tahoma"/>
        </w:rPr>
      </w:pPr>
      <w:r w:rsidRPr="00695B2C">
        <w:rPr>
          <w:rFonts w:cs="Tahoma"/>
        </w:rPr>
        <w:t xml:space="preserve">Sobre este punto, el Particular refirió que no existió respuesta por parte de la Fiscalía, lo que no se ajusta a las actuaciones contenidas en el expediente electrónico, toda vez </w:t>
      </w:r>
      <w:r w:rsidR="00F47F04" w:rsidRPr="00695B2C">
        <w:rPr>
          <w:rFonts w:cs="Tahoma"/>
        </w:rPr>
        <w:t>que,</w:t>
      </w:r>
      <w:r w:rsidRPr="00695B2C">
        <w:rPr>
          <w:rFonts w:cs="Tahoma"/>
        </w:rPr>
        <w:t xml:space="preserve"> desde la respuesta, el Sujeto Obligado expresó que s</w:t>
      </w:r>
      <w:r w:rsidR="00B10F73" w:rsidRPr="00695B2C">
        <w:rPr>
          <w:rFonts w:cs="Tahoma"/>
        </w:rPr>
        <w:t>ó</w:t>
      </w:r>
      <w:r w:rsidRPr="00695B2C">
        <w:rPr>
          <w:rFonts w:cs="Tahoma"/>
        </w:rPr>
        <w:t>lo cuenta con un ejercicio de la acción penal, iniciado en contra de la persona identificada en la solicitud, como se advierte de la imagen que se reproduce:</w:t>
      </w:r>
    </w:p>
    <w:p w14:paraId="557117E3" w14:textId="6EAE53FA" w:rsidR="00F47F04" w:rsidRPr="00695B2C" w:rsidRDefault="00F47F04" w:rsidP="006461DA">
      <w:pPr>
        <w:spacing w:after="0" w:line="360" w:lineRule="auto"/>
        <w:rPr>
          <w:rFonts w:cs="Tahoma"/>
        </w:rPr>
      </w:pPr>
    </w:p>
    <w:p w14:paraId="30D888F8" w14:textId="1518E7EC" w:rsidR="00F47F04" w:rsidRPr="00695B2C" w:rsidRDefault="00F47F04" w:rsidP="006461DA">
      <w:pPr>
        <w:spacing w:after="0" w:line="360" w:lineRule="auto"/>
        <w:jc w:val="center"/>
        <w:rPr>
          <w:rFonts w:cs="Tahoma"/>
        </w:rPr>
      </w:pPr>
      <w:r w:rsidRPr="00695B2C">
        <w:rPr>
          <w:noProof/>
        </w:rPr>
        <w:drawing>
          <wp:inline distT="0" distB="0" distL="0" distR="0" wp14:anchorId="77860D71" wp14:editId="124F5F1A">
            <wp:extent cx="5109210" cy="1068593"/>
            <wp:effectExtent l="0" t="0" r="0" b="0"/>
            <wp:docPr id="22" name="Imagen 22"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Interfaz de usuario gráfica, Texto, Aplicación, Word&#10;&#10;Descripción generada automáticamente"/>
                    <pic:cNvPicPr/>
                  </pic:nvPicPr>
                  <pic:blipFill rotWithShape="1">
                    <a:blip r:embed="rId87"/>
                    <a:srcRect l="22427" t="43117" r="21270" b="35938"/>
                    <a:stretch/>
                  </pic:blipFill>
                  <pic:spPr bwMode="auto">
                    <a:xfrm>
                      <a:off x="0" y="0"/>
                      <a:ext cx="5144365" cy="1075946"/>
                    </a:xfrm>
                    <a:prstGeom prst="rect">
                      <a:avLst/>
                    </a:prstGeom>
                    <a:ln>
                      <a:noFill/>
                    </a:ln>
                    <a:extLst>
                      <a:ext uri="{53640926-AAD7-44D8-BBD7-CCE9431645EC}">
                        <a14:shadowObscured xmlns:a14="http://schemas.microsoft.com/office/drawing/2010/main"/>
                      </a:ext>
                    </a:extLst>
                  </pic:spPr>
                </pic:pic>
              </a:graphicData>
            </a:graphic>
          </wp:inline>
        </w:drawing>
      </w:r>
    </w:p>
    <w:p w14:paraId="58351866" w14:textId="77777777" w:rsidR="00DD3890" w:rsidRPr="00695B2C" w:rsidRDefault="00DD3890" w:rsidP="006461DA">
      <w:pPr>
        <w:spacing w:after="0" w:line="360" w:lineRule="auto"/>
        <w:rPr>
          <w:rFonts w:cs="Tahoma"/>
        </w:rPr>
      </w:pPr>
    </w:p>
    <w:p w14:paraId="648F7439" w14:textId="085EBE39" w:rsidR="00DD3890" w:rsidRPr="00695B2C" w:rsidRDefault="00083CB6" w:rsidP="006461DA">
      <w:pPr>
        <w:spacing w:after="0" w:line="360" w:lineRule="auto"/>
        <w:rPr>
          <w:rFonts w:cs="Tahoma"/>
        </w:rPr>
      </w:pPr>
      <w:r w:rsidRPr="00695B2C">
        <w:rPr>
          <w:rFonts w:cs="Tahoma"/>
        </w:rPr>
        <w:lastRenderedPageBreak/>
        <w:t>E</w:t>
      </w:r>
      <w:r w:rsidR="00DD3890" w:rsidRPr="00695B2C">
        <w:rPr>
          <w:rFonts w:cs="Tahoma"/>
        </w:rPr>
        <w:t>n este sentido, lo procedente es confirmar este punto, al haber sido atendido desde la respuesta</w:t>
      </w:r>
      <w:r w:rsidR="00A364B7" w:rsidRPr="00695B2C">
        <w:rPr>
          <w:rFonts w:cs="Tahoma"/>
        </w:rPr>
        <w:t>, pues si bien es cierto que se identificaron distintos cuerpos,</w:t>
      </w:r>
      <w:r w:rsidR="00915F76" w:rsidRPr="00695B2C">
        <w:rPr>
          <w:rFonts w:cs="Tahoma"/>
        </w:rPr>
        <w:t xml:space="preserve"> de la respuesta entregada por el Sujeto Obligado, </w:t>
      </w:r>
      <w:r w:rsidR="00A364B7" w:rsidRPr="00695B2C">
        <w:rPr>
          <w:rFonts w:cs="Tahoma"/>
        </w:rPr>
        <w:t>se advierte que toda la investigación dio inició con la investigación de una sola persona y todo se agregó a la misma investigación</w:t>
      </w:r>
      <w:r w:rsidR="009F2CE3">
        <w:rPr>
          <w:rFonts w:cs="Tahoma"/>
        </w:rPr>
        <w:t xml:space="preserve"> y como se refirió anteriormente, este organismo garante no tiene atribuciones para </w:t>
      </w:r>
      <w:r w:rsidR="00A037DA">
        <w:rPr>
          <w:rFonts w:cs="Tahoma"/>
        </w:rPr>
        <w:t>dudar</w:t>
      </w:r>
      <w:r w:rsidR="009F2CE3">
        <w:rPr>
          <w:rFonts w:cs="Tahoma"/>
        </w:rPr>
        <w:t xml:space="preserve"> sobre la veracidad de la información.</w:t>
      </w:r>
    </w:p>
    <w:p w14:paraId="7F4B9B81" w14:textId="12999B87" w:rsidR="00DD3890" w:rsidRPr="00695B2C" w:rsidRDefault="00DD3890" w:rsidP="006461DA">
      <w:pPr>
        <w:spacing w:after="0" w:line="360" w:lineRule="auto"/>
        <w:rPr>
          <w:rFonts w:cs="Tahoma"/>
          <w:highlight w:val="yellow"/>
        </w:rPr>
      </w:pPr>
    </w:p>
    <w:p w14:paraId="61E86D6B" w14:textId="497320DF" w:rsidR="00083CB6" w:rsidRPr="00695B2C" w:rsidRDefault="00083CB6" w:rsidP="006461DA">
      <w:pPr>
        <w:spacing w:after="0" w:line="360" w:lineRule="auto"/>
        <w:rPr>
          <w:rFonts w:cs="Tahoma"/>
          <w:b/>
          <w:bCs/>
        </w:rPr>
      </w:pPr>
      <w:r w:rsidRPr="00695B2C">
        <w:rPr>
          <w:rFonts w:cs="Tahoma"/>
          <w:b/>
          <w:bCs/>
        </w:rPr>
        <w:t>6. N</w:t>
      </w:r>
      <w:r w:rsidR="00BF7069">
        <w:rPr>
          <w:rFonts w:cs="Tahoma"/>
          <w:b/>
          <w:bCs/>
        </w:rPr>
        <w:t>ú</w:t>
      </w:r>
      <w:r w:rsidRPr="00695B2C">
        <w:rPr>
          <w:rFonts w:cs="Tahoma"/>
          <w:b/>
          <w:bCs/>
        </w:rPr>
        <w:t>mero de restos rescatados y de personas identificadas y no identificadas (datos estadísticos)</w:t>
      </w:r>
    </w:p>
    <w:p w14:paraId="70358191" w14:textId="373129EF" w:rsidR="00083CB6" w:rsidRPr="00695B2C" w:rsidRDefault="00083CB6" w:rsidP="006461DA">
      <w:pPr>
        <w:spacing w:after="0" w:line="360" w:lineRule="auto"/>
        <w:rPr>
          <w:rFonts w:cs="Tahoma"/>
          <w:b/>
          <w:bCs/>
        </w:rPr>
      </w:pPr>
      <w:r w:rsidRPr="00695B2C">
        <w:rPr>
          <w:rFonts w:cs="Tahoma"/>
        </w:rPr>
        <w:t xml:space="preserve"> </w:t>
      </w:r>
      <w:r w:rsidRPr="00695B2C">
        <w:rPr>
          <w:rFonts w:cs="Tahoma"/>
          <w:b/>
          <w:bCs/>
        </w:rPr>
        <w:t>7. Descripción de las diligencias efectuadas para: a) El rescate de restos. b) Identificación y persecución de culpables.</w:t>
      </w:r>
    </w:p>
    <w:p w14:paraId="74228A91" w14:textId="147D42EF" w:rsidR="00083CB6" w:rsidRPr="00695B2C" w:rsidRDefault="00083CB6" w:rsidP="006461DA">
      <w:pPr>
        <w:spacing w:after="0" w:line="360" w:lineRule="auto"/>
        <w:rPr>
          <w:rFonts w:cs="Tahoma"/>
          <w:b/>
          <w:bCs/>
        </w:rPr>
      </w:pPr>
    </w:p>
    <w:p w14:paraId="7E0E3D77" w14:textId="7B4F7928" w:rsidR="00083CB6" w:rsidRPr="00695B2C" w:rsidRDefault="00083CB6" w:rsidP="006461DA">
      <w:pPr>
        <w:spacing w:after="0" w:line="360" w:lineRule="auto"/>
        <w:rPr>
          <w:rFonts w:cs="Tahoma"/>
        </w:rPr>
      </w:pPr>
      <w:r w:rsidRPr="00695B2C">
        <w:rPr>
          <w:rFonts w:cs="Tahoma"/>
        </w:rPr>
        <w:t xml:space="preserve">Sobre estos dos puntos, el Sujeto Obligado, modificó su respuesta a través de informe justificado en los que remitió </w:t>
      </w:r>
      <w:r w:rsidR="00B32805" w:rsidRPr="00695B2C">
        <w:rPr>
          <w:rFonts w:cs="Tahoma"/>
        </w:rPr>
        <w:t>documentos que dan cuenta de la cantidad de restos rescatados y cu</w:t>
      </w:r>
      <w:r w:rsidR="0042353D" w:rsidRPr="00695B2C">
        <w:rPr>
          <w:rFonts w:cs="Tahoma"/>
        </w:rPr>
        <w:t>á</w:t>
      </w:r>
      <w:r w:rsidR="00B32805" w:rsidRPr="00695B2C">
        <w:rPr>
          <w:rFonts w:cs="Tahoma"/>
        </w:rPr>
        <w:t>ntos de estos tienen identidad entre sí, así como indicios criminalísticos y cantidad de personas identificadas a partir del ADN de familiares.</w:t>
      </w:r>
    </w:p>
    <w:p w14:paraId="68B5B938" w14:textId="77777777" w:rsidR="007F0676" w:rsidRDefault="007F0676" w:rsidP="006461DA">
      <w:pPr>
        <w:spacing w:after="0" w:line="360" w:lineRule="auto"/>
        <w:rPr>
          <w:rFonts w:cs="Tahoma"/>
          <w:b/>
          <w:bCs/>
        </w:rPr>
      </w:pPr>
    </w:p>
    <w:p w14:paraId="0640BE6A" w14:textId="0C77BDB6" w:rsidR="00C62D45" w:rsidRPr="00695B2C" w:rsidRDefault="00C62D45" w:rsidP="006461DA">
      <w:pPr>
        <w:spacing w:after="0" w:line="360" w:lineRule="auto"/>
        <w:rPr>
          <w:rFonts w:cs="Tahoma"/>
          <w:b/>
          <w:bCs/>
        </w:rPr>
      </w:pPr>
      <w:r w:rsidRPr="00695B2C">
        <w:rPr>
          <w:rFonts w:cs="Tahoma"/>
          <w:b/>
          <w:bCs/>
        </w:rPr>
        <w:t>N</w:t>
      </w:r>
      <w:r w:rsidR="00BF7069">
        <w:rPr>
          <w:rFonts w:cs="Tahoma"/>
          <w:b/>
          <w:bCs/>
        </w:rPr>
        <w:t>ú</w:t>
      </w:r>
      <w:r w:rsidRPr="00695B2C">
        <w:rPr>
          <w:rFonts w:cs="Tahoma"/>
          <w:b/>
          <w:bCs/>
        </w:rPr>
        <w:t>mero de restos rescatados y de personas identificadas.</w:t>
      </w:r>
    </w:p>
    <w:p w14:paraId="5D6F6A5A" w14:textId="77777777" w:rsidR="00A037DA" w:rsidRDefault="00A037DA" w:rsidP="006461DA">
      <w:pPr>
        <w:spacing w:after="0" w:line="360" w:lineRule="auto"/>
        <w:rPr>
          <w:rFonts w:cs="Tahoma"/>
        </w:rPr>
      </w:pPr>
    </w:p>
    <w:p w14:paraId="4BACFC01" w14:textId="35B43559" w:rsidR="001C2A3C" w:rsidRPr="00695B2C" w:rsidRDefault="001C2A3C" w:rsidP="006461DA">
      <w:pPr>
        <w:spacing w:after="0" w:line="360" w:lineRule="auto"/>
        <w:rPr>
          <w:rFonts w:cs="Tahoma"/>
        </w:rPr>
      </w:pPr>
      <w:r w:rsidRPr="00695B2C">
        <w:rPr>
          <w:rFonts w:cs="Tahoma"/>
        </w:rPr>
        <w:t xml:space="preserve">En la modificación a su respuesta, el Sujeto Obligado, reportó </w:t>
      </w:r>
      <w:r w:rsidR="00CA36B8" w:rsidRPr="00695B2C">
        <w:rPr>
          <w:rFonts w:cs="Tahoma"/>
        </w:rPr>
        <w:t xml:space="preserve">el hallazgo de más de 4300 restos óseos, los cuales, se vinculan a 19 personas diferentes, de las cuales, 6 ya fueron identificadas a partir de pruebas periciales de las que se resalta la prueba genética, la cual fue aplicada a 11 familias y de estas pruebas, resultaron las 6 mujeres identificadas. </w:t>
      </w:r>
    </w:p>
    <w:p w14:paraId="6DD320B8" w14:textId="7F21AE95" w:rsidR="00B32805" w:rsidRPr="00695B2C" w:rsidRDefault="00B32805" w:rsidP="006461DA">
      <w:pPr>
        <w:spacing w:after="0" w:line="360" w:lineRule="auto"/>
        <w:rPr>
          <w:rFonts w:cs="Tahoma"/>
          <w:highlight w:val="green"/>
        </w:rPr>
      </w:pPr>
    </w:p>
    <w:p w14:paraId="0E78B9B3" w14:textId="6C92CE24" w:rsidR="0092508C" w:rsidRPr="00695B2C" w:rsidRDefault="00C62D45" w:rsidP="006461DA">
      <w:pPr>
        <w:spacing w:after="0" w:line="360" w:lineRule="auto"/>
        <w:rPr>
          <w:rFonts w:cs="Tahoma"/>
          <w:i/>
          <w:iCs/>
          <w:sz w:val="20"/>
          <w:szCs w:val="20"/>
          <w:highlight w:val="green"/>
        </w:rPr>
      </w:pPr>
      <w:r w:rsidRPr="00695B2C">
        <w:rPr>
          <w:rFonts w:cs="Tahoma"/>
        </w:rPr>
        <w:t>Además, esta información ya fue publicada por diversos medios de comunicación, lo que hizo la Fiscalía al entregar la nota informativa es acreditar que la información ventilada en medios públicos coincide con la oficial. Como</w:t>
      </w:r>
      <w:r w:rsidR="007005C8" w:rsidRPr="00695B2C">
        <w:rPr>
          <w:rFonts w:cs="Tahoma"/>
        </w:rPr>
        <w:t xml:space="preserve"> se puede ver de la nota periodística </w:t>
      </w:r>
      <w:r w:rsidR="0092508C" w:rsidRPr="00695B2C">
        <w:rPr>
          <w:rFonts w:cs="Tahoma"/>
        </w:rPr>
        <w:t>publicada</w:t>
      </w:r>
      <w:r w:rsidR="007005C8" w:rsidRPr="00695B2C">
        <w:rPr>
          <w:rFonts w:cs="Tahoma"/>
        </w:rPr>
        <w:t xml:space="preserve"> el 17 de </w:t>
      </w:r>
      <w:r w:rsidR="007005C8" w:rsidRPr="00695B2C">
        <w:rPr>
          <w:rFonts w:cs="Tahoma"/>
        </w:rPr>
        <w:lastRenderedPageBreak/>
        <w:t>noviembre del 2021</w:t>
      </w:r>
      <w:r w:rsidR="0092508C" w:rsidRPr="00695B2C">
        <w:rPr>
          <w:rFonts w:cs="Tahoma"/>
        </w:rPr>
        <w:t xml:space="preserve"> por el medio de comunicación </w:t>
      </w:r>
      <w:proofErr w:type="spellStart"/>
      <w:r w:rsidR="0092508C" w:rsidRPr="00695B2C">
        <w:rPr>
          <w:rFonts w:cs="Tahoma"/>
        </w:rPr>
        <w:t>infobae</w:t>
      </w:r>
      <w:proofErr w:type="spellEnd"/>
      <w:r w:rsidR="0092508C" w:rsidRPr="00695B2C">
        <w:rPr>
          <w:rFonts w:cs="Tahoma"/>
        </w:rPr>
        <w:t xml:space="preserve">, en la liga de acceso directo </w:t>
      </w:r>
      <w:hyperlink r:id="rId88" w:history="1">
        <w:r w:rsidR="0092508C" w:rsidRPr="00695B2C">
          <w:rPr>
            <w:rStyle w:val="Hipervnculo"/>
            <w:rFonts w:cs="Tahoma"/>
          </w:rPr>
          <w:t>https://www.infobae.com/america/mexico/2021/11/17/el-feminicida-serial-de-atizapan-hablo-por-primera-vez-desde-la-carcel-demasiado-tarde-ya-sucedieron-las-cosas/</w:t>
        </w:r>
      </w:hyperlink>
      <w:r w:rsidR="007005C8" w:rsidRPr="00695B2C">
        <w:rPr>
          <w:rFonts w:cs="Tahoma"/>
        </w:rPr>
        <w:t xml:space="preserve">, </w:t>
      </w:r>
      <w:r w:rsidR="00566C85" w:rsidRPr="00695B2C">
        <w:rPr>
          <w:rFonts w:cs="Tahoma"/>
        </w:rPr>
        <w:t>del que se citan las declaraciones realizadas por el entonces Fiscal General del Estado de México:</w:t>
      </w:r>
    </w:p>
    <w:p w14:paraId="150220A3" w14:textId="026E3753" w:rsidR="007005C8" w:rsidRPr="00695B2C" w:rsidRDefault="007005C8" w:rsidP="006461DA">
      <w:pPr>
        <w:spacing w:after="0" w:line="360" w:lineRule="auto"/>
        <w:ind w:left="567" w:right="616"/>
        <w:rPr>
          <w:rFonts w:cs="Tahoma"/>
          <w:i/>
          <w:iCs/>
          <w:sz w:val="20"/>
          <w:szCs w:val="20"/>
          <w:highlight w:val="green"/>
        </w:rPr>
      </w:pPr>
    </w:p>
    <w:p w14:paraId="594D2E36" w14:textId="78B7C4D7" w:rsidR="0092508C" w:rsidRPr="00695B2C" w:rsidRDefault="0092508C" w:rsidP="006461DA">
      <w:pPr>
        <w:spacing w:after="0" w:line="360" w:lineRule="auto"/>
        <w:ind w:left="567" w:right="616"/>
        <w:rPr>
          <w:rFonts w:cs="Tahoma"/>
          <w:i/>
          <w:iCs/>
          <w:sz w:val="20"/>
          <w:szCs w:val="20"/>
        </w:rPr>
      </w:pPr>
      <w:r w:rsidRPr="00695B2C">
        <w:rPr>
          <w:rFonts w:cs="Tahoma"/>
          <w:i/>
          <w:iCs/>
          <w:sz w:val="20"/>
          <w:szCs w:val="20"/>
        </w:rPr>
        <w:t xml:space="preserve">“Ya logramos rescatar, lamentablemente, lo digo así, más de 4,300 restos óseos que podrían ser hasta este momento, de cerca de 19 víctimas”, </w:t>
      </w:r>
      <w:r w:rsidRPr="00695B2C">
        <w:rPr>
          <w:rFonts w:cs="Tahoma"/>
          <w:b/>
          <w:bCs/>
          <w:i/>
          <w:iCs/>
          <w:sz w:val="20"/>
          <w:szCs w:val="20"/>
        </w:rPr>
        <w:t>dijo ante la prensa el fiscal del Estado de México, Alejandro Gómez Sánchez,</w:t>
      </w:r>
      <w:r w:rsidRPr="00695B2C">
        <w:rPr>
          <w:rFonts w:cs="Tahoma"/>
          <w:i/>
          <w:iCs/>
          <w:sz w:val="20"/>
          <w:szCs w:val="20"/>
        </w:rPr>
        <w:t xml:space="preserve"> en agosto de este año</w:t>
      </w:r>
    </w:p>
    <w:p w14:paraId="69A6A3DE" w14:textId="797AB6A0" w:rsidR="007005C8" w:rsidRPr="00695B2C" w:rsidRDefault="007005C8" w:rsidP="006461DA">
      <w:pPr>
        <w:spacing w:after="0" w:line="360" w:lineRule="auto"/>
        <w:rPr>
          <w:rFonts w:cs="Tahoma"/>
          <w:highlight w:val="green"/>
        </w:rPr>
      </w:pPr>
    </w:p>
    <w:p w14:paraId="73CF1579" w14:textId="3168C656" w:rsidR="00B32805" w:rsidRDefault="0092508C" w:rsidP="006461DA">
      <w:pPr>
        <w:spacing w:after="0" w:line="360" w:lineRule="auto"/>
        <w:rPr>
          <w:rFonts w:cs="Tahoma"/>
        </w:rPr>
      </w:pPr>
      <w:r w:rsidRPr="00695B2C">
        <w:rPr>
          <w:rFonts w:cs="Tahoma"/>
        </w:rPr>
        <w:t xml:space="preserve">De la propia nota, se identifica que la Fiscalía, </w:t>
      </w:r>
      <w:r w:rsidR="00566C85" w:rsidRPr="00695B2C">
        <w:rPr>
          <w:rFonts w:cs="Tahoma"/>
        </w:rPr>
        <w:t>ha entregado estos datos de prueba a los medios de comunicación, elementos que son de interés público por ya expuesto.</w:t>
      </w:r>
      <w:r w:rsidR="007F0676">
        <w:rPr>
          <w:rFonts w:cs="Tahoma"/>
        </w:rPr>
        <w:t xml:space="preserve"> </w:t>
      </w:r>
      <w:r w:rsidR="00BB3359">
        <w:rPr>
          <w:rFonts w:cs="Tahoma"/>
        </w:rPr>
        <w:t>P</w:t>
      </w:r>
      <w:r w:rsidR="00566C85" w:rsidRPr="00695B2C">
        <w:rPr>
          <w:rFonts w:cs="Tahoma"/>
        </w:rPr>
        <w:t>or cuanto refiere al numeral 6, se da por atendido este punto, a través del informe justificado.</w:t>
      </w:r>
    </w:p>
    <w:p w14:paraId="62605924" w14:textId="77777777" w:rsidR="00BF7069" w:rsidRPr="00695B2C" w:rsidRDefault="00BF7069" w:rsidP="006461DA">
      <w:pPr>
        <w:spacing w:after="0" w:line="360" w:lineRule="auto"/>
        <w:rPr>
          <w:rFonts w:cs="Tahoma"/>
        </w:rPr>
      </w:pPr>
    </w:p>
    <w:p w14:paraId="4DA9B80C" w14:textId="3CAF4AD3" w:rsidR="00566C85" w:rsidRDefault="00566C85" w:rsidP="006461DA">
      <w:pPr>
        <w:spacing w:after="0" w:line="360" w:lineRule="auto"/>
        <w:rPr>
          <w:rFonts w:cs="Tahoma"/>
          <w:b/>
          <w:bCs/>
        </w:rPr>
      </w:pPr>
      <w:r w:rsidRPr="00695B2C">
        <w:rPr>
          <w:rFonts w:cs="Tahoma"/>
          <w:b/>
          <w:bCs/>
        </w:rPr>
        <w:t>Descripción de las Diligencias efectuadas.</w:t>
      </w:r>
      <w:r w:rsidR="00AB7446" w:rsidRPr="00695B2C">
        <w:rPr>
          <w:rFonts w:cs="Tahoma"/>
          <w:b/>
          <w:bCs/>
        </w:rPr>
        <w:t xml:space="preserve"> </w:t>
      </w:r>
      <w:r w:rsidRPr="00695B2C">
        <w:rPr>
          <w:rFonts w:cs="Tahoma"/>
          <w:b/>
          <w:bCs/>
        </w:rPr>
        <w:t>a) El rescate de restos.</w:t>
      </w:r>
      <w:r w:rsidR="00AB7446" w:rsidRPr="00695B2C">
        <w:rPr>
          <w:rFonts w:cs="Tahoma"/>
          <w:b/>
          <w:bCs/>
        </w:rPr>
        <w:t xml:space="preserve"> </w:t>
      </w:r>
      <w:r w:rsidRPr="00695B2C">
        <w:rPr>
          <w:rFonts w:cs="Tahoma"/>
          <w:b/>
          <w:bCs/>
        </w:rPr>
        <w:t>b) Identificación y persecución de culpables.</w:t>
      </w:r>
    </w:p>
    <w:p w14:paraId="2BD6454A" w14:textId="77777777" w:rsidR="006606F9" w:rsidRPr="00695B2C" w:rsidRDefault="006606F9" w:rsidP="006461DA">
      <w:pPr>
        <w:spacing w:after="0" w:line="360" w:lineRule="auto"/>
        <w:rPr>
          <w:rFonts w:cs="Tahoma"/>
          <w:highlight w:val="green"/>
        </w:rPr>
      </w:pPr>
    </w:p>
    <w:p w14:paraId="3461A1FF" w14:textId="0FE90D84" w:rsidR="00AB7446" w:rsidRPr="00695B2C" w:rsidRDefault="00AB7446" w:rsidP="006461DA">
      <w:pPr>
        <w:spacing w:after="0" w:line="360" w:lineRule="auto"/>
        <w:rPr>
          <w:rFonts w:cs="Tahoma"/>
        </w:rPr>
      </w:pPr>
      <w:r w:rsidRPr="00695B2C">
        <w:rPr>
          <w:rFonts w:cs="Tahoma"/>
        </w:rPr>
        <w:t xml:space="preserve">Como ya se refirió en los antecedentes, a través de informe justificado el Sujeto Obligado entregó información adicional, entre la que detalló a través de una nota informativa, las excavaciones que se realizaron al interior del inmueble en donde se realizó el hallazgo primigenio, así como la identificación de un segundo inmueble en donde se presume la existencia de más indicios. </w:t>
      </w:r>
    </w:p>
    <w:p w14:paraId="7AB83793" w14:textId="50153A25" w:rsidR="00705B41" w:rsidRPr="00695B2C" w:rsidRDefault="00705B41" w:rsidP="006461DA">
      <w:pPr>
        <w:spacing w:after="0" w:line="360" w:lineRule="auto"/>
        <w:rPr>
          <w:rFonts w:cs="Tahoma"/>
        </w:rPr>
      </w:pPr>
    </w:p>
    <w:p w14:paraId="59647089" w14:textId="209B68F2" w:rsidR="00705B41" w:rsidRPr="00695B2C" w:rsidRDefault="00705B41" w:rsidP="006461DA">
      <w:pPr>
        <w:spacing w:after="0" w:line="360" w:lineRule="auto"/>
        <w:rPr>
          <w:rFonts w:cs="Tahoma"/>
        </w:rPr>
      </w:pPr>
      <w:r w:rsidRPr="00695B2C">
        <w:rPr>
          <w:rFonts w:cs="Tahoma"/>
        </w:rPr>
        <w:t>Las tarjetas, de manera amplia señalan las actuaciones y diligencias que se llevaron a cabo en el inmueble</w:t>
      </w:r>
      <w:r w:rsidR="00234162" w:rsidRPr="00695B2C">
        <w:rPr>
          <w:rFonts w:cs="Tahoma"/>
        </w:rPr>
        <w:t>, sin embargo, son tarjetas informativas, que contienen la siguiente información:</w:t>
      </w:r>
    </w:p>
    <w:p w14:paraId="753FF6BD" w14:textId="77777777" w:rsidR="00705B41" w:rsidRPr="00695B2C" w:rsidRDefault="00705B41" w:rsidP="006461DA">
      <w:pPr>
        <w:spacing w:after="0" w:line="360" w:lineRule="auto"/>
        <w:rPr>
          <w:rFonts w:cs="Tahoma"/>
        </w:rPr>
      </w:pPr>
    </w:p>
    <w:p w14:paraId="1724B883" w14:textId="141B90C0" w:rsidR="00566C85" w:rsidRPr="00695B2C" w:rsidRDefault="006606F9" w:rsidP="006461DA">
      <w:pPr>
        <w:spacing w:after="0" w:line="360" w:lineRule="auto"/>
        <w:jc w:val="center"/>
        <w:rPr>
          <w:rFonts w:cs="Tahoma"/>
          <w:highlight w:val="green"/>
        </w:rPr>
      </w:pPr>
      <w:r>
        <w:rPr>
          <w:noProof/>
        </w:rPr>
        <w:lastRenderedPageBreak/>
        <mc:AlternateContent>
          <mc:Choice Requires="wps">
            <w:drawing>
              <wp:anchor distT="0" distB="0" distL="114300" distR="114300" simplePos="0" relativeHeight="251667456" behindDoc="0" locked="0" layoutInCell="1" allowOverlap="1" wp14:anchorId="008CC6AF" wp14:editId="0CD78E9E">
                <wp:simplePos x="0" y="0"/>
                <wp:positionH relativeFrom="column">
                  <wp:posOffset>513715</wp:posOffset>
                </wp:positionH>
                <wp:positionV relativeFrom="paragraph">
                  <wp:posOffset>5343525</wp:posOffset>
                </wp:positionV>
                <wp:extent cx="4826000" cy="1752600"/>
                <wp:effectExtent l="0" t="0" r="31750" b="19050"/>
                <wp:wrapNone/>
                <wp:docPr id="39" name="Conector recto 39"/>
                <wp:cNvGraphicFramePr/>
                <a:graphic xmlns:a="http://schemas.openxmlformats.org/drawingml/2006/main">
                  <a:graphicData uri="http://schemas.microsoft.com/office/word/2010/wordprocessingShape">
                    <wps:wsp>
                      <wps:cNvCnPr/>
                      <wps:spPr>
                        <a:xfrm flipV="1">
                          <a:off x="0" y="0"/>
                          <a:ext cx="4826000" cy="1752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9D10B13" id="Conector recto 39"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40.45pt,420.75pt" to="420.45pt,55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" strokecolor="#5b9bd5 [3204]" strokeweight=".5pt">
                <v:stroke joinstyle="miter"/>
              </v:line>
            </w:pict>
          </mc:Fallback>
        </mc:AlternateContent>
      </w:r>
      <w:r w:rsidR="00566C85" w:rsidRPr="00695B2C">
        <w:rPr>
          <w:noProof/>
        </w:rPr>
        <w:drawing>
          <wp:inline distT="0" distB="0" distL="0" distR="0" wp14:anchorId="6D36FED0" wp14:editId="29F56AD8">
            <wp:extent cx="4977144" cy="4787900"/>
            <wp:effectExtent l="0" t="0" r="0" b="0"/>
            <wp:docPr id="26" name="Imagen 26"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Texto, Aplicación, Word&#10;&#10;Descripción generada automáticamente"/>
                    <pic:cNvPicPr/>
                  </pic:nvPicPr>
                  <pic:blipFill rotWithShape="1">
                    <a:blip r:embed="rId16"/>
                    <a:srcRect l="28451" t="12578" r="28298" b="13417"/>
                    <a:stretch/>
                  </pic:blipFill>
                  <pic:spPr bwMode="auto">
                    <a:xfrm>
                      <a:off x="0" y="0"/>
                      <a:ext cx="5024713" cy="4833660"/>
                    </a:xfrm>
                    <a:prstGeom prst="rect">
                      <a:avLst/>
                    </a:prstGeom>
                    <a:ln>
                      <a:noFill/>
                    </a:ln>
                    <a:extLst>
                      <a:ext uri="{53640926-AAD7-44D8-BBD7-CCE9431645EC}">
                        <a14:shadowObscured xmlns:a14="http://schemas.microsoft.com/office/drawing/2010/main"/>
                      </a:ext>
                    </a:extLst>
                  </pic:spPr>
                </pic:pic>
              </a:graphicData>
            </a:graphic>
          </wp:inline>
        </w:drawing>
      </w:r>
    </w:p>
    <w:p w14:paraId="4C280CB6" w14:textId="377C6FD2" w:rsidR="00AB7446" w:rsidRPr="00695B2C" w:rsidRDefault="00AB7446" w:rsidP="006461DA">
      <w:pPr>
        <w:spacing w:after="0" w:line="360" w:lineRule="auto"/>
        <w:jc w:val="center"/>
        <w:rPr>
          <w:rFonts w:cs="Tahoma"/>
          <w:highlight w:val="green"/>
        </w:rPr>
      </w:pPr>
      <w:r w:rsidRPr="00695B2C">
        <w:rPr>
          <w:noProof/>
        </w:rPr>
        <w:lastRenderedPageBreak/>
        <w:drawing>
          <wp:inline distT="0" distB="0" distL="0" distR="0" wp14:anchorId="3BDA8CA1" wp14:editId="50B01A05">
            <wp:extent cx="4642161" cy="4864100"/>
            <wp:effectExtent l="0" t="0" r="6350" b="0"/>
            <wp:docPr id="34" name="Imagen 34"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Texto, Aplicación, Word&#10;&#10;Descripción generada automáticamente"/>
                    <pic:cNvPicPr/>
                  </pic:nvPicPr>
                  <pic:blipFill rotWithShape="1">
                    <a:blip r:embed="rId17"/>
                    <a:srcRect l="29273" t="10823" r="29449" b="12247"/>
                    <a:stretch/>
                  </pic:blipFill>
                  <pic:spPr bwMode="auto">
                    <a:xfrm>
                      <a:off x="0" y="0"/>
                      <a:ext cx="4715740" cy="4941197"/>
                    </a:xfrm>
                    <a:prstGeom prst="rect">
                      <a:avLst/>
                    </a:prstGeom>
                    <a:ln>
                      <a:noFill/>
                    </a:ln>
                    <a:extLst>
                      <a:ext uri="{53640926-AAD7-44D8-BBD7-CCE9431645EC}">
                        <a14:shadowObscured xmlns:a14="http://schemas.microsoft.com/office/drawing/2010/main"/>
                      </a:ext>
                    </a:extLst>
                  </pic:spPr>
                </pic:pic>
              </a:graphicData>
            </a:graphic>
          </wp:inline>
        </w:drawing>
      </w:r>
    </w:p>
    <w:p w14:paraId="59052935" w14:textId="7458FA94" w:rsidR="00AB7446" w:rsidRPr="00695B2C" w:rsidRDefault="00AB7446" w:rsidP="006461DA">
      <w:pPr>
        <w:spacing w:after="0" w:line="360" w:lineRule="auto"/>
        <w:rPr>
          <w:rFonts w:cs="Tahoma"/>
          <w:highlight w:val="green"/>
        </w:rPr>
      </w:pPr>
    </w:p>
    <w:p w14:paraId="3B52B724" w14:textId="3AADE5CC" w:rsidR="00B36222" w:rsidRPr="00695B2C" w:rsidRDefault="00D946DF" w:rsidP="006461DA">
      <w:pPr>
        <w:spacing w:after="0" w:line="360" w:lineRule="auto"/>
        <w:rPr>
          <w:rFonts w:cs="Tahoma"/>
        </w:rPr>
      </w:pPr>
      <w:r w:rsidRPr="00695B2C">
        <w:rPr>
          <w:rFonts w:cs="Tahoma"/>
        </w:rPr>
        <w:t xml:space="preserve">Referente a las diligencias encaminadas al </w:t>
      </w:r>
      <w:r w:rsidR="00F070B0" w:rsidRPr="00695B2C">
        <w:rPr>
          <w:rFonts w:cs="Tahoma"/>
        </w:rPr>
        <w:t>rescate de restos, las tarjetas informativas entregan de manera superficial actuaciones realizadas</w:t>
      </w:r>
      <w:r w:rsidR="00B36222" w:rsidRPr="00695B2C">
        <w:rPr>
          <w:rFonts w:cs="Tahoma"/>
        </w:rPr>
        <w:t>. Por diligencias, debemos delimitarlo a lo definido por la Real Academia de la Lengua Española, de la siguiente manera:</w:t>
      </w:r>
    </w:p>
    <w:p w14:paraId="5076878E" w14:textId="77777777" w:rsidR="00B36222" w:rsidRPr="00695B2C" w:rsidRDefault="00B36222" w:rsidP="006461DA">
      <w:pPr>
        <w:spacing w:after="0" w:line="360" w:lineRule="auto"/>
        <w:rPr>
          <w:rFonts w:cs="Tahoma"/>
        </w:rPr>
      </w:pPr>
    </w:p>
    <w:p w14:paraId="535DB12E" w14:textId="0E62F609" w:rsidR="00B36222" w:rsidRPr="00695B2C" w:rsidRDefault="00B36222" w:rsidP="006461DA">
      <w:pPr>
        <w:tabs>
          <w:tab w:val="left" w:pos="8364"/>
        </w:tabs>
        <w:spacing w:after="0" w:line="360" w:lineRule="auto"/>
        <w:ind w:left="567" w:right="616"/>
        <w:rPr>
          <w:rFonts w:cs="Tahoma"/>
          <w:i/>
          <w:iCs/>
          <w:sz w:val="20"/>
          <w:szCs w:val="20"/>
        </w:rPr>
      </w:pPr>
      <w:r w:rsidRPr="00695B2C">
        <w:rPr>
          <w:rFonts w:cs="Tahoma"/>
          <w:i/>
          <w:iCs/>
          <w:sz w:val="20"/>
          <w:szCs w:val="20"/>
        </w:rPr>
        <w:t>Diligencia</w:t>
      </w:r>
    </w:p>
    <w:p w14:paraId="593AFBDA" w14:textId="77777777" w:rsidR="00B36222" w:rsidRPr="00695B2C" w:rsidRDefault="00B36222" w:rsidP="006461DA">
      <w:pPr>
        <w:tabs>
          <w:tab w:val="left" w:pos="8364"/>
        </w:tabs>
        <w:spacing w:after="0" w:line="360" w:lineRule="auto"/>
        <w:ind w:left="567" w:right="616"/>
        <w:rPr>
          <w:rFonts w:cs="Tahoma"/>
          <w:i/>
          <w:iCs/>
          <w:sz w:val="20"/>
          <w:szCs w:val="20"/>
        </w:rPr>
      </w:pPr>
      <w:r w:rsidRPr="00695B2C">
        <w:rPr>
          <w:rFonts w:cs="Tahoma"/>
          <w:i/>
          <w:iCs/>
          <w:sz w:val="20"/>
          <w:szCs w:val="20"/>
        </w:rPr>
        <w:t>Del lat. </w:t>
      </w:r>
      <w:proofErr w:type="spellStart"/>
      <w:r w:rsidRPr="00695B2C">
        <w:rPr>
          <w:rFonts w:cs="Tahoma"/>
          <w:i/>
          <w:iCs/>
          <w:sz w:val="20"/>
          <w:szCs w:val="20"/>
        </w:rPr>
        <w:t>diligentia</w:t>
      </w:r>
      <w:proofErr w:type="spellEnd"/>
      <w:r w:rsidRPr="00695B2C">
        <w:rPr>
          <w:rFonts w:cs="Tahoma"/>
          <w:i/>
          <w:iCs/>
          <w:sz w:val="20"/>
          <w:szCs w:val="20"/>
        </w:rPr>
        <w:t>.</w:t>
      </w:r>
    </w:p>
    <w:p w14:paraId="26073630" w14:textId="77777777" w:rsidR="00B36222" w:rsidRPr="00695B2C" w:rsidRDefault="00B36222" w:rsidP="006461DA">
      <w:pPr>
        <w:tabs>
          <w:tab w:val="left" w:pos="8364"/>
        </w:tabs>
        <w:spacing w:after="0" w:line="360" w:lineRule="auto"/>
        <w:ind w:left="567" w:right="616"/>
        <w:rPr>
          <w:rFonts w:cs="Tahoma"/>
          <w:i/>
          <w:iCs/>
          <w:sz w:val="20"/>
          <w:szCs w:val="20"/>
        </w:rPr>
      </w:pPr>
      <w:r w:rsidRPr="00695B2C">
        <w:rPr>
          <w:rFonts w:cs="Tahoma"/>
          <w:i/>
          <w:iCs/>
          <w:sz w:val="20"/>
          <w:szCs w:val="20"/>
        </w:rPr>
        <w:t>…</w:t>
      </w:r>
    </w:p>
    <w:p w14:paraId="215CE825" w14:textId="77777777" w:rsidR="00B36222" w:rsidRPr="00695B2C" w:rsidRDefault="00B36222" w:rsidP="006461DA">
      <w:pPr>
        <w:tabs>
          <w:tab w:val="left" w:pos="8364"/>
        </w:tabs>
        <w:spacing w:after="0" w:line="360" w:lineRule="auto"/>
        <w:ind w:left="567" w:right="616"/>
        <w:rPr>
          <w:rFonts w:cs="Tahoma"/>
          <w:i/>
          <w:iCs/>
          <w:sz w:val="20"/>
          <w:szCs w:val="20"/>
        </w:rPr>
      </w:pPr>
      <w:r w:rsidRPr="00695B2C">
        <w:rPr>
          <w:rFonts w:cs="Tahoma"/>
          <w:i/>
          <w:iCs/>
          <w:sz w:val="20"/>
          <w:szCs w:val="20"/>
        </w:rPr>
        <w:t>3. f. Trámite de un asunto administrativo, y constancia escrita de haberlo efectuado.</w:t>
      </w:r>
    </w:p>
    <w:p w14:paraId="373AA950" w14:textId="77777777" w:rsidR="00B36222" w:rsidRPr="00695B2C" w:rsidRDefault="00B36222" w:rsidP="006461DA">
      <w:pPr>
        <w:tabs>
          <w:tab w:val="left" w:pos="8364"/>
        </w:tabs>
        <w:spacing w:after="0" w:line="360" w:lineRule="auto"/>
        <w:ind w:left="567" w:right="616"/>
        <w:rPr>
          <w:rFonts w:cs="Tahoma"/>
          <w:i/>
          <w:iCs/>
          <w:sz w:val="20"/>
          <w:szCs w:val="20"/>
        </w:rPr>
      </w:pPr>
      <w:r w:rsidRPr="00695B2C">
        <w:rPr>
          <w:rFonts w:cs="Tahoma"/>
          <w:i/>
          <w:iCs/>
          <w:sz w:val="20"/>
          <w:szCs w:val="20"/>
        </w:rPr>
        <w:lastRenderedPageBreak/>
        <w:t>…</w:t>
      </w:r>
    </w:p>
    <w:p w14:paraId="01B577C7" w14:textId="1183E99D" w:rsidR="00B36222" w:rsidRPr="00695B2C" w:rsidRDefault="00B36222" w:rsidP="006461DA">
      <w:pPr>
        <w:tabs>
          <w:tab w:val="left" w:pos="8364"/>
        </w:tabs>
        <w:spacing w:after="0" w:line="360" w:lineRule="auto"/>
        <w:ind w:left="567" w:right="616"/>
        <w:rPr>
          <w:rFonts w:cs="Tahoma"/>
          <w:i/>
          <w:iCs/>
          <w:sz w:val="20"/>
          <w:szCs w:val="20"/>
        </w:rPr>
      </w:pPr>
      <w:r w:rsidRPr="00695B2C">
        <w:rPr>
          <w:rFonts w:cs="Tahoma"/>
          <w:i/>
          <w:iCs/>
          <w:sz w:val="20"/>
          <w:szCs w:val="20"/>
        </w:rPr>
        <w:t>6. f. Der. Actuación de un órgano judicial para la ordenación del proceso.</w:t>
      </w:r>
      <w:r w:rsidRPr="00695B2C">
        <w:rPr>
          <w:rFonts w:cs="Tahoma"/>
          <w:i/>
          <w:iCs/>
          <w:sz w:val="20"/>
          <w:szCs w:val="20"/>
        </w:rPr>
        <w:fldChar w:fldCharType="begin"/>
      </w:r>
      <w:r w:rsidRPr="00695B2C">
        <w:rPr>
          <w:rFonts w:cs="Tahoma"/>
          <w:i/>
          <w:iCs/>
          <w:sz w:val="20"/>
          <w:szCs w:val="20"/>
        </w:rPr>
        <w:instrText xml:space="preserve"> HYPERLINK "https://dle.rae.es/diligencia" \l "otras" \o "Otra entrada que contiene la forma la forma \«diligencia\»" </w:instrText>
      </w:r>
      <w:r w:rsidRPr="00695B2C">
        <w:rPr>
          <w:rFonts w:cs="Tahoma"/>
          <w:i/>
          <w:iCs/>
          <w:sz w:val="20"/>
          <w:szCs w:val="20"/>
        </w:rPr>
        <w:fldChar w:fldCharType="separate"/>
      </w:r>
    </w:p>
    <w:p w14:paraId="41B06F2F" w14:textId="29C0CE68" w:rsidR="00B36222" w:rsidRPr="00695B2C" w:rsidRDefault="00B36222" w:rsidP="006461DA">
      <w:pPr>
        <w:tabs>
          <w:tab w:val="left" w:pos="8364"/>
        </w:tabs>
        <w:spacing w:after="0" w:line="360" w:lineRule="auto"/>
        <w:ind w:left="567" w:right="616"/>
        <w:rPr>
          <w:rFonts w:cs="Tahoma"/>
        </w:rPr>
      </w:pPr>
      <w:r w:rsidRPr="00695B2C">
        <w:rPr>
          <w:rFonts w:cs="Tahoma"/>
          <w:i/>
          <w:iCs/>
          <w:sz w:val="20"/>
          <w:szCs w:val="20"/>
        </w:rPr>
        <w:fldChar w:fldCharType="end"/>
      </w:r>
      <w:r w:rsidRPr="00695B2C">
        <w:rPr>
          <w:rFonts w:cs="Tahoma"/>
        </w:rPr>
        <w:t xml:space="preserve"> </w:t>
      </w:r>
    </w:p>
    <w:p w14:paraId="1491F34F" w14:textId="6AF27909" w:rsidR="00D946DF" w:rsidRPr="00695B2C" w:rsidRDefault="00B36222" w:rsidP="006461DA">
      <w:pPr>
        <w:spacing w:after="0" w:line="360" w:lineRule="auto"/>
        <w:rPr>
          <w:rFonts w:cs="Tahoma"/>
        </w:rPr>
      </w:pPr>
      <w:r w:rsidRPr="00695B2C">
        <w:rPr>
          <w:rFonts w:cs="Tahoma"/>
        </w:rPr>
        <w:t>Es entonces, que se identifica que esta información, en su caso, forma parte de la carpeta de investigación y por ello, deberá ser parte del análisis del punto 8, su sucede al presente punto.</w:t>
      </w:r>
    </w:p>
    <w:p w14:paraId="731A512B" w14:textId="6EC9186B" w:rsidR="00B36222" w:rsidRPr="00695B2C" w:rsidRDefault="00B36222" w:rsidP="006461DA">
      <w:pPr>
        <w:spacing w:after="0" w:line="360" w:lineRule="auto"/>
        <w:rPr>
          <w:rFonts w:cs="Tahoma"/>
        </w:rPr>
      </w:pPr>
    </w:p>
    <w:p w14:paraId="12FD1B91" w14:textId="511D0A96" w:rsidR="007005C8" w:rsidRPr="00695B2C" w:rsidRDefault="00B36222" w:rsidP="006461DA">
      <w:pPr>
        <w:spacing w:after="0" w:line="360" w:lineRule="auto"/>
        <w:rPr>
          <w:rFonts w:cs="Tahoma"/>
        </w:rPr>
      </w:pPr>
      <w:r w:rsidRPr="00695B2C">
        <w:rPr>
          <w:rFonts w:cs="Tahoma"/>
        </w:rPr>
        <w:t>Por lo que refiere a la identificación y persecución de culpables, el propio Sujeto Obligado, informó que solamente se encuentra a la fecha de la respuesta iniciada una carpeta de investigación y el ejercicio de una acción penal, lo que no cuenta con elemento para ser contravenido y por ello, debe tenerse por atendió este punto.</w:t>
      </w:r>
    </w:p>
    <w:p w14:paraId="622C08FD" w14:textId="0588A04D" w:rsidR="009135D8" w:rsidRPr="00695B2C" w:rsidRDefault="009135D8" w:rsidP="006461DA">
      <w:pPr>
        <w:spacing w:after="0" w:line="360" w:lineRule="auto"/>
        <w:rPr>
          <w:rFonts w:cs="Tahoma"/>
        </w:rPr>
      </w:pPr>
    </w:p>
    <w:p w14:paraId="3A30E8AF" w14:textId="77777777" w:rsidR="009135D8" w:rsidRPr="00695B2C" w:rsidRDefault="009135D8" w:rsidP="006461DA">
      <w:pPr>
        <w:spacing w:after="0" w:line="360" w:lineRule="auto"/>
        <w:rPr>
          <w:rFonts w:eastAsia="Calibri" w:cs="Tahoma"/>
          <w:iCs/>
          <w:szCs w:val="24"/>
          <w:lang w:val="es-ES" w:eastAsia="es-ES_tradnl"/>
        </w:rPr>
      </w:pPr>
      <w:r w:rsidRPr="00695B2C">
        <w:rPr>
          <w:rFonts w:eastAsia="Calibri" w:cs="Tahoma"/>
          <w:iCs/>
          <w:lang w:val="es-ES" w:eastAsia="es-ES_tradnl"/>
        </w:rPr>
        <w:t xml:space="preserve">En congruencia con lo anteriormente señalado, no debe dejarse de lado que </w:t>
      </w:r>
      <w:r w:rsidRPr="00695B2C">
        <w:rPr>
          <w:rFonts w:cs="Tahoma"/>
          <w:szCs w:val="24"/>
          <w:lang w:val="es-ES"/>
        </w:rPr>
        <w:t xml:space="preserve">este Organismo Garante no está facultado para dudar de la veracidad de la información contenida en los documentos que remiten los Sujetos Obligados en atención a los requerimientos de información; </w:t>
      </w:r>
      <w:r w:rsidRPr="00695B2C">
        <w:rPr>
          <w:rFonts w:cs="Tahoma"/>
          <w:szCs w:val="24"/>
        </w:rPr>
        <w:t xml:space="preserve">lo anterior, se robustece con lo plasmado en el Criterio 31-10 emitido por el entonces Instituto Federal de Acceso a la Información y Protección de Datos (IFAI) ahora Instituto Nacional de Transparencia, Acceso a la Información, y Protección de Datos Personales (INAI), que lleva por rubro y texto los siguientes: </w:t>
      </w:r>
    </w:p>
    <w:p w14:paraId="015B67B5" w14:textId="77777777" w:rsidR="009135D8" w:rsidRPr="00695B2C" w:rsidRDefault="009135D8" w:rsidP="006461DA">
      <w:pPr>
        <w:spacing w:after="0" w:line="360" w:lineRule="auto"/>
        <w:rPr>
          <w:rFonts w:cs="Tahoma"/>
          <w:szCs w:val="24"/>
        </w:rPr>
      </w:pPr>
    </w:p>
    <w:p w14:paraId="2AA644FA" w14:textId="77777777" w:rsidR="009135D8" w:rsidRPr="00BF7069" w:rsidRDefault="009135D8" w:rsidP="006461DA">
      <w:pPr>
        <w:spacing w:after="0" w:line="360" w:lineRule="auto"/>
        <w:ind w:left="567" w:right="539"/>
        <w:rPr>
          <w:rFonts w:cs="Tahoma"/>
          <w:i/>
          <w:sz w:val="20"/>
        </w:rPr>
      </w:pPr>
      <w:r w:rsidRPr="00BF7069">
        <w:rPr>
          <w:rFonts w:cs="Tahoma"/>
          <w:b/>
          <w:i/>
          <w:sz w:val="20"/>
        </w:rPr>
        <w:t>“El Instituto Federal de Acceso a la Información y Protección de Datos no cuenta con facultades para pronunciarse respecto de la veracidad de los documentos proporcionados por los sujetos obligados.</w:t>
      </w:r>
      <w:r w:rsidRPr="00BF7069">
        <w:rPr>
          <w:rFonts w:cs="Tahoma"/>
          <w:i/>
          <w:sz w:val="20"/>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de información que les presentan los particulares, en virtud de que en los artículos 49 y 50 de la Ley Federal de </w:t>
      </w:r>
      <w:r w:rsidRPr="00BF7069">
        <w:rPr>
          <w:rFonts w:cs="Tahoma"/>
          <w:i/>
          <w:sz w:val="20"/>
        </w:rPr>
        <w:lastRenderedPageBreak/>
        <w:t>Transparencia y Acceso a la Información Pública Gubernamental no se prevé una causal que permita al Instituto Federal de Acceso a la Información y Protección de Datos conocer, vía recurso revisión, al respecto.”</w:t>
      </w:r>
    </w:p>
    <w:p w14:paraId="657A6CE2" w14:textId="2F0F7400" w:rsidR="009135D8" w:rsidRPr="00BF7069" w:rsidRDefault="009135D8" w:rsidP="006461DA">
      <w:pPr>
        <w:spacing w:after="0" w:line="360" w:lineRule="auto"/>
        <w:rPr>
          <w:rFonts w:cs="Tahoma"/>
          <w:b/>
          <w:bCs/>
          <w:sz w:val="20"/>
          <w:szCs w:val="20"/>
          <w:highlight w:val="yellow"/>
        </w:rPr>
      </w:pPr>
    </w:p>
    <w:p w14:paraId="7EE20029" w14:textId="6AD17D24" w:rsidR="009135D8" w:rsidRPr="00695B2C" w:rsidRDefault="009135D8" w:rsidP="006461DA">
      <w:pPr>
        <w:spacing w:after="0" w:line="360" w:lineRule="auto"/>
        <w:rPr>
          <w:rFonts w:cs="Tahoma"/>
        </w:rPr>
      </w:pPr>
      <w:r w:rsidRPr="00695B2C">
        <w:rPr>
          <w:rFonts w:cs="Tahoma"/>
        </w:rPr>
        <w:t xml:space="preserve">Es entonces que se tiene por atendidas la identificación y persecución de culpables, sin embargo, por lo que refiere a las diligencias realizadas para </w:t>
      </w:r>
      <w:r w:rsidR="00BF7069">
        <w:rPr>
          <w:rFonts w:cs="Tahoma"/>
        </w:rPr>
        <w:t>en</w:t>
      </w:r>
      <w:r w:rsidRPr="00695B2C">
        <w:rPr>
          <w:rFonts w:cs="Tahoma"/>
        </w:rPr>
        <w:t xml:space="preserve"> el rescate de restos, es dable presumir que estas actuaciones deben obrar en la carpeta de investigación y por ello, en su caso, forma parte del estudio del punto 8.</w:t>
      </w:r>
    </w:p>
    <w:p w14:paraId="66C06F77" w14:textId="77777777" w:rsidR="00B36222" w:rsidRPr="00695B2C" w:rsidRDefault="00B36222" w:rsidP="006461DA">
      <w:pPr>
        <w:spacing w:after="0" w:line="360" w:lineRule="auto"/>
        <w:rPr>
          <w:rFonts w:cs="Tahoma"/>
          <w:b/>
          <w:bCs/>
        </w:rPr>
      </w:pPr>
    </w:p>
    <w:p w14:paraId="18899801" w14:textId="3A944FA6" w:rsidR="00811EAD" w:rsidRPr="00695B2C" w:rsidRDefault="00083CB6" w:rsidP="006461DA">
      <w:pPr>
        <w:spacing w:after="0" w:line="360" w:lineRule="auto"/>
        <w:rPr>
          <w:rFonts w:cs="Tahoma"/>
          <w:b/>
          <w:bCs/>
        </w:rPr>
      </w:pPr>
      <w:r w:rsidRPr="00695B2C">
        <w:rPr>
          <w:rFonts w:cs="Tahoma"/>
          <w:b/>
          <w:bCs/>
        </w:rPr>
        <w:t xml:space="preserve">8. Las carpetas de investigación, amparos y demás expedientes relacionados con ese caso. </w:t>
      </w:r>
    </w:p>
    <w:p w14:paraId="07C68E54" w14:textId="674EED8D" w:rsidR="00811EAD" w:rsidRPr="00695B2C" w:rsidRDefault="00811EAD" w:rsidP="006461DA">
      <w:pPr>
        <w:spacing w:after="0" w:line="360" w:lineRule="auto"/>
        <w:rPr>
          <w:rFonts w:cs="Tahoma"/>
          <w:b/>
          <w:bCs/>
        </w:rPr>
      </w:pPr>
    </w:p>
    <w:p w14:paraId="7B03A264" w14:textId="69ACB614" w:rsidR="00A11667" w:rsidRPr="00695B2C" w:rsidRDefault="00A11667" w:rsidP="006461DA">
      <w:pPr>
        <w:spacing w:after="0" w:line="360" w:lineRule="auto"/>
        <w:rPr>
          <w:rFonts w:cs="Tahoma"/>
        </w:rPr>
      </w:pPr>
      <w:r w:rsidRPr="00695B2C">
        <w:rPr>
          <w:rFonts w:cs="Tahoma"/>
        </w:rPr>
        <w:t xml:space="preserve">El Recurrente solicitó la carpeta de investigación, de la que vale destacar, </w:t>
      </w:r>
      <w:r w:rsidRPr="00695B2C">
        <w:rPr>
          <w:rFonts w:cs="Tahoma"/>
          <w:b/>
          <w:bCs/>
        </w:rPr>
        <w:t>el Ministerio Público presentó al juez de la causa, para poner a disposición al imputado por el delito de feminicidio</w:t>
      </w:r>
      <w:r w:rsidRPr="00695B2C">
        <w:rPr>
          <w:rFonts w:cs="Tahoma"/>
        </w:rPr>
        <w:t>, de tal suerte que la parte de la solicitud consistente en las actuaciones realizadas por el o los agentes del Ministerio Público obran en dicha carpeta que, evidentemente forma ya parte del expediente judicial</w:t>
      </w:r>
      <w:r w:rsidR="00190D85" w:rsidRPr="00695B2C">
        <w:rPr>
          <w:rFonts w:cs="Tahoma"/>
        </w:rPr>
        <w:t xml:space="preserve">; esto quiere decir que esa parte de la solicitud 7, se atiende con lo aquí analizado. Lo anterior, </w:t>
      </w:r>
      <w:r w:rsidRPr="00695B2C">
        <w:rPr>
          <w:rFonts w:cs="Tahoma"/>
        </w:rPr>
        <w:t>cobra relevancia porque, la secrecía de la investigación cobra otras dimensiones pues si bien, una vez judicializada la carpeta, puede el Ministerio Público contar con más tiempo para ampliar la investigación, plazo que puede ser autorizado por el Juez de Control,</w:t>
      </w:r>
      <w:r w:rsidR="00190D85" w:rsidRPr="00695B2C">
        <w:rPr>
          <w:rFonts w:cs="Tahoma"/>
        </w:rPr>
        <w:t xml:space="preserve"> en</w:t>
      </w:r>
      <w:r w:rsidR="0046603E" w:rsidRPr="00695B2C">
        <w:rPr>
          <w:rFonts w:cs="Tahoma"/>
        </w:rPr>
        <w:t xml:space="preserve"> las audiencias públicas, muchos de los datos que en su momento debieron ser protegidos como secretos por el Ministerio Público se revelan con el objetivo de que el juez determine, primero la existencia de elementos para dictar orden de aprehensión y finalmente para resolver con una sentencia el asunto.  </w:t>
      </w:r>
    </w:p>
    <w:p w14:paraId="55EED71B" w14:textId="77777777" w:rsidR="00A11667" w:rsidRPr="00695B2C" w:rsidRDefault="00A11667" w:rsidP="006461DA">
      <w:pPr>
        <w:spacing w:after="0" w:line="360" w:lineRule="auto"/>
        <w:rPr>
          <w:rFonts w:cs="Tahoma"/>
          <w:b/>
          <w:bCs/>
        </w:rPr>
      </w:pPr>
    </w:p>
    <w:p w14:paraId="7C215D84" w14:textId="37FCDEFF" w:rsidR="00811EAD" w:rsidRPr="00695B2C" w:rsidRDefault="00811EAD" w:rsidP="006461DA">
      <w:pPr>
        <w:spacing w:after="0" w:line="360" w:lineRule="auto"/>
        <w:rPr>
          <w:rFonts w:cs="Tahoma"/>
        </w:rPr>
      </w:pPr>
      <w:r w:rsidRPr="00695B2C">
        <w:rPr>
          <w:rFonts w:cs="Tahoma"/>
        </w:rPr>
        <w:t xml:space="preserve">En informe justificado, el Sujeto Obligado, como fue desarrollado en antecedentes, </w:t>
      </w:r>
      <w:r w:rsidR="00855510" w:rsidRPr="00695B2C">
        <w:rPr>
          <w:rFonts w:cs="Tahoma"/>
        </w:rPr>
        <w:t>reservó la información por un periodo de 5 años, con fundament</w:t>
      </w:r>
      <w:r w:rsidR="00C934C1" w:rsidRPr="00695B2C">
        <w:rPr>
          <w:rFonts w:cs="Tahoma"/>
        </w:rPr>
        <w:t>o</w:t>
      </w:r>
      <w:r w:rsidR="00855510" w:rsidRPr="00695B2C">
        <w:rPr>
          <w:rFonts w:cs="Tahoma"/>
        </w:rPr>
        <w:t xml:space="preserve"> en los artículos </w:t>
      </w:r>
      <w:r w:rsidRPr="00695B2C">
        <w:rPr>
          <w:rFonts w:cs="Tahoma"/>
        </w:rPr>
        <w:t xml:space="preserve">91, 122, 130 y </w:t>
      </w:r>
      <w:r w:rsidRPr="00695B2C">
        <w:rPr>
          <w:rFonts w:cs="Tahoma"/>
          <w:b/>
          <w:bCs/>
        </w:rPr>
        <w:t xml:space="preserve">140, fracciones VI, IX y XI de la Ley de Transparencia de la entidad, en relación con las fracciones </w:t>
      </w:r>
      <w:r w:rsidRPr="00695B2C">
        <w:rPr>
          <w:rFonts w:cs="Tahoma"/>
          <w:b/>
          <w:bCs/>
        </w:rPr>
        <w:lastRenderedPageBreak/>
        <w:t>VII, XII y XIII, del artículo 113 de la Ley General de Transparencia y Acceso a la Información Pública,</w:t>
      </w:r>
      <w:r w:rsidRPr="00695B2C">
        <w:rPr>
          <w:rFonts w:cs="Tahoma"/>
        </w:rPr>
        <w:t xml:space="preserve"> señalan que la clasificación es el proceso mediante el cual los sujetos obligados determinan que la información en su poder, actualiza alguno de los supuestos de reserva o confidencialidad, debiendo aplicar de manera restrictiva y limitada, las excepciones al derecho de acceso a la información, dichos ordenamientos señalan lo siguiente:  </w:t>
      </w:r>
    </w:p>
    <w:p w14:paraId="270D7F66" w14:textId="45997939" w:rsidR="00811EAD" w:rsidRPr="00695B2C" w:rsidRDefault="00811EAD" w:rsidP="006461DA">
      <w:pPr>
        <w:spacing w:after="0" w:line="360" w:lineRule="auto"/>
        <w:ind w:left="426" w:right="474"/>
        <w:rPr>
          <w:rFonts w:eastAsia="Times New Roman" w:cs="Arial"/>
          <w:bCs/>
          <w:i/>
          <w:iCs/>
          <w:color w:val="auto"/>
          <w:sz w:val="20"/>
          <w:highlight w:val="yellow"/>
          <w:lang w:eastAsia="es-ES"/>
        </w:rPr>
      </w:pPr>
    </w:p>
    <w:p w14:paraId="2BCC537A" w14:textId="3AFF0D87" w:rsidR="00190D85" w:rsidRDefault="00FB48EB" w:rsidP="006461DA">
      <w:pPr>
        <w:spacing w:after="0" w:line="360" w:lineRule="auto"/>
        <w:ind w:left="426" w:right="474"/>
        <w:rPr>
          <w:rFonts w:eastAsia="Times New Roman" w:cs="Arial"/>
          <w:b/>
          <w:color w:val="auto"/>
          <w:lang w:eastAsia="es-ES"/>
        </w:rPr>
      </w:pPr>
      <w:r w:rsidRPr="00695B2C">
        <w:rPr>
          <w:rFonts w:eastAsia="Times New Roman" w:cs="Arial"/>
          <w:b/>
          <w:color w:val="auto"/>
          <w:lang w:eastAsia="es-ES"/>
        </w:rPr>
        <w:t>Ley de Transparencia Acceso a la Información Pública y Protección de Datos Personales del Estado de México y Municipios.</w:t>
      </w:r>
    </w:p>
    <w:p w14:paraId="65B6C5A3" w14:textId="77777777" w:rsidR="002603F0" w:rsidRPr="00695B2C" w:rsidRDefault="002603F0" w:rsidP="006461DA">
      <w:pPr>
        <w:spacing w:after="0" w:line="360" w:lineRule="auto"/>
        <w:ind w:left="426" w:right="474"/>
        <w:rPr>
          <w:rFonts w:eastAsia="Times New Roman" w:cs="Arial"/>
          <w:b/>
          <w:color w:val="auto"/>
          <w:lang w:eastAsia="es-ES"/>
        </w:rPr>
      </w:pPr>
    </w:p>
    <w:p w14:paraId="05B6E51C" w14:textId="77777777" w:rsidR="00811EAD"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“Artículo 91. El acceso a la información pública será restringido excepcionalmente, cuando ésta sea clasificada como reservada o confidencial.”</w:t>
      </w:r>
    </w:p>
    <w:p w14:paraId="5480264F" w14:textId="77777777" w:rsidR="00811EAD" w:rsidRPr="00695B2C" w:rsidRDefault="00811EAD" w:rsidP="006461DA">
      <w:pPr>
        <w:spacing w:after="0" w:line="360" w:lineRule="auto"/>
        <w:ind w:left="426" w:right="474"/>
        <w:rPr>
          <w:rFonts w:eastAsia="Times New Roman" w:cs="Arial"/>
          <w:bCs/>
          <w:i/>
          <w:iCs/>
          <w:color w:val="auto"/>
          <w:sz w:val="20"/>
          <w:lang w:eastAsia="es-ES"/>
        </w:rPr>
      </w:pPr>
    </w:p>
    <w:p w14:paraId="534A8072" w14:textId="77777777" w:rsidR="00811EAD"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“Artículo 122. La clasificación es el proceso mediante el cual el sujeto obligado determina que la información en su poder </w:t>
      </w:r>
      <w:proofErr w:type="spellStart"/>
      <w:r w:rsidRPr="00695B2C">
        <w:rPr>
          <w:rFonts w:eastAsia="Times New Roman" w:cs="Arial"/>
          <w:bCs/>
          <w:i/>
          <w:iCs/>
          <w:color w:val="auto"/>
          <w:sz w:val="20"/>
          <w:lang w:eastAsia="es-ES"/>
        </w:rPr>
        <w:t>actualiza</w:t>
      </w:r>
      <w:proofErr w:type="spellEnd"/>
      <w:r w:rsidRPr="00695B2C">
        <w:rPr>
          <w:rFonts w:eastAsia="Times New Roman" w:cs="Arial"/>
          <w:bCs/>
          <w:i/>
          <w:iCs/>
          <w:color w:val="auto"/>
          <w:sz w:val="20"/>
          <w:lang w:eastAsia="es-ES"/>
        </w:rPr>
        <w:t xml:space="preserve"> alguno de los supuestos de reserva o confidencialidad, de conformidad con lo dispuesto en el presente título. </w:t>
      </w:r>
    </w:p>
    <w:p w14:paraId="6C2E6489" w14:textId="77777777" w:rsidR="00811EAD" w:rsidRPr="00695B2C" w:rsidRDefault="00811EAD" w:rsidP="006461DA">
      <w:pPr>
        <w:spacing w:after="0" w:line="360" w:lineRule="auto"/>
        <w:ind w:left="426" w:right="474"/>
        <w:rPr>
          <w:rFonts w:eastAsia="Times New Roman" w:cs="Arial"/>
          <w:bCs/>
          <w:i/>
          <w:iCs/>
          <w:color w:val="auto"/>
          <w:sz w:val="20"/>
          <w:lang w:eastAsia="es-ES"/>
        </w:rPr>
      </w:pPr>
    </w:p>
    <w:p w14:paraId="4AD3D4C7" w14:textId="77777777" w:rsidR="00811EAD"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Los supuestos de reserva o confidencialidad previstos en las leyes deberán ser acordes con las bases, principios y disposiciones establecidos en la Ley General y, en ningún caso, podrán contravenirla. </w:t>
      </w:r>
    </w:p>
    <w:p w14:paraId="3B96BD9F" w14:textId="77777777" w:rsidR="00811EAD" w:rsidRPr="00695B2C" w:rsidRDefault="00811EAD" w:rsidP="006461DA">
      <w:pPr>
        <w:spacing w:after="0" w:line="360" w:lineRule="auto"/>
        <w:ind w:left="426" w:right="474"/>
        <w:rPr>
          <w:rFonts w:eastAsia="Times New Roman" w:cs="Arial"/>
          <w:bCs/>
          <w:i/>
          <w:iCs/>
          <w:color w:val="auto"/>
          <w:sz w:val="20"/>
          <w:lang w:eastAsia="es-ES"/>
        </w:rPr>
      </w:pPr>
    </w:p>
    <w:p w14:paraId="20F542BF" w14:textId="77777777" w:rsidR="00811EAD"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Los titulares de las áreas de los sujetos obligados serán los responsables de clasificar la información, de conformidad con lo dispuesto en la presente Ley y demás disposiciones jurídicas aplicables.” </w:t>
      </w:r>
    </w:p>
    <w:p w14:paraId="7C0E65E3" w14:textId="77777777" w:rsidR="00811EAD" w:rsidRPr="00695B2C" w:rsidRDefault="00811EAD" w:rsidP="006461DA">
      <w:pPr>
        <w:spacing w:after="0" w:line="360" w:lineRule="auto"/>
        <w:ind w:left="426" w:right="474"/>
        <w:rPr>
          <w:rFonts w:eastAsia="Times New Roman" w:cs="Arial"/>
          <w:bCs/>
          <w:i/>
          <w:iCs/>
          <w:color w:val="auto"/>
          <w:sz w:val="20"/>
          <w:lang w:eastAsia="es-ES"/>
        </w:rPr>
      </w:pPr>
    </w:p>
    <w:p w14:paraId="4F67A0C3" w14:textId="77777777" w:rsidR="00811EAD"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“Artículo 130. Los sujetos obligados deberán aplicar, de manera restrictiva y limitada, las excepciones al derecho de acceso a la información y sólo podrán invocarlas cuando acrediten su procedencia, sin ampliar las excepciones o supuestos de reserva o confidencialidad previstos en la Ley General y la presente Ley, aduciendo analogía o mayoría de razón.”</w:t>
      </w:r>
    </w:p>
    <w:p w14:paraId="558F36E0" w14:textId="77777777" w:rsidR="00811EAD" w:rsidRPr="00695B2C" w:rsidRDefault="00811EAD" w:rsidP="006461DA">
      <w:pPr>
        <w:spacing w:after="0" w:line="360" w:lineRule="auto"/>
        <w:ind w:left="426" w:right="474"/>
        <w:rPr>
          <w:rFonts w:eastAsia="Times New Roman" w:cs="Arial"/>
          <w:bCs/>
          <w:i/>
          <w:iCs/>
          <w:color w:val="auto"/>
          <w:sz w:val="20"/>
          <w:lang w:eastAsia="es-ES"/>
        </w:rPr>
      </w:pPr>
    </w:p>
    <w:p w14:paraId="79E27BED" w14:textId="00B92CDC" w:rsidR="008B2831"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lastRenderedPageBreak/>
        <w:t xml:space="preserve">“Artículo 140. El acceso a la información pública será restringido excepcionalmente, cuando por razones de interés público, ésta sea clasificada como reservada, conforme a los criterios siguientes: </w:t>
      </w:r>
    </w:p>
    <w:p w14:paraId="10E6F75F" w14:textId="77777777" w:rsidR="00811EAD"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VI. Pueda causar daño u obstruya la prevención o persecución de los delitos</w:t>
      </w:r>
      <w:r w:rsidRPr="00695B2C">
        <w:rPr>
          <w:rFonts w:eastAsia="Times New Roman" w:cs="Arial"/>
          <w:bCs/>
          <w:i/>
          <w:iCs/>
          <w:color w:val="auto"/>
          <w:sz w:val="20"/>
          <w:u w:val="single"/>
          <w:lang w:eastAsia="es-ES"/>
        </w:rPr>
        <w:t>, altere el proceso de investigación de las carpetas de investigación, afecte o vulnere la conducción o los derechos del debido proceso en los procedimientos judiciales</w:t>
      </w:r>
      <w:r w:rsidRPr="00695B2C">
        <w:rPr>
          <w:rFonts w:eastAsia="Times New Roman" w:cs="Arial"/>
          <w:bCs/>
          <w:i/>
          <w:iCs/>
          <w:color w:val="auto"/>
          <w:sz w:val="20"/>
          <w:lang w:eastAsia="es-ES"/>
        </w:rPr>
        <w:t xml:space="preserve">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14:paraId="07ACB46F" w14:textId="77777777" w:rsidR="00811EAD"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IX. Se encuentre contenida dentro de las investigaciones de hechos que la Ley señala como delitos y se tramiten ante el Ministerio Público; … </w:t>
      </w:r>
    </w:p>
    <w:p w14:paraId="0792AD4A" w14:textId="77777777" w:rsidR="00811EAD"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XI. Las que por disposición expresa de una ley tengan tal carácter, siempre que sean acordes con las bases, principios y disposiciones establecidos en esta Ley y no la contravengan; así como las previstas en tratados internacionales.”</w:t>
      </w:r>
    </w:p>
    <w:p w14:paraId="210EB4BE" w14:textId="78D6F25D" w:rsidR="00811EAD" w:rsidRPr="00695B2C" w:rsidRDefault="00811EAD" w:rsidP="006461DA">
      <w:pPr>
        <w:spacing w:after="0" w:line="360" w:lineRule="auto"/>
        <w:ind w:left="426" w:right="474"/>
        <w:rPr>
          <w:rFonts w:eastAsia="Times New Roman" w:cs="Arial"/>
          <w:bCs/>
          <w:i/>
          <w:iCs/>
          <w:color w:val="auto"/>
          <w:sz w:val="20"/>
          <w:highlight w:val="yellow"/>
          <w:lang w:eastAsia="es-ES"/>
        </w:rPr>
      </w:pPr>
    </w:p>
    <w:p w14:paraId="5064A3CB" w14:textId="2FC8F700" w:rsidR="00FB48EB" w:rsidRDefault="00FB48EB" w:rsidP="006461DA">
      <w:pPr>
        <w:spacing w:after="0" w:line="360" w:lineRule="auto"/>
        <w:ind w:left="426" w:right="474"/>
        <w:rPr>
          <w:rFonts w:eastAsia="Times New Roman" w:cs="Arial"/>
          <w:b/>
          <w:color w:val="auto"/>
          <w:lang w:eastAsia="es-ES"/>
        </w:rPr>
      </w:pPr>
      <w:r w:rsidRPr="00695B2C">
        <w:rPr>
          <w:rFonts w:eastAsia="Times New Roman" w:cs="Arial"/>
          <w:b/>
          <w:color w:val="auto"/>
          <w:lang w:eastAsia="es-ES"/>
        </w:rPr>
        <w:t>Ley General de Transparencia y Acceso a la Información Pública.</w:t>
      </w:r>
    </w:p>
    <w:p w14:paraId="4BB88D59" w14:textId="77777777" w:rsidR="002603F0" w:rsidRPr="00695B2C" w:rsidRDefault="002603F0" w:rsidP="006461DA">
      <w:pPr>
        <w:spacing w:after="0" w:line="360" w:lineRule="auto"/>
        <w:ind w:left="426" w:right="474"/>
        <w:rPr>
          <w:rFonts w:eastAsia="Times New Roman" w:cs="Arial"/>
          <w:b/>
          <w:color w:val="auto"/>
          <w:lang w:eastAsia="es-ES"/>
        </w:rPr>
      </w:pPr>
    </w:p>
    <w:p w14:paraId="6FAF2F9F" w14:textId="77777777" w:rsidR="00FB48EB"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“Artículo 113. Como información reservada podrá clasificarse aquella cuya publicación:</w:t>
      </w:r>
    </w:p>
    <w:p w14:paraId="4C38B417" w14:textId="24E49184" w:rsidR="00811EAD"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 … </w:t>
      </w:r>
    </w:p>
    <w:p w14:paraId="3661B2BE" w14:textId="77777777" w:rsidR="00811EAD"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VII. Obstruya la prevención o persecución de los delitos; … </w:t>
      </w:r>
    </w:p>
    <w:p w14:paraId="5D12FB70" w14:textId="77777777" w:rsidR="00811EAD"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XII. Se encuentre contenida dentro de las investigaciones de hechos que la ley señale como delitos y se tramiten ante el Ministerio Público, y </w:t>
      </w:r>
    </w:p>
    <w:p w14:paraId="3C44DE6A" w14:textId="77777777" w:rsidR="00811EAD" w:rsidRPr="00695B2C" w:rsidRDefault="00811EAD"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XIII. Las que por disposición expresa de una ley tengan tal carácter, siempre que sean acordes con las bases, principios y disposiciones establecidos en esta Ley y no la contravengan; así como las previstas en tratados internacionales.”</w:t>
      </w:r>
    </w:p>
    <w:p w14:paraId="39156379" w14:textId="77777777" w:rsidR="00811EAD" w:rsidRPr="00695B2C" w:rsidRDefault="00811EAD" w:rsidP="006461DA">
      <w:pPr>
        <w:spacing w:after="0" w:line="360" w:lineRule="auto"/>
        <w:ind w:left="426" w:right="474"/>
        <w:rPr>
          <w:rFonts w:eastAsia="Times New Roman" w:cs="Arial"/>
          <w:bCs/>
          <w:i/>
          <w:iCs/>
          <w:color w:val="auto"/>
          <w:sz w:val="20"/>
          <w:lang w:eastAsia="es-ES"/>
        </w:rPr>
      </w:pPr>
    </w:p>
    <w:p w14:paraId="15416262" w14:textId="5816431B" w:rsidR="00811EAD" w:rsidRPr="00695B2C" w:rsidRDefault="00855510" w:rsidP="006461DA">
      <w:pPr>
        <w:spacing w:after="0" w:line="360" w:lineRule="auto"/>
        <w:rPr>
          <w:rFonts w:cs="Tahoma"/>
        </w:rPr>
      </w:pPr>
      <w:r w:rsidRPr="00695B2C">
        <w:rPr>
          <w:rFonts w:cs="Tahoma"/>
        </w:rPr>
        <w:t xml:space="preserve">Correlacionó la información a los </w:t>
      </w:r>
      <w:r w:rsidR="00811EAD" w:rsidRPr="00695B2C">
        <w:rPr>
          <w:rFonts w:cs="Tahoma"/>
        </w:rPr>
        <w:t xml:space="preserve">numerales Vigésimo sexto, Trigésimo Primero y Trigésimo Segundo de los Lineamientos Generales en Materia de Clasificación y Desclasificación de la Información, así como para la Elaboración de Versiones Públicas, </w:t>
      </w:r>
      <w:r w:rsidRPr="00695B2C">
        <w:rPr>
          <w:rFonts w:cs="Tahoma"/>
        </w:rPr>
        <w:t>que</w:t>
      </w:r>
      <w:r w:rsidR="00811EAD" w:rsidRPr="00695B2C">
        <w:rPr>
          <w:rFonts w:cs="Tahoma"/>
        </w:rPr>
        <w:t xml:space="preserve"> disponen que podrá considerarse como información reservada, en términos de lo previsto en el artículo 113 </w:t>
      </w:r>
      <w:r w:rsidR="00811EAD" w:rsidRPr="00695B2C">
        <w:rPr>
          <w:rFonts w:cs="Tahoma"/>
        </w:rPr>
        <w:lastRenderedPageBreak/>
        <w:t>fracciones VII, XII y XIII de la Ley General de Transparencia antes invocada cuando: exista un proceso penal o una carpeta de investigación en trámite, se acredite el vínculo que existe entre la información solicitada y la carpeta de investigación, o el proceso penal, según sea el caso, y que la difusión de la información pueda impedir u obstruir las funciones que ejerce el Ministerio Público o su equivalente durante la etapa de investigación o ante los tribunales judiciales con motivo del ejercicio de la acción penal, así como aquella reservada por disposición de Ley</w:t>
      </w:r>
      <w:r w:rsidR="00C934C1" w:rsidRPr="00695B2C">
        <w:rPr>
          <w:rFonts w:cs="Tahoma"/>
        </w:rPr>
        <w:t>.</w:t>
      </w:r>
    </w:p>
    <w:p w14:paraId="6919414A" w14:textId="7044DE53" w:rsidR="00B542BD" w:rsidRPr="00695B2C" w:rsidRDefault="00B542BD" w:rsidP="006461DA">
      <w:pPr>
        <w:spacing w:after="0" w:line="360" w:lineRule="auto"/>
        <w:rPr>
          <w:rFonts w:cs="Tahoma"/>
        </w:rPr>
      </w:pPr>
    </w:p>
    <w:p w14:paraId="1D11FEC1" w14:textId="485F30C8" w:rsidR="00B542BD" w:rsidRPr="00695B2C" w:rsidRDefault="00B542BD" w:rsidP="006461DA">
      <w:pPr>
        <w:spacing w:after="0" w:line="360" w:lineRule="auto"/>
        <w:ind w:left="426" w:right="474"/>
        <w:rPr>
          <w:rFonts w:eastAsia="Times New Roman" w:cs="Arial"/>
          <w:b/>
          <w:color w:val="auto"/>
          <w:lang w:eastAsia="es-ES"/>
        </w:rPr>
      </w:pPr>
      <w:r w:rsidRPr="00695B2C">
        <w:rPr>
          <w:rFonts w:eastAsia="Times New Roman" w:cs="Arial"/>
          <w:b/>
          <w:color w:val="auto"/>
          <w:lang w:eastAsia="es-ES"/>
        </w:rPr>
        <w:t>Lineamientos Generales en Materia de Clasificación y Desclasificación de la Información</w:t>
      </w:r>
      <w:r w:rsidR="00916AFA" w:rsidRPr="00695B2C">
        <w:rPr>
          <w:rFonts w:eastAsia="Times New Roman" w:cs="Arial"/>
          <w:b/>
          <w:color w:val="auto"/>
          <w:lang w:eastAsia="es-ES"/>
        </w:rPr>
        <w:t>, así como para la elaboración de versiones públicas.</w:t>
      </w:r>
    </w:p>
    <w:p w14:paraId="06DF32C4" w14:textId="37C73D4B" w:rsidR="00916AFA" w:rsidRPr="00695B2C" w:rsidRDefault="00916AFA" w:rsidP="006461DA">
      <w:pPr>
        <w:spacing w:after="0" w:line="360" w:lineRule="auto"/>
        <w:ind w:left="426" w:right="474"/>
        <w:rPr>
          <w:rFonts w:eastAsia="Times New Roman" w:cs="Arial"/>
          <w:bCs/>
          <w:i/>
          <w:iCs/>
          <w:color w:val="auto"/>
          <w:sz w:val="20"/>
          <w:lang w:eastAsia="es-ES"/>
        </w:rPr>
      </w:pPr>
    </w:p>
    <w:p w14:paraId="3BE1F502" w14:textId="6CE1ECB0" w:rsidR="00916AFA" w:rsidRPr="00695B2C" w:rsidRDefault="00916AFA" w:rsidP="006461DA">
      <w:pPr>
        <w:spacing w:after="0" w:line="360" w:lineRule="auto"/>
        <w:ind w:left="426" w:right="474"/>
        <w:rPr>
          <w:rFonts w:eastAsia="Times New Roman" w:cs="Arial"/>
          <w:bCs/>
          <w:i/>
          <w:iCs/>
          <w:color w:val="auto"/>
          <w:sz w:val="20"/>
          <w:lang w:eastAsia="es-ES"/>
        </w:rPr>
      </w:pPr>
      <w:r w:rsidRPr="00695B2C">
        <w:rPr>
          <w:rFonts w:eastAsia="Times New Roman" w:cs="Arial"/>
          <w:b/>
          <w:i/>
          <w:iCs/>
          <w:color w:val="auto"/>
          <w:sz w:val="20"/>
          <w:lang w:eastAsia="es-ES"/>
        </w:rPr>
        <w:t>Vigésimo sexto.</w:t>
      </w:r>
      <w:r w:rsidRPr="00695B2C">
        <w:rPr>
          <w:rFonts w:eastAsia="Times New Roman" w:cs="Arial"/>
          <w:bCs/>
          <w:i/>
          <w:iCs/>
          <w:color w:val="auto"/>
          <w:sz w:val="20"/>
          <w:lang w:eastAsia="es-ES"/>
        </w:rPr>
        <w:t> De conformidad con el artículo 113, fracción VII de la Ley General, podrá considerarse como información reservada, aquella que obstruya la prevención de delitos al obstaculizar las acciones implementadas por las autoridades para evitar su comisión, o menoscabar o limitar la capacidad de las autoridades para evitar la comisión de delitos.</w:t>
      </w:r>
    </w:p>
    <w:p w14:paraId="32421B2B" w14:textId="77777777" w:rsidR="00916AFA" w:rsidRPr="00695B2C" w:rsidRDefault="00916AFA" w:rsidP="006461DA">
      <w:pPr>
        <w:spacing w:after="0" w:line="360" w:lineRule="auto"/>
        <w:ind w:left="426" w:right="474"/>
        <w:rPr>
          <w:rFonts w:eastAsia="Times New Roman" w:cs="Arial"/>
          <w:bCs/>
          <w:i/>
          <w:iCs/>
          <w:color w:val="auto"/>
          <w:sz w:val="20"/>
          <w:lang w:eastAsia="es-ES"/>
        </w:rPr>
      </w:pPr>
    </w:p>
    <w:p w14:paraId="66811249" w14:textId="77777777" w:rsidR="00916AFA" w:rsidRPr="00695B2C" w:rsidRDefault="00916AFA"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Para que se verifique el supuesto de reserva, cuando se cause un perjuicio a las actividades de persecución de los delitos, deben de actualizarse los siguientes elementos:</w:t>
      </w:r>
    </w:p>
    <w:p w14:paraId="00A75C15" w14:textId="77777777" w:rsidR="00916AFA" w:rsidRPr="00695B2C" w:rsidRDefault="00916AFA"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w:t>
      </w:r>
    </w:p>
    <w:p w14:paraId="2F8431C6" w14:textId="77777777" w:rsidR="00916AFA" w:rsidRPr="00695B2C" w:rsidRDefault="00916AFA"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I.        La existencia de un proceso penal en sustanciación o una carpeta de investigación en trámite;</w:t>
      </w:r>
    </w:p>
    <w:p w14:paraId="7D764FD8" w14:textId="77777777" w:rsidR="00916AFA" w:rsidRPr="00695B2C" w:rsidRDefault="00916AFA"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II.       Que se acredite el vínculo que existe entre la información solicitada y la carpeta de investigación, o el proceso penal, según sea el caso, y</w:t>
      </w:r>
    </w:p>
    <w:p w14:paraId="3EE211C9" w14:textId="77777777" w:rsidR="00916AFA" w:rsidRPr="00695B2C" w:rsidRDefault="00916AFA"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III.      Que la difusión de la información pueda impedir u obstruir las funciones que ejerce el Ministerio Público o su equivalente durante la etapa de investigación o ante los tribunales judiciales con motivo del ejercicio de la acción penal.</w:t>
      </w:r>
    </w:p>
    <w:p w14:paraId="718727CE" w14:textId="77777777" w:rsidR="00916AFA" w:rsidRPr="00695B2C" w:rsidRDefault="00916AFA" w:rsidP="006461DA">
      <w:pPr>
        <w:spacing w:after="0" w:line="360" w:lineRule="auto"/>
        <w:ind w:left="426" w:right="474"/>
        <w:rPr>
          <w:rFonts w:eastAsia="Times New Roman" w:cs="Arial"/>
          <w:bCs/>
          <w:i/>
          <w:iCs/>
          <w:color w:val="auto"/>
          <w:sz w:val="20"/>
          <w:lang w:eastAsia="es-ES"/>
        </w:rPr>
      </w:pPr>
    </w:p>
    <w:p w14:paraId="172572FB" w14:textId="4CE19122" w:rsidR="00855510" w:rsidRPr="00695B2C" w:rsidRDefault="00916AFA"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Trigésimo primero. De conformidad con el artículo 113, fracción XII de la Ley General, podrá considerarse como información reservada, aquella que forme parte de las averiguaciones previas </w:t>
      </w:r>
      <w:r w:rsidRPr="00695B2C">
        <w:rPr>
          <w:rFonts w:eastAsia="Times New Roman" w:cs="Arial"/>
          <w:bCs/>
          <w:i/>
          <w:iCs/>
          <w:color w:val="auto"/>
          <w:sz w:val="20"/>
          <w:lang w:eastAsia="es-ES"/>
        </w:rPr>
        <w:lastRenderedPageBreak/>
        <w:t>o carpetas de investigación que resulte de la etapa de investigación, durante la cual, de conformidad con la normativa en materia penal, el Ministerio Público o su equivalente reúne indicios para el esclarecimiento de los hechos y, en su caso, los datos de prueba para sustentar el ejercicio o no de la acción penal, la acusación contra el imputado y la reparación del daño.</w:t>
      </w:r>
    </w:p>
    <w:p w14:paraId="04899681" w14:textId="64462B9A" w:rsidR="00916AFA" w:rsidRPr="00695B2C" w:rsidRDefault="00916AFA" w:rsidP="006461DA">
      <w:pPr>
        <w:spacing w:after="0" w:line="360" w:lineRule="auto"/>
        <w:ind w:left="426" w:right="474"/>
        <w:rPr>
          <w:rFonts w:eastAsia="Times New Roman" w:cs="Arial"/>
          <w:bCs/>
          <w:i/>
          <w:iCs/>
          <w:color w:val="auto"/>
          <w:sz w:val="20"/>
          <w:lang w:eastAsia="es-ES"/>
        </w:rPr>
      </w:pPr>
    </w:p>
    <w:p w14:paraId="649CAD66" w14:textId="77777777" w:rsidR="00916AFA" w:rsidRPr="00695B2C" w:rsidRDefault="00916AFA"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Trigésimo segundo. De conformidad con el artículo 113, fracción XIII de la Ley General, podrá considerarse como información reservada, aquella que por disposición expresa de una ley o de un Tratado Internacional del que el Estado mexicano sea parte, le otorgue tal carácter siempre que no se contravenga lo establecido en la Ley General.</w:t>
      </w:r>
    </w:p>
    <w:p w14:paraId="69B4FF30" w14:textId="77777777" w:rsidR="00916AFA" w:rsidRPr="00695B2C" w:rsidRDefault="00916AFA"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Para que se actualice este supuesto de reserva, los sujetos obligados deberán fundar y motivar la clasificación de la información, señalando de manera específica el supuesto normativo que expresamente le otorga ese carácter.</w:t>
      </w:r>
    </w:p>
    <w:p w14:paraId="7303A788" w14:textId="77777777" w:rsidR="00916AFA" w:rsidRPr="00695B2C" w:rsidRDefault="00916AFA" w:rsidP="006461DA">
      <w:pPr>
        <w:spacing w:after="0" w:line="360" w:lineRule="auto"/>
        <w:rPr>
          <w:rFonts w:cs="Tahoma"/>
        </w:rPr>
      </w:pPr>
    </w:p>
    <w:p w14:paraId="257FD69F" w14:textId="5356F6B9" w:rsidR="00C934C1" w:rsidRPr="00695B2C" w:rsidRDefault="002943BD" w:rsidP="006461DA">
      <w:pPr>
        <w:spacing w:after="0" w:line="360" w:lineRule="auto"/>
        <w:rPr>
          <w:rFonts w:cs="Tahoma"/>
        </w:rPr>
      </w:pPr>
      <w:r w:rsidRPr="00695B2C">
        <w:rPr>
          <w:rFonts w:cs="Tahoma"/>
        </w:rPr>
        <w:t>Previo al desarrollo de la prueba de daño, primero es necesario identificar la procedencia de las fracciones señaladas:</w:t>
      </w:r>
    </w:p>
    <w:p w14:paraId="4A4407E6" w14:textId="54FB22BE" w:rsidR="00B542BD" w:rsidRPr="00695B2C" w:rsidRDefault="00B542BD" w:rsidP="006461DA">
      <w:pPr>
        <w:spacing w:after="0" w:line="360" w:lineRule="auto"/>
        <w:rPr>
          <w:rFonts w:cs="Tahoma"/>
        </w:rPr>
      </w:pPr>
    </w:p>
    <w:p w14:paraId="5A83DDE1" w14:textId="109CAC86" w:rsidR="0063097A" w:rsidRPr="00695B2C" w:rsidRDefault="00C07D18" w:rsidP="006461DA">
      <w:pPr>
        <w:spacing w:after="0" w:line="360" w:lineRule="auto"/>
        <w:rPr>
          <w:rFonts w:cs="Tahoma"/>
          <w:b/>
          <w:bCs/>
        </w:rPr>
      </w:pPr>
      <w:r w:rsidRPr="00695B2C">
        <w:rPr>
          <w:rFonts w:cs="Tahoma"/>
          <w:b/>
          <w:bCs/>
        </w:rPr>
        <w:t>F</w:t>
      </w:r>
      <w:r w:rsidR="002943BD" w:rsidRPr="00695B2C">
        <w:rPr>
          <w:rFonts w:cs="Tahoma"/>
          <w:b/>
          <w:bCs/>
        </w:rPr>
        <w:t xml:space="preserve">racción </w:t>
      </w:r>
      <w:r w:rsidR="0063097A" w:rsidRPr="00695B2C">
        <w:rPr>
          <w:rFonts w:cs="Tahoma"/>
          <w:b/>
          <w:bCs/>
        </w:rPr>
        <w:t>VI.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w:t>
      </w:r>
    </w:p>
    <w:p w14:paraId="65934A13" w14:textId="246D3246" w:rsidR="00916AFA" w:rsidRPr="00695B2C" w:rsidRDefault="00916AFA" w:rsidP="006461DA">
      <w:pPr>
        <w:spacing w:after="0" w:line="360" w:lineRule="auto"/>
        <w:rPr>
          <w:rFonts w:cs="Tahoma"/>
          <w:b/>
          <w:bCs/>
        </w:rPr>
      </w:pPr>
    </w:p>
    <w:p w14:paraId="0C2E6E17" w14:textId="1A5D7A62" w:rsidR="00916AFA" w:rsidRPr="00695B2C" w:rsidRDefault="00916AFA" w:rsidP="006461DA">
      <w:pPr>
        <w:spacing w:after="0" w:line="360" w:lineRule="auto"/>
        <w:rPr>
          <w:rFonts w:cs="Tahoma"/>
        </w:rPr>
      </w:pPr>
      <w:r w:rsidRPr="00695B2C">
        <w:rPr>
          <w:rFonts w:cs="Tahoma"/>
        </w:rPr>
        <w:t xml:space="preserve">En primer aspecto, </w:t>
      </w:r>
      <w:r w:rsidR="006606F9">
        <w:rPr>
          <w:rFonts w:cs="Tahoma"/>
        </w:rPr>
        <w:t xml:space="preserve">existen varios elementos que deben analizarse por separado: </w:t>
      </w:r>
    </w:p>
    <w:p w14:paraId="08541154" w14:textId="4FF0A93E" w:rsidR="0063097A" w:rsidRPr="00695B2C" w:rsidRDefault="0063097A" w:rsidP="006461DA">
      <w:pPr>
        <w:spacing w:after="0" w:line="360" w:lineRule="auto"/>
        <w:rPr>
          <w:rFonts w:cs="Tahoma"/>
          <w:b/>
          <w:bCs/>
        </w:rPr>
      </w:pPr>
    </w:p>
    <w:p w14:paraId="1A9DC2B1" w14:textId="571DA403" w:rsidR="00916AFA" w:rsidRPr="00695B2C" w:rsidRDefault="00916AFA" w:rsidP="006461DA">
      <w:pPr>
        <w:spacing w:after="0" w:line="360" w:lineRule="auto"/>
        <w:rPr>
          <w:rFonts w:cs="Tahoma"/>
          <w:u w:val="single"/>
        </w:rPr>
      </w:pPr>
      <w:r w:rsidRPr="00695B2C">
        <w:rPr>
          <w:rFonts w:cs="Tahoma"/>
          <w:u w:val="single"/>
        </w:rPr>
        <w:t>- Pueda causar daño u obstruya la prevención o persecución de los delitos.</w:t>
      </w:r>
      <w:r w:rsidRPr="00695B2C">
        <w:rPr>
          <w:rFonts w:cs="Tahoma"/>
        </w:rPr>
        <w:t xml:space="preserve"> No se </w:t>
      </w:r>
      <w:r w:rsidR="00E34520">
        <w:rPr>
          <w:rFonts w:cs="Tahoma"/>
        </w:rPr>
        <w:t>advierte</w:t>
      </w:r>
      <w:r w:rsidRPr="00695B2C">
        <w:rPr>
          <w:rFonts w:cs="Tahoma"/>
        </w:rPr>
        <w:t xml:space="preserve"> que en el caso que nos ocupa, pueda afectar a la persecución de delitos, pues la persona imputada </w:t>
      </w:r>
      <w:r w:rsidRPr="00695B2C">
        <w:rPr>
          <w:rFonts w:cs="Tahoma"/>
        </w:rPr>
        <w:lastRenderedPageBreak/>
        <w:t xml:space="preserve">fue detenida y llevó el proceso </w:t>
      </w:r>
      <w:r w:rsidR="00FA41D7" w:rsidRPr="00695B2C">
        <w:rPr>
          <w:rFonts w:cs="Tahoma"/>
        </w:rPr>
        <w:t>en prisión preventiva; a la fecha actual se encuentra sentenciado por prisión vitalicia, por lo que no se presume que pueda generar afectación en este aspecto.</w:t>
      </w:r>
    </w:p>
    <w:p w14:paraId="240BBC11" w14:textId="77777777" w:rsidR="00916AFA" w:rsidRPr="00695B2C" w:rsidRDefault="00916AFA" w:rsidP="006461DA">
      <w:pPr>
        <w:spacing w:after="0" w:line="360" w:lineRule="auto"/>
        <w:rPr>
          <w:rFonts w:cs="Tahoma"/>
        </w:rPr>
      </w:pPr>
    </w:p>
    <w:p w14:paraId="7D4F256E" w14:textId="26B12684" w:rsidR="00916AFA" w:rsidRPr="00695B2C" w:rsidRDefault="00916AFA" w:rsidP="006461DA">
      <w:pPr>
        <w:spacing w:after="0" w:line="360" w:lineRule="auto"/>
        <w:rPr>
          <w:rFonts w:cs="Tahoma"/>
        </w:rPr>
      </w:pPr>
      <w:r w:rsidRPr="00695B2C">
        <w:rPr>
          <w:rFonts w:cs="Tahoma"/>
        </w:rPr>
        <w:t>-</w:t>
      </w:r>
      <w:r w:rsidRPr="00695B2C">
        <w:rPr>
          <w:rFonts w:cs="Tahoma"/>
          <w:u w:val="single"/>
        </w:rPr>
        <w:t>Altere el proceso de investigación de las carpetas de investigación</w:t>
      </w:r>
      <w:r w:rsidR="00FA41D7" w:rsidRPr="00695B2C">
        <w:rPr>
          <w:rFonts w:cs="Tahoma"/>
          <w:u w:val="single"/>
        </w:rPr>
        <w:t xml:space="preserve">. </w:t>
      </w:r>
      <w:r w:rsidR="00FA41D7" w:rsidRPr="00695B2C">
        <w:rPr>
          <w:rFonts w:cs="Tahoma"/>
        </w:rPr>
        <w:t xml:space="preserve">Para la alteración de investigación, se debería encontrar en este periodo, sin embargo, a partir de las documentales, se presume que la información ya fue incluso judicializada al punto tal, que el indiciado </w:t>
      </w:r>
      <w:r w:rsidR="00E34520">
        <w:rPr>
          <w:rFonts w:cs="Tahoma"/>
        </w:rPr>
        <w:t xml:space="preserve">al momento de la solicitud se encontraba ya únicamente en espera de la emisión de la sentencia, lo que permite afirmar </w:t>
      </w:r>
      <w:r w:rsidR="00E34520">
        <w:rPr>
          <w:rFonts w:cs="Tahoma"/>
          <w:b/>
          <w:bCs/>
        </w:rPr>
        <w:t>que en esa carpeta la investigación del Ministerio Público estaba concluida</w:t>
      </w:r>
      <w:r w:rsidR="00FA41D7" w:rsidRPr="00695B2C">
        <w:rPr>
          <w:rFonts w:cs="Tahoma"/>
        </w:rPr>
        <w:t xml:space="preserve">, por lo que no se logra advertir que la publicidad de la información genere una afectación </w:t>
      </w:r>
      <w:r w:rsidR="00E34520">
        <w:rPr>
          <w:rFonts w:cs="Tahoma"/>
        </w:rPr>
        <w:t>ni a</w:t>
      </w:r>
      <w:r w:rsidR="00FA41D7" w:rsidRPr="00695B2C">
        <w:rPr>
          <w:rFonts w:cs="Tahoma"/>
        </w:rPr>
        <w:t xml:space="preserve"> la investigación ni al proceso de investigación. Es más, la propia Fiscalía reveló datos previos a la vinculación a proceso, lo que incluso se considera que su podría haber afectado, en ese momento de investigación.</w:t>
      </w:r>
    </w:p>
    <w:p w14:paraId="71293417" w14:textId="77777777" w:rsidR="00916AFA" w:rsidRPr="00695B2C" w:rsidRDefault="00916AFA" w:rsidP="006461DA">
      <w:pPr>
        <w:spacing w:after="0" w:line="360" w:lineRule="auto"/>
        <w:rPr>
          <w:rFonts w:cs="Tahoma"/>
        </w:rPr>
      </w:pPr>
    </w:p>
    <w:p w14:paraId="232E48F4" w14:textId="172CD381" w:rsidR="00916AFA" w:rsidRDefault="00916AFA" w:rsidP="006461DA">
      <w:pPr>
        <w:spacing w:after="0" w:line="360" w:lineRule="auto"/>
        <w:rPr>
          <w:rFonts w:cs="Tahoma"/>
        </w:rPr>
      </w:pPr>
      <w:r w:rsidRPr="00695B2C">
        <w:rPr>
          <w:rFonts w:cs="Tahoma"/>
          <w:u w:val="single"/>
        </w:rPr>
        <w:t>- Afecte o vulnere la conducción o los derechos del debido proceso en los procedimientos judiciales o administrativos, incluidos los de quejas, denuncias, inconformidades, responsabilidades administrativas y resarcitorias en tanto no hayan quedado firmes</w:t>
      </w:r>
      <w:r w:rsidR="00FA41D7" w:rsidRPr="00695B2C">
        <w:rPr>
          <w:rFonts w:cs="Tahoma"/>
          <w:u w:val="single"/>
        </w:rPr>
        <w:t>.</w:t>
      </w:r>
      <w:r w:rsidR="00FA41D7" w:rsidRPr="00695B2C">
        <w:rPr>
          <w:rFonts w:cs="Tahoma"/>
        </w:rPr>
        <w:t xml:space="preserve"> Sobre este punto,</w:t>
      </w:r>
      <w:r w:rsidR="00E34520">
        <w:rPr>
          <w:rFonts w:cs="Tahoma"/>
        </w:rPr>
        <w:t xml:space="preserve"> pudieran afectase</w:t>
      </w:r>
      <w:r w:rsidR="00FA41D7" w:rsidRPr="00695B2C">
        <w:rPr>
          <w:rFonts w:cs="Tahoma"/>
        </w:rPr>
        <w:t xml:space="preserve"> derechos del debido proceso como la presunción de inocencia, sin embargo, este principio ya no tiene vigencia, desde el momento en el cual</w:t>
      </w:r>
      <w:r w:rsidR="00E34520">
        <w:rPr>
          <w:rFonts w:cs="Tahoma"/>
        </w:rPr>
        <w:t xml:space="preserve">, el propio imputado aceptó realizar entrevistas en donde se declaró culpable de diversos feminicidios y proporcionó detalles de los crímenes cometidos, </w:t>
      </w:r>
      <w:r w:rsidR="00FA41D7" w:rsidRPr="00695B2C">
        <w:rPr>
          <w:rFonts w:cs="Tahoma"/>
        </w:rPr>
        <w:t>además de que la información que lo vinculaba a los hechos, fueron filtrados desde antes incluso de la judicialización, por lo que, en este punto al sentenciado no le genera afectación alguna.</w:t>
      </w:r>
    </w:p>
    <w:p w14:paraId="2DBAC811" w14:textId="719A0399" w:rsidR="00E34520" w:rsidRDefault="00E34520" w:rsidP="006461DA">
      <w:pPr>
        <w:spacing w:after="0" w:line="360" w:lineRule="auto"/>
        <w:rPr>
          <w:rFonts w:cs="Tahoma"/>
        </w:rPr>
      </w:pPr>
    </w:p>
    <w:p w14:paraId="3C88F31A" w14:textId="36865EEB" w:rsidR="00E34520" w:rsidRPr="00695B2C" w:rsidRDefault="00E34520" w:rsidP="006461DA">
      <w:pPr>
        <w:spacing w:after="0" w:line="360" w:lineRule="auto"/>
        <w:rPr>
          <w:rFonts w:cs="Tahoma"/>
          <w:u w:val="single"/>
        </w:rPr>
      </w:pPr>
      <w:r>
        <w:rPr>
          <w:rFonts w:cs="Tahoma"/>
        </w:rPr>
        <w:t xml:space="preserve">No se debe dejar de lado que la publicidad de la información incluida la </w:t>
      </w:r>
      <w:proofErr w:type="gramStart"/>
      <w:r>
        <w:rPr>
          <w:rFonts w:cs="Tahoma"/>
        </w:rPr>
        <w:t>imagen ,</w:t>
      </w:r>
      <w:proofErr w:type="gramEnd"/>
      <w:r>
        <w:rPr>
          <w:rFonts w:cs="Tahoma"/>
        </w:rPr>
        <w:t xml:space="preserve"> nombre, domicilio y otros datos del imputado fueron públicos como parte de la estrategia de la Fiscalía ara que quienes lo identificaran lo denunciaran.</w:t>
      </w:r>
    </w:p>
    <w:p w14:paraId="62F68A17" w14:textId="77777777" w:rsidR="00916AFA" w:rsidRPr="00695B2C" w:rsidRDefault="00916AFA" w:rsidP="006461DA">
      <w:pPr>
        <w:spacing w:after="0" w:line="360" w:lineRule="auto"/>
        <w:rPr>
          <w:rFonts w:cs="Tahoma"/>
        </w:rPr>
      </w:pPr>
    </w:p>
    <w:p w14:paraId="4BFC76EA" w14:textId="00EACFB2" w:rsidR="00916AFA" w:rsidRDefault="00916AFA" w:rsidP="006461DA">
      <w:pPr>
        <w:spacing w:after="0" w:line="360" w:lineRule="auto"/>
        <w:rPr>
          <w:rFonts w:cs="Tahoma"/>
        </w:rPr>
      </w:pPr>
      <w:r w:rsidRPr="00695B2C">
        <w:rPr>
          <w:rFonts w:cs="Tahoma"/>
        </w:rPr>
        <w:lastRenderedPageBreak/>
        <w:t xml:space="preserve">- </w:t>
      </w:r>
      <w:r w:rsidRPr="00695B2C">
        <w:rPr>
          <w:rFonts w:cs="Tahoma"/>
          <w:u w:val="single"/>
        </w:rPr>
        <w:t>Afecte la administración de justicia</w:t>
      </w:r>
      <w:r w:rsidR="00FA41D7" w:rsidRPr="00695B2C">
        <w:rPr>
          <w:rFonts w:cs="Tahoma"/>
          <w:u w:val="single"/>
        </w:rPr>
        <w:t>.</w:t>
      </w:r>
      <w:r w:rsidR="00FA41D7" w:rsidRPr="00695B2C">
        <w:rPr>
          <w:rFonts w:cs="Tahoma"/>
        </w:rPr>
        <w:t xml:space="preserve"> La carpeta de investigación </w:t>
      </w:r>
      <w:r w:rsidR="00395D6B">
        <w:rPr>
          <w:rFonts w:cs="Tahoma"/>
        </w:rPr>
        <w:t>solicitada</w:t>
      </w:r>
      <w:r w:rsidR="00FA41D7" w:rsidRPr="00695B2C">
        <w:rPr>
          <w:rFonts w:cs="Tahoma"/>
        </w:rPr>
        <w:t xml:space="preserve">, ya fue incorporada como medios de prueba al juicio </w:t>
      </w:r>
      <w:r w:rsidR="009362E1">
        <w:rPr>
          <w:rFonts w:cs="Tahoma"/>
        </w:rPr>
        <w:t>(</w:t>
      </w:r>
      <w:r w:rsidR="00FA41D7" w:rsidRPr="00695B2C">
        <w:rPr>
          <w:rFonts w:cs="Tahoma"/>
        </w:rPr>
        <w:t>sobre el cual, incluso ya existe sentencia al 18 de marzo del 2022</w:t>
      </w:r>
      <w:r w:rsidR="009362E1">
        <w:rPr>
          <w:rFonts w:cs="Tahoma"/>
        </w:rPr>
        <w:t>, aunque no es este el motivo porque se determina o no su entrega)</w:t>
      </w:r>
      <w:r w:rsidR="00FA41D7" w:rsidRPr="00695B2C">
        <w:rPr>
          <w:rFonts w:cs="Tahoma"/>
        </w:rPr>
        <w:t>, por lo que, no se identifica afectación alguna a la administración de justicia</w:t>
      </w:r>
      <w:r w:rsidR="00395D6B">
        <w:rPr>
          <w:rFonts w:cs="Tahoma"/>
        </w:rPr>
        <w:t xml:space="preserve">; por el contrario, a través de la publicidad de la información de este caso que daña no sólo  a las víctimas y ofendidos sino a toda la sociedad </w:t>
      </w:r>
      <w:r w:rsidR="009362E1">
        <w:rPr>
          <w:rFonts w:cs="Tahoma"/>
        </w:rPr>
        <w:t>general, se logra visibilizar la gravedad de los feminicidios en  nuestra entidad y en el país, para que a través de la presión social, las autoridades involucradas en prevenir y sancionar este delito, tomen cartas y se atienda.</w:t>
      </w:r>
    </w:p>
    <w:p w14:paraId="4B2E9AEF" w14:textId="55FA904D" w:rsidR="009362E1" w:rsidRDefault="009362E1" w:rsidP="006461DA">
      <w:pPr>
        <w:spacing w:after="0" w:line="360" w:lineRule="auto"/>
        <w:rPr>
          <w:rFonts w:cs="Tahoma"/>
        </w:rPr>
      </w:pPr>
    </w:p>
    <w:p w14:paraId="087EB83C" w14:textId="383CDCE1" w:rsidR="009362E1" w:rsidRPr="00695B2C" w:rsidRDefault="009362E1" w:rsidP="006461DA">
      <w:pPr>
        <w:spacing w:after="0" w:line="360" w:lineRule="auto"/>
        <w:rPr>
          <w:rFonts w:cs="Tahoma"/>
        </w:rPr>
      </w:pPr>
      <w:r>
        <w:rPr>
          <w:rFonts w:cs="Tahoma"/>
        </w:rPr>
        <w:t xml:space="preserve">De tal forma que la publicidad de asuntos tan relevantes como el que nos ocupa, en lugar de afectar la administración de justicia, rinde cuentas a la sociedad sobre el actuar tanto de quienes tienen la alta responsabilidad de procurar justicia a quienes vivimos </w:t>
      </w:r>
      <w:r w:rsidR="00487107">
        <w:rPr>
          <w:rFonts w:cs="Tahoma"/>
        </w:rPr>
        <w:t xml:space="preserve">o transitamos </w:t>
      </w:r>
      <w:r>
        <w:rPr>
          <w:rFonts w:cs="Tahoma"/>
        </w:rPr>
        <w:t xml:space="preserve">en todo el territorio mexiquense, particularmente a las mujeres y niñas, quienes por cuestiones de </w:t>
      </w:r>
      <w:proofErr w:type="gramStart"/>
      <w:r>
        <w:rPr>
          <w:rFonts w:cs="Tahoma"/>
        </w:rPr>
        <w:t xml:space="preserve">género  </w:t>
      </w:r>
      <w:r w:rsidR="00487107">
        <w:rPr>
          <w:rFonts w:cs="Tahoma"/>
        </w:rPr>
        <w:t>se</w:t>
      </w:r>
      <w:proofErr w:type="gramEnd"/>
      <w:r w:rsidR="00487107">
        <w:rPr>
          <w:rFonts w:cs="Tahoma"/>
        </w:rPr>
        <w:t xml:space="preserve"> han visto más expuestas a delitos graves como el feminicidio.</w:t>
      </w:r>
    </w:p>
    <w:p w14:paraId="5A52D863" w14:textId="77777777" w:rsidR="00916AFA" w:rsidRPr="00695B2C" w:rsidRDefault="00916AFA" w:rsidP="006461DA">
      <w:pPr>
        <w:spacing w:after="0" w:line="360" w:lineRule="auto"/>
        <w:rPr>
          <w:rFonts w:cs="Tahoma"/>
        </w:rPr>
      </w:pPr>
    </w:p>
    <w:p w14:paraId="69C96B4C" w14:textId="7CFBDE73" w:rsidR="00916AFA" w:rsidRDefault="00916AFA" w:rsidP="006461DA">
      <w:pPr>
        <w:spacing w:after="0" w:line="360" w:lineRule="auto"/>
        <w:rPr>
          <w:rFonts w:cs="Tahoma"/>
        </w:rPr>
      </w:pPr>
      <w:r w:rsidRPr="00695B2C">
        <w:rPr>
          <w:rFonts w:cs="Tahoma"/>
          <w:u w:val="single"/>
        </w:rPr>
        <w:t>- Afecte la seguridad de un denunciante, querellante o testigo, así como sus familias, en los términos de las disposiciones jurídicas aplicables</w:t>
      </w:r>
      <w:r w:rsidRPr="00695B2C">
        <w:rPr>
          <w:rFonts w:cs="Tahoma"/>
        </w:rPr>
        <w:t>.</w:t>
      </w:r>
      <w:r w:rsidR="003A6772" w:rsidRPr="00695B2C">
        <w:rPr>
          <w:rFonts w:cs="Tahoma"/>
        </w:rPr>
        <w:t xml:space="preserve"> </w:t>
      </w:r>
      <w:r w:rsidR="006C152B">
        <w:rPr>
          <w:rFonts w:cs="Tahoma"/>
        </w:rPr>
        <w:t xml:space="preserve">Proteger a los ofendido en los casos de feminicidio, es una encomienda importante, pues se trata de no continuar perpetrando el daño por el delio cometido; sin embargo, para el caso que nos ocupa, la protección de denunciantes, querellantes, testigos y sus familias, no implica una clasificación </w:t>
      </w:r>
      <w:r w:rsidR="006C152B">
        <w:rPr>
          <w:rFonts w:cs="Tahoma"/>
          <w:i/>
          <w:iCs/>
        </w:rPr>
        <w:t>ipso facto;</w:t>
      </w:r>
      <w:r w:rsidR="006C152B">
        <w:rPr>
          <w:rFonts w:cs="Tahoma"/>
        </w:rPr>
        <w:t xml:space="preserve"> </w:t>
      </w:r>
      <w:r w:rsidR="003A6772" w:rsidRPr="00695B2C">
        <w:rPr>
          <w:rFonts w:cs="Tahoma"/>
        </w:rPr>
        <w:t xml:space="preserve">esto </w:t>
      </w:r>
      <w:r w:rsidR="006C152B">
        <w:rPr>
          <w:rFonts w:cs="Tahoma"/>
        </w:rPr>
        <w:t xml:space="preserve">es, </w:t>
      </w:r>
      <w:r w:rsidR="003A6772" w:rsidRPr="00695B2C">
        <w:rPr>
          <w:rFonts w:cs="Tahoma"/>
        </w:rPr>
        <w:t>no faculta en su caso a la reserva total de la carpeta sino exclusivamente a aquellos datos que puedan generar afectación a la seguridad de un denunciante querellante, testigo o sus familias, sin embargo, también es necesario establecer que el Sujeto Obligado, no señaló de manera específica como le podría generar afectación, pues la propia Fiscalía señaló que solamente se encuentra la investigación sobre Andrés “N”, entones, no se logra identificar la existencia del riesgo Real, Demostrable e identificable, pues el Sujeto Obligado, no la desarrolló.</w:t>
      </w:r>
    </w:p>
    <w:p w14:paraId="6591E520" w14:textId="290FE680" w:rsidR="006C152B" w:rsidRDefault="006C152B" w:rsidP="006461DA">
      <w:pPr>
        <w:spacing w:after="0" w:line="360" w:lineRule="auto"/>
        <w:rPr>
          <w:rFonts w:cs="Tahoma"/>
        </w:rPr>
      </w:pPr>
    </w:p>
    <w:p w14:paraId="620A893A" w14:textId="4683A1CD" w:rsidR="006C152B" w:rsidRPr="00695B2C" w:rsidRDefault="006C152B" w:rsidP="006461DA">
      <w:pPr>
        <w:spacing w:after="0" w:line="360" w:lineRule="auto"/>
        <w:rPr>
          <w:rFonts w:cs="Tahoma"/>
        </w:rPr>
      </w:pPr>
      <w:r>
        <w:rPr>
          <w:rFonts w:cs="Tahoma"/>
        </w:rPr>
        <w:lastRenderedPageBreak/>
        <w:t xml:space="preserve">Ello independientemente de que, no sólo </w:t>
      </w:r>
      <w:r w:rsidR="00101483">
        <w:rPr>
          <w:rFonts w:cs="Tahoma"/>
        </w:rPr>
        <w:t xml:space="preserve">en </w:t>
      </w:r>
      <w:r>
        <w:rPr>
          <w:rFonts w:cs="Tahoma"/>
        </w:rPr>
        <w:t>las caretas de investigación, s</w:t>
      </w:r>
      <w:r w:rsidR="00101483">
        <w:rPr>
          <w:rFonts w:cs="Tahoma"/>
        </w:rPr>
        <w:t>ino</w:t>
      </w:r>
      <w:r>
        <w:rPr>
          <w:rFonts w:cs="Tahoma"/>
        </w:rPr>
        <w:t xml:space="preserve"> que </w:t>
      </w:r>
      <w:r w:rsidR="00101483">
        <w:rPr>
          <w:rFonts w:cs="Tahoma"/>
        </w:rPr>
        <w:t xml:space="preserve">en </w:t>
      </w:r>
      <w:r>
        <w:rPr>
          <w:rFonts w:cs="Tahoma"/>
        </w:rPr>
        <w:t xml:space="preserve">cualquier documento que sea susceptible de entrega a través del ejercicio del derecho de acceso a la información </w:t>
      </w:r>
      <w:r w:rsidR="00101483">
        <w:rPr>
          <w:rFonts w:cs="Tahoma"/>
        </w:rPr>
        <w:t xml:space="preserve">se deben proteger los datos personales confidenciales, de tal manera que, la protección del nombre, imagen y cualquier otro datos susceptible de clasificación con el objetivo de no revictimizar o no perpetuar en el tiempo el daño causado por la comisión de un delito hacia los ofendidos debe ser clasificado, a través de acreditar la respectiva confidencialidad, por lo que,  en el caso que nos ocupa, no es una justificación para clasificar </w:t>
      </w:r>
      <w:proofErr w:type="spellStart"/>
      <w:r w:rsidR="00101483">
        <w:rPr>
          <w:rFonts w:cs="Tahoma"/>
        </w:rPr>
        <w:t>e</w:t>
      </w:r>
      <w:proofErr w:type="spellEnd"/>
      <w:r w:rsidR="00101483">
        <w:rPr>
          <w:rFonts w:cs="Tahoma"/>
        </w:rPr>
        <w:t xml:space="preserve"> su totalidad una carpeta de investigación, ya que un argumento de estas dimensiones implicaría que oír el simple hecho de que una carpeta de investigación contenga datos personales confidenciales, sería clasificada en su totalidad por siempre, en contravención con los principios constitucionales que tutelan el derecho de acceso a la información pública.</w:t>
      </w:r>
    </w:p>
    <w:p w14:paraId="5E998145" w14:textId="77777777" w:rsidR="00916AFA" w:rsidRPr="00695B2C" w:rsidRDefault="00916AFA" w:rsidP="006461DA">
      <w:pPr>
        <w:spacing w:after="0" w:line="360" w:lineRule="auto"/>
        <w:rPr>
          <w:rFonts w:cs="Tahoma"/>
          <w:b/>
          <w:bCs/>
          <w:highlight w:val="yellow"/>
        </w:rPr>
      </w:pPr>
    </w:p>
    <w:p w14:paraId="77910A42" w14:textId="4D7B8F1A" w:rsidR="00C11F9E" w:rsidRPr="00695B2C" w:rsidRDefault="003A6772" w:rsidP="006461DA">
      <w:pPr>
        <w:spacing w:after="0" w:line="360" w:lineRule="auto"/>
        <w:rPr>
          <w:rFonts w:cs="Tahoma"/>
        </w:rPr>
      </w:pPr>
      <w:r w:rsidRPr="00695B2C">
        <w:rPr>
          <w:rFonts w:cs="Tahoma"/>
        </w:rPr>
        <w:t xml:space="preserve">Ahora bien, para el desarrollo de la prueba de daño, </w:t>
      </w:r>
      <w:r w:rsidR="00C11F9E" w:rsidRPr="00695B2C">
        <w:rPr>
          <w:rFonts w:cs="Tahoma"/>
        </w:rPr>
        <w:t>Esta fracción, debe correlacionarse al Lineamiento Vigésimo Sexto de los Lineamientos invocados y requiere acreditar, tres elementos</w:t>
      </w:r>
      <w:r w:rsidRPr="00695B2C">
        <w:rPr>
          <w:rFonts w:cs="Tahoma"/>
        </w:rPr>
        <w:t>:</w:t>
      </w:r>
    </w:p>
    <w:p w14:paraId="3FAE1ED1" w14:textId="77777777" w:rsidR="00C11F9E" w:rsidRPr="00695B2C" w:rsidRDefault="00C11F9E" w:rsidP="006461DA">
      <w:pPr>
        <w:spacing w:after="0" w:line="360" w:lineRule="auto"/>
        <w:ind w:left="426" w:right="474"/>
        <w:rPr>
          <w:rFonts w:eastAsia="Times New Roman" w:cs="Arial"/>
          <w:bCs/>
          <w:i/>
          <w:iCs/>
          <w:color w:val="auto"/>
          <w:sz w:val="20"/>
          <w:lang w:eastAsia="es-ES"/>
        </w:rPr>
      </w:pPr>
    </w:p>
    <w:p w14:paraId="57272240" w14:textId="6EC55249" w:rsidR="00C11F9E" w:rsidRPr="00695B2C" w:rsidRDefault="00C11F9E"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I. </w:t>
      </w:r>
      <w:r w:rsidRPr="00695B2C">
        <w:rPr>
          <w:rFonts w:eastAsia="Times New Roman" w:cs="Arial"/>
          <w:bCs/>
          <w:i/>
          <w:iCs/>
          <w:color w:val="auto"/>
          <w:sz w:val="20"/>
          <w:u w:val="single"/>
          <w:lang w:eastAsia="es-ES"/>
        </w:rPr>
        <w:t>La existencia de un proceso penal en sustanciación</w:t>
      </w:r>
      <w:r w:rsidRPr="00695B2C">
        <w:rPr>
          <w:rFonts w:eastAsia="Times New Roman" w:cs="Arial"/>
          <w:bCs/>
          <w:i/>
          <w:iCs/>
          <w:color w:val="auto"/>
          <w:sz w:val="20"/>
          <w:lang w:eastAsia="es-ES"/>
        </w:rPr>
        <w:t xml:space="preserve"> o una carpeta de investigación en trámite; </w:t>
      </w:r>
    </w:p>
    <w:p w14:paraId="7885EF5E" w14:textId="43FBE2C8" w:rsidR="00C11F9E" w:rsidRPr="00695B2C" w:rsidRDefault="00C11F9E"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II. Que se acredite el vínculo que existe entre la información solicitada y la carpeta de investigación, o el proceso penal, según sea el caso, y </w:t>
      </w:r>
    </w:p>
    <w:p w14:paraId="36A34BF5" w14:textId="1B77965C" w:rsidR="00C11F9E" w:rsidRPr="00695B2C" w:rsidRDefault="00C11F9E" w:rsidP="006461DA">
      <w:pPr>
        <w:spacing w:after="0" w:line="360" w:lineRule="auto"/>
        <w:ind w:left="426" w:right="474"/>
        <w:rPr>
          <w:rFonts w:eastAsia="Times New Roman" w:cs="Arial"/>
          <w:b/>
          <w:i/>
          <w:iCs/>
          <w:color w:val="auto"/>
          <w:sz w:val="20"/>
          <w:lang w:eastAsia="es-ES"/>
        </w:rPr>
      </w:pPr>
      <w:r w:rsidRPr="00695B2C">
        <w:rPr>
          <w:rFonts w:eastAsia="Times New Roman" w:cs="Arial"/>
          <w:bCs/>
          <w:i/>
          <w:iCs/>
          <w:color w:val="auto"/>
          <w:sz w:val="20"/>
          <w:lang w:eastAsia="es-ES"/>
        </w:rPr>
        <w:t>III. Que la difusión de la información pueda impedir u obstruir las funciones que ejerce el Ministerio Público o su equivalente durante la etapa de investigación o ante los tribunales judiciales con motivo del ejercicio de la acción penal</w:t>
      </w:r>
      <w:r w:rsidRPr="00695B2C">
        <w:rPr>
          <w:rFonts w:eastAsia="Times New Roman" w:cs="Arial"/>
          <w:b/>
          <w:i/>
          <w:iCs/>
          <w:color w:val="auto"/>
          <w:sz w:val="20"/>
          <w:lang w:eastAsia="es-ES"/>
        </w:rPr>
        <w:t>.</w:t>
      </w:r>
    </w:p>
    <w:p w14:paraId="009223C3" w14:textId="55D00DA1" w:rsidR="0063097A" w:rsidRPr="00695B2C" w:rsidRDefault="0063097A" w:rsidP="006461DA">
      <w:pPr>
        <w:spacing w:after="0" w:line="360" w:lineRule="auto"/>
        <w:ind w:right="474"/>
        <w:rPr>
          <w:rFonts w:eastAsia="Times New Roman" w:cs="Arial"/>
          <w:bCs/>
          <w:i/>
          <w:iCs/>
          <w:color w:val="auto"/>
          <w:sz w:val="20"/>
          <w:lang w:eastAsia="es-ES"/>
        </w:rPr>
      </w:pPr>
    </w:p>
    <w:p w14:paraId="46A27700" w14:textId="49831CA6" w:rsidR="00B53F51" w:rsidRPr="00695B2C" w:rsidRDefault="00C856B8" w:rsidP="006461DA">
      <w:pPr>
        <w:spacing w:after="0" w:line="360" w:lineRule="auto"/>
        <w:rPr>
          <w:rFonts w:cs="Tahoma"/>
        </w:rPr>
      </w:pPr>
      <w:r w:rsidRPr="00695B2C">
        <w:rPr>
          <w:rFonts w:cs="Tahoma"/>
        </w:rPr>
        <w:t>Sobre estos elementos, se identifica que</w:t>
      </w:r>
      <w:r w:rsidR="00B53F51" w:rsidRPr="00695B2C">
        <w:rPr>
          <w:rFonts w:cs="Tahoma"/>
        </w:rPr>
        <w:t>:</w:t>
      </w:r>
    </w:p>
    <w:p w14:paraId="45EEE0E6" w14:textId="77777777" w:rsidR="00B53F51" w:rsidRPr="00695B2C" w:rsidRDefault="00B53F51" w:rsidP="006461DA">
      <w:pPr>
        <w:spacing w:after="0" w:line="360" w:lineRule="auto"/>
        <w:rPr>
          <w:rFonts w:cs="Tahoma"/>
        </w:rPr>
      </w:pPr>
    </w:p>
    <w:p w14:paraId="34251A25" w14:textId="770B8719" w:rsidR="00B53F51" w:rsidRPr="00695B2C" w:rsidRDefault="00B53F51" w:rsidP="006461DA">
      <w:pPr>
        <w:spacing w:after="0" w:line="360" w:lineRule="auto"/>
        <w:rPr>
          <w:rFonts w:cs="Tahoma"/>
        </w:rPr>
      </w:pPr>
      <w:r w:rsidRPr="00695B2C">
        <w:rPr>
          <w:rFonts w:cs="Tahoma"/>
        </w:rPr>
        <w:t>P</w:t>
      </w:r>
      <w:r w:rsidR="00C856B8" w:rsidRPr="00695B2C">
        <w:rPr>
          <w:rFonts w:cs="Tahoma"/>
        </w:rPr>
        <w:t xml:space="preserve">or cuanto refiere a </w:t>
      </w:r>
      <w:r w:rsidR="003A6772" w:rsidRPr="00695B2C">
        <w:rPr>
          <w:rFonts w:cs="Tahoma"/>
        </w:rPr>
        <w:t xml:space="preserve">la fracción I, a la fecha de la solicitud y de la respuesta, </w:t>
      </w:r>
      <w:r w:rsidR="00615658" w:rsidRPr="00695B2C">
        <w:rPr>
          <w:rFonts w:cs="Tahoma"/>
        </w:rPr>
        <w:t>existía un proceso penal en sustanciación</w:t>
      </w:r>
      <w:r w:rsidRPr="00695B2C">
        <w:rPr>
          <w:rFonts w:cs="Tahoma"/>
        </w:rPr>
        <w:t>, entonces esta fracción se actualiza.</w:t>
      </w:r>
    </w:p>
    <w:p w14:paraId="720B8A11" w14:textId="77777777" w:rsidR="00B53F51" w:rsidRPr="00695B2C" w:rsidRDefault="00B53F51" w:rsidP="006461DA">
      <w:pPr>
        <w:spacing w:after="0" w:line="360" w:lineRule="auto"/>
        <w:rPr>
          <w:rFonts w:cs="Tahoma"/>
        </w:rPr>
      </w:pPr>
    </w:p>
    <w:p w14:paraId="605DDB8A" w14:textId="3AB0731A" w:rsidR="00B53F51" w:rsidRPr="00695B2C" w:rsidRDefault="00B53F51" w:rsidP="006461DA">
      <w:pPr>
        <w:spacing w:after="0" w:line="360" w:lineRule="auto"/>
        <w:rPr>
          <w:rFonts w:cs="Tahoma"/>
        </w:rPr>
      </w:pPr>
      <w:r w:rsidRPr="00695B2C">
        <w:rPr>
          <w:rFonts w:cs="Tahoma"/>
        </w:rPr>
        <w:t>Sobre la f</w:t>
      </w:r>
      <w:r w:rsidR="00615658" w:rsidRPr="00695B2C">
        <w:rPr>
          <w:rFonts w:cs="Tahoma"/>
        </w:rPr>
        <w:t>racción II, se acreditó el vínculo entre la información solicitada y la carpeta de investigación, correlacionada a un proceso penal</w:t>
      </w:r>
      <w:r w:rsidRPr="00695B2C">
        <w:rPr>
          <w:rFonts w:cs="Tahoma"/>
        </w:rPr>
        <w:t>, elemento que tampoco se controvierte.</w:t>
      </w:r>
    </w:p>
    <w:p w14:paraId="5C09F3A9" w14:textId="77777777" w:rsidR="00B53F51" w:rsidRPr="00695B2C" w:rsidRDefault="00B53F51" w:rsidP="006461DA">
      <w:pPr>
        <w:spacing w:after="0" w:line="360" w:lineRule="auto"/>
        <w:rPr>
          <w:rFonts w:cs="Tahoma"/>
        </w:rPr>
      </w:pPr>
    </w:p>
    <w:p w14:paraId="335AAF7A" w14:textId="02135AB7" w:rsidR="00B53F51" w:rsidRDefault="00B53F51" w:rsidP="006461DA">
      <w:pPr>
        <w:spacing w:after="0" w:line="360" w:lineRule="auto"/>
        <w:rPr>
          <w:rFonts w:cs="Tahoma"/>
        </w:rPr>
      </w:pPr>
      <w:r w:rsidRPr="00695B2C">
        <w:rPr>
          <w:rFonts w:cs="Tahoma"/>
        </w:rPr>
        <w:t>S</w:t>
      </w:r>
      <w:r w:rsidR="00615658" w:rsidRPr="00695B2C">
        <w:rPr>
          <w:rFonts w:cs="Tahoma"/>
        </w:rPr>
        <w:t>obre la fracción III, no se acreditó que la publicidad o difusión de la información, pudiese generar afectación ante los tribunales con motivo del ejercicio de la acción pena</w:t>
      </w:r>
      <w:r w:rsidRPr="00695B2C">
        <w:rPr>
          <w:rFonts w:cs="Tahoma"/>
        </w:rPr>
        <w:t>l, por las siguientes consideraciones:</w:t>
      </w:r>
    </w:p>
    <w:p w14:paraId="3B8BC79E" w14:textId="77777777" w:rsidR="002603F0" w:rsidRPr="00695B2C" w:rsidRDefault="002603F0" w:rsidP="006461DA">
      <w:pPr>
        <w:spacing w:after="0" w:line="360" w:lineRule="auto"/>
        <w:rPr>
          <w:rFonts w:cs="Tahoma"/>
        </w:rPr>
      </w:pPr>
    </w:p>
    <w:p w14:paraId="762EFE92" w14:textId="5BD6EDF8" w:rsidR="00624857" w:rsidRPr="00695B2C" w:rsidRDefault="00624857" w:rsidP="006461DA">
      <w:pPr>
        <w:pStyle w:val="Prrafodelista"/>
        <w:numPr>
          <w:ilvl w:val="0"/>
          <w:numId w:val="14"/>
        </w:numPr>
        <w:spacing w:line="360" w:lineRule="auto"/>
        <w:jc w:val="both"/>
        <w:rPr>
          <w:rFonts w:ascii="Palatino Linotype" w:hAnsi="Palatino Linotype" w:cs="Tahoma"/>
        </w:rPr>
      </w:pPr>
      <w:r w:rsidRPr="00695B2C">
        <w:rPr>
          <w:rFonts w:ascii="Palatino Linotype" w:hAnsi="Palatino Linotype" w:cs="Tahoma"/>
        </w:rPr>
        <w:t xml:space="preserve">La difusión de la información fue considerada como un elemento necesario para la identificación de posibles víctimas pues nos encontramos ante una persona que cometió varios feminicidios y que durante las indagatorias, se encontraron </w:t>
      </w:r>
      <w:r w:rsidR="002603F0" w:rsidRPr="00695B2C">
        <w:rPr>
          <w:rFonts w:ascii="Palatino Linotype" w:hAnsi="Palatino Linotype" w:cs="Tahoma"/>
        </w:rPr>
        <w:t>más</w:t>
      </w:r>
      <w:r w:rsidRPr="00695B2C">
        <w:rPr>
          <w:rFonts w:ascii="Palatino Linotype" w:hAnsi="Palatino Linotype" w:cs="Tahoma"/>
        </w:rPr>
        <w:t xml:space="preserve"> de 4300 restos óseos, correspondientes a 19 personas diferentes, por lo que, para identificar a las posibles </w:t>
      </w:r>
      <w:r w:rsidR="002603F0" w:rsidRPr="00695B2C">
        <w:rPr>
          <w:rFonts w:ascii="Palatino Linotype" w:hAnsi="Palatino Linotype" w:cs="Tahoma"/>
        </w:rPr>
        <w:t>víctimas</w:t>
      </w:r>
      <w:r w:rsidRPr="00695B2C">
        <w:rPr>
          <w:rFonts w:ascii="Palatino Linotype" w:hAnsi="Palatino Linotype" w:cs="Tahoma"/>
        </w:rPr>
        <w:t xml:space="preserve">, se les tuvo que notificar a familiares de mujeres desaparecidas, que podrían haber sido víctimas del feminicida, entonces, gran parte de la información debió ser divulgada. </w:t>
      </w:r>
    </w:p>
    <w:p w14:paraId="652A69F9" w14:textId="35E8E504" w:rsidR="00B53F51" w:rsidRPr="00695B2C" w:rsidRDefault="00624857" w:rsidP="006461DA">
      <w:pPr>
        <w:pStyle w:val="Prrafodelista"/>
        <w:numPr>
          <w:ilvl w:val="0"/>
          <w:numId w:val="14"/>
        </w:numPr>
        <w:spacing w:line="360" w:lineRule="auto"/>
        <w:jc w:val="both"/>
        <w:rPr>
          <w:rFonts w:ascii="Palatino Linotype" w:hAnsi="Palatino Linotype" w:cs="Tahoma"/>
        </w:rPr>
      </w:pPr>
      <w:r w:rsidRPr="00695B2C">
        <w:rPr>
          <w:rFonts w:ascii="Palatino Linotype" w:hAnsi="Palatino Linotype" w:cs="Tahoma"/>
        </w:rPr>
        <w:t xml:space="preserve">La presión social generada, convirtió este asunto en uno de interés de la población, información que fue explotada por los medios de comunicación, al punto tal que la difusión de la información fue realizada incluso por el propio </w:t>
      </w:r>
      <w:proofErr w:type="gramStart"/>
      <w:r w:rsidRPr="00695B2C">
        <w:rPr>
          <w:rFonts w:ascii="Palatino Linotype" w:hAnsi="Palatino Linotype" w:cs="Tahoma"/>
        </w:rPr>
        <w:t>Fiscal General</w:t>
      </w:r>
      <w:proofErr w:type="gramEnd"/>
      <w:r w:rsidRPr="00695B2C">
        <w:rPr>
          <w:rFonts w:ascii="Palatino Linotype" w:hAnsi="Palatino Linotype" w:cs="Tahoma"/>
        </w:rPr>
        <w:t>.</w:t>
      </w:r>
    </w:p>
    <w:p w14:paraId="42A69036" w14:textId="5F7431C3" w:rsidR="00624857" w:rsidRDefault="00624857" w:rsidP="006461DA">
      <w:pPr>
        <w:pStyle w:val="Prrafodelista"/>
        <w:numPr>
          <w:ilvl w:val="0"/>
          <w:numId w:val="14"/>
        </w:numPr>
        <w:spacing w:line="360" w:lineRule="auto"/>
        <w:jc w:val="both"/>
        <w:rPr>
          <w:rFonts w:ascii="Palatino Linotype" w:hAnsi="Palatino Linotype" w:cs="Tahoma"/>
        </w:rPr>
      </w:pPr>
      <w:r w:rsidRPr="00695B2C">
        <w:rPr>
          <w:rFonts w:ascii="Palatino Linotype" w:hAnsi="Palatino Linotype" w:cs="Tahoma"/>
        </w:rPr>
        <w:t>En asuntos cuya divulgación se vuelve interés de la población por el impacto mismo del asunto, lo que conviene es revelar los datos sin afectar intereses de terceros, como podrían ser datos sensibles o bien, aquellos considerados como susceptibles de generar daño por su divulgación, dejando visibles las actuaciones del Ministerio Público, pues permitiría conocer a la población, que la Fiscalía está realizando los protocolos de actuación de manera correcta.</w:t>
      </w:r>
    </w:p>
    <w:p w14:paraId="07A5F603" w14:textId="77777777" w:rsidR="002603F0" w:rsidRPr="00695B2C" w:rsidRDefault="002603F0" w:rsidP="006461DA">
      <w:pPr>
        <w:pStyle w:val="Prrafodelista"/>
        <w:spacing w:line="360" w:lineRule="auto"/>
        <w:jc w:val="both"/>
        <w:rPr>
          <w:rFonts w:ascii="Palatino Linotype" w:hAnsi="Palatino Linotype" w:cs="Tahoma"/>
        </w:rPr>
      </w:pPr>
    </w:p>
    <w:p w14:paraId="29A7BAE6" w14:textId="48219E24" w:rsidR="00C856B8" w:rsidRDefault="00624857" w:rsidP="006461DA">
      <w:pPr>
        <w:spacing w:after="0" w:line="360" w:lineRule="auto"/>
        <w:rPr>
          <w:rFonts w:cs="Tahoma"/>
        </w:rPr>
      </w:pPr>
      <w:r w:rsidRPr="00695B2C">
        <w:rPr>
          <w:rFonts w:cs="Tahoma"/>
        </w:rPr>
        <w:lastRenderedPageBreak/>
        <w:t xml:space="preserve">Ahora bien, </w:t>
      </w:r>
      <w:r w:rsidR="00B35543" w:rsidRPr="00695B2C">
        <w:rPr>
          <w:rFonts w:cs="Tahoma"/>
        </w:rPr>
        <w:t>los elementos de la investigación como son las pruebas</w:t>
      </w:r>
      <w:r w:rsidR="00615658" w:rsidRPr="00695B2C">
        <w:rPr>
          <w:rFonts w:cs="Tahoma"/>
        </w:rPr>
        <w:t xml:space="preserve">, al momento de incorporarse a las audiencias judiciales, </w:t>
      </w:r>
      <w:r w:rsidR="00B35543" w:rsidRPr="00695B2C">
        <w:rPr>
          <w:rFonts w:cs="Tahoma"/>
        </w:rPr>
        <w:t>comparten la naturaleza de públicas de las audiencias, contempladas así por</w:t>
      </w:r>
      <w:r w:rsidR="00262663" w:rsidRPr="00695B2C">
        <w:rPr>
          <w:rFonts w:cs="Tahoma"/>
        </w:rPr>
        <w:t xml:space="preserve"> el artículo 5° del Código Nacional de Procedimientos Penales:</w:t>
      </w:r>
    </w:p>
    <w:p w14:paraId="4CBC9914" w14:textId="77777777" w:rsidR="001455FB" w:rsidRPr="00695B2C" w:rsidRDefault="001455FB" w:rsidP="006461DA">
      <w:pPr>
        <w:spacing w:after="0" w:line="360" w:lineRule="auto"/>
        <w:rPr>
          <w:rFonts w:cs="Tahoma"/>
        </w:rPr>
      </w:pPr>
    </w:p>
    <w:p w14:paraId="1F3D4DDE" w14:textId="77777777" w:rsidR="00B53F51" w:rsidRPr="00695B2C" w:rsidRDefault="00262663"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Artículo 5o. Principio de publicidad </w:t>
      </w:r>
    </w:p>
    <w:p w14:paraId="67C1B301" w14:textId="446CDBE9" w:rsidR="00262663" w:rsidRPr="00695B2C" w:rsidRDefault="00262663" w:rsidP="006461DA">
      <w:pPr>
        <w:spacing w:after="0" w:line="360" w:lineRule="auto"/>
        <w:ind w:left="426" w:right="474"/>
        <w:rPr>
          <w:rFonts w:eastAsia="Times New Roman" w:cs="Arial"/>
          <w:b/>
          <w:i/>
          <w:iCs/>
          <w:color w:val="auto"/>
          <w:sz w:val="20"/>
          <w:lang w:eastAsia="es-ES"/>
        </w:rPr>
      </w:pPr>
      <w:r w:rsidRPr="00695B2C">
        <w:rPr>
          <w:rFonts w:eastAsia="Times New Roman" w:cs="Arial"/>
          <w:b/>
          <w:i/>
          <w:iCs/>
          <w:color w:val="auto"/>
          <w:sz w:val="20"/>
          <w:lang w:eastAsia="es-ES"/>
        </w:rPr>
        <w:t xml:space="preserve">Las audiencias serán públicas, con el fin de que a ellas accedan no sólo las partes que intervienen en el procedimiento sino también el público en general, con las excepciones previstas en este Código. </w:t>
      </w:r>
    </w:p>
    <w:p w14:paraId="0FDA752B" w14:textId="77777777" w:rsidR="00262663" w:rsidRPr="00695B2C" w:rsidRDefault="00262663" w:rsidP="006461DA">
      <w:pPr>
        <w:spacing w:after="0" w:line="360" w:lineRule="auto"/>
        <w:ind w:left="426" w:right="474"/>
        <w:rPr>
          <w:rFonts w:eastAsia="Times New Roman" w:cs="Arial"/>
          <w:bCs/>
          <w:i/>
          <w:iCs/>
          <w:color w:val="auto"/>
          <w:sz w:val="20"/>
          <w:lang w:eastAsia="es-ES"/>
        </w:rPr>
      </w:pPr>
    </w:p>
    <w:p w14:paraId="4875F186" w14:textId="7AF47932" w:rsidR="00262663" w:rsidRPr="00695B2C" w:rsidRDefault="00262663"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Los periodistas y los medios de comunicación podrán acceder al lugar en el que se desarrolle la audiencia en los casos y condiciones que determine el Órgano jurisdiccional conforme a lo dispuesto por la Constitución, este Código y los acuerdos generales que emita el Consejo.</w:t>
      </w:r>
    </w:p>
    <w:p w14:paraId="789828C4" w14:textId="4ACDABCB" w:rsidR="00262663" w:rsidRPr="00695B2C" w:rsidRDefault="00262663" w:rsidP="006461DA">
      <w:pPr>
        <w:spacing w:after="0" w:line="360" w:lineRule="auto"/>
        <w:rPr>
          <w:rFonts w:cs="Tahoma"/>
        </w:rPr>
      </w:pPr>
    </w:p>
    <w:p w14:paraId="4F4454ED" w14:textId="74A365CA" w:rsidR="00262663" w:rsidRPr="00695B2C" w:rsidRDefault="00262663" w:rsidP="006461DA">
      <w:pPr>
        <w:spacing w:after="0" w:line="360" w:lineRule="auto"/>
        <w:rPr>
          <w:rFonts w:cs="Tahoma"/>
        </w:rPr>
      </w:pPr>
      <w:r w:rsidRPr="00695B2C">
        <w:rPr>
          <w:rFonts w:cs="Tahoma"/>
        </w:rPr>
        <w:t>Es entonces que las pruebas aportadas, al haber sido desahogadas, ya no se considera que generen afectación al proceso,</w:t>
      </w:r>
      <w:r w:rsidR="00B35543" w:rsidRPr="00695B2C">
        <w:rPr>
          <w:rFonts w:cs="Tahoma"/>
        </w:rPr>
        <w:t xml:space="preserve"> sin embargo, existen supuestos especiales, como son aquellas pruebas o partes de la carpeta de investigación, que el juez considera necesario restringir al conocimiento público, presupuestos </w:t>
      </w:r>
      <w:r w:rsidRPr="00695B2C">
        <w:rPr>
          <w:rFonts w:cs="Tahoma"/>
        </w:rPr>
        <w:t xml:space="preserve">contemplados en </w:t>
      </w:r>
      <w:r w:rsidR="00B35543" w:rsidRPr="00695B2C">
        <w:rPr>
          <w:rFonts w:cs="Tahoma"/>
        </w:rPr>
        <w:t xml:space="preserve">el </w:t>
      </w:r>
      <w:r w:rsidRPr="00695B2C">
        <w:rPr>
          <w:rFonts w:cs="Tahoma"/>
        </w:rPr>
        <w:t xml:space="preserve">artículo 64, que en cuyo caso únicamente serán partes de las audiencias y no así la totalidad de la información. </w:t>
      </w:r>
    </w:p>
    <w:p w14:paraId="4654CC74" w14:textId="10B7E084" w:rsidR="00262663" w:rsidRPr="00695B2C" w:rsidRDefault="00262663" w:rsidP="006461DA">
      <w:pPr>
        <w:spacing w:after="0" w:line="360" w:lineRule="auto"/>
        <w:rPr>
          <w:rFonts w:cs="Tahoma"/>
        </w:rPr>
      </w:pPr>
    </w:p>
    <w:p w14:paraId="7B838180" w14:textId="77777777" w:rsidR="00262663" w:rsidRPr="00695B2C" w:rsidRDefault="00262663"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Artículo 64. Excepciones al principio de publicidad El debate será público, pero el Órgano jurisdiccional podrá resolver excepcionalmente, aun de oficio, que se desarrolle total o parcialmente a puerta cerrada, cuando: </w:t>
      </w:r>
    </w:p>
    <w:p w14:paraId="0DBC3809" w14:textId="77777777" w:rsidR="00262663" w:rsidRPr="00695B2C" w:rsidRDefault="00262663" w:rsidP="006461DA">
      <w:pPr>
        <w:spacing w:after="0" w:line="360" w:lineRule="auto"/>
        <w:ind w:left="426" w:right="474"/>
        <w:rPr>
          <w:rFonts w:eastAsia="Times New Roman" w:cs="Arial"/>
          <w:b/>
          <w:i/>
          <w:iCs/>
          <w:color w:val="auto"/>
          <w:sz w:val="20"/>
          <w:lang w:eastAsia="es-ES"/>
        </w:rPr>
      </w:pPr>
      <w:r w:rsidRPr="00695B2C">
        <w:rPr>
          <w:rFonts w:eastAsia="Times New Roman" w:cs="Arial"/>
          <w:b/>
          <w:i/>
          <w:iCs/>
          <w:color w:val="auto"/>
          <w:sz w:val="20"/>
          <w:lang w:eastAsia="es-ES"/>
        </w:rPr>
        <w:t xml:space="preserve">I. Pueda afectar la integridad de alguna de las partes, o de alguna persona citada para participar en él; </w:t>
      </w:r>
    </w:p>
    <w:p w14:paraId="3D72A9F2" w14:textId="77777777" w:rsidR="00262663" w:rsidRPr="00695B2C" w:rsidRDefault="00262663"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II. La seguridad pública o la seguridad nacional puedan verse gravemente afectadas; </w:t>
      </w:r>
    </w:p>
    <w:p w14:paraId="40075B39" w14:textId="77777777" w:rsidR="00262663" w:rsidRPr="00695B2C" w:rsidRDefault="00262663" w:rsidP="006461DA">
      <w:pPr>
        <w:spacing w:after="0" w:line="360" w:lineRule="auto"/>
        <w:ind w:left="426" w:right="474"/>
        <w:rPr>
          <w:rFonts w:eastAsia="Times New Roman" w:cs="Arial"/>
          <w:b/>
          <w:i/>
          <w:iCs/>
          <w:color w:val="auto"/>
          <w:sz w:val="20"/>
          <w:lang w:eastAsia="es-ES"/>
        </w:rPr>
      </w:pPr>
      <w:r w:rsidRPr="00695B2C">
        <w:rPr>
          <w:rFonts w:eastAsia="Times New Roman" w:cs="Arial"/>
          <w:bCs/>
          <w:i/>
          <w:iCs/>
          <w:color w:val="auto"/>
          <w:sz w:val="20"/>
          <w:lang w:eastAsia="es-ES"/>
        </w:rPr>
        <w:t xml:space="preserve">III. Peligre un secreto oficial, particular, comercial o industrial, cuya revelación indebida sea punible; </w:t>
      </w:r>
      <w:r w:rsidRPr="00695B2C">
        <w:rPr>
          <w:rFonts w:eastAsia="Times New Roman" w:cs="Arial"/>
          <w:b/>
          <w:i/>
          <w:iCs/>
          <w:color w:val="auto"/>
          <w:sz w:val="20"/>
          <w:lang w:eastAsia="es-ES"/>
        </w:rPr>
        <w:t xml:space="preserve">IV. El Órgano jurisdiccional estime conveniente; </w:t>
      </w:r>
    </w:p>
    <w:p w14:paraId="792CDC40" w14:textId="72EE6E38" w:rsidR="00262663" w:rsidRPr="00695B2C" w:rsidRDefault="00262663"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lastRenderedPageBreak/>
        <w:t>V. Se afecte el Interés Superior del Niño y de la Niña en términos de lo establecido por los Tratados y las leyes en la materia, o VI. Esté previsto en este Código o en otra ley. La resolución que decrete alguna de estas excepciones será fundada y motivada constando en el registro de la audiencia.</w:t>
      </w:r>
    </w:p>
    <w:p w14:paraId="1E360E27" w14:textId="75435D5D" w:rsidR="00262663" w:rsidRPr="00695B2C" w:rsidRDefault="00262663" w:rsidP="006461DA">
      <w:pPr>
        <w:spacing w:after="0" w:line="360" w:lineRule="auto"/>
        <w:rPr>
          <w:rFonts w:cs="Tahoma"/>
        </w:rPr>
      </w:pPr>
    </w:p>
    <w:p w14:paraId="4D735985" w14:textId="6C0910F4" w:rsidR="00172E69" w:rsidRPr="00695B2C" w:rsidRDefault="00172E69" w:rsidP="006461DA">
      <w:pPr>
        <w:spacing w:after="0" w:line="360" w:lineRule="auto"/>
        <w:rPr>
          <w:rFonts w:cs="Tahoma"/>
        </w:rPr>
      </w:pPr>
      <w:r w:rsidRPr="00695B2C">
        <w:rPr>
          <w:rFonts w:cs="Tahoma"/>
        </w:rPr>
        <w:t xml:space="preserve">Ahora bien, </w:t>
      </w:r>
      <w:r w:rsidR="00B35543" w:rsidRPr="00695B2C">
        <w:rPr>
          <w:rFonts w:cs="Tahoma"/>
        </w:rPr>
        <w:t xml:space="preserve">no se omite señalar que </w:t>
      </w:r>
      <w:r w:rsidRPr="00695B2C">
        <w:rPr>
          <w:rFonts w:cs="Tahoma"/>
        </w:rPr>
        <w:t>del análisis sistemático de los artículos 467 al 487, la sentencia, no queda firme en tanto a que no exista una sentencia definitiva, para lo que el Imputado, cuenta con la Apelación y posterior a ello, el Juicio de Amparo Directo</w:t>
      </w:r>
      <w:r w:rsidR="00C65529">
        <w:rPr>
          <w:rFonts w:cs="Tahoma"/>
        </w:rPr>
        <w:t>;</w:t>
      </w:r>
      <w:r w:rsidRPr="00695B2C">
        <w:rPr>
          <w:rFonts w:cs="Tahoma"/>
        </w:rPr>
        <w:t xml:space="preserve"> sin embargo, esto ya no es para efectos de la carpeta de investigación, sino exclusivamente con los elementos aportados en juicio, por ello, la publicidad de la Carpeta de Investigación, a la fecha y con los elementos aportados, como lo es la sentencia de primera instancia, se identifica que no genera afectación, siempre y cuando, se salvaguarden las partes que </w:t>
      </w:r>
      <w:r w:rsidR="007B5165" w:rsidRPr="00695B2C">
        <w:rPr>
          <w:rFonts w:cs="Tahoma"/>
        </w:rPr>
        <w:t>contengan datos sensibles, puedan afectar la integridad de las personas o bien, puedan revictimizar a los familiares, por lo que se deberá hacer un ejercicio para clasificar las partes de las carpeta y expedientes en poder del Sujeto Obligado y serán clasificables únicamente las partes que actualicen estos supuesto.</w:t>
      </w:r>
    </w:p>
    <w:p w14:paraId="1ACDC1E4" w14:textId="629413E1" w:rsidR="007B5165" w:rsidRPr="00695B2C" w:rsidRDefault="007B5165" w:rsidP="006461DA">
      <w:pPr>
        <w:spacing w:after="0" w:line="360" w:lineRule="auto"/>
        <w:rPr>
          <w:rFonts w:cs="Tahoma"/>
        </w:rPr>
      </w:pPr>
    </w:p>
    <w:p w14:paraId="3461B9D0" w14:textId="0B347045" w:rsidR="00262663" w:rsidRPr="00695B2C" w:rsidRDefault="00262663" w:rsidP="006461DA">
      <w:pPr>
        <w:spacing w:after="0" w:line="360" w:lineRule="auto"/>
        <w:rPr>
          <w:rFonts w:cs="Tahoma"/>
        </w:rPr>
      </w:pPr>
      <w:r w:rsidRPr="00695B2C">
        <w:rPr>
          <w:rFonts w:cs="Tahoma"/>
        </w:rPr>
        <w:t>Es entonces que esta fracción, no puede ser invocada para reservar la información</w:t>
      </w:r>
      <w:r w:rsidR="00B35543" w:rsidRPr="00695B2C">
        <w:rPr>
          <w:rFonts w:cs="Tahoma"/>
        </w:rPr>
        <w:t xml:space="preserve"> de la carpeta de investigación en su totalidad</w:t>
      </w:r>
      <w:r w:rsidR="007B5165" w:rsidRPr="00695B2C">
        <w:rPr>
          <w:rFonts w:cs="Tahoma"/>
        </w:rPr>
        <w:t xml:space="preserve">, pues </w:t>
      </w:r>
      <w:r w:rsidR="00B35543" w:rsidRPr="00695B2C">
        <w:rPr>
          <w:rFonts w:cs="Tahoma"/>
        </w:rPr>
        <w:t xml:space="preserve">en este momento procesal </w:t>
      </w:r>
      <w:r w:rsidR="007B5165" w:rsidRPr="00695B2C">
        <w:rPr>
          <w:rFonts w:cs="Tahoma"/>
        </w:rPr>
        <w:t>no se actualizan los elementos contemplados en el Lineamiento en análisis.</w:t>
      </w:r>
    </w:p>
    <w:p w14:paraId="05ABC89B" w14:textId="77777777" w:rsidR="00280EC4" w:rsidRPr="00695B2C" w:rsidRDefault="00280EC4" w:rsidP="006461DA">
      <w:pPr>
        <w:spacing w:after="0" w:line="360" w:lineRule="auto"/>
        <w:rPr>
          <w:rFonts w:cs="Tahoma"/>
          <w:b/>
          <w:bCs/>
          <w:highlight w:val="green"/>
        </w:rPr>
      </w:pPr>
    </w:p>
    <w:p w14:paraId="5627CA79" w14:textId="5CA11B41" w:rsidR="0063097A" w:rsidRPr="00695B2C" w:rsidRDefault="00C07D18" w:rsidP="006461DA">
      <w:pPr>
        <w:spacing w:after="0" w:line="360" w:lineRule="auto"/>
        <w:rPr>
          <w:rFonts w:cs="Tahoma"/>
          <w:b/>
          <w:bCs/>
        </w:rPr>
      </w:pPr>
      <w:r w:rsidRPr="00695B2C">
        <w:rPr>
          <w:rFonts w:cs="Tahoma"/>
          <w:b/>
          <w:bCs/>
        </w:rPr>
        <w:t>F</w:t>
      </w:r>
      <w:r w:rsidR="0063097A" w:rsidRPr="00695B2C">
        <w:rPr>
          <w:rFonts w:cs="Tahoma"/>
          <w:b/>
          <w:bCs/>
        </w:rPr>
        <w:t>racción IX. Se encuentre contenida dentro de las investigaciones de hechos que la Ley señale como delitos y se tramiten ante el Ministerio Público;</w:t>
      </w:r>
    </w:p>
    <w:p w14:paraId="55A5C9EC" w14:textId="18EE0EEC" w:rsidR="00710567" w:rsidRPr="00695B2C" w:rsidRDefault="00710567" w:rsidP="006461DA">
      <w:pPr>
        <w:spacing w:after="0" w:line="360" w:lineRule="auto"/>
        <w:rPr>
          <w:rFonts w:cs="Tahoma"/>
          <w:b/>
          <w:bCs/>
          <w:highlight w:val="yellow"/>
        </w:rPr>
      </w:pPr>
    </w:p>
    <w:p w14:paraId="7FBF26AF" w14:textId="15FAF1C0" w:rsidR="002F15AA" w:rsidRPr="00695B2C" w:rsidRDefault="002F15AA" w:rsidP="006461DA">
      <w:pPr>
        <w:spacing w:after="0" w:line="360" w:lineRule="auto"/>
        <w:rPr>
          <w:rFonts w:cs="Tahoma"/>
        </w:rPr>
      </w:pPr>
      <w:r w:rsidRPr="00695B2C">
        <w:rPr>
          <w:rFonts w:cs="Tahoma"/>
        </w:rPr>
        <w:t>Esta fracción no se actualiza pues como se identificó, se vinculó a proceso desde el 20 de mayo del 2021 y la información fue requerida el 14 de diciembre del 2021, por lo que, a la fecha de la solicitud, esta fracción ya no era invocable, pues esta investigación ya se incorporó al expediente judicial.</w:t>
      </w:r>
    </w:p>
    <w:p w14:paraId="7229C939" w14:textId="32DC48CB" w:rsidR="007B5165" w:rsidRDefault="002F15AA" w:rsidP="006461DA">
      <w:pPr>
        <w:spacing w:after="0" w:line="360" w:lineRule="auto"/>
        <w:rPr>
          <w:rFonts w:cs="Tahoma"/>
        </w:rPr>
      </w:pPr>
      <w:r w:rsidRPr="00695B2C">
        <w:rPr>
          <w:rFonts w:cs="Tahoma"/>
        </w:rPr>
        <w:lastRenderedPageBreak/>
        <w:t>Ahora bien, aun cuando ya se determinó que no es procedente, e</w:t>
      </w:r>
      <w:r w:rsidR="007B5165" w:rsidRPr="00695B2C">
        <w:rPr>
          <w:rFonts w:cs="Tahoma"/>
        </w:rPr>
        <w:t>sta fracción, debe correlacionarse al Lineamiento Trigésimo Primero de los Lineamientos invocados y requiere acreditar, los siguiente:</w:t>
      </w:r>
    </w:p>
    <w:p w14:paraId="47E159CE" w14:textId="77777777" w:rsidR="00C65529" w:rsidRPr="00695B2C" w:rsidRDefault="00C65529" w:rsidP="006461DA">
      <w:pPr>
        <w:spacing w:after="0" w:line="360" w:lineRule="auto"/>
        <w:rPr>
          <w:rFonts w:cs="Tahoma"/>
        </w:rPr>
      </w:pPr>
    </w:p>
    <w:p w14:paraId="3571B86D" w14:textId="741D1D74" w:rsidR="0063097A" w:rsidRPr="00695B2C" w:rsidRDefault="007B5165"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Trigésimo primero. De conformidad con el artículo 113, fracción XII de la Ley General, podrá considerarse como información reservada, aquella que forme parte de las averiguaciones previas o carpetas de investigación que resulte de la etapa de investigación, durante la cual, de conformidad con la normativa en materia penal,</w:t>
      </w:r>
      <w:r w:rsidR="00B0681C" w:rsidRPr="00695B2C">
        <w:rPr>
          <w:rFonts w:eastAsia="Times New Roman" w:cs="Arial"/>
          <w:bCs/>
          <w:i/>
          <w:iCs/>
          <w:color w:val="auto"/>
          <w:sz w:val="20"/>
          <w:lang w:eastAsia="es-ES"/>
        </w:rPr>
        <w:t xml:space="preserve"> </w:t>
      </w:r>
      <w:r w:rsidRPr="00695B2C">
        <w:rPr>
          <w:rFonts w:eastAsia="Times New Roman" w:cs="Arial"/>
          <w:bCs/>
          <w:i/>
          <w:iCs/>
          <w:color w:val="auto"/>
          <w:sz w:val="20"/>
          <w:lang w:eastAsia="es-ES"/>
        </w:rPr>
        <w:t>el Ministerio Público o su equivalente reúne indicios para el esclarecimiento de los</w:t>
      </w:r>
      <w:r w:rsidR="00B0681C" w:rsidRPr="00695B2C">
        <w:rPr>
          <w:rFonts w:eastAsia="Times New Roman" w:cs="Arial"/>
          <w:bCs/>
          <w:i/>
          <w:iCs/>
          <w:color w:val="auto"/>
          <w:sz w:val="20"/>
          <w:lang w:eastAsia="es-ES"/>
        </w:rPr>
        <w:t xml:space="preserve"> </w:t>
      </w:r>
      <w:r w:rsidRPr="00695B2C">
        <w:rPr>
          <w:rFonts w:eastAsia="Times New Roman" w:cs="Arial"/>
          <w:bCs/>
          <w:i/>
          <w:iCs/>
          <w:color w:val="auto"/>
          <w:sz w:val="20"/>
          <w:lang w:eastAsia="es-ES"/>
        </w:rPr>
        <w:t xml:space="preserve">hechos y, </w:t>
      </w:r>
      <w:r w:rsidRPr="00695B2C">
        <w:rPr>
          <w:rFonts w:eastAsia="Times New Roman" w:cs="Arial"/>
          <w:b/>
          <w:i/>
          <w:iCs/>
          <w:color w:val="auto"/>
          <w:sz w:val="20"/>
          <w:lang w:eastAsia="es-ES"/>
        </w:rPr>
        <w:t>en su caso, los datos de prueba para sustentar el ejercicio o no de la</w:t>
      </w:r>
      <w:r w:rsidR="00B0681C" w:rsidRPr="00695B2C">
        <w:rPr>
          <w:rFonts w:eastAsia="Times New Roman" w:cs="Arial"/>
          <w:b/>
          <w:i/>
          <w:iCs/>
          <w:color w:val="auto"/>
          <w:sz w:val="20"/>
          <w:lang w:eastAsia="es-ES"/>
        </w:rPr>
        <w:t xml:space="preserve"> </w:t>
      </w:r>
      <w:r w:rsidRPr="00695B2C">
        <w:rPr>
          <w:rFonts w:eastAsia="Times New Roman" w:cs="Arial"/>
          <w:b/>
          <w:i/>
          <w:iCs/>
          <w:color w:val="auto"/>
          <w:sz w:val="20"/>
          <w:lang w:eastAsia="es-ES"/>
        </w:rPr>
        <w:t>acción penal, la acusación contra el imputado y la reparación del daño.</w:t>
      </w:r>
    </w:p>
    <w:p w14:paraId="281DD303" w14:textId="1BFFF250" w:rsidR="0063097A" w:rsidRPr="00695B2C" w:rsidRDefault="0063097A" w:rsidP="006461DA">
      <w:pPr>
        <w:spacing w:after="0" w:line="360" w:lineRule="auto"/>
        <w:rPr>
          <w:rFonts w:cs="Tahoma"/>
          <w:b/>
          <w:bCs/>
        </w:rPr>
      </w:pPr>
    </w:p>
    <w:p w14:paraId="24EB6512" w14:textId="6E69E66C" w:rsidR="002F15AA" w:rsidRPr="00695B2C" w:rsidRDefault="00B0681C" w:rsidP="006461DA">
      <w:pPr>
        <w:spacing w:after="0" w:line="360" w:lineRule="auto"/>
        <w:rPr>
          <w:rFonts w:cs="Tahoma"/>
        </w:rPr>
      </w:pPr>
      <w:r w:rsidRPr="00695B2C">
        <w:rPr>
          <w:rFonts w:cs="Tahoma"/>
        </w:rPr>
        <w:t>Sobre este lineamiento queda claro que su naturaleza, es para recabar indicios y en su caso, ejercer o no la acción penal, lo que aconteció desde el veinte de mayo del dos mil veintidós que fue cuando un Juez, determinó la vinculación a proceso y por ello, se identifica que se ejerció acción penal.</w:t>
      </w:r>
      <w:r w:rsidR="002603F0">
        <w:rPr>
          <w:rFonts w:cs="Tahoma"/>
        </w:rPr>
        <w:t xml:space="preserve"> </w:t>
      </w:r>
      <w:r w:rsidR="002F15AA" w:rsidRPr="00695B2C">
        <w:rPr>
          <w:rFonts w:cs="Tahoma"/>
        </w:rPr>
        <w:t xml:space="preserve">Es entonces que no se considera información que sea susceptible a ser reservada por esta </w:t>
      </w:r>
      <w:proofErr w:type="spellStart"/>
      <w:r w:rsidR="002F15AA" w:rsidRPr="00695B2C">
        <w:rPr>
          <w:rFonts w:cs="Tahoma"/>
        </w:rPr>
        <w:t>causa</w:t>
      </w:r>
      <w:r w:rsidR="00DD0B26" w:rsidRPr="00695B2C">
        <w:rPr>
          <w:rFonts w:cs="Tahoma"/>
        </w:rPr>
        <w:t>l</w:t>
      </w:r>
      <w:proofErr w:type="spellEnd"/>
      <w:r w:rsidR="002F15AA" w:rsidRPr="00695B2C">
        <w:rPr>
          <w:rFonts w:cs="Tahoma"/>
        </w:rPr>
        <w:t>.</w:t>
      </w:r>
    </w:p>
    <w:p w14:paraId="534E52A9" w14:textId="7EC60A09" w:rsidR="00B0681C" w:rsidRPr="00695B2C" w:rsidRDefault="00B0681C" w:rsidP="006461DA">
      <w:pPr>
        <w:spacing w:after="0" w:line="360" w:lineRule="auto"/>
        <w:rPr>
          <w:rFonts w:cs="Tahoma"/>
          <w:highlight w:val="yellow"/>
        </w:rPr>
      </w:pPr>
    </w:p>
    <w:p w14:paraId="25E81F6B" w14:textId="23D0CE5F" w:rsidR="00B0681C" w:rsidRPr="00695B2C" w:rsidRDefault="002F15AA" w:rsidP="006461DA">
      <w:pPr>
        <w:spacing w:after="0" w:line="360" w:lineRule="auto"/>
        <w:rPr>
          <w:rFonts w:cs="Tahoma"/>
          <w:b/>
          <w:bCs/>
        </w:rPr>
      </w:pPr>
      <w:r w:rsidRPr="00695B2C">
        <w:rPr>
          <w:rFonts w:cs="Tahoma"/>
          <w:b/>
          <w:bCs/>
        </w:rPr>
        <w:t>F</w:t>
      </w:r>
      <w:r w:rsidR="00B0681C" w:rsidRPr="00695B2C">
        <w:rPr>
          <w:rFonts w:cs="Tahoma"/>
          <w:b/>
          <w:bCs/>
        </w:rPr>
        <w:t xml:space="preserve">racción XI. Las que por disposición expresa de una ley tengan tal carácter, siempre que sean acordes con las bases, principios y disposiciones establecidos en esta Ley y no la contravengan; así como las previstas en tratados internacionales. </w:t>
      </w:r>
    </w:p>
    <w:p w14:paraId="1C89D700" w14:textId="7B770D90" w:rsidR="002F15AA" w:rsidRPr="00695B2C" w:rsidRDefault="002F15AA" w:rsidP="006461DA">
      <w:pPr>
        <w:spacing w:after="0" w:line="360" w:lineRule="auto"/>
        <w:rPr>
          <w:rFonts w:cs="Tahoma"/>
          <w:b/>
          <w:bCs/>
        </w:rPr>
      </w:pPr>
    </w:p>
    <w:p w14:paraId="215053D0" w14:textId="1FE42D71" w:rsidR="002F15AA" w:rsidRPr="00695B2C" w:rsidRDefault="002F15AA" w:rsidP="006461DA">
      <w:pPr>
        <w:spacing w:after="0" w:line="360" w:lineRule="auto"/>
        <w:rPr>
          <w:rFonts w:cs="Tahoma"/>
        </w:rPr>
      </w:pPr>
      <w:r w:rsidRPr="00695B2C">
        <w:rPr>
          <w:rFonts w:cs="Tahoma"/>
        </w:rPr>
        <w:t>El Sujeto Obligado, en esta fracción, invocó l</w:t>
      </w:r>
      <w:r w:rsidR="00DD0B26" w:rsidRPr="00695B2C">
        <w:rPr>
          <w:rFonts w:cs="Tahoma"/>
        </w:rPr>
        <w:t xml:space="preserve">os supuestos de </w:t>
      </w:r>
      <w:r w:rsidR="0021028C" w:rsidRPr="00695B2C">
        <w:rPr>
          <w:rFonts w:cs="Tahoma"/>
        </w:rPr>
        <w:t>clasificación</w:t>
      </w:r>
      <w:r w:rsidR="00DD0B26" w:rsidRPr="00695B2C">
        <w:rPr>
          <w:rFonts w:cs="Tahoma"/>
        </w:rPr>
        <w:t xml:space="preserve"> contenidos en el Código Nacional de Procedimientos Penales:</w:t>
      </w:r>
    </w:p>
    <w:p w14:paraId="5EB4598A" w14:textId="7A00AA77" w:rsidR="00DD0B26" w:rsidRPr="00695B2C" w:rsidRDefault="00DD0B26" w:rsidP="006461DA">
      <w:pPr>
        <w:spacing w:after="0" w:line="360" w:lineRule="auto"/>
        <w:rPr>
          <w:rFonts w:cs="Tahoma"/>
          <w:b/>
          <w:bCs/>
          <w:highlight w:val="yellow"/>
        </w:rPr>
      </w:pPr>
    </w:p>
    <w:p w14:paraId="4A069923" w14:textId="56ECE282"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“SEGUNDO. - Ahora bien, el artículo 15 del Código Nacional de Procedimientos Penales, señala que, en todo procedimiento penal, se respetará el derecho a la intimidad de cualquier persona que </w:t>
      </w:r>
      <w:r w:rsidRPr="00695B2C">
        <w:rPr>
          <w:rFonts w:eastAsia="Times New Roman" w:cs="Arial"/>
          <w:bCs/>
          <w:i/>
          <w:iCs/>
          <w:color w:val="auto"/>
          <w:sz w:val="20"/>
          <w:lang w:eastAsia="es-ES"/>
        </w:rPr>
        <w:lastRenderedPageBreak/>
        <w:t xml:space="preserve">intervenga en él, asimismo, se protegerá la información que se refiere a la vida privada y los datos personales, en los términos y con las excepciones que fijen la Constitución y la legislación aplicable. </w:t>
      </w:r>
    </w:p>
    <w:p w14:paraId="7A2DAFE0"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45C10E40"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El citado Código Nacional, señala en su artículo 127 que es competencia del Ministerio Público conducir la investigación, coordinar a las Policías y a los servicios periciales durante la investigación, resolver sobre el ejercicio de la acción penal en la forma establecida por la ley y en su caso, ordenar las diligencias pertinentes y útiles para demostrar, o no, la existencia del delito y la responsabilidad de quien lo cometió o participó en su comisión. </w:t>
      </w:r>
    </w:p>
    <w:p w14:paraId="1A4C7A0E"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02F32589"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En ese sentido, el artículo 212 del Código de referencia, establece que cuando el Ministerio Público tenga conocimiento de la existencia de un hecho que la ley señale como delito, dirigirá la investigación penal, sin que pueda suspender, interrumpir o hacer cesar su curso, salvo en los casos autorizados en la misma. La investigación deberá realizarse de manera inmediata, eficiente, exhaustiva, profesional e imparcial, libre de estereotipos y discriminación, orientada a explorar todas las líneas de investigación posibles que permitan allegarse de datos para el esclarecimiento del hecho que la ley señala como delito; así como, la identificación de quien lo cometió o participó en su comisión.</w:t>
      </w:r>
    </w:p>
    <w:p w14:paraId="44F39FF5"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514C53C5"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Aunado a lo anterior, los artículos 15 y 106 del referido Código Nacional de Procedimientos Penales, a la letra señalan lo siguiente:</w:t>
      </w:r>
    </w:p>
    <w:p w14:paraId="78368E45"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4B3230A2" w14:textId="77777777" w:rsidR="0021028C"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"Artículo 15. Derecho a la intimidad y</w:t>
      </w:r>
      <w:r w:rsidR="0021028C" w:rsidRPr="00695B2C">
        <w:rPr>
          <w:rFonts w:eastAsia="Times New Roman" w:cs="Arial"/>
          <w:bCs/>
          <w:i/>
          <w:iCs/>
          <w:color w:val="auto"/>
          <w:sz w:val="20"/>
          <w:lang w:eastAsia="es-ES"/>
        </w:rPr>
        <w:t>/</w:t>
      </w:r>
      <w:r w:rsidRPr="00695B2C">
        <w:rPr>
          <w:rFonts w:eastAsia="Times New Roman" w:cs="Arial"/>
          <w:bCs/>
          <w:i/>
          <w:iCs/>
          <w:color w:val="auto"/>
          <w:sz w:val="20"/>
          <w:lang w:eastAsia="es-ES"/>
        </w:rPr>
        <w:t>o</w:t>
      </w:r>
      <w:r w:rsidR="0021028C" w:rsidRPr="00695B2C">
        <w:rPr>
          <w:rFonts w:eastAsia="Times New Roman" w:cs="Arial"/>
          <w:bCs/>
          <w:i/>
          <w:iCs/>
          <w:color w:val="auto"/>
          <w:sz w:val="20"/>
          <w:lang w:eastAsia="es-ES"/>
        </w:rPr>
        <w:t xml:space="preserve"> </w:t>
      </w:r>
      <w:r w:rsidRPr="00695B2C">
        <w:rPr>
          <w:rFonts w:eastAsia="Times New Roman" w:cs="Arial"/>
          <w:bCs/>
          <w:i/>
          <w:iCs/>
          <w:color w:val="auto"/>
          <w:sz w:val="20"/>
          <w:lang w:eastAsia="es-ES"/>
        </w:rPr>
        <w:t xml:space="preserve">la privacidad </w:t>
      </w:r>
    </w:p>
    <w:p w14:paraId="04584B21" w14:textId="2FA3F7EA" w:rsidR="00DD0B26" w:rsidRPr="00695B2C" w:rsidRDefault="0021028C"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En todo procedimiento penal se respetará el derecho a la intimidad de cualquier persona que intervenga en él, asimismo </w:t>
      </w:r>
      <w:r w:rsidRPr="00695B2C">
        <w:rPr>
          <w:rFonts w:eastAsia="Times New Roman" w:cs="Arial"/>
          <w:b/>
          <w:i/>
          <w:iCs/>
          <w:color w:val="auto"/>
          <w:sz w:val="20"/>
          <w:lang w:eastAsia="es-ES"/>
        </w:rPr>
        <w:t>se protegerá la información que se refiere a la vida privada y los datos personales,</w:t>
      </w:r>
      <w:r w:rsidRPr="00695B2C">
        <w:rPr>
          <w:rFonts w:eastAsia="Times New Roman" w:cs="Arial"/>
          <w:bCs/>
          <w:i/>
          <w:iCs/>
          <w:color w:val="auto"/>
          <w:sz w:val="20"/>
          <w:lang w:eastAsia="es-ES"/>
        </w:rPr>
        <w:t xml:space="preserve"> en los términos y con las excepciones que fijan la Constitución, este Código y la legislación aplicable.</w:t>
      </w:r>
    </w:p>
    <w:p w14:paraId="77E7A2B4" w14:textId="77777777" w:rsidR="0021028C" w:rsidRPr="00695B2C" w:rsidRDefault="0021028C" w:rsidP="006461DA">
      <w:pPr>
        <w:spacing w:after="0" w:line="360" w:lineRule="auto"/>
        <w:ind w:left="567" w:right="616"/>
        <w:rPr>
          <w:rFonts w:eastAsia="Times New Roman" w:cs="Arial"/>
          <w:bCs/>
          <w:i/>
          <w:iCs/>
          <w:color w:val="auto"/>
          <w:sz w:val="20"/>
          <w:lang w:eastAsia="es-ES"/>
        </w:rPr>
      </w:pPr>
    </w:p>
    <w:p w14:paraId="0700236B" w14:textId="69803E6C" w:rsidR="0021028C"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Artículo 106. Reserva sobre la identidad </w:t>
      </w:r>
    </w:p>
    <w:p w14:paraId="4A46E0CB" w14:textId="37BDCA21" w:rsidR="00DD0B26" w:rsidRPr="00695B2C" w:rsidRDefault="00DD0B26" w:rsidP="006461DA">
      <w:pPr>
        <w:spacing w:after="0" w:line="360" w:lineRule="auto"/>
        <w:ind w:left="567" w:right="616"/>
        <w:rPr>
          <w:rFonts w:eastAsia="Times New Roman" w:cs="Arial"/>
          <w:b/>
          <w:i/>
          <w:iCs/>
          <w:color w:val="auto"/>
          <w:sz w:val="20"/>
          <w:lang w:eastAsia="es-ES"/>
        </w:rPr>
      </w:pPr>
      <w:r w:rsidRPr="00695B2C">
        <w:rPr>
          <w:rFonts w:eastAsia="Times New Roman" w:cs="Arial"/>
          <w:b/>
          <w:i/>
          <w:iCs/>
          <w:color w:val="auto"/>
          <w:sz w:val="20"/>
          <w:lang w:eastAsia="es-ES"/>
        </w:rPr>
        <w:lastRenderedPageBreak/>
        <w:t xml:space="preserve">En ningún caso se podrá hacer referencia o comunicar a terceros no legitimados la información confidencial relativa a los datos personales de los sujetos del procedimiento penal o de cualquier persona relacionada o mencionada en éste. </w:t>
      </w:r>
    </w:p>
    <w:p w14:paraId="1C2AA13E"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2A7884AB" w14:textId="4795E644" w:rsidR="00DD0B26" w:rsidRPr="00695B2C" w:rsidRDefault="00DD0B26" w:rsidP="006461DA">
      <w:pPr>
        <w:spacing w:after="0" w:line="360" w:lineRule="auto"/>
        <w:ind w:left="567" w:right="616"/>
        <w:rPr>
          <w:rFonts w:eastAsia="Times New Roman" w:cs="Arial"/>
          <w:b/>
          <w:i/>
          <w:iCs/>
          <w:color w:val="auto"/>
          <w:sz w:val="20"/>
          <w:lang w:eastAsia="es-ES"/>
        </w:rPr>
      </w:pPr>
      <w:r w:rsidRPr="00695B2C">
        <w:rPr>
          <w:rFonts w:eastAsia="Times New Roman" w:cs="Arial"/>
          <w:b/>
          <w:i/>
          <w:iCs/>
          <w:color w:val="auto"/>
          <w:sz w:val="20"/>
          <w:lang w:eastAsia="es-ES"/>
        </w:rPr>
        <w:t xml:space="preserve">Toda violación al deber de reserva por parte de los servidores </w:t>
      </w:r>
      <w:r w:rsidR="0021028C" w:rsidRPr="00695B2C">
        <w:rPr>
          <w:rFonts w:eastAsia="Times New Roman" w:cs="Arial"/>
          <w:b/>
          <w:i/>
          <w:iCs/>
          <w:color w:val="auto"/>
          <w:sz w:val="20"/>
          <w:lang w:eastAsia="es-ES"/>
        </w:rPr>
        <w:t>públicos</w:t>
      </w:r>
      <w:r w:rsidRPr="00695B2C">
        <w:rPr>
          <w:rFonts w:eastAsia="Times New Roman" w:cs="Arial"/>
          <w:b/>
          <w:i/>
          <w:iCs/>
          <w:color w:val="auto"/>
          <w:sz w:val="20"/>
          <w:lang w:eastAsia="es-ES"/>
        </w:rPr>
        <w:t xml:space="preserve"> será sancionada por la legislación aplicable. </w:t>
      </w:r>
    </w:p>
    <w:p w14:paraId="6C864FFD"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77B77BC4" w14:textId="77777777" w:rsidR="00DD0B26" w:rsidRPr="00695B2C" w:rsidRDefault="00DD0B26" w:rsidP="006461DA">
      <w:pPr>
        <w:spacing w:after="0" w:line="360" w:lineRule="auto"/>
        <w:ind w:left="567" w:right="616"/>
        <w:rPr>
          <w:rFonts w:eastAsia="Times New Roman" w:cs="Arial"/>
          <w:b/>
          <w:i/>
          <w:iCs/>
          <w:color w:val="auto"/>
          <w:sz w:val="20"/>
          <w:lang w:eastAsia="es-ES"/>
        </w:rPr>
      </w:pPr>
      <w:r w:rsidRPr="00695B2C">
        <w:rPr>
          <w:rFonts w:eastAsia="Times New Roman" w:cs="Arial"/>
          <w:b/>
          <w:i/>
          <w:iCs/>
          <w:color w:val="auto"/>
          <w:sz w:val="20"/>
          <w:lang w:eastAsia="es-ES"/>
        </w:rPr>
        <w:t xml:space="preserve">En los casos de personas sustraídas de la acción de la justicia, se admitirá la publicación de los datos que permitan la identificación del imputado para ejecutar la orden judicial de aprehensión o de comparecencia.” </w:t>
      </w:r>
    </w:p>
    <w:p w14:paraId="55140CE8"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7D40001C"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Así pues, como se advierte del marco normativo invocado, existen disposiciones legales expresas que determinan la reserva de lo información requerida, así como de lo identidad de los sujetos del procedimiento penal o de cualquier persona relacionada o mencionada en éste, pues como se observó de los numerales transcritos, durante el procedimiento penal, existen derechos que deben de ser respetados, tales como el derecho a lo intimidad y a la privacidad, por lo que en el caso de entregar la información solicitada, se verían vulnerados, pues se estarían revelando información que se encuentra dentro de un proceso penal en trámite; por lo tanto se reitera la imposibilidad de entregar la información solicitada. </w:t>
      </w:r>
    </w:p>
    <w:p w14:paraId="1B513E97"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16DAE99F"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Por su parte, el artículo 213 del referido Código Nacional dicta que la investigación tiene por objeto que el Ministerio Público reúna indicios para el esclarecimiento de los hechos y, en su caso, los datos de prueba para sustentar el ejercicio de la acción penal contra el imputado y la reparación del daño. </w:t>
      </w:r>
    </w:p>
    <w:p w14:paraId="6741262B"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49621C4F"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Así mismo, de acuerdo al artículo 218 del Código Nacional de Procedimientos Penales, se advierte que los registros de la investigación, así como todos los documentos, independientemente de su contenido o naturaleza, los objetos, los registros de voz e imágenes o cosas que le estén relacionados, son estrictamente reservados, por lo que únicamente la víctima u ofendido, su asesor jurídico, el imputado y su defensor (estos dos últimos cuando se haya dictado auto de vinculación a proceso, o </w:t>
      </w:r>
      <w:r w:rsidRPr="00695B2C">
        <w:rPr>
          <w:rFonts w:eastAsia="Times New Roman" w:cs="Arial"/>
          <w:bCs/>
          <w:i/>
          <w:iCs/>
          <w:color w:val="auto"/>
          <w:sz w:val="20"/>
          <w:lang w:eastAsia="es-ES"/>
        </w:rPr>
        <w:lastRenderedPageBreak/>
        <w:t xml:space="preserve">bien el imputado se encuentre detenido, sea citado para su comparecencia o sea sujeto a un acto de molestia y se pretenda recibir su entrevista), podrán tener acceso a los mismos, con las limitaciones previstas en el mismo código y demás disposiciones aplicables. En este sentido, la reserva de información debe entenderse en relación con personas ajenas a la investigación. </w:t>
      </w:r>
    </w:p>
    <w:p w14:paraId="53E4D0A0"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0C24605F"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De igual forma, dicho artículo señala que para efectos de acceso a la información pública gubernamental, el Ministerio Público únicamente deberá proporcionar una versión pública de las determinaciones de no ejercicio de la acción penal, archivo temporal o de aplicación de un criterio de oportunidad, siempre que haya transcurrido un plazo igual al de prescripción de los delitos de que se trate, de conformidad con lo dispuesto en el Código Penal Federal o estatal correspondiente, sin que pueda ser menor de tres años, ni mayor de doce años, contado a partir de que dicha determinación haya quedado firme. </w:t>
      </w:r>
    </w:p>
    <w:p w14:paraId="6A91D29C"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77498A0D"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En ese tenor, queda de manifiesto que el Código Nacional de Procedimientos Penales establece de forma precisa, los supuestos que rigen la tramitación de las carpetas de investigación; así como, los derechos de las partes en ellas involucradas para acceder a las mismas, así como la publicidad de estas, cuando cumplan los requisitos legales para su difusión.</w:t>
      </w:r>
    </w:p>
    <w:p w14:paraId="5B421DB1"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1279EAA4"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Por lo que corresponde al ámbito estatal, es preciso señalar lo establecido en los artículos 2 y 81, fracción V de la ley de Seguridad del Estado de México, establecen lo siguiente:</w:t>
      </w:r>
    </w:p>
    <w:p w14:paraId="6A2B5929"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1C0873F5"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“Artículo 2.- La seguridad pública es una función a cargo del Estado y los Municipios, que tiene como fines salvaguardar la integridad y derechos de las personas, así como preservar las libertades, el orden y la paz públicos y comprende la prevención especial y general de los delitos, la investigación para hacerla efectiva, así como la investigación y la persecución de los delitos, la reinserción social del individuo y la sanción de las infracciones administrativas, en las competencias respectivas en términos de esta Ley y demás ordenamientos jurídicos aplicables. </w:t>
      </w:r>
    </w:p>
    <w:p w14:paraId="0B552D5D"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5DB9F478"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lastRenderedPageBreak/>
        <w:t xml:space="preserve">Las acciones en el ejercicio de la función de seguridad pública tendrán como eje central a la persona humana y, por ende, contribuirán al establecimiento de la seguridad ciudadana, la cual tiene por objeto proteger a las personas; asegurar el ejercicio de su ciudadanía, sus libertades y derechos fundamentales; establecer espacios de participación social corresponsable y armónica; propiciar la solución pacífica de los conflictos interpersonales y sociales; fortalecer a las instituciones, y propiciar condiciones durables que permitan a los ciudadanos desarrollar sus capacidades, en un ambiente de paz y democracia. </w:t>
      </w:r>
    </w:p>
    <w:p w14:paraId="41E47576"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747B0FD9" w14:textId="5A0EB628"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Las referencias contenidas en esta Ley en materia de seguridad pública deberán interpretarse de manera que contribuyan al objeto y fines de la seguridad ciudadana.”</w:t>
      </w:r>
    </w:p>
    <w:p w14:paraId="301BEBD3"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3A32B806"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“Artículo 81.- Toda información para la seguridad pública generada o en poder de Instituciones de Seguridad Pública o de cualquier instancia del Sistema Estatal debe registrarse, clasificarse y tratarse de conformidad con las disposiciones aplicables. No </w:t>
      </w:r>
      <w:proofErr w:type="gramStart"/>
      <w:r w:rsidRPr="00695B2C">
        <w:rPr>
          <w:rFonts w:eastAsia="Times New Roman" w:cs="Arial"/>
          <w:bCs/>
          <w:i/>
          <w:iCs/>
          <w:color w:val="auto"/>
          <w:sz w:val="20"/>
          <w:lang w:eastAsia="es-ES"/>
        </w:rPr>
        <w:t>obstante</w:t>
      </w:r>
      <w:proofErr w:type="gramEnd"/>
      <w:r w:rsidRPr="00695B2C">
        <w:rPr>
          <w:rFonts w:eastAsia="Times New Roman" w:cs="Arial"/>
          <w:bCs/>
          <w:i/>
          <w:iCs/>
          <w:color w:val="auto"/>
          <w:sz w:val="20"/>
          <w:lang w:eastAsia="es-ES"/>
        </w:rPr>
        <w:t xml:space="preserve"> lo anterior, esta información se considerará reservada en los casos siguientes: </w:t>
      </w:r>
    </w:p>
    <w:p w14:paraId="46CA84C3"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 </w:t>
      </w:r>
    </w:p>
    <w:p w14:paraId="62540AB9"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V. La contenida en averiguaciones previas, carpetas de investigación, expedientes y demás archivos relativos a la investigación para la prevención y la investigación de los delitos y faltas administrativas, en términos de las disposiciones aplicables.” </w:t>
      </w:r>
    </w:p>
    <w:p w14:paraId="4D2C4BE6"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37689796"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Conforme a los artículos citados, se desprende que es reservada toda aquella información contenida en averiguaciones previas, carpetas de investigación, expedientes y demás archivos relativos a la investigación, sin omitir señalar, que este órgano autónomo forma parte de las autoridades estatales en materia de seguridad pública, de conformidad con el artículo 14, fracción IV de la Ley de Seguridad del Estado de México, mismo que establece lo siguiente: </w:t>
      </w:r>
    </w:p>
    <w:p w14:paraId="428C37F3"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184B32AE"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“Artículo 14.-Son autoridades estatales en materia de seguridad pública: … </w:t>
      </w:r>
    </w:p>
    <w:p w14:paraId="17E4090B"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IV. El Fiscal; y. </w:t>
      </w:r>
    </w:p>
    <w:p w14:paraId="223B9795"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 </w:t>
      </w:r>
    </w:p>
    <w:p w14:paraId="329C40F0"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lastRenderedPageBreak/>
        <w:t xml:space="preserve">Resulta preciso señalar, que esta Fiscalía General de Justicia es responsable de la investigación y del ejercicio de la acción penal a través de la institución del Ministerio Público, de acuerdo a lo señalado por los artículos 21 de la Constitución Política de los Estados Unidos Mexicanos; 81 y 83 de la Constitución Política del Estado Libre y Soberano de México, al cual le corresponde conducir la investigación, coordinar a las Policías y a los servicios periciales durante la investigación, resolver sobre el ejercicio de la acción penal en la forma establecida por la ley y, en su caso, ordenar las diligencias pertinentes y útiles para demostrar, o no, la existencia del delito y la responsabilidad de quien lo cometió o participó en su comisión. </w:t>
      </w:r>
    </w:p>
    <w:p w14:paraId="2F74094F"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1195F88A"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Así, la responsabilidad de investigar y perseguir los actos delictuosos debe asumirse por el Estado como una obligación propia y no como un mero trámite, ni su avance debe quedar a la gestión de los particulares afectados o de sus familiares, o de terceros completamente ajenos a la investigación correspondiente sino que realmente debe tratarse de una investigación seria, imparcial y efectiva, utilizando todos los medios legales disponibles que permitan la persecución, captura, enjuiciamiento y, en su caso, sanción a los responsables de los hechos, especialmente cuando están involucrados agentes estatales. Lo anterior, de conformidad con la siguiente Tesis Aislada:</w:t>
      </w:r>
    </w:p>
    <w:p w14:paraId="416C7BA2"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79CFC3D9"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Época: Novena Época, Registro: 163168, Instancia: Pleno, Tipo de Tesis: Aislada, Fuente: Semanario Judicial de la Federación y su Gaceta, Tomo XXXIII, </w:t>
      </w:r>
      <w:proofErr w:type="gramStart"/>
      <w:r w:rsidRPr="00695B2C">
        <w:rPr>
          <w:rFonts w:eastAsia="Times New Roman" w:cs="Arial"/>
          <w:bCs/>
          <w:i/>
          <w:iCs/>
          <w:color w:val="auto"/>
          <w:sz w:val="20"/>
          <w:lang w:eastAsia="es-ES"/>
        </w:rPr>
        <w:t>Enero</w:t>
      </w:r>
      <w:proofErr w:type="gramEnd"/>
      <w:r w:rsidRPr="00695B2C">
        <w:rPr>
          <w:rFonts w:eastAsia="Times New Roman" w:cs="Arial"/>
          <w:bCs/>
          <w:i/>
          <w:iCs/>
          <w:color w:val="auto"/>
          <w:sz w:val="20"/>
          <w:lang w:eastAsia="es-ES"/>
        </w:rPr>
        <w:t xml:space="preserve"> de 2011, Materia(s): Constitucional, Tesis: P. LXIII/2010, Página: 25 </w:t>
      </w:r>
    </w:p>
    <w:p w14:paraId="32995F68" w14:textId="77777777" w:rsidR="00DD0B26" w:rsidRPr="00695B2C" w:rsidRDefault="00DD0B26" w:rsidP="006461DA">
      <w:pPr>
        <w:spacing w:after="0" w:line="360" w:lineRule="auto"/>
        <w:ind w:left="567" w:right="616"/>
        <w:rPr>
          <w:rFonts w:eastAsia="Times New Roman" w:cs="Arial"/>
          <w:bCs/>
          <w:i/>
          <w:iCs/>
          <w:color w:val="auto"/>
          <w:sz w:val="20"/>
          <w:lang w:eastAsia="es-ES"/>
        </w:rPr>
      </w:pPr>
    </w:p>
    <w:p w14:paraId="40EDF11F" w14:textId="77777777" w:rsidR="00DD0B26" w:rsidRPr="00695B2C" w:rsidRDefault="00DD0B26"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DERECHO DE ACCESO A LA JUSTICIA. LA INVESTIGACIÓN Y PERSECUCIÓN DE LOS DELITOS CONSTITUYEN UNA OBLIGACIÓN PROPIA DEL ESTADO QUE DEBE REALIZARSE DE FORMA SERIA, EFICAZ Y EFECTIVA. El derecho de acceso a la justicia previsto en la Constitución Política de los Estados Unidos Mexicanos está referido a la función jurisdiccional desarrollada por los tribunales, pero también debe entenderse vinculado, particularmente en el caso de la justicia penal, con la investigación y persecución de los delitos, función asignada al Ministerio Público conforme a los artículos 21 y 102, apartado A, constitucionales, pues tal prerrogativa tiene como presupuesto lógico, en una relación de </w:t>
      </w:r>
      <w:r w:rsidRPr="00695B2C">
        <w:rPr>
          <w:rFonts w:eastAsia="Times New Roman" w:cs="Arial"/>
          <w:bCs/>
          <w:i/>
          <w:iCs/>
          <w:color w:val="auto"/>
          <w:sz w:val="20"/>
          <w:lang w:eastAsia="es-ES"/>
        </w:rPr>
        <w:lastRenderedPageBreak/>
        <w:t xml:space="preserve">interdependencia, la efectiva investigación de los delitos. Esta obligación de investigar y perseguir los actos delictuosos debe asumirse por el Estado como una obligación propia y no como un mero trámite, ni su avance debe quedar a la gestión de los particulares afectados o de sus familiares, sino que realmente debe tratarse de una investigación seria, imparcial y efectiva, utilizando todos los medios legales disponibles que permitan la persecución, captura, enjuiciamiento y, en su caso, sanción a los responsables de los hechos, especialmente cuando están involucrados agentes estatales. Ello es así, porque en el respeto a los derechos fundamentales, particularmente los relativos a la vida y a la integridad física, el Estado debe asumir una conducta activa y decidida para prevenir su vulneración, a través de las acciones legislativas, administrativas y judiciales necesarias, además de acometer lo necesario para que, en caso de ser vulnerados, las conductas respectivas puedan ser sancionadas. </w:t>
      </w:r>
    </w:p>
    <w:p w14:paraId="06988D3F" w14:textId="2F20178E" w:rsidR="00DD0B26" w:rsidRPr="00695B2C" w:rsidRDefault="00DD0B26" w:rsidP="006461DA">
      <w:pPr>
        <w:spacing w:after="0" w:line="360" w:lineRule="auto"/>
        <w:rPr>
          <w:rFonts w:cs="Tahoma"/>
          <w:b/>
          <w:bCs/>
          <w:highlight w:val="yellow"/>
        </w:rPr>
      </w:pPr>
    </w:p>
    <w:p w14:paraId="13F24CB0" w14:textId="282C24A6" w:rsidR="0021028C" w:rsidRPr="00695B2C" w:rsidRDefault="0021028C" w:rsidP="006461DA">
      <w:pPr>
        <w:spacing w:after="0" w:line="360" w:lineRule="auto"/>
        <w:rPr>
          <w:rFonts w:cs="Tahoma"/>
        </w:rPr>
      </w:pPr>
      <w:r w:rsidRPr="00695B2C">
        <w:rPr>
          <w:rFonts w:cs="Tahoma"/>
          <w:u w:val="single"/>
        </w:rPr>
        <w:t xml:space="preserve">Sobre la clasificación con fundamento en el artículo 15 del </w:t>
      </w:r>
      <w:r w:rsidR="00A22B88" w:rsidRPr="00695B2C">
        <w:rPr>
          <w:rFonts w:cs="Tahoma"/>
          <w:u w:val="single"/>
        </w:rPr>
        <w:t>Código Nacional de Procedimientos Penales</w:t>
      </w:r>
      <w:r w:rsidRPr="00695B2C">
        <w:rPr>
          <w:rFonts w:cs="Tahoma"/>
        </w:rPr>
        <w:t>, únicamente contempla la clasificación de datos personales y no así de la car</w:t>
      </w:r>
      <w:r w:rsidR="00C65529">
        <w:rPr>
          <w:rFonts w:cs="Tahoma"/>
        </w:rPr>
        <w:t>p</w:t>
      </w:r>
      <w:r w:rsidRPr="00695B2C">
        <w:rPr>
          <w:rFonts w:cs="Tahoma"/>
        </w:rPr>
        <w:t>eta.</w:t>
      </w:r>
      <w:r w:rsidR="00C65529">
        <w:rPr>
          <w:rFonts w:cs="Tahoma"/>
        </w:rPr>
        <w:t xml:space="preserve"> </w:t>
      </w:r>
      <w:r w:rsidRPr="00695B2C">
        <w:rPr>
          <w:rFonts w:cs="Tahoma"/>
          <w:u w:val="single"/>
        </w:rPr>
        <w:t>Sobre la clasificación con fundamento en el artículo 106</w:t>
      </w:r>
      <w:r w:rsidR="00A22B88" w:rsidRPr="00695B2C">
        <w:rPr>
          <w:rFonts w:cs="Tahoma"/>
          <w:u w:val="single"/>
        </w:rPr>
        <w:t xml:space="preserve"> del Código Nacional de Procedimientos Penales</w:t>
      </w:r>
      <w:r w:rsidR="00A22B88" w:rsidRPr="00695B2C">
        <w:rPr>
          <w:rFonts w:cs="Tahoma"/>
        </w:rPr>
        <w:t>, únicamente limita al conocimiento de terceros no autorizados información relativa a datos personales, lo que ya fue difundido incluso por la propia Fiscalía General de Justicia, como lo es el nombre, la dirección y demás datos personales del imputado y de las víctimas</w:t>
      </w:r>
      <w:r w:rsidR="00C65529">
        <w:rPr>
          <w:rFonts w:cs="Tahoma"/>
        </w:rPr>
        <w:t xml:space="preserve">, demás ello se refiere a la restricción de acceso como parte en la investigación y el proceso, que si bien, son reglas que se toman en cuenta en el ejercicio del derecho humano de acceso a la información, también se deben ver las excepciones que imponen las leyes de transparencia, que independientemente de que son de la misma jerarquía del Código, deben interpretarse a la luz del derecho humano, la máxima publicidad y el principio </w:t>
      </w:r>
      <w:proofErr w:type="spellStart"/>
      <w:r w:rsidR="00C65529">
        <w:rPr>
          <w:rFonts w:cs="Tahoma"/>
        </w:rPr>
        <w:t>pro</w:t>
      </w:r>
      <w:proofErr w:type="spellEnd"/>
      <w:r w:rsidR="00C65529">
        <w:rPr>
          <w:rFonts w:cs="Tahoma"/>
        </w:rPr>
        <w:t xml:space="preserve"> persona.</w:t>
      </w:r>
    </w:p>
    <w:p w14:paraId="78C43149" w14:textId="658BF378" w:rsidR="00A22B88" w:rsidRPr="00695B2C" w:rsidRDefault="00A22B88" w:rsidP="006461DA">
      <w:pPr>
        <w:spacing w:after="0" w:line="360" w:lineRule="auto"/>
        <w:rPr>
          <w:rFonts w:cs="Tahoma"/>
        </w:rPr>
      </w:pPr>
    </w:p>
    <w:p w14:paraId="7D49D322" w14:textId="3A0B3CBE" w:rsidR="00F076E7" w:rsidRPr="00695B2C" w:rsidRDefault="00A22B88" w:rsidP="006461DA">
      <w:pPr>
        <w:spacing w:after="0" w:line="360" w:lineRule="auto"/>
        <w:rPr>
          <w:rFonts w:cs="Tahoma"/>
          <w:b/>
          <w:bCs/>
        </w:rPr>
      </w:pPr>
      <w:r w:rsidRPr="00695B2C">
        <w:rPr>
          <w:rFonts w:cs="Tahoma"/>
          <w:u w:val="single"/>
        </w:rPr>
        <w:t xml:space="preserve">Sobre la clasificación con fundamento en el artículo 218 del Código Nacional de Procedimientos Penales. </w:t>
      </w:r>
      <w:r w:rsidRPr="00695B2C">
        <w:rPr>
          <w:rFonts w:cs="Tahoma"/>
        </w:rPr>
        <w:t xml:space="preserve">Contempla que los registros de la investigación, así como todos los documentos, independientemente de su contenido o naturaleza, los objetos, los registros de voz e imágenes o cosas que le estén relacionados, son estrictamente reservados, por lo que </w:t>
      </w:r>
      <w:r w:rsidRPr="00695B2C">
        <w:rPr>
          <w:rFonts w:cs="Tahoma"/>
        </w:rPr>
        <w:lastRenderedPageBreak/>
        <w:t>únicamente la víctima u ofendido, su asesor jurídico, el imputado y su defensor podrán tener acceso a los mismos, con las limitaciones previstas en el mismo código y demás disposiciones aplicables.</w:t>
      </w:r>
      <w:r w:rsidR="00F076E7" w:rsidRPr="00695B2C">
        <w:rPr>
          <w:rFonts w:cs="Tahoma"/>
        </w:rPr>
        <w:t xml:space="preserve"> </w:t>
      </w:r>
      <w:r w:rsidR="00F076E7" w:rsidRPr="00695B2C">
        <w:rPr>
          <w:rFonts w:cs="Tahoma"/>
          <w:b/>
          <w:bCs/>
        </w:rPr>
        <w:t>Este artículo efectivamente faculta a reservar, sin embargo, en este punto nos encontramos en una contraposición a la legislación especial en materia de Transparencia, por lo que, es necesario desarrollar la prueba de daño para determinar en su caso, sobre la procedencia de su reserva, pues nos encontramos en un supuesto de la existencia de una antinomia legal, pues por una parte, el Código Nacional de Procedimientos Penales, lo considera reservado, pero la Ley especializada en transparencia, contempla supuestos de reserva y supuestos en donde no se acredita la reserva.</w:t>
      </w:r>
      <w:r w:rsidR="00792ED7" w:rsidRPr="00695B2C">
        <w:rPr>
          <w:rFonts w:cs="Tahoma"/>
          <w:b/>
          <w:bCs/>
        </w:rPr>
        <w:t xml:space="preserve"> </w:t>
      </w:r>
      <w:r w:rsidR="00792ED7" w:rsidRPr="00695B2C">
        <w:rPr>
          <w:rFonts w:cs="Tahoma"/>
        </w:rPr>
        <w:t>No puede olvidarse que la información reservada bajo ningún supuesto puede hacerse a través de acuerdos generales, por lo que invocar un supuesto tan amplio de reserva, se contrapone de manera evidente al Sistema de Transparencia y a la Rendición de cuentas públicas.</w:t>
      </w:r>
    </w:p>
    <w:p w14:paraId="68E72D22" w14:textId="7F61FB78" w:rsidR="00F076E7" w:rsidRPr="00695B2C" w:rsidRDefault="00F076E7" w:rsidP="006461DA">
      <w:pPr>
        <w:spacing w:after="0" w:line="360" w:lineRule="auto"/>
        <w:rPr>
          <w:rFonts w:eastAsia="Times New Roman" w:cs="Arial"/>
          <w:bCs/>
          <w:i/>
          <w:iCs/>
          <w:color w:val="auto"/>
          <w:sz w:val="20"/>
          <w:lang w:eastAsia="es-ES"/>
        </w:rPr>
      </w:pPr>
    </w:p>
    <w:p w14:paraId="6CF91DAE" w14:textId="30E0A1FE" w:rsidR="00792ED7" w:rsidRPr="00695B2C" w:rsidRDefault="00792ED7" w:rsidP="006461DA">
      <w:pPr>
        <w:spacing w:after="0" w:line="360" w:lineRule="auto"/>
        <w:rPr>
          <w:rFonts w:cs="Tahoma"/>
        </w:rPr>
      </w:pPr>
      <w:r w:rsidRPr="00695B2C">
        <w:rPr>
          <w:rFonts w:cs="Tahoma"/>
          <w:u w:val="single"/>
        </w:rPr>
        <w:t>Sobre la clasificación con fundamento en el artículo 81</w:t>
      </w:r>
      <w:r w:rsidR="004A0C89" w:rsidRPr="00695B2C">
        <w:rPr>
          <w:rFonts w:cs="Tahoma"/>
          <w:u w:val="single"/>
        </w:rPr>
        <w:t>, fracción V</w:t>
      </w:r>
      <w:r w:rsidRPr="00695B2C">
        <w:rPr>
          <w:rFonts w:cs="Tahoma"/>
          <w:u w:val="single"/>
        </w:rPr>
        <w:t xml:space="preserve"> de la Ley de Seguridad Pública del Estado de México. </w:t>
      </w:r>
      <w:r w:rsidR="004A0C89" w:rsidRPr="00695B2C">
        <w:rPr>
          <w:rFonts w:cs="Tahoma"/>
        </w:rPr>
        <w:t>Considera como información reservada la contenida en averiguaciones previas, carpetas de investigación, expedientes y demás archivos relativos a la investigación para la prevención y la investigación de los delitos y faltas administrativas, en términos de las disposiciones aplicables; en este sentido, este presupuesto s</w:t>
      </w:r>
      <w:r w:rsidR="002603F0">
        <w:rPr>
          <w:rFonts w:cs="Tahoma"/>
        </w:rPr>
        <w:t>í</w:t>
      </w:r>
      <w:r w:rsidR="004A0C89" w:rsidRPr="00695B2C">
        <w:rPr>
          <w:rFonts w:cs="Tahoma"/>
        </w:rPr>
        <w:t xml:space="preserve"> remite a las disposiciones aplicable</w:t>
      </w:r>
      <w:r w:rsidR="002603F0">
        <w:rPr>
          <w:rFonts w:cs="Tahoma"/>
        </w:rPr>
        <w:t>s</w:t>
      </w:r>
      <w:r w:rsidR="004A0C89" w:rsidRPr="00695B2C">
        <w:rPr>
          <w:rFonts w:cs="Tahoma"/>
        </w:rPr>
        <w:t xml:space="preserve"> y por ello, no se considera como una causal procedente para la clasificación como reservada, pues esta, remite a las disposiciones aplicables, en las cuales contamos con las leyes general y local en materia de transparencia así como los lineamientos de clasificación ya referidos.</w:t>
      </w:r>
    </w:p>
    <w:p w14:paraId="6865C21C" w14:textId="3FB465E1" w:rsidR="00792ED7" w:rsidRPr="00695B2C" w:rsidRDefault="00792ED7" w:rsidP="006461DA">
      <w:pPr>
        <w:spacing w:after="0" w:line="360" w:lineRule="auto"/>
        <w:rPr>
          <w:rFonts w:eastAsia="Times New Roman" w:cs="Arial"/>
          <w:bCs/>
          <w:i/>
          <w:iCs/>
          <w:color w:val="auto"/>
          <w:sz w:val="20"/>
          <w:lang w:eastAsia="es-ES"/>
        </w:rPr>
      </w:pPr>
    </w:p>
    <w:p w14:paraId="5DC06C6B" w14:textId="1304827A" w:rsidR="00B0681C" w:rsidRPr="00695B2C" w:rsidRDefault="00B0681C" w:rsidP="006461DA">
      <w:pPr>
        <w:spacing w:after="0" w:line="360" w:lineRule="auto"/>
        <w:rPr>
          <w:rFonts w:cs="Tahoma"/>
        </w:rPr>
      </w:pPr>
      <w:r w:rsidRPr="00695B2C">
        <w:rPr>
          <w:rFonts w:cs="Tahoma"/>
        </w:rPr>
        <w:t>Esta fracción, debe correlacionarse al Lineamiento Trigésimo Segundo de los Lineamientos invocados y requiere acreditar, los siguiente:</w:t>
      </w:r>
    </w:p>
    <w:p w14:paraId="56F3B054" w14:textId="77777777" w:rsidR="00B0681C" w:rsidRPr="00695B2C" w:rsidRDefault="00B0681C" w:rsidP="006461DA">
      <w:pPr>
        <w:spacing w:after="0" w:line="360" w:lineRule="auto"/>
        <w:ind w:left="426" w:right="474"/>
        <w:rPr>
          <w:rFonts w:eastAsia="Times New Roman" w:cs="Arial"/>
          <w:bCs/>
          <w:i/>
          <w:iCs/>
          <w:color w:val="auto"/>
          <w:sz w:val="20"/>
          <w:lang w:eastAsia="es-ES"/>
        </w:rPr>
      </w:pPr>
    </w:p>
    <w:p w14:paraId="467C3942" w14:textId="0AB6F754" w:rsidR="00B0681C" w:rsidRPr="00695B2C" w:rsidRDefault="00B0681C"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lastRenderedPageBreak/>
        <w:t>Trigésimo segundo. De conformidad con el artículo 113, fracción XIII de la Ley General, podrá considerarse como información reservada, aquella que por disposición expresa de una ley o de un Tratado Internacional del que el Estado mexicano sea parte, le otorgue tal carácter siempre que no se contravenga</w:t>
      </w:r>
    </w:p>
    <w:p w14:paraId="26AD7FC8" w14:textId="77777777" w:rsidR="00B0681C" w:rsidRPr="00695B2C" w:rsidRDefault="00B0681C"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 xml:space="preserve">lo establecido en la Ley General. </w:t>
      </w:r>
    </w:p>
    <w:p w14:paraId="79A04870" w14:textId="77777777" w:rsidR="00B0681C" w:rsidRPr="00695B2C" w:rsidRDefault="00B0681C" w:rsidP="006461DA">
      <w:pPr>
        <w:spacing w:after="0" w:line="360" w:lineRule="auto"/>
        <w:ind w:left="426" w:right="474"/>
        <w:rPr>
          <w:rFonts w:eastAsia="Times New Roman" w:cs="Arial"/>
          <w:bCs/>
          <w:i/>
          <w:iCs/>
          <w:color w:val="auto"/>
          <w:sz w:val="20"/>
          <w:lang w:eastAsia="es-ES"/>
        </w:rPr>
      </w:pPr>
    </w:p>
    <w:p w14:paraId="00CA9173" w14:textId="41BB9050" w:rsidR="00B0681C" w:rsidRPr="00695B2C" w:rsidRDefault="00B0681C" w:rsidP="006461DA">
      <w:pPr>
        <w:spacing w:after="0" w:line="360" w:lineRule="auto"/>
        <w:ind w:left="426" w:right="474"/>
        <w:rPr>
          <w:rFonts w:eastAsia="Times New Roman" w:cs="Arial"/>
          <w:bCs/>
          <w:i/>
          <w:iCs/>
          <w:color w:val="auto"/>
          <w:sz w:val="20"/>
          <w:lang w:eastAsia="es-ES"/>
        </w:rPr>
      </w:pPr>
      <w:r w:rsidRPr="00695B2C">
        <w:rPr>
          <w:rFonts w:eastAsia="Times New Roman" w:cs="Arial"/>
          <w:bCs/>
          <w:i/>
          <w:iCs/>
          <w:color w:val="auto"/>
          <w:sz w:val="20"/>
          <w:lang w:eastAsia="es-ES"/>
        </w:rPr>
        <w:t>Para que se actualice este supuesto de reserva, los sujetos obligados deberán fundar y motivar la clasificación de la información, señalando de manera específica el supuesto normativo que expresamente le otorga ese carácter.</w:t>
      </w:r>
    </w:p>
    <w:p w14:paraId="62658870" w14:textId="2276EA5B" w:rsidR="00C934C1" w:rsidRPr="00695B2C" w:rsidRDefault="00C934C1" w:rsidP="006461DA">
      <w:pPr>
        <w:spacing w:after="0" w:line="360" w:lineRule="auto"/>
        <w:rPr>
          <w:rFonts w:cs="Tahoma"/>
        </w:rPr>
      </w:pPr>
    </w:p>
    <w:p w14:paraId="47096832" w14:textId="14FE04F1" w:rsidR="00B0681C" w:rsidRPr="00695B2C" w:rsidRDefault="00B0681C" w:rsidP="006461DA">
      <w:pPr>
        <w:spacing w:after="0" w:line="360" w:lineRule="auto"/>
        <w:rPr>
          <w:rFonts w:cs="Tahoma"/>
        </w:rPr>
      </w:pPr>
      <w:r w:rsidRPr="00695B2C">
        <w:rPr>
          <w:rFonts w:cs="Tahoma"/>
        </w:rPr>
        <w:t xml:space="preserve">Sobre esta fracción, el Sujeto Obligado invocó los presupuestos contemplados de la reserva </w:t>
      </w:r>
      <w:r w:rsidR="0093395C" w:rsidRPr="00695B2C">
        <w:rPr>
          <w:rFonts w:cs="Tahoma"/>
        </w:rPr>
        <w:t xml:space="preserve">de la información contemplada en los artículos </w:t>
      </w:r>
      <w:r w:rsidR="004A0C89" w:rsidRPr="00695B2C">
        <w:rPr>
          <w:rFonts w:cs="Tahoma"/>
        </w:rPr>
        <w:t xml:space="preserve">15, </w:t>
      </w:r>
      <w:r w:rsidR="0093395C" w:rsidRPr="00695B2C">
        <w:rPr>
          <w:rFonts w:cs="Tahoma"/>
        </w:rPr>
        <w:t xml:space="preserve">213 y 218 del Código Nacional de Procedimientos Penales, así como los artículos 2 y 81, fracción V de la Ley de Seguridad del Estado de México, es entonces que en apariencia, se encuentran reservadas por mandato de ley, sin embargo, se identifica la existencia de los presupuestos específicos en la Ley de Transparencia Vigente en la entidad, por lo que, del análisis sistemático e interpretación conforme, se debe atender al derecho más amplio </w:t>
      </w:r>
      <w:r w:rsidR="004A0C89" w:rsidRPr="00695B2C">
        <w:rPr>
          <w:rFonts w:cs="Tahoma"/>
        </w:rPr>
        <w:t xml:space="preserve">en atención a una interpretación conforme </w:t>
      </w:r>
      <w:r w:rsidR="0093395C" w:rsidRPr="00695B2C">
        <w:rPr>
          <w:rFonts w:cs="Tahoma"/>
        </w:rPr>
        <w:t>y por ello, considerar la procedencia de la entrega de la información.</w:t>
      </w:r>
    </w:p>
    <w:p w14:paraId="29D4EED9" w14:textId="192920BE" w:rsidR="00B0681C" w:rsidRPr="00695B2C" w:rsidRDefault="00B0681C" w:rsidP="006461DA">
      <w:pPr>
        <w:spacing w:after="0" w:line="360" w:lineRule="auto"/>
        <w:rPr>
          <w:rFonts w:cs="Tahoma"/>
          <w:highlight w:val="yellow"/>
        </w:rPr>
      </w:pPr>
    </w:p>
    <w:p w14:paraId="59D9DAF6" w14:textId="27859078" w:rsidR="004A0C89" w:rsidRPr="00695B2C" w:rsidRDefault="004A0C89" w:rsidP="006461DA">
      <w:pPr>
        <w:spacing w:after="0" w:line="360" w:lineRule="auto"/>
        <w:rPr>
          <w:rFonts w:cs="Tahoma"/>
        </w:rPr>
      </w:pPr>
      <w:r w:rsidRPr="00695B2C">
        <w:rPr>
          <w:rFonts w:cs="Tahoma"/>
        </w:rPr>
        <w:t>En este orden de ideas, la única que prevaleció, fue la causal contenida en el artículo 218 del Código Nacional de Procedimientos Penales, sin embargo, lo pertinente será desarrollar la prueba de daño y en su caso, el Riesgo Real, Demostrable e identificable, para determinar sobre su procedencia, pues no basta con que el Código lo contemple y menos aún, porque son supuestos que también contempla la Ley de Transparencia, tanto la local como la General.</w:t>
      </w:r>
    </w:p>
    <w:p w14:paraId="7623CA26" w14:textId="77777777" w:rsidR="004A0C89" w:rsidRPr="00695B2C" w:rsidRDefault="004A0C89" w:rsidP="006461DA">
      <w:pPr>
        <w:spacing w:after="0" w:line="360" w:lineRule="auto"/>
        <w:rPr>
          <w:rFonts w:cs="Tahoma"/>
        </w:rPr>
      </w:pPr>
    </w:p>
    <w:p w14:paraId="588FA1DE" w14:textId="70C7A281" w:rsidR="00447CAD" w:rsidRPr="00695B2C" w:rsidRDefault="0093395C" w:rsidP="006461DA">
      <w:pPr>
        <w:spacing w:after="0" w:line="360" w:lineRule="auto"/>
        <w:rPr>
          <w:rFonts w:cs="Tahoma"/>
        </w:rPr>
      </w:pPr>
      <w:r w:rsidRPr="00695B2C">
        <w:rPr>
          <w:rFonts w:cs="Tahoma"/>
        </w:rPr>
        <w:t>Ahora bien</w:t>
      </w:r>
      <w:r w:rsidR="00447CAD" w:rsidRPr="00695B2C">
        <w:rPr>
          <w:rFonts w:cs="Tahoma"/>
        </w:rPr>
        <w:t xml:space="preserve">, el Sujeto Obligado únicamente ser pronunció sobre las carpetas de investigación, sin embargo, </w:t>
      </w:r>
      <w:r w:rsidR="005873AB" w:rsidRPr="00695B2C">
        <w:rPr>
          <w:rFonts w:cs="Tahoma"/>
        </w:rPr>
        <w:t xml:space="preserve">el Particular </w:t>
      </w:r>
      <w:r w:rsidR="000805DB" w:rsidRPr="00695B2C">
        <w:rPr>
          <w:rFonts w:cs="Tahoma"/>
        </w:rPr>
        <w:t xml:space="preserve">requirió además de la carpeta de investigación, </w:t>
      </w:r>
      <w:r w:rsidR="005873AB" w:rsidRPr="00695B2C">
        <w:rPr>
          <w:rFonts w:cs="Tahoma"/>
        </w:rPr>
        <w:t>los expedientes formados y los juicios de amparo interpuestos</w:t>
      </w:r>
      <w:r w:rsidR="000805DB" w:rsidRPr="00695B2C">
        <w:rPr>
          <w:rFonts w:cs="Tahoma"/>
        </w:rPr>
        <w:t xml:space="preserve">, supuestos que no fueron desarrollados </w:t>
      </w:r>
      <w:r w:rsidR="00447CAD" w:rsidRPr="00695B2C">
        <w:rPr>
          <w:rFonts w:cs="Tahoma"/>
        </w:rPr>
        <w:t xml:space="preserve">en la </w:t>
      </w:r>
      <w:r w:rsidR="00447CAD" w:rsidRPr="00695B2C">
        <w:rPr>
          <w:rFonts w:cs="Tahoma"/>
        </w:rPr>
        <w:lastRenderedPageBreak/>
        <w:t>reserva de la información cuando se identifica que pueden obrar en sus archivos, estudio que deberá desarrollarse posterior a la reserva de las carpetas.</w:t>
      </w:r>
    </w:p>
    <w:p w14:paraId="41573439" w14:textId="77777777" w:rsidR="00447CAD" w:rsidRPr="00695B2C" w:rsidRDefault="00447CAD" w:rsidP="006461DA">
      <w:pPr>
        <w:spacing w:after="0" w:line="360" w:lineRule="auto"/>
        <w:rPr>
          <w:rFonts w:cs="Tahoma"/>
        </w:rPr>
      </w:pPr>
    </w:p>
    <w:p w14:paraId="49FDAB9A" w14:textId="2F4287C0" w:rsidR="00662F8A" w:rsidRPr="00695B2C" w:rsidRDefault="00447CAD" w:rsidP="006461DA">
      <w:pPr>
        <w:spacing w:after="0" w:line="360" w:lineRule="auto"/>
        <w:rPr>
          <w:rFonts w:cs="Tahoma"/>
        </w:rPr>
      </w:pPr>
      <w:r w:rsidRPr="00695B2C">
        <w:rPr>
          <w:rFonts w:cs="Tahoma"/>
        </w:rPr>
        <w:t xml:space="preserve">Es entonces que lo último que falta al respecto es identificar el desarrollo de la prueba de daño y en su caso, la demostración del riesgo real, demostrable e identificable </w:t>
      </w:r>
      <w:r w:rsidR="0093395C" w:rsidRPr="00695B2C">
        <w:rPr>
          <w:rFonts w:cs="Tahoma"/>
        </w:rPr>
        <w:t>n</w:t>
      </w:r>
      <w:r w:rsidR="00662F8A" w:rsidRPr="00695B2C">
        <w:rPr>
          <w:rFonts w:cs="Tahoma"/>
        </w:rPr>
        <w:t xml:space="preserve">o basta con clasificar la información invocando estas causales, sino que debe desarrollarse la prueba de daño, en términos de lo contemplado por el </w:t>
      </w:r>
      <w:r w:rsidR="008C3090" w:rsidRPr="00695B2C">
        <w:rPr>
          <w:rFonts w:cs="Tahoma"/>
        </w:rPr>
        <w:t>artículo 129</w:t>
      </w:r>
      <w:r w:rsidR="00662F8A" w:rsidRPr="00695B2C">
        <w:rPr>
          <w:rFonts w:cs="Tahoma"/>
        </w:rPr>
        <w:t xml:space="preserve"> de la Ley de Transparencia y Acceso a la Información Pública del Estado de México y Municipios, que contempla lo siguiente</w:t>
      </w:r>
      <w:r w:rsidR="00C97AF0" w:rsidRPr="00695B2C">
        <w:rPr>
          <w:rFonts w:cs="Tahoma"/>
        </w:rPr>
        <w:t>, en relación con el diverso 104 de la Ley General de Transparencia y Acceso a la Información pública, vinculado con el numeral Trigésimo tercero de los Lineamientos en materia de clasificación y desclasificación, que señalan:</w:t>
      </w:r>
    </w:p>
    <w:p w14:paraId="2F5F2BE0" w14:textId="42036FCD" w:rsidR="00662F8A" w:rsidRPr="00695B2C" w:rsidRDefault="00662F8A" w:rsidP="006461DA">
      <w:pPr>
        <w:spacing w:after="0" w:line="360" w:lineRule="auto"/>
        <w:ind w:left="426" w:right="474"/>
        <w:rPr>
          <w:rFonts w:eastAsia="Times New Roman" w:cs="Arial"/>
          <w:bCs/>
          <w:i/>
          <w:iCs/>
          <w:color w:val="auto"/>
          <w:sz w:val="20"/>
          <w:highlight w:val="yellow"/>
          <w:lang w:eastAsia="es-ES"/>
        </w:rPr>
      </w:pPr>
    </w:p>
    <w:p w14:paraId="18E4F666" w14:textId="2C5A8116" w:rsidR="00C97AF0" w:rsidRPr="00695B2C" w:rsidRDefault="00C97AF0" w:rsidP="006461DA">
      <w:pPr>
        <w:spacing w:after="0" w:line="360" w:lineRule="auto"/>
        <w:ind w:left="567" w:right="616"/>
        <w:rPr>
          <w:rFonts w:cs="Tahoma"/>
          <w:b/>
          <w:bCs/>
          <w:sz w:val="20"/>
          <w:szCs w:val="20"/>
        </w:rPr>
      </w:pPr>
      <w:r w:rsidRPr="00695B2C">
        <w:rPr>
          <w:rFonts w:cs="Tahoma"/>
          <w:b/>
          <w:bCs/>
          <w:sz w:val="20"/>
          <w:szCs w:val="20"/>
        </w:rPr>
        <w:t>Ley de Transparencia y Acceso a la Información Pública del Estado de México y Municipios.</w:t>
      </w:r>
    </w:p>
    <w:p w14:paraId="22FEADDA" w14:textId="6E91B829" w:rsidR="008C3090" w:rsidRPr="00695B2C" w:rsidRDefault="008C3090"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szCs w:val="20"/>
          <w:lang w:eastAsia="es-ES"/>
        </w:rPr>
        <w:t>Artículo 129. En la aplicación de la prueba de daño, el sujeto obligado deberá precisar las razones objetivas por las que la apertura</w:t>
      </w:r>
      <w:r w:rsidRPr="00695B2C">
        <w:rPr>
          <w:rFonts w:eastAsia="Times New Roman" w:cs="Arial"/>
          <w:bCs/>
          <w:i/>
          <w:iCs/>
          <w:color w:val="auto"/>
          <w:sz w:val="20"/>
          <w:lang w:eastAsia="es-ES"/>
        </w:rPr>
        <w:t xml:space="preserve"> de la información generaría una afectación, justificando que:</w:t>
      </w:r>
    </w:p>
    <w:p w14:paraId="745CB594" w14:textId="71A5A04B" w:rsidR="008C3090" w:rsidRPr="00695B2C" w:rsidRDefault="008C3090"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 La divulgación de la información representa un riesgo real, demostrable e identificable del perjuicio significativo al interés público o a la seguridad pública; </w:t>
      </w:r>
    </w:p>
    <w:p w14:paraId="15FB7192" w14:textId="6A732125" w:rsidR="008C3090" w:rsidRPr="00695B2C" w:rsidRDefault="008C3090"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II. El riesgo de perjuicio que supondría la divulgación supera el interés público general de que se difunda; y </w:t>
      </w:r>
    </w:p>
    <w:p w14:paraId="6C9602D7" w14:textId="7F8546AA" w:rsidR="008C3090" w:rsidRPr="00695B2C" w:rsidRDefault="008C3090"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 III. La limitación se adecua al principio de proporcionalidad y representa el medio menos restrictivo disponible representa el medio menos restrictivo disponible para evitar el perjuicio.</w:t>
      </w:r>
    </w:p>
    <w:p w14:paraId="36F4D5AE" w14:textId="69B639AB" w:rsidR="00C97AF0" w:rsidRPr="00695B2C" w:rsidRDefault="00C97AF0" w:rsidP="006461DA">
      <w:pPr>
        <w:spacing w:after="0" w:line="360" w:lineRule="auto"/>
        <w:ind w:left="567" w:right="616"/>
        <w:rPr>
          <w:rFonts w:eastAsia="Times New Roman" w:cs="Arial"/>
          <w:bCs/>
          <w:i/>
          <w:iCs/>
          <w:color w:val="auto"/>
          <w:sz w:val="20"/>
          <w:lang w:eastAsia="es-ES"/>
        </w:rPr>
      </w:pPr>
    </w:p>
    <w:p w14:paraId="0ECF3D93" w14:textId="47A77748" w:rsidR="00C97AF0" w:rsidRPr="00695B2C" w:rsidRDefault="00C97AF0" w:rsidP="006461DA">
      <w:pPr>
        <w:spacing w:after="0" w:line="360" w:lineRule="auto"/>
        <w:ind w:left="567" w:right="616"/>
        <w:rPr>
          <w:rFonts w:cs="Tahoma"/>
          <w:b/>
          <w:bCs/>
          <w:sz w:val="20"/>
          <w:szCs w:val="20"/>
        </w:rPr>
      </w:pPr>
      <w:r w:rsidRPr="00695B2C">
        <w:rPr>
          <w:rFonts w:cs="Tahoma"/>
          <w:b/>
          <w:bCs/>
          <w:sz w:val="20"/>
          <w:szCs w:val="20"/>
        </w:rPr>
        <w:t>Ley General de Transparencia y Acceso a la Información Pública:</w:t>
      </w:r>
    </w:p>
    <w:p w14:paraId="4F5AF0F6" w14:textId="77777777" w:rsidR="008335DB" w:rsidRPr="00695B2C" w:rsidRDefault="008335DB"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Artículo 104. En la aplicación de la prueba de daño, el sujeto obligado deberá justificar que:</w:t>
      </w:r>
    </w:p>
    <w:p w14:paraId="34CDBB17" w14:textId="449498C8" w:rsidR="008335DB" w:rsidRPr="00695B2C" w:rsidRDefault="008335DB"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I. La divulgación de la información representa un riesgo real, demostrable e identificable de perjuicio significativo al interés público o a la seguridad nacional;</w:t>
      </w:r>
    </w:p>
    <w:p w14:paraId="6050DB0C" w14:textId="201B2335" w:rsidR="008335DB" w:rsidRPr="00695B2C" w:rsidRDefault="008335DB"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lastRenderedPageBreak/>
        <w:t>II. El riesgo de perjuicio que supondría la divulgación supera el interés público general de que se difunda, y</w:t>
      </w:r>
    </w:p>
    <w:p w14:paraId="4C225DD4" w14:textId="77777777" w:rsidR="008335DB" w:rsidRPr="00695B2C" w:rsidRDefault="008335DB" w:rsidP="006461DA">
      <w:pPr>
        <w:spacing w:after="0" w:line="360" w:lineRule="auto"/>
        <w:ind w:left="567" w:right="616"/>
        <w:rPr>
          <w:rFonts w:eastAsia="Times New Roman" w:cs="Arial"/>
          <w:bCs/>
          <w:i/>
          <w:iCs/>
          <w:color w:val="auto"/>
          <w:sz w:val="20"/>
          <w:lang w:eastAsia="es-ES"/>
        </w:rPr>
      </w:pPr>
    </w:p>
    <w:p w14:paraId="02DFFD7F" w14:textId="77777777" w:rsidR="008335DB" w:rsidRPr="00695B2C" w:rsidRDefault="008335DB"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III. La limitación se adecua al principio de proporcionalidad y representa el medio menos restrictivo disponible para evitar el perjuicio.</w:t>
      </w:r>
    </w:p>
    <w:p w14:paraId="7E97D1BB" w14:textId="7D12E7CA" w:rsidR="00C97AF0" w:rsidRPr="00695B2C" w:rsidRDefault="00C97AF0" w:rsidP="006461DA">
      <w:pPr>
        <w:spacing w:after="0" w:line="360" w:lineRule="auto"/>
        <w:ind w:left="567" w:right="616"/>
        <w:rPr>
          <w:rFonts w:eastAsia="Times New Roman" w:cs="Arial"/>
          <w:bCs/>
          <w:i/>
          <w:iCs/>
          <w:color w:val="auto"/>
          <w:sz w:val="20"/>
          <w:lang w:eastAsia="es-ES"/>
        </w:rPr>
      </w:pPr>
    </w:p>
    <w:p w14:paraId="3ED16EAA" w14:textId="77777777" w:rsidR="008335DB" w:rsidRPr="00695B2C" w:rsidRDefault="008335DB" w:rsidP="006461DA">
      <w:pPr>
        <w:spacing w:after="0" w:line="360" w:lineRule="auto"/>
        <w:ind w:left="567" w:right="616"/>
        <w:rPr>
          <w:rFonts w:cs="Tahoma"/>
          <w:b/>
          <w:bCs/>
          <w:sz w:val="20"/>
          <w:szCs w:val="20"/>
        </w:rPr>
      </w:pPr>
      <w:r w:rsidRPr="00695B2C">
        <w:rPr>
          <w:rFonts w:cs="Tahoma"/>
          <w:b/>
          <w:bCs/>
          <w:sz w:val="20"/>
          <w:szCs w:val="20"/>
        </w:rPr>
        <w:t xml:space="preserve">Lineamientos Generales en Materia de Clasificación y Desclasificación de </w:t>
      </w:r>
    </w:p>
    <w:p w14:paraId="038F46FA" w14:textId="77777777" w:rsidR="008335DB" w:rsidRPr="00695B2C" w:rsidRDefault="008335DB" w:rsidP="006461DA">
      <w:pPr>
        <w:spacing w:after="0" w:line="360" w:lineRule="auto"/>
        <w:ind w:left="567" w:right="616"/>
        <w:rPr>
          <w:rFonts w:cs="Tahoma"/>
          <w:b/>
          <w:bCs/>
          <w:sz w:val="20"/>
          <w:szCs w:val="20"/>
        </w:rPr>
      </w:pPr>
      <w:r w:rsidRPr="00695B2C">
        <w:rPr>
          <w:rFonts w:cs="Tahoma"/>
          <w:b/>
          <w:bCs/>
          <w:sz w:val="20"/>
          <w:szCs w:val="20"/>
        </w:rPr>
        <w:t>la Información, así como para la Elaboración de Versiones Públicas</w:t>
      </w:r>
    </w:p>
    <w:p w14:paraId="66019D87" w14:textId="5A177295" w:rsidR="008335DB" w:rsidRPr="00695B2C" w:rsidRDefault="008335DB"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Trigésimo tercero. Para la aplicación de la prueba de daño a la que hace referencia el artículo 104 de la Ley General, los sujetos obligados atenderán lo siguiente: </w:t>
      </w:r>
    </w:p>
    <w:p w14:paraId="75C0C595" w14:textId="50337A26" w:rsidR="008335DB" w:rsidRPr="00695B2C" w:rsidRDefault="008335DB"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 Se deberá citar la fracción y, en su caso, la causal aplicable del artículo 113 de la Ley General, vinculándola con el Lineamiento específico del presente ordenamiento y, cuando corresponda, el supuesto normativo que expresamente le otorga el carácter de información reservada; </w:t>
      </w:r>
    </w:p>
    <w:p w14:paraId="613CB2A4" w14:textId="17DD69FB" w:rsidR="008335DB" w:rsidRPr="00695B2C" w:rsidRDefault="008335DB"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II. Mediante la ponderación de los intereses en conflicto, los sujetos obligados deberán demostrar que la publicidad de la información solicitada generaría un riesgo de perjuicio y, por lo tanto, tendrán que acreditar que este último rebasa el interés público protegido por la reserva; </w:t>
      </w:r>
    </w:p>
    <w:p w14:paraId="7BA4B929" w14:textId="2504383F" w:rsidR="008335DB" w:rsidRPr="00695B2C" w:rsidRDefault="008335DB"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III. Se debe de acreditar el vínculo entre la difusión de la información y la afectación del interés jurídico tutelado de que se trate; </w:t>
      </w:r>
    </w:p>
    <w:p w14:paraId="7AA99F72" w14:textId="527F980D" w:rsidR="008335DB" w:rsidRPr="00695B2C" w:rsidRDefault="008335DB"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IV. Precisar las razones objetivas por las que la apertura de la información generaría una afectación, a través de los elementos de un riesgo real, demostrable e identificable; </w:t>
      </w:r>
    </w:p>
    <w:p w14:paraId="1570B1BE" w14:textId="01CAFA21" w:rsidR="008335DB" w:rsidRPr="00695B2C" w:rsidRDefault="008335DB"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 xml:space="preserve">V. En la motivación de la clasificación, el sujeto obligado deberá acreditar las circunstancias de modo, tiempo y lugar del daño, y </w:t>
      </w:r>
    </w:p>
    <w:p w14:paraId="2CCD586A" w14:textId="4EB7D27D" w:rsidR="008C3090" w:rsidRPr="00695B2C" w:rsidRDefault="008335DB" w:rsidP="006461DA">
      <w:pPr>
        <w:spacing w:after="0" w:line="360" w:lineRule="auto"/>
        <w:ind w:left="567" w:right="616"/>
        <w:rPr>
          <w:rFonts w:eastAsia="Times New Roman" w:cs="Arial"/>
          <w:bCs/>
          <w:i/>
          <w:iCs/>
          <w:color w:val="auto"/>
          <w:sz w:val="20"/>
          <w:lang w:eastAsia="es-ES"/>
        </w:rPr>
      </w:pPr>
      <w:r w:rsidRPr="00695B2C">
        <w:rPr>
          <w:rFonts w:eastAsia="Times New Roman" w:cs="Arial"/>
          <w:bCs/>
          <w:i/>
          <w:iCs/>
          <w:color w:val="auto"/>
          <w:sz w:val="20"/>
          <w:lang w:eastAsia="es-ES"/>
        </w:rPr>
        <w:t>VI. Deberán elegir la opción de excepción al acceso a la información que menos lo restrinja, la cual será adecuada y proporcional para la protección del interés público, y deberá interferir lo menos posible en el ejercicio efectivo del derecho de acceso a la información.</w:t>
      </w:r>
    </w:p>
    <w:p w14:paraId="3AA5EDED" w14:textId="77777777" w:rsidR="008335DB" w:rsidRPr="00695B2C" w:rsidRDefault="008335DB" w:rsidP="006461DA">
      <w:pPr>
        <w:spacing w:after="0" w:line="360" w:lineRule="auto"/>
        <w:rPr>
          <w:rFonts w:cs="Tahoma"/>
          <w:highlight w:val="yellow"/>
        </w:rPr>
      </w:pPr>
    </w:p>
    <w:p w14:paraId="787EE4B9" w14:textId="4036F00B" w:rsidR="008C3090" w:rsidRPr="00E60EDE" w:rsidRDefault="00C65529" w:rsidP="006461DA">
      <w:pPr>
        <w:spacing w:after="0" w:line="360" w:lineRule="auto"/>
        <w:rPr>
          <w:rFonts w:cs="Tahoma"/>
        </w:rPr>
      </w:pPr>
      <w:r>
        <w:rPr>
          <w:rFonts w:cs="Tahoma"/>
        </w:rPr>
        <w:t>A</w:t>
      </w:r>
      <w:r w:rsidR="008335DB" w:rsidRPr="00E60EDE">
        <w:rPr>
          <w:rFonts w:cs="Tahoma"/>
        </w:rPr>
        <w:t xml:space="preserve">l desarrollar </w:t>
      </w:r>
      <w:r w:rsidR="002603F0" w:rsidRPr="00E60EDE">
        <w:rPr>
          <w:rFonts w:cs="Tahoma"/>
        </w:rPr>
        <w:t xml:space="preserve">los elementos requeridos por </w:t>
      </w:r>
      <w:r w:rsidR="008335DB" w:rsidRPr="00E60EDE">
        <w:rPr>
          <w:rFonts w:cs="Tahoma"/>
        </w:rPr>
        <w:t>el lineamiento trigésimo tercero, se atiende a los artículos 129 de la Ley Local de Transparencia y 104 de la Ley General en la materia, supuesto que desarrolló la Fiscalía, al tenor de lo siguiente:</w:t>
      </w:r>
    </w:p>
    <w:p w14:paraId="7A2352D7" w14:textId="382DEDB4" w:rsidR="008335DB" w:rsidRPr="00E60EDE" w:rsidRDefault="008335DB" w:rsidP="006461DA">
      <w:pPr>
        <w:spacing w:after="0" w:line="360" w:lineRule="auto"/>
        <w:rPr>
          <w:rFonts w:cs="Tahoma"/>
        </w:rPr>
      </w:pPr>
    </w:p>
    <w:p w14:paraId="5303A2BA" w14:textId="3A57867D" w:rsidR="008335DB" w:rsidRPr="00E60EDE" w:rsidRDefault="008335DB" w:rsidP="006461DA">
      <w:pPr>
        <w:spacing w:after="0" w:line="360" w:lineRule="auto"/>
        <w:ind w:left="567" w:right="616"/>
        <w:rPr>
          <w:rFonts w:eastAsia="Times New Roman" w:cs="Arial"/>
          <w:b/>
          <w:i/>
          <w:iCs/>
          <w:color w:val="auto"/>
          <w:sz w:val="20"/>
          <w:lang w:eastAsia="es-ES"/>
        </w:rPr>
      </w:pPr>
      <w:r w:rsidRPr="00E60EDE">
        <w:rPr>
          <w:rFonts w:eastAsia="Times New Roman" w:cs="Arial"/>
          <w:b/>
          <w:i/>
          <w:iCs/>
          <w:color w:val="auto"/>
          <w:sz w:val="20"/>
          <w:lang w:eastAsia="es-ES"/>
        </w:rPr>
        <w:t>I. Se deberá citar la fracción y, en su caso, la causal aplicable del artículo 113 de la Ley General, vinculándola con el Lineamiento específico del presente ordenamiento y, cuando corresponda, el supuesto normativo que expresamente le otorga el carácter de información reservada</w:t>
      </w:r>
    </w:p>
    <w:p w14:paraId="72CE341F" w14:textId="64A521DC" w:rsidR="008335DB" w:rsidRPr="00E60EDE" w:rsidRDefault="008335DB" w:rsidP="006461DA">
      <w:pPr>
        <w:spacing w:after="0" w:line="360" w:lineRule="auto"/>
        <w:ind w:left="567" w:right="616"/>
        <w:rPr>
          <w:rFonts w:eastAsia="Times New Roman" w:cs="Arial"/>
          <w:bCs/>
          <w:i/>
          <w:iCs/>
          <w:color w:val="auto"/>
          <w:sz w:val="20"/>
          <w:lang w:eastAsia="es-ES"/>
        </w:rPr>
      </w:pPr>
      <w:r w:rsidRPr="00E60EDE">
        <w:rPr>
          <w:rFonts w:eastAsia="Times New Roman" w:cs="Arial"/>
          <w:bCs/>
          <w:i/>
          <w:iCs/>
          <w:color w:val="auto"/>
          <w:sz w:val="20"/>
          <w:lang w:eastAsia="es-ES"/>
        </w:rPr>
        <w:t>Los artículos 6°, 16 y 20, apartado C, inciso V, de la Constitución Federal establecen el derecho a la protección de datos personales; el artículo 20, apartado B, inciso VI constitucional prevé que en las investigaciones abiertas se mantenga una reserva de actuaciones, así como el deber del Ministerio Público de mantener sigilo; y el artículo 20, apartado C, inciso V, párrafo segundo de la norma suprema obliga al Ministerio Público a garantizar la protección de las personas que intervengan en el proceso penal, particularmente la víctima, el ofendido y los testigos. Los derechos previstos en los artículos constitucionales mencionados y los deberes que éstos imponen al Ministerio Público revelan que la tutela de las investigaciones abiertas y la seguridad de las personas son cuestiones de orden público, que justifican la</w:t>
      </w:r>
      <w:r w:rsidR="00DC5DA1"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restricción a la información solicitada.</w:t>
      </w:r>
    </w:p>
    <w:p w14:paraId="6BB274A2" w14:textId="77777777" w:rsidR="008335DB" w:rsidRPr="00E60EDE" w:rsidRDefault="008335DB" w:rsidP="006461DA">
      <w:pPr>
        <w:spacing w:after="0" w:line="360" w:lineRule="auto"/>
        <w:ind w:left="567" w:right="616"/>
        <w:rPr>
          <w:rFonts w:eastAsia="Times New Roman" w:cs="Arial"/>
          <w:bCs/>
          <w:i/>
          <w:iCs/>
          <w:color w:val="auto"/>
          <w:sz w:val="20"/>
          <w:lang w:eastAsia="es-ES"/>
        </w:rPr>
      </w:pPr>
      <w:r w:rsidRPr="00E60EDE">
        <w:rPr>
          <w:rFonts w:eastAsia="Times New Roman" w:cs="Arial"/>
          <w:bCs/>
          <w:i/>
          <w:iCs/>
          <w:color w:val="auto"/>
          <w:sz w:val="20"/>
          <w:lang w:eastAsia="es-ES"/>
        </w:rPr>
        <w:t xml:space="preserve"> </w:t>
      </w:r>
    </w:p>
    <w:p w14:paraId="33AE435D" w14:textId="213BA410" w:rsidR="008335DB" w:rsidRPr="00E60EDE" w:rsidRDefault="008335DB" w:rsidP="006461DA">
      <w:pPr>
        <w:spacing w:after="0" w:line="360" w:lineRule="auto"/>
        <w:ind w:left="567" w:right="616"/>
        <w:rPr>
          <w:rFonts w:eastAsia="Times New Roman" w:cs="Arial"/>
          <w:bCs/>
          <w:i/>
          <w:iCs/>
          <w:color w:val="auto"/>
          <w:sz w:val="20"/>
          <w:lang w:eastAsia="es-ES"/>
        </w:rPr>
      </w:pPr>
      <w:r w:rsidRPr="00E60EDE">
        <w:rPr>
          <w:rFonts w:eastAsia="Times New Roman" w:cs="Arial"/>
          <w:bCs/>
          <w:i/>
          <w:iCs/>
          <w:color w:val="auto"/>
          <w:sz w:val="20"/>
          <w:lang w:eastAsia="es-ES"/>
        </w:rPr>
        <w:t xml:space="preserve">En tal virtud, el artículo 218 del Código Nacional de Procedimientos Penales, señala que </w:t>
      </w:r>
      <w:r w:rsidR="00DC5DA1" w:rsidRPr="00E60EDE">
        <w:rPr>
          <w:rFonts w:eastAsia="Times New Roman" w:cs="Arial"/>
          <w:bCs/>
          <w:i/>
          <w:iCs/>
          <w:color w:val="auto"/>
          <w:sz w:val="20"/>
          <w:lang w:eastAsia="es-ES"/>
        </w:rPr>
        <w:t>los registros</w:t>
      </w:r>
      <w:r w:rsidRPr="00E60EDE">
        <w:rPr>
          <w:rFonts w:eastAsia="Times New Roman" w:cs="Arial"/>
          <w:bCs/>
          <w:i/>
          <w:iCs/>
          <w:color w:val="auto"/>
          <w:sz w:val="20"/>
          <w:lang w:eastAsia="es-ES"/>
        </w:rPr>
        <w:t xml:space="preserve"> de la investigación,</w:t>
      </w:r>
      <w:r w:rsidR="00DC5DA1"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así como todos los documentos, independientemente de su contenido o naturaleza, los objetos, los registros de voz e</w:t>
      </w:r>
      <w:r w:rsidR="00DC5DA1"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imágenes o cosas que le estén relacionados, son estrictamente reservados, por lo que únicamente las partes, podrán</w:t>
      </w:r>
      <w:r w:rsidR="00DC5DA1"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tener acceso a los mismos.</w:t>
      </w:r>
    </w:p>
    <w:p w14:paraId="3F5B1BC1" w14:textId="77777777" w:rsidR="008335DB" w:rsidRPr="00E60EDE" w:rsidRDefault="008335DB" w:rsidP="006461DA">
      <w:pPr>
        <w:spacing w:after="0" w:line="360" w:lineRule="auto"/>
        <w:ind w:left="567" w:right="616"/>
        <w:rPr>
          <w:rFonts w:eastAsia="Times New Roman" w:cs="Arial"/>
          <w:bCs/>
          <w:i/>
          <w:iCs/>
          <w:color w:val="auto"/>
          <w:sz w:val="20"/>
          <w:lang w:eastAsia="es-ES"/>
        </w:rPr>
      </w:pPr>
    </w:p>
    <w:p w14:paraId="19166DD5" w14:textId="384B1BAA" w:rsidR="008335DB" w:rsidRPr="00E60EDE" w:rsidRDefault="008335DB" w:rsidP="006461DA">
      <w:pPr>
        <w:spacing w:after="0" w:line="360" w:lineRule="auto"/>
        <w:ind w:left="567" w:right="616"/>
        <w:rPr>
          <w:rFonts w:eastAsia="Times New Roman" w:cs="Arial"/>
          <w:bCs/>
          <w:i/>
          <w:iCs/>
          <w:color w:val="auto"/>
          <w:sz w:val="20"/>
          <w:lang w:eastAsia="es-ES"/>
        </w:rPr>
      </w:pPr>
      <w:r w:rsidRPr="00E60EDE">
        <w:rPr>
          <w:rFonts w:eastAsia="Times New Roman" w:cs="Arial"/>
          <w:bCs/>
          <w:i/>
          <w:iCs/>
          <w:color w:val="auto"/>
          <w:sz w:val="20"/>
          <w:lang w:eastAsia="es-ES"/>
        </w:rPr>
        <w:t>En suma las fracciones VI, IX y XI del artículo 140 de la Ley de Transparencia del Estado de México, en relación con el</w:t>
      </w:r>
      <w:r w:rsidR="00DC5DA1"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numeral Vigésimo Sexto de los Lineamientos en Materia de Clasificación, señalan que el acceso a la información pública</w:t>
      </w:r>
      <w:r w:rsidR="00DC5DA1"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será restringida cuando su divulgación pueda causar daño u obstruya la prevención o persecución de los delitos, altere</w:t>
      </w:r>
      <w:r w:rsidR="00DC5DA1"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el proceso de investigación de las carpetas de investigación, afecte o vulnere la conducción o los derechos del debido</w:t>
      </w:r>
      <w:r w:rsidR="00DC5DA1"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proceso, se encuentre contenida dentro de las investigaciones de hechos que la Ley señale como delitos y se tramiten</w:t>
      </w:r>
      <w:r w:rsidR="00DC5DA1"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ante el Ministerio Público, así como aquellas que por disposición  expresa de una ley tengan tal carácter.</w:t>
      </w:r>
    </w:p>
    <w:p w14:paraId="34710F0B" w14:textId="77777777" w:rsidR="00DC5DA1" w:rsidRPr="00E60EDE" w:rsidRDefault="00DC5DA1" w:rsidP="006461DA">
      <w:pPr>
        <w:spacing w:after="0" w:line="360" w:lineRule="auto"/>
        <w:ind w:left="567" w:right="616"/>
        <w:rPr>
          <w:rFonts w:eastAsia="Times New Roman" w:cs="Arial"/>
          <w:bCs/>
          <w:i/>
          <w:iCs/>
          <w:color w:val="auto"/>
          <w:sz w:val="20"/>
          <w:lang w:eastAsia="es-ES"/>
        </w:rPr>
      </w:pPr>
    </w:p>
    <w:p w14:paraId="29CCFA93" w14:textId="1BD1AF06" w:rsidR="00DC5DA1" w:rsidRPr="00E60EDE" w:rsidRDefault="00DC5DA1" w:rsidP="006461DA">
      <w:pPr>
        <w:spacing w:after="0" w:line="360" w:lineRule="auto"/>
        <w:ind w:left="567" w:right="616"/>
        <w:rPr>
          <w:rFonts w:eastAsia="Times New Roman" w:cs="Arial"/>
          <w:bCs/>
          <w:i/>
          <w:iCs/>
          <w:color w:val="auto"/>
          <w:sz w:val="20"/>
          <w:lang w:eastAsia="es-ES"/>
        </w:rPr>
      </w:pPr>
      <w:r w:rsidRPr="00E60EDE">
        <w:rPr>
          <w:rFonts w:eastAsia="Times New Roman" w:cs="Arial"/>
          <w:b/>
          <w:i/>
          <w:iCs/>
          <w:color w:val="auto"/>
          <w:sz w:val="20"/>
          <w:lang w:eastAsia="es-ES"/>
        </w:rPr>
        <w:lastRenderedPageBreak/>
        <w:t xml:space="preserve">II. Mediante la ponderación de los intereses en conflicto, los sujetos obligados deberán demostrar que la publicidad de la información solicitada generaría un riesgo de perjuicio </w:t>
      </w:r>
      <w:r w:rsidR="00EE476D" w:rsidRPr="00E60EDE">
        <w:rPr>
          <w:rFonts w:eastAsia="Times New Roman" w:cs="Arial"/>
          <w:b/>
          <w:i/>
          <w:iCs/>
          <w:color w:val="auto"/>
          <w:sz w:val="20"/>
          <w:lang w:eastAsia="es-ES"/>
        </w:rPr>
        <w:t>y,</w:t>
      </w:r>
      <w:r w:rsidRPr="00E60EDE">
        <w:rPr>
          <w:rFonts w:eastAsia="Times New Roman" w:cs="Arial"/>
          <w:b/>
          <w:i/>
          <w:iCs/>
          <w:color w:val="auto"/>
          <w:sz w:val="20"/>
          <w:lang w:eastAsia="es-ES"/>
        </w:rPr>
        <w:t xml:space="preserve"> por lo tanto, tendrán que acreditar que este último rebasa el interés público protegido por la reserva</w:t>
      </w:r>
      <w:r w:rsidRPr="00E60EDE">
        <w:rPr>
          <w:rFonts w:cs="Franklin Gothic Book"/>
          <w:color w:val="000000"/>
          <w:sz w:val="16"/>
          <w:szCs w:val="16"/>
        </w:rPr>
        <w:t>;</w:t>
      </w:r>
    </w:p>
    <w:p w14:paraId="2CD286B0" w14:textId="2511A503" w:rsidR="00DC5DA1" w:rsidRPr="00E60EDE" w:rsidRDefault="00DC5DA1" w:rsidP="006461DA">
      <w:pPr>
        <w:spacing w:after="0" w:line="360" w:lineRule="auto"/>
        <w:ind w:left="567" w:right="616"/>
        <w:rPr>
          <w:rFonts w:eastAsia="Times New Roman" w:cs="Arial"/>
          <w:bCs/>
          <w:i/>
          <w:iCs/>
          <w:color w:val="auto"/>
          <w:sz w:val="20"/>
          <w:lang w:eastAsia="es-ES"/>
        </w:rPr>
      </w:pPr>
      <w:r w:rsidRPr="00E60EDE">
        <w:rPr>
          <w:rFonts w:eastAsia="Times New Roman" w:cs="Arial"/>
          <w:bCs/>
          <w:i/>
          <w:iCs/>
          <w:color w:val="auto"/>
          <w:sz w:val="20"/>
          <w:lang w:eastAsia="es-ES"/>
        </w:rPr>
        <w:t xml:space="preserve">La divulgación de la información solicitada representa un riesgo real, demostrable e identificable de perjuicio significativo al interés público, toda vez que a la institución del Ministerio Público de conformidad a lo dispuesto en el artículo 33 de la Ley de la Fiscalía General de Justicia el Estado de México, es una institución única e indivisible, que funge como representante social en los intereses de quienes sean lesionadas o lesionados en sus derechos, a través de la investigación y persecución de los delitos y el ejercicio de la acción penal ante los tribunales competentes. </w:t>
      </w:r>
    </w:p>
    <w:p w14:paraId="2385CB9B" w14:textId="30F42162" w:rsidR="00DC5DA1" w:rsidRPr="00E60EDE" w:rsidRDefault="00DC5DA1" w:rsidP="006461DA">
      <w:pPr>
        <w:spacing w:after="0" w:line="360" w:lineRule="auto"/>
        <w:ind w:left="567" w:right="616"/>
        <w:rPr>
          <w:rFonts w:eastAsia="Times New Roman" w:cs="Arial"/>
          <w:bCs/>
          <w:i/>
          <w:iCs/>
          <w:color w:val="auto"/>
          <w:sz w:val="20"/>
          <w:lang w:eastAsia="es-ES"/>
        </w:rPr>
      </w:pPr>
    </w:p>
    <w:p w14:paraId="1BC1583B" w14:textId="408F7831" w:rsidR="00DC5DA1" w:rsidRPr="00E60EDE" w:rsidRDefault="00DC5DA1" w:rsidP="006461DA">
      <w:pPr>
        <w:spacing w:after="0" w:line="360" w:lineRule="auto"/>
        <w:ind w:left="567" w:right="616"/>
        <w:rPr>
          <w:rFonts w:eastAsia="Times New Roman" w:cs="Arial"/>
          <w:bCs/>
          <w:i/>
          <w:iCs/>
          <w:color w:val="auto"/>
          <w:sz w:val="20"/>
          <w:lang w:eastAsia="es-ES"/>
        </w:rPr>
      </w:pPr>
      <w:r w:rsidRPr="00E60EDE">
        <w:rPr>
          <w:rFonts w:eastAsia="Times New Roman" w:cs="Arial"/>
          <w:bCs/>
          <w:i/>
          <w:iCs/>
          <w:color w:val="auto"/>
          <w:sz w:val="20"/>
          <w:lang w:eastAsia="es-ES"/>
        </w:rPr>
        <w:t>La necesidad de mantener reservada la información es con el fin de que los elementos contenidos en la carpeta de investigación no sean utilizados de forma arbitraria o ventajosa por terceros ajenos a la investigación, que, en términos del Código de Procedimientos Penales aplicable al caso concreto, no tienen derecho a acceder a la investigación.</w:t>
      </w:r>
    </w:p>
    <w:p w14:paraId="3157A531" w14:textId="0A691B73" w:rsidR="00DC5DA1" w:rsidRPr="00E60EDE" w:rsidRDefault="00DC5DA1" w:rsidP="006461DA">
      <w:pPr>
        <w:spacing w:after="0" w:line="360" w:lineRule="auto"/>
        <w:ind w:left="567" w:right="616"/>
        <w:rPr>
          <w:rFonts w:eastAsia="Times New Roman" w:cs="Arial"/>
          <w:bCs/>
          <w:i/>
          <w:iCs/>
          <w:color w:val="auto"/>
          <w:sz w:val="20"/>
          <w:lang w:eastAsia="es-ES"/>
        </w:rPr>
      </w:pPr>
    </w:p>
    <w:p w14:paraId="7D4ECBA9" w14:textId="2E5F29AE" w:rsidR="00DC5DA1" w:rsidRPr="00E60EDE" w:rsidRDefault="00DC5DA1" w:rsidP="006461DA">
      <w:pPr>
        <w:spacing w:after="0" w:line="360" w:lineRule="auto"/>
        <w:ind w:left="567" w:right="616"/>
        <w:rPr>
          <w:rFonts w:eastAsia="Times New Roman" w:cs="Arial"/>
          <w:bCs/>
          <w:i/>
          <w:iCs/>
          <w:color w:val="auto"/>
          <w:sz w:val="20"/>
          <w:lang w:eastAsia="es-ES"/>
        </w:rPr>
      </w:pPr>
      <w:r w:rsidRPr="00E60EDE">
        <w:rPr>
          <w:rFonts w:eastAsia="Times New Roman" w:cs="Arial"/>
          <w:bCs/>
          <w:i/>
          <w:iCs/>
          <w:color w:val="auto"/>
          <w:sz w:val="20"/>
          <w:lang w:eastAsia="es-ES"/>
        </w:rPr>
        <w:t>En ese sentido, revelar la información requerida representa un menoscabo para la investigación y persecución del delito, pues, como ya se ha repetido, la reserva de la información se encuentra expresamente prevista en diversas disposiciones normativas con tal carácter, siendo estas previsiones de orden público y de observancia general.</w:t>
      </w:r>
    </w:p>
    <w:p w14:paraId="20B17668" w14:textId="64E96D37" w:rsidR="00DC5DA1" w:rsidRPr="00E60EDE" w:rsidRDefault="00DC5DA1" w:rsidP="006461DA">
      <w:pPr>
        <w:spacing w:after="0" w:line="360" w:lineRule="auto"/>
        <w:ind w:left="567" w:right="616"/>
        <w:rPr>
          <w:rFonts w:eastAsia="Times New Roman" w:cs="Arial"/>
          <w:bCs/>
          <w:i/>
          <w:iCs/>
          <w:color w:val="auto"/>
          <w:sz w:val="20"/>
          <w:lang w:eastAsia="es-ES"/>
        </w:rPr>
      </w:pPr>
    </w:p>
    <w:p w14:paraId="74B9AD28" w14:textId="015F833E" w:rsidR="00DC5DA1" w:rsidRPr="00E60EDE" w:rsidRDefault="00DC5DA1" w:rsidP="006461DA">
      <w:pPr>
        <w:spacing w:after="0" w:line="360" w:lineRule="auto"/>
        <w:ind w:left="567" w:right="616"/>
        <w:rPr>
          <w:rFonts w:eastAsia="Times New Roman" w:cs="Arial"/>
          <w:bCs/>
          <w:i/>
          <w:iCs/>
          <w:color w:val="auto"/>
          <w:sz w:val="20"/>
          <w:lang w:eastAsia="es-ES"/>
        </w:rPr>
      </w:pPr>
      <w:r w:rsidRPr="00E60EDE">
        <w:rPr>
          <w:rFonts w:eastAsia="Times New Roman" w:cs="Arial"/>
          <w:bCs/>
          <w:i/>
          <w:iCs/>
          <w:color w:val="auto"/>
          <w:sz w:val="20"/>
          <w:lang w:eastAsia="es-ES"/>
        </w:rPr>
        <w:t xml:space="preserve">Si bien es cierto que la información generada por autoridades en ejercicio de sus funciones es de carácter público, al formar parte de una carpeta de investigación, se actualiza la excepción a la publicidad de la información, para que la misma no pueda ser publicitada hasta pasado un lapso de tiempo y bajo ciertas modalidades, ya que exponer determinados datos de manera anticipada puede llevar al fracaso de las investigaciones que persiguen delitos. En ese sentido, las autoridades encargadas de investigar hechos ilícitos, como lo es la </w:t>
      </w:r>
      <w:proofErr w:type="gramStart"/>
      <w:r w:rsidRPr="00E60EDE">
        <w:rPr>
          <w:rFonts w:eastAsia="Times New Roman" w:cs="Arial"/>
          <w:bCs/>
          <w:i/>
          <w:iCs/>
          <w:color w:val="auto"/>
          <w:sz w:val="20"/>
          <w:lang w:eastAsia="es-ES"/>
        </w:rPr>
        <w:t>Fiscalía General</w:t>
      </w:r>
      <w:proofErr w:type="gramEnd"/>
      <w:r w:rsidRPr="00E60EDE">
        <w:rPr>
          <w:rFonts w:eastAsia="Times New Roman" w:cs="Arial"/>
          <w:bCs/>
          <w:i/>
          <w:iCs/>
          <w:color w:val="auto"/>
          <w:sz w:val="20"/>
          <w:lang w:eastAsia="es-ES"/>
        </w:rPr>
        <w:t xml:space="preserve"> de Justicia del Estado de México, deben de guardar sigilo y secrecía sobre sus actuaciones, pues no debe perderse de vista que, </w:t>
      </w:r>
      <w:r w:rsidRPr="00E60EDE">
        <w:rPr>
          <w:rFonts w:eastAsia="Times New Roman" w:cs="Arial"/>
          <w:bCs/>
          <w:i/>
          <w:iCs/>
          <w:color w:val="auto"/>
          <w:sz w:val="20"/>
          <w:lang w:eastAsia="es-ES"/>
        </w:rPr>
        <w:lastRenderedPageBreak/>
        <w:t>en muchos casos, el éxito de las investigaciones de este tipo depende de que sean oportunas y discretamente conducidas.</w:t>
      </w:r>
    </w:p>
    <w:p w14:paraId="1234C8FA" w14:textId="77777777" w:rsidR="00DC5DA1" w:rsidRPr="00E60EDE" w:rsidRDefault="00DC5DA1" w:rsidP="006461DA">
      <w:pPr>
        <w:spacing w:after="0" w:line="360" w:lineRule="auto"/>
        <w:ind w:left="567" w:right="616"/>
        <w:rPr>
          <w:rFonts w:eastAsia="Times New Roman" w:cs="Arial"/>
          <w:bCs/>
          <w:i/>
          <w:iCs/>
          <w:color w:val="auto"/>
          <w:sz w:val="20"/>
          <w:lang w:eastAsia="es-ES"/>
        </w:rPr>
      </w:pPr>
    </w:p>
    <w:p w14:paraId="6A0FB9E2" w14:textId="0C7B34BF" w:rsidR="00DC5DA1" w:rsidRPr="00E60EDE" w:rsidRDefault="00DC5DA1" w:rsidP="006461DA">
      <w:pPr>
        <w:spacing w:after="0" w:line="360" w:lineRule="auto"/>
        <w:ind w:left="567" w:right="616"/>
        <w:rPr>
          <w:rFonts w:eastAsia="Times New Roman" w:cs="Arial"/>
          <w:bCs/>
          <w:i/>
          <w:iCs/>
          <w:color w:val="auto"/>
          <w:sz w:val="20"/>
          <w:lang w:eastAsia="es-ES"/>
        </w:rPr>
      </w:pPr>
      <w:r w:rsidRPr="00E60EDE">
        <w:rPr>
          <w:rFonts w:eastAsia="Times New Roman" w:cs="Arial"/>
          <w:bCs/>
          <w:i/>
          <w:iCs/>
          <w:color w:val="auto"/>
          <w:sz w:val="20"/>
          <w:lang w:eastAsia="es-ES"/>
        </w:rPr>
        <w:t>Es bajo tales perspectivas que resulta justificada la reserva de la información tratándose de carpetas de investigación, puesto que su divulgación a personas no autorizadas pone en riesgo la o las investigaciones en curso, robustece lo anterior la siguiente Tesis Aislada.</w:t>
      </w:r>
    </w:p>
    <w:p w14:paraId="6DA34C5E" w14:textId="2CB59FD6" w:rsidR="00DC5DA1" w:rsidRPr="00E60EDE" w:rsidRDefault="00DC5DA1" w:rsidP="006461DA">
      <w:pPr>
        <w:spacing w:after="0" w:line="360" w:lineRule="auto"/>
        <w:ind w:left="567" w:right="616"/>
        <w:rPr>
          <w:rFonts w:eastAsia="Times New Roman" w:cs="Arial"/>
          <w:bCs/>
          <w:i/>
          <w:iCs/>
          <w:color w:val="auto"/>
          <w:sz w:val="20"/>
          <w:lang w:eastAsia="es-ES"/>
        </w:rPr>
      </w:pPr>
    </w:p>
    <w:p w14:paraId="4B505F07" w14:textId="69C43003" w:rsidR="00DC5DA1" w:rsidRPr="00E60EDE" w:rsidRDefault="00DC5DA1" w:rsidP="006461DA">
      <w:pPr>
        <w:spacing w:after="0" w:line="360" w:lineRule="auto"/>
        <w:ind w:left="567" w:right="616"/>
        <w:rPr>
          <w:rFonts w:eastAsia="Times New Roman" w:cs="Arial"/>
          <w:bCs/>
          <w:i/>
          <w:iCs/>
          <w:color w:val="auto"/>
          <w:sz w:val="20"/>
          <w:lang w:eastAsia="es-ES"/>
        </w:rPr>
      </w:pPr>
      <w:r w:rsidRPr="00E60EDE">
        <w:rPr>
          <w:rFonts w:eastAsia="Times New Roman" w:cs="Arial"/>
          <w:bCs/>
          <w:i/>
          <w:iCs/>
          <w:color w:val="auto"/>
          <w:sz w:val="20"/>
          <w:lang w:eastAsia="es-ES"/>
        </w:rPr>
        <w:t xml:space="preserve">Época: Novena Época, Registro: 163166, Instancia: Pleno, Tipo de Tesis: Aislada, Fuente: Semanario Judicial de la Federación y su Gaceta, Tomo XXXIII, </w:t>
      </w:r>
      <w:proofErr w:type="gramStart"/>
      <w:r w:rsidRPr="00E60EDE">
        <w:rPr>
          <w:rFonts w:eastAsia="Times New Roman" w:cs="Arial"/>
          <w:bCs/>
          <w:i/>
          <w:iCs/>
          <w:color w:val="auto"/>
          <w:sz w:val="20"/>
          <w:lang w:eastAsia="es-ES"/>
        </w:rPr>
        <w:t>Enero</w:t>
      </w:r>
      <w:proofErr w:type="gramEnd"/>
      <w:r w:rsidRPr="00E60EDE">
        <w:rPr>
          <w:rFonts w:eastAsia="Times New Roman" w:cs="Arial"/>
          <w:bCs/>
          <w:i/>
          <w:iCs/>
          <w:color w:val="auto"/>
          <w:sz w:val="20"/>
          <w:lang w:eastAsia="es-ES"/>
        </w:rPr>
        <w:t xml:space="preserve"> de 2011, Materia(s): Constitucional, Tesis: P. LXII/2010,</w:t>
      </w:r>
    </w:p>
    <w:p w14:paraId="655A6482" w14:textId="77777777" w:rsidR="00DC5DA1" w:rsidRPr="00E60EDE" w:rsidRDefault="00DC5DA1" w:rsidP="006461DA">
      <w:pPr>
        <w:spacing w:after="0" w:line="360" w:lineRule="auto"/>
        <w:ind w:left="567" w:right="616"/>
        <w:rPr>
          <w:rFonts w:eastAsia="Times New Roman" w:cs="Arial"/>
          <w:bCs/>
          <w:i/>
          <w:iCs/>
          <w:color w:val="auto"/>
          <w:sz w:val="20"/>
          <w:lang w:eastAsia="es-ES"/>
        </w:rPr>
      </w:pPr>
      <w:r w:rsidRPr="00E60EDE">
        <w:rPr>
          <w:rFonts w:eastAsia="Times New Roman" w:cs="Arial"/>
          <w:bCs/>
          <w:i/>
          <w:iCs/>
          <w:color w:val="auto"/>
          <w:sz w:val="20"/>
          <w:lang w:eastAsia="es-ES"/>
        </w:rPr>
        <w:t xml:space="preserve">Página: 27 </w:t>
      </w:r>
    </w:p>
    <w:p w14:paraId="57CECEAE" w14:textId="77777777" w:rsidR="00DC5DA1" w:rsidRPr="00E60EDE" w:rsidRDefault="00DC5DA1" w:rsidP="006461DA">
      <w:pPr>
        <w:spacing w:after="0" w:line="360" w:lineRule="auto"/>
        <w:ind w:left="567" w:right="616"/>
        <w:rPr>
          <w:rFonts w:eastAsia="Times New Roman" w:cs="Arial"/>
          <w:bCs/>
          <w:i/>
          <w:iCs/>
          <w:color w:val="auto"/>
          <w:sz w:val="20"/>
          <w:lang w:eastAsia="es-ES"/>
        </w:rPr>
      </w:pPr>
    </w:p>
    <w:p w14:paraId="4EC19C73" w14:textId="6902D8B3" w:rsidR="00DC5DA1" w:rsidRPr="00E60EDE" w:rsidRDefault="00DC5DA1" w:rsidP="006461DA">
      <w:pPr>
        <w:spacing w:after="0" w:line="360" w:lineRule="auto"/>
        <w:ind w:left="567" w:right="616"/>
        <w:rPr>
          <w:rFonts w:eastAsia="Times New Roman" w:cs="Arial"/>
          <w:b/>
          <w:i/>
          <w:iCs/>
          <w:color w:val="auto"/>
          <w:sz w:val="20"/>
          <w:lang w:eastAsia="es-ES"/>
        </w:rPr>
      </w:pPr>
      <w:r w:rsidRPr="00E60EDE">
        <w:rPr>
          <w:rFonts w:eastAsia="Times New Roman" w:cs="Arial"/>
          <w:bCs/>
          <w:i/>
          <w:iCs/>
          <w:color w:val="auto"/>
          <w:sz w:val="20"/>
          <w:lang w:eastAsia="es-ES"/>
        </w:rPr>
        <w:t xml:space="preserve">DERECHOS A LA VIDA Y A LA INTEGRIDAD PERSONAL. SU VIOLACIÓN GENERA EL DEBER DEL ESTADO DE INVESTIGAR EFECTIVAMENTE LOS HECHOS RESPECTIVOS. </w:t>
      </w:r>
      <w:r w:rsidRPr="00E60EDE">
        <w:rPr>
          <w:rFonts w:eastAsia="Times New Roman" w:cs="Arial"/>
          <w:b/>
          <w:i/>
          <w:iCs/>
          <w:color w:val="auto"/>
          <w:sz w:val="20"/>
          <w:lang w:eastAsia="es-ES"/>
        </w:rPr>
        <w:t>Los derechos a la vida y a la integridad personal imponen al Estado tanto la obligación de que los agentes públicos y los particulares se abstengan de afectarlos (dimensión sustantiva), como la de prevenir, proteger y sancionar su posible afectación por parte de autoridades y/o particulares (dimensión procesal);</w:t>
      </w:r>
      <w:r w:rsidRPr="00E60EDE">
        <w:rPr>
          <w:rFonts w:eastAsia="Times New Roman" w:cs="Arial"/>
          <w:bCs/>
          <w:i/>
          <w:iCs/>
          <w:color w:val="auto"/>
          <w:sz w:val="20"/>
          <w:lang w:eastAsia="es-ES"/>
        </w:rPr>
        <w:t xml:space="preserve"> es decir, tales derechos no sólo presuponen que</w:t>
      </w:r>
      <w:r w:rsidR="00953FD9"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 xml:space="preserve">ninguna persona sea privada de su vida arbitrariamente (obligación negativa), sino que además </w:t>
      </w:r>
      <w:r w:rsidRPr="00E60EDE">
        <w:rPr>
          <w:rFonts w:eastAsia="Times New Roman" w:cs="Arial"/>
          <w:b/>
          <w:i/>
          <w:iCs/>
          <w:color w:val="auto"/>
          <w:sz w:val="20"/>
          <w:lang w:eastAsia="es-ES"/>
        </w:rPr>
        <w:t>requieren</w:t>
      </w:r>
      <w:r w:rsidR="00953FD9" w:rsidRPr="00E60EDE">
        <w:rPr>
          <w:rFonts w:eastAsia="Times New Roman" w:cs="Arial"/>
          <w:b/>
          <w:i/>
          <w:iCs/>
          <w:color w:val="auto"/>
          <w:sz w:val="20"/>
          <w:lang w:eastAsia="es-ES"/>
        </w:rPr>
        <w:t xml:space="preserve"> </w:t>
      </w:r>
      <w:r w:rsidRPr="00E60EDE">
        <w:rPr>
          <w:rFonts w:eastAsia="Times New Roman" w:cs="Arial"/>
          <w:b/>
          <w:i/>
          <w:iCs/>
          <w:color w:val="auto"/>
          <w:sz w:val="20"/>
          <w:lang w:eastAsia="es-ES"/>
        </w:rPr>
        <w:t>que el Estado adopte todas las medidas apropiadas para preservarlos</w:t>
      </w:r>
      <w:r w:rsidRPr="00E60EDE">
        <w:rPr>
          <w:rFonts w:eastAsia="Times New Roman" w:cs="Arial"/>
          <w:bCs/>
          <w:i/>
          <w:iCs/>
          <w:color w:val="auto"/>
          <w:sz w:val="20"/>
          <w:lang w:eastAsia="es-ES"/>
        </w:rPr>
        <w:t xml:space="preserve"> (obligación positiva), conforme al</w:t>
      </w:r>
      <w:r w:rsidR="00953FD9"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deber de garantizar su pleno y libre ejercicio, lo cual implica no sólo la necesidad de que se inicien las</w:t>
      </w:r>
      <w:r w:rsidR="00953FD9"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averiguaciones para determinar a los sujetos involucrados en su violación, sino que tales procedimientos se</w:t>
      </w:r>
      <w:r w:rsidR="00953FD9"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lleven con diligencia, cuidado, profundidad y profesionalismo, a fin de que puedan constituir lo que la</w:t>
      </w:r>
      <w:r w:rsidR="00953FD9"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doctrina y la jurisprudencia llaman "investigaciones efectivas", que realmente lleven a identificar a los</w:t>
      </w:r>
      <w:r w:rsidR="00953FD9" w:rsidRP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responsables, seguirles el procedimiento legalmente establecido en el que se reúnan las suficientes</w:t>
      </w:r>
      <w:r w:rsidR="00E60EDE">
        <w:rPr>
          <w:rFonts w:eastAsia="Times New Roman" w:cs="Arial"/>
          <w:bCs/>
          <w:i/>
          <w:iCs/>
          <w:color w:val="auto"/>
          <w:sz w:val="20"/>
          <w:lang w:eastAsia="es-ES"/>
        </w:rPr>
        <w:t xml:space="preserve"> </w:t>
      </w:r>
      <w:r w:rsidRPr="00E60EDE">
        <w:rPr>
          <w:rFonts w:eastAsia="Times New Roman" w:cs="Arial"/>
          <w:bCs/>
          <w:i/>
          <w:iCs/>
          <w:color w:val="auto"/>
          <w:sz w:val="20"/>
          <w:lang w:eastAsia="es-ES"/>
        </w:rPr>
        <w:t xml:space="preserve">probanzas para que, en su caso, puedan ser justificadamente sancionados. </w:t>
      </w:r>
      <w:r w:rsidRPr="00E60EDE">
        <w:rPr>
          <w:rFonts w:eastAsia="Times New Roman" w:cs="Arial"/>
          <w:b/>
          <w:i/>
          <w:iCs/>
          <w:color w:val="auto"/>
          <w:sz w:val="20"/>
          <w:lang w:eastAsia="es-ES"/>
        </w:rPr>
        <w:t>Esto es así, toda vez que la</w:t>
      </w:r>
      <w:r w:rsidR="00953FD9" w:rsidRPr="00E60EDE">
        <w:rPr>
          <w:rFonts w:eastAsia="Times New Roman" w:cs="Arial"/>
          <w:b/>
          <w:i/>
          <w:iCs/>
          <w:color w:val="auto"/>
          <w:sz w:val="20"/>
          <w:lang w:eastAsia="es-ES"/>
        </w:rPr>
        <w:t xml:space="preserve"> </w:t>
      </w:r>
      <w:r w:rsidRPr="00E60EDE">
        <w:rPr>
          <w:rFonts w:eastAsia="Times New Roman" w:cs="Arial"/>
          <w:b/>
          <w:i/>
          <w:iCs/>
          <w:color w:val="auto"/>
          <w:sz w:val="20"/>
          <w:lang w:eastAsia="es-ES"/>
        </w:rPr>
        <w:t>omisión de reprimir esas conductas abusivas se traduce en un quebrantamiento constitucional por inacción,</w:t>
      </w:r>
      <w:r w:rsidR="00953FD9" w:rsidRPr="00E60EDE">
        <w:rPr>
          <w:rFonts w:eastAsia="Times New Roman" w:cs="Arial"/>
          <w:b/>
          <w:i/>
          <w:iCs/>
          <w:color w:val="auto"/>
          <w:sz w:val="20"/>
          <w:lang w:eastAsia="es-ES"/>
        </w:rPr>
        <w:t xml:space="preserve"> </w:t>
      </w:r>
      <w:r w:rsidRPr="00E60EDE">
        <w:rPr>
          <w:rFonts w:eastAsia="Times New Roman" w:cs="Arial"/>
          <w:b/>
          <w:i/>
          <w:iCs/>
          <w:color w:val="auto"/>
          <w:sz w:val="20"/>
          <w:lang w:eastAsia="es-ES"/>
        </w:rPr>
        <w:lastRenderedPageBreak/>
        <w:t>injusticia para las víctimas e impunidad, lo cual lacera no sólo a la víctima de la violación de que se trate, sino</w:t>
      </w:r>
      <w:r w:rsidR="00953FD9" w:rsidRPr="00E60EDE">
        <w:rPr>
          <w:rFonts w:eastAsia="Times New Roman" w:cs="Arial"/>
          <w:b/>
          <w:i/>
          <w:iCs/>
          <w:color w:val="auto"/>
          <w:sz w:val="20"/>
          <w:lang w:eastAsia="es-ES"/>
        </w:rPr>
        <w:t xml:space="preserve"> </w:t>
      </w:r>
      <w:r w:rsidRPr="00E60EDE">
        <w:rPr>
          <w:rFonts w:eastAsia="Times New Roman" w:cs="Arial"/>
          <w:b/>
          <w:i/>
          <w:iCs/>
          <w:color w:val="auto"/>
          <w:sz w:val="20"/>
          <w:lang w:eastAsia="es-ES"/>
        </w:rPr>
        <w:t>también a la sociedad.</w:t>
      </w:r>
    </w:p>
    <w:p w14:paraId="452BD808" w14:textId="2D402CF6" w:rsidR="00EE476D" w:rsidRDefault="00EE476D" w:rsidP="006461DA">
      <w:pPr>
        <w:spacing w:after="0" w:line="360" w:lineRule="auto"/>
        <w:ind w:right="616"/>
        <w:rPr>
          <w:rFonts w:eastAsia="Times New Roman" w:cs="Arial"/>
          <w:b/>
          <w:i/>
          <w:iCs/>
          <w:color w:val="auto"/>
          <w:sz w:val="20"/>
          <w:lang w:eastAsia="es-ES"/>
        </w:rPr>
      </w:pPr>
    </w:p>
    <w:p w14:paraId="12099C5B" w14:textId="5A0ED306" w:rsidR="00E60EDE" w:rsidRPr="00C65529" w:rsidRDefault="00E60EDE" w:rsidP="006461DA">
      <w:pPr>
        <w:spacing w:after="0" w:line="360" w:lineRule="auto"/>
        <w:ind w:right="616"/>
        <w:rPr>
          <w:rFonts w:eastAsia="Times New Roman" w:cs="Arial"/>
          <w:bCs/>
          <w:color w:val="auto"/>
          <w:szCs w:val="24"/>
          <w:lang w:eastAsia="es-ES"/>
        </w:rPr>
      </w:pPr>
      <w:r w:rsidRPr="00C65529">
        <w:rPr>
          <w:rFonts w:eastAsia="Times New Roman" w:cs="Arial"/>
          <w:bCs/>
          <w:color w:val="auto"/>
          <w:szCs w:val="24"/>
          <w:lang w:eastAsia="es-ES"/>
        </w:rPr>
        <w:t xml:space="preserve">De acuerdo con la Tesis Aislada anterior, cuando se da el caso de un individuo que por más de quince años ha privado de la vida a otras personas y cometido delitos de alto impacto para la sociedad como el feminicidio, nos encontramos ante una responsabilidad del Estado por haber omitido reprimir estas conductas, más aún cuando si bien, la información que nos ocupa, versa sólo sobre un individuo, </w:t>
      </w:r>
      <w:proofErr w:type="gramStart"/>
      <w:r w:rsidR="004230B9" w:rsidRPr="00C65529">
        <w:rPr>
          <w:rFonts w:eastAsia="Times New Roman" w:cs="Arial"/>
          <w:bCs/>
          <w:color w:val="auto"/>
          <w:szCs w:val="24"/>
          <w:lang w:eastAsia="es-ES"/>
        </w:rPr>
        <w:t>el</w:t>
      </w:r>
      <w:r w:rsidRPr="00C65529">
        <w:rPr>
          <w:rFonts w:eastAsia="Times New Roman" w:cs="Arial"/>
          <w:bCs/>
          <w:color w:val="auto"/>
          <w:szCs w:val="24"/>
          <w:lang w:eastAsia="es-ES"/>
        </w:rPr>
        <w:t xml:space="preserve"> feminicidios</w:t>
      </w:r>
      <w:proofErr w:type="gramEnd"/>
      <w:r w:rsidRPr="00C65529">
        <w:rPr>
          <w:rFonts w:eastAsia="Times New Roman" w:cs="Arial"/>
          <w:bCs/>
          <w:color w:val="auto"/>
          <w:szCs w:val="24"/>
          <w:lang w:eastAsia="es-ES"/>
        </w:rPr>
        <w:t xml:space="preserve"> </w:t>
      </w:r>
      <w:r w:rsidR="004230B9" w:rsidRPr="00C65529">
        <w:rPr>
          <w:rFonts w:eastAsia="Times New Roman" w:cs="Arial"/>
          <w:bCs/>
          <w:color w:val="auto"/>
          <w:szCs w:val="24"/>
          <w:lang w:eastAsia="es-ES"/>
        </w:rPr>
        <w:t>se ha convertido en un delito de comisión sistemática en el país.</w:t>
      </w:r>
    </w:p>
    <w:p w14:paraId="27C18382" w14:textId="130AA5C0" w:rsidR="00E60EDE" w:rsidRPr="00E60EDE" w:rsidRDefault="00E60EDE" w:rsidP="006461DA">
      <w:pPr>
        <w:spacing w:after="0" w:line="360" w:lineRule="auto"/>
        <w:ind w:right="616"/>
        <w:rPr>
          <w:rFonts w:eastAsia="Times New Roman" w:cs="Arial"/>
          <w:bCs/>
          <w:color w:val="auto"/>
          <w:sz w:val="20"/>
          <w:lang w:eastAsia="es-ES"/>
        </w:rPr>
      </w:pPr>
    </w:p>
    <w:p w14:paraId="294472C4" w14:textId="0436CB8F" w:rsidR="00953FD9" w:rsidRPr="00E60EDE" w:rsidRDefault="00953FD9" w:rsidP="006461DA">
      <w:pPr>
        <w:spacing w:after="0" w:line="360" w:lineRule="auto"/>
        <w:ind w:left="567" w:right="616"/>
        <w:rPr>
          <w:rFonts w:eastAsia="Times New Roman" w:cs="Arial"/>
          <w:b/>
          <w:i/>
          <w:iCs/>
          <w:color w:val="auto"/>
          <w:sz w:val="20"/>
          <w:lang w:eastAsia="es-ES"/>
        </w:rPr>
      </w:pPr>
      <w:r w:rsidRPr="00E60EDE">
        <w:rPr>
          <w:rFonts w:eastAsia="Times New Roman" w:cs="Arial"/>
          <w:b/>
          <w:i/>
          <w:iCs/>
          <w:color w:val="auto"/>
          <w:sz w:val="20"/>
          <w:lang w:eastAsia="es-ES"/>
        </w:rPr>
        <w:t>III. Se debe de acreditar el vínculo entre la difusión de la información y la afectación del interés jurídico tutelado de que se trate;</w:t>
      </w:r>
    </w:p>
    <w:p w14:paraId="41F3982E" w14:textId="77777777" w:rsidR="00953FD9" w:rsidRPr="00E60EDE" w:rsidRDefault="00953FD9" w:rsidP="006461DA">
      <w:pPr>
        <w:spacing w:after="0" w:line="360" w:lineRule="auto"/>
        <w:ind w:left="567" w:right="616"/>
        <w:rPr>
          <w:rFonts w:eastAsia="Times New Roman" w:cs="Arial"/>
          <w:bCs/>
          <w:i/>
          <w:iCs/>
          <w:color w:val="auto"/>
          <w:sz w:val="20"/>
          <w:lang w:eastAsia="es-ES"/>
        </w:rPr>
      </w:pPr>
    </w:p>
    <w:p w14:paraId="2C9BDB2D" w14:textId="1F2250A7" w:rsidR="00953FD9" w:rsidRPr="00E60EDE" w:rsidRDefault="00953FD9" w:rsidP="006461DA">
      <w:pPr>
        <w:spacing w:after="0" w:line="360" w:lineRule="auto"/>
        <w:ind w:left="567" w:right="616"/>
        <w:rPr>
          <w:rFonts w:eastAsia="Times New Roman" w:cs="Arial"/>
          <w:bCs/>
          <w:i/>
          <w:iCs/>
          <w:color w:val="auto"/>
          <w:sz w:val="20"/>
          <w:lang w:eastAsia="es-ES"/>
        </w:rPr>
      </w:pPr>
      <w:r w:rsidRPr="00E60EDE">
        <w:rPr>
          <w:rFonts w:eastAsia="Times New Roman" w:cs="Arial"/>
          <w:bCs/>
          <w:i/>
          <w:iCs/>
          <w:color w:val="auto"/>
          <w:sz w:val="20"/>
          <w:lang w:eastAsia="es-ES"/>
        </w:rPr>
        <w:t>La normatividad penal aplicable restringe a terceros ajenos al procedimiento penal, el acceso a la información contenida en las carpetas de investigación, dado que su divulgación podría obstaculizar el proceso de investigación y, en consecuencia, la determinación del Ministerio Público. Por otro lado, es de resaltar que es prescindible la protección de la sociedad, toda vez que dentro de la misma es donde por acción u omisión acontecen diversos hechos ilícitos.</w:t>
      </w:r>
    </w:p>
    <w:p w14:paraId="723414E7" w14:textId="77777777" w:rsidR="00953FD9" w:rsidRPr="00E60EDE" w:rsidRDefault="00953FD9" w:rsidP="006461DA">
      <w:pPr>
        <w:spacing w:after="0" w:line="360" w:lineRule="auto"/>
        <w:ind w:left="567" w:right="616"/>
        <w:rPr>
          <w:rFonts w:eastAsia="Times New Roman" w:cs="Arial"/>
          <w:bCs/>
          <w:i/>
          <w:iCs/>
          <w:color w:val="auto"/>
          <w:sz w:val="20"/>
          <w:lang w:eastAsia="es-ES"/>
        </w:rPr>
      </w:pPr>
    </w:p>
    <w:p w14:paraId="61EC2AA1" w14:textId="0E5A8C91" w:rsidR="00953FD9" w:rsidRPr="004230B9" w:rsidRDefault="00953FD9" w:rsidP="006461DA">
      <w:pPr>
        <w:spacing w:after="0" w:line="360" w:lineRule="auto"/>
        <w:ind w:left="567" w:right="616"/>
        <w:rPr>
          <w:rFonts w:eastAsia="Times New Roman" w:cs="Arial"/>
          <w:bCs/>
          <w:i/>
          <w:iCs/>
          <w:color w:val="auto"/>
          <w:sz w:val="20"/>
          <w:lang w:eastAsia="es-ES"/>
        </w:rPr>
      </w:pPr>
      <w:r w:rsidRPr="004230B9">
        <w:rPr>
          <w:rFonts w:eastAsia="Times New Roman" w:cs="Arial"/>
          <w:bCs/>
          <w:i/>
          <w:iCs/>
          <w:color w:val="auto"/>
          <w:sz w:val="20"/>
          <w:lang w:eastAsia="es-ES"/>
        </w:rPr>
        <w:t xml:space="preserve">En caso de divulgar la información solicitada, se pone en riesgo la seguridad pública, la integridad y seguridad de las personas que intervienen en la carpeta de investigación, además se podría corromper la conservación del estado de derecho mexicano, en virtud de que podría traer a consecuencia que el gobernado se abstenga de denunciar la comisión de delitos cometidos en su contra o de otras personas. </w:t>
      </w:r>
    </w:p>
    <w:p w14:paraId="3C2C57AD" w14:textId="77777777" w:rsidR="00953FD9" w:rsidRPr="004230B9" w:rsidRDefault="00953FD9" w:rsidP="006461DA">
      <w:pPr>
        <w:spacing w:after="0" w:line="360" w:lineRule="auto"/>
        <w:ind w:left="567" w:right="616"/>
        <w:rPr>
          <w:rFonts w:eastAsia="Times New Roman" w:cs="Arial"/>
          <w:bCs/>
          <w:i/>
          <w:iCs/>
          <w:color w:val="auto"/>
          <w:sz w:val="20"/>
          <w:lang w:eastAsia="es-ES"/>
        </w:rPr>
      </w:pPr>
    </w:p>
    <w:p w14:paraId="4F95D49C" w14:textId="2B8D3199" w:rsidR="00953FD9" w:rsidRPr="004230B9" w:rsidRDefault="00953FD9" w:rsidP="006461DA">
      <w:pPr>
        <w:spacing w:after="0" w:line="360" w:lineRule="auto"/>
        <w:ind w:left="567" w:right="616"/>
        <w:rPr>
          <w:rFonts w:eastAsia="Times New Roman" w:cs="Arial"/>
          <w:bCs/>
          <w:i/>
          <w:iCs/>
          <w:color w:val="auto"/>
          <w:sz w:val="20"/>
          <w:lang w:eastAsia="es-ES"/>
        </w:rPr>
      </w:pPr>
      <w:r w:rsidRPr="004230B9">
        <w:rPr>
          <w:rFonts w:eastAsia="Times New Roman" w:cs="Arial"/>
          <w:bCs/>
          <w:i/>
          <w:iCs/>
          <w:color w:val="auto"/>
          <w:sz w:val="20"/>
          <w:lang w:eastAsia="es-ES"/>
        </w:rPr>
        <w:t xml:space="preserve">Así pues, el riesgo de perjuicio lo representa la administración y procuración de justicia, ya que no solamente está prohibido revelar información reservada o confidencial relacionada con las conductas sancionadas por la Ley, sino que además está penado hacerlo, pues existen sanciones y responsabilidades a incurrir por los servidores públicos que hagan mal uso de ella, principalmente </w:t>
      </w:r>
      <w:r w:rsidRPr="004230B9">
        <w:rPr>
          <w:rFonts w:eastAsia="Times New Roman" w:cs="Arial"/>
          <w:bCs/>
          <w:i/>
          <w:iCs/>
          <w:color w:val="auto"/>
          <w:sz w:val="20"/>
          <w:lang w:eastAsia="es-ES"/>
        </w:rPr>
        <w:lastRenderedPageBreak/>
        <w:t>si se trata de servidores públicos integrantes de ciertas instituciones, entre ellas, la de procuración de justicia, como sería en el presente caso el revelar la información solicitada, misma que fue adquirida durante el desempeño de sus funciones, por lo que además, se estaría ante la presencia de un delito contra la administración de justicia por parte de este sujeto obligado al dar a conocer información reservada o confidencial que obre en una carpeta de investigación.</w:t>
      </w:r>
    </w:p>
    <w:p w14:paraId="420A35F8" w14:textId="77777777" w:rsidR="00953FD9" w:rsidRPr="004230B9" w:rsidRDefault="00953FD9" w:rsidP="006461DA">
      <w:pPr>
        <w:spacing w:after="0" w:line="360" w:lineRule="auto"/>
        <w:ind w:left="567" w:right="616"/>
        <w:rPr>
          <w:rFonts w:eastAsia="Times New Roman" w:cs="Arial"/>
          <w:bCs/>
          <w:i/>
          <w:iCs/>
          <w:color w:val="auto"/>
          <w:sz w:val="20"/>
          <w:lang w:eastAsia="es-ES"/>
        </w:rPr>
      </w:pPr>
    </w:p>
    <w:p w14:paraId="10182496" w14:textId="38287C56" w:rsidR="00953FD9" w:rsidRPr="004230B9" w:rsidRDefault="00953FD9" w:rsidP="006461DA">
      <w:pPr>
        <w:spacing w:after="0" w:line="360" w:lineRule="auto"/>
        <w:ind w:left="567" w:right="616"/>
        <w:rPr>
          <w:rFonts w:eastAsia="Times New Roman" w:cs="Arial"/>
          <w:bCs/>
          <w:i/>
          <w:iCs/>
          <w:color w:val="auto"/>
          <w:sz w:val="20"/>
          <w:lang w:eastAsia="es-ES"/>
        </w:rPr>
      </w:pPr>
      <w:r w:rsidRPr="004230B9">
        <w:rPr>
          <w:rFonts w:eastAsia="Times New Roman" w:cs="Arial"/>
          <w:bCs/>
          <w:i/>
          <w:iCs/>
          <w:color w:val="auto"/>
          <w:sz w:val="20"/>
          <w:lang w:eastAsia="es-ES"/>
        </w:rPr>
        <w:t>Sin omitir señalar que la función del ministerio público es la persecución de los delitos en tribunales, esto es, buscar el</w:t>
      </w:r>
      <w:r w:rsidR="00EE476D" w:rsidRPr="004230B9">
        <w:rPr>
          <w:rFonts w:eastAsia="Times New Roman" w:cs="Arial"/>
          <w:bCs/>
          <w:i/>
          <w:iCs/>
          <w:color w:val="auto"/>
          <w:sz w:val="20"/>
          <w:lang w:eastAsia="es-ES"/>
        </w:rPr>
        <w:t xml:space="preserve"> </w:t>
      </w:r>
      <w:r w:rsidRPr="004230B9">
        <w:rPr>
          <w:rFonts w:eastAsia="Times New Roman" w:cs="Arial"/>
          <w:bCs/>
          <w:i/>
          <w:iCs/>
          <w:color w:val="auto"/>
          <w:sz w:val="20"/>
          <w:lang w:eastAsia="es-ES"/>
        </w:rPr>
        <w:t xml:space="preserve">castigo para los culpables y de divulgarse la tantas veces referida información, pudiera no cumplirse </w:t>
      </w:r>
      <w:r w:rsidR="00EE476D" w:rsidRPr="004230B9">
        <w:rPr>
          <w:rFonts w:eastAsia="Times New Roman" w:cs="Arial"/>
          <w:bCs/>
          <w:i/>
          <w:iCs/>
          <w:color w:val="auto"/>
          <w:sz w:val="20"/>
          <w:lang w:eastAsia="es-ES"/>
        </w:rPr>
        <w:t>esta</w:t>
      </w:r>
      <w:r w:rsidRPr="004230B9">
        <w:rPr>
          <w:rFonts w:eastAsia="Times New Roman" w:cs="Arial"/>
          <w:bCs/>
          <w:i/>
          <w:iCs/>
          <w:color w:val="auto"/>
          <w:sz w:val="20"/>
          <w:lang w:eastAsia="es-ES"/>
        </w:rPr>
        <w:t xml:space="preserve"> obligación por</w:t>
      </w:r>
      <w:r w:rsidR="00EE476D" w:rsidRPr="004230B9">
        <w:rPr>
          <w:rFonts w:eastAsia="Times New Roman" w:cs="Arial"/>
          <w:bCs/>
          <w:i/>
          <w:iCs/>
          <w:color w:val="auto"/>
          <w:sz w:val="20"/>
          <w:lang w:eastAsia="es-ES"/>
        </w:rPr>
        <w:t xml:space="preserve"> </w:t>
      </w:r>
      <w:r w:rsidRPr="004230B9">
        <w:rPr>
          <w:rFonts w:eastAsia="Times New Roman" w:cs="Arial"/>
          <w:bCs/>
          <w:i/>
          <w:iCs/>
          <w:color w:val="auto"/>
          <w:sz w:val="20"/>
          <w:lang w:eastAsia="es-ES"/>
        </w:rPr>
        <w:t xml:space="preserve">parte de </w:t>
      </w:r>
      <w:r w:rsidR="00EE476D" w:rsidRPr="004230B9">
        <w:rPr>
          <w:rFonts w:eastAsia="Times New Roman" w:cs="Arial"/>
          <w:bCs/>
          <w:i/>
          <w:iCs/>
          <w:color w:val="auto"/>
          <w:sz w:val="20"/>
          <w:lang w:eastAsia="es-ES"/>
        </w:rPr>
        <w:t>esta</w:t>
      </w:r>
      <w:r w:rsidRPr="004230B9">
        <w:rPr>
          <w:rFonts w:eastAsia="Times New Roman" w:cs="Arial"/>
          <w:bCs/>
          <w:i/>
          <w:iCs/>
          <w:color w:val="auto"/>
          <w:sz w:val="20"/>
          <w:lang w:eastAsia="es-ES"/>
        </w:rPr>
        <w:t xml:space="preserve"> representación social. Por tanto, se afirma que el perjuicio de difundir la misma supera el interés particular</w:t>
      </w:r>
      <w:r w:rsidR="00EE476D" w:rsidRPr="004230B9">
        <w:rPr>
          <w:rFonts w:eastAsia="Times New Roman" w:cs="Arial"/>
          <w:bCs/>
          <w:i/>
          <w:iCs/>
          <w:color w:val="auto"/>
          <w:sz w:val="20"/>
          <w:lang w:eastAsia="es-ES"/>
        </w:rPr>
        <w:t xml:space="preserve"> </w:t>
      </w:r>
      <w:r w:rsidRPr="004230B9">
        <w:rPr>
          <w:rFonts w:eastAsia="Times New Roman" w:cs="Arial"/>
          <w:bCs/>
          <w:i/>
          <w:iCs/>
          <w:color w:val="auto"/>
          <w:sz w:val="20"/>
          <w:lang w:eastAsia="es-ES"/>
        </w:rPr>
        <w:t>de conocerla, más aún cuando la reserva de la información obedece a un tiempo determinado.</w:t>
      </w:r>
    </w:p>
    <w:p w14:paraId="52EF50DD" w14:textId="4EC68448" w:rsidR="00953FD9" w:rsidRPr="004230B9" w:rsidRDefault="00953FD9" w:rsidP="006461DA">
      <w:pPr>
        <w:spacing w:after="0" w:line="360" w:lineRule="auto"/>
        <w:ind w:left="567" w:right="616"/>
        <w:rPr>
          <w:rFonts w:eastAsia="Times New Roman" w:cs="Arial"/>
          <w:bCs/>
          <w:i/>
          <w:iCs/>
          <w:color w:val="auto"/>
          <w:sz w:val="20"/>
          <w:lang w:eastAsia="es-ES"/>
        </w:rPr>
      </w:pPr>
    </w:p>
    <w:p w14:paraId="68A6A210" w14:textId="0B3A942B" w:rsidR="00EE476D" w:rsidRPr="004230B9" w:rsidRDefault="00EE476D" w:rsidP="006461DA">
      <w:pPr>
        <w:spacing w:after="0" w:line="360" w:lineRule="auto"/>
        <w:ind w:left="567" w:right="616"/>
        <w:rPr>
          <w:rFonts w:eastAsia="Times New Roman" w:cs="Arial"/>
          <w:b/>
          <w:i/>
          <w:iCs/>
          <w:color w:val="auto"/>
          <w:sz w:val="20"/>
          <w:lang w:eastAsia="es-ES"/>
        </w:rPr>
      </w:pPr>
      <w:r w:rsidRPr="004230B9">
        <w:rPr>
          <w:rFonts w:eastAsia="Times New Roman" w:cs="Arial"/>
          <w:b/>
          <w:i/>
          <w:iCs/>
          <w:color w:val="auto"/>
          <w:sz w:val="20"/>
          <w:lang w:eastAsia="es-ES"/>
        </w:rPr>
        <w:t>IV. Precisar las razones objetivas por las que la apertura de la información generaría una afectación, a través de los elementos de un riesgo real, demostrable e identificable;</w:t>
      </w:r>
    </w:p>
    <w:p w14:paraId="1388B71C" w14:textId="2C6A9E13" w:rsidR="00EE476D" w:rsidRPr="004230B9" w:rsidRDefault="00EE476D" w:rsidP="006461DA">
      <w:pPr>
        <w:spacing w:after="0" w:line="360" w:lineRule="auto"/>
        <w:ind w:left="567" w:right="616"/>
        <w:rPr>
          <w:rFonts w:eastAsia="Times New Roman" w:cs="Arial"/>
          <w:bCs/>
          <w:i/>
          <w:iCs/>
          <w:color w:val="auto"/>
          <w:sz w:val="20"/>
          <w:lang w:eastAsia="es-ES"/>
        </w:rPr>
      </w:pPr>
      <w:r w:rsidRPr="004230B9">
        <w:rPr>
          <w:rFonts w:eastAsia="Times New Roman" w:cs="Arial"/>
          <w:bCs/>
          <w:i/>
          <w:iCs/>
          <w:color w:val="auto"/>
          <w:sz w:val="20"/>
          <w:lang w:eastAsia="es-ES"/>
        </w:rPr>
        <w:t xml:space="preserve">La información contenida en una Carpeta de Investigación, forma parte de un todo, relacionado y adminiculado entre sí, y al encontrarse en trámite, su estado procesal impide otorgar acceso a la información ahí contenida y que fuera requerida a esta Fiscalía General del Estado, vía el derecho de acceso a la información, pues hacerlo implicaría poner en riesgo las propias investigaciones, así como a las personas que en ella intervienen, por tanto, lo procedente es reservar todas las actuaciones que la integran, es así que de acuerdo al estado procesal que guarda la indagatoria requerida, no es procedente otorgar acceso, porque hacerlo pondría en riesgo el desarrollo de la propia investigación. </w:t>
      </w:r>
    </w:p>
    <w:p w14:paraId="7EE56F42" w14:textId="77777777" w:rsidR="00EE476D" w:rsidRPr="004230B9" w:rsidRDefault="00EE476D" w:rsidP="006461DA">
      <w:pPr>
        <w:spacing w:after="0" w:line="360" w:lineRule="auto"/>
        <w:ind w:left="567" w:right="616"/>
        <w:rPr>
          <w:rFonts w:eastAsia="Times New Roman" w:cs="Arial"/>
          <w:bCs/>
          <w:i/>
          <w:iCs/>
          <w:color w:val="auto"/>
          <w:sz w:val="20"/>
          <w:lang w:eastAsia="es-ES"/>
        </w:rPr>
      </w:pPr>
    </w:p>
    <w:p w14:paraId="006EF2DB" w14:textId="751B5266" w:rsidR="00EE476D" w:rsidRPr="008F04AB" w:rsidRDefault="00EE476D" w:rsidP="006461DA">
      <w:pPr>
        <w:spacing w:after="0" w:line="360" w:lineRule="auto"/>
        <w:ind w:left="567" w:right="616"/>
        <w:rPr>
          <w:rFonts w:eastAsia="Times New Roman" w:cs="Arial"/>
          <w:bCs/>
          <w:i/>
          <w:iCs/>
          <w:color w:val="auto"/>
          <w:sz w:val="20"/>
          <w:lang w:eastAsia="es-ES"/>
        </w:rPr>
      </w:pPr>
      <w:r w:rsidRPr="004230B9">
        <w:rPr>
          <w:rFonts w:eastAsia="Times New Roman" w:cs="Arial"/>
          <w:bCs/>
          <w:i/>
          <w:iCs/>
          <w:color w:val="auto"/>
          <w:sz w:val="20"/>
          <w:lang w:eastAsia="es-ES"/>
        </w:rPr>
        <w:t>En ejercicio de sus atribuciones de investigación, la Procuraduría debe recabar una gran cantidad de información relacionada con los hechos delictivos, con los probables responsables, las víctimas u ofendidos, los testigos e incluso terceras personas. Entre otros, se recaban los datos generales de estos sujetos (como el nombre, domicilio, e</w:t>
      </w:r>
      <w:r w:rsidRPr="008F04AB">
        <w:rPr>
          <w:rFonts w:eastAsia="Times New Roman" w:cs="Arial"/>
          <w:bCs/>
          <w:i/>
          <w:iCs/>
          <w:color w:val="auto"/>
          <w:sz w:val="20"/>
          <w:lang w:eastAsia="es-ES"/>
        </w:rPr>
        <w:t>stado civil, ocupación, ingresos, entre otros datos). Así pues, las actuaciones de una investigación pueden comprender detalles muy íntimos de las personas involucradas en la investigación. Sólo a manera de ejemplo, es posible decir que, en una averiguación previa, puede figurar información atiente a las propiedades, cuentas bancarias, filiación, relaciones</w:t>
      </w:r>
    </w:p>
    <w:p w14:paraId="0E704F4A" w14:textId="4F84D99A" w:rsidR="00EE476D" w:rsidRPr="008F04AB" w:rsidRDefault="00EE476D" w:rsidP="006461DA">
      <w:pPr>
        <w:spacing w:after="0" w:line="360" w:lineRule="auto"/>
        <w:ind w:left="567" w:right="616"/>
        <w:rPr>
          <w:rFonts w:eastAsia="Times New Roman" w:cs="Arial"/>
          <w:bCs/>
          <w:i/>
          <w:iCs/>
          <w:color w:val="auto"/>
          <w:sz w:val="20"/>
          <w:lang w:eastAsia="es-ES"/>
        </w:rPr>
      </w:pPr>
      <w:r w:rsidRPr="008F04AB">
        <w:rPr>
          <w:rFonts w:eastAsia="Times New Roman" w:cs="Arial"/>
          <w:bCs/>
          <w:i/>
          <w:iCs/>
          <w:color w:val="auto"/>
          <w:sz w:val="20"/>
          <w:lang w:eastAsia="es-ES"/>
        </w:rPr>
        <w:lastRenderedPageBreak/>
        <w:t>sentimentales o al estado de salud de los sujetos implicados en alguna indagatoria, entre otros detalles personales. El derecho a la protección de la información personal, incluyendo la que se puede encontrar en las investigaciones en curso a cargo de la Procuraduría General de la República, está protegida en términos de la tutela que confieren los artículos 6°, 16 y 20, apartado C, inciso V, de la Constitución Política de los Estados Unidos Mexicanos.</w:t>
      </w:r>
    </w:p>
    <w:p w14:paraId="059E745F" w14:textId="77777777" w:rsidR="00EE476D" w:rsidRPr="008F04AB" w:rsidRDefault="00EE476D" w:rsidP="006461DA">
      <w:pPr>
        <w:spacing w:after="0" w:line="360" w:lineRule="auto"/>
        <w:ind w:left="567" w:right="616"/>
        <w:rPr>
          <w:rFonts w:eastAsia="Times New Roman" w:cs="Arial"/>
          <w:bCs/>
          <w:i/>
          <w:iCs/>
          <w:color w:val="auto"/>
          <w:sz w:val="20"/>
          <w:lang w:eastAsia="es-ES"/>
        </w:rPr>
      </w:pPr>
    </w:p>
    <w:p w14:paraId="15BE3668" w14:textId="0590C475" w:rsidR="00EE476D" w:rsidRPr="008F04AB" w:rsidRDefault="00EE476D" w:rsidP="006461DA">
      <w:pPr>
        <w:spacing w:after="0" w:line="360" w:lineRule="auto"/>
        <w:ind w:left="567" w:right="616"/>
        <w:rPr>
          <w:rFonts w:eastAsia="Times New Roman" w:cs="Arial"/>
          <w:bCs/>
          <w:i/>
          <w:iCs/>
          <w:color w:val="auto"/>
          <w:sz w:val="20"/>
          <w:lang w:eastAsia="es-ES"/>
        </w:rPr>
      </w:pPr>
      <w:r w:rsidRPr="008F04AB">
        <w:rPr>
          <w:rFonts w:eastAsia="Times New Roman" w:cs="Arial"/>
          <w:bCs/>
          <w:i/>
          <w:iCs/>
          <w:color w:val="auto"/>
          <w:sz w:val="20"/>
          <w:lang w:eastAsia="es-ES"/>
        </w:rPr>
        <w:t xml:space="preserve">Revelar la información contenida en la carpeta de investigación podría vulnerar los derechos de las víctimas, familiares, testigos o, incluso, de los servidores públicos, toda vez que se colocarían en una situación de riesgo, pues se podría atentar contra su integridad física, psicológica, material o inmaterial; e incluso podría vulnerarse la imagen y la honra de las personas indagadas dentro del proceso penal. Por tanto, se afirma que el perjuicio de difundir la misma supera el interés particular de conocerla. </w:t>
      </w:r>
    </w:p>
    <w:p w14:paraId="1DCD669E" w14:textId="6BE67205" w:rsidR="00EE476D" w:rsidRPr="008F04AB" w:rsidRDefault="00EE476D" w:rsidP="006461DA">
      <w:pPr>
        <w:spacing w:after="0" w:line="360" w:lineRule="auto"/>
        <w:ind w:left="567" w:right="616"/>
        <w:rPr>
          <w:rFonts w:eastAsia="Times New Roman" w:cs="Arial"/>
          <w:bCs/>
          <w:i/>
          <w:iCs/>
          <w:color w:val="auto"/>
          <w:sz w:val="20"/>
          <w:lang w:eastAsia="es-ES"/>
        </w:rPr>
      </w:pPr>
    </w:p>
    <w:p w14:paraId="0287BB84" w14:textId="25112C2A" w:rsidR="00EE476D" w:rsidRPr="008F04AB" w:rsidRDefault="00EE476D" w:rsidP="006461DA">
      <w:pPr>
        <w:spacing w:after="0" w:line="360" w:lineRule="auto"/>
        <w:ind w:left="567" w:right="616"/>
        <w:rPr>
          <w:rFonts w:eastAsia="Times New Roman" w:cs="Arial"/>
          <w:b/>
          <w:i/>
          <w:iCs/>
          <w:color w:val="auto"/>
          <w:sz w:val="20"/>
          <w:lang w:eastAsia="es-ES"/>
        </w:rPr>
      </w:pPr>
      <w:r w:rsidRPr="008F04AB">
        <w:rPr>
          <w:rFonts w:eastAsia="Times New Roman" w:cs="Arial"/>
          <w:b/>
          <w:i/>
          <w:iCs/>
          <w:color w:val="auto"/>
          <w:sz w:val="20"/>
          <w:lang w:eastAsia="es-ES"/>
        </w:rPr>
        <w:t>V. En la motivación de la clasificación, el sujeto obligado deberá acreditar las circunstancias de modo, tiempo y lugar del daño, y</w:t>
      </w:r>
    </w:p>
    <w:p w14:paraId="7E40E7E2" w14:textId="482960DD" w:rsidR="00EE476D" w:rsidRPr="008F04AB" w:rsidRDefault="00EE476D" w:rsidP="006461DA">
      <w:pPr>
        <w:spacing w:after="0" w:line="360" w:lineRule="auto"/>
        <w:ind w:left="567" w:right="616"/>
        <w:rPr>
          <w:rFonts w:eastAsia="Times New Roman" w:cs="Arial"/>
          <w:bCs/>
          <w:i/>
          <w:iCs/>
          <w:color w:val="auto"/>
          <w:sz w:val="20"/>
          <w:lang w:eastAsia="es-ES"/>
        </w:rPr>
      </w:pPr>
      <w:r w:rsidRPr="008F04AB">
        <w:rPr>
          <w:rFonts w:eastAsia="Times New Roman" w:cs="Arial"/>
          <w:bCs/>
          <w:i/>
          <w:iCs/>
          <w:color w:val="auto"/>
          <w:sz w:val="20"/>
          <w:lang w:eastAsia="es-ES"/>
        </w:rPr>
        <w:t>La divulgación de la información pone en riesgo la seguridad pública, la integridad y seguridad de las personas que intervienen en ella, además se podría corromper la conservación del estado de derecho mexicano, en virtud de que podría traer a consecuencia que el gobernado se abstenga de denunciar la comisión de delitos cometidos en su contra o de otras personas, ocasionando que los delincuentes impunemente quebranten la ley.</w:t>
      </w:r>
    </w:p>
    <w:p w14:paraId="1B0CCC74" w14:textId="77777777" w:rsidR="00EE476D" w:rsidRPr="008F04AB" w:rsidRDefault="00EE476D" w:rsidP="006461DA">
      <w:pPr>
        <w:spacing w:after="0" w:line="360" w:lineRule="auto"/>
        <w:ind w:left="567" w:right="616"/>
        <w:rPr>
          <w:rFonts w:eastAsia="Times New Roman" w:cs="Arial"/>
          <w:bCs/>
          <w:i/>
          <w:iCs/>
          <w:color w:val="auto"/>
          <w:sz w:val="20"/>
          <w:lang w:eastAsia="es-ES"/>
        </w:rPr>
      </w:pPr>
    </w:p>
    <w:p w14:paraId="6AF5DA41" w14:textId="1F35311E" w:rsidR="00EE476D" w:rsidRPr="008F04AB" w:rsidRDefault="00EE476D" w:rsidP="006461DA">
      <w:pPr>
        <w:spacing w:after="0" w:line="360" w:lineRule="auto"/>
        <w:ind w:left="567" w:right="616"/>
        <w:rPr>
          <w:rFonts w:eastAsia="Times New Roman" w:cs="Arial"/>
          <w:bCs/>
          <w:i/>
          <w:iCs/>
          <w:color w:val="auto"/>
          <w:sz w:val="20"/>
          <w:lang w:eastAsia="es-ES"/>
        </w:rPr>
      </w:pPr>
      <w:r w:rsidRPr="008F04AB">
        <w:rPr>
          <w:rFonts w:eastAsia="Times New Roman" w:cs="Arial"/>
          <w:bCs/>
          <w:i/>
          <w:iCs/>
          <w:color w:val="auto"/>
          <w:sz w:val="20"/>
          <w:lang w:eastAsia="es-ES"/>
        </w:rPr>
        <w:t>Reiterándose que la reserva realizada, está debidamente justificada, y es idónea, necesaria y proporcional para que la investigación no se vea afectada, se persigan eficazmente los delitos, no se afecten las garantías de debido proceso penal, se salvaguarden los derechos de las personas involucradas en la averiguación previa (el inculpado, la víctima y el ofendido), así como para que se proteja a las personas. En caso de que no se protegiera tal información, ésta podría ser usada para causar algún daño físico, familiar o patrimonial a cualquiera de los sujetos involucrados en la investigación, incluyendo a los testigos del acto delictivo.</w:t>
      </w:r>
    </w:p>
    <w:p w14:paraId="56AA079D" w14:textId="53F30952" w:rsidR="00EE476D" w:rsidRPr="008F04AB" w:rsidRDefault="00EE476D" w:rsidP="006461DA">
      <w:pPr>
        <w:spacing w:after="0" w:line="360" w:lineRule="auto"/>
        <w:ind w:left="567" w:right="616"/>
        <w:rPr>
          <w:rFonts w:eastAsia="Times New Roman" w:cs="Arial"/>
          <w:bCs/>
          <w:i/>
          <w:iCs/>
          <w:color w:val="auto"/>
          <w:sz w:val="20"/>
          <w:lang w:eastAsia="es-ES"/>
        </w:rPr>
      </w:pPr>
    </w:p>
    <w:p w14:paraId="2D2B4203" w14:textId="60BA0F5B" w:rsidR="00EE476D" w:rsidRPr="008F04AB" w:rsidRDefault="00EE476D" w:rsidP="006461DA">
      <w:pPr>
        <w:spacing w:after="0" w:line="360" w:lineRule="auto"/>
        <w:ind w:left="567" w:right="616"/>
        <w:rPr>
          <w:rFonts w:eastAsia="Times New Roman" w:cs="Arial"/>
          <w:b/>
          <w:i/>
          <w:iCs/>
          <w:color w:val="auto"/>
          <w:sz w:val="20"/>
          <w:lang w:eastAsia="es-ES"/>
        </w:rPr>
      </w:pPr>
      <w:r w:rsidRPr="008F04AB">
        <w:rPr>
          <w:rFonts w:eastAsia="Times New Roman" w:cs="Arial"/>
          <w:b/>
          <w:i/>
          <w:iCs/>
          <w:color w:val="auto"/>
          <w:sz w:val="20"/>
          <w:lang w:eastAsia="es-ES"/>
        </w:rPr>
        <w:lastRenderedPageBreak/>
        <w:t>VI. Deberán elegir la opción de excepción al acceso a la información que menos lo restrinja, la cual será adecuada y proporcional para la protección del interés público, y deberá interferir lo menos posible en el ejercicio efectivo del derecho de acceso a la información.</w:t>
      </w:r>
    </w:p>
    <w:p w14:paraId="32DEAA9C" w14:textId="08390D86" w:rsidR="00EE476D" w:rsidRPr="008F04AB" w:rsidRDefault="00EE476D" w:rsidP="006461DA">
      <w:pPr>
        <w:spacing w:after="0" w:line="360" w:lineRule="auto"/>
        <w:ind w:left="567" w:right="616"/>
        <w:rPr>
          <w:rFonts w:eastAsia="Times New Roman" w:cs="Arial"/>
          <w:bCs/>
          <w:i/>
          <w:iCs/>
          <w:color w:val="auto"/>
          <w:sz w:val="20"/>
          <w:lang w:eastAsia="es-ES"/>
        </w:rPr>
      </w:pPr>
      <w:r w:rsidRPr="008F04AB">
        <w:rPr>
          <w:rFonts w:eastAsia="Times New Roman" w:cs="Arial"/>
          <w:bCs/>
          <w:i/>
          <w:iCs/>
          <w:color w:val="auto"/>
          <w:sz w:val="20"/>
          <w:lang w:eastAsia="es-ES"/>
        </w:rPr>
        <w:t>Como se ha indicado previamente, clasificar la Carpeta de Investigación solicitada se encuentra perfectamente ajustado al marco normativo en materia de Transparencia y Acceso a la Información Pública  aplicable del Estado de México y atiende estrictamente al principio de proporcionalidad, toda vez que, la información contenida en una Carpeta de Investigación, forma parte de un todo, relacionado y adminiculado entre sí, y al encontrarse en trámite, su estado procesal impide otorgar acceso a la información ahí contenida, pues hacerlo implicaría poner en riesgo al personal de esta Institución, así como la eficacia de la investigación en curso, por tanto, lo procedente es reservar todas las actuaciones que la  integran, toda vez que de acuerdo al estado procesal que guarda la indagatoria peticionada, no es procedente otorgar acceso, porque hacerlo pondría en riesgo el desarrollo de la propia investigación.</w:t>
      </w:r>
    </w:p>
    <w:p w14:paraId="2343E80F" w14:textId="77777777" w:rsidR="00EE476D" w:rsidRPr="008F04AB" w:rsidRDefault="00EE476D" w:rsidP="006461DA">
      <w:pPr>
        <w:spacing w:after="0" w:line="360" w:lineRule="auto"/>
        <w:ind w:left="567" w:right="616"/>
        <w:rPr>
          <w:rFonts w:eastAsia="Times New Roman" w:cs="Arial"/>
          <w:bCs/>
          <w:i/>
          <w:iCs/>
          <w:color w:val="auto"/>
          <w:sz w:val="20"/>
          <w:lang w:eastAsia="es-ES"/>
        </w:rPr>
      </w:pPr>
    </w:p>
    <w:p w14:paraId="2D8F36E0" w14:textId="7D10D6E6" w:rsidR="00EE476D" w:rsidRPr="008F04AB" w:rsidRDefault="00EE476D" w:rsidP="006461DA">
      <w:pPr>
        <w:spacing w:after="0" w:line="360" w:lineRule="auto"/>
        <w:ind w:left="567" w:right="616"/>
        <w:rPr>
          <w:rFonts w:eastAsia="Times New Roman" w:cs="Arial"/>
          <w:bCs/>
          <w:i/>
          <w:iCs/>
          <w:color w:val="auto"/>
          <w:sz w:val="20"/>
          <w:lang w:eastAsia="es-ES"/>
        </w:rPr>
      </w:pPr>
      <w:r w:rsidRPr="008F04AB">
        <w:rPr>
          <w:rFonts w:eastAsia="Times New Roman" w:cs="Arial"/>
          <w:bCs/>
          <w:i/>
          <w:iCs/>
          <w:color w:val="auto"/>
          <w:sz w:val="20"/>
          <w:lang w:eastAsia="es-ES"/>
        </w:rPr>
        <w:t>El acceso a la información pública tiene limitaciones, ya que no toda información que se encuentre en los archivos de este Sujeto Obligado puede ser difundida o entregada. Así ocurre, en el caso de información relacionada con la persecución e investigación de un delito, cuya excepción al acceso a la información debe estar destinada a proteger un objetivo legítimo, mismo que puede desencadenar en posibles represalias contra la vida o integridad física de la víctima, familiares, testigos o, incluso, de los servidores públicos que desarrollan su trabajo con sigilo y eficacia, lo que se traduce en un perjuicio significativo al interés público.</w:t>
      </w:r>
    </w:p>
    <w:p w14:paraId="2DB96F39" w14:textId="77777777" w:rsidR="00EE476D" w:rsidRPr="008F04AB" w:rsidRDefault="00EE476D" w:rsidP="006461DA">
      <w:pPr>
        <w:spacing w:after="0" w:line="360" w:lineRule="auto"/>
        <w:ind w:left="567" w:right="616"/>
        <w:rPr>
          <w:rFonts w:eastAsia="Times New Roman" w:cs="Arial"/>
          <w:bCs/>
          <w:i/>
          <w:iCs/>
          <w:color w:val="auto"/>
          <w:sz w:val="20"/>
          <w:lang w:eastAsia="es-ES"/>
        </w:rPr>
      </w:pPr>
    </w:p>
    <w:p w14:paraId="678CBDC9" w14:textId="53B9E109" w:rsidR="003F0D11" w:rsidRPr="008F04AB" w:rsidRDefault="003F0D11" w:rsidP="006461DA">
      <w:pPr>
        <w:spacing w:after="0" w:line="360" w:lineRule="auto"/>
        <w:rPr>
          <w:rFonts w:cs="Tahoma"/>
        </w:rPr>
      </w:pPr>
      <w:r w:rsidRPr="008F04AB">
        <w:rPr>
          <w:rFonts w:cs="Tahoma"/>
        </w:rPr>
        <w:t xml:space="preserve">Es al tenor de los argumentos reproducidos que se analiza si los mismos, sirven de soporte para la clasificación de la información en calidad de reservada </w:t>
      </w:r>
      <w:r w:rsidR="005873AB" w:rsidRPr="008F04AB">
        <w:rPr>
          <w:rFonts w:cs="Tahoma"/>
        </w:rPr>
        <w:t>o,</w:t>
      </w:r>
      <w:r w:rsidRPr="008F04AB">
        <w:rPr>
          <w:rFonts w:cs="Tahoma"/>
        </w:rPr>
        <w:t xml:space="preserve"> por el contrario, no son argumentos suficientes para el soporte de </w:t>
      </w:r>
      <w:r w:rsidR="00040287" w:rsidRPr="008F04AB">
        <w:rPr>
          <w:rFonts w:cs="Tahoma"/>
        </w:rPr>
        <w:t>esta</w:t>
      </w:r>
      <w:r w:rsidRPr="008F04AB">
        <w:rPr>
          <w:rFonts w:cs="Tahoma"/>
        </w:rPr>
        <w:t>:</w:t>
      </w:r>
    </w:p>
    <w:p w14:paraId="30CDAD34" w14:textId="77777777" w:rsidR="00EE476D" w:rsidRPr="008F04AB" w:rsidRDefault="00EE476D" w:rsidP="006461DA">
      <w:pPr>
        <w:spacing w:after="0" w:line="360" w:lineRule="auto"/>
        <w:ind w:left="567" w:right="616"/>
        <w:rPr>
          <w:rFonts w:eastAsia="Times New Roman" w:cs="Arial"/>
          <w:bCs/>
          <w:i/>
          <w:iCs/>
          <w:color w:val="auto"/>
          <w:sz w:val="20"/>
          <w:lang w:eastAsia="es-ES"/>
        </w:rPr>
      </w:pPr>
    </w:p>
    <w:p w14:paraId="5D04D711" w14:textId="77777777" w:rsidR="00E421BE" w:rsidRDefault="00E421BE" w:rsidP="006461DA">
      <w:pPr>
        <w:spacing w:after="0" w:line="360" w:lineRule="auto"/>
        <w:rPr>
          <w:rFonts w:cs="Tahoma"/>
          <w:b/>
          <w:bCs/>
        </w:rPr>
      </w:pPr>
      <w:r w:rsidRPr="00BB181E">
        <w:rPr>
          <w:rFonts w:cs="Tahoma"/>
          <w:b/>
          <w:bCs/>
        </w:rPr>
        <w:t>A la fracción I.</w:t>
      </w:r>
      <w:r>
        <w:rPr>
          <w:rFonts w:cs="Tahoma"/>
          <w:b/>
          <w:bCs/>
        </w:rPr>
        <w:t xml:space="preserve"> </w:t>
      </w:r>
      <w:r w:rsidRPr="000660C4">
        <w:rPr>
          <w:rFonts w:cs="Tahoma"/>
          <w:b/>
          <w:bCs/>
        </w:rPr>
        <w:t xml:space="preserve"> Se deberá citar la fracción y, en su caso, la causal aplicable del artículo 113 de la Ley General, vinculándola con el Lineamiento específico del presente ordenamiento y, </w:t>
      </w:r>
      <w:r w:rsidRPr="000660C4">
        <w:rPr>
          <w:rFonts w:cs="Tahoma"/>
          <w:b/>
          <w:bCs/>
        </w:rPr>
        <w:lastRenderedPageBreak/>
        <w:t>cuando corresponda, el supuesto normativo que expresamente le otorga el carácter de información reservada</w:t>
      </w:r>
      <w:r w:rsidRPr="00BB181E">
        <w:rPr>
          <w:rFonts w:cs="Tahoma"/>
          <w:b/>
          <w:bCs/>
        </w:rPr>
        <w:t xml:space="preserve"> </w:t>
      </w:r>
    </w:p>
    <w:p w14:paraId="1DBBA1E9" w14:textId="77777777" w:rsidR="00E421BE" w:rsidRDefault="00E421BE" w:rsidP="006461DA">
      <w:pPr>
        <w:spacing w:after="0" w:line="360" w:lineRule="auto"/>
        <w:rPr>
          <w:rFonts w:cs="Tahoma"/>
          <w:b/>
          <w:bCs/>
        </w:rPr>
      </w:pPr>
    </w:p>
    <w:p w14:paraId="423F2F5A" w14:textId="77777777" w:rsidR="00E421BE" w:rsidRPr="00BB181E" w:rsidRDefault="00E421BE" w:rsidP="006461DA">
      <w:pPr>
        <w:spacing w:after="0" w:line="360" w:lineRule="auto"/>
        <w:rPr>
          <w:rFonts w:cs="Tahoma"/>
        </w:rPr>
      </w:pPr>
      <w:r w:rsidRPr="00BB181E">
        <w:t>El Sujeto</w:t>
      </w:r>
      <w:r w:rsidRPr="00BB181E">
        <w:rPr>
          <w:rFonts w:cs="Tahoma"/>
        </w:rPr>
        <w:t xml:space="preserve"> Obligado, relacionó el Vigésimo Sexto de los Lineamientos a las fracciones VI, IX y XI del artículo 140 de la Ley de Transparencia vigente en la Entidad, por lo que, sin embargo, ya se desarrolló que las fracciones invocadas, ya no facultan la reserva de la información. </w:t>
      </w:r>
    </w:p>
    <w:p w14:paraId="38E43300" w14:textId="25855514" w:rsidR="00BB6529" w:rsidRPr="008F04AB" w:rsidRDefault="00BB6529" w:rsidP="006461DA">
      <w:pPr>
        <w:spacing w:after="0" w:line="360" w:lineRule="auto"/>
        <w:rPr>
          <w:rFonts w:cs="Tahoma"/>
        </w:rPr>
      </w:pPr>
    </w:p>
    <w:p w14:paraId="78B8CBF8" w14:textId="77777777" w:rsidR="00E421BE" w:rsidRDefault="00E421BE" w:rsidP="006461DA">
      <w:pPr>
        <w:spacing w:after="0" w:line="360" w:lineRule="auto"/>
        <w:rPr>
          <w:rFonts w:cs="Tahoma"/>
        </w:rPr>
      </w:pPr>
      <w:r w:rsidRPr="000660C4">
        <w:rPr>
          <w:rFonts w:cs="Tahoma"/>
          <w:b/>
          <w:bCs/>
        </w:rPr>
        <w:t>A la fracción II.  Mediante la ponderación de los intereses en conflicto, los sujetos obligados deberán demostrar que la publicidad de la información solicitada generaría un riesgo de perjuicio y, por lo tanto, tendrán que acreditar que este último rebasa el interés público protegido por la reserva</w:t>
      </w:r>
      <w:r>
        <w:rPr>
          <w:rFonts w:cs="Tahoma"/>
          <w:b/>
          <w:bCs/>
        </w:rPr>
        <w:t>.</w:t>
      </w:r>
    </w:p>
    <w:p w14:paraId="6475E699" w14:textId="77777777" w:rsidR="00E421BE" w:rsidRDefault="00E421BE" w:rsidP="006461DA">
      <w:pPr>
        <w:spacing w:after="0" w:line="360" w:lineRule="auto"/>
        <w:rPr>
          <w:rFonts w:cs="Tahoma"/>
        </w:rPr>
      </w:pPr>
    </w:p>
    <w:p w14:paraId="1A1C5F04" w14:textId="77777777" w:rsidR="00E421BE" w:rsidRPr="000660C4" w:rsidRDefault="00E421BE" w:rsidP="006461DA">
      <w:pPr>
        <w:spacing w:after="0" w:line="360" w:lineRule="auto"/>
        <w:rPr>
          <w:rFonts w:cs="Tahoma"/>
        </w:rPr>
      </w:pPr>
      <w:r w:rsidRPr="000660C4">
        <w:rPr>
          <w:rFonts w:cs="Tahoma"/>
        </w:rPr>
        <w:t>Sobre este punto, se debe resaltar los elementos de su argumentación, que resultan más relevantes:</w:t>
      </w:r>
    </w:p>
    <w:p w14:paraId="4D75D15A" w14:textId="77777777" w:rsidR="00E421BE" w:rsidRPr="000660C4" w:rsidRDefault="00E421BE" w:rsidP="006461DA">
      <w:pPr>
        <w:spacing w:after="0" w:line="360" w:lineRule="auto"/>
        <w:rPr>
          <w:rFonts w:cs="Tahoma"/>
        </w:rPr>
      </w:pPr>
    </w:p>
    <w:p w14:paraId="3BED4CAD" w14:textId="77777777" w:rsidR="00E421BE" w:rsidRPr="000660C4" w:rsidRDefault="00E421BE" w:rsidP="006461DA">
      <w:pPr>
        <w:spacing w:after="0" w:line="360" w:lineRule="auto"/>
        <w:ind w:left="567" w:right="616"/>
        <w:rPr>
          <w:rFonts w:eastAsia="Times New Roman" w:cs="Arial"/>
          <w:bCs/>
          <w:i/>
          <w:iCs/>
          <w:color w:val="auto"/>
          <w:sz w:val="20"/>
          <w:lang w:eastAsia="es-ES"/>
        </w:rPr>
      </w:pPr>
      <w:r w:rsidRPr="000660C4">
        <w:rPr>
          <w:rFonts w:eastAsia="Times New Roman" w:cs="Arial"/>
          <w:bCs/>
          <w:i/>
          <w:iCs/>
          <w:color w:val="auto"/>
          <w:sz w:val="20"/>
          <w:lang w:eastAsia="es-ES"/>
        </w:rPr>
        <w:t>“…revelar la información requerida representa un menoscabo para la investigación y persecución del delito, pues, como ya se ha repetido, la reserva de la información se encuentra expresamente prevista en diversas disposiciones normativas con tal carácter, siendo estas previsiones de orden público y de observancia general.</w:t>
      </w:r>
    </w:p>
    <w:p w14:paraId="19A360AB" w14:textId="77777777" w:rsidR="00E421BE" w:rsidRPr="000660C4" w:rsidRDefault="00E421BE" w:rsidP="006461DA">
      <w:pPr>
        <w:spacing w:after="0" w:line="360" w:lineRule="auto"/>
        <w:ind w:left="567" w:right="616"/>
        <w:rPr>
          <w:rFonts w:eastAsia="Times New Roman" w:cs="Arial"/>
          <w:bCs/>
          <w:i/>
          <w:iCs/>
          <w:color w:val="auto"/>
          <w:sz w:val="20"/>
          <w:lang w:eastAsia="es-ES"/>
        </w:rPr>
      </w:pPr>
    </w:p>
    <w:p w14:paraId="2BC02F1A" w14:textId="77777777" w:rsidR="00E421BE" w:rsidRPr="000660C4" w:rsidRDefault="00E421BE" w:rsidP="006461DA">
      <w:pPr>
        <w:spacing w:after="0" w:line="360" w:lineRule="auto"/>
        <w:ind w:left="567" w:right="616"/>
        <w:rPr>
          <w:rFonts w:eastAsia="Times New Roman" w:cs="Arial"/>
          <w:bCs/>
          <w:i/>
          <w:iCs/>
          <w:color w:val="auto"/>
          <w:sz w:val="20"/>
          <w:lang w:eastAsia="es-ES"/>
        </w:rPr>
      </w:pPr>
      <w:r w:rsidRPr="000660C4">
        <w:rPr>
          <w:rFonts w:eastAsia="Times New Roman" w:cs="Arial"/>
          <w:bCs/>
          <w:i/>
          <w:iCs/>
          <w:color w:val="auto"/>
          <w:sz w:val="20"/>
          <w:lang w:eastAsia="es-ES"/>
        </w:rPr>
        <w:t>Si bien es cierto que la información generada por autoridades en ejercicio de sus funciones es de carácter público, al formar parte de una carpeta de investigación, se actualiza la excepción a la publicidad de la información, para que la misma no pueda ser publicitada hasta pasado un lapso de tiempo y bajo ciertas modalidades, ya que exponer determinados datos de manera anticipada puede llevar al fracaso de las investigaciones que persiguen delitos…”</w:t>
      </w:r>
    </w:p>
    <w:p w14:paraId="06DBCE04" w14:textId="77777777" w:rsidR="00E421BE" w:rsidRPr="000660C4" w:rsidRDefault="00E421BE" w:rsidP="006461DA">
      <w:pPr>
        <w:spacing w:after="0" w:line="360" w:lineRule="auto"/>
        <w:rPr>
          <w:rFonts w:cs="Tahoma"/>
        </w:rPr>
      </w:pPr>
    </w:p>
    <w:p w14:paraId="397B3390" w14:textId="77777777" w:rsidR="00E421BE" w:rsidRPr="000660C4" w:rsidRDefault="00E421BE" w:rsidP="006461DA">
      <w:pPr>
        <w:spacing w:after="0" w:line="360" w:lineRule="auto"/>
        <w:rPr>
          <w:rFonts w:cs="Tahoma"/>
        </w:rPr>
      </w:pPr>
      <w:r w:rsidRPr="000660C4">
        <w:rPr>
          <w:rFonts w:cs="Tahoma"/>
        </w:rPr>
        <w:t xml:space="preserve">Asimismo, al citar la Tesis Aislada de la Novena Época con Registro: 163166, publicada en el Semanario Judicial de la Federación y su Gaceta, Tomo XXXIII, en enero de 2011, que lleva por </w:t>
      </w:r>
      <w:r w:rsidRPr="000660C4">
        <w:rPr>
          <w:rFonts w:cs="Tahoma"/>
        </w:rPr>
        <w:lastRenderedPageBreak/>
        <w:t>rubro y texto DERECHOS A LA VIDA Y A LA INTEGRIDAD PERSONAL. SU VIOLACIÓN GENERA EL DEBER DEL ESTADO DE INVESTIGAR EFECTIVAMENTE LOS HECHOS RESPECTIVOS, presume la necesidad de proteger la integridad de los indiciados a través de un proceso profesional y por ello, se presume la secrecía.</w:t>
      </w:r>
    </w:p>
    <w:p w14:paraId="4675F96C" w14:textId="77777777" w:rsidR="00E421BE" w:rsidRPr="000660C4" w:rsidRDefault="00E421BE" w:rsidP="006461DA">
      <w:pPr>
        <w:spacing w:after="0" w:line="360" w:lineRule="auto"/>
        <w:rPr>
          <w:rFonts w:cs="Tahoma"/>
        </w:rPr>
      </w:pPr>
    </w:p>
    <w:p w14:paraId="36EE8378" w14:textId="77777777" w:rsidR="00E421BE" w:rsidRDefault="00E421BE" w:rsidP="006461DA">
      <w:pPr>
        <w:spacing w:after="0" w:line="360" w:lineRule="auto"/>
        <w:rPr>
          <w:rFonts w:eastAsia="Calibri" w:cs="Tahoma"/>
          <w:bCs/>
        </w:rPr>
      </w:pPr>
      <w:r w:rsidRPr="000660C4">
        <w:rPr>
          <w:rFonts w:cs="Tahoma"/>
        </w:rPr>
        <w:t xml:space="preserve">Estas aseveraciones, no encuentran sustento en la práctica, pues </w:t>
      </w:r>
      <w:r>
        <w:rPr>
          <w:rFonts w:cs="Tahoma"/>
        </w:rPr>
        <w:t xml:space="preserve">la información fue divulgada por diversos medios de comunicación, algunos de ellos aseveraron que esta fue divulgada por diversos servidores públicos e incluso hay evidencia de que los propios Servidores Públicos adscritos a la Fiscalía General de Justicia, fueron aportando datos relevantes al asunto, entre los que resalta el Fiscal General de Justicia y la </w:t>
      </w:r>
      <w:r w:rsidRPr="002B10F5">
        <w:rPr>
          <w:rFonts w:eastAsia="Calibri" w:cs="Tahoma"/>
          <w:bCs/>
        </w:rPr>
        <w:t>Titular de la Fiscalía Central para la Atención de Delitos Vinculados a la Violencia de Género</w:t>
      </w:r>
      <w:r>
        <w:rPr>
          <w:rFonts w:eastAsia="Calibri" w:cs="Tahoma"/>
          <w:bCs/>
        </w:rPr>
        <w:t>, como ya se desarrolló en el estudio que explica la trascendencia del presente asunto.</w:t>
      </w:r>
    </w:p>
    <w:p w14:paraId="77366742" w14:textId="77777777" w:rsidR="00E421BE" w:rsidRDefault="00E421BE" w:rsidP="006461DA">
      <w:pPr>
        <w:spacing w:after="0" w:line="360" w:lineRule="auto"/>
        <w:rPr>
          <w:rFonts w:eastAsia="Calibri" w:cs="Tahoma"/>
          <w:bCs/>
        </w:rPr>
      </w:pPr>
    </w:p>
    <w:p w14:paraId="7D2458EB" w14:textId="77777777" w:rsidR="00E421BE" w:rsidRPr="000660C4" w:rsidRDefault="00E421BE" w:rsidP="006461DA">
      <w:pPr>
        <w:spacing w:after="0" w:line="360" w:lineRule="auto"/>
        <w:rPr>
          <w:rFonts w:cs="Tahoma"/>
        </w:rPr>
      </w:pPr>
      <w:r w:rsidRPr="000660C4">
        <w:rPr>
          <w:rFonts w:cs="Tahoma"/>
        </w:rPr>
        <w:t>Es entonces, que el Sujeto Obligado, debió a través de un ejercicio de ponderación, demostrar la prevalencia de la reserva de la información por encima de su publicidad, lo que no se logró acreditar por parte del Sujeto Obligado, pues, la propia Fiscalía, por la magnitud del asunto, realizó pronunciamientos y entregó información a través de entrevistas entre lo que se destacan datos como la ubicación exacta del inmueble en el que se realizaron las hallazgos, la cantidad de víctimas identificadas, la cantidad de restos óseos, el estatus de que se declaró culpable el imputado, por señalar algunos de los datos que fueron filtrados.</w:t>
      </w:r>
    </w:p>
    <w:p w14:paraId="767418A4" w14:textId="77777777" w:rsidR="00E421BE" w:rsidRPr="000660C4" w:rsidRDefault="00E421BE" w:rsidP="006461DA">
      <w:pPr>
        <w:spacing w:after="0" w:line="360" w:lineRule="auto"/>
        <w:rPr>
          <w:rFonts w:cs="Tahoma"/>
        </w:rPr>
      </w:pPr>
    </w:p>
    <w:p w14:paraId="5EE253B9" w14:textId="77777777" w:rsidR="00E421BE" w:rsidRPr="000660C4" w:rsidRDefault="00E421BE" w:rsidP="006461DA">
      <w:pPr>
        <w:spacing w:after="0" w:line="360" w:lineRule="auto"/>
        <w:rPr>
          <w:rFonts w:cs="Tahoma"/>
        </w:rPr>
      </w:pPr>
      <w:r w:rsidRPr="000660C4">
        <w:rPr>
          <w:rFonts w:cs="Tahoma"/>
        </w:rPr>
        <w:t xml:space="preserve">En este sentido, la </w:t>
      </w:r>
      <w:proofErr w:type="gramStart"/>
      <w:r w:rsidRPr="000660C4">
        <w:rPr>
          <w:rFonts w:cs="Tahoma"/>
        </w:rPr>
        <w:t>Fiscalía General</w:t>
      </w:r>
      <w:proofErr w:type="gramEnd"/>
      <w:r w:rsidRPr="000660C4">
        <w:rPr>
          <w:rFonts w:cs="Tahoma"/>
        </w:rPr>
        <w:t xml:space="preserve"> de Justicia, debió analizar de manera específica el presente caso y no hacer pronunciamientos genéricos, tal como lo contempla el artículo 134, en sus párrafos primero y tercero, que a la letra contempla:</w:t>
      </w:r>
    </w:p>
    <w:p w14:paraId="2BB2BBB2" w14:textId="77777777" w:rsidR="00E421BE" w:rsidRPr="000660C4" w:rsidRDefault="00E421BE" w:rsidP="006461DA">
      <w:pPr>
        <w:spacing w:after="0" w:line="360" w:lineRule="auto"/>
        <w:rPr>
          <w:rFonts w:cs="Tahoma"/>
        </w:rPr>
      </w:pPr>
    </w:p>
    <w:p w14:paraId="02D76D31" w14:textId="77777777" w:rsidR="00E421BE" w:rsidRPr="000660C4" w:rsidRDefault="00E421BE" w:rsidP="006461DA">
      <w:pPr>
        <w:spacing w:after="0" w:line="360" w:lineRule="auto"/>
        <w:ind w:left="567" w:right="616"/>
        <w:rPr>
          <w:rFonts w:eastAsia="Times New Roman" w:cs="Arial"/>
          <w:bCs/>
          <w:i/>
          <w:iCs/>
          <w:color w:val="auto"/>
          <w:sz w:val="20"/>
          <w:lang w:eastAsia="es-ES"/>
        </w:rPr>
      </w:pPr>
      <w:r w:rsidRPr="000660C4">
        <w:rPr>
          <w:rFonts w:eastAsia="Times New Roman" w:cs="Arial"/>
          <w:bCs/>
          <w:i/>
          <w:iCs/>
          <w:color w:val="auto"/>
          <w:sz w:val="20"/>
          <w:lang w:eastAsia="es-ES"/>
        </w:rPr>
        <w:t xml:space="preserve">Artículo 134. Los sujetos obligados no podrán emitir acuerdos de carácter general ni particular que clasifiquen documentos o información como reservada. </w:t>
      </w:r>
      <w:r w:rsidRPr="000660C4">
        <w:rPr>
          <w:rFonts w:eastAsia="Times New Roman" w:cs="Arial"/>
          <w:b/>
          <w:i/>
          <w:iCs/>
          <w:color w:val="auto"/>
          <w:sz w:val="20"/>
          <w:lang w:eastAsia="es-ES"/>
        </w:rPr>
        <w:t xml:space="preserve">La clasificación podrá establecerse de </w:t>
      </w:r>
      <w:r w:rsidRPr="000660C4">
        <w:rPr>
          <w:rFonts w:eastAsia="Times New Roman" w:cs="Arial"/>
          <w:b/>
          <w:i/>
          <w:iCs/>
          <w:color w:val="auto"/>
          <w:sz w:val="20"/>
          <w:lang w:eastAsia="es-ES"/>
        </w:rPr>
        <w:lastRenderedPageBreak/>
        <w:t>manera parcial o total de acuerdo al contenido de la información del documento y deberá estar acorde con la actualización de los supuestos definidos en el presente Título como información clasificada</w:t>
      </w:r>
      <w:r w:rsidRPr="000660C4">
        <w:rPr>
          <w:rFonts w:eastAsia="Times New Roman" w:cs="Arial"/>
          <w:bCs/>
          <w:i/>
          <w:iCs/>
          <w:color w:val="auto"/>
          <w:sz w:val="20"/>
          <w:lang w:eastAsia="es-ES"/>
        </w:rPr>
        <w:t xml:space="preserve">. </w:t>
      </w:r>
    </w:p>
    <w:p w14:paraId="1D8495E5" w14:textId="77777777" w:rsidR="00E421BE" w:rsidRPr="000660C4" w:rsidRDefault="00E421BE" w:rsidP="006461DA">
      <w:pPr>
        <w:spacing w:after="0" w:line="360" w:lineRule="auto"/>
        <w:ind w:left="567" w:right="616"/>
        <w:rPr>
          <w:rFonts w:eastAsia="Times New Roman" w:cs="Arial"/>
          <w:bCs/>
          <w:i/>
          <w:iCs/>
          <w:color w:val="auto"/>
          <w:sz w:val="20"/>
          <w:lang w:eastAsia="es-ES"/>
        </w:rPr>
      </w:pPr>
      <w:r w:rsidRPr="000660C4">
        <w:rPr>
          <w:rFonts w:eastAsia="Times New Roman" w:cs="Arial"/>
          <w:bCs/>
          <w:i/>
          <w:iCs/>
          <w:color w:val="auto"/>
          <w:sz w:val="20"/>
          <w:lang w:eastAsia="es-ES"/>
        </w:rPr>
        <w:t>…</w:t>
      </w:r>
    </w:p>
    <w:p w14:paraId="0277224D" w14:textId="77777777" w:rsidR="00E421BE" w:rsidRPr="000660C4" w:rsidRDefault="00E421BE" w:rsidP="006461DA">
      <w:pPr>
        <w:spacing w:after="0" w:line="360" w:lineRule="auto"/>
        <w:ind w:left="567" w:right="616"/>
        <w:rPr>
          <w:rFonts w:eastAsia="Times New Roman" w:cs="Arial"/>
          <w:b/>
          <w:i/>
          <w:iCs/>
          <w:color w:val="auto"/>
          <w:sz w:val="20"/>
          <w:lang w:eastAsia="es-ES"/>
        </w:rPr>
      </w:pPr>
      <w:r w:rsidRPr="000660C4">
        <w:rPr>
          <w:rFonts w:eastAsia="Times New Roman" w:cs="Arial"/>
          <w:b/>
          <w:i/>
          <w:iCs/>
          <w:color w:val="auto"/>
          <w:sz w:val="20"/>
          <w:lang w:eastAsia="es-ES"/>
        </w:rPr>
        <w:t>La clasificación de información se realizará conforme a un análisis caso por caso, mediante la aplicación de la prueba de daño.</w:t>
      </w:r>
    </w:p>
    <w:p w14:paraId="2F6B9F9E" w14:textId="77777777" w:rsidR="00E421BE" w:rsidRPr="000660C4" w:rsidRDefault="00E421BE" w:rsidP="006461DA">
      <w:pPr>
        <w:autoSpaceDE w:val="0"/>
        <w:autoSpaceDN w:val="0"/>
        <w:adjustRightInd w:val="0"/>
        <w:spacing w:after="0" w:line="360" w:lineRule="auto"/>
        <w:jc w:val="left"/>
        <w:rPr>
          <w:rFonts w:cs="Arial"/>
          <w:color w:val="000000"/>
          <w:sz w:val="20"/>
          <w:szCs w:val="20"/>
        </w:rPr>
      </w:pPr>
    </w:p>
    <w:p w14:paraId="4ED73A5B" w14:textId="77777777" w:rsidR="00E421BE" w:rsidRDefault="00E421BE" w:rsidP="006461DA">
      <w:pPr>
        <w:spacing w:after="0" w:line="360" w:lineRule="auto"/>
        <w:rPr>
          <w:rFonts w:cs="Tahoma"/>
        </w:rPr>
      </w:pPr>
      <w:r w:rsidRPr="000660C4">
        <w:rPr>
          <w:rFonts w:cs="Tahoma"/>
        </w:rPr>
        <w:t>Es entonces, que toda vez que no se identifica que se haya cuidado la secrecía en el presente asunto, no se logra identificar que satisfaga este punto.</w:t>
      </w:r>
    </w:p>
    <w:p w14:paraId="31E68A41" w14:textId="77777777" w:rsidR="00E421BE" w:rsidRDefault="00E421BE" w:rsidP="006461DA">
      <w:pPr>
        <w:spacing w:after="0" w:line="360" w:lineRule="auto"/>
        <w:rPr>
          <w:rFonts w:cs="Tahoma"/>
        </w:rPr>
      </w:pPr>
    </w:p>
    <w:p w14:paraId="7452A73E" w14:textId="77777777" w:rsidR="00E421BE" w:rsidRDefault="00E421BE" w:rsidP="006461DA">
      <w:pPr>
        <w:spacing w:after="0" w:line="360" w:lineRule="auto"/>
        <w:rPr>
          <w:rFonts w:cs="Tahoma"/>
        </w:rPr>
      </w:pPr>
      <w:r>
        <w:rPr>
          <w:rFonts w:cs="Tahoma"/>
        </w:rPr>
        <w:t xml:space="preserve">Ahora bien, toda vez que el Sujeto Obligado no acreditó de manera correcta este punto, se considera que al realizar el ejercicio de ponderación, la reserva de la información, en nada beneficia a las víctimas, ofendidos o familiares, ni tampoco beneficia al ahora sentenciado, pues ya existe una primera sentencia que además los medios señalan como prisión vitalicia, como se puede consultar en el periódico “El Financiero”, consultable en la liga de acceso directo </w:t>
      </w:r>
      <w:hyperlink r:id="rId89" w:history="1">
        <w:r w:rsidRPr="006B5C75">
          <w:rPr>
            <w:rStyle w:val="Hipervnculo"/>
            <w:rFonts w:cs="Tahoma"/>
          </w:rPr>
          <w:t>https://www.elfinanciero.com.mx/nacional/2022/03/18/dictan-prision-vitalicia-para-andres-n-feminicida-de-atizapan/</w:t>
        </w:r>
      </w:hyperlink>
      <w:r>
        <w:rPr>
          <w:rFonts w:cs="Tahoma"/>
        </w:rPr>
        <w:t>, entonces la reserva de la información no genera un beneficio, por el contrario, generaría opacidad en un asunto que ha sido del conocimiento público y por otra parte la publicidad en contraposición, permitiría a las víctimas y familiares conocer el seguimiento del asunto e identificar el actuar de las autoridades en torno al presente asunto, dándole claridad a las actuaciones realizadas: aun suponiendo que el sentenciado quiera defender su reputación (lo que no se identifica a partir de la audiencia de vinculación así como de la entrevista brindada), le es más benéfica la difusión de la información que la reserva, pues actualmente se presume como confeso y por tanto autor de los hechos constitutivos de delito.</w:t>
      </w:r>
    </w:p>
    <w:p w14:paraId="21E6E83E" w14:textId="77777777" w:rsidR="00E421BE" w:rsidRDefault="00E421BE" w:rsidP="006461DA">
      <w:pPr>
        <w:spacing w:after="0" w:line="360" w:lineRule="auto"/>
        <w:rPr>
          <w:rFonts w:cs="Tahoma"/>
        </w:rPr>
      </w:pPr>
    </w:p>
    <w:p w14:paraId="32684999" w14:textId="54C7C590" w:rsidR="00E421BE" w:rsidRDefault="00E421BE" w:rsidP="006461DA">
      <w:pPr>
        <w:spacing w:after="0" w:line="360" w:lineRule="auto"/>
        <w:rPr>
          <w:rFonts w:cs="Tahoma"/>
        </w:rPr>
      </w:pPr>
      <w:r>
        <w:rPr>
          <w:rFonts w:cs="Tahoma"/>
        </w:rPr>
        <w:t xml:space="preserve">Es entonces, que, en este punto, la difusión de la información, con las excepciones de ley como lo son datos sensibles y otros datos susceptibles a ser clasificados como confidenciales, así como </w:t>
      </w:r>
      <w:r>
        <w:rPr>
          <w:rFonts w:cs="Tahoma"/>
        </w:rPr>
        <w:lastRenderedPageBreak/>
        <w:t>posibles hechos o elementos que puedan afectar a las víctimas o familiares por la naturaleza de esta información, como pueden ser fotografías o descripciones gráficas, es información que deberá ser considerada como confidencial.</w:t>
      </w:r>
    </w:p>
    <w:p w14:paraId="0EF30D17" w14:textId="77777777" w:rsidR="00B24B4F" w:rsidRPr="000660C4" w:rsidRDefault="00B24B4F" w:rsidP="006461DA">
      <w:pPr>
        <w:spacing w:after="0" w:line="360" w:lineRule="auto"/>
        <w:rPr>
          <w:rFonts w:cs="Tahoma"/>
        </w:rPr>
      </w:pPr>
    </w:p>
    <w:p w14:paraId="189ABA8F" w14:textId="77777777" w:rsidR="00F21F1F" w:rsidRPr="00E7095D" w:rsidRDefault="00F21F1F" w:rsidP="006461DA">
      <w:pPr>
        <w:spacing w:after="0" w:line="360" w:lineRule="auto"/>
        <w:ind w:right="616"/>
        <w:rPr>
          <w:rFonts w:cs="Tahoma"/>
          <w:b/>
          <w:bCs/>
        </w:rPr>
      </w:pPr>
      <w:r w:rsidRPr="00E7095D">
        <w:rPr>
          <w:rFonts w:cs="Tahoma"/>
          <w:b/>
          <w:bCs/>
        </w:rPr>
        <w:t>Fracción III.  Se debe de acreditar el vínculo entre la difusión de la información y la afectación del interés jurídico tutelado de que se trate;</w:t>
      </w:r>
    </w:p>
    <w:p w14:paraId="02F3CE41" w14:textId="77777777" w:rsidR="00F21F1F" w:rsidRPr="00E7095D" w:rsidRDefault="00F21F1F" w:rsidP="006461DA">
      <w:pPr>
        <w:spacing w:after="0" w:line="360" w:lineRule="auto"/>
        <w:ind w:right="616"/>
        <w:rPr>
          <w:rFonts w:cs="Tahoma"/>
          <w:b/>
          <w:bCs/>
        </w:rPr>
      </w:pPr>
    </w:p>
    <w:p w14:paraId="5E3C3FF8" w14:textId="77777777" w:rsidR="00F21F1F" w:rsidRDefault="00F21F1F" w:rsidP="006461DA">
      <w:pPr>
        <w:spacing w:after="0" w:line="360" w:lineRule="auto"/>
        <w:ind w:right="616"/>
        <w:rPr>
          <w:rFonts w:cs="Tahoma"/>
        </w:rPr>
      </w:pPr>
      <w:r w:rsidRPr="00E7095D">
        <w:rPr>
          <w:rFonts w:cs="Tahoma"/>
        </w:rPr>
        <w:t xml:space="preserve">Sobre este punto el Sujeto Obligado se pronunció en el sentido de afirmar que </w:t>
      </w:r>
      <w:r w:rsidRPr="00E7095D">
        <w:rPr>
          <w:rFonts w:cs="Tahoma"/>
          <w:i/>
          <w:iCs/>
        </w:rPr>
        <w:t>“La normatividad penal aplicable restringe a terceros ajenos al procedimiento penal, el acceso a la información contenida en las carpetas de investigación, dado que su divulgación podría obstaculizar el proceso de investigación y, en consecuencia, la determinación del Ministerio Público”</w:t>
      </w:r>
      <w:r>
        <w:rPr>
          <w:rFonts w:cs="Tahoma"/>
        </w:rPr>
        <w:t>. Esta afirmación realizada por el Sujeto Obligado, se contrapone a su propio actuar, pues fue la Fiscalía la que divulgó elementos de prueba, incluso previo a la judicialización del asunto, sin embargo, en ningún momento se identificó que su divulgación había obstaculizado el proceso de investigación, lo cual si pudo haber acontecido en la especie toda vez que la Fiscalía reveló incluso la dirección del inmueble en donde se estaban realizando las excavaciones y los hallazgos de restos óseos y por el contrario, la divulgación de la información, en un asunto de estos alcances, permitió a la Fiscalía recabar nuevos datos y comunicar a posibles víctimas y familiares elementos suficientes para que pudieran acercarse a la Fiscalía a denunciar.</w:t>
      </w:r>
    </w:p>
    <w:p w14:paraId="486EFB51" w14:textId="77777777" w:rsidR="00F21F1F" w:rsidRDefault="00F21F1F" w:rsidP="006461DA">
      <w:pPr>
        <w:spacing w:after="0" w:line="360" w:lineRule="auto"/>
        <w:ind w:right="616"/>
        <w:rPr>
          <w:rFonts w:cs="Tahoma"/>
        </w:rPr>
      </w:pPr>
    </w:p>
    <w:p w14:paraId="64AC2452" w14:textId="77777777" w:rsidR="00F21F1F" w:rsidRDefault="00F21F1F" w:rsidP="006461DA">
      <w:pPr>
        <w:spacing w:after="0" w:line="360" w:lineRule="auto"/>
        <w:ind w:right="616"/>
        <w:rPr>
          <w:rFonts w:cs="Tahoma"/>
        </w:rPr>
      </w:pPr>
      <w:r>
        <w:rPr>
          <w:rFonts w:cs="Tahoma"/>
        </w:rPr>
        <w:t xml:space="preserve">Es entonces, que se identifica que este caso cuenta con elementos diferentes a otros, aun cuando nos encontramos en análisis de una carpeta de investigación pues nos encontramos ante un feminicida serial que además fue cubierto por varios medios de comunicación de alcance nacional, e incluso internacional,  por lo que la difusión de la información no generaría una afectación al interés jurídico tutelado, pues las víctimas y sus familiares, con la comunicación de la información han podido conocer las </w:t>
      </w:r>
      <w:r>
        <w:rPr>
          <w:rFonts w:cs="Tahoma"/>
        </w:rPr>
        <w:lastRenderedPageBreak/>
        <w:t>actuaciones de la autoridad y el sentenciado se declaró culpable desde la audiencia de vinculación, con la salvedad de que, aun cuando decidiera luchar por su inocencia, le sería más conveniente la publicidad de la información que la secrecía, que únicamente generaría en la población la presuntiva de hechos de corrupción.</w:t>
      </w:r>
    </w:p>
    <w:p w14:paraId="3AFA4C16" w14:textId="77777777" w:rsidR="00F21F1F" w:rsidRDefault="00F21F1F" w:rsidP="006461DA">
      <w:pPr>
        <w:spacing w:after="0" w:line="360" w:lineRule="auto"/>
        <w:ind w:right="616"/>
        <w:rPr>
          <w:rFonts w:cs="Tahoma"/>
        </w:rPr>
      </w:pPr>
    </w:p>
    <w:p w14:paraId="2F45A9DB" w14:textId="77777777" w:rsidR="00F21F1F" w:rsidRDefault="00F21F1F" w:rsidP="006461DA">
      <w:pPr>
        <w:spacing w:after="0" w:line="360" w:lineRule="auto"/>
        <w:ind w:right="616"/>
        <w:rPr>
          <w:rFonts w:cs="Tahoma"/>
        </w:rPr>
      </w:pPr>
      <w:r>
        <w:rPr>
          <w:rFonts w:cs="Tahoma"/>
        </w:rPr>
        <w:t>Otra de las afectaciones que podría generar es que el Imputado pudiese sustraerse de la acción de la justicia o pueda elaborar una defensa efectiva a partir de los medios de prueba contenidos en la carpeta de investigación, sin embargo, por lo que refiere a sustraerse, se identifica que ya fue sentenciado y se encuentra recluido con una sentencia vitalicia de prisión y por otra parte, el propio imputado se declaró confeso y en este punto se encuentra sentenciado, por lo que la divulgación de la información ya no genera afectación alguna.</w:t>
      </w:r>
    </w:p>
    <w:p w14:paraId="1E920370" w14:textId="77777777" w:rsidR="00F21F1F" w:rsidRDefault="00F21F1F" w:rsidP="006461DA">
      <w:pPr>
        <w:spacing w:after="0" w:line="360" w:lineRule="auto"/>
        <w:ind w:right="616"/>
        <w:rPr>
          <w:rFonts w:cs="Tahoma"/>
        </w:rPr>
      </w:pPr>
    </w:p>
    <w:p w14:paraId="629AA119" w14:textId="77777777" w:rsidR="00F21F1F" w:rsidRPr="00DE2D0B" w:rsidRDefault="00F21F1F" w:rsidP="006461DA">
      <w:pPr>
        <w:spacing w:after="0" w:line="360" w:lineRule="auto"/>
        <w:ind w:right="616"/>
        <w:rPr>
          <w:rFonts w:cs="Tahoma"/>
          <w:u w:val="single"/>
        </w:rPr>
      </w:pPr>
      <w:r w:rsidRPr="00DE2D0B">
        <w:rPr>
          <w:rFonts w:cs="Tahoma"/>
          <w:u w:val="single"/>
        </w:rPr>
        <w:t>Ahora bien, si circunscribimos la prueba de daño a la fecha de la solicitud que fue el 14 de diciembre del 2021, ya se encontraba como un asunto judicializado y a esa fecha, el imputado ya se había declarado confeso (desde el 20 de mayo del 2021), por lo que, incluso la divulgación de la información a la fecha de la solicitud ya no generaba afectación alguna.</w:t>
      </w:r>
    </w:p>
    <w:p w14:paraId="61232BE0" w14:textId="77777777" w:rsidR="00F21F1F" w:rsidRPr="00DE2D0B" w:rsidRDefault="00F21F1F" w:rsidP="006461DA">
      <w:pPr>
        <w:spacing w:after="0" w:line="360" w:lineRule="auto"/>
        <w:ind w:right="616"/>
        <w:rPr>
          <w:rFonts w:cs="Tahoma"/>
          <w:u w:val="single"/>
        </w:rPr>
      </w:pPr>
    </w:p>
    <w:p w14:paraId="1D570A84" w14:textId="77777777" w:rsidR="00F21F1F" w:rsidRPr="00DE2D0B" w:rsidRDefault="00F21F1F" w:rsidP="006461DA">
      <w:pPr>
        <w:spacing w:after="0" w:line="360" w:lineRule="auto"/>
        <w:ind w:right="616"/>
        <w:rPr>
          <w:rFonts w:cs="Tahoma"/>
        </w:rPr>
      </w:pPr>
      <w:r w:rsidRPr="00DE2D0B">
        <w:rPr>
          <w:rFonts w:cs="Tahoma"/>
        </w:rPr>
        <w:t>afirmación que contraviene a lo realizado por el propio Sujeto Obligado, al entregar información relevante al asunto y divulgado a través de medios de comunicación, divulgaciones que fueron realizadas previas al 14 de diciembre del 2021, fecha de la solicitud.</w:t>
      </w:r>
    </w:p>
    <w:p w14:paraId="2F3B3123" w14:textId="77777777" w:rsidR="00F21F1F" w:rsidRPr="002B10F5" w:rsidRDefault="00F21F1F" w:rsidP="006461DA">
      <w:pPr>
        <w:spacing w:after="0" w:line="360" w:lineRule="auto"/>
        <w:ind w:right="616"/>
        <w:rPr>
          <w:rFonts w:cs="Tahoma"/>
          <w:highlight w:val="yellow"/>
        </w:rPr>
      </w:pPr>
    </w:p>
    <w:p w14:paraId="0CD8D4A0" w14:textId="1D49F4CA" w:rsidR="00F21F1F" w:rsidRDefault="00F21F1F" w:rsidP="006461DA">
      <w:pPr>
        <w:spacing w:after="0" w:line="360" w:lineRule="auto"/>
        <w:ind w:right="616"/>
        <w:rPr>
          <w:rFonts w:cs="Tahoma"/>
        </w:rPr>
      </w:pPr>
      <w:r w:rsidRPr="00DE2D0B">
        <w:rPr>
          <w:rFonts w:cs="Tahoma"/>
        </w:rPr>
        <w:t xml:space="preserve">Es en este sentido que no se acreditó el vínculo entre la entre la difusión de la información y la afectación del interés jurídico tutelado de que se trate </w:t>
      </w:r>
      <w:proofErr w:type="gramStart"/>
      <w:r w:rsidRPr="00DE2D0B">
        <w:rPr>
          <w:rFonts w:cs="Tahoma"/>
        </w:rPr>
        <w:t>y</w:t>
      </w:r>
      <w:proofErr w:type="gramEnd"/>
      <w:r w:rsidRPr="00DE2D0B">
        <w:rPr>
          <w:rFonts w:cs="Tahoma"/>
        </w:rPr>
        <w:t xml:space="preserve"> por el contrario, </w:t>
      </w:r>
      <w:r w:rsidRPr="00DE2D0B">
        <w:rPr>
          <w:rFonts w:cs="Tahoma"/>
        </w:rPr>
        <w:lastRenderedPageBreak/>
        <w:t>se demostró que la divulgación de la información, podría generar certeza de las actuaciones realizadas por el Sujeto Obligado.</w:t>
      </w:r>
    </w:p>
    <w:p w14:paraId="39409D29" w14:textId="77777777" w:rsidR="00B24B4F" w:rsidRPr="00DE2D0B" w:rsidRDefault="00B24B4F" w:rsidP="006461DA">
      <w:pPr>
        <w:spacing w:after="0" w:line="360" w:lineRule="auto"/>
        <w:ind w:right="616"/>
        <w:rPr>
          <w:rFonts w:cs="Tahoma"/>
        </w:rPr>
      </w:pPr>
    </w:p>
    <w:p w14:paraId="3E632414" w14:textId="77777777" w:rsidR="00F21F1F" w:rsidRPr="00DE2D0B" w:rsidRDefault="00F21F1F" w:rsidP="006461DA">
      <w:pPr>
        <w:spacing w:after="0" w:line="360" w:lineRule="auto"/>
        <w:rPr>
          <w:rFonts w:cs="Tahoma"/>
          <w:b/>
          <w:bCs/>
        </w:rPr>
      </w:pPr>
      <w:r w:rsidRPr="00DE2D0B">
        <w:rPr>
          <w:rFonts w:cs="Tahoma"/>
          <w:b/>
          <w:bCs/>
        </w:rPr>
        <w:t>A la fracción IV.   Precisar las razones objetivas por las que la apertura de la información generaría una afectación, a través de los elementos de un riesgo real, demostrable e identificable</w:t>
      </w:r>
    </w:p>
    <w:p w14:paraId="7C6BD99F" w14:textId="77777777" w:rsidR="00F21F1F" w:rsidRDefault="00F21F1F" w:rsidP="006461DA">
      <w:pPr>
        <w:spacing w:after="0" w:line="360" w:lineRule="auto"/>
        <w:rPr>
          <w:rFonts w:cs="Tahoma"/>
          <w:b/>
          <w:bCs/>
          <w:highlight w:val="yellow"/>
        </w:rPr>
      </w:pPr>
    </w:p>
    <w:p w14:paraId="5088981B" w14:textId="77777777" w:rsidR="00F21F1F" w:rsidRPr="00DE2D0B" w:rsidRDefault="00F21F1F" w:rsidP="006461DA">
      <w:pPr>
        <w:spacing w:after="0" w:line="360" w:lineRule="auto"/>
        <w:rPr>
          <w:rFonts w:cs="Tahoma"/>
        </w:rPr>
      </w:pPr>
      <w:r w:rsidRPr="00DE2D0B">
        <w:rPr>
          <w:rFonts w:cs="Tahoma"/>
        </w:rPr>
        <w:t>En este punto, se obliga a desarrollar que la apertura de la información generaría un riesgo real, demostrable e identificable, lo cual, no fue desarrollado por el Sujeto Obligado, quien omitió pronunciarse sobre estos puntos para acreditar el daño que generaría la divulgación de la información, por lo que, se retoman lo puntos torales desarrollados por el Sujeto Obligado, en este punto:</w:t>
      </w:r>
    </w:p>
    <w:p w14:paraId="23401AA7" w14:textId="77777777" w:rsidR="00F21F1F" w:rsidRPr="00DE2D0B" w:rsidRDefault="00F21F1F" w:rsidP="006461DA">
      <w:pPr>
        <w:spacing w:after="0" w:line="360" w:lineRule="auto"/>
        <w:rPr>
          <w:rFonts w:eastAsia="Times New Roman" w:cs="Arial"/>
          <w:b/>
          <w:i/>
          <w:iCs/>
          <w:color w:val="auto"/>
          <w:sz w:val="20"/>
          <w:lang w:eastAsia="es-ES"/>
        </w:rPr>
      </w:pPr>
    </w:p>
    <w:p w14:paraId="6D4B4026" w14:textId="77777777" w:rsidR="00F21F1F" w:rsidRPr="00DE2D0B" w:rsidRDefault="00F21F1F" w:rsidP="006461DA">
      <w:pPr>
        <w:pStyle w:val="Prrafodelista"/>
        <w:numPr>
          <w:ilvl w:val="0"/>
          <w:numId w:val="5"/>
        </w:numPr>
        <w:spacing w:line="360" w:lineRule="auto"/>
        <w:ind w:right="616"/>
        <w:jc w:val="both"/>
        <w:rPr>
          <w:rFonts w:ascii="Palatino Linotype" w:hAnsi="Palatino Linotype" w:cs="Arial"/>
          <w:bCs/>
          <w:i/>
          <w:iCs/>
          <w:sz w:val="20"/>
        </w:rPr>
      </w:pPr>
      <w:r w:rsidRPr="00DE2D0B">
        <w:rPr>
          <w:rFonts w:ascii="Palatino Linotype" w:hAnsi="Palatino Linotype" w:cs="Arial"/>
          <w:bCs/>
          <w:i/>
          <w:iCs/>
          <w:sz w:val="20"/>
        </w:rPr>
        <w:t>La información contenida en una Carpeta de Investigación forma parte de un todo, relacionado entre sí.</w:t>
      </w:r>
    </w:p>
    <w:p w14:paraId="7AE8D694" w14:textId="77777777" w:rsidR="00F21F1F" w:rsidRPr="00DE2D0B" w:rsidRDefault="00F21F1F" w:rsidP="006461DA">
      <w:pPr>
        <w:pStyle w:val="Prrafodelista"/>
        <w:numPr>
          <w:ilvl w:val="0"/>
          <w:numId w:val="5"/>
        </w:numPr>
        <w:spacing w:line="360" w:lineRule="auto"/>
        <w:ind w:right="616"/>
        <w:jc w:val="both"/>
        <w:rPr>
          <w:rFonts w:ascii="Palatino Linotype" w:hAnsi="Palatino Linotype" w:cs="Arial"/>
          <w:bCs/>
          <w:i/>
          <w:iCs/>
          <w:sz w:val="20"/>
        </w:rPr>
      </w:pPr>
      <w:r w:rsidRPr="00DE2D0B">
        <w:rPr>
          <w:rFonts w:ascii="Palatino Linotype" w:hAnsi="Palatino Linotype" w:cs="Arial"/>
          <w:bCs/>
          <w:i/>
          <w:iCs/>
          <w:sz w:val="20"/>
        </w:rPr>
        <w:t>Se encuentra en trámite, su estado procesal impide otorgar acceso a la información por esta vía.</w:t>
      </w:r>
    </w:p>
    <w:p w14:paraId="517CF7CE" w14:textId="77777777" w:rsidR="00F21F1F" w:rsidRPr="00DE2D0B" w:rsidRDefault="00F21F1F" w:rsidP="006461DA">
      <w:pPr>
        <w:pStyle w:val="Prrafodelista"/>
        <w:numPr>
          <w:ilvl w:val="0"/>
          <w:numId w:val="5"/>
        </w:numPr>
        <w:spacing w:line="360" w:lineRule="auto"/>
        <w:ind w:right="616"/>
        <w:jc w:val="both"/>
        <w:rPr>
          <w:rFonts w:ascii="Palatino Linotype" w:hAnsi="Palatino Linotype" w:cs="Arial"/>
          <w:bCs/>
          <w:i/>
          <w:iCs/>
          <w:sz w:val="20"/>
        </w:rPr>
      </w:pPr>
      <w:r w:rsidRPr="00DE2D0B">
        <w:rPr>
          <w:rFonts w:ascii="Palatino Linotype" w:hAnsi="Palatino Linotype" w:cs="Arial"/>
          <w:bCs/>
          <w:i/>
          <w:iCs/>
          <w:sz w:val="20"/>
        </w:rPr>
        <w:t>Publicar la información, implicaría poner en riesgo las propias investigaciones, así como a las personas que en ella intervienen.</w:t>
      </w:r>
    </w:p>
    <w:p w14:paraId="423B8668" w14:textId="77777777" w:rsidR="00F21F1F" w:rsidRPr="00DE2D0B" w:rsidRDefault="00F21F1F" w:rsidP="006461DA">
      <w:pPr>
        <w:pStyle w:val="Prrafodelista"/>
        <w:numPr>
          <w:ilvl w:val="0"/>
          <w:numId w:val="5"/>
        </w:numPr>
        <w:spacing w:line="360" w:lineRule="auto"/>
        <w:ind w:right="616"/>
        <w:jc w:val="both"/>
        <w:rPr>
          <w:rFonts w:ascii="Palatino Linotype" w:hAnsi="Palatino Linotype" w:cs="Arial"/>
          <w:bCs/>
          <w:i/>
          <w:iCs/>
          <w:sz w:val="20"/>
        </w:rPr>
      </w:pPr>
      <w:r w:rsidRPr="00DE2D0B">
        <w:rPr>
          <w:rFonts w:ascii="Palatino Linotype" w:hAnsi="Palatino Linotype" w:cs="Arial"/>
          <w:bCs/>
          <w:i/>
          <w:iCs/>
          <w:sz w:val="20"/>
        </w:rPr>
        <w:t xml:space="preserve">Se recaban los datos generales de estos sujetos (como el nombre, domicilio, estado civil, ocupación, ingresos, entre otros datos). </w:t>
      </w:r>
    </w:p>
    <w:p w14:paraId="00A02531" w14:textId="77777777" w:rsidR="00F21F1F" w:rsidRPr="00DE2D0B" w:rsidRDefault="00F21F1F" w:rsidP="006461DA">
      <w:pPr>
        <w:pStyle w:val="Prrafodelista"/>
        <w:numPr>
          <w:ilvl w:val="0"/>
          <w:numId w:val="5"/>
        </w:numPr>
        <w:spacing w:line="360" w:lineRule="auto"/>
        <w:ind w:right="616"/>
        <w:jc w:val="both"/>
        <w:rPr>
          <w:rFonts w:ascii="Palatino Linotype" w:hAnsi="Palatino Linotype" w:cs="Arial"/>
          <w:bCs/>
          <w:i/>
          <w:iCs/>
          <w:sz w:val="20"/>
        </w:rPr>
      </w:pPr>
      <w:r w:rsidRPr="00DE2D0B">
        <w:rPr>
          <w:rFonts w:ascii="Palatino Linotype" w:hAnsi="Palatino Linotype" w:cs="Arial"/>
          <w:bCs/>
          <w:i/>
          <w:iCs/>
          <w:sz w:val="20"/>
        </w:rPr>
        <w:t xml:space="preserve">Las actuaciones de una investigación pueden comprender detalles muy íntimos de las personas involucradas en la investigación. Sólo a manera de ejemplo, es posible decir que, en una averiguación previa, puede figurar información atiente a las propiedades, cuentas bancarias, filiación, relaciones sentimentales o al estado de salud de los sujetos implicados en alguna indagatoria, entre otros detalles personales. </w:t>
      </w:r>
    </w:p>
    <w:p w14:paraId="1ABF8160" w14:textId="77777777" w:rsidR="00F21F1F" w:rsidRPr="00DE2D0B" w:rsidRDefault="00F21F1F" w:rsidP="006461DA">
      <w:pPr>
        <w:pStyle w:val="Prrafodelista"/>
        <w:numPr>
          <w:ilvl w:val="0"/>
          <w:numId w:val="5"/>
        </w:numPr>
        <w:spacing w:line="360" w:lineRule="auto"/>
        <w:ind w:right="616"/>
        <w:jc w:val="both"/>
        <w:rPr>
          <w:rFonts w:ascii="Palatino Linotype" w:hAnsi="Palatino Linotype" w:cs="Arial"/>
          <w:bCs/>
          <w:i/>
          <w:iCs/>
          <w:sz w:val="20"/>
        </w:rPr>
      </w:pPr>
      <w:r w:rsidRPr="00DE2D0B">
        <w:rPr>
          <w:rFonts w:ascii="Palatino Linotype" w:hAnsi="Palatino Linotype" w:cs="Arial"/>
          <w:bCs/>
          <w:i/>
          <w:iCs/>
          <w:sz w:val="20"/>
        </w:rPr>
        <w:t xml:space="preserve">El derecho a la protección de la información personal, incluyendo la que se puede encontrar en las investigaciones en curso a cargo de la Procuraduría General de la República, está protegida </w:t>
      </w:r>
      <w:r w:rsidRPr="00DE2D0B">
        <w:rPr>
          <w:rFonts w:ascii="Palatino Linotype" w:hAnsi="Palatino Linotype" w:cs="Arial"/>
          <w:bCs/>
          <w:i/>
          <w:iCs/>
          <w:sz w:val="20"/>
        </w:rPr>
        <w:lastRenderedPageBreak/>
        <w:t>en términos de la tutela que confieren los artículos 6°, 16 y 20, apartado C, inciso V, de la Constitución Política de los Estados Unidos Mexicanos.</w:t>
      </w:r>
    </w:p>
    <w:p w14:paraId="3FD2F8AC" w14:textId="77777777" w:rsidR="00F21F1F" w:rsidRPr="00DE2D0B" w:rsidRDefault="00F21F1F" w:rsidP="006461DA">
      <w:pPr>
        <w:pStyle w:val="Prrafodelista"/>
        <w:numPr>
          <w:ilvl w:val="0"/>
          <w:numId w:val="5"/>
        </w:numPr>
        <w:spacing w:line="360" w:lineRule="auto"/>
        <w:ind w:right="616"/>
        <w:jc w:val="both"/>
        <w:rPr>
          <w:rFonts w:ascii="Palatino Linotype" w:hAnsi="Palatino Linotype" w:cs="Arial"/>
          <w:bCs/>
          <w:i/>
          <w:iCs/>
          <w:sz w:val="20"/>
        </w:rPr>
      </w:pPr>
      <w:r w:rsidRPr="00DE2D0B">
        <w:rPr>
          <w:rFonts w:ascii="Palatino Linotype" w:hAnsi="Palatino Linotype" w:cs="Arial"/>
          <w:bCs/>
          <w:i/>
          <w:iCs/>
          <w:sz w:val="20"/>
        </w:rPr>
        <w:t>Revelar la información contenida en la carpeta de investigación podría vulnerar los derechos de las víctimas, familiares, testigos o, incluso, de los servidores públicos, toda vez que se colocarían en una situación de riesgo, pues se podría atentar contra su integridad física, psicológica, material o</w:t>
      </w:r>
      <w:r w:rsidRPr="00DE2D0B">
        <w:rPr>
          <w:rFonts w:ascii="Palatino Linotype" w:hAnsi="Palatino Linotype" w:cs="Arial"/>
          <w:bCs/>
          <w:i/>
          <w:iCs/>
          <w:sz w:val="20"/>
          <w:szCs w:val="22"/>
        </w:rPr>
        <w:t xml:space="preserve"> inmaterial; e incluso podría vulnerarse la imagen y la honra de</w:t>
      </w:r>
      <w:r w:rsidRPr="00DE2D0B">
        <w:rPr>
          <w:rFonts w:ascii="Palatino Linotype" w:hAnsi="Palatino Linotype" w:cs="Arial"/>
          <w:bCs/>
          <w:i/>
          <w:iCs/>
          <w:sz w:val="20"/>
        </w:rPr>
        <w:t xml:space="preserve"> </w:t>
      </w:r>
      <w:r w:rsidRPr="00DE2D0B">
        <w:rPr>
          <w:rFonts w:ascii="Palatino Linotype" w:hAnsi="Palatino Linotype" w:cs="Arial"/>
          <w:bCs/>
          <w:i/>
          <w:iCs/>
          <w:sz w:val="20"/>
          <w:szCs w:val="22"/>
        </w:rPr>
        <w:t xml:space="preserve">las personas indagadas dentro del proceso penal. </w:t>
      </w:r>
    </w:p>
    <w:p w14:paraId="1B9AB7B0" w14:textId="77777777" w:rsidR="00F21F1F" w:rsidRPr="00DE2D0B" w:rsidRDefault="00F21F1F" w:rsidP="006461DA">
      <w:pPr>
        <w:spacing w:after="0" w:line="360" w:lineRule="auto"/>
        <w:ind w:right="616"/>
        <w:rPr>
          <w:rFonts w:cs="Arial"/>
          <w:bCs/>
          <w:i/>
          <w:iCs/>
          <w:sz w:val="20"/>
        </w:rPr>
      </w:pPr>
    </w:p>
    <w:p w14:paraId="1985AAF7" w14:textId="77777777" w:rsidR="00F21F1F" w:rsidRPr="00DE2D0B" w:rsidRDefault="00F21F1F" w:rsidP="006461DA">
      <w:pPr>
        <w:spacing w:after="0" w:line="360" w:lineRule="auto"/>
        <w:rPr>
          <w:rFonts w:cs="Tahoma"/>
        </w:rPr>
      </w:pPr>
      <w:r w:rsidRPr="00DE2D0B">
        <w:rPr>
          <w:rFonts w:cs="Tahoma"/>
        </w:rPr>
        <w:t xml:space="preserve">Es entonces, que las propias revelaciones de la Fiscalía a través de los medios de comunicación, contravienen a lo que afirman en estos puntos, por lo que, al ya haber difundido el nombre de víctimas, familiares, imputado, así como actuaciones realizadas, el domicilio de los hechos, los hallazgos encontrados, no se advierte que la publicidad de la carpeta genere una afectación al proceso y, por el contrario, la difusión de la información, a la fecha de la solicitud, da certeza a la población respecto al proceso penal, así como a la actuación de los servidores públicos, más porque se considera información es de interés público; esto será robustecido </w:t>
      </w:r>
      <w:r w:rsidRPr="00DE2D0B">
        <w:rPr>
          <w:rFonts w:cs="Tahoma"/>
          <w:i/>
          <w:iCs/>
        </w:rPr>
        <w:t>a fortiori</w:t>
      </w:r>
      <w:r w:rsidRPr="00DE2D0B">
        <w:rPr>
          <w:rFonts w:cs="Tahoma"/>
        </w:rPr>
        <w:t>.</w:t>
      </w:r>
    </w:p>
    <w:p w14:paraId="37FC78E8" w14:textId="77777777" w:rsidR="00F21F1F" w:rsidRDefault="00F21F1F" w:rsidP="006461DA">
      <w:pPr>
        <w:spacing w:after="0" w:line="360" w:lineRule="auto"/>
        <w:rPr>
          <w:rFonts w:cs="Tahoma"/>
          <w:b/>
          <w:bCs/>
          <w:highlight w:val="yellow"/>
        </w:rPr>
      </w:pPr>
    </w:p>
    <w:p w14:paraId="6BB73871" w14:textId="77777777" w:rsidR="00F21F1F" w:rsidRPr="00DE2D0B" w:rsidRDefault="00F21F1F" w:rsidP="006461DA">
      <w:pPr>
        <w:spacing w:after="0" w:line="360" w:lineRule="auto"/>
        <w:rPr>
          <w:rFonts w:cs="Tahoma"/>
          <w:b/>
          <w:bCs/>
        </w:rPr>
      </w:pPr>
      <w:r w:rsidRPr="00DE2D0B">
        <w:rPr>
          <w:rFonts w:cs="Tahoma"/>
          <w:b/>
          <w:bCs/>
        </w:rPr>
        <w:t>Fracción V. En la motivación de la clasificación, el sujeto obligado deberá acreditar las circunstancias de modo, tiempo y lugar del daño, y</w:t>
      </w:r>
    </w:p>
    <w:p w14:paraId="6EFD30EC" w14:textId="77777777" w:rsidR="00F21F1F" w:rsidRPr="00DE2D0B" w:rsidRDefault="00F21F1F" w:rsidP="006461DA">
      <w:pPr>
        <w:spacing w:after="0" w:line="360" w:lineRule="auto"/>
        <w:rPr>
          <w:rFonts w:cs="Tahoma"/>
          <w:b/>
          <w:bCs/>
          <w:highlight w:val="cyan"/>
        </w:rPr>
      </w:pPr>
    </w:p>
    <w:p w14:paraId="024AC0E7" w14:textId="77777777" w:rsidR="00F21F1F" w:rsidRPr="00DE2D0B" w:rsidRDefault="00F21F1F" w:rsidP="006461DA">
      <w:pPr>
        <w:spacing w:after="0" w:line="360" w:lineRule="auto"/>
        <w:rPr>
          <w:rFonts w:cs="Tahoma"/>
        </w:rPr>
      </w:pPr>
      <w:r w:rsidRPr="00DE2D0B">
        <w:rPr>
          <w:rFonts w:cs="Tahoma"/>
        </w:rPr>
        <w:t>El Sujeto Obligado no acreditó el modo, el tiempo y el lugar del daño, en este punto, desarrolló los siguientes puntos, que se analizan de manera particular.</w:t>
      </w:r>
    </w:p>
    <w:p w14:paraId="08D71871" w14:textId="77777777" w:rsidR="00F21F1F" w:rsidRPr="00DE2D0B" w:rsidRDefault="00F21F1F" w:rsidP="006461DA">
      <w:pPr>
        <w:spacing w:after="0" w:line="360" w:lineRule="auto"/>
        <w:rPr>
          <w:rFonts w:cs="Tahoma"/>
        </w:rPr>
      </w:pPr>
    </w:p>
    <w:p w14:paraId="3ED15536" w14:textId="77777777" w:rsidR="00F21F1F" w:rsidRPr="00DE2D0B" w:rsidRDefault="00F21F1F" w:rsidP="006461DA">
      <w:pPr>
        <w:pStyle w:val="Prrafodelista"/>
        <w:numPr>
          <w:ilvl w:val="0"/>
          <w:numId w:val="5"/>
        </w:numPr>
        <w:spacing w:line="360" w:lineRule="auto"/>
        <w:rPr>
          <w:rFonts w:ascii="Palatino Linotype" w:hAnsi="Palatino Linotype" w:cs="Tahoma"/>
          <w:b/>
          <w:bCs/>
        </w:rPr>
      </w:pPr>
      <w:r w:rsidRPr="00DE2D0B">
        <w:rPr>
          <w:rFonts w:ascii="Palatino Linotype" w:hAnsi="Palatino Linotype" w:cs="Arial"/>
          <w:bCs/>
          <w:i/>
          <w:iCs/>
          <w:sz w:val="20"/>
          <w:szCs w:val="22"/>
        </w:rPr>
        <w:t>La divulgación, pone en riesgo la seguridad pública, la integridad y seguridad de las personas que</w:t>
      </w:r>
      <w:r w:rsidRPr="00DE2D0B">
        <w:rPr>
          <w:rFonts w:ascii="Palatino Linotype" w:hAnsi="Palatino Linotype" w:cs="Arial"/>
          <w:bCs/>
          <w:i/>
          <w:iCs/>
          <w:sz w:val="20"/>
        </w:rPr>
        <w:t xml:space="preserve"> </w:t>
      </w:r>
      <w:r w:rsidRPr="00DE2D0B">
        <w:rPr>
          <w:rFonts w:ascii="Palatino Linotype" w:hAnsi="Palatino Linotype" w:cs="Arial"/>
          <w:bCs/>
          <w:i/>
          <w:iCs/>
          <w:sz w:val="20"/>
          <w:szCs w:val="22"/>
        </w:rPr>
        <w:t>intervienen en ella.</w:t>
      </w:r>
    </w:p>
    <w:p w14:paraId="7FBEBEE3" w14:textId="77777777" w:rsidR="00F21F1F" w:rsidRPr="00DE2D0B" w:rsidRDefault="00F21F1F" w:rsidP="006461DA">
      <w:pPr>
        <w:spacing w:after="0" w:line="360" w:lineRule="auto"/>
        <w:ind w:left="927"/>
        <w:rPr>
          <w:rFonts w:cs="Tahoma"/>
        </w:rPr>
      </w:pPr>
    </w:p>
    <w:p w14:paraId="53AE09EB" w14:textId="77777777" w:rsidR="00F21F1F" w:rsidRPr="00DE2D0B" w:rsidRDefault="00F21F1F" w:rsidP="006461DA">
      <w:pPr>
        <w:spacing w:after="0" w:line="360" w:lineRule="auto"/>
        <w:rPr>
          <w:rFonts w:cs="Tahoma"/>
        </w:rPr>
      </w:pPr>
      <w:r w:rsidRPr="00DE2D0B">
        <w:rPr>
          <w:rFonts w:cs="Tahoma"/>
        </w:rPr>
        <w:t>Sobre este punto, no acredita el modo, el tiempo ni el lugar del daño de cómo afecta a la integridad de las personas.</w:t>
      </w:r>
    </w:p>
    <w:p w14:paraId="56BF5529" w14:textId="77777777" w:rsidR="00F21F1F" w:rsidRPr="00DE2D0B" w:rsidRDefault="00F21F1F" w:rsidP="006461DA">
      <w:pPr>
        <w:pStyle w:val="Prrafodelista"/>
        <w:numPr>
          <w:ilvl w:val="0"/>
          <w:numId w:val="5"/>
        </w:numPr>
        <w:spacing w:line="360" w:lineRule="auto"/>
        <w:rPr>
          <w:rFonts w:ascii="Palatino Linotype" w:hAnsi="Palatino Linotype" w:cs="Arial"/>
          <w:bCs/>
          <w:i/>
          <w:iCs/>
          <w:sz w:val="20"/>
          <w:szCs w:val="22"/>
        </w:rPr>
      </w:pPr>
      <w:r w:rsidRPr="00DE2D0B">
        <w:rPr>
          <w:rFonts w:ascii="Palatino Linotype" w:hAnsi="Palatino Linotype" w:cs="Arial"/>
          <w:bCs/>
          <w:i/>
          <w:iCs/>
          <w:sz w:val="20"/>
          <w:szCs w:val="22"/>
        </w:rPr>
        <w:lastRenderedPageBreak/>
        <w:t>Se podría corromper la conservación del estado de derecho mexicano, en virtud de que</w:t>
      </w:r>
      <w:r w:rsidRPr="00DE2D0B">
        <w:rPr>
          <w:rFonts w:ascii="Palatino Linotype" w:hAnsi="Palatino Linotype" w:cs="Arial"/>
          <w:bCs/>
          <w:i/>
          <w:iCs/>
          <w:sz w:val="20"/>
        </w:rPr>
        <w:t xml:space="preserve"> </w:t>
      </w:r>
      <w:r w:rsidRPr="00DE2D0B">
        <w:rPr>
          <w:rFonts w:ascii="Palatino Linotype" w:hAnsi="Palatino Linotype" w:cs="Arial"/>
          <w:bCs/>
          <w:i/>
          <w:iCs/>
          <w:sz w:val="20"/>
          <w:szCs w:val="22"/>
        </w:rPr>
        <w:t>podría traer a consecuencia que el gobernado se abstenga de denunciar la comisión de delitos cometidos en su contra</w:t>
      </w:r>
      <w:r w:rsidRPr="00DE2D0B">
        <w:rPr>
          <w:rFonts w:ascii="Palatino Linotype" w:hAnsi="Palatino Linotype" w:cs="Arial"/>
          <w:bCs/>
          <w:i/>
          <w:iCs/>
          <w:sz w:val="20"/>
        </w:rPr>
        <w:t xml:space="preserve"> </w:t>
      </w:r>
      <w:r w:rsidRPr="00DE2D0B">
        <w:rPr>
          <w:rFonts w:ascii="Palatino Linotype" w:hAnsi="Palatino Linotype" w:cs="Arial"/>
          <w:bCs/>
          <w:i/>
          <w:iCs/>
          <w:sz w:val="20"/>
          <w:szCs w:val="22"/>
        </w:rPr>
        <w:t>o de otras personas, ocasionando que los delincuentes impunemente quebranten la ley.</w:t>
      </w:r>
    </w:p>
    <w:p w14:paraId="0532E91A" w14:textId="77777777" w:rsidR="00F21F1F" w:rsidRPr="00DE2D0B" w:rsidRDefault="00F21F1F" w:rsidP="006461DA">
      <w:pPr>
        <w:spacing w:after="0" w:line="360" w:lineRule="auto"/>
        <w:ind w:left="927"/>
        <w:rPr>
          <w:rFonts w:cs="Tahoma"/>
        </w:rPr>
      </w:pPr>
      <w:r w:rsidRPr="00DE2D0B">
        <w:rPr>
          <w:rFonts w:cs="Tahoma"/>
        </w:rPr>
        <w:t>Sobre la afirmación pasada, establece que podría inhibir la denuncia, sin embargo, no desarrolla de manera lógica las causas de tal afirmación.</w:t>
      </w:r>
    </w:p>
    <w:p w14:paraId="0D2550CE" w14:textId="77777777" w:rsidR="00F21F1F" w:rsidRPr="00DE2D0B" w:rsidRDefault="00F21F1F" w:rsidP="006461DA">
      <w:pPr>
        <w:pStyle w:val="Prrafodelista"/>
        <w:numPr>
          <w:ilvl w:val="0"/>
          <w:numId w:val="5"/>
        </w:numPr>
        <w:spacing w:line="360" w:lineRule="auto"/>
        <w:rPr>
          <w:rFonts w:ascii="Palatino Linotype" w:hAnsi="Palatino Linotype" w:cs="Arial"/>
          <w:bCs/>
          <w:i/>
          <w:iCs/>
          <w:sz w:val="20"/>
          <w:szCs w:val="22"/>
        </w:rPr>
      </w:pPr>
      <w:r w:rsidRPr="00DE2D0B">
        <w:rPr>
          <w:rFonts w:ascii="Palatino Linotype" w:hAnsi="Palatino Linotype" w:cs="Arial"/>
          <w:bCs/>
          <w:i/>
          <w:iCs/>
          <w:sz w:val="20"/>
          <w:szCs w:val="22"/>
        </w:rPr>
        <w:t>En caso de que no se protegiera tal información, ésta podría ser usada para causar algún daño físico, familiar o patrimonial a cualquiera de los sujetos involucrados en la investigación, incluyendo a los testigos del acto delictivo.</w:t>
      </w:r>
    </w:p>
    <w:p w14:paraId="6B99B7D0" w14:textId="77777777" w:rsidR="00F21F1F" w:rsidRPr="00DE2D0B" w:rsidRDefault="00F21F1F" w:rsidP="006461DA">
      <w:pPr>
        <w:spacing w:after="0" w:line="360" w:lineRule="auto"/>
        <w:ind w:left="927"/>
        <w:rPr>
          <w:rFonts w:cs="Tahoma"/>
        </w:rPr>
      </w:pPr>
      <w:r w:rsidRPr="00DE2D0B">
        <w:rPr>
          <w:rFonts w:cs="Tahoma"/>
        </w:rPr>
        <w:t>Sobre esta última afirmación, no es necesario la reserva de toda la información, sino más bien la clasificación como confidencial de datos personales, entonces, no acredita la razón por la cual es necesaria la reserva de la información.</w:t>
      </w:r>
    </w:p>
    <w:p w14:paraId="7EB7E78A" w14:textId="77777777" w:rsidR="006461DA" w:rsidRDefault="006461DA" w:rsidP="006461DA">
      <w:pPr>
        <w:spacing w:after="0" w:line="360" w:lineRule="auto"/>
        <w:rPr>
          <w:rFonts w:cs="Tahoma"/>
        </w:rPr>
      </w:pPr>
    </w:p>
    <w:p w14:paraId="032DA39F" w14:textId="40D9CDC5" w:rsidR="00F21F1F" w:rsidRPr="00DE2D0B" w:rsidRDefault="00F21F1F" w:rsidP="006461DA">
      <w:pPr>
        <w:spacing w:after="0" w:line="360" w:lineRule="auto"/>
        <w:rPr>
          <w:rFonts w:cs="Tahoma"/>
        </w:rPr>
      </w:pPr>
      <w:r w:rsidRPr="00DE2D0B">
        <w:rPr>
          <w:rFonts w:cs="Tahoma"/>
        </w:rPr>
        <w:t>Sobre este punto, no se logra identificar el daño, adecuado al modo, tiempo y lugar.</w:t>
      </w:r>
    </w:p>
    <w:p w14:paraId="08EAC463" w14:textId="77777777" w:rsidR="00F21F1F" w:rsidRPr="00DE2D0B" w:rsidRDefault="00F21F1F" w:rsidP="006461DA">
      <w:pPr>
        <w:spacing w:after="0" w:line="360" w:lineRule="auto"/>
        <w:rPr>
          <w:rFonts w:cs="Tahoma"/>
          <w:b/>
          <w:bCs/>
        </w:rPr>
      </w:pPr>
    </w:p>
    <w:p w14:paraId="317CB13B" w14:textId="77777777" w:rsidR="00F21F1F" w:rsidRPr="00DE2D0B" w:rsidRDefault="00F21F1F" w:rsidP="006461DA">
      <w:pPr>
        <w:spacing w:after="0" w:line="360" w:lineRule="auto"/>
        <w:rPr>
          <w:rFonts w:cs="Tahoma"/>
          <w:b/>
          <w:bCs/>
        </w:rPr>
      </w:pPr>
      <w:r w:rsidRPr="00DE2D0B">
        <w:rPr>
          <w:rFonts w:cs="Tahoma"/>
          <w:b/>
          <w:bCs/>
        </w:rPr>
        <w:t>A la fracción VI.  Deberán elegir la opción de excepción al acceso a la información que menos lo restrinja, la cual será adecuada y proporcional para la protección del interés público, y deberá interferir lo menos posible en el ejercicio efectivo del derecho de acceso a la información</w:t>
      </w:r>
    </w:p>
    <w:p w14:paraId="17A7F5CD" w14:textId="77777777" w:rsidR="00F21F1F" w:rsidRPr="00DE2D0B" w:rsidRDefault="00F21F1F" w:rsidP="006461DA">
      <w:pPr>
        <w:spacing w:after="0" w:line="360" w:lineRule="auto"/>
        <w:rPr>
          <w:rFonts w:cs="Tahoma"/>
          <w:b/>
          <w:bCs/>
        </w:rPr>
      </w:pPr>
    </w:p>
    <w:p w14:paraId="218D67BE" w14:textId="77777777" w:rsidR="00F21F1F" w:rsidRPr="00616E41" w:rsidRDefault="00F21F1F" w:rsidP="006461DA">
      <w:pPr>
        <w:spacing w:after="0" w:line="360" w:lineRule="auto"/>
        <w:rPr>
          <w:rFonts w:cs="Tahoma"/>
        </w:rPr>
      </w:pPr>
      <w:r w:rsidRPr="00616E41">
        <w:rPr>
          <w:rFonts w:cs="Tahoma"/>
        </w:rPr>
        <w:t xml:space="preserve">El sujeto Obligado, reitera la afectación que generaría la divulgación de la información, pero no explicó la causa por la cual se considera que la reserva de la información es el medio menos restrictivo, menos aún por que la propia Fiscalía, como ya se explicó, ha venido difundiendo la información, además de que parte de los argumentos de la Fiscalía, lo hacen para proteger a los participantes de la Carpeta, para lo que bastaría clasificar como confidencial estos datos y no así la carpeta en su totalidad, máxime de que los datos de la persona sujeta a proceso, ya fueron divulgados, en atención a la importancia y alcance del presente asunto, pues versa sobre una persona que se declaró confeso de varios delitos de feminicidio, esto difundida a través </w:t>
      </w:r>
      <w:r w:rsidRPr="00616E41">
        <w:rPr>
          <w:rFonts w:cs="Tahoma"/>
        </w:rPr>
        <w:lastRenderedPageBreak/>
        <w:t xml:space="preserve">del medio de comunicación “Foro TV”, en donde fue entrevistada </w:t>
      </w:r>
      <w:proofErr w:type="spellStart"/>
      <w:r w:rsidRPr="00616E41">
        <w:rPr>
          <w:rFonts w:cs="Tahoma"/>
        </w:rPr>
        <w:t>Dilcya</w:t>
      </w:r>
      <w:proofErr w:type="spellEnd"/>
      <w:r w:rsidRPr="00616E41">
        <w:rPr>
          <w:rFonts w:cs="Tahoma"/>
        </w:rPr>
        <w:t xml:space="preserve"> Samantha García Espinoza de los Montero, Fiscal Central para la Atención de los Delitos Vinculados a la Violencia de Género:</w:t>
      </w:r>
    </w:p>
    <w:p w14:paraId="48D1B0F0" w14:textId="77777777" w:rsidR="00F21F1F" w:rsidRPr="00616E41" w:rsidRDefault="00F21F1F" w:rsidP="006461DA">
      <w:pPr>
        <w:spacing w:after="0" w:line="360" w:lineRule="auto"/>
        <w:rPr>
          <w:rFonts w:cs="Tahoma"/>
        </w:rPr>
      </w:pPr>
    </w:p>
    <w:p w14:paraId="2F7DBF44" w14:textId="77777777" w:rsidR="00F21F1F" w:rsidRPr="00616E41" w:rsidRDefault="00F21F1F" w:rsidP="006461DA">
      <w:pPr>
        <w:pStyle w:val="Prrafodelista"/>
        <w:numPr>
          <w:ilvl w:val="0"/>
          <w:numId w:val="1"/>
        </w:numPr>
        <w:spacing w:line="360" w:lineRule="auto"/>
        <w:rPr>
          <w:rFonts w:ascii="Palatino Linotype" w:hAnsi="Palatino Linotype" w:cs="Tahoma"/>
          <w:b/>
          <w:bCs/>
        </w:rPr>
      </w:pPr>
      <w:r w:rsidRPr="00616E41">
        <w:rPr>
          <w:rStyle w:val="Hipervnculo"/>
          <w:rFonts w:ascii="Palatino Linotype" w:hAnsi="Palatino Linotype"/>
        </w:rPr>
        <w:t>https://www.youtube.com/watch?v=kO0KPBoDBGI</w:t>
      </w:r>
    </w:p>
    <w:p w14:paraId="061F6E38" w14:textId="77777777" w:rsidR="00F21F1F" w:rsidRPr="00616E41" w:rsidRDefault="00F21F1F" w:rsidP="006461DA">
      <w:pPr>
        <w:spacing w:after="0" w:line="360" w:lineRule="auto"/>
        <w:rPr>
          <w:rFonts w:cs="Tahoma"/>
          <w:b/>
          <w:bCs/>
        </w:rPr>
      </w:pPr>
    </w:p>
    <w:p w14:paraId="7ED41E00" w14:textId="5B4F99CE" w:rsidR="00F21F1F" w:rsidRPr="006461DA" w:rsidRDefault="00F21F1F" w:rsidP="006461DA">
      <w:pPr>
        <w:spacing w:after="0" w:line="360" w:lineRule="auto"/>
        <w:rPr>
          <w:rFonts w:cs="Tahoma"/>
        </w:rPr>
      </w:pPr>
      <w:r w:rsidRPr="006461DA">
        <w:rPr>
          <w:rFonts w:cs="Tahoma"/>
        </w:rPr>
        <w:t xml:space="preserve">Entonces, </w:t>
      </w:r>
      <w:r w:rsidR="006461DA" w:rsidRPr="006461DA">
        <w:rPr>
          <w:rFonts w:cs="Tahoma"/>
        </w:rPr>
        <w:t>e</w:t>
      </w:r>
      <w:r w:rsidRPr="006461DA">
        <w:rPr>
          <w:rFonts w:cs="Tahoma"/>
        </w:rPr>
        <w:t>l Sujeto Obligado, no acreditó la prueba de daño, pues los argumentos no fueron desarrollados para acreditar el asunto que nos ocupa, asimismo tampoco desarrollo los lineamientos VIGESIMO SEXTO, TRIGÉSIMO y TRIGÉSIMO PRIMERO.</w:t>
      </w:r>
    </w:p>
    <w:p w14:paraId="2A8FE707" w14:textId="77777777" w:rsidR="00F21F1F" w:rsidRPr="006461DA" w:rsidRDefault="00F21F1F" w:rsidP="006461DA">
      <w:pPr>
        <w:spacing w:after="0" w:line="360" w:lineRule="auto"/>
        <w:rPr>
          <w:rFonts w:cs="Tahoma"/>
        </w:rPr>
      </w:pPr>
    </w:p>
    <w:p w14:paraId="6D9EC94A" w14:textId="660CEA2A" w:rsidR="00F21F1F" w:rsidRPr="006461DA" w:rsidRDefault="006461DA" w:rsidP="006461DA">
      <w:pPr>
        <w:spacing w:after="0" w:line="360" w:lineRule="auto"/>
        <w:rPr>
          <w:rFonts w:cs="Tahoma"/>
        </w:rPr>
      </w:pPr>
      <w:r>
        <w:rPr>
          <w:rFonts w:cs="Tahoma"/>
          <w:u w:val="single"/>
        </w:rPr>
        <w:t>B</w:t>
      </w:r>
      <w:r w:rsidR="00F21F1F" w:rsidRPr="006461DA">
        <w:rPr>
          <w:rFonts w:cs="Tahoma"/>
          <w:u w:val="single"/>
        </w:rPr>
        <w:t>asta con desarrollar el riesgo real, demostrable e identificable por parte de este Organismo Garante</w:t>
      </w:r>
      <w:r w:rsidR="00F21F1F" w:rsidRPr="006461DA">
        <w:rPr>
          <w:rFonts w:cs="Tahoma"/>
        </w:rPr>
        <w:t>, para poder identificar los alcances de la divulgación de la información, precisando que el Sujeto Obligado expresó la procedencia de tres fracciones por lo cual, se debe aplicar a cada una de ellas:</w:t>
      </w:r>
    </w:p>
    <w:p w14:paraId="66B177C7" w14:textId="414CEBED" w:rsidR="00662E94" w:rsidRPr="008F04AB" w:rsidRDefault="00662E94" w:rsidP="006461DA">
      <w:pPr>
        <w:spacing w:after="0" w:line="360" w:lineRule="auto"/>
        <w:rPr>
          <w:rFonts w:cs="Tahoma"/>
        </w:rPr>
      </w:pPr>
    </w:p>
    <w:p w14:paraId="343A9F85" w14:textId="77777777" w:rsidR="00F21F1F" w:rsidRPr="00616E41" w:rsidRDefault="00F21F1F" w:rsidP="006461DA">
      <w:pPr>
        <w:spacing w:after="0" w:line="360" w:lineRule="auto"/>
        <w:jc w:val="center"/>
        <w:rPr>
          <w:rFonts w:cs="Tahoma"/>
          <w:b/>
          <w:bCs/>
        </w:rPr>
      </w:pPr>
      <w:r w:rsidRPr="00616E41">
        <w:rPr>
          <w:rFonts w:cs="Tahoma"/>
          <w:b/>
          <w:bCs/>
        </w:rPr>
        <w:t>RIESGO REAL.</w:t>
      </w:r>
    </w:p>
    <w:p w14:paraId="48068C5B" w14:textId="77777777" w:rsidR="00F21F1F" w:rsidRPr="00616E41" w:rsidRDefault="00F21F1F" w:rsidP="006461DA">
      <w:pPr>
        <w:pStyle w:val="Prrafodelista"/>
        <w:numPr>
          <w:ilvl w:val="0"/>
          <w:numId w:val="5"/>
        </w:numPr>
        <w:spacing w:line="360" w:lineRule="auto"/>
        <w:jc w:val="both"/>
        <w:rPr>
          <w:rFonts w:ascii="Palatino Linotype" w:hAnsi="Palatino Linotype" w:cs="Tahoma"/>
        </w:rPr>
      </w:pPr>
      <w:r w:rsidRPr="00616E41">
        <w:rPr>
          <w:rFonts w:ascii="Palatino Linotype" w:hAnsi="Palatino Linotype" w:cs="Tahoma"/>
          <w:b/>
          <w:bCs/>
        </w:rPr>
        <w:t>Fracción VI de la Ley Local de Transparencia</w:t>
      </w:r>
      <w:r w:rsidRPr="00616E41">
        <w:rPr>
          <w:rFonts w:ascii="Palatino Linotype" w:hAnsi="Palatino Linotype" w:cs="Tahoma"/>
        </w:rPr>
        <w:t>. No se identifica que pueda generar un riesgo a obstruir la persecución de delitos, pues la Fiscalía informó a través de diverso medios, uno de ellos, Foro TV, mediante publicación de 20 de mayo del 2021, que esta persona fue vinculado a proceso y que en la primer audiencia confesó parte de sus crímenes, por lo que, el riesgo respecto a esta fracción, no es aplicable, además de que a la fecha de la resolución, la misma Fiscalía a través de su cuenta de Twitter informó que el acusado fue sentenciado el 18 de marzo del 2022, información corroborado por el medio de comunicación “Aristegui noticias”, por lo que, a la fecha de la solicitud y a la fecha actual, no existe riesgo de la entrega de la información respecto a este punto, en tanto a que se atiendan las excepciones contempladas en el artículo 64 del Código Nacional de Procedimientos Penales.</w:t>
      </w:r>
    </w:p>
    <w:p w14:paraId="3E434D22" w14:textId="77777777" w:rsidR="00F21F1F" w:rsidRPr="00616E41" w:rsidRDefault="00F21F1F" w:rsidP="006461DA">
      <w:pPr>
        <w:pStyle w:val="Prrafodelista"/>
        <w:spacing w:line="360" w:lineRule="auto"/>
        <w:ind w:left="927"/>
        <w:jc w:val="both"/>
        <w:rPr>
          <w:rFonts w:ascii="Palatino Linotype" w:hAnsi="Palatino Linotype" w:cs="Tahoma"/>
        </w:rPr>
      </w:pPr>
    </w:p>
    <w:p w14:paraId="36F2F588" w14:textId="77777777" w:rsidR="00F21F1F" w:rsidRPr="00616E41" w:rsidRDefault="00F21F1F" w:rsidP="006461DA">
      <w:pPr>
        <w:pStyle w:val="Prrafodelista"/>
        <w:numPr>
          <w:ilvl w:val="0"/>
          <w:numId w:val="5"/>
        </w:numPr>
        <w:spacing w:line="360" w:lineRule="auto"/>
        <w:jc w:val="both"/>
        <w:rPr>
          <w:rFonts w:ascii="Palatino Linotype" w:hAnsi="Palatino Linotype" w:cs="Tahoma"/>
        </w:rPr>
      </w:pPr>
      <w:r w:rsidRPr="00616E41">
        <w:rPr>
          <w:rFonts w:ascii="Palatino Linotype" w:hAnsi="Palatino Linotype" w:cs="Tahoma"/>
          <w:b/>
          <w:bCs/>
        </w:rPr>
        <w:t xml:space="preserve">Fracción IX de la Ley Local de Transparencia. </w:t>
      </w:r>
      <w:r w:rsidRPr="00616E41">
        <w:rPr>
          <w:rFonts w:ascii="Palatino Linotype" w:hAnsi="Palatino Linotype" w:cs="Tahoma"/>
        </w:rPr>
        <w:t>Este punto, se esclarece con el lineamiento Trigésimo Primero, que contempla que esta información, tendrá este carácter cuando se recaben los datos de prueba para sustentar el ejercicio o no de la acción penal, la acusación contra el imputado y la reparación del daño. Como se identificó, existen notas que indican que esta persona fue vinculada a proceso el 20 de mayo del 2021, por lo que, a esta fecha, esta causal ya no era procedente al no generar riesgo alguno.</w:t>
      </w:r>
    </w:p>
    <w:p w14:paraId="21C236A1" w14:textId="77777777" w:rsidR="00F21F1F" w:rsidRPr="00616E41" w:rsidRDefault="00F21F1F" w:rsidP="006461DA">
      <w:pPr>
        <w:pStyle w:val="Prrafodelista"/>
        <w:spacing w:line="360" w:lineRule="auto"/>
        <w:ind w:left="927"/>
        <w:jc w:val="both"/>
        <w:rPr>
          <w:rFonts w:ascii="Palatino Linotype" w:hAnsi="Palatino Linotype" w:cs="Tahoma"/>
        </w:rPr>
      </w:pPr>
    </w:p>
    <w:p w14:paraId="32B67842" w14:textId="77777777" w:rsidR="00F21F1F" w:rsidRPr="00616E41" w:rsidRDefault="00F21F1F" w:rsidP="006461DA">
      <w:pPr>
        <w:pStyle w:val="Prrafodelista"/>
        <w:numPr>
          <w:ilvl w:val="0"/>
          <w:numId w:val="5"/>
        </w:numPr>
        <w:spacing w:line="360" w:lineRule="auto"/>
        <w:jc w:val="both"/>
        <w:rPr>
          <w:rFonts w:ascii="Palatino Linotype" w:hAnsi="Palatino Linotype" w:cs="Tahoma"/>
        </w:rPr>
      </w:pPr>
      <w:r w:rsidRPr="00616E41">
        <w:rPr>
          <w:rFonts w:ascii="Palatino Linotype" w:hAnsi="Palatino Linotype" w:cs="Tahoma"/>
          <w:b/>
          <w:bCs/>
        </w:rPr>
        <w:t>Fracción XI de la Ley Local de Transparencia.</w:t>
      </w:r>
      <w:r w:rsidRPr="00616E41">
        <w:rPr>
          <w:rFonts w:ascii="Palatino Linotype" w:hAnsi="Palatino Linotype" w:cs="Tahoma"/>
        </w:rPr>
        <w:t xml:space="preserve"> Sobre este punto, la Fiscalía acreditó la existencia de una fuente obligacional a través de los artículos 15, 106 y 218 del Código Nacional de Procedimientos Penales, consideran como información reservada.</w:t>
      </w:r>
    </w:p>
    <w:p w14:paraId="1D30578B" w14:textId="77777777" w:rsidR="00F21F1F" w:rsidRPr="00616E41" w:rsidRDefault="00F21F1F" w:rsidP="006461DA">
      <w:pPr>
        <w:spacing w:after="0" w:line="360" w:lineRule="auto"/>
        <w:rPr>
          <w:rFonts w:cs="Tahoma"/>
        </w:rPr>
      </w:pPr>
    </w:p>
    <w:p w14:paraId="629B219F" w14:textId="77777777" w:rsidR="00F21F1F" w:rsidRPr="00616E41" w:rsidRDefault="00F21F1F" w:rsidP="006461DA">
      <w:pPr>
        <w:spacing w:after="0" w:line="360" w:lineRule="auto"/>
        <w:ind w:left="567" w:right="616"/>
        <w:rPr>
          <w:i/>
          <w:iCs/>
          <w:sz w:val="20"/>
          <w:szCs w:val="20"/>
        </w:rPr>
      </w:pPr>
      <w:r w:rsidRPr="00616E41">
        <w:rPr>
          <w:i/>
          <w:iCs/>
          <w:sz w:val="20"/>
          <w:szCs w:val="20"/>
        </w:rPr>
        <w:t>Artículo 15. Derecho a la intimidad y a la privacidad En todo procedimiento penal se respetará el derecho a la intimidad de cualquier persona que intervenga en él, asimismo se protegerá la información que se refiere a la vida privada y los datos personales, en los términos y con las excepciones que fijan la Constitución, este Código y la legislación aplicable</w:t>
      </w:r>
    </w:p>
    <w:p w14:paraId="7465BE74" w14:textId="77777777" w:rsidR="00F21F1F" w:rsidRPr="00616E41" w:rsidRDefault="00F21F1F" w:rsidP="006461DA">
      <w:pPr>
        <w:spacing w:after="0" w:line="360" w:lineRule="auto"/>
        <w:ind w:left="567" w:right="616"/>
        <w:rPr>
          <w:i/>
          <w:iCs/>
          <w:sz w:val="20"/>
          <w:szCs w:val="20"/>
        </w:rPr>
      </w:pPr>
      <w:r w:rsidRPr="00616E41">
        <w:rPr>
          <w:i/>
          <w:iCs/>
          <w:sz w:val="20"/>
          <w:szCs w:val="20"/>
        </w:rPr>
        <w:t xml:space="preserve">Artículo 106. Reserva sobre la identidad En ningún caso se podrá hacer referencia o comunicar a terceros no legitimados la información confidencial relativa a los datos personales de los sujetos del procedimiento penal o de cualquier persona relacionada o mencionada en éste. </w:t>
      </w:r>
    </w:p>
    <w:p w14:paraId="7E486558" w14:textId="77777777" w:rsidR="00F21F1F" w:rsidRPr="00616E41" w:rsidRDefault="00F21F1F" w:rsidP="006461DA">
      <w:pPr>
        <w:spacing w:after="0" w:line="360" w:lineRule="auto"/>
        <w:ind w:left="567" w:right="616"/>
        <w:rPr>
          <w:i/>
          <w:iCs/>
          <w:sz w:val="20"/>
          <w:szCs w:val="20"/>
        </w:rPr>
      </w:pPr>
      <w:r w:rsidRPr="00616E41">
        <w:rPr>
          <w:i/>
          <w:iCs/>
          <w:sz w:val="20"/>
          <w:szCs w:val="20"/>
        </w:rPr>
        <w:t xml:space="preserve">Toda violación al deber de reserva por parte de los servidores públicos será sancionada por la legislación aplicable. </w:t>
      </w:r>
    </w:p>
    <w:p w14:paraId="3A64CEE4" w14:textId="77777777" w:rsidR="00F21F1F" w:rsidRPr="00616E41" w:rsidRDefault="00F21F1F" w:rsidP="006461DA">
      <w:pPr>
        <w:spacing w:after="0" w:line="360" w:lineRule="auto"/>
        <w:ind w:left="567" w:right="616"/>
        <w:rPr>
          <w:i/>
          <w:iCs/>
          <w:sz w:val="20"/>
          <w:szCs w:val="20"/>
        </w:rPr>
      </w:pPr>
      <w:r w:rsidRPr="00616E41">
        <w:rPr>
          <w:i/>
          <w:iCs/>
          <w:sz w:val="20"/>
          <w:szCs w:val="20"/>
        </w:rPr>
        <w:t>En los casos de personas sustraídas de la acción de la justicia, se admitirá la publicación de los datos que permitan la identificación del imputado para ejecutar la orden judicial de aprehensión o de comparecencia.</w:t>
      </w:r>
    </w:p>
    <w:p w14:paraId="4861C649" w14:textId="77777777" w:rsidR="00F21F1F" w:rsidRPr="00616E41" w:rsidRDefault="00F21F1F" w:rsidP="006461DA">
      <w:pPr>
        <w:spacing w:after="0" w:line="360" w:lineRule="auto"/>
        <w:ind w:left="567" w:right="616"/>
        <w:rPr>
          <w:i/>
          <w:iCs/>
          <w:sz w:val="20"/>
          <w:szCs w:val="20"/>
        </w:rPr>
      </w:pPr>
      <w:r w:rsidRPr="00616E41">
        <w:rPr>
          <w:i/>
          <w:iCs/>
          <w:sz w:val="20"/>
          <w:szCs w:val="20"/>
        </w:rPr>
        <w:t>Artículo 218. Reserva de los actos de investigación.</w:t>
      </w:r>
    </w:p>
    <w:p w14:paraId="6A00C6F8" w14:textId="77777777" w:rsidR="00F21F1F" w:rsidRPr="00616E41" w:rsidRDefault="00F21F1F" w:rsidP="006461DA">
      <w:pPr>
        <w:spacing w:after="0" w:line="360" w:lineRule="auto"/>
        <w:ind w:left="567" w:right="616"/>
        <w:rPr>
          <w:i/>
          <w:iCs/>
          <w:sz w:val="20"/>
          <w:szCs w:val="20"/>
        </w:rPr>
      </w:pPr>
      <w:r w:rsidRPr="00616E41">
        <w:rPr>
          <w:i/>
          <w:iCs/>
          <w:sz w:val="20"/>
          <w:szCs w:val="20"/>
        </w:rPr>
        <w:lastRenderedPageBreak/>
        <w:t xml:space="preserve">Los registros de la investigación, así como todos los documentos, independientemente de su contenido o naturaleza, los objetos, los registros de voz e imágenes o cosas que le estén relacionados, son estrictamente reservados, por lo que únicamente las partes, podrán tener acceso a los mismos, con las limitaciones establecidas en este Código y demás disposiciones aplicables. </w:t>
      </w:r>
    </w:p>
    <w:p w14:paraId="3ADDF9E0" w14:textId="77777777" w:rsidR="00F21F1F" w:rsidRPr="00616E41" w:rsidRDefault="00F21F1F" w:rsidP="006461DA">
      <w:pPr>
        <w:spacing w:after="0" w:line="360" w:lineRule="auto"/>
        <w:ind w:left="567" w:right="616"/>
        <w:rPr>
          <w:i/>
          <w:iCs/>
          <w:sz w:val="20"/>
          <w:szCs w:val="20"/>
        </w:rPr>
      </w:pPr>
      <w:r w:rsidRPr="00616E41">
        <w:rPr>
          <w:i/>
          <w:iCs/>
          <w:sz w:val="20"/>
          <w:szCs w:val="20"/>
        </w:rPr>
        <w:t xml:space="preserve">La víctima u ofendido y su Asesor Jurídico podrán tener acceso a los registros de la investigación en cualquier momento. </w:t>
      </w:r>
    </w:p>
    <w:p w14:paraId="70C7E1C9" w14:textId="77777777" w:rsidR="00F21F1F" w:rsidRPr="00616E41" w:rsidRDefault="00F21F1F" w:rsidP="006461DA">
      <w:pPr>
        <w:spacing w:after="0" w:line="360" w:lineRule="auto"/>
        <w:ind w:left="567" w:right="616"/>
        <w:rPr>
          <w:i/>
          <w:iCs/>
          <w:sz w:val="20"/>
          <w:szCs w:val="20"/>
        </w:rPr>
      </w:pPr>
      <w:r w:rsidRPr="00616E41">
        <w:rPr>
          <w:i/>
          <w:iCs/>
          <w:sz w:val="20"/>
          <w:szCs w:val="20"/>
        </w:rPr>
        <w:t xml:space="preserve">El imputado y su defensor podrán tener acceso a ellos cuando se encuentre detenido, sea citado para comparecer como imputado o sea sujeto de un acto de molestia y se pretenda recibir su entrevista, a partir de este momento ya no podrán mantenerse en reserva los registros para el imputado o su Defensor a fin de no afectar su derecho de defensa. Para los efectos de este párrafo, se entenderá como acto de molestia lo dispuesto en el artículo 266 de este Código. </w:t>
      </w:r>
    </w:p>
    <w:p w14:paraId="3F2DCCF0" w14:textId="77777777" w:rsidR="00F21F1F" w:rsidRPr="00616E41" w:rsidRDefault="00F21F1F" w:rsidP="006461DA">
      <w:pPr>
        <w:spacing w:after="0" w:line="360" w:lineRule="auto"/>
        <w:ind w:left="567" w:right="616"/>
        <w:rPr>
          <w:i/>
          <w:iCs/>
          <w:sz w:val="20"/>
          <w:szCs w:val="20"/>
        </w:rPr>
      </w:pPr>
      <w:r w:rsidRPr="00616E41">
        <w:rPr>
          <w:i/>
          <w:iCs/>
          <w:sz w:val="20"/>
          <w:szCs w:val="20"/>
        </w:rPr>
        <w:t xml:space="preserve">En ningún caso la reserva de los registros podrá hacerse valer en perjuicio del imputado y su Defensor, una vez dictado el auto de vinculación a proceso, salvo lo previsto en este Código o en las leyes especiales. </w:t>
      </w:r>
    </w:p>
    <w:p w14:paraId="5B1BE2D6" w14:textId="77777777" w:rsidR="00F21F1F" w:rsidRPr="00616E41" w:rsidRDefault="00F21F1F" w:rsidP="006461DA">
      <w:pPr>
        <w:spacing w:after="0" w:line="360" w:lineRule="auto"/>
        <w:ind w:left="567" w:right="616"/>
        <w:rPr>
          <w:i/>
          <w:iCs/>
          <w:sz w:val="20"/>
          <w:szCs w:val="20"/>
        </w:rPr>
      </w:pPr>
      <w:r w:rsidRPr="00616E41">
        <w:rPr>
          <w:i/>
          <w:iCs/>
          <w:sz w:val="20"/>
          <w:szCs w:val="20"/>
        </w:rPr>
        <w:t>Para efectos de acceso a la información pública gubernamental, el Ministerio Público únicamente deberá proporcionar una versión pública de las determinaciones de no ejercicio de la acción penal, archivo temporal o de aplicación de un criterio de oportunidad, siempre que haya transcurrido un plazo igual al de prescripción de los delitos de que se trate, de conformidad con lo dispuesto en el Código Penal Federal o estatal correspondiente, sin que pueda ser menor de tres años, ni mayor de doce años, contado a partir de que dicha determinación haya quedado firme.</w:t>
      </w:r>
    </w:p>
    <w:p w14:paraId="081AF3BD" w14:textId="77777777" w:rsidR="006461DA" w:rsidRDefault="006461DA" w:rsidP="006461DA">
      <w:pPr>
        <w:spacing w:after="0" w:line="360" w:lineRule="auto"/>
        <w:rPr>
          <w:rFonts w:cs="Tahoma"/>
        </w:rPr>
      </w:pPr>
    </w:p>
    <w:p w14:paraId="57DA08CD" w14:textId="2D896FD2" w:rsidR="00F21F1F" w:rsidRDefault="00F21F1F" w:rsidP="006461DA">
      <w:pPr>
        <w:spacing w:after="0" w:line="360" w:lineRule="auto"/>
        <w:rPr>
          <w:rFonts w:cs="Tahoma"/>
        </w:rPr>
      </w:pPr>
      <w:r w:rsidRPr="00616E41">
        <w:rPr>
          <w:rFonts w:cs="Tahoma"/>
        </w:rPr>
        <w:t>Sin embargo, omitió precisar la existencia de las excepciones a la reserva de la información, contempladas por el artículo 142 de la Ley de Transparencia y Acceso a la Información Pública del Estado de México y Municipios, que a la letra contempla:</w:t>
      </w:r>
    </w:p>
    <w:p w14:paraId="0C938CB4" w14:textId="77777777" w:rsidR="006461DA" w:rsidRPr="00616E41" w:rsidRDefault="006461DA" w:rsidP="006461DA">
      <w:pPr>
        <w:spacing w:after="0" w:line="360" w:lineRule="auto"/>
        <w:rPr>
          <w:rFonts w:cs="Tahoma"/>
        </w:rPr>
      </w:pPr>
    </w:p>
    <w:p w14:paraId="6290913D" w14:textId="77777777" w:rsidR="00F21F1F" w:rsidRPr="00616E41" w:rsidRDefault="00F21F1F" w:rsidP="006461DA">
      <w:pPr>
        <w:spacing w:after="0" w:line="360" w:lineRule="auto"/>
        <w:ind w:left="567" w:right="616"/>
        <w:rPr>
          <w:i/>
          <w:iCs/>
          <w:sz w:val="20"/>
          <w:szCs w:val="20"/>
        </w:rPr>
      </w:pPr>
      <w:r w:rsidRPr="00616E41">
        <w:rPr>
          <w:i/>
          <w:iCs/>
          <w:sz w:val="20"/>
          <w:szCs w:val="20"/>
        </w:rPr>
        <w:t>Artículo 142. Bajo ninguna circunstancia podrá invocarse el carácter de reservado cuando:</w:t>
      </w:r>
    </w:p>
    <w:p w14:paraId="5F20B929"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I. Se trate de violaciones graves de derechos humanos, calificada así por autoridad competente;</w:t>
      </w:r>
    </w:p>
    <w:p w14:paraId="056C383C" w14:textId="77777777" w:rsidR="00F21F1F" w:rsidRPr="00616E41" w:rsidRDefault="00F21F1F" w:rsidP="006461DA">
      <w:pPr>
        <w:spacing w:after="0" w:line="360" w:lineRule="auto"/>
        <w:ind w:left="567" w:right="616"/>
        <w:rPr>
          <w:i/>
          <w:iCs/>
          <w:sz w:val="20"/>
          <w:szCs w:val="20"/>
        </w:rPr>
      </w:pPr>
      <w:r w:rsidRPr="00616E41">
        <w:rPr>
          <w:b/>
          <w:bCs/>
          <w:i/>
          <w:iCs/>
          <w:sz w:val="20"/>
          <w:szCs w:val="20"/>
        </w:rPr>
        <w:lastRenderedPageBreak/>
        <w:t>II. Se trate de la investigación de posibles violaciones graves de derechos humanos aun cuando no exista pronunciamiento previo de autoridad competente, cuando se determine, a partir de criterios cuantitativos y cualitativos la trascendencia social de las violaciones</w:t>
      </w:r>
      <w:r w:rsidRPr="00616E41">
        <w:rPr>
          <w:i/>
          <w:iCs/>
          <w:sz w:val="20"/>
          <w:szCs w:val="20"/>
        </w:rPr>
        <w:t xml:space="preserve">; </w:t>
      </w:r>
    </w:p>
    <w:p w14:paraId="23B5FD36" w14:textId="77777777" w:rsidR="00F21F1F" w:rsidRPr="00616E41" w:rsidRDefault="00F21F1F" w:rsidP="006461DA">
      <w:pPr>
        <w:spacing w:after="0" w:line="360" w:lineRule="auto"/>
        <w:ind w:left="567" w:right="616"/>
        <w:rPr>
          <w:i/>
          <w:iCs/>
          <w:sz w:val="20"/>
          <w:szCs w:val="20"/>
        </w:rPr>
      </w:pPr>
      <w:r w:rsidRPr="00616E41">
        <w:rPr>
          <w:i/>
          <w:iCs/>
          <w:sz w:val="20"/>
          <w:szCs w:val="20"/>
        </w:rPr>
        <w:t xml:space="preserve">III. Se trate de delitos de lesa humanidad conforme a los tratados ratificados por el Senado de la República, las resoluciones emitidas por organismos internacionales cuya competencia sea reconocida por el Estado Mexicano, así como en las disposiciones jurídicas aplicables; y </w:t>
      </w:r>
    </w:p>
    <w:p w14:paraId="17BFC8ED" w14:textId="77777777" w:rsidR="00F21F1F" w:rsidRPr="00616E41" w:rsidRDefault="00F21F1F" w:rsidP="006461DA">
      <w:pPr>
        <w:spacing w:after="0" w:line="360" w:lineRule="auto"/>
        <w:ind w:left="567" w:right="616"/>
        <w:rPr>
          <w:i/>
          <w:iCs/>
          <w:sz w:val="20"/>
          <w:szCs w:val="20"/>
        </w:rPr>
      </w:pPr>
      <w:r w:rsidRPr="00616E41">
        <w:rPr>
          <w:i/>
          <w:iCs/>
          <w:sz w:val="20"/>
          <w:szCs w:val="20"/>
        </w:rPr>
        <w:t>IV. Se trate de información relacionada con actos de corrupción de conformidad con las disposiciones jurídicas aplicables.</w:t>
      </w:r>
    </w:p>
    <w:p w14:paraId="338BEA70" w14:textId="77777777" w:rsidR="00F21F1F" w:rsidRPr="00616E41" w:rsidRDefault="00F21F1F" w:rsidP="006461DA">
      <w:pPr>
        <w:spacing w:after="0" w:line="360" w:lineRule="auto"/>
        <w:ind w:left="567" w:right="616"/>
        <w:rPr>
          <w:i/>
          <w:iCs/>
          <w:sz w:val="20"/>
          <w:szCs w:val="20"/>
        </w:rPr>
      </w:pPr>
    </w:p>
    <w:p w14:paraId="19ADA953" w14:textId="77777777" w:rsidR="00F21F1F" w:rsidRPr="00616E41" w:rsidRDefault="00F21F1F" w:rsidP="006461DA">
      <w:pPr>
        <w:spacing w:after="0" w:line="360" w:lineRule="auto"/>
        <w:ind w:left="567"/>
        <w:rPr>
          <w:rFonts w:cs="Tahoma"/>
        </w:rPr>
      </w:pPr>
      <w:r w:rsidRPr="00616E41">
        <w:rPr>
          <w:rFonts w:cs="Tahoma"/>
        </w:rPr>
        <w:t>Para encausar estos presupuestos, se invoca la Tesis Aislada de la Novena Época, con registro digital 200110, publicado en el Semanario Judicial de la Federación y su Gaceta.</w:t>
      </w:r>
      <w:r w:rsidRPr="00616E41">
        <w:rPr>
          <w:rFonts w:cs="Tahoma"/>
        </w:rPr>
        <w:br/>
        <w:t xml:space="preserve">Tomo III, </w:t>
      </w:r>
      <w:proofErr w:type="gramStart"/>
      <w:r w:rsidRPr="00616E41">
        <w:rPr>
          <w:rFonts w:cs="Tahoma"/>
        </w:rPr>
        <w:t>Junio</w:t>
      </w:r>
      <w:proofErr w:type="gramEnd"/>
      <w:r w:rsidRPr="00616E41">
        <w:rPr>
          <w:rFonts w:cs="Tahoma"/>
        </w:rPr>
        <w:t xml:space="preserve"> de 1996, página 459, que lleva por rubro y texto:</w:t>
      </w:r>
    </w:p>
    <w:p w14:paraId="36459870" w14:textId="77777777" w:rsidR="00F21F1F" w:rsidRPr="00616E41" w:rsidRDefault="00F21F1F" w:rsidP="006461DA">
      <w:pPr>
        <w:spacing w:after="0" w:line="360" w:lineRule="auto"/>
        <w:ind w:left="567"/>
        <w:rPr>
          <w:rFonts w:cs="Tahoma"/>
        </w:rPr>
      </w:pPr>
    </w:p>
    <w:p w14:paraId="26F5DEE0"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GARANTIAS INDIVIDUALES. CONCEPTO DE VIOLACION GRAVE DE ELLAS PARA LOS EFECTOS DEL SEGUNDO PARRAFO DEL ARTICULO </w:t>
      </w:r>
      <w:hyperlink r:id="rId90" w:history="1">
        <w:r w:rsidRPr="00616E41">
          <w:rPr>
            <w:b/>
            <w:bCs/>
            <w:i/>
            <w:iCs/>
            <w:sz w:val="20"/>
            <w:szCs w:val="20"/>
          </w:rPr>
          <w:t>97 CONSTITUCIONAL</w:t>
        </w:r>
      </w:hyperlink>
      <w:r w:rsidRPr="00616E41">
        <w:rPr>
          <w:b/>
          <w:bCs/>
          <w:i/>
          <w:iCs/>
          <w:sz w:val="20"/>
          <w:szCs w:val="20"/>
        </w:rPr>
        <w:t>.</w:t>
      </w:r>
    </w:p>
    <w:p w14:paraId="4173F737" w14:textId="77777777" w:rsidR="00F21F1F" w:rsidRPr="00616E41" w:rsidRDefault="00F21F1F" w:rsidP="006461DA">
      <w:pPr>
        <w:spacing w:after="0" w:line="360" w:lineRule="auto"/>
        <w:ind w:left="567" w:right="616"/>
        <w:rPr>
          <w:b/>
          <w:bCs/>
          <w:i/>
          <w:iCs/>
          <w:sz w:val="20"/>
          <w:szCs w:val="20"/>
        </w:rPr>
      </w:pPr>
      <w:r w:rsidRPr="00616E41">
        <w:rPr>
          <w:i/>
          <w:iCs/>
          <w:sz w:val="20"/>
          <w:szCs w:val="20"/>
        </w:rPr>
        <w:t xml:space="preserve">Las violaciones graves de garantías a que se refiere dicho artículo, son hechos generalizados consecuentes a un "estado de cosas", acaecidos en una entidad o región determinados, y su averiguación tiene lugar cuando ocurren acontecimientos que debiendo ser afrontados y resueltos por las autoridades constituidas con estricto apego al principio de legalidad, esos acontecimientos no se logran controlar por la actitud de la propia autoridad, produciéndose, en consecuencia, violaciones a los derechos fundamentales de los individuos. </w:t>
      </w:r>
      <w:r w:rsidRPr="00616E41">
        <w:rPr>
          <w:b/>
          <w:bCs/>
          <w:i/>
          <w:iCs/>
          <w:sz w:val="20"/>
          <w:szCs w:val="20"/>
        </w:rPr>
        <w:t>Por ende, la grave violación de garantías individuales se actualiza cuando la sociedad no se encuentra en seguridad material, social, política o jurídica, a consecuencia de que: a) Las propias autoridades que deben proteger a la población que gobiernan, son las que producen o propician los actos violentos, pretendiendo en tal forma obtener una respuesta disciplinada, aunque aquéllos sean violatorios de los derechos de las personas y de las instituciones. b) Que frente a un desorden generalizado las autoridades sean omisas, negligentes o impotentes para encauzar las relaciones pacíficas de la comunidad, o bien que sean totalmente indiferentes en obtener el respeto a las garantías individuales.</w:t>
      </w:r>
    </w:p>
    <w:p w14:paraId="18DFC988" w14:textId="77777777" w:rsidR="00F21F1F" w:rsidRPr="00616E41" w:rsidRDefault="00F21F1F" w:rsidP="006461DA">
      <w:pPr>
        <w:spacing w:after="0" w:line="360" w:lineRule="auto"/>
        <w:rPr>
          <w:rFonts w:cs="Tahoma"/>
        </w:rPr>
      </w:pPr>
    </w:p>
    <w:p w14:paraId="5C4323FF" w14:textId="77777777" w:rsidR="00F21F1F" w:rsidRPr="00616E41" w:rsidRDefault="00F21F1F" w:rsidP="006461DA">
      <w:pPr>
        <w:spacing w:after="0" w:line="360" w:lineRule="auto"/>
        <w:rPr>
          <w:rFonts w:cs="Tahoma"/>
        </w:rPr>
      </w:pPr>
      <w:r w:rsidRPr="00616E41">
        <w:rPr>
          <w:rFonts w:cs="Tahoma"/>
        </w:rPr>
        <w:t>En este contexto, la tesis previamente citada, permite circunscribir al delito de feminicidio en el supuesto b), al identificarse la existencia de un desorden generalizado en donde la autoridad, se encuentra impotente para encausar el respeto a las garantías individuales, pues si bien, la autoridad realiza las funciones y por ello no se puede considerar como omisa o negligente, lo cierto es que los esfuerzos no están siendo suficientes para mitigar la violencia contra las mujeres.</w:t>
      </w:r>
    </w:p>
    <w:p w14:paraId="16C8D351" w14:textId="77777777" w:rsidR="00F21F1F" w:rsidRPr="00616E41" w:rsidRDefault="00F21F1F" w:rsidP="006461DA">
      <w:pPr>
        <w:spacing w:after="0" w:line="360" w:lineRule="auto"/>
        <w:rPr>
          <w:rFonts w:cs="Tahoma"/>
        </w:rPr>
      </w:pPr>
    </w:p>
    <w:p w14:paraId="315F908F" w14:textId="77777777" w:rsidR="00F21F1F" w:rsidRPr="00616E41" w:rsidRDefault="00F21F1F" w:rsidP="006461DA">
      <w:pPr>
        <w:spacing w:after="0" w:line="360" w:lineRule="auto"/>
        <w:rPr>
          <w:rFonts w:cs="Tahoma"/>
          <w:b/>
          <w:bCs/>
          <w:u w:val="single"/>
        </w:rPr>
      </w:pPr>
      <w:r w:rsidRPr="00616E41">
        <w:rPr>
          <w:rFonts w:cs="Tahoma"/>
        </w:rPr>
        <w:t xml:space="preserve">En este orden de ideas, el feminicidio, debe ser considerado como una violación grave a los derechos humanos, pues si bien no existe participación directa del Estado, </w:t>
      </w:r>
      <w:r w:rsidRPr="00616E41">
        <w:rPr>
          <w:rFonts w:cs="Tahoma"/>
          <w:b/>
          <w:bCs/>
          <w:u w:val="single"/>
        </w:rPr>
        <w:t>se puede afirmar la de que la autoridad es impotente para abordar la problemática, pues la seguridad pública, es una obligación exclusiva del Estado y por ello, de manera indirecta, el incremento del delito de feminicidio se relaciona al actuar del Estado.</w:t>
      </w:r>
    </w:p>
    <w:p w14:paraId="3A399863" w14:textId="4E16C69D" w:rsidR="00F21F1F" w:rsidRDefault="00F21F1F" w:rsidP="006461DA">
      <w:pPr>
        <w:spacing w:after="0" w:line="360" w:lineRule="auto"/>
        <w:rPr>
          <w:rFonts w:cs="Tahoma"/>
          <w:b/>
          <w:bCs/>
          <w:u w:val="single"/>
        </w:rPr>
      </w:pPr>
    </w:p>
    <w:p w14:paraId="0E9D9CFC" w14:textId="77777777" w:rsidR="00D35B85" w:rsidRPr="006461DA" w:rsidRDefault="00D35B85" w:rsidP="006461DA">
      <w:pPr>
        <w:spacing w:after="0" w:line="360" w:lineRule="auto"/>
        <w:rPr>
          <w:rFonts w:cs="Tahoma"/>
        </w:rPr>
      </w:pPr>
      <w:r w:rsidRPr="006461DA">
        <w:rPr>
          <w:rFonts w:cs="Tahoma"/>
        </w:rPr>
        <w:t>Ahora bien, la tesis 1a. XI/2012 de la décima época con registro digital 2000296, contempla una definición que sirve como guía para la identificación de los elementos necesarios de la apertura de una carpeta de investigación:</w:t>
      </w:r>
    </w:p>
    <w:p w14:paraId="3C59B03C" w14:textId="77777777" w:rsidR="00D35B85" w:rsidRPr="006461DA" w:rsidRDefault="00D35B85" w:rsidP="006461DA">
      <w:pPr>
        <w:spacing w:after="0" w:line="360" w:lineRule="auto"/>
        <w:ind w:left="567" w:right="616"/>
        <w:rPr>
          <w:b/>
          <w:bCs/>
          <w:i/>
          <w:iCs/>
          <w:sz w:val="20"/>
          <w:szCs w:val="20"/>
        </w:rPr>
      </w:pPr>
    </w:p>
    <w:p w14:paraId="43E87995" w14:textId="640203D3" w:rsidR="00D35B85" w:rsidRPr="006461DA" w:rsidRDefault="00D35B85" w:rsidP="006461DA">
      <w:pPr>
        <w:spacing w:after="0" w:line="360" w:lineRule="auto"/>
        <w:ind w:left="567" w:right="616"/>
        <w:rPr>
          <w:b/>
          <w:bCs/>
          <w:i/>
          <w:iCs/>
          <w:sz w:val="20"/>
          <w:szCs w:val="20"/>
        </w:rPr>
      </w:pPr>
      <w:r w:rsidRPr="006461DA">
        <w:rPr>
          <w:b/>
          <w:bCs/>
          <w:i/>
          <w:iCs/>
          <w:sz w:val="20"/>
          <w:szCs w:val="20"/>
        </w:rPr>
        <w:t>VIOLACIONES GRAVES A DERECHOS HUMANOS. SU CONCEPTO PARA EFECTOS DEL DERECHO DE ACCESO A LA INFORMACIÓN DE LA AVERIGUACIÓN PREVIA QUE LAS INVESTIGA.</w:t>
      </w:r>
    </w:p>
    <w:p w14:paraId="488D193A" w14:textId="77777777" w:rsidR="00D35B85" w:rsidRPr="006461DA" w:rsidRDefault="00D35B85" w:rsidP="006461DA">
      <w:pPr>
        <w:spacing w:after="0" w:line="360" w:lineRule="auto"/>
        <w:ind w:left="567" w:right="616"/>
        <w:rPr>
          <w:i/>
          <w:iCs/>
          <w:sz w:val="20"/>
          <w:szCs w:val="20"/>
        </w:rPr>
      </w:pPr>
    </w:p>
    <w:p w14:paraId="680DA693" w14:textId="57CACDEE" w:rsidR="00D35B85" w:rsidRPr="006461DA" w:rsidRDefault="00D35B85" w:rsidP="006461DA">
      <w:pPr>
        <w:spacing w:after="0" w:line="360" w:lineRule="auto"/>
        <w:ind w:left="567" w:right="616"/>
        <w:rPr>
          <w:i/>
          <w:iCs/>
          <w:sz w:val="20"/>
          <w:szCs w:val="20"/>
          <w:u w:val="single"/>
        </w:rPr>
      </w:pPr>
      <w:r w:rsidRPr="006461DA">
        <w:rPr>
          <w:i/>
          <w:iCs/>
          <w:sz w:val="20"/>
          <w:szCs w:val="20"/>
        </w:rPr>
        <w:t xml:space="preserve">De conformidad con el artículo 14 de la Ley Federal de Transparencia y Acceso a la Información Pública Gubernamental, no puede alegarse el carácter de reservado cuando la averiguación previa investigue hechos constitutivos de graves violaciones a derechos humanos o delitos de lesa humanidad. A fin de que el intérprete determine si un caso concreto se ubica en el supuesto de excepción relativo a las violaciones graves a derechos humanos y deba dar acceso a la averiguación previa correspondiente, es necesario que atienda a los lineamientos sentados por la Suprema Corte </w:t>
      </w:r>
      <w:r w:rsidRPr="006461DA">
        <w:rPr>
          <w:i/>
          <w:iCs/>
          <w:sz w:val="20"/>
          <w:szCs w:val="20"/>
        </w:rPr>
        <w:lastRenderedPageBreak/>
        <w:t xml:space="preserve">de Justicia de la Nación y por la Corte Interamericana de Derechos Humanos en esta materia. Siguiendo los lineamientos establecidos por este alto tribunal, para determinar que una violación a derechos humanos es "grave" se requiere comprobar la trascendencia social de las violaciones, lo cual se podrá determinar a través de criterios cuantitativos o cualitativos. El criterio cuantitativo determina la gravedad de las violaciones demostrando que tienen una trascendencia social en función de aspectos medibles o cuantificables, tales como el número, la intensidad, la amplitud, la generalidad, la frecuencia o su prolongación en el tiempo, así como, evidentemente, la combinación de varios de estos aspectos. Es lógico que el criterio anterior no haya podido aplicarse a todos los casos, razón por la cual esta Suprema Corte también ha entendido que en algunos supuestos la trascendencia social de las violaciones se puede demostrar mediante un criterio cualitativo, determinando si éstas presentan alguna característica o cualidad que les dé una dimensión específica. En lo que respecta a la jurisprudencia de la Corte Interamericana de Derechos Humanos, ese tribunal ha determinado que </w:t>
      </w:r>
      <w:r w:rsidRPr="006461DA">
        <w:rPr>
          <w:b/>
          <w:bCs/>
          <w:i/>
          <w:iCs/>
          <w:sz w:val="20"/>
          <w:szCs w:val="20"/>
        </w:rPr>
        <w:t xml:space="preserve">la "gravedad" radica, esencialmente, en que se presenten las siguientes características: </w:t>
      </w:r>
      <w:r w:rsidRPr="006461DA">
        <w:rPr>
          <w:b/>
          <w:bCs/>
          <w:i/>
          <w:iCs/>
          <w:sz w:val="20"/>
          <w:szCs w:val="20"/>
          <w:u w:val="single"/>
        </w:rPr>
        <w:t>multiplicidad de violaciones comprendidas dentro del fenómeno delictivo</w:t>
      </w:r>
      <w:r w:rsidRPr="006461DA">
        <w:rPr>
          <w:i/>
          <w:iCs/>
          <w:sz w:val="20"/>
          <w:szCs w:val="20"/>
          <w:u w:val="single"/>
        </w:rPr>
        <w:t xml:space="preserve">; especial </w:t>
      </w:r>
      <w:r w:rsidRPr="006461DA">
        <w:rPr>
          <w:b/>
          <w:bCs/>
          <w:i/>
          <w:iCs/>
          <w:sz w:val="20"/>
          <w:szCs w:val="20"/>
          <w:u w:val="single"/>
        </w:rPr>
        <w:t>magnitud de las violaciones</w:t>
      </w:r>
      <w:r w:rsidRPr="006461DA">
        <w:rPr>
          <w:i/>
          <w:iCs/>
          <w:sz w:val="20"/>
          <w:szCs w:val="20"/>
          <w:u w:val="single"/>
        </w:rPr>
        <w:t xml:space="preserve"> en relación a la naturaleza de los derechos afectados; y una </w:t>
      </w:r>
      <w:r w:rsidRPr="006461DA">
        <w:rPr>
          <w:b/>
          <w:bCs/>
          <w:i/>
          <w:iCs/>
          <w:sz w:val="20"/>
          <w:szCs w:val="20"/>
          <w:u w:val="single"/>
        </w:rPr>
        <w:t>participación importante del Estado,</w:t>
      </w:r>
      <w:r w:rsidRPr="006461DA">
        <w:rPr>
          <w:i/>
          <w:iCs/>
          <w:sz w:val="20"/>
          <w:szCs w:val="20"/>
          <w:u w:val="single"/>
        </w:rPr>
        <w:t xml:space="preserve"> al ser los actos cometidos por agentes estatales o con la aquiescencia, tolerancia o apoyo del Estado.</w:t>
      </w:r>
    </w:p>
    <w:p w14:paraId="1A4AFF07" w14:textId="01793CE4" w:rsidR="00D35B85" w:rsidRPr="006461DA" w:rsidRDefault="00D35B85" w:rsidP="006461DA">
      <w:pPr>
        <w:spacing w:after="0" w:line="360" w:lineRule="auto"/>
        <w:ind w:left="567" w:right="616"/>
        <w:rPr>
          <w:i/>
          <w:iCs/>
          <w:sz w:val="20"/>
          <w:szCs w:val="20"/>
        </w:rPr>
      </w:pPr>
      <w:r w:rsidRPr="006461DA">
        <w:rPr>
          <w:i/>
          <w:iCs/>
          <w:sz w:val="20"/>
          <w:szCs w:val="20"/>
        </w:rPr>
        <w:t>(énfasis añadido)</w:t>
      </w:r>
    </w:p>
    <w:p w14:paraId="2E9C4B8F" w14:textId="77777777" w:rsidR="00D35B85" w:rsidRPr="006461DA" w:rsidRDefault="00D35B85" w:rsidP="006461DA">
      <w:pPr>
        <w:spacing w:after="0" w:line="360" w:lineRule="auto"/>
        <w:rPr>
          <w:rFonts w:cs="Tahoma"/>
        </w:rPr>
      </w:pPr>
    </w:p>
    <w:p w14:paraId="4E97F105" w14:textId="5B8B752D" w:rsidR="00F21F1F" w:rsidRPr="006461DA" w:rsidRDefault="00F21F1F" w:rsidP="006461DA">
      <w:pPr>
        <w:spacing w:after="0" w:line="360" w:lineRule="auto"/>
        <w:rPr>
          <w:rFonts w:cs="Tahoma"/>
        </w:rPr>
      </w:pPr>
      <w:r w:rsidRPr="006461DA">
        <w:rPr>
          <w:rFonts w:cs="Tahoma"/>
        </w:rPr>
        <w:t>En este orden de ideas, entonces es dable afirmar la naturaleza de la información, en su calidad de p</w:t>
      </w:r>
      <w:r w:rsidR="006461DA">
        <w:rPr>
          <w:rFonts w:cs="Tahoma"/>
        </w:rPr>
        <w:t>ú</w:t>
      </w:r>
      <w:r w:rsidRPr="006461DA">
        <w:rPr>
          <w:rFonts w:cs="Tahoma"/>
        </w:rPr>
        <w:t xml:space="preserve">blica, pues se actualiza un supuesto de excepción, </w:t>
      </w:r>
      <w:r w:rsidR="006461DA">
        <w:rPr>
          <w:rFonts w:cs="Tahoma"/>
        </w:rPr>
        <w:t xml:space="preserve">ara el caso que nos ocupa, hubo múltiples feminicidios y un homicidio; el imputado cometió por más de una década los asesinatos ante la omisión del Estado de proteger a las mujeres y detener los feminicidios (participación de Estado de omisión -no hacer); </w:t>
      </w:r>
      <w:r w:rsidRPr="006461DA">
        <w:rPr>
          <w:rFonts w:cs="Tahoma"/>
        </w:rPr>
        <w:t>al encontrarnos ante violaciones graves de derechos humanos, para lo que, sirve como refuerzo de argumentos las tesis jurisprudenciales que se citan a continuación:</w:t>
      </w:r>
    </w:p>
    <w:p w14:paraId="36062B9A" w14:textId="77777777" w:rsidR="00F21F1F" w:rsidRPr="006461DA" w:rsidRDefault="00F21F1F" w:rsidP="006461DA">
      <w:pPr>
        <w:spacing w:after="0" w:line="360" w:lineRule="auto"/>
        <w:rPr>
          <w:rFonts w:cs="Tahoma"/>
        </w:rPr>
      </w:pPr>
    </w:p>
    <w:p w14:paraId="25C3842B" w14:textId="77777777" w:rsidR="00F21F1F" w:rsidRPr="006461DA" w:rsidRDefault="00F21F1F" w:rsidP="006461DA">
      <w:pPr>
        <w:spacing w:after="0" w:line="360" w:lineRule="auto"/>
        <w:ind w:left="567" w:right="616"/>
        <w:rPr>
          <w:b/>
          <w:bCs/>
          <w:i/>
          <w:iCs/>
          <w:sz w:val="20"/>
          <w:szCs w:val="20"/>
        </w:rPr>
      </w:pPr>
      <w:r w:rsidRPr="006461DA">
        <w:rPr>
          <w:b/>
          <w:bCs/>
          <w:i/>
          <w:iCs/>
          <w:sz w:val="20"/>
          <w:szCs w:val="20"/>
        </w:rPr>
        <w:t>Suprema Corte de Justicia de la Nación</w:t>
      </w:r>
    </w:p>
    <w:p w14:paraId="58B23B90" w14:textId="77777777" w:rsidR="00F21F1F" w:rsidRPr="006461DA" w:rsidRDefault="00F21F1F" w:rsidP="006461DA">
      <w:pPr>
        <w:spacing w:after="0" w:line="360" w:lineRule="auto"/>
        <w:ind w:left="567" w:right="616"/>
        <w:rPr>
          <w:b/>
          <w:bCs/>
          <w:i/>
          <w:iCs/>
          <w:sz w:val="20"/>
          <w:szCs w:val="20"/>
        </w:rPr>
      </w:pPr>
      <w:r w:rsidRPr="006461DA">
        <w:rPr>
          <w:b/>
          <w:bCs/>
          <w:i/>
          <w:iCs/>
          <w:sz w:val="20"/>
          <w:szCs w:val="20"/>
        </w:rPr>
        <w:lastRenderedPageBreak/>
        <w:t>Registro digital: 2014071</w:t>
      </w:r>
    </w:p>
    <w:p w14:paraId="48A3EA44" w14:textId="77777777" w:rsidR="00F21F1F" w:rsidRPr="006461DA" w:rsidRDefault="00F21F1F" w:rsidP="006461DA">
      <w:pPr>
        <w:spacing w:after="0" w:line="360" w:lineRule="auto"/>
        <w:ind w:left="567" w:right="616"/>
        <w:rPr>
          <w:b/>
          <w:bCs/>
          <w:i/>
          <w:iCs/>
          <w:sz w:val="20"/>
          <w:szCs w:val="20"/>
        </w:rPr>
      </w:pPr>
      <w:r w:rsidRPr="006461DA">
        <w:rPr>
          <w:b/>
          <w:bCs/>
          <w:i/>
          <w:iCs/>
          <w:sz w:val="20"/>
          <w:szCs w:val="20"/>
        </w:rPr>
        <w:t>Instancia: Segunda Sala</w:t>
      </w:r>
    </w:p>
    <w:p w14:paraId="535EFC35" w14:textId="77777777" w:rsidR="00F21F1F" w:rsidRPr="006461DA" w:rsidRDefault="00F21F1F" w:rsidP="006461DA">
      <w:pPr>
        <w:spacing w:after="0" w:line="360" w:lineRule="auto"/>
        <w:ind w:left="567" w:right="616"/>
        <w:rPr>
          <w:b/>
          <w:bCs/>
          <w:i/>
          <w:iCs/>
          <w:sz w:val="20"/>
          <w:szCs w:val="20"/>
        </w:rPr>
      </w:pPr>
      <w:r w:rsidRPr="006461DA">
        <w:rPr>
          <w:b/>
          <w:bCs/>
          <w:i/>
          <w:iCs/>
          <w:sz w:val="20"/>
          <w:szCs w:val="20"/>
        </w:rPr>
        <w:t>Décima Época</w:t>
      </w:r>
    </w:p>
    <w:p w14:paraId="7DFE5E5C" w14:textId="77777777" w:rsidR="00F21F1F" w:rsidRPr="006461DA" w:rsidRDefault="00F21F1F" w:rsidP="006461DA">
      <w:pPr>
        <w:spacing w:after="0" w:line="360" w:lineRule="auto"/>
        <w:ind w:left="567" w:right="616"/>
        <w:rPr>
          <w:b/>
          <w:bCs/>
          <w:i/>
          <w:iCs/>
          <w:sz w:val="20"/>
          <w:szCs w:val="20"/>
        </w:rPr>
      </w:pPr>
      <w:r w:rsidRPr="006461DA">
        <w:rPr>
          <w:b/>
          <w:bCs/>
          <w:i/>
          <w:iCs/>
          <w:sz w:val="20"/>
          <w:szCs w:val="20"/>
        </w:rPr>
        <w:t>Materias(s): Constitucional, Administrativa</w:t>
      </w:r>
    </w:p>
    <w:p w14:paraId="2276D8D9" w14:textId="77777777" w:rsidR="00F21F1F" w:rsidRPr="00616E41" w:rsidRDefault="00F21F1F" w:rsidP="006461DA">
      <w:pPr>
        <w:spacing w:after="0" w:line="360" w:lineRule="auto"/>
        <w:ind w:left="567" w:right="616"/>
        <w:rPr>
          <w:b/>
          <w:bCs/>
          <w:i/>
          <w:iCs/>
          <w:sz w:val="20"/>
          <w:szCs w:val="20"/>
        </w:rPr>
      </w:pPr>
      <w:r w:rsidRPr="006461DA">
        <w:rPr>
          <w:b/>
          <w:bCs/>
          <w:i/>
          <w:iCs/>
          <w:sz w:val="20"/>
          <w:szCs w:val="20"/>
        </w:rPr>
        <w:t>Tesis: 2a. LV/2017 (10a.)</w:t>
      </w:r>
    </w:p>
    <w:p w14:paraId="4469C630"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 xml:space="preserve">Fuente: Gaceta del Semanario Judicial de la Federación. Libro 41, </w:t>
      </w:r>
      <w:proofErr w:type="gramStart"/>
      <w:r w:rsidRPr="00616E41">
        <w:rPr>
          <w:b/>
          <w:bCs/>
          <w:i/>
          <w:iCs/>
          <w:sz w:val="20"/>
          <w:szCs w:val="20"/>
        </w:rPr>
        <w:t>Abril</w:t>
      </w:r>
      <w:proofErr w:type="gramEnd"/>
      <w:r w:rsidRPr="00616E41">
        <w:rPr>
          <w:b/>
          <w:bCs/>
          <w:i/>
          <w:iCs/>
          <w:sz w:val="20"/>
          <w:szCs w:val="20"/>
        </w:rPr>
        <w:t xml:space="preserve"> de 2017, Tomo I, página 1071</w:t>
      </w:r>
    </w:p>
    <w:p w14:paraId="28E4F29C"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Tipo: Aislada</w:t>
      </w:r>
    </w:p>
    <w:p w14:paraId="723C15F9"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VIOLACIONES GRAVES DE DERECHOS FUNDAMENTALES Y DELITOS CONTRA LA HUMANIDAD. LAS INVESTIGACIONES RELATIVAS NO PUEDEN CLASIFICARSE COMO CONFIDENCIALES CONFORME A LA LEY FEDERAL DE TRANSPARENCIA Y ACCESO A LA INFORMACIÓN PÚBLICA GUBERNAMENTAL, VIGENTE HASTA EL 9 DE MAYO DE 2016.</w:t>
      </w:r>
    </w:p>
    <w:p w14:paraId="0623E05B" w14:textId="77777777" w:rsidR="00F21F1F" w:rsidRPr="00616E41" w:rsidRDefault="00F21F1F" w:rsidP="006461DA">
      <w:pPr>
        <w:spacing w:after="0" w:line="360" w:lineRule="auto"/>
        <w:ind w:left="567" w:right="616"/>
        <w:rPr>
          <w:i/>
          <w:iCs/>
          <w:sz w:val="20"/>
          <w:szCs w:val="20"/>
        </w:rPr>
      </w:pPr>
      <w:r w:rsidRPr="00616E41">
        <w:rPr>
          <w:i/>
          <w:iCs/>
          <w:sz w:val="20"/>
          <w:szCs w:val="20"/>
        </w:rPr>
        <w:t>Conforme al artículo 14, párrafo último, del ordenamiento citado, no puede invocarse el carácter de información reservada cuando se trate de la investigación de violaciones graves de derechos fundamentales o delitos contra la humanidad. En ese sentido, si bien las averiguaciones previas se mantienen reservadas en atención a que la difusión de la información que contienen podría afectar gravemente la persecución de delitos y la privacidad de las víctimas, y con ello, al sistema de impartición de justicia, lo cierto es que la ley mencionada previó como excepción los casos en los cuales el delito perseguido es de tal gravedad que el interés público en mantener la averiguación previa en reserva se ve superado por el interés de la sociedad de conocer las diligencias llevadas a cabo para la oportuna investigación, detención, juicio y sanción de los responsables. Máxime que estos supuestos no sólo afectan a las víctimas u ofendidos en forma directa por los hechos antijurídicos, sino que ofenden a toda la sociedad, precisamente por su gravedad y por las repercusiones que implican; de ahí que la publicidad de esa información se presenta como una parte integrante del derecho a la verdad, el cual no sólo se vincula con los familiares de las víctimas, sino con toda persona, ya que aquéllos y la sociedad deben ser informados de lo sucedido.</w:t>
      </w:r>
    </w:p>
    <w:p w14:paraId="2962AFF1" w14:textId="77777777" w:rsidR="00F21F1F" w:rsidRPr="00616E41" w:rsidRDefault="00F21F1F" w:rsidP="006461DA">
      <w:pPr>
        <w:spacing w:after="0" w:line="360" w:lineRule="auto"/>
        <w:ind w:left="567" w:right="616"/>
        <w:rPr>
          <w:i/>
          <w:iCs/>
          <w:sz w:val="20"/>
          <w:szCs w:val="20"/>
        </w:rPr>
      </w:pPr>
    </w:p>
    <w:p w14:paraId="4A0482D2"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Suprema Corte de Justicia de la Nación</w:t>
      </w:r>
    </w:p>
    <w:p w14:paraId="2A1B9D10"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lastRenderedPageBreak/>
        <w:t>Registro digital: 2014070</w:t>
      </w:r>
    </w:p>
    <w:p w14:paraId="00654270"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Instancia: Segunda Sala</w:t>
      </w:r>
    </w:p>
    <w:p w14:paraId="47B26B13"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Décima Época</w:t>
      </w:r>
    </w:p>
    <w:p w14:paraId="22C28E13"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Materias(s): Constitucional, Administrativa</w:t>
      </w:r>
    </w:p>
    <w:p w14:paraId="1CD12C6C"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Tesis: 2a. LIII/2017 (10a.)</w:t>
      </w:r>
    </w:p>
    <w:p w14:paraId="1FA1E395"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 xml:space="preserve">Fuente: Gaceta del Semanario Judicial de la Federación. Libro 41, </w:t>
      </w:r>
      <w:proofErr w:type="gramStart"/>
      <w:r w:rsidRPr="00616E41">
        <w:rPr>
          <w:b/>
          <w:bCs/>
          <w:i/>
          <w:iCs/>
          <w:sz w:val="20"/>
          <w:szCs w:val="20"/>
        </w:rPr>
        <w:t>Abril</w:t>
      </w:r>
      <w:proofErr w:type="gramEnd"/>
      <w:r w:rsidRPr="00616E41">
        <w:rPr>
          <w:b/>
          <w:bCs/>
          <w:i/>
          <w:iCs/>
          <w:sz w:val="20"/>
          <w:szCs w:val="20"/>
        </w:rPr>
        <w:t xml:space="preserve"> de 2017, Tomo I, página 1070</w:t>
      </w:r>
    </w:p>
    <w:p w14:paraId="20A49563"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Tipo: Aislada</w:t>
      </w:r>
    </w:p>
    <w:p w14:paraId="6503AAAA"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VIOLACIONES GRAVES DE DERECHOS FUNDAMENTALES. POR REGLA GENERAL EL PRINCIPIO DE MÁXIMA PUBLICIDAD DE LAS INVESTIGACIONES RELACIONADAS CON AQUÉLLAS, ABARCA EL NOMBRE DE LAS VÍCTIMAS.</w:t>
      </w:r>
    </w:p>
    <w:p w14:paraId="58B72255" w14:textId="77777777" w:rsidR="00F21F1F" w:rsidRPr="00616E41" w:rsidRDefault="00F21F1F" w:rsidP="006461DA">
      <w:pPr>
        <w:spacing w:after="0" w:line="360" w:lineRule="auto"/>
        <w:ind w:left="567" w:right="616"/>
        <w:rPr>
          <w:i/>
          <w:iCs/>
          <w:sz w:val="20"/>
          <w:szCs w:val="20"/>
        </w:rPr>
      </w:pPr>
      <w:r w:rsidRPr="00616E41">
        <w:rPr>
          <w:i/>
          <w:iCs/>
          <w:sz w:val="20"/>
          <w:szCs w:val="20"/>
        </w:rPr>
        <w:t>Del artículo 14, párrafo último, de la Ley Federal de Transparencia y Acceso a la Información Pública Gubernamental, vigente hasta el 9 de mayo de 2016, se advierte que, por regla general, no podrá invocarse el carácter de información reservada cuando se trate de la investigación de violaciones graves de derechos fundamentales o delitos contra la humanidad, sin hacer distinciones o excepciones respecto al nombre de las víctimas, sino que presenta una directriz clara e indubitable del acceso a la publicidad de esa información, ante la entidad de las violaciones o delitos implicados que generan un interés de la sociedad para conocer la conducta estatal respecto a la debida investigación de tales actos, protegiendo en cualquier caso el honor de las víctimas. En ese sentido, la función social derivada de la publicidad de los nombres de las víctimas en esos casos radica en despertar la conciencia, tanto de la autoridad como de las personas en general, sobre la necesidad de evitar la repetición de hechos lesivos como los ocurridos en esos casos y conservar viva la memoria de la víctima; así, trasladar una mera cifra estadística o número de expediente por un "nombre o rostro" implica adquirir verdadera conciencia del problema en cuestión y dignifica al ser humano, dando un lugar decoroso a la memoria de quienes fueron lesionados por conductas especialmente gravosas y permite que la sociedad interpele ante el Estado para conocer la verdad de los hechos acontecidos, y vigile que las autoridades cumplan su deber de investigar, juzgar y, en su caso, sancionar y reparar las violaciones graves de derechos fundamentales.</w:t>
      </w:r>
    </w:p>
    <w:p w14:paraId="04AD0A46" w14:textId="77777777" w:rsidR="00F21F1F" w:rsidRPr="00616E41" w:rsidRDefault="00F21F1F" w:rsidP="006461DA">
      <w:pPr>
        <w:spacing w:after="0" w:line="360" w:lineRule="auto"/>
        <w:ind w:left="567" w:right="616"/>
        <w:rPr>
          <w:i/>
          <w:iCs/>
          <w:sz w:val="20"/>
          <w:szCs w:val="20"/>
        </w:rPr>
      </w:pPr>
    </w:p>
    <w:p w14:paraId="7D6FC869" w14:textId="77777777" w:rsidR="00F21F1F" w:rsidRPr="00616E41" w:rsidRDefault="00F21F1F" w:rsidP="006461DA">
      <w:pPr>
        <w:spacing w:after="0" w:line="360" w:lineRule="auto"/>
        <w:rPr>
          <w:rFonts w:cs="Tahoma"/>
        </w:rPr>
      </w:pPr>
      <w:r w:rsidRPr="00616E41">
        <w:rPr>
          <w:rFonts w:cs="Tahoma"/>
        </w:rPr>
        <w:lastRenderedPageBreak/>
        <w:t>Es entonces, que se puede afirmar, que nos encontramos ante un supuesto de excepción, pues debemos entender al feminicidio con los elementos que contamos como lo es, que fue generado por un solo individuo en una comunidad, en un largo periodo de tiempo en donde salió impune y el mismo ni siquiera fue aprendido por un servidor público, sino por un civil, como una violación grave de derechos humanos, toda vez que es evidente la omisión gubernamental de dar solución a un problema que afecta a toda nuestra población, de manera especialmente focalizada a las mujeres.</w:t>
      </w:r>
    </w:p>
    <w:p w14:paraId="4468720F" w14:textId="77777777" w:rsidR="00F21F1F" w:rsidRPr="00616E41" w:rsidRDefault="00F21F1F" w:rsidP="006461DA">
      <w:pPr>
        <w:spacing w:after="0" w:line="360" w:lineRule="auto"/>
        <w:rPr>
          <w:rFonts w:cs="Tahoma"/>
        </w:rPr>
      </w:pPr>
    </w:p>
    <w:p w14:paraId="75EC847C" w14:textId="77777777" w:rsidR="00F21F1F" w:rsidRPr="00616E41" w:rsidRDefault="00F21F1F" w:rsidP="006461DA">
      <w:pPr>
        <w:spacing w:after="0" w:line="360" w:lineRule="auto"/>
        <w:jc w:val="center"/>
        <w:rPr>
          <w:rFonts w:cs="Tahoma"/>
          <w:b/>
          <w:bCs/>
        </w:rPr>
      </w:pPr>
      <w:r w:rsidRPr="00616E41">
        <w:rPr>
          <w:rFonts w:cs="Tahoma"/>
          <w:b/>
          <w:bCs/>
        </w:rPr>
        <w:t>RIESGO DEMOSTRABLE.</w:t>
      </w:r>
    </w:p>
    <w:p w14:paraId="0DA37D7D" w14:textId="77777777" w:rsidR="00F21F1F" w:rsidRPr="00616E41" w:rsidRDefault="00F21F1F" w:rsidP="006461DA">
      <w:pPr>
        <w:pStyle w:val="Prrafodelista"/>
        <w:numPr>
          <w:ilvl w:val="0"/>
          <w:numId w:val="5"/>
        </w:numPr>
        <w:spacing w:line="360" w:lineRule="auto"/>
        <w:rPr>
          <w:rFonts w:ascii="Palatino Linotype" w:hAnsi="Palatino Linotype" w:cs="Tahoma"/>
        </w:rPr>
      </w:pPr>
      <w:r w:rsidRPr="00616E41">
        <w:rPr>
          <w:rFonts w:ascii="Palatino Linotype" w:hAnsi="Palatino Linotype" w:cs="Tahoma"/>
          <w:b/>
          <w:bCs/>
        </w:rPr>
        <w:t>Fracción VI de la Ley Local de Transparencia</w:t>
      </w:r>
      <w:r w:rsidRPr="00616E41">
        <w:rPr>
          <w:rFonts w:ascii="Palatino Linotype" w:hAnsi="Palatino Linotype" w:cs="Tahoma"/>
        </w:rPr>
        <w:t>. Al no identificarse un riesgo real, no se puede demostrar el mismo.</w:t>
      </w:r>
    </w:p>
    <w:p w14:paraId="5411E260" w14:textId="77777777" w:rsidR="00F21F1F" w:rsidRPr="00616E41" w:rsidRDefault="00F21F1F" w:rsidP="006461DA">
      <w:pPr>
        <w:pStyle w:val="Prrafodelista"/>
        <w:numPr>
          <w:ilvl w:val="0"/>
          <w:numId w:val="5"/>
        </w:numPr>
        <w:spacing w:line="360" w:lineRule="auto"/>
        <w:rPr>
          <w:rFonts w:ascii="Palatino Linotype" w:hAnsi="Palatino Linotype" w:cs="Tahoma"/>
        </w:rPr>
      </w:pPr>
      <w:r w:rsidRPr="00616E41">
        <w:rPr>
          <w:rFonts w:ascii="Palatino Linotype" w:hAnsi="Palatino Linotype" w:cs="Tahoma"/>
          <w:b/>
          <w:bCs/>
        </w:rPr>
        <w:t>Fracción IX de la Ley Local de Transparencia</w:t>
      </w:r>
      <w:r w:rsidRPr="00616E41">
        <w:rPr>
          <w:rFonts w:ascii="Palatino Linotype" w:hAnsi="Palatino Linotype" w:cs="Tahoma"/>
        </w:rPr>
        <w:t>. Al no identificarse un riesgo real, tampoco es demostrable esta fracción.</w:t>
      </w:r>
    </w:p>
    <w:p w14:paraId="4D265F08" w14:textId="77777777" w:rsidR="00F21F1F" w:rsidRPr="00616E41" w:rsidRDefault="00F21F1F" w:rsidP="006461DA">
      <w:pPr>
        <w:pStyle w:val="Prrafodelista"/>
        <w:numPr>
          <w:ilvl w:val="0"/>
          <w:numId w:val="5"/>
        </w:numPr>
        <w:spacing w:line="360" w:lineRule="auto"/>
        <w:rPr>
          <w:rFonts w:ascii="Palatino Linotype" w:hAnsi="Palatino Linotype" w:cs="Tahoma"/>
        </w:rPr>
      </w:pPr>
      <w:r w:rsidRPr="00616E41">
        <w:rPr>
          <w:rFonts w:ascii="Palatino Linotype" w:hAnsi="Palatino Linotype" w:cs="Tahoma"/>
          <w:b/>
          <w:bCs/>
        </w:rPr>
        <w:t>Fracción XI de la Ley Local de Transparencia</w:t>
      </w:r>
      <w:r w:rsidRPr="00616E41">
        <w:rPr>
          <w:rFonts w:ascii="Palatino Linotype" w:hAnsi="Palatino Linotype" w:cs="Tahoma"/>
        </w:rPr>
        <w:t>. Como ya se desarrolló, si bien si se acreditó el riesgo real, también se logró determinar por este Organismo Garante, que nos encontramos ante un supuesto de excepción, por lo que no existe un riesgo demostrable.</w:t>
      </w:r>
    </w:p>
    <w:p w14:paraId="54188DCC" w14:textId="77777777" w:rsidR="00F21F1F" w:rsidRPr="00616E41" w:rsidRDefault="00F21F1F" w:rsidP="006461DA">
      <w:pPr>
        <w:spacing w:after="0" w:line="360" w:lineRule="auto"/>
        <w:rPr>
          <w:rFonts w:cs="Tahoma"/>
        </w:rPr>
      </w:pPr>
    </w:p>
    <w:p w14:paraId="4D04A76C" w14:textId="77777777" w:rsidR="00F21F1F" w:rsidRPr="00616E41" w:rsidRDefault="00F21F1F" w:rsidP="006461DA">
      <w:pPr>
        <w:spacing w:after="0" w:line="360" w:lineRule="auto"/>
        <w:jc w:val="center"/>
        <w:rPr>
          <w:rFonts w:cs="Tahoma"/>
          <w:b/>
          <w:bCs/>
        </w:rPr>
      </w:pPr>
      <w:r w:rsidRPr="00616E41">
        <w:rPr>
          <w:rFonts w:cs="Tahoma"/>
          <w:b/>
          <w:bCs/>
        </w:rPr>
        <w:t>RIESGO IDENTIFICABLE.</w:t>
      </w:r>
    </w:p>
    <w:p w14:paraId="4697ABAE" w14:textId="77777777" w:rsidR="00F21F1F" w:rsidRPr="00616E41" w:rsidRDefault="00F21F1F" w:rsidP="006461DA">
      <w:pPr>
        <w:pStyle w:val="Prrafodelista"/>
        <w:numPr>
          <w:ilvl w:val="0"/>
          <w:numId w:val="5"/>
        </w:numPr>
        <w:spacing w:line="360" w:lineRule="auto"/>
        <w:rPr>
          <w:rFonts w:ascii="Palatino Linotype" w:hAnsi="Palatino Linotype" w:cs="Tahoma"/>
        </w:rPr>
      </w:pPr>
      <w:r w:rsidRPr="00616E41">
        <w:rPr>
          <w:rFonts w:ascii="Palatino Linotype" w:hAnsi="Palatino Linotype" w:cs="Tahoma"/>
          <w:b/>
          <w:bCs/>
        </w:rPr>
        <w:t>Fracción VI de la Ley Local de Transparencia</w:t>
      </w:r>
      <w:r w:rsidRPr="00616E41">
        <w:rPr>
          <w:rFonts w:ascii="Palatino Linotype" w:hAnsi="Palatino Linotype" w:cs="Tahoma"/>
        </w:rPr>
        <w:t>. No hay riesgo identificable en el caso que nos ocupa.</w:t>
      </w:r>
    </w:p>
    <w:p w14:paraId="43A21D0F" w14:textId="77777777" w:rsidR="00F21F1F" w:rsidRPr="00616E41" w:rsidRDefault="00F21F1F" w:rsidP="006461DA">
      <w:pPr>
        <w:pStyle w:val="Prrafodelista"/>
        <w:numPr>
          <w:ilvl w:val="0"/>
          <w:numId w:val="5"/>
        </w:numPr>
        <w:spacing w:line="360" w:lineRule="auto"/>
        <w:rPr>
          <w:rFonts w:ascii="Palatino Linotype" w:hAnsi="Palatino Linotype" w:cs="Tahoma"/>
        </w:rPr>
      </w:pPr>
      <w:r w:rsidRPr="00616E41">
        <w:rPr>
          <w:rFonts w:ascii="Palatino Linotype" w:hAnsi="Palatino Linotype" w:cs="Tahoma"/>
          <w:b/>
          <w:bCs/>
        </w:rPr>
        <w:t>Fracción IX de la Ley Local de Transparencia</w:t>
      </w:r>
      <w:r w:rsidRPr="00616E41">
        <w:rPr>
          <w:rFonts w:ascii="Palatino Linotype" w:hAnsi="Palatino Linotype" w:cs="Tahoma"/>
        </w:rPr>
        <w:t>. No hay riesgo identificable en el caso que nos ocupa.</w:t>
      </w:r>
    </w:p>
    <w:p w14:paraId="3D41A30A" w14:textId="77777777" w:rsidR="00F21F1F" w:rsidRPr="00616E41" w:rsidRDefault="00F21F1F" w:rsidP="006461DA">
      <w:pPr>
        <w:pStyle w:val="Prrafodelista"/>
        <w:numPr>
          <w:ilvl w:val="0"/>
          <w:numId w:val="5"/>
        </w:numPr>
        <w:spacing w:line="360" w:lineRule="auto"/>
        <w:rPr>
          <w:rFonts w:ascii="Palatino Linotype" w:hAnsi="Palatino Linotype" w:cs="Tahoma"/>
        </w:rPr>
      </w:pPr>
      <w:r w:rsidRPr="00616E41">
        <w:rPr>
          <w:rFonts w:ascii="Palatino Linotype" w:hAnsi="Palatino Linotype" w:cs="Tahoma"/>
          <w:b/>
          <w:bCs/>
        </w:rPr>
        <w:t>Fracción XI de la Ley Local de Transparencia</w:t>
      </w:r>
      <w:r w:rsidRPr="00616E41">
        <w:rPr>
          <w:rFonts w:ascii="Palatino Linotype" w:hAnsi="Palatino Linotype" w:cs="Tahoma"/>
        </w:rPr>
        <w:t>. Como ya se desarrolló, si bien si se acreditó el riesgo real, también se logró determinar por este Organismo Garante, que nos encontramos ante un supuesto de excepción, por lo que no existe un riesgo identificable.</w:t>
      </w:r>
    </w:p>
    <w:p w14:paraId="1A188144" w14:textId="77777777" w:rsidR="00F21F1F" w:rsidRDefault="00F21F1F" w:rsidP="006461DA">
      <w:pPr>
        <w:spacing w:after="0" w:line="360" w:lineRule="auto"/>
        <w:rPr>
          <w:rFonts w:cs="Tahoma"/>
          <w:b/>
          <w:bCs/>
          <w:highlight w:val="yellow"/>
        </w:rPr>
      </w:pPr>
    </w:p>
    <w:p w14:paraId="3923BDE2" w14:textId="0F16ACB7" w:rsidR="00F21F1F" w:rsidRDefault="00F21F1F" w:rsidP="006461DA">
      <w:pPr>
        <w:spacing w:after="0" w:line="360" w:lineRule="auto"/>
        <w:rPr>
          <w:rFonts w:cs="Tahoma"/>
        </w:rPr>
      </w:pPr>
      <w:r w:rsidRPr="00F377DC">
        <w:rPr>
          <w:rFonts w:cs="Tahoma"/>
        </w:rPr>
        <w:t>Es entonces que por lo que respecta a las carpetas de investigación, no se actualizaron los supuestos de reserva de la información, incluso a la fecha de la solicitud que fue el 14 de diciembre del 2021.</w:t>
      </w:r>
    </w:p>
    <w:p w14:paraId="73EC9D74" w14:textId="57615517" w:rsidR="00F21F1F" w:rsidRDefault="00F21F1F" w:rsidP="006461DA">
      <w:pPr>
        <w:spacing w:after="0" w:line="360" w:lineRule="auto"/>
        <w:rPr>
          <w:rFonts w:cs="Tahoma"/>
        </w:rPr>
      </w:pPr>
    </w:p>
    <w:p w14:paraId="3C8EB32F" w14:textId="560C1D5B" w:rsidR="00F21F1F" w:rsidRPr="008F04AB" w:rsidRDefault="00F21F1F" w:rsidP="006461DA">
      <w:pPr>
        <w:spacing w:after="0" w:line="360" w:lineRule="auto"/>
        <w:rPr>
          <w:rFonts w:cs="Tahoma"/>
          <w:b/>
          <w:bCs/>
        </w:rPr>
      </w:pPr>
      <w:r w:rsidRPr="008F04AB">
        <w:rPr>
          <w:rFonts w:cs="Tahoma"/>
        </w:rPr>
        <w:t xml:space="preserve">Por último, no se deja de lado que la reserva de la información en ningún momento se vinculó por parte de la Fiscalía con la posibilidad de garantizar el derecho a la presunción de inocencia, pue ante la evidencia, la misma Fiscalía hizo pública la identidad del entonces imputado para que en su caso, fuera identificado por otras posibles víctimas de delitos cometidos por él o por los ofendidos en los delitos de homicidio. </w:t>
      </w:r>
    </w:p>
    <w:p w14:paraId="2B385913" w14:textId="77777777" w:rsidR="00F21F1F" w:rsidRDefault="00F21F1F" w:rsidP="006461DA">
      <w:pPr>
        <w:spacing w:after="0" w:line="360" w:lineRule="auto"/>
        <w:rPr>
          <w:rFonts w:cs="Tahoma"/>
          <w:b/>
          <w:bCs/>
          <w:highlight w:val="yellow"/>
        </w:rPr>
      </w:pPr>
    </w:p>
    <w:p w14:paraId="2BBDFCCE" w14:textId="77777777" w:rsidR="00F21F1F" w:rsidRPr="00F039CA" w:rsidRDefault="00F21F1F" w:rsidP="006461DA">
      <w:pPr>
        <w:pStyle w:val="Prrafodelista"/>
        <w:numPr>
          <w:ilvl w:val="0"/>
          <w:numId w:val="5"/>
        </w:numPr>
        <w:spacing w:line="360" w:lineRule="auto"/>
        <w:rPr>
          <w:rFonts w:cs="Tahoma"/>
          <w:b/>
          <w:bCs/>
        </w:rPr>
      </w:pPr>
      <w:r w:rsidRPr="007F3403">
        <w:rPr>
          <w:rFonts w:ascii="Palatino Linotype" w:hAnsi="Palatino Linotype" w:cs="Tahoma"/>
          <w:b/>
          <w:bCs/>
        </w:rPr>
        <w:t>Expedientes</w:t>
      </w:r>
      <w:r w:rsidRPr="007F3403">
        <w:rPr>
          <w:rFonts w:cs="Tahoma"/>
          <w:b/>
          <w:bCs/>
        </w:rPr>
        <w:t>.</w:t>
      </w:r>
      <w:r w:rsidRPr="00F039CA">
        <w:rPr>
          <w:rFonts w:cs="Tahoma"/>
          <w:b/>
          <w:bCs/>
        </w:rPr>
        <w:t xml:space="preserve"> </w:t>
      </w:r>
    </w:p>
    <w:p w14:paraId="32982894" w14:textId="77777777" w:rsidR="00F21F1F" w:rsidRDefault="00F21F1F" w:rsidP="006461DA">
      <w:pPr>
        <w:spacing w:after="0" w:line="360" w:lineRule="auto"/>
        <w:rPr>
          <w:rFonts w:cs="Tahoma"/>
          <w:b/>
          <w:bCs/>
        </w:rPr>
      </w:pPr>
    </w:p>
    <w:p w14:paraId="12598305" w14:textId="77777777" w:rsidR="00F21F1F" w:rsidRDefault="00F21F1F" w:rsidP="006461DA">
      <w:pPr>
        <w:spacing w:after="0" w:line="360" w:lineRule="auto"/>
        <w:rPr>
          <w:rFonts w:cs="Tahoma"/>
        </w:rPr>
      </w:pPr>
      <w:r>
        <w:rPr>
          <w:rFonts w:cs="Tahoma"/>
        </w:rPr>
        <w:t>El Sujeto Obligado, no realizó pronunciamiento al respecto.</w:t>
      </w:r>
    </w:p>
    <w:p w14:paraId="0F0414B6" w14:textId="77777777" w:rsidR="00F21F1F" w:rsidRDefault="00F21F1F" w:rsidP="006461DA">
      <w:pPr>
        <w:spacing w:after="0" w:line="360" w:lineRule="auto"/>
        <w:rPr>
          <w:rFonts w:cs="Tahoma"/>
        </w:rPr>
      </w:pPr>
    </w:p>
    <w:p w14:paraId="2A9B3EF1" w14:textId="77777777" w:rsidR="00F21F1F" w:rsidRDefault="00F21F1F" w:rsidP="006461DA">
      <w:pPr>
        <w:spacing w:after="0" w:line="360" w:lineRule="auto"/>
        <w:rPr>
          <w:rFonts w:cs="Tahoma"/>
        </w:rPr>
      </w:pPr>
      <w:r>
        <w:rPr>
          <w:rFonts w:cs="Tahoma"/>
        </w:rPr>
        <w:t xml:space="preserve">Un expediente es definido por la Ley General de Archivos, en su artículo 4° fracción XXIX, como </w:t>
      </w:r>
      <w:r w:rsidRPr="006335F5">
        <w:rPr>
          <w:rFonts w:cs="Tahoma"/>
          <w:i/>
          <w:iCs/>
        </w:rPr>
        <w:t>“…</w:t>
      </w:r>
      <w:r w:rsidRPr="006335F5">
        <w:rPr>
          <w:i/>
          <w:iCs/>
        </w:rPr>
        <w:t>la unidad documental compuesta por documentos de archivo, ordenados y relacionados por un mismo asunto, actividad o trámite de los sujetos obligados;”</w:t>
      </w:r>
    </w:p>
    <w:p w14:paraId="20CA7F91" w14:textId="77777777" w:rsidR="00F21F1F" w:rsidRDefault="00F21F1F" w:rsidP="006461DA">
      <w:pPr>
        <w:spacing w:after="0" w:line="360" w:lineRule="auto"/>
        <w:rPr>
          <w:rFonts w:cs="Tahoma"/>
        </w:rPr>
      </w:pPr>
    </w:p>
    <w:p w14:paraId="138C9341" w14:textId="77777777" w:rsidR="00F21F1F" w:rsidRDefault="00F21F1F" w:rsidP="006461DA">
      <w:pPr>
        <w:spacing w:after="0" w:line="360" w:lineRule="auto"/>
        <w:rPr>
          <w:rFonts w:cs="Tahoma"/>
        </w:rPr>
      </w:pPr>
      <w:r>
        <w:rPr>
          <w:rFonts w:cs="Tahoma"/>
        </w:rPr>
        <w:t>Es a partir de ello, que el Sujeto Obligado, debe contar con un expediente que haya sido integrado no solo con la carpeta de investigación, sino incluso con actuaciones posteriores en presencia de la autoridad judicial.</w:t>
      </w:r>
    </w:p>
    <w:p w14:paraId="12F9D339" w14:textId="77777777" w:rsidR="00F21F1F" w:rsidRDefault="00F21F1F" w:rsidP="006461DA">
      <w:pPr>
        <w:spacing w:after="0" w:line="360" w:lineRule="auto"/>
        <w:rPr>
          <w:rFonts w:cs="Tahoma"/>
        </w:rPr>
      </w:pPr>
    </w:p>
    <w:p w14:paraId="1528E470" w14:textId="77777777" w:rsidR="00F21F1F" w:rsidRDefault="00F21F1F" w:rsidP="006461DA">
      <w:pPr>
        <w:spacing w:after="0" w:line="360" w:lineRule="auto"/>
        <w:rPr>
          <w:rFonts w:cs="Tahoma"/>
        </w:rPr>
      </w:pPr>
      <w:r>
        <w:rPr>
          <w:rFonts w:cs="Tahoma"/>
        </w:rPr>
        <w:t>En este orden de ideas, se presume que el expediente, se encuentra como una obligación a partir de la normatividad archivística, aplicable en la entidad.</w:t>
      </w:r>
    </w:p>
    <w:p w14:paraId="5CD04F0A" w14:textId="77777777" w:rsidR="00F21F1F" w:rsidRDefault="00F21F1F" w:rsidP="006461DA">
      <w:pPr>
        <w:spacing w:after="0" w:line="360" w:lineRule="auto"/>
        <w:rPr>
          <w:rFonts w:cs="Tahoma"/>
        </w:rPr>
      </w:pPr>
    </w:p>
    <w:p w14:paraId="3E750EDF" w14:textId="77777777" w:rsidR="00F21F1F" w:rsidRDefault="00F21F1F" w:rsidP="006461DA">
      <w:pPr>
        <w:spacing w:after="0" w:line="360" w:lineRule="auto"/>
        <w:rPr>
          <w:rFonts w:cs="Tahoma"/>
        </w:rPr>
      </w:pPr>
      <w:r>
        <w:rPr>
          <w:rFonts w:cs="Tahoma"/>
        </w:rPr>
        <w:lastRenderedPageBreak/>
        <w:t>Ahora bien, se identifica en este orden de ideas, que los expedientes pueden contener actuaciones que fueron considerados como excepciones al principio de publicidad en términos del artículo 64 del Código Nacional de Procedimientos Penales y por ello, información cuya naturaleza es de relevancia exclusivamente a las partes, este información, cuenta con la naturaleza de reservada, en tanto a que se desarrolle de manera clara y precise la prueba de daño en términos del artículo 129 de la Ley de Transparencia Vigente en la entidad, para lo que se realiza un ejercicio.</w:t>
      </w:r>
    </w:p>
    <w:p w14:paraId="2BC84B7E" w14:textId="77777777" w:rsidR="00F21F1F" w:rsidRDefault="00F21F1F" w:rsidP="006461DA">
      <w:pPr>
        <w:spacing w:after="0" w:line="360" w:lineRule="auto"/>
        <w:rPr>
          <w:rFonts w:cs="Tahoma"/>
        </w:rPr>
      </w:pPr>
    </w:p>
    <w:p w14:paraId="3E04E961" w14:textId="77777777" w:rsidR="00F21F1F" w:rsidRDefault="00F21F1F" w:rsidP="006461DA">
      <w:pPr>
        <w:spacing w:after="0" w:line="360" w:lineRule="auto"/>
        <w:rPr>
          <w:rFonts w:cs="Tahoma"/>
        </w:rPr>
      </w:pPr>
      <w:r>
        <w:rPr>
          <w:rFonts w:cs="Tahoma"/>
        </w:rPr>
        <w:t>Riesgo Real. La divulgación de la información que fue reservada por el juez pudo haber sido para el desahogo de evidencia fotográfica de restos humanos, que decidió no hacerse en presencia del público, información que no es susceptible de divulgación, solamente el resultado esencial en términos del artículo 66 del invocado Código Nacional.</w:t>
      </w:r>
    </w:p>
    <w:p w14:paraId="5D7A0873" w14:textId="77777777" w:rsidR="00F21F1F" w:rsidRDefault="00F21F1F" w:rsidP="006461DA">
      <w:pPr>
        <w:spacing w:after="0" w:line="360" w:lineRule="auto"/>
        <w:rPr>
          <w:rFonts w:cs="Tahoma"/>
        </w:rPr>
      </w:pPr>
    </w:p>
    <w:p w14:paraId="2DA3184B" w14:textId="7ED9F513" w:rsidR="00F21F1F" w:rsidRDefault="00F21F1F" w:rsidP="006461DA">
      <w:pPr>
        <w:spacing w:after="0" w:line="360" w:lineRule="auto"/>
        <w:rPr>
          <w:rFonts w:cs="Tahoma"/>
        </w:rPr>
      </w:pPr>
      <w:r>
        <w:rPr>
          <w:rFonts w:cs="Tahoma"/>
        </w:rPr>
        <w:t>Riesgo Demostrable. La información que fue reservada se puso únicamente en vista del Ministerio Público y de la defensa, en atención a que el Juez considero que los familiares podrían verse afectados al ver dichas imágenes.</w:t>
      </w:r>
    </w:p>
    <w:p w14:paraId="0A9BC92D" w14:textId="77777777" w:rsidR="00B24B4F" w:rsidRDefault="00B24B4F" w:rsidP="006461DA">
      <w:pPr>
        <w:spacing w:after="0" w:line="360" w:lineRule="auto"/>
        <w:rPr>
          <w:rFonts w:cs="Tahoma"/>
        </w:rPr>
      </w:pPr>
    </w:p>
    <w:p w14:paraId="64E7BA07" w14:textId="77777777" w:rsidR="00F21F1F" w:rsidRDefault="00F21F1F" w:rsidP="006461DA">
      <w:pPr>
        <w:spacing w:after="0" w:line="360" w:lineRule="auto"/>
        <w:rPr>
          <w:rFonts w:cs="Tahoma"/>
        </w:rPr>
      </w:pPr>
      <w:r>
        <w:rPr>
          <w:rFonts w:cs="Tahoma"/>
        </w:rPr>
        <w:t>Riesgo Identificable. Por el contenido de las fotografías y que dentro del público hay familiares, se identifica la posibilidad de la afectación psicológica y la revictimización de familiares.</w:t>
      </w:r>
    </w:p>
    <w:p w14:paraId="28D89502" w14:textId="77777777" w:rsidR="00F21F1F" w:rsidRDefault="00F21F1F" w:rsidP="006461DA">
      <w:pPr>
        <w:spacing w:after="0" w:line="360" w:lineRule="auto"/>
        <w:rPr>
          <w:rFonts w:cs="Tahoma"/>
        </w:rPr>
      </w:pPr>
    </w:p>
    <w:p w14:paraId="17D927E0" w14:textId="77777777" w:rsidR="00F21F1F" w:rsidRDefault="00F21F1F" w:rsidP="006461DA">
      <w:pPr>
        <w:spacing w:after="0" w:line="360" w:lineRule="auto"/>
        <w:rPr>
          <w:rFonts w:cs="Tahoma"/>
        </w:rPr>
      </w:pPr>
      <w:r>
        <w:rPr>
          <w:rFonts w:cs="Tahoma"/>
        </w:rPr>
        <w:t xml:space="preserve">Por expedientes, s, </w:t>
      </w:r>
      <w:r w:rsidRPr="00E7764C">
        <w:rPr>
          <w:rFonts w:cs="Tahoma"/>
        </w:rPr>
        <w:t xml:space="preserve">e lo planteado entonces, se concluye, que por lo que respecta a las carpeta de investigación, así como de los expedientes formados, es información susceptible de ser entregada al no actualizarse las causales de reserva, además de que al realizar un estudio de los elementos normativos y de las Tesis Aisladas invocadas, podemos concluir, que se trata de violaciones graves a derechos humanos, no por el actuar del Estado, sino porque se identifica la omisión e impotencia del estado para la solución de la problemática nacional, relacionada a los hechos de violencia de género, cuya conclusión en su faceta más violenta es el feminicidio. </w:t>
      </w:r>
    </w:p>
    <w:p w14:paraId="00DB6E0F" w14:textId="77777777" w:rsidR="00F21F1F" w:rsidRPr="00E7764C" w:rsidRDefault="00F21F1F" w:rsidP="006461DA">
      <w:pPr>
        <w:spacing w:after="0" w:line="360" w:lineRule="auto"/>
        <w:rPr>
          <w:rFonts w:cs="Tahoma"/>
        </w:rPr>
      </w:pPr>
      <w:r w:rsidRPr="00E7764C">
        <w:rPr>
          <w:rFonts w:cs="Tahoma"/>
        </w:rPr>
        <w:lastRenderedPageBreak/>
        <w:t>Se hace la precisión de que esta información deberá ser entregada en versión publica, identificando cualquier dato personal sensible,  así como salvaguardando en todo momento la media afiliación de las víctimas así como la integridad, dignidad y sobre todo la búsqueda de la no revictimización de los ofendidos y familiares en términos del artículo 108 del Código Nacional de Procedimientos Penales, así como también deberán considerar información reservada, aquella que fue determinada por el Juez, en términos del artículo 64 del Código Nacional de Procedimientos Penales, toda vez que es información que el propio juzgados, considero que afecta a los intereses de terceros, identificando que la publicidad continua en términos del artículo 65 del mismo Código Nacional.</w:t>
      </w:r>
    </w:p>
    <w:p w14:paraId="7D19D2F8" w14:textId="77777777" w:rsidR="00F21F1F" w:rsidRDefault="00F21F1F" w:rsidP="006461DA">
      <w:pPr>
        <w:spacing w:after="0" w:line="360" w:lineRule="auto"/>
        <w:rPr>
          <w:rFonts w:cs="Tahoma"/>
          <w:b/>
          <w:bCs/>
          <w:highlight w:val="yellow"/>
        </w:rPr>
      </w:pPr>
    </w:p>
    <w:p w14:paraId="62BF63A9" w14:textId="77777777" w:rsidR="00F21F1F" w:rsidRDefault="00F21F1F" w:rsidP="006461DA">
      <w:pPr>
        <w:spacing w:after="0" w:line="360" w:lineRule="auto"/>
        <w:rPr>
          <w:rFonts w:cs="Tahoma"/>
        </w:rPr>
      </w:pPr>
      <w:r w:rsidRPr="003C1D47">
        <w:rPr>
          <w:rFonts w:cs="Tahoma"/>
        </w:rPr>
        <w:t xml:space="preserve">Ahora bien, </w:t>
      </w:r>
      <w:r>
        <w:rPr>
          <w:rFonts w:cs="Tahoma"/>
        </w:rPr>
        <w:t>por expedientes no logramos identificar la naturaleza propia de la información, sino exclusivamente la obligación que cuentan los Sujetos Obligados de recopilar la información y aglutinarla a partir de elementos comunes, lo que conlleva a la formación de expedientes, por lo que la información susceptible a entregar es toda aquella que haya sido objeto de formar parte de un expediente formado del asunto que nos ocupa, información que deberá ser entregada a la fecha de la información.</w:t>
      </w:r>
    </w:p>
    <w:p w14:paraId="635F419B" w14:textId="77777777" w:rsidR="00F21F1F" w:rsidRDefault="00F21F1F" w:rsidP="006461DA">
      <w:pPr>
        <w:spacing w:after="0" w:line="360" w:lineRule="auto"/>
        <w:rPr>
          <w:rFonts w:cs="Tahoma"/>
        </w:rPr>
      </w:pPr>
    </w:p>
    <w:p w14:paraId="5864B0C6" w14:textId="77777777" w:rsidR="00F21F1F" w:rsidRDefault="00F21F1F" w:rsidP="006461DA">
      <w:pPr>
        <w:spacing w:after="0" w:line="360" w:lineRule="auto"/>
        <w:rPr>
          <w:rFonts w:cs="Tahoma"/>
        </w:rPr>
      </w:pPr>
      <w:r>
        <w:rPr>
          <w:rFonts w:cs="Tahoma"/>
        </w:rPr>
        <w:t>Los amparos son uno de los documentos que debe ser aglutinado en los expedientes en referencia, sin embargo, deben ser analizados de manera específica al ser un requerimiento especifico del Particular.</w:t>
      </w:r>
    </w:p>
    <w:p w14:paraId="29DE7120" w14:textId="77777777" w:rsidR="00F21F1F" w:rsidRDefault="00F21F1F" w:rsidP="006461DA">
      <w:pPr>
        <w:spacing w:after="0" w:line="360" w:lineRule="auto"/>
        <w:rPr>
          <w:rFonts w:cs="Tahoma"/>
        </w:rPr>
      </w:pPr>
    </w:p>
    <w:p w14:paraId="55A6A041" w14:textId="77777777" w:rsidR="00F21F1F" w:rsidRDefault="00F21F1F" w:rsidP="006461DA">
      <w:pPr>
        <w:spacing w:after="0" w:line="360" w:lineRule="auto"/>
      </w:pPr>
      <w:r>
        <w:rPr>
          <w:rFonts w:cs="Tahoma"/>
        </w:rPr>
        <w:t xml:space="preserve">En primer lugar, tenemos la existencia de dos tipos de amparo, el Indirecto y el Directo; el indirecto, se contempla en el artículo 107 de la Ley de Amparo, Reglamentaria </w:t>
      </w:r>
      <w:r>
        <w:t>de los Artículos 103 y 107 de la Constitución Política de los Estados Unidos Mexicanos</w:t>
      </w:r>
    </w:p>
    <w:p w14:paraId="745ED053" w14:textId="77777777" w:rsidR="00F21F1F" w:rsidRDefault="00F21F1F" w:rsidP="006461DA">
      <w:pPr>
        <w:spacing w:after="0" w:line="360" w:lineRule="auto"/>
      </w:pPr>
    </w:p>
    <w:p w14:paraId="746B03E0" w14:textId="77777777" w:rsidR="00F21F1F" w:rsidRDefault="00F21F1F" w:rsidP="006461DA">
      <w:pPr>
        <w:spacing w:after="0" w:line="360" w:lineRule="auto"/>
        <w:ind w:left="567" w:right="616"/>
        <w:rPr>
          <w:i/>
          <w:iCs/>
          <w:sz w:val="20"/>
          <w:szCs w:val="20"/>
        </w:rPr>
      </w:pPr>
      <w:r w:rsidRPr="007635D6">
        <w:rPr>
          <w:i/>
          <w:iCs/>
          <w:sz w:val="20"/>
          <w:szCs w:val="20"/>
        </w:rPr>
        <w:t xml:space="preserve">Artículo 107. El amparo indirecto procede: </w:t>
      </w:r>
    </w:p>
    <w:p w14:paraId="48808ECD" w14:textId="77777777" w:rsidR="00F21F1F" w:rsidRDefault="00F21F1F" w:rsidP="006461DA">
      <w:pPr>
        <w:spacing w:after="0" w:line="360" w:lineRule="auto"/>
        <w:ind w:left="567" w:right="616"/>
        <w:rPr>
          <w:i/>
          <w:iCs/>
          <w:sz w:val="20"/>
          <w:szCs w:val="20"/>
        </w:rPr>
      </w:pPr>
      <w:r w:rsidRPr="007635D6">
        <w:rPr>
          <w:i/>
          <w:iCs/>
          <w:sz w:val="20"/>
          <w:szCs w:val="20"/>
        </w:rPr>
        <w:lastRenderedPageBreak/>
        <w:t xml:space="preserve">I. Contra normas generales que por su sola entrada en vigor o con motivo del primer acto de su aplicación causen perjuicio al quejoso. </w:t>
      </w:r>
    </w:p>
    <w:p w14:paraId="06F33401" w14:textId="77777777" w:rsidR="00F21F1F" w:rsidRDefault="00F21F1F" w:rsidP="006461DA">
      <w:pPr>
        <w:spacing w:after="0" w:line="360" w:lineRule="auto"/>
        <w:ind w:left="567" w:right="616"/>
        <w:rPr>
          <w:i/>
          <w:iCs/>
          <w:sz w:val="20"/>
          <w:szCs w:val="20"/>
        </w:rPr>
      </w:pPr>
    </w:p>
    <w:p w14:paraId="3B1EC28F" w14:textId="77777777" w:rsidR="00F21F1F" w:rsidRDefault="00F21F1F" w:rsidP="006461DA">
      <w:pPr>
        <w:spacing w:after="0" w:line="360" w:lineRule="auto"/>
        <w:ind w:left="567" w:right="616"/>
        <w:rPr>
          <w:i/>
          <w:iCs/>
          <w:sz w:val="20"/>
          <w:szCs w:val="20"/>
        </w:rPr>
      </w:pPr>
      <w:r w:rsidRPr="007635D6">
        <w:rPr>
          <w:i/>
          <w:iCs/>
          <w:sz w:val="20"/>
          <w:szCs w:val="20"/>
        </w:rPr>
        <w:t xml:space="preserve">Para los efectos de esta Ley, se entiende por normas generales, entre otras, las siguientes: </w:t>
      </w:r>
    </w:p>
    <w:p w14:paraId="261ACAA2" w14:textId="77777777" w:rsidR="00F21F1F" w:rsidRDefault="00F21F1F" w:rsidP="006461DA">
      <w:pPr>
        <w:spacing w:after="0" w:line="360" w:lineRule="auto"/>
        <w:ind w:left="567" w:right="616"/>
        <w:rPr>
          <w:i/>
          <w:iCs/>
          <w:sz w:val="20"/>
          <w:szCs w:val="20"/>
        </w:rPr>
      </w:pPr>
    </w:p>
    <w:p w14:paraId="6CDC64CB" w14:textId="77777777" w:rsidR="00F21F1F" w:rsidRDefault="00F21F1F" w:rsidP="006461DA">
      <w:pPr>
        <w:spacing w:after="0" w:line="360" w:lineRule="auto"/>
        <w:ind w:left="567" w:right="616"/>
        <w:rPr>
          <w:i/>
          <w:iCs/>
          <w:sz w:val="20"/>
          <w:szCs w:val="20"/>
        </w:rPr>
      </w:pPr>
      <w:r w:rsidRPr="007635D6">
        <w:rPr>
          <w:i/>
          <w:iCs/>
          <w:sz w:val="20"/>
          <w:szCs w:val="20"/>
        </w:rPr>
        <w:t xml:space="preserve">a) Los tratados internacionales aprobados en los términos previstos en el artículo 133 de la Constitución Política de los Estados Unidos Mexicanos; salvo aquellas disposiciones en que tales tratados reconozcan derechos humanos; </w:t>
      </w:r>
    </w:p>
    <w:p w14:paraId="5E13A592" w14:textId="77777777" w:rsidR="00F21F1F" w:rsidRDefault="00F21F1F" w:rsidP="006461DA">
      <w:pPr>
        <w:spacing w:after="0" w:line="360" w:lineRule="auto"/>
        <w:ind w:left="567" w:right="616"/>
        <w:rPr>
          <w:i/>
          <w:iCs/>
          <w:sz w:val="20"/>
          <w:szCs w:val="20"/>
        </w:rPr>
      </w:pPr>
      <w:r w:rsidRPr="007635D6">
        <w:rPr>
          <w:i/>
          <w:iCs/>
          <w:sz w:val="20"/>
          <w:szCs w:val="20"/>
        </w:rPr>
        <w:t xml:space="preserve">b) Las leyes federales; </w:t>
      </w:r>
    </w:p>
    <w:p w14:paraId="32C3CC8C" w14:textId="77777777" w:rsidR="00F21F1F" w:rsidRDefault="00F21F1F" w:rsidP="006461DA">
      <w:pPr>
        <w:spacing w:after="0" w:line="360" w:lineRule="auto"/>
        <w:ind w:left="567" w:right="616"/>
        <w:rPr>
          <w:i/>
          <w:iCs/>
          <w:sz w:val="20"/>
          <w:szCs w:val="20"/>
        </w:rPr>
      </w:pPr>
      <w:r w:rsidRPr="007635D6">
        <w:rPr>
          <w:i/>
          <w:iCs/>
          <w:sz w:val="20"/>
          <w:szCs w:val="20"/>
        </w:rPr>
        <w:t xml:space="preserve">c) Las constituciones de los Estados y el Estatuto de Gobierno del Distrito Federal; </w:t>
      </w:r>
    </w:p>
    <w:p w14:paraId="1C8AF007" w14:textId="77777777" w:rsidR="00F21F1F" w:rsidRDefault="00F21F1F" w:rsidP="006461DA">
      <w:pPr>
        <w:spacing w:after="0" w:line="360" w:lineRule="auto"/>
        <w:ind w:left="567" w:right="616"/>
        <w:rPr>
          <w:i/>
          <w:iCs/>
          <w:sz w:val="20"/>
          <w:szCs w:val="20"/>
        </w:rPr>
      </w:pPr>
      <w:r w:rsidRPr="007635D6">
        <w:rPr>
          <w:i/>
          <w:iCs/>
          <w:sz w:val="20"/>
          <w:szCs w:val="20"/>
        </w:rPr>
        <w:t xml:space="preserve">d) Las leyes de los Estados y del Distrito Federal; </w:t>
      </w:r>
    </w:p>
    <w:p w14:paraId="1926F5DE" w14:textId="77777777" w:rsidR="00F21F1F" w:rsidRDefault="00F21F1F" w:rsidP="006461DA">
      <w:pPr>
        <w:spacing w:after="0" w:line="360" w:lineRule="auto"/>
        <w:ind w:left="567" w:right="616"/>
        <w:rPr>
          <w:i/>
          <w:iCs/>
          <w:sz w:val="20"/>
          <w:szCs w:val="20"/>
        </w:rPr>
      </w:pPr>
      <w:r w:rsidRPr="007635D6">
        <w:rPr>
          <w:i/>
          <w:iCs/>
          <w:sz w:val="20"/>
          <w:szCs w:val="20"/>
        </w:rPr>
        <w:t xml:space="preserve">e) Los reglamentos federales; </w:t>
      </w:r>
    </w:p>
    <w:p w14:paraId="06B2F768" w14:textId="77777777" w:rsidR="00F21F1F" w:rsidRDefault="00F21F1F" w:rsidP="006461DA">
      <w:pPr>
        <w:spacing w:after="0" w:line="360" w:lineRule="auto"/>
        <w:ind w:left="567" w:right="616"/>
        <w:rPr>
          <w:i/>
          <w:iCs/>
          <w:sz w:val="20"/>
          <w:szCs w:val="20"/>
        </w:rPr>
      </w:pPr>
      <w:r w:rsidRPr="007635D6">
        <w:rPr>
          <w:i/>
          <w:iCs/>
          <w:sz w:val="20"/>
          <w:szCs w:val="20"/>
        </w:rPr>
        <w:t xml:space="preserve">f) Los reglamentos locales; y </w:t>
      </w:r>
    </w:p>
    <w:p w14:paraId="1AC9F546" w14:textId="77777777" w:rsidR="00F21F1F" w:rsidRDefault="00F21F1F" w:rsidP="006461DA">
      <w:pPr>
        <w:spacing w:after="0" w:line="360" w:lineRule="auto"/>
        <w:ind w:left="567" w:right="616"/>
        <w:rPr>
          <w:i/>
          <w:iCs/>
          <w:sz w:val="20"/>
          <w:szCs w:val="20"/>
        </w:rPr>
      </w:pPr>
      <w:r w:rsidRPr="007635D6">
        <w:rPr>
          <w:i/>
          <w:iCs/>
          <w:sz w:val="20"/>
          <w:szCs w:val="20"/>
        </w:rPr>
        <w:t xml:space="preserve">g) Los decretos, acuerdos y todo tipo de resoluciones de observancia general; </w:t>
      </w:r>
    </w:p>
    <w:p w14:paraId="50D34383" w14:textId="77777777" w:rsidR="00F21F1F" w:rsidRDefault="00F21F1F" w:rsidP="006461DA">
      <w:pPr>
        <w:spacing w:after="0" w:line="360" w:lineRule="auto"/>
        <w:ind w:left="567" w:right="616"/>
        <w:rPr>
          <w:i/>
          <w:iCs/>
          <w:sz w:val="20"/>
          <w:szCs w:val="20"/>
        </w:rPr>
      </w:pPr>
      <w:r w:rsidRPr="007635D6">
        <w:rPr>
          <w:i/>
          <w:iCs/>
          <w:sz w:val="20"/>
          <w:szCs w:val="20"/>
        </w:rPr>
        <w:t xml:space="preserve">II. Contra actos u omisiones que provengan de autoridades distintas de los tribunales judiciales, administrativos o del trabajo; </w:t>
      </w:r>
    </w:p>
    <w:p w14:paraId="53D1E490" w14:textId="77777777" w:rsidR="00F21F1F" w:rsidRDefault="00F21F1F" w:rsidP="006461DA">
      <w:pPr>
        <w:spacing w:after="0" w:line="360" w:lineRule="auto"/>
        <w:ind w:left="567" w:right="616"/>
        <w:rPr>
          <w:i/>
          <w:iCs/>
          <w:sz w:val="20"/>
          <w:szCs w:val="20"/>
        </w:rPr>
      </w:pPr>
      <w:r w:rsidRPr="007635D6">
        <w:rPr>
          <w:i/>
          <w:iCs/>
          <w:sz w:val="20"/>
          <w:szCs w:val="20"/>
        </w:rPr>
        <w:t xml:space="preserve">III. Contra actos, omisiones o resoluciones provenientes de un procedimiento administrativo seguido en forma de juicio, siempre que se trate de: </w:t>
      </w:r>
    </w:p>
    <w:p w14:paraId="363A3856" w14:textId="77777777" w:rsidR="00F21F1F" w:rsidRDefault="00F21F1F" w:rsidP="006461DA">
      <w:pPr>
        <w:spacing w:after="0" w:line="360" w:lineRule="auto"/>
        <w:ind w:left="567" w:right="616"/>
        <w:rPr>
          <w:i/>
          <w:iCs/>
          <w:sz w:val="20"/>
          <w:szCs w:val="20"/>
        </w:rPr>
      </w:pPr>
      <w:r w:rsidRPr="007635D6">
        <w:rPr>
          <w:i/>
          <w:iCs/>
          <w:sz w:val="20"/>
          <w:szCs w:val="20"/>
        </w:rPr>
        <w:t xml:space="preserve">a) La resolución definitiva por violaciones cometidas en la misma resolución o durante el procedimiento si por virtud de estas últimas hubiere quedado sin defensa el quejoso, trascendiendo al resultado de la resolución; y </w:t>
      </w:r>
    </w:p>
    <w:p w14:paraId="729014C7" w14:textId="77777777" w:rsidR="00F21F1F" w:rsidRDefault="00F21F1F" w:rsidP="006461DA">
      <w:pPr>
        <w:spacing w:after="0" w:line="360" w:lineRule="auto"/>
        <w:ind w:left="567" w:right="616"/>
        <w:rPr>
          <w:i/>
          <w:iCs/>
          <w:sz w:val="20"/>
          <w:szCs w:val="20"/>
        </w:rPr>
      </w:pPr>
      <w:r w:rsidRPr="007635D6">
        <w:rPr>
          <w:i/>
          <w:iCs/>
          <w:sz w:val="20"/>
          <w:szCs w:val="20"/>
        </w:rPr>
        <w:t xml:space="preserve">b) Actos en el procedimiento que sean de imposible reparación, entendiéndose por ellos los que afecten materialmente derechos sustantivos tutelados en la Constitución Política de los Estados Unidos Mexicanos y en los tratados internacionales de los que el Estado Mexicano sea parte; </w:t>
      </w:r>
    </w:p>
    <w:p w14:paraId="1C7A18D2" w14:textId="77777777" w:rsidR="00F21F1F" w:rsidRDefault="00F21F1F" w:rsidP="006461DA">
      <w:pPr>
        <w:spacing w:after="0" w:line="360" w:lineRule="auto"/>
        <w:ind w:left="567" w:right="616"/>
        <w:rPr>
          <w:i/>
          <w:iCs/>
          <w:sz w:val="20"/>
          <w:szCs w:val="20"/>
        </w:rPr>
      </w:pPr>
      <w:r w:rsidRPr="007635D6">
        <w:rPr>
          <w:i/>
          <w:iCs/>
          <w:sz w:val="20"/>
          <w:szCs w:val="20"/>
        </w:rPr>
        <w:t xml:space="preserve">IV. Contra actos de tribunales judiciales, administrativos, agrarios o del trabajo realizados fuera de juicio o después de concluido. </w:t>
      </w:r>
    </w:p>
    <w:p w14:paraId="1316F3F4" w14:textId="77777777" w:rsidR="00F21F1F" w:rsidRDefault="00F21F1F" w:rsidP="006461DA">
      <w:pPr>
        <w:spacing w:after="0" w:line="360" w:lineRule="auto"/>
        <w:ind w:left="567" w:right="616"/>
        <w:rPr>
          <w:i/>
          <w:iCs/>
          <w:sz w:val="20"/>
          <w:szCs w:val="20"/>
        </w:rPr>
      </w:pPr>
      <w:r w:rsidRPr="007635D6">
        <w:rPr>
          <w:i/>
          <w:iCs/>
          <w:sz w:val="20"/>
          <w:szCs w:val="20"/>
        </w:rPr>
        <w:t xml:space="preserve">Si se trata de actos de ejecución de sentencia sólo podrá promoverse el amparo contra la última resolución dictada en el procedimiento respectivo, entendida como aquélla que aprueba o reconoce el cumplimiento total de lo sentenciado o declara la imposibilidad material o jurídica para darle </w:t>
      </w:r>
      <w:r w:rsidRPr="007635D6">
        <w:rPr>
          <w:i/>
          <w:iCs/>
          <w:sz w:val="20"/>
          <w:szCs w:val="20"/>
        </w:rPr>
        <w:lastRenderedPageBreak/>
        <w:t>cumplimiento, o las que ordenan el archivo definitivo del expediente, pudiendo</w:t>
      </w:r>
      <w:r>
        <w:rPr>
          <w:i/>
          <w:iCs/>
          <w:sz w:val="20"/>
          <w:szCs w:val="20"/>
        </w:rPr>
        <w:t xml:space="preserve"> </w:t>
      </w:r>
      <w:r w:rsidRPr="007635D6">
        <w:rPr>
          <w:i/>
          <w:iCs/>
          <w:sz w:val="20"/>
          <w:szCs w:val="20"/>
        </w:rPr>
        <w:t xml:space="preserve">reclamarse en la misma demanda las violaciones cometidas durante ese procedimiento que hubieren dejado sin defensa al quejoso y trascendido al resultado de la resolución. </w:t>
      </w:r>
    </w:p>
    <w:p w14:paraId="72998BF0" w14:textId="77777777" w:rsidR="00F21F1F" w:rsidRDefault="00F21F1F" w:rsidP="006461DA">
      <w:pPr>
        <w:spacing w:after="0" w:line="360" w:lineRule="auto"/>
        <w:ind w:left="567" w:right="616"/>
        <w:rPr>
          <w:i/>
          <w:iCs/>
          <w:sz w:val="20"/>
          <w:szCs w:val="20"/>
        </w:rPr>
      </w:pPr>
      <w:r w:rsidRPr="007635D6">
        <w:rPr>
          <w:i/>
          <w:iCs/>
          <w:sz w:val="20"/>
          <w:szCs w:val="20"/>
        </w:rPr>
        <w:t xml:space="preserve">En los procedimientos de remate la última resolución es aquélla que en forma definitiva ordena el otorgamiento de la escritura de adjudicación y la entrega de los bienes rematados, en cuyo caso se harán valer las violaciones cometidas durante ese procedimiento en los términos del párrafo anterior; </w:t>
      </w:r>
    </w:p>
    <w:p w14:paraId="079A6E27" w14:textId="77777777" w:rsidR="00F21F1F" w:rsidRDefault="00F21F1F" w:rsidP="006461DA">
      <w:pPr>
        <w:spacing w:after="0" w:line="360" w:lineRule="auto"/>
        <w:ind w:left="567" w:right="616"/>
        <w:rPr>
          <w:i/>
          <w:iCs/>
          <w:sz w:val="20"/>
          <w:szCs w:val="20"/>
        </w:rPr>
      </w:pPr>
      <w:r w:rsidRPr="007635D6">
        <w:rPr>
          <w:i/>
          <w:iCs/>
          <w:sz w:val="20"/>
          <w:szCs w:val="20"/>
        </w:rPr>
        <w:t xml:space="preserve">V. Contra actos en juicio cuyos efectos sean de imposible reparación, entendiéndose por ellos los que afecten materialmente derechos sustantivos tutelados en la Constitución Política de los Estados Unidos Mexicanos y en los tratados internacionales de los que el Estado Mexicano sea parte; </w:t>
      </w:r>
    </w:p>
    <w:p w14:paraId="4A807A4D" w14:textId="77777777" w:rsidR="00F21F1F" w:rsidRDefault="00F21F1F" w:rsidP="006461DA">
      <w:pPr>
        <w:spacing w:after="0" w:line="360" w:lineRule="auto"/>
        <w:ind w:left="567" w:right="616"/>
        <w:rPr>
          <w:i/>
          <w:iCs/>
          <w:sz w:val="20"/>
          <w:szCs w:val="20"/>
        </w:rPr>
      </w:pPr>
      <w:r w:rsidRPr="007635D6">
        <w:rPr>
          <w:i/>
          <w:iCs/>
          <w:sz w:val="20"/>
          <w:szCs w:val="20"/>
        </w:rPr>
        <w:t xml:space="preserve">VI. Contra actos dentro o fuera de juicio que afecten a personas extrañas; </w:t>
      </w:r>
    </w:p>
    <w:p w14:paraId="3DE0B54A" w14:textId="77777777" w:rsidR="00F21F1F" w:rsidRPr="007635D6" w:rsidRDefault="00F21F1F" w:rsidP="006461DA">
      <w:pPr>
        <w:spacing w:after="0" w:line="360" w:lineRule="auto"/>
        <w:ind w:left="567" w:right="616"/>
        <w:rPr>
          <w:i/>
          <w:iCs/>
          <w:sz w:val="20"/>
          <w:szCs w:val="20"/>
        </w:rPr>
      </w:pPr>
      <w:r w:rsidRPr="007635D6">
        <w:rPr>
          <w:i/>
          <w:iCs/>
          <w:sz w:val="20"/>
          <w:szCs w:val="20"/>
        </w:rPr>
        <w:t>VII. Contra las omisiones del Ministerio Público en la investigación de los delitos, así como las resoluciones de reserva, no ejercicio, desistimiento de la acción penal, o por suspensión de procedimiento cuando no esté satisfecha la reparación del daño;</w:t>
      </w:r>
    </w:p>
    <w:p w14:paraId="70979F23" w14:textId="77777777" w:rsidR="00F21F1F" w:rsidRDefault="00F21F1F" w:rsidP="006461DA">
      <w:pPr>
        <w:spacing w:after="0" w:line="360" w:lineRule="auto"/>
        <w:ind w:left="567" w:right="616"/>
        <w:rPr>
          <w:i/>
          <w:iCs/>
          <w:sz w:val="20"/>
          <w:szCs w:val="20"/>
        </w:rPr>
      </w:pPr>
      <w:r w:rsidRPr="007635D6">
        <w:rPr>
          <w:i/>
          <w:iCs/>
          <w:sz w:val="20"/>
          <w:szCs w:val="20"/>
        </w:rPr>
        <w:t xml:space="preserve">VIII. Contra actos de autoridad que determinen inhibir o declinar la competencia o el conocimiento de un asunto, y </w:t>
      </w:r>
    </w:p>
    <w:p w14:paraId="03C0F7F5" w14:textId="77777777" w:rsidR="00F21F1F" w:rsidRDefault="00F21F1F" w:rsidP="006461DA">
      <w:pPr>
        <w:spacing w:after="0" w:line="360" w:lineRule="auto"/>
        <w:ind w:left="567" w:right="616"/>
        <w:rPr>
          <w:i/>
          <w:iCs/>
          <w:sz w:val="20"/>
          <w:szCs w:val="20"/>
        </w:rPr>
      </w:pPr>
      <w:r w:rsidRPr="007635D6">
        <w:rPr>
          <w:i/>
          <w:iCs/>
          <w:sz w:val="20"/>
          <w:szCs w:val="20"/>
        </w:rPr>
        <w:t xml:space="preserve">IX. Contra normas generales, actos u omisiones de la Comisión Federal de Competencia Económica y del Instituto Federal de Telecomunicaciones. </w:t>
      </w:r>
    </w:p>
    <w:p w14:paraId="1CF51765" w14:textId="77777777" w:rsidR="00F21F1F" w:rsidRPr="007635D6" w:rsidRDefault="00F21F1F" w:rsidP="006461DA">
      <w:pPr>
        <w:spacing w:after="0" w:line="360" w:lineRule="auto"/>
        <w:ind w:left="567" w:right="616"/>
        <w:rPr>
          <w:i/>
          <w:iCs/>
          <w:sz w:val="20"/>
          <w:szCs w:val="20"/>
        </w:rPr>
      </w:pPr>
      <w:r w:rsidRPr="007635D6">
        <w:rPr>
          <w:i/>
          <w:iCs/>
          <w:sz w:val="20"/>
          <w:szCs w:val="20"/>
        </w:rPr>
        <w:t>Tratándose de resoluciones dictadas por dichos órganos emanadas de un procedimiento seguido en forma de juicio sólo podrá impugnarse la que ponga fin al mismo por violaciones cometidas en la resolución o durante el procedimiento; las normas generales aplicadas durante el procedimiento sólo podrán reclamarse en el amparo promovido contra la resolución referida.</w:t>
      </w:r>
    </w:p>
    <w:p w14:paraId="018F49AC" w14:textId="77777777" w:rsidR="00F21F1F" w:rsidRDefault="00F21F1F" w:rsidP="006461DA">
      <w:pPr>
        <w:spacing w:after="0" w:line="360" w:lineRule="auto"/>
        <w:rPr>
          <w:rFonts w:cs="Tahoma"/>
          <w:b/>
          <w:bCs/>
        </w:rPr>
      </w:pPr>
    </w:p>
    <w:p w14:paraId="710A0600" w14:textId="77777777" w:rsidR="00F21F1F" w:rsidRDefault="00F21F1F" w:rsidP="006461DA">
      <w:pPr>
        <w:spacing w:after="0" w:line="360" w:lineRule="auto"/>
        <w:rPr>
          <w:rFonts w:cs="Tahoma"/>
        </w:rPr>
      </w:pPr>
      <w:r w:rsidRPr="007635D6">
        <w:rPr>
          <w:rFonts w:cs="Tahoma"/>
        </w:rPr>
        <w:t>Entonces, el Amparo Indirecto, procede contra actos fuera de juicio y en contra de resoluciones interlocutorias, que no ponen fin a un juicio; por ello, a la fecha de la solicitud, únicamente se podría tener amparos indirectos, de los cuales, además, el Ministerio Público, únicamente conoce en calidad de Autoridad Responsable o bien de Tercero interesado en términos del artículo 5° fracciones II y III de la Ley de Amparo invocada.</w:t>
      </w:r>
      <w:r>
        <w:rPr>
          <w:rFonts w:cs="Tahoma"/>
        </w:rPr>
        <w:t xml:space="preserve"> En tal calidad, el Ministerio Público no cuenta con todos los documentos, exclusivamente aquellos que le notifica el Juzgado de </w:t>
      </w:r>
      <w:r>
        <w:rPr>
          <w:rFonts w:cs="Tahoma"/>
        </w:rPr>
        <w:lastRenderedPageBreak/>
        <w:t>Distrito, así como aquellos generados por el mismo por lo que deberá entregar las versione públicas.</w:t>
      </w:r>
    </w:p>
    <w:p w14:paraId="289528E3" w14:textId="77777777" w:rsidR="00F21F1F" w:rsidRDefault="00F21F1F" w:rsidP="006461DA">
      <w:pPr>
        <w:spacing w:after="0" w:line="360" w:lineRule="auto"/>
        <w:rPr>
          <w:rFonts w:cs="Tahoma"/>
        </w:rPr>
      </w:pPr>
    </w:p>
    <w:p w14:paraId="7D4E4748" w14:textId="77777777" w:rsidR="00F21F1F" w:rsidRDefault="00F21F1F" w:rsidP="006461DA">
      <w:pPr>
        <w:spacing w:after="0" w:line="360" w:lineRule="auto"/>
        <w:rPr>
          <w:rFonts w:cs="Tahoma"/>
          <w:b/>
          <w:bCs/>
        </w:rPr>
      </w:pPr>
      <w:r>
        <w:rPr>
          <w:rFonts w:cs="Tahoma"/>
          <w:b/>
          <w:bCs/>
        </w:rPr>
        <w:t>LA CONCEPCIÓN DEL PRESENTE ASUNTO (FEMINICIDIO MULTIPLE) COMO UNA VIOLACIÓN GRAVE DE DERECHOS HUMANOS.</w:t>
      </w:r>
    </w:p>
    <w:p w14:paraId="3F11858D" w14:textId="77777777" w:rsidR="00F21F1F" w:rsidRPr="00830F7C" w:rsidRDefault="00F21F1F" w:rsidP="006461DA">
      <w:pPr>
        <w:spacing w:after="0" w:line="360" w:lineRule="auto"/>
        <w:rPr>
          <w:rFonts w:cs="Tahoma"/>
          <w:b/>
          <w:bCs/>
        </w:rPr>
      </w:pPr>
    </w:p>
    <w:p w14:paraId="1E3D3762" w14:textId="77777777" w:rsidR="00F21F1F" w:rsidRDefault="00F21F1F" w:rsidP="006461DA">
      <w:pPr>
        <w:spacing w:after="0" w:line="360" w:lineRule="auto"/>
        <w:rPr>
          <w:rFonts w:cs="Tahoma"/>
        </w:rPr>
      </w:pPr>
      <w:r w:rsidRPr="00B84B62">
        <w:rPr>
          <w:rFonts w:cs="Tahoma"/>
        </w:rPr>
        <w:t>Ahora bien, como se desarrolló durante la prueba de daño, se está dando también la atención como una violación grave a derechos humanos, por las siguientes consideraciones:</w:t>
      </w:r>
    </w:p>
    <w:p w14:paraId="2D82772E" w14:textId="77777777" w:rsidR="00F21F1F" w:rsidRDefault="00F21F1F" w:rsidP="006461DA">
      <w:pPr>
        <w:spacing w:after="0" w:line="360" w:lineRule="auto"/>
        <w:rPr>
          <w:rFonts w:cs="Tahoma"/>
          <w:b/>
          <w:bCs/>
        </w:rPr>
      </w:pPr>
    </w:p>
    <w:p w14:paraId="0122EB9E" w14:textId="77777777" w:rsidR="00F21F1F" w:rsidRDefault="00F21F1F" w:rsidP="006461DA">
      <w:pPr>
        <w:spacing w:after="0" w:line="360" w:lineRule="auto"/>
        <w:rPr>
          <w:rFonts w:cs="Tahoma"/>
        </w:rPr>
      </w:pPr>
      <w:r w:rsidRPr="00B84B62">
        <w:rPr>
          <w:rFonts w:cs="Tahoma"/>
        </w:rPr>
        <w:t xml:space="preserve">A). La Ley de Transparencia y Acceso a la Información Pública del Estado de México y Municipios, en su artículo 142, fracción II, abre la posibilidad a este Organismo Garante a determinar </w:t>
      </w:r>
      <w:r>
        <w:rPr>
          <w:rFonts w:cs="Tahoma"/>
        </w:rPr>
        <w:t>violaciones graves a derechos humanos en los siguientes términos:</w:t>
      </w:r>
    </w:p>
    <w:p w14:paraId="33B5BFF3" w14:textId="77777777" w:rsidR="00F21F1F" w:rsidRDefault="00F21F1F" w:rsidP="006461DA">
      <w:pPr>
        <w:spacing w:after="0" w:line="360" w:lineRule="auto"/>
        <w:rPr>
          <w:rFonts w:cs="Tahoma"/>
        </w:rPr>
      </w:pPr>
    </w:p>
    <w:p w14:paraId="5E91A5EB" w14:textId="77777777" w:rsidR="00F21F1F" w:rsidRPr="00A5432B" w:rsidRDefault="00F21F1F" w:rsidP="006461DA">
      <w:pPr>
        <w:autoSpaceDE w:val="0"/>
        <w:autoSpaceDN w:val="0"/>
        <w:adjustRightInd w:val="0"/>
        <w:spacing w:after="0" w:line="240" w:lineRule="auto"/>
        <w:ind w:left="567" w:right="616"/>
        <w:jc w:val="left"/>
        <w:rPr>
          <w:rFonts w:cs="Arial"/>
          <w:i/>
          <w:iCs/>
          <w:color w:val="000000"/>
          <w:sz w:val="20"/>
          <w:szCs w:val="20"/>
        </w:rPr>
      </w:pPr>
      <w:r w:rsidRPr="00A5432B">
        <w:rPr>
          <w:rFonts w:cs="Arial Black"/>
          <w:b/>
          <w:bCs/>
          <w:i/>
          <w:iCs/>
          <w:color w:val="000000"/>
          <w:sz w:val="20"/>
          <w:szCs w:val="20"/>
        </w:rPr>
        <w:t xml:space="preserve">Artículo 142. </w:t>
      </w:r>
      <w:r w:rsidRPr="00A5432B">
        <w:rPr>
          <w:rFonts w:cs="Arial"/>
          <w:i/>
          <w:iCs/>
          <w:color w:val="000000"/>
          <w:sz w:val="20"/>
          <w:szCs w:val="20"/>
        </w:rPr>
        <w:t>Bajo ninguna circunstancia podrá invocarse el carácter de reservado cuando:</w:t>
      </w:r>
    </w:p>
    <w:p w14:paraId="14970925" w14:textId="77777777" w:rsidR="00F21F1F" w:rsidRPr="00A5432B" w:rsidRDefault="00F21F1F" w:rsidP="006461DA">
      <w:pPr>
        <w:spacing w:after="0" w:line="360" w:lineRule="auto"/>
        <w:ind w:left="567" w:right="616"/>
        <w:rPr>
          <w:rFonts w:cs="Tahoma"/>
          <w:i/>
          <w:iCs/>
          <w:sz w:val="20"/>
          <w:szCs w:val="20"/>
        </w:rPr>
      </w:pPr>
      <w:r w:rsidRPr="00A5432B">
        <w:rPr>
          <w:rFonts w:cs="Tahoma"/>
          <w:i/>
          <w:iCs/>
          <w:sz w:val="20"/>
          <w:szCs w:val="20"/>
        </w:rPr>
        <w:t>…</w:t>
      </w:r>
    </w:p>
    <w:p w14:paraId="0146874B" w14:textId="77777777" w:rsidR="00F21F1F" w:rsidRPr="00A5432B" w:rsidRDefault="00F21F1F" w:rsidP="006461DA">
      <w:pPr>
        <w:spacing w:after="0" w:line="360" w:lineRule="auto"/>
        <w:ind w:left="567" w:right="616"/>
        <w:rPr>
          <w:rFonts w:cs="Tahoma"/>
          <w:i/>
          <w:iCs/>
          <w:sz w:val="20"/>
          <w:szCs w:val="20"/>
        </w:rPr>
      </w:pPr>
      <w:r w:rsidRPr="00A5432B">
        <w:rPr>
          <w:rFonts w:cs="Tahoma"/>
          <w:i/>
          <w:iCs/>
          <w:sz w:val="20"/>
          <w:szCs w:val="20"/>
        </w:rPr>
        <w:t>II. Se trate de la investigación de posibles violaciones graves de derechos humanos aun cuando no exista pronunciamiento previo de autoridad competente, cuando se determine, a partir de criterios</w:t>
      </w:r>
      <w:r>
        <w:rPr>
          <w:rFonts w:cs="Tahoma"/>
          <w:i/>
          <w:iCs/>
          <w:sz w:val="20"/>
          <w:szCs w:val="20"/>
        </w:rPr>
        <w:t xml:space="preserve"> </w:t>
      </w:r>
      <w:r w:rsidRPr="00A5432B">
        <w:rPr>
          <w:rFonts w:cs="Tahoma"/>
          <w:i/>
          <w:iCs/>
          <w:sz w:val="20"/>
          <w:szCs w:val="20"/>
        </w:rPr>
        <w:t>cuantitativos y cualitativos la trascendencia social de las violaciones;</w:t>
      </w:r>
    </w:p>
    <w:p w14:paraId="09C0FA3A" w14:textId="77777777" w:rsidR="00F21F1F" w:rsidRPr="00A5432B" w:rsidRDefault="00F21F1F" w:rsidP="006461DA">
      <w:pPr>
        <w:spacing w:after="0" w:line="360" w:lineRule="auto"/>
        <w:ind w:left="567" w:right="616"/>
        <w:rPr>
          <w:rFonts w:cs="Tahoma"/>
          <w:i/>
          <w:iCs/>
          <w:sz w:val="20"/>
          <w:szCs w:val="20"/>
        </w:rPr>
      </w:pPr>
      <w:r w:rsidRPr="00A5432B">
        <w:rPr>
          <w:rFonts w:cs="Tahoma"/>
          <w:i/>
          <w:iCs/>
          <w:sz w:val="20"/>
          <w:szCs w:val="20"/>
        </w:rPr>
        <w:t>…</w:t>
      </w:r>
    </w:p>
    <w:p w14:paraId="4B4C3C77" w14:textId="77777777" w:rsidR="00F21F1F" w:rsidRDefault="00F21F1F" w:rsidP="006461DA">
      <w:pPr>
        <w:spacing w:after="0" w:line="360" w:lineRule="auto"/>
        <w:rPr>
          <w:rFonts w:cs="Tahoma"/>
          <w:b/>
          <w:bCs/>
          <w:highlight w:val="yellow"/>
        </w:rPr>
      </w:pPr>
    </w:p>
    <w:p w14:paraId="46B88BD1" w14:textId="77777777" w:rsidR="00F21F1F" w:rsidRPr="00616E41" w:rsidRDefault="00F21F1F" w:rsidP="006461DA">
      <w:pPr>
        <w:spacing w:after="0" w:line="360" w:lineRule="auto"/>
        <w:rPr>
          <w:rFonts w:cs="Tahoma"/>
        </w:rPr>
      </w:pPr>
      <w:r w:rsidRPr="00A5432B">
        <w:rPr>
          <w:rFonts w:cs="Tahoma"/>
        </w:rPr>
        <w:t>En primer aspecto, el feminicidio se considera como la máxima expresión de la violencia de género</w:t>
      </w:r>
      <w:r>
        <w:rPr>
          <w:rFonts w:cs="Tahoma"/>
        </w:rPr>
        <w:t>; al respecto se identifica que, para ser considerada por las Autoridades con este carácter, debe estar involucrado por acción o por omisión el Estado. p</w:t>
      </w:r>
      <w:r w:rsidRPr="00616E41">
        <w:rPr>
          <w:rFonts w:cs="Tahoma"/>
        </w:rPr>
        <w:t xml:space="preserve">ara </w:t>
      </w:r>
      <w:r>
        <w:rPr>
          <w:rFonts w:cs="Tahoma"/>
        </w:rPr>
        <w:t>lo que</w:t>
      </w:r>
      <w:r w:rsidRPr="00616E41">
        <w:rPr>
          <w:rFonts w:cs="Tahoma"/>
        </w:rPr>
        <w:t xml:space="preserve"> se invoca la Tesis Aislada de la Novena Época, con registro digital 200110, publicado en el Semanario Judicial de la Federación y su Gaceta.</w:t>
      </w:r>
      <w:r>
        <w:rPr>
          <w:rFonts w:cs="Tahoma"/>
        </w:rPr>
        <w:t xml:space="preserve"> </w:t>
      </w:r>
      <w:r w:rsidRPr="00616E41">
        <w:rPr>
          <w:rFonts w:cs="Tahoma"/>
        </w:rPr>
        <w:t xml:space="preserve">Tomo III, </w:t>
      </w:r>
      <w:proofErr w:type="gramStart"/>
      <w:r w:rsidRPr="00616E41">
        <w:rPr>
          <w:rFonts w:cs="Tahoma"/>
        </w:rPr>
        <w:t>Junio</w:t>
      </w:r>
      <w:proofErr w:type="gramEnd"/>
      <w:r w:rsidRPr="00616E41">
        <w:rPr>
          <w:rFonts w:cs="Tahoma"/>
        </w:rPr>
        <w:t xml:space="preserve"> de 1996, página 459, que lleva por rubro y texto:</w:t>
      </w:r>
    </w:p>
    <w:p w14:paraId="30D8A658" w14:textId="77777777" w:rsidR="00F21F1F" w:rsidRPr="00616E41" w:rsidRDefault="00F21F1F" w:rsidP="006461DA">
      <w:pPr>
        <w:spacing w:after="0" w:line="360" w:lineRule="auto"/>
        <w:ind w:left="567"/>
        <w:rPr>
          <w:rFonts w:cs="Tahoma"/>
        </w:rPr>
      </w:pPr>
    </w:p>
    <w:p w14:paraId="02725A82"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GARANTIAS INDIVIDUALES. CONCEPTO DE VIOLACION GRAVE DE ELLAS PARA LOS EFECTOS DEL SEGUNDO PARRAFO DEL ARTICULO </w:t>
      </w:r>
      <w:hyperlink r:id="rId91" w:history="1">
        <w:r w:rsidRPr="00616E41">
          <w:rPr>
            <w:b/>
            <w:bCs/>
            <w:i/>
            <w:iCs/>
            <w:sz w:val="20"/>
            <w:szCs w:val="20"/>
          </w:rPr>
          <w:t>97 CONSTITUCIONAL</w:t>
        </w:r>
      </w:hyperlink>
      <w:r w:rsidRPr="00616E41">
        <w:rPr>
          <w:b/>
          <w:bCs/>
          <w:i/>
          <w:iCs/>
          <w:sz w:val="20"/>
          <w:szCs w:val="20"/>
        </w:rPr>
        <w:t>.</w:t>
      </w:r>
    </w:p>
    <w:p w14:paraId="7806ED36" w14:textId="77777777" w:rsidR="00F21F1F" w:rsidRPr="00616E41" w:rsidRDefault="00F21F1F" w:rsidP="006461DA">
      <w:pPr>
        <w:spacing w:after="0" w:line="360" w:lineRule="auto"/>
        <w:ind w:left="567" w:right="616"/>
        <w:rPr>
          <w:b/>
          <w:bCs/>
          <w:i/>
          <w:iCs/>
          <w:sz w:val="20"/>
          <w:szCs w:val="20"/>
        </w:rPr>
      </w:pPr>
      <w:r w:rsidRPr="00616E41">
        <w:rPr>
          <w:i/>
          <w:iCs/>
          <w:sz w:val="20"/>
          <w:szCs w:val="20"/>
        </w:rPr>
        <w:lastRenderedPageBreak/>
        <w:t xml:space="preserve">Las violaciones graves de garantías a que se refiere dicho artículo, son hechos generalizados consecuentes a un "estado de cosas", acaecidos en una entidad o región determinados, y su averiguación tiene lugar cuando ocurren acontecimientos que debiendo ser afrontados y resueltos por las autoridades constituidas con estricto apego al principio de legalidad, esos acontecimientos no se logran controlar por la actitud de la propia autoridad, produciéndose, en consecuencia, violaciones a los derechos fundamentales de los individuos. </w:t>
      </w:r>
      <w:r w:rsidRPr="00616E41">
        <w:rPr>
          <w:b/>
          <w:bCs/>
          <w:i/>
          <w:iCs/>
          <w:sz w:val="20"/>
          <w:szCs w:val="20"/>
        </w:rPr>
        <w:t>Por ende, la grave violación de garantías individuales se actualiza cuando la sociedad no se encuentra en seguridad material, social, política o jurídica, a consecuencia de que: a) Las propias autoridades que deben proteger a la población que gobiernan, son las que producen o propician los actos violentos, pretendiendo en tal forma obtener una respuesta disciplinada, aunque aquéllos sean violatorios de los derechos de las personas y de las instituciones. b) Que frente a un desorden generalizado las autoridades sean omisas, negligentes o impotentes para encauzar las relaciones pacíficas de la comunidad, o bien que sean totalmente indiferentes en obtener el respeto a las garantías individuales.</w:t>
      </w:r>
    </w:p>
    <w:p w14:paraId="3CC73578" w14:textId="77777777" w:rsidR="00F21F1F" w:rsidRDefault="00F21F1F" w:rsidP="006461DA">
      <w:pPr>
        <w:spacing w:after="0" w:line="360" w:lineRule="auto"/>
        <w:rPr>
          <w:rFonts w:cs="Tahoma"/>
        </w:rPr>
      </w:pPr>
    </w:p>
    <w:p w14:paraId="415B08F2" w14:textId="77777777" w:rsidR="00F21F1F" w:rsidRDefault="00F21F1F" w:rsidP="006461DA">
      <w:pPr>
        <w:spacing w:after="0" w:line="360" w:lineRule="auto"/>
        <w:rPr>
          <w:rFonts w:cs="Tahoma"/>
        </w:rPr>
      </w:pPr>
      <w:r>
        <w:rPr>
          <w:rFonts w:cs="Tahoma"/>
        </w:rPr>
        <w:t xml:space="preserve">En el caso que nos ocupa, no se ha considerado en esos términos, sin embargo, el medio Infobae, publicó la omisión de la autoridad de hallar al culpable, a través de su nota periodística consultable en la liga de acceso directo </w:t>
      </w:r>
      <w:hyperlink r:id="rId92" w:history="1">
        <w:r w:rsidRPr="006B5C75">
          <w:rPr>
            <w:rStyle w:val="Hipervnculo"/>
            <w:rFonts w:cs="Tahoma"/>
          </w:rPr>
          <w:t>https://www.infobae.com/america/mexico/2021/05/29/andres-n-fue-a-declarar-nadie-lo-investigo-la-impunidad-que-creo-al-feminicida-de-atizapan/</w:t>
        </w:r>
      </w:hyperlink>
      <w:r>
        <w:rPr>
          <w:rFonts w:cs="Tahoma"/>
        </w:rPr>
        <w:t>, y por la cual, se revelaron declaraciones de los familiares de las víctimas:</w:t>
      </w:r>
    </w:p>
    <w:p w14:paraId="5C730946" w14:textId="77777777" w:rsidR="00F21F1F" w:rsidRDefault="00F21F1F" w:rsidP="006461DA">
      <w:pPr>
        <w:spacing w:after="0" w:line="360" w:lineRule="auto"/>
        <w:rPr>
          <w:rFonts w:cs="Tahoma"/>
        </w:rPr>
      </w:pPr>
    </w:p>
    <w:p w14:paraId="4437A8B5" w14:textId="77777777" w:rsidR="00F21F1F" w:rsidRPr="00A5432B" w:rsidRDefault="00000000" w:rsidP="006461DA">
      <w:pPr>
        <w:spacing w:after="0" w:line="360" w:lineRule="auto"/>
        <w:ind w:left="567" w:right="616"/>
        <w:rPr>
          <w:i/>
          <w:iCs/>
          <w:sz w:val="20"/>
          <w:szCs w:val="20"/>
        </w:rPr>
      </w:pPr>
      <w:hyperlink r:id="rId93" w:tgtFrame="_blank" w:history="1">
        <w:r w:rsidR="00F21F1F" w:rsidRPr="00A5432B">
          <w:rPr>
            <w:i/>
            <w:iCs/>
            <w:sz w:val="20"/>
            <w:szCs w:val="20"/>
          </w:rPr>
          <w:t>Andrés Filomeno “N”</w:t>
        </w:r>
      </w:hyperlink>
      <w:r w:rsidR="00F21F1F" w:rsidRPr="00A5432B">
        <w:rPr>
          <w:i/>
          <w:iCs/>
          <w:sz w:val="20"/>
          <w:szCs w:val="20"/>
        </w:rPr>
        <w:t>, el feminicida confeso de Atizapán de Zaragoza, estuvo frente a frente con agentes del Ministerio Público en 2016 por la desaparición de </w:t>
      </w:r>
      <w:hyperlink r:id="rId94" w:tgtFrame="_blank" w:history="1">
        <w:r w:rsidR="00F21F1F" w:rsidRPr="00A5432B">
          <w:rPr>
            <w:i/>
            <w:iCs/>
            <w:sz w:val="20"/>
            <w:szCs w:val="20"/>
          </w:rPr>
          <w:t>María Noé Mares y su hijo Edgard</w:t>
        </w:r>
      </w:hyperlink>
      <w:r w:rsidR="00F21F1F" w:rsidRPr="00A5432B">
        <w:rPr>
          <w:i/>
          <w:iCs/>
          <w:sz w:val="20"/>
          <w:szCs w:val="20"/>
        </w:rPr>
        <w:t>, la hermana de esta mujer que aún sigue desaparecida lo llevó para declarar, ya que él fue la única persona que la había visto el día que no regresaron a casa ni ella ni el pequeño de siete años, pero nadie lo investigó, nadie corroboró que fuera verdad lo que decía, se fue y siguió matando.</w:t>
      </w:r>
    </w:p>
    <w:p w14:paraId="264FFF46" w14:textId="77777777" w:rsidR="00F21F1F" w:rsidRPr="00A5432B" w:rsidRDefault="00F21F1F" w:rsidP="006461DA">
      <w:pPr>
        <w:spacing w:after="0" w:line="360" w:lineRule="auto"/>
        <w:ind w:left="567" w:right="616"/>
        <w:rPr>
          <w:i/>
          <w:iCs/>
          <w:sz w:val="20"/>
          <w:szCs w:val="20"/>
        </w:rPr>
      </w:pPr>
      <w:r w:rsidRPr="00A5432B">
        <w:rPr>
          <w:i/>
          <w:iCs/>
          <w:sz w:val="20"/>
          <w:szCs w:val="20"/>
        </w:rPr>
        <w:t>…</w:t>
      </w:r>
    </w:p>
    <w:p w14:paraId="6600D9E6" w14:textId="77777777" w:rsidR="00F21F1F" w:rsidRPr="00A5432B" w:rsidRDefault="00F21F1F" w:rsidP="006461DA">
      <w:pPr>
        <w:spacing w:after="0" w:line="360" w:lineRule="auto"/>
        <w:ind w:left="567" w:right="616"/>
        <w:rPr>
          <w:i/>
          <w:iCs/>
          <w:sz w:val="20"/>
          <w:szCs w:val="20"/>
        </w:rPr>
      </w:pPr>
    </w:p>
    <w:p w14:paraId="49B4329B" w14:textId="77777777" w:rsidR="00F21F1F" w:rsidRDefault="00F21F1F" w:rsidP="006461DA">
      <w:pPr>
        <w:spacing w:after="0" w:line="360" w:lineRule="auto"/>
        <w:ind w:left="567" w:right="616"/>
        <w:rPr>
          <w:i/>
          <w:iCs/>
          <w:sz w:val="20"/>
          <w:szCs w:val="20"/>
        </w:rPr>
      </w:pPr>
      <w:r w:rsidRPr="00A5432B">
        <w:rPr>
          <w:i/>
          <w:iCs/>
          <w:sz w:val="20"/>
          <w:szCs w:val="20"/>
        </w:rPr>
        <w:t>Lizeth Gallegos, hermana de </w:t>
      </w:r>
      <w:hyperlink r:id="rId95" w:tgtFrame="_blank" w:history="1">
        <w:r w:rsidRPr="00A5432B">
          <w:rPr>
            <w:i/>
            <w:iCs/>
            <w:sz w:val="20"/>
            <w:szCs w:val="20"/>
          </w:rPr>
          <w:t>Rubicela</w:t>
        </w:r>
      </w:hyperlink>
      <w:r w:rsidRPr="00A5432B">
        <w:rPr>
          <w:i/>
          <w:iCs/>
          <w:sz w:val="20"/>
          <w:szCs w:val="20"/>
        </w:rPr>
        <w:t>, quien podría ser otra presunta víctima de Andrés, ya que su credencial de elector apareció en este inmueble, dijo que desapareció en 2019 en el municipio de Tlalnepantla, relató que su familia viajó desde Monterrey al Estado de México para denunciar la desaparición de la joven de 32 años de edad, quien era estudiante, trabajaba en un banco y cuidaba de su hijo de cinco años.</w:t>
      </w:r>
    </w:p>
    <w:p w14:paraId="21064D49" w14:textId="77777777" w:rsidR="00F21F1F" w:rsidRPr="00A5432B" w:rsidRDefault="00F21F1F" w:rsidP="006461DA">
      <w:pPr>
        <w:spacing w:after="0" w:line="360" w:lineRule="auto"/>
        <w:ind w:left="567" w:right="616"/>
        <w:rPr>
          <w:i/>
          <w:iCs/>
          <w:sz w:val="20"/>
          <w:szCs w:val="20"/>
        </w:rPr>
      </w:pPr>
    </w:p>
    <w:p w14:paraId="09CFAF5B" w14:textId="77777777" w:rsidR="00F21F1F" w:rsidRDefault="00F21F1F" w:rsidP="006461DA">
      <w:pPr>
        <w:spacing w:after="0" w:line="360" w:lineRule="auto"/>
        <w:ind w:left="567" w:right="616"/>
        <w:rPr>
          <w:i/>
          <w:iCs/>
          <w:sz w:val="20"/>
          <w:szCs w:val="20"/>
        </w:rPr>
      </w:pPr>
      <w:r w:rsidRPr="00A5432B">
        <w:rPr>
          <w:i/>
          <w:iCs/>
          <w:sz w:val="20"/>
          <w:szCs w:val="20"/>
        </w:rPr>
        <w:t>Cuando llegaron al ministerio público, el trato fue “muy malo”, recordó Lizet en la televisora ADN 40. “No nos atendieron como debió haber sido”. La hermana menor de Rubicela consideró que hubo negligencia desde el primer momento. “Nunca nos dieron el apoyo que cualquier persona merece”. Además de la falta de sensibilidad de las autoridades, la situación se dificultó aún más para la familia que desconocía el municipio donde desapareció la joven.</w:t>
      </w:r>
    </w:p>
    <w:p w14:paraId="7F86F49F" w14:textId="77777777" w:rsidR="00F21F1F" w:rsidRPr="00A5432B" w:rsidRDefault="00F21F1F" w:rsidP="006461DA">
      <w:pPr>
        <w:spacing w:after="0" w:line="360" w:lineRule="auto"/>
        <w:ind w:left="567" w:right="616"/>
        <w:rPr>
          <w:i/>
          <w:iCs/>
          <w:sz w:val="20"/>
          <w:szCs w:val="20"/>
        </w:rPr>
      </w:pPr>
    </w:p>
    <w:p w14:paraId="77636B4C" w14:textId="77777777" w:rsidR="00F21F1F" w:rsidRDefault="00F21F1F" w:rsidP="006461DA">
      <w:pPr>
        <w:spacing w:after="0" w:line="360" w:lineRule="auto"/>
        <w:ind w:left="567" w:right="616"/>
        <w:rPr>
          <w:i/>
          <w:iCs/>
          <w:sz w:val="20"/>
          <w:szCs w:val="20"/>
        </w:rPr>
      </w:pPr>
      <w:r w:rsidRPr="00A5432B">
        <w:rPr>
          <w:i/>
          <w:iCs/>
          <w:sz w:val="20"/>
          <w:szCs w:val="20"/>
        </w:rPr>
        <w:t>En abril de este año, la mamá de Rubicela regresó al México para pedir el expediente. Entonces (…) “le dicen que el expediente no lo hallan. Y ya después, cuando lo hallan, ya se había mandado a archivo muerto, no le dieron procedimiento. Mi papá es el que tenía contacto con el agente Bravo, y la verdad nunca hizo nada”. Fue gracias a una conocida de Rubicela que detectaron el lugar donde estuvo por última vez.</w:t>
      </w:r>
    </w:p>
    <w:p w14:paraId="3C184669" w14:textId="77777777" w:rsidR="00F21F1F" w:rsidRPr="00A5432B" w:rsidRDefault="00F21F1F" w:rsidP="006461DA">
      <w:pPr>
        <w:spacing w:after="0" w:line="360" w:lineRule="auto"/>
        <w:ind w:left="567" w:right="616"/>
        <w:rPr>
          <w:i/>
          <w:iCs/>
          <w:sz w:val="20"/>
          <w:szCs w:val="20"/>
        </w:rPr>
      </w:pPr>
    </w:p>
    <w:p w14:paraId="0A51F11B" w14:textId="77777777" w:rsidR="00F21F1F" w:rsidRPr="00A5432B" w:rsidRDefault="00F21F1F" w:rsidP="006461DA">
      <w:pPr>
        <w:spacing w:after="0" w:line="360" w:lineRule="auto"/>
        <w:ind w:left="567" w:right="616"/>
        <w:rPr>
          <w:i/>
          <w:iCs/>
          <w:sz w:val="20"/>
          <w:szCs w:val="20"/>
        </w:rPr>
      </w:pPr>
      <w:r w:rsidRPr="00A5432B">
        <w:rPr>
          <w:i/>
          <w:iCs/>
          <w:sz w:val="20"/>
          <w:szCs w:val="20"/>
        </w:rPr>
        <w:t xml:space="preserve">Las múltiples omisiones de los ministerios públicos han sido una constante para las madres de las desaparecidas, “al rato regresa, se fue con el novio” o “tiene que esperar 72 horas para ver si regresa” parecen ser una regla que ha permanecido intacta por décadas, cuando se sabe que las </w:t>
      </w:r>
      <w:proofErr w:type="gramStart"/>
      <w:r w:rsidRPr="00A5432B">
        <w:rPr>
          <w:i/>
          <w:iCs/>
          <w:sz w:val="20"/>
          <w:szCs w:val="20"/>
        </w:rPr>
        <w:t>primera horas</w:t>
      </w:r>
      <w:proofErr w:type="gramEnd"/>
      <w:r w:rsidRPr="00A5432B">
        <w:rPr>
          <w:i/>
          <w:iCs/>
          <w:sz w:val="20"/>
          <w:szCs w:val="20"/>
        </w:rPr>
        <w:t xml:space="preserve"> de la desaparición de una personas son cruciales para hallarlas con vida.</w:t>
      </w:r>
    </w:p>
    <w:p w14:paraId="049B4CD0" w14:textId="77777777" w:rsidR="00F21F1F" w:rsidRDefault="00F21F1F" w:rsidP="006461DA">
      <w:pPr>
        <w:spacing w:after="0" w:line="360" w:lineRule="auto"/>
        <w:rPr>
          <w:rFonts w:cs="Tahoma"/>
        </w:rPr>
      </w:pPr>
    </w:p>
    <w:p w14:paraId="54DE7D49" w14:textId="77777777" w:rsidR="00F21F1F" w:rsidRDefault="00F21F1F" w:rsidP="006461DA">
      <w:pPr>
        <w:spacing w:after="0" w:line="360" w:lineRule="auto"/>
        <w:rPr>
          <w:rFonts w:cs="Tahoma"/>
        </w:rPr>
      </w:pPr>
      <w:r>
        <w:rPr>
          <w:rFonts w:cs="Tahoma"/>
        </w:rPr>
        <w:t xml:space="preserve">Es entonces, que si bien son notas periodísticas y únicamente sirven como un elemento de indicio, no se debe omitir que la Fiscalía en ningún momento expresó tener identificado a un homicida serial o haberle iniciado una investigación previa, entonces se puede confirmar las omisiones de la autoridad, pues fue una persona que mató al menos a 19 personas, información divulgada por la propia fiscalía y que de las notas periodísticas, se advierte que fue señalado </w:t>
      </w:r>
      <w:r>
        <w:rPr>
          <w:rFonts w:cs="Tahoma"/>
        </w:rPr>
        <w:lastRenderedPageBreak/>
        <w:t>al menos en una ocasión previa, como la última persona en ver con vida a una mujer desaparecida que en la actualidad se presume como su víctima.</w:t>
      </w:r>
    </w:p>
    <w:p w14:paraId="76793C6C" w14:textId="77777777" w:rsidR="00F21F1F" w:rsidRDefault="00F21F1F" w:rsidP="006461DA">
      <w:pPr>
        <w:spacing w:after="0" w:line="360" w:lineRule="auto"/>
        <w:rPr>
          <w:rFonts w:cs="Tahoma"/>
        </w:rPr>
      </w:pPr>
    </w:p>
    <w:p w14:paraId="240FF273" w14:textId="77777777" w:rsidR="00F21F1F" w:rsidRDefault="00F21F1F" w:rsidP="006461DA">
      <w:pPr>
        <w:spacing w:after="0" w:line="360" w:lineRule="auto"/>
        <w:rPr>
          <w:rFonts w:cs="Tahoma"/>
        </w:rPr>
      </w:pPr>
      <w:r>
        <w:rPr>
          <w:rFonts w:cs="Tahoma"/>
        </w:rPr>
        <w:t>Ahora respecto a los elementos cualitativos, se identifica que el feminicidio, como ya se refirió es la violencia más extrema que puede ser ejercida, pues es privar de la vida a una mujer por motivos de género entonces, no existe duda que existe una vulneración a los derechos humanos.</w:t>
      </w:r>
    </w:p>
    <w:p w14:paraId="12D4D8F5" w14:textId="77777777" w:rsidR="00F21F1F" w:rsidRDefault="00F21F1F" w:rsidP="006461DA">
      <w:pPr>
        <w:spacing w:after="0" w:line="360" w:lineRule="auto"/>
        <w:rPr>
          <w:rFonts w:cs="Tahoma"/>
        </w:rPr>
      </w:pPr>
    </w:p>
    <w:p w14:paraId="0A93E4CE" w14:textId="77777777" w:rsidR="00F21F1F" w:rsidRDefault="00F21F1F" w:rsidP="006461DA">
      <w:pPr>
        <w:spacing w:after="0" w:line="360" w:lineRule="auto"/>
        <w:rPr>
          <w:rFonts w:cs="Tahoma"/>
        </w:rPr>
      </w:pPr>
      <w:r>
        <w:rPr>
          <w:rFonts w:cs="Tahoma"/>
        </w:rPr>
        <w:t xml:space="preserve">Por lo que refiere a elementos cuantitativos, la propia </w:t>
      </w:r>
      <w:proofErr w:type="gramStart"/>
      <w:r>
        <w:rPr>
          <w:rFonts w:cs="Tahoma"/>
        </w:rPr>
        <w:t>Fiscalía General</w:t>
      </w:r>
      <w:proofErr w:type="gramEnd"/>
      <w:r>
        <w:rPr>
          <w:rFonts w:cs="Tahoma"/>
        </w:rPr>
        <w:t xml:space="preserve"> de Justicia admite que esta persona es responsable al menos de diecinueve homicidios, los cuales ejecutó en los últimos veinte años, por lo que, la afectación poblacional, podría colocarlo como uno de los mayores homicidas en México. </w:t>
      </w:r>
    </w:p>
    <w:p w14:paraId="66BD7658" w14:textId="77777777" w:rsidR="00F21F1F" w:rsidRPr="00044733" w:rsidRDefault="00F21F1F" w:rsidP="006461DA">
      <w:pPr>
        <w:spacing w:after="0" w:line="360" w:lineRule="auto"/>
        <w:rPr>
          <w:rFonts w:cs="Tahoma"/>
        </w:rPr>
      </w:pPr>
    </w:p>
    <w:p w14:paraId="0D720110" w14:textId="77777777" w:rsidR="00F21F1F" w:rsidRDefault="00F21F1F" w:rsidP="006461DA">
      <w:pPr>
        <w:spacing w:after="0" w:line="360" w:lineRule="auto"/>
        <w:rPr>
          <w:rFonts w:cs="Tahoma"/>
        </w:rPr>
      </w:pPr>
      <w:r w:rsidRPr="00044733">
        <w:rPr>
          <w:rFonts w:cs="Tahoma"/>
        </w:rPr>
        <w:t>Es por esta razones que considera necesario que toda la información respecto a este asunto, sea considerado como una exclusión a la reserva en términos del artículo 142 fracción II, de la Ley de Transparencia y Acceso a la Información Pública del Estado de México y Municipios, toda vez que la Fiscalía General de Justicia, cometió una violación grave a los derechos de los ciudadanos al ser omiso en realizar sus funciones por al menos veinte años, pues, Andrés “N”, actuó con impunidad, hasta que por el actuar ciudadano, se identificó a un feminicida, cuyos crímenes ni siquiera habían sido investigados en esa calidad</w:t>
      </w:r>
      <w:r>
        <w:rPr>
          <w:rFonts w:cs="Tahoma"/>
        </w:rPr>
        <w:t>, esto se considera además, por la exigencia de la sociedad de acabar con la opacidad e incentivar al correcto actuar de las instituciones públicas.</w:t>
      </w:r>
    </w:p>
    <w:p w14:paraId="699F7649" w14:textId="77777777" w:rsidR="00F21F1F" w:rsidRDefault="00F21F1F" w:rsidP="006461DA">
      <w:pPr>
        <w:spacing w:after="0" w:line="360" w:lineRule="auto"/>
        <w:rPr>
          <w:rFonts w:cs="Tahoma"/>
        </w:rPr>
      </w:pPr>
    </w:p>
    <w:p w14:paraId="2589C68E" w14:textId="77777777" w:rsidR="00F21F1F" w:rsidRPr="00044733" w:rsidRDefault="00F21F1F" w:rsidP="006461DA">
      <w:pPr>
        <w:spacing w:after="0" w:line="360" w:lineRule="auto"/>
        <w:rPr>
          <w:rFonts w:cs="Tahoma"/>
        </w:rPr>
      </w:pPr>
      <w:r>
        <w:rPr>
          <w:rFonts w:cs="Tahoma"/>
        </w:rPr>
        <w:t>Además, se debe resaltar, que no nos encontramos ante un feminicidio, sino ante la posible existencia de más de 19 feminicidios, cometidos por la misma persona, en la misma comunidad ante la omisión por negligencia o indiferencia de la autoridad.</w:t>
      </w:r>
    </w:p>
    <w:p w14:paraId="31930EFA" w14:textId="77777777" w:rsidR="00F21F1F" w:rsidRDefault="00F21F1F" w:rsidP="006461DA">
      <w:pPr>
        <w:spacing w:after="0" w:line="360" w:lineRule="auto"/>
        <w:ind w:right="616"/>
        <w:rPr>
          <w:b/>
          <w:bCs/>
          <w:i/>
          <w:iCs/>
          <w:sz w:val="20"/>
          <w:szCs w:val="20"/>
        </w:rPr>
      </w:pPr>
    </w:p>
    <w:p w14:paraId="71B25B0B" w14:textId="77777777" w:rsidR="00F21F1F" w:rsidRPr="00616E41" w:rsidRDefault="00F21F1F" w:rsidP="006461DA">
      <w:pPr>
        <w:spacing w:after="0" w:line="360" w:lineRule="auto"/>
        <w:rPr>
          <w:rFonts w:cs="Tahoma"/>
          <w:b/>
          <w:bCs/>
          <w:u w:val="single"/>
        </w:rPr>
      </w:pPr>
      <w:r w:rsidRPr="00616E41">
        <w:rPr>
          <w:rFonts w:cs="Tahoma"/>
        </w:rPr>
        <w:lastRenderedPageBreak/>
        <w:t xml:space="preserve">En este orden de ideas, el feminicidio, debe ser considerado como una violación grave a los derechos humanos, pues si bien no existe participación directa del Estado, </w:t>
      </w:r>
      <w:r w:rsidRPr="00616E41">
        <w:rPr>
          <w:rFonts w:cs="Tahoma"/>
          <w:b/>
          <w:bCs/>
          <w:u w:val="single"/>
        </w:rPr>
        <w:t>se puede afirmar la de que la autoridad es impotente para abordar la problemática, pues la seguridad pública, es una obligación exclusiva del Estado y por ello, de manera indirecta, el incremento del delito de feminicidio se relaciona al actuar del Estado.</w:t>
      </w:r>
    </w:p>
    <w:p w14:paraId="625BA71C" w14:textId="77777777" w:rsidR="00F21F1F" w:rsidRPr="00616E41" w:rsidRDefault="00F21F1F" w:rsidP="006461DA">
      <w:pPr>
        <w:spacing w:after="0" w:line="360" w:lineRule="auto"/>
        <w:rPr>
          <w:rFonts w:cs="Tahoma"/>
          <w:b/>
          <w:bCs/>
          <w:u w:val="single"/>
        </w:rPr>
      </w:pPr>
    </w:p>
    <w:p w14:paraId="7126CF96" w14:textId="77777777" w:rsidR="00F21F1F" w:rsidRPr="00616E41" w:rsidRDefault="00F21F1F" w:rsidP="006461DA">
      <w:pPr>
        <w:spacing w:after="0" w:line="360" w:lineRule="auto"/>
        <w:rPr>
          <w:rFonts w:cs="Tahoma"/>
        </w:rPr>
      </w:pPr>
      <w:r w:rsidRPr="00616E41">
        <w:rPr>
          <w:rFonts w:cs="Tahoma"/>
        </w:rPr>
        <w:t>En este orden de ideas, entonces es dable a este punto afirmar la naturaleza de la información, en su calidad de publica, pues se actualiza un supuesto de excepción, al encontrarnos ante violaciones graves de derechos humanos, para lo que, sirve como refuerzo de argumentos las tesis jurisprudenciales que se citan a continuación:</w:t>
      </w:r>
    </w:p>
    <w:p w14:paraId="78F69557" w14:textId="77777777" w:rsidR="00F21F1F" w:rsidRPr="00616E41" w:rsidRDefault="00F21F1F" w:rsidP="006461DA">
      <w:pPr>
        <w:spacing w:after="0" w:line="360" w:lineRule="auto"/>
        <w:rPr>
          <w:rFonts w:cs="Tahoma"/>
        </w:rPr>
      </w:pPr>
    </w:p>
    <w:p w14:paraId="26CC2185"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Suprema Corte de Justicia de la Nación</w:t>
      </w:r>
    </w:p>
    <w:p w14:paraId="002EA8FD"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Registro digital: 2014071</w:t>
      </w:r>
    </w:p>
    <w:p w14:paraId="191591D5"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Instancia: Segunda Sala</w:t>
      </w:r>
    </w:p>
    <w:p w14:paraId="6B885A64"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Décima Época</w:t>
      </w:r>
    </w:p>
    <w:p w14:paraId="69009782"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Materias(s): Constitucional, Administrativa</w:t>
      </w:r>
    </w:p>
    <w:p w14:paraId="56C138E8"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Tesis: 2a. LV/2017 (10a.)</w:t>
      </w:r>
    </w:p>
    <w:p w14:paraId="4DB0FE96"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 xml:space="preserve">Fuente: Gaceta del Semanario Judicial de la Federación. Libro 41, </w:t>
      </w:r>
      <w:proofErr w:type="gramStart"/>
      <w:r w:rsidRPr="00616E41">
        <w:rPr>
          <w:b/>
          <w:bCs/>
          <w:i/>
          <w:iCs/>
          <w:sz w:val="20"/>
          <w:szCs w:val="20"/>
        </w:rPr>
        <w:t>Abril</w:t>
      </w:r>
      <w:proofErr w:type="gramEnd"/>
      <w:r w:rsidRPr="00616E41">
        <w:rPr>
          <w:b/>
          <w:bCs/>
          <w:i/>
          <w:iCs/>
          <w:sz w:val="20"/>
          <w:szCs w:val="20"/>
        </w:rPr>
        <w:t xml:space="preserve"> de 2017, Tomo I, página 1071</w:t>
      </w:r>
    </w:p>
    <w:p w14:paraId="1A23A653"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Tipo: Aislada</w:t>
      </w:r>
    </w:p>
    <w:p w14:paraId="64B06BDB"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VIOLACIONES GRAVES DE DERECHOS FUNDAMENTALES Y DELITOS CONTRA LA HUMANIDAD. LAS INVESTIGACIONES RELATIVAS NO PUEDEN CLASIFICARSE COMO CONFIDENCIALES CONFORME A LA LEY FEDERAL DE TRANSPARENCIA Y ACCESO A LA INFORMACIÓN PÚBLICA GUBERNAMENTAL, VIGENTE HASTA EL 9 DE MAYO DE 2016.</w:t>
      </w:r>
    </w:p>
    <w:p w14:paraId="5F26A91E" w14:textId="77777777" w:rsidR="00F21F1F" w:rsidRPr="00616E41" w:rsidRDefault="00F21F1F" w:rsidP="006461DA">
      <w:pPr>
        <w:spacing w:after="0" w:line="360" w:lineRule="auto"/>
        <w:ind w:left="567" w:right="616"/>
        <w:rPr>
          <w:i/>
          <w:iCs/>
          <w:sz w:val="20"/>
          <w:szCs w:val="20"/>
        </w:rPr>
      </w:pPr>
      <w:r w:rsidRPr="00616E41">
        <w:rPr>
          <w:i/>
          <w:iCs/>
          <w:sz w:val="20"/>
          <w:szCs w:val="20"/>
        </w:rPr>
        <w:t xml:space="preserve">Conforme al artículo 14, párrafo último, del ordenamiento citado, no puede invocarse el carácter de información reservada cuando se trate de la investigación de violaciones graves de derechos fundamentales o delitos contra la humanidad. En ese sentido, si bien las averiguaciones previas se </w:t>
      </w:r>
      <w:r w:rsidRPr="00616E41">
        <w:rPr>
          <w:i/>
          <w:iCs/>
          <w:sz w:val="20"/>
          <w:szCs w:val="20"/>
        </w:rPr>
        <w:lastRenderedPageBreak/>
        <w:t>mantienen reservadas en atención a que la difusión de la información que contienen podría afectar gravemente la persecución de delitos y la privacidad de las víctimas, y con ello, al sistema de impartición de justicia, lo cierto es que la ley mencionada previó como excepción los casos en los cuales el delito perseguido es de tal gravedad que el interés público en mantener la averiguación previa en reserva se ve superado por el interés de la sociedad de conocer las diligencias llevadas a cabo para la oportuna investigación, detención, juicio y sanción de los responsables. Máxime que estos supuestos no sólo afectan a las víctimas u ofendidos en forma directa por los hechos antijurídicos, sino que ofenden a toda la sociedad, precisamente por su gravedad y por las repercusiones que implican; de ahí que la publicidad de esa información se presenta como una parte integrante del derecho a la verdad, el cual no sólo se vincula con los familiares de las víctimas, sino con toda persona, ya que aquéllos y la sociedad deben ser informados de lo sucedido.</w:t>
      </w:r>
    </w:p>
    <w:p w14:paraId="6932C7B3" w14:textId="77777777" w:rsidR="00F21F1F" w:rsidRPr="00616E41" w:rsidRDefault="00F21F1F" w:rsidP="006461DA">
      <w:pPr>
        <w:spacing w:after="0" w:line="360" w:lineRule="auto"/>
        <w:ind w:left="567" w:right="616"/>
        <w:rPr>
          <w:i/>
          <w:iCs/>
          <w:sz w:val="20"/>
          <w:szCs w:val="20"/>
        </w:rPr>
      </w:pPr>
    </w:p>
    <w:p w14:paraId="5C241C21"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Suprema Corte de Justicia de la Nación</w:t>
      </w:r>
    </w:p>
    <w:p w14:paraId="705812B9"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Registro digital: 2014070</w:t>
      </w:r>
    </w:p>
    <w:p w14:paraId="7DD34342"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Instancia: Segunda Sala</w:t>
      </w:r>
    </w:p>
    <w:p w14:paraId="2CC82527"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Décima Época</w:t>
      </w:r>
    </w:p>
    <w:p w14:paraId="15460B7C"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Materias(s): Constitucional, Administrativa</w:t>
      </w:r>
    </w:p>
    <w:p w14:paraId="3B333E02"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Tesis: 2a. LIII/2017 (10a.)</w:t>
      </w:r>
    </w:p>
    <w:p w14:paraId="37DEA1C7"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 xml:space="preserve">Fuente: Gaceta del Semanario Judicial de la Federación. Libro 41, </w:t>
      </w:r>
      <w:proofErr w:type="gramStart"/>
      <w:r w:rsidRPr="00616E41">
        <w:rPr>
          <w:b/>
          <w:bCs/>
          <w:i/>
          <w:iCs/>
          <w:sz w:val="20"/>
          <w:szCs w:val="20"/>
        </w:rPr>
        <w:t>Abril</w:t>
      </w:r>
      <w:proofErr w:type="gramEnd"/>
      <w:r w:rsidRPr="00616E41">
        <w:rPr>
          <w:b/>
          <w:bCs/>
          <w:i/>
          <w:iCs/>
          <w:sz w:val="20"/>
          <w:szCs w:val="20"/>
        </w:rPr>
        <w:t xml:space="preserve"> de 2017, Tomo I, página 1070</w:t>
      </w:r>
    </w:p>
    <w:p w14:paraId="72F11AF8"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Tipo: Aislada</w:t>
      </w:r>
    </w:p>
    <w:p w14:paraId="26A48778" w14:textId="77777777" w:rsidR="00F21F1F" w:rsidRPr="00616E41" w:rsidRDefault="00F21F1F" w:rsidP="006461DA">
      <w:pPr>
        <w:spacing w:after="0" w:line="360" w:lineRule="auto"/>
        <w:ind w:left="567" w:right="616"/>
        <w:rPr>
          <w:b/>
          <w:bCs/>
          <w:i/>
          <w:iCs/>
          <w:sz w:val="20"/>
          <w:szCs w:val="20"/>
        </w:rPr>
      </w:pPr>
      <w:r w:rsidRPr="00616E41">
        <w:rPr>
          <w:b/>
          <w:bCs/>
          <w:i/>
          <w:iCs/>
          <w:sz w:val="20"/>
          <w:szCs w:val="20"/>
        </w:rPr>
        <w:t>VIOLACIONES GRAVES DE DERECHOS FUNDAMENTALES. POR REGLA GENERAL EL PRINCIPIO DE MÁXIMA PUBLICIDAD DE LAS INVESTIGACIONES RELACIONADAS CON AQUÉLLAS, ABARCA EL NOMBRE DE LAS VÍCTIMAS.</w:t>
      </w:r>
    </w:p>
    <w:p w14:paraId="10EDC550" w14:textId="77777777" w:rsidR="00F21F1F" w:rsidRPr="00616E41" w:rsidRDefault="00F21F1F" w:rsidP="006461DA">
      <w:pPr>
        <w:spacing w:after="0" w:line="360" w:lineRule="auto"/>
        <w:ind w:left="567" w:right="616"/>
        <w:rPr>
          <w:i/>
          <w:iCs/>
          <w:sz w:val="20"/>
          <w:szCs w:val="20"/>
        </w:rPr>
      </w:pPr>
      <w:r w:rsidRPr="00616E41">
        <w:rPr>
          <w:i/>
          <w:iCs/>
          <w:sz w:val="20"/>
          <w:szCs w:val="20"/>
        </w:rPr>
        <w:t xml:space="preserve">Del artículo 14, párrafo último, de la Ley Federal de Transparencia y Acceso a la Información Pública Gubernamental, vigente hasta el 9 de mayo de 2016, se advierte que, por regla general, no podrá invocarse el carácter de información reservada cuando se trate de la investigación de violaciones graves de derechos fundamentales o delitos contra la humanidad, sin hacer distinciones o excepciones respecto al nombre de las víctimas, sino que presenta una directriz clara e indubitable del acceso a la </w:t>
      </w:r>
      <w:r w:rsidRPr="00616E41">
        <w:rPr>
          <w:i/>
          <w:iCs/>
          <w:sz w:val="20"/>
          <w:szCs w:val="20"/>
        </w:rPr>
        <w:lastRenderedPageBreak/>
        <w:t>publicidad de esa información, ante la entidad de las violaciones o delitos implicados que generan un interés de la sociedad para conocer la conducta estatal respecto a la debida investigación de tales actos, protegiendo en cualquier caso el honor de las víctimas. En ese sentido, la función social derivada de la publicidad de los nombres de las víctimas en esos casos radica en despertar la conciencia, tanto de la autoridad como de las personas en general, sobre la necesidad de evitar la repetición de hechos lesivos como los ocurridos en esos casos y conservar viva la memoria de la víctima; así, trasladar una mera cifra estadística o número de expediente por un "nombre o rostro" implica adquirir verdadera conciencia del problema en cuestión y dignifica al ser humano, dando un lugar decoroso a la memoria de quienes fueron lesionados por conductas especialmente gravosas y permite que la sociedad interpele ante el Estado para conocer la verdad de los hechos acontecidos, y vigile que las autoridades cumplan su deber de investigar, juzgar y, en su caso, sancionar y reparar las violaciones graves de derechos fundamentales.</w:t>
      </w:r>
    </w:p>
    <w:p w14:paraId="09245649" w14:textId="520EE657" w:rsidR="00117ACE" w:rsidRPr="008F04AB" w:rsidRDefault="00117ACE" w:rsidP="006461DA">
      <w:pPr>
        <w:spacing w:after="0" w:line="360" w:lineRule="auto"/>
        <w:rPr>
          <w:rFonts w:cs="Tahoma"/>
        </w:rPr>
      </w:pPr>
    </w:p>
    <w:p w14:paraId="28DA4D6E" w14:textId="2243D393" w:rsidR="003D76E9" w:rsidRPr="008F04AB" w:rsidRDefault="005D1632" w:rsidP="006461DA">
      <w:pPr>
        <w:spacing w:after="0" w:line="360" w:lineRule="auto"/>
        <w:ind w:right="-93"/>
        <w:rPr>
          <w:rFonts w:eastAsia="Calibri" w:cs="Tahoma"/>
          <w:b/>
          <w:lang w:eastAsia="es-ES_tradnl"/>
        </w:rPr>
      </w:pPr>
      <w:r w:rsidRPr="008F04AB">
        <w:rPr>
          <w:rFonts w:cs="Tahoma"/>
          <w:b/>
          <w:lang w:val="es-ES"/>
        </w:rPr>
        <w:t xml:space="preserve">SEXTO. </w:t>
      </w:r>
      <w:r w:rsidR="003D76E9" w:rsidRPr="008F04AB">
        <w:rPr>
          <w:rFonts w:eastAsia="Calibri" w:cs="Tahoma"/>
          <w:b/>
          <w:lang w:eastAsia="es-ES_tradnl"/>
        </w:rPr>
        <w:t>Versión Pública</w:t>
      </w:r>
    </w:p>
    <w:p w14:paraId="59D93B8B" w14:textId="77777777" w:rsidR="003D76E9" w:rsidRPr="008F04AB" w:rsidRDefault="003D76E9" w:rsidP="006461DA">
      <w:pPr>
        <w:spacing w:after="0" w:line="360" w:lineRule="auto"/>
        <w:rPr>
          <w:b/>
          <w:caps/>
          <w:noProof/>
          <w:lang w:eastAsia="es-MX"/>
        </w:rPr>
      </w:pPr>
    </w:p>
    <w:p w14:paraId="7DCE2161" w14:textId="29CF0500" w:rsidR="003D76E9" w:rsidRPr="008F04AB" w:rsidRDefault="003D76E9" w:rsidP="006461DA">
      <w:pPr>
        <w:autoSpaceDE w:val="0"/>
        <w:autoSpaceDN w:val="0"/>
        <w:adjustRightInd w:val="0"/>
        <w:spacing w:after="0" w:line="360" w:lineRule="auto"/>
        <w:rPr>
          <w:rFonts w:cs="Tahoma"/>
          <w:bCs/>
        </w:rPr>
      </w:pPr>
      <w:r w:rsidRPr="008F04AB">
        <w:rPr>
          <w:rFonts w:cs="Tahoma"/>
          <w:bCs/>
          <w:iCs/>
          <w:lang w:val="es-ES"/>
        </w:rPr>
        <w:t xml:space="preserve">Como ya se hizo la referencia, entre los documentos solicitados por el Particular se advierte la existencia de datos personales susceptibles de clasificación como confidencial, además de que se advirtió la existencia de información reservada, por lo que, el Sujeto Obligado deberá elaborar las versiones públicas respectivas, </w:t>
      </w:r>
      <w:r w:rsidRPr="008F04AB">
        <w:rPr>
          <w:rFonts w:cs="Tahoma"/>
          <w:bCs/>
        </w:rPr>
        <w:t>de conformidad con los artículos 49, fracciones II y VIII, 143, fracción I y 149 de la Ley de Transparencia y Acceso a la Información Pública del Estado de México y Municipios.</w:t>
      </w:r>
    </w:p>
    <w:p w14:paraId="67E376EE" w14:textId="77777777" w:rsidR="003D76E9" w:rsidRPr="008F04AB" w:rsidRDefault="003D76E9" w:rsidP="006461DA">
      <w:pPr>
        <w:spacing w:after="0" w:line="360" w:lineRule="auto"/>
        <w:contextualSpacing/>
        <w:rPr>
          <w:rFonts w:cs="Tahoma"/>
          <w:bCs/>
          <w:iCs/>
        </w:rPr>
      </w:pPr>
    </w:p>
    <w:p w14:paraId="1C56697F" w14:textId="77777777" w:rsidR="003D76E9" w:rsidRPr="008F04AB" w:rsidRDefault="003D76E9" w:rsidP="006461DA">
      <w:pPr>
        <w:spacing w:after="0" w:line="360" w:lineRule="auto"/>
        <w:contextualSpacing/>
        <w:rPr>
          <w:rFonts w:cs="Tahoma"/>
          <w:bCs/>
          <w:iCs/>
        </w:rPr>
      </w:pPr>
      <w:r w:rsidRPr="008F04AB">
        <w:rPr>
          <w:rFonts w:cs="Tahoma"/>
          <w:bCs/>
          <w:iCs/>
        </w:rPr>
        <w:t>Al respecto de la versión pública, se precisa que la Ley General de Transparencia y Acceso a la Información Pública, en su artículo 116, dispone que se considera información confidencial la que contenga datos personales concernientes a una persona física identificada o identificable.</w:t>
      </w:r>
    </w:p>
    <w:p w14:paraId="3A19E93B" w14:textId="77777777" w:rsidR="003D76E9" w:rsidRPr="008F04AB" w:rsidRDefault="003D76E9" w:rsidP="006461DA">
      <w:pPr>
        <w:spacing w:after="0" w:line="360" w:lineRule="auto"/>
        <w:contextualSpacing/>
        <w:rPr>
          <w:rFonts w:cs="Tahoma"/>
          <w:bCs/>
          <w:iCs/>
        </w:rPr>
      </w:pPr>
    </w:p>
    <w:p w14:paraId="0F1549D6" w14:textId="77777777" w:rsidR="003D76E9" w:rsidRPr="008F04AB" w:rsidRDefault="003D76E9" w:rsidP="006461DA">
      <w:pPr>
        <w:spacing w:after="0" w:line="360" w:lineRule="auto"/>
        <w:contextualSpacing/>
        <w:rPr>
          <w:rFonts w:cs="Tahoma"/>
          <w:bCs/>
          <w:iCs/>
        </w:rPr>
      </w:pPr>
      <w:r w:rsidRPr="008F04AB">
        <w:rPr>
          <w:rFonts w:cs="Tahoma"/>
          <w:bCs/>
          <w:iCs/>
        </w:rPr>
        <w:t xml:space="preserve">De la misma manera, el artículo 5°, fracciones I y II de la Constitución Política del Estado Libre y Soberano de México, prevé que toda la información en posesión de los Sujetos Obligados será </w:t>
      </w:r>
      <w:r w:rsidRPr="008F04AB">
        <w:rPr>
          <w:rFonts w:cs="Tahoma"/>
          <w:bCs/>
          <w:iCs/>
        </w:rPr>
        <w:lastRenderedPageBreak/>
        <w:t>pública; no obstante, aquella referente a la intimidad de la vida privada y la imagen de las personas, será protegida a través de un marco jurídico rígido, de tratamiento y manejo de datos personales.</w:t>
      </w:r>
    </w:p>
    <w:p w14:paraId="3EBE6292" w14:textId="77777777" w:rsidR="003D76E9" w:rsidRPr="008F04AB" w:rsidRDefault="003D76E9" w:rsidP="006461DA">
      <w:pPr>
        <w:spacing w:after="0" w:line="360" w:lineRule="auto"/>
        <w:contextualSpacing/>
        <w:rPr>
          <w:rFonts w:cs="Tahoma"/>
          <w:bCs/>
          <w:iCs/>
        </w:rPr>
      </w:pPr>
    </w:p>
    <w:p w14:paraId="28D84DFD" w14:textId="77777777" w:rsidR="003D76E9" w:rsidRPr="008F04AB" w:rsidRDefault="003D76E9" w:rsidP="006461DA">
      <w:pPr>
        <w:spacing w:after="0" w:line="360" w:lineRule="auto"/>
        <w:contextualSpacing/>
        <w:rPr>
          <w:rFonts w:cs="Tahoma"/>
          <w:bCs/>
          <w:iCs/>
        </w:rPr>
      </w:pPr>
      <w:r w:rsidRPr="008F04AB">
        <w:rPr>
          <w:rFonts w:cs="Tahoma"/>
          <w:bCs/>
          <w:iCs/>
        </w:rPr>
        <w:t>Por su parte, el artículo 24, fracción VI, de la Ley de Transparencia y Acceso a la Información Pública del Estado de México y Municipios, precisa que los Sujetos Obligados serán los responsables de proteger y resguardar la información clasificada como reservada o confidencial.</w:t>
      </w:r>
    </w:p>
    <w:p w14:paraId="0D349950" w14:textId="77777777" w:rsidR="003D76E9" w:rsidRPr="008F04AB" w:rsidRDefault="003D76E9" w:rsidP="006461DA">
      <w:pPr>
        <w:spacing w:after="0" w:line="360" w:lineRule="auto"/>
        <w:contextualSpacing/>
        <w:rPr>
          <w:rFonts w:cs="Tahoma"/>
          <w:bCs/>
          <w:iCs/>
        </w:rPr>
      </w:pPr>
    </w:p>
    <w:p w14:paraId="35EA4098" w14:textId="77777777" w:rsidR="003D76E9" w:rsidRPr="008F04AB" w:rsidRDefault="003D76E9" w:rsidP="006461DA">
      <w:pPr>
        <w:spacing w:after="0" w:line="360" w:lineRule="auto"/>
        <w:contextualSpacing/>
        <w:rPr>
          <w:rFonts w:cs="Tahoma"/>
          <w:bCs/>
          <w:iCs/>
        </w:rPr>
      </w:pPr>
      <w:r w:rsidRPr="008F04AB">
        <w:rPr>
          <w:rFonts w:cs="Tahoma"/>
          <w:bCs/>
          <w:iCs/>
        </w:rPr>
        <w:t>En concordancia con lo previo, el artículo 143, fracción I, de la Ley previamente citada, establece que la información privada y los datos personales, concernientes a una persona física o jurídica colectiva identificada o identificable son confidenciales.</w:t>
      </w:r>
    </w:p>
    <w:p w14:paraId="76BCD956" w14:textId="77777777" w:rsidR="003D76E9" w:rsidRPr="008F04AB" w:rsidRDefault="003D76E9" w:rsidP="006461DA">
      <w:pPr>
        <w:spacing w:after="0" w:line="360" w:lineRule="auto"/>
        <w:contextualSpacing/>
        <w:rPr>
          <w:rFonts w:cs="Tahoma"/>
          <w:bCs/>
          <w:iCs/>
        </w:rPr>
      </w:pPr>
    </w:p>
    <w:p w14:paraId="45EABB71" w14:textId="77777777" w:rsidR="003D76E9" w:rsidRPr="008F04AB" w:rsidRDefault="003D76E9" w:rsidP="006461DA">
      <w:pPr>
        <w:spacing w:after="0" w:line="360" w:lineRule="auto"/>
        <w:contextualSpacing/>
        <w:rPr>
          <w:rFonts w:cs="Tahoma"/>
          <w:bCs/>
          <w:iCs/>
        </w:rPr>
      </w:pPr>
      <w:r w:rsidRPr="008F04AB">
        <w:rPr>
          <w:rFonts w:cs="Tahoma"/>
          <w:bCs/>
          <w:iCs/>
        </w:rPr>
        <w:t xml:space="preserve">Asimismo, en el artículo 148 de la Ley de Transparencia y Acceso a la Información Pública del Estado de México y Municipios, prevé que para que los Sujetos Obligados puedan permitir el acceso a la información confidencial, requieren obtener el consentimiento de los particulares titulares de la información, excepto cuando i) la información se encuentre en registros públicos o fuentes de acceso público, </w:t>
      </w:r>
      <w:proofErr w:type="spellStart"/>
      <w:r w:rsidRPr="008F04AB">
        <w:rPr>
          <w:rFonts w:cs="Tahoma"/>
          <w:bCs/>
          <w:iCs/>
        </w:rPr>
        <w:t>ii</w:t>
      </w:r>
      <w:proofErr w:type="spellEnd"/>
      <w:r w:rsidRPr="008F04AB">
        <w:rPr>
          <w:rFonts w:cs="Tahoma"/>
          <w:bCs/>
          <w:iCs/>
        </w:rPr>
        <w:t xml:space="preserve">) por ley tenga el carácter de pública, </w:t>
      </w:r>
      <w:proofErr w:type="spellStart"/>
      <w:r w:rsidRPr="008F04AB">
        <w:rPr>
          <w:rFonts w:cs="Tahoma"/>
          <w:bCs/>
          <w:iCs/>
        </w:rPr>
        <w:t>iii</w:t>
      </w:r>
      <w:proofErr w:type="spellEnd"/>
      <w:r w:rsidRPr="008F04AB">
        <w:rPr>
          <w:rFonts w:cs="Tahoma"/>
          <w:bCs/>
          <w:iCs/>
        </w:rPr>
        <w:t xml:space="preserve">) exista una orden judicial, </w:t>
      </w:r>
      <w:proofErr w:type="spellStart"/>
      <w:r w:rsidRPr="008F04AB">
        <w:rPr>
          <w:rFonts w:cs="Tahoma"/>
          <w:bCs/>
          <w:iCs/>
        </w:rPr>
        <w:t>iv</w:t>
      </w:r>
      <w:proofErr w:type="spellEnd"/>
      <w:r w:rsidRPr="008F04AB">
        <w:rPr>
          <w:rFonts w:cs="Tahoma"/>
          <w:bCs/>
          <w:iCs/>
        </w:rPr>
        <w:t>) por razones de seguridad nacional y salubridad general o v) para proteger los derechos de terceros o cuando se transmita entre sujetos obligados en términos de los tratados y los acuerdos interinstitucionales.</w:t>
      </w:r>
    </w:p>
    <w:p w14:paraId="5925B9FD" w14:textId="77777777" w:rsidR="003D76E9" w:rsidRPr="008F04AB" w:rsidRDefault="003D76E9" w:rsidP="006461DA">
      <w:pPr>
        <w:spacing w:after="0" w:line="360" w:lineRule="auto"/>
        <w:contextualSpacing/>
        <w:rPr>
          <w:rFonts w:cs="Tahoma"/>
          <w:bCs/>
          <w:iCs/>
        </w:rPr>
      </w:pPr>
    </w:p>
    <w:p w14:paraId="175CF3E2" w14:textId="77777777" w:rsidR="003D76E9" w:rsidRPr="008F04AB" w:rsidRDefault="003D76E9" w:rsidP="006461DA">
      <w:pPr>
        <w:spacing w:after="0" w:line="360" w:lineRule="auto"/>
        <w:contextualSpacing/>
        <w:rPr>
          <w:rFonts w:cs="Tahoma"/>
          <w:bCs/>
          <w:iCs/>
        </w:rPr>
      </w:pPr>
      <w:r w:rsidRPr="008F04AB">
        <w:rPr>
          <w:rFonts w:cs="Tahoma"/>
          <w:bCs/>
          <w:iCs/>
        </w:rPr>
        <w:t>En términos de lo expuesto, la documentación y aquellos datos que se consideren confidenciales, serán una limitante del derecho de acceso a la información, siempre y cuando:</w:t>
      </w:r>
    </w:p>
    <w:p w14:paraId="6404D7D3" w14:textId="77777777" w:rsidR="003D76E9" w:rsidRPr="008F04AB" w:rsidRDefault="003D76E9" w:rsidP="006461DA">
      <w:pPr>
        <w:spacing w:after="0" w:line="360" w:lineRule="auto"/>
        <w:contextualSpacing/>
        <w:rPr>
          <w:rFonts w:cs="Tahoma"/>
          <w:bCs/>
          <w:iCs/>
        </w:rPr>
      </w:pPr>
    </w:p>
    <w:p w14:paraId="28D8B8BC" w14:textId="77777777" w:rsidR="003D76E9" w:rsidRPr="008F04AB" w:rsidRDefault="003D76E9" w:rsidP="006461DA">
      <w:pPr>
        <w:numPr>
          <w:ilvl w:val="0"/>
          <w:numId w:val="3"/>
        </w:numPr>
        <w:spacing w:after="0" w:line="360" w:lineRule="auto"/>
        <w:contextualSpacing/>
        <w:rPr>
          <w:rFonts w:cs="Tahoma"/>
          <w:bCs/>
          <w:iCs/>
        </w:rPr>
      </w:pPr>
      <w:r w:rsidRPr="008F04AB">
        <w:rPr>
          <w:rFonts w:cs="Tahoma"/>
          <w:bCs/>
          <w:iCs/>
        </w:rPr>
        <w:t xml:space="preserve">Se trate de datos personales o información privada; esto es, información concerniente a una persona física o jurídico colectiva y que ésta sea identificada o identificable. </w:t>
      </w:r>
    </w:p>
    <w:p w14:paraId="1D33BA2C" w14:textId="77777777" w:rsidR="003D76E9" w:rsidRPr="008F04AB" w:rsidRDefault="003D76E9" w:rsidP="006461DA">
      <w:pPr>
        <w:numPr>
          <w:ilvl w:val="0"/>
          <w:numId w:val="3"/>
        </w:numPr>
        <w:spacing w:after="0" w:line="360" w:lineRule="auto"/>
        <w:contextualSpacing/>
        <w:rPr>
          <w:rFonts w:cs="Tahoma"/>
          <w:bCs/>
          <w:iCs/>
        </w:rPr>
      </w:pPr>
      <w:r w:rsidRPr="008F04AB">
        <w:rPr>
          <w:rFonts w:cs="Tahoma"/>
          <w:bCs/>
          <w:iCs/>
        </w:rPr>
        <w:lastRenderedPageBreak/>
        <w:t xml:space="preserve">Para la difusión de los datos, se requiera el consentimiento del titular. </w:t>
      </w:r>
    </w:p>
    <w:p w14:paraId="6479F476" w14:textId="77777777" w:rsidR="003D76E9" w:rsidRPr="008F04AB" w:rsidRDefault="003D76E9" w:rsidP="006461DA">
      <w:pPr>
        <w:spacing w:after="0" w:line="360" w:lineRule="auto"/>
        <w:contextualSpacing/>
        <w:rPr>
          <w:rFonts w:cs="Tahoma"/>
          <w:bCs/>
          <w:iCs/>
        </w:rPr>
      </w:pPr>
    </w:p>
    <w:p w14:paraId="35A441D6" w14:textId="77777777" w:rsidR="003D76E9" w:rsidRPr="008F04AB" w:rsidRDefault="003D76E9" w:rsidP="006461DA">
      <w:pPr>
        <w:spacing w:after="0" w:line="360" w:lineRule="auto"/>
        <w:contextualSpacing/>
        <w:rPr>
          <w:rFonts w:cs="Tahoma"/>
          <w:bCs/>
          <w:iCs/>
        </w:rPr>
      </w:pPr>
      <w:r w:rsidRPr="008F04AB">
        <w:rPr>
          <w:rFonts w:cs="Tahoma"/>
          <w:bCs/>
          <w:iCs/>
        </w:rPr>
        <w:t xml:space="preserve">En ese orden de ideas, de conformidad con el artículo 3°, fracción IX, de la Ley de Transparencia y Acceso a la Información Pública del Estado de México y Municipios, con relación el diverso 4°, fracciones XI y XII, de la Ley de Protección de Datos Personales en Posesión de Sujetos Obligados del Estado de México y Municipios, se advierte que son datos personales, la información concerniente a una persona física identificada o identificable (cuando su identidad pueda determinarse directa o indirectamente a través de cualquier documento informativo físico o electrónico), establecida en cualquier formato o modalidad. </w:t>
      </w:r>
    </w:p>
    <w:p w14:paraId="797E88F4" w14:textId="77777777" w:rsidR="003D76E9" w:rsidRPr="008F04AB" w:rsidRDefault="003D76E9" w:rsidP="006461DA">
      <w:pPr>
        <w:spacing w:after="0" w:line="360" w:lineRule="auto"/>
        <w:contextualSpacing/>
        <w:rPr>
          <w:rFonts w:cs="Tahoma"/>
          <w:bCs/>
          <w:iCs/>
        </w:rPr>
      </w:pPr>
    </w:p>
    <w:p w14:paraId="0658ED28" w14:textId="77777777" w:rsidR="003D76E9" w:rsidRPr="008F04AB" w:rsidRDefault="003D76E9" w:rsidP="006461DA">
      <w:pPr>
        <w:spacing w:after="0" w:line="360" w:lineRule="auto"/>
        <w:contextualSpacing/>
        <w:rPr>
          <w:rFonts w:cs="Tahoma"/>
          <w:bCs/>
          <w:iCs/>
        </w:rPr>
      </w:pPr>
      <w:r w:rsidRPr="008F04AB">
        <w:rPr>
          <w:rFonts w:cs="Tahoma"/>
          <w:bCs/>
          <w:iCs/>
        </w:rPr>
        <w:t>Además, en el artículo 5° de dicho ordenamiento jurídico, establece que es la Ley aplicable para todo tratamiento de datos personales.</w:t>
      </w:r>
    </w:p>
    <w:p w14:paraId="1C8EDC65" w14:textId="77777777" w:rsidR="003D76E9" w:rsidRPr="008F04AB" w:rsidRDefault="003D76E9" w:rsidP="006461DA">
      <w:pPr>
        <w:spacing w:after="0" w:line="360" w:lineRule="auto"/>
        <w:contextualSpacing/>
        <w:rPr>
          <w:rFonts w:cs="Tahoma"/>
          <w:bCs/>
          <w:iCs/>
        </w:rPr>
      </w:pPr>
    </w:p>
    <w:p w14:paraId="2FA9BF65" w14:textId="77777777" w:rsidR="003D76E9" w:rsidRPr="008F04AB" w:rsidRDefault="003D76E9" w:rsidP="006461DA">
      <w:pPr>
        <w:spacing w:after="0" w:line="360" w:lineRule="auto"/>
        <w:contextualSpacing/>
        <w:rPr>
          <w:rFonts w:cs="Tahoma"/>
          <w:bCs/>
          <w:iCs/>
        </w:rPr>
      </w:pPr>
      <w:r w:rsidRPr="008F04AB">
        <w:rPr>
          <w:rFonts w:cs="Tahoma"/>
          <w:bCs/>
          <w:iCs/>
        </w:rPr>
        <w:t>En ese orden de ideas, los artículos 6°, 7°, 8° y 14 de la Ley de Protección de Datos Personales en Posesión de Sujetos Obligados del Estado de México y Municipios, disponen que los responsables del tratamiento de datos personales, deben observar los principios de licitud, consentimiento, información, calidad, lealtad, finalidad, proporcionalidad y responsabilidad; además, que dicho tratamiento deberá obedecer exclusivamente a sus atribuciones legales y con el consentimiento de su titular, además de que debe estar justificado en ley (principio de finalidad).</w:t>
      </w:r>
    </w:p>
    <w:p w14:paraId="1E206215" w14:textId="77777777" w:rsidR="003D76E9" w:rsidRPr="008F04AB" w:rsidRDefault="003D76E9" w:rsidP="006461DA">
      <w:pPr>
        <w:spacing w:after="0" w:line="360" w:lineRule="auto"/>
        <w:contextualSpacing/>
        <w:rPr>
          <w:rFonts w:cs="Tahoma"/>
          <w:bCs/>
          <w:iCs/>
        </w:rPr>
      </w:pPr>
    </w:p>
    <w:p w14:paraId="5B5F71AE" w14:textId="77777777" w:rsidR="003D76E9" w:rsidRPr="008F04AB" w:rsidRDefault="003D76E9" w:rsidP="006461DA">
      <w:pPr>
        <w:spacing w:after="0" w:line="360" w:lineRule="auto"/>
        <w:contextualSpacing/>
        <w:rPr>
          <w:rFonts w:cs="Tahoma"/>
          <w:bCs/>
          <w:iCs/>
        </w:rPr>
      </w:pPr>
      <w:r w:rsidRPr="008F04AB">
        <w:rPr>
          <w:rFonts w:cs="Tahoma"/>
          <w:bCs/>
          <w:iCs/>
        </w:rPr>
        <w:t>Por tales situaciones, un dato personal es cualquier información que pueda hacer a una persona física identificada e identificable, como su nombre o imagen. Asimismo, la doctrina desarrollada a nivel internacional, respecto del tema de datos personales, establece que también las preferencias, gustos, cualidades, opiniones y creencias, constituyen datos personales. En este sentido, cualquier información que por sí sola o relacionada con otra permita hacer identificable a una persona, es un dato personal, susceptible de ser clasificado.</w:t>
      </w:r>
    </w:p>
    <w:p w14:paraId="779906EF" w14:textId="77777777" w:rsidR="003D76E9" w:rsidRPr="008F04AB" w:rsidRDefault="003D76E9" w:rsidP="006461DA">
      <w:pPr>
        <w:spacing w:after="0" w:line="360" w:lineRule="auto"/>
        <w:contextualSpacing/>
        <w:rPr>
          <w:rFonts w:cs="Tahoma"/>
          <w:bCs/>
          <w:iCs/>
        </w:rPr>
      </w:pPr>
    </w:p>
    <w:p w14:paraId="44AC0027" w14:textId="77777777" w:rsidR="003D76E9" w:rsidRPr="008F04AB" w:rsidRDefault="003D76E9" w:rsidP="006461DA">
      <w:pPr>
        <w:spacing w:after="0" w:line="360" w:lineRule="auto"/>
        <w:contextualSpacing/>
        <w:rPr>
          <w:rFonts w:cs="Tahoma"/>
          <w:bCs/>
          <w:iCs/>
        </w:rPr>
      </w:pPr>
      <w:r w:rsidRPr="008F04AB">
        <w:rPr>
          <w:rFonts w:cs="Tahoma"/>
          <w:bCs/>
          <w:iCs/>
        </w:rPr>
        <w:t>En este contexto, la confidencialidad de los datos personales tiene por objetivo establecer el límite del derecho de acceso a la información a partir del derecho a la intimidad y la vida privada de los individuos. Sobre el particular, el legislador realizó un análisis en donde se ponderaban dos derechos: el derecho a la intimidad y la protección de los datos personales versus el interés público de conocer el ejercicio de atribuciones y de recursos públicos de las instituciones y es a partir de ahí, en donde las instituciones públicas deben determinar la publicidad de su información.</w:t>
      </w:r>
    </w:p>
    <w:p w14:paraId="158E9F6D" w14:textId="77777777" w:rsidR="003D76E9" w:rsidRPr="008F04AB" w:rsidRDefault="003D76E9" w:rsidP="006461DA">
      <w:pPr>
        <w:spacing w:after="0" w:line="360" w:lineRule="auto"/>
        <w:contextualSpacing/>
        <w:rPr>
          <w:rFonts w:cs="Tahoma"/>
          <w:bCs/>
          <w:iCs/>
        </w:rPr>
      </w:pPr>
    </w:p>
    <w:p w14:paraId="1B86E879" w14:textId="77777777" w:rsidR="003D76E9" w:rsidRPr="008F04AB" w:rsidRDefault="003D76E9" w:rsidP="006461DA">
      <w:pPr>
        <w:spacing w:after="0" w:line="360" w:lineRule="auto"/>
        <w:contextualSpacing/>
        <w:rPr>
          <w:rFonts w:cs="Tahoma"/>
          <w:bCs/>
          <w:iCs/>
        </w:rPr>
      </w:pPr>
      <w:r w:rsidRPr="008F04AB">
        <w:rPr>
          <w:rFonts w:cs="Tahoma"/>
          <w:bCs/>
          <w:iCs/>
        </w:rPr>
        <w:t>De tal suerte, las instituciones públicas tienen la doble responsabilidad, por un lado, de proteger los datos personales y por otro, darles publicidad cuando la relevancia de esos datos sea de interés público. En este orden de ideas, toda la información que transparente la gestión pública, favorezca la rendición de cuentas y contribuya a la democratización del Estado Mexicano es, sin excepción, de naturaleza pública; tal es el caso de los salarios de todos los servidores públicos, la entrega de recursos públicos bajo cualquier esquema, el cumplimiento de requisitos legales, entre otros; información que necesariamente está vinculada con datos personales, que pierden la protección en beneficio del interés público (no por eso dejan de ser datos personales, sólo que no están protegidos en la confidencialidad).</w:t>
      </w:r>
    </w:p>
    <w:p w14:paraId="21913590" w14:textId="77777777" w:rsidR="003D76E9" w:rsidRPr="008F04AB" w:rsidRDefault="003D76E9" w:rsidP="006461DA">
      <w:pPr>
        <w:spacing w:after="0" w:line="360" w:lineRule="auto"/>
        <w:contextualSpacing/>
        <w:rPr>
          <w:rFonts w:cs="Tahoma"/>
          <w:bCs/>
          <w:iCs/>
        </w:rPr>
      </w:pPr>
    </w:p>
    <w:p w14:paraId="5AC0935A" w14:textId="77777777" w:rsidR="003D76E9" w:rsidRPr="008F04AB" w:rsidRDefault="003D76E9" w:rsidP="006461DA">
      <w:pPr>
        <w:spacing w:after="0" w:line="360" w:lineRule="auto"/>
        <w:contextualSpacing/>
        <w:rPr>
          <w:rFonts w:cs="Tahoma"/>
          <w:bCs/>
          <w:iCs/>
        </w:rPr>
      </w:pPr>
      <w:r w:rsidRPr="008F04AB">
        <w:rPr>
          <w:rFonts w:cs="Tahoma"/>
          <w:bCs/>
          <w:iCs/>
        </w:rPr>
        <w:t xml:space="preserve">Dada la complejidad de la información cuando involucra datos personales, pudiera pensarse que se trata de dos derechos en colisión; por un lado, la garantía individual de conocer sobre el ejercicio de atribuciones de servidores públicos así como de recursos públicos y, por el otro, el derecho de las personas a la autodeterminación informativa y el derecho a la vida privada; tratándose de los datos personales que obran en los archivos de las instituciones públicas, la regla es clara, ya que los datos personales que permiten verificar el desempeño de los servidores públicos y el cumplimiento de obligaciones legales, transparentan la gestión pública y favorecen la rendición de cuentas, constituyen información de naturaleza pública, en razón </w:t>
      </w:r>
      <w:r w:rsidRPr="008F04AB">
        <w:rPr>
          <w:rFonts w:cs="Tahoma"/>
          <w:bCs/>
          <w:iCs/>
        </w:rPr>
        <w:lastRenderedPageBreak/>
        <w:t>de que el beneficio de su publicidad es mayor que el beneficio de su clasificación, aun tratándose de información personal.</w:t>
      </w:r>
    </w:p>
    <w:p w14:paraId="28E1CCD2" w14:textId="77777777" w:rsidR="003D76E9" w:rsidRPr="008F04AB" w:rsidRDefault="003D76E9" w:rsidP="006461DA">
      <w:pPr>
        <w:spacing w:after="0" w:line="360" w:lineRule="auto"/>
        <w:contextualSpacing/>
        <w:rPr>
          <w:rFonts w:cs="Tahoma"/>
          <w:bCs/>
          <w:iCs/>
        </w:rPr>
      </w:pPr>
    </w:p>
    <w:p w14:paraId="797B680E" w14:textId="77777777" w:rsidR="003D76E9" w:rsidRPr="008F04AB" w:rsidRDefault="003D76E9" w:rsidP="006461DA">
      <w:pPr>
        <w:spacing w:after="0" w:line="360" w:lineRule="auto"/>
        <w:contextualSpacing/>
        <w:rPr>
          <w:rFonts w:cs="Tahoma"/>
          <w:bCs/>
          <w:iCs/>
        </w:rPr>
      </w:pPr>
      <w:r w:rsidRPr="008F04AB">
        <w:rPr>
          <w:rFonts w:cs="Tahoma"/>
          <w:bCs/>
          <w:iCs/>
        </w:rPr>
        <w:t>Ahora bien, cuando las personas tienen una relación comercial, laboral, de servicios, trámites o del tipo que sea, necesariamente por un tema de interés público, debe cederse un poco de privacidad, de tal forma que la gente en general pueda verificar el debido desempeño de los servidores públicos, la aplicación de la ley y el ejercicio de recursos públicos; sin embargo, esto obliga a un ejercicio de ponderación en donde únicamente se privilegie la publicidad de los datos esenciales para la transparencia y rendición de cuentas, sin afectar la vida privada de las personas.</w:t>
      </w:r>
    </w:p>
    <w:p w14:paraId="0E53E424" w14:textId="77777777" w:rsidR="003D76E9" w:rsidRPr="008F04AB" w:rsidRDefault="003D76E9" w:rsidP="006461DA">
      <w:pPr>
        <w:spacing w:after="0" w:line="360" w:lineRule="auto"/>
        <w:contextualSpacing/>
        <w:rPr>
          <w:rFonts w:cs="Tahoma"/>
          <w:bCs/>
          <w:iCs/>
        </w:rPr>
      </w:pPr>
    </w:p>
    <w:p w14:paraId="4363E0B7" w14:textId="1D3CB409" w:rsidR="003D76E9" w:rsidRPr="008F04AB" w:rsidRDefault="003D76E9" w:rsidP="006461DA">
      <w:pPr>
        <w:tabs>
          <w:tab w:val="left" w:pos="709"/>
        </w:tabs>
        <w:spacing w:after="0" w:line="360" w:lineRule="auto"/>
        <w:contextualSpacing/>
        <w:rPr>
          <w:rFonts w:cs="Tahoma"/>
          <w:bCs/>
          <w:iCs/>
        </w:rPr>
      </w:pPr>
      <w:r w:rsidRPr="008F04AB">
        <w:rPr>
          <w:rFonts w:cs="Tahoma"/>
          <w:bCs/>
          <w:iCs/>
        </w:rPr>
        <w:t xml:space="preserve">Bajo este esquema, se aprecia que la información ordenada, puede contener información susceptible a clasificar como confidencial; de forma enunciativa más no limitativa; se analiza el </w:t>
      </w:r>
      <w:r w:rsidR="00015B91" w:rsidRPr="008F04AB">
        <w:rPr>
          <w:rFonts w:cs="Tahoma"/>
          <w:b/>
          <w:bCs/>
          <w:iCs/>
        </w:rPr>
        <w:t>Nombre de las Partes del Juicio de Extinción de Dominio, así como el Domicilio sobre el cual se está ejerciendo</w:t>
      </w:r>
      <w:r w:rsidR="002D6573" w:rsidRPr="008F04AB">
        <w:rPr>
          <w:rFonts w:cs="Tahoma"/>
          <w:b/>
          <w:bCs/>
          <w:iCs/>
        </w:rPr>
        <w:t xml:space="preserve"> la extinción de dominio</w:t>
      </w:r>
      <w:r w:rsidR="00015B91" w:rsidRPr="008F04AB">
        <w:rPr>
          <w:rFonts w:cs="Tahoma"/>
          <w:b/>
          <w:bCs/>
          <w:iCs/>
        </w:rPr>
        <w:t>.</w:t>
      </w:r>
    </w:p>
    <w:p w14:paraId="69B0A9B0" w14:textId="77777777" w:rsidR="003D76E9" w:rsidRPr="008F04AB" w:rsidRDefault="003D76E9" w:rsidP="006461DA">
      <w:pPr>
        <w:tabs>
          <w:tab w:val="left" w:pos="709"/>
        </w:tabs>
        <w:spacing w:after="0" w:line="360" w:lineRule="auto"/>
        <w:contextualSpacing/>
        <w:rPr>
          <w:rFonts w:cs="Tahoma"/>
          <w:bCs/>
          <w:iCs/>
        </w:rPr>
      </w:pPr>
    </w:p>
    <w:p w14:paraId="396AC3A4" w14:textId="331BCA93" w:rsidR="003D76E9" w:rsidRPr="008F04AB" w:rsidRDefault="00015B91" w:rsidP="006461DA">
      <w:pPr>
        <w:numPr>
          <w:ilvl w:val="0"/>
          <w:numId w:val="2"/>
        </w:numPr>
        <w:spacing w:after="0" w:line="360" w:lineRule="auto"/>
        <w:contextualSpacing/>
        <w:rPr>
          <w:rFonts w:cs="Tahoma"/>
          <w:bCs/>
          <w:iCs/>
        </w:rPr>
      </w:pPr>
      <w:r w:rsidRPr="008F04AB">
        <w:rPr>
          <w:rFonts w:cs="Tahoma"/>
          <w:b/>
          <w:bCs/>
          <w:iCs/>
        </w:rPr>
        <w:t>Nombre de las partes del juicio de extinción de dominio.</w:t>
      </w:r>
    </w:p>
    <w:p w14:paraId="07297BD0" w14:textId="1005F498" w:rsidR="003D76E9" w:rsidRPr="008F04AB" w:rsidRDefault="003D76E9" w:rsidP="006461DA">
      <w:pPr>
        <w:spacing w:after="0" w:line="360" w:lineRule="auto"/>
        <w:contextualSpacing/>
        <w:rPr>
          <w:rFonts w:cs="Tahoma"/>
          <w:bCs/>
          <w:iCs/>
        </w:rPr>
      </w:pPr>
    </w:p>
    <w:p w14:paraId="4F852CA1" w14:textId="6952038F" w:rsidR="00015B91" w:rsidRPr="008F04AB" w:rsidRDefault="00015B91" w:rsidP="006461DA">
      <w:pPr>
        <w:spacing w:after="0" w:line="360" w:lineRule="auto"/>
        <w:contextualSpacing/>
        <w:rPr>
          <w:rFonts w:cs="Tahoma"/>
          <w:bCs/>
          <w:iCs/>
        </w:rPr>
      </w:pPr>
      <w:r w:rsidRPr="008F04AB">
        <w:rPr>
          <w:rFonts w:cs="Tahoma"/>
          <w:bCs/>
          <w:iCs/>
        </w:rPr>
        <w:t xml:space="preserve">Como ya se desarrolló previamente, el juicio de extinción de </w:t>
      </w:r>
      <w:r w:rsidR="002D6573" w:rsidRPr="008F04AB">
        <w:rPr>
          <w:rFonts w:cs="Tahoma"/>
          <w:bCs/>
          <w:iCs/>
        </w:rPr>
        <w:t>dominio</w:t>
      </w:r>
      <w:r w:rsidRPr="008F04AB">
        <w:rPr>
          <w:rFonts w:cs="Tahoma"/>
          <w:bCs/>
          <w:iCs/>
        </w:rPr>
        <w:t xml:space="preserve"> se ll</w:t>
      </w:r>
      <w:r w:rsidR="002D6573" w:rsidRPr="008F04AB">
        <w:rPr>
          <w:rFonts w:cs="Tahoma"/>
          <w:bCs/>
          <w:iCs/>
        </w:rPr>
        <w:t>e</w:t>
      </w:r>
      <w:r w:rsidRPr="008F04AB">
        <w:rPr>
          <w:rFonts w:cs="Tahoma"/>
          <w:bCs/>
          <w:iCs/>
        </w:rPr>
        <w:t xml:space="preserve">va por la vía civil y no por la vía penal, por lo que, </w:t>
      </w:r>
      <w:r w:rsidR="002D6573" w:rsidRPr="008F04AB">
        <w:rPr>
          <w:rFonts w:cs="Tahoma"/>
          <w:bCs/>
          <w:iCs/>
        </w:rPr>
        <w:t>si bien ya fue revelado de manera pública el nombre de quien expresó ser propietario, esto no constituye un pronunciamiento especializado por una autoridad que determine la propiedad de un inmueble, por ello, el nombre de los propietarios legales de los inmuebles que sean interesados de conservar la propiedad del referido juicio, en calidad de propietarios, deberán ser clasificados.</w:t>
      </w:r>
    </w:p>
    <w:p w14:paraId="0CFA004C" w14:textId="77777777" w:rsidR="00015B91" w:rsidRPr="008F04AB" w:rsidRDefault="00015B91" w:rsidP="006461DA">
      <w:pPr>
        <w:spacing w:after="0" w:line="360" w:lineRule="auto"/>
        <w:contextualSpacing/>
        <w:rPr>
          <w:rFonts w:cs="Tahoma"/>
          <w:bCs/>
          <w:iCs/>
        </w:rPr>
      </w:pPr>
    </w:p>
    <w:p w14:paraId="5D7F9C59" w14:textId="6FF2E724" w:rsidR="003D76E9" w:rsidRPr="008F04AB" w:rsidRDefault="002D6573" w:rsidP="006461DA">
      <w:pPr>
        <w:numPr>
          <w:ilvl w:val="0"/>
          <w:numId w:val="2"/>
        </w:numPr>
        <w:spacing w:after="0" w:line="360" w:lineRule="auto"/>
        <w:contextualSpacing/>
        <w:rPr>
          <w:rFonts w:cs="Tahoma"/>
          <w:b/>
        </w:rPr>
      </w:pPr>
      <w:r w:rsidRPr="008F04AB">
        <w:rPr>
          <w:rFonts w:cs="Tahoma"/>
          <w:b/>
        </w:rPr>
        <w:t>Domicilio sobre el cual se está ejerciendo la extinción de dominio</w:t>
      </w:r>
      <w:r w:rsidR="007063D9" w:rsidRPr="008F04AB">
        <w:rPr>
          <w:rFonts w:cs="Tahoma"/>
          <w:b/>
        </w:rPr>
        <w:t xml:space="preserve"> (que no fue identificado por la Fiscalía).</w:t>
      </w:r>
    </w:p>
    <w:p w14:paraId="0E6CAF84" w14:textId="7A96267A" w:rsidR="002D6573" w:rsidRPr="008F04AB" w:rsidRDefault="002D6573" w:rsidP="006461DA">
      <w:pPr>
        <w:spacing w:after="0" w:line="360" w:lineRule="auto"/>
        <w:contextualSpacing/>
        <w:rPr>
          <w:rFonts w:cs="Tahoma"/>
          <w:b/>
        </w:rPr>
      </w:pPr>
    </w:p>
    <w:p w14:paraId="6D4F1A1E" w14:textId="095A7A02" w:rsidR="002D6573" w:rsidRDefault="002D6573" w:rsidP="006461DA">
      <w:pPr>
        <w:spacing w:after="0" w:line="360" w:lineRule="auto"/>
        <w:contextualSpacing/>
        <w:rPr>
          <w:rFonts w:cs="Tahoma"/>
          <w:bCs/>
          <w:iCs/>
        </w:rPr>
      </w:pPr>
      <w:r w:rsidRPr="008F04AB">
        <w:rPr>
          <w:rFonts w:cs="Tahoma"/>
          <w:bCs/>
          <w:iCs/>
        </w:rPr>
        <w:t xml:space="preserve">Así como acontece con el nombre antes estudiado, pasa lo mismo con el domicilio, en atención a que si bien, fue conocido de manera especial uno de los domicilios señalados por la fiscalía, el otro no ha sido revelado; en este orden de ideas, no se identifica que </w:t>
      </w:r>
      <w:r w:rsidR="00C20EE9" w:rsidRPr="008F04AB">
        <w:rPr>
          <w:rFonts w:cs="Tahoma"/>
          <w:bCs/>
          <w:iCs/>
        </w:rPr>
        <w:t>aun</w:t>
      </w:r>
      <w:r w:rsidRPr="008F04AB">
        <w:rPr>
          <w:rFonts w:cs="Tahoma"/>
          <w:bCs/>
          <w:iCs/>
        </w:rPr>
        <w:t xml:space="preserve"> cuando este domicilio sea objeto de iniciar una extinción de dominio, esta vaya a ser aprobada por un juez civil, por lo que, su divulgación afectaría al propietario de dicho inmueble, que podría verse afectado en su reputación, máxime que podría relacionársele con un delito de las dimensiones que se estudian, por lo que, la dirección del inmueble que no fue identificado, deberá ser clasificado como confidencial.</w:t>
      </w:r>
    </w:p>
    <w:p w14:paraId="6F0747EF" w14:textId="055F9849" w:rsidR="00F21F1F" w:rsidRDefault="00F21F1F" w:rsidP="006461DA">
      <w:pPr>
        <w:spacing w:after="0" w:line="360" w:lineRule="auto"/>
        <w:contextualSpacing/>
        <w:rPr>
          <w:rFonts w:cs="Tahoma"/>
          <w:bCs/>
          <w:iCs/>
        </w:rPr>
      </w:pPr>
    </w:p>
    <w:p w14:paraId="26926AB6" w14:textId="77777777" w:rsidR="00F21F1F" w:rsidRDefault="00F21F1F" w:rsidP="006461DA">
      <w:pPr>
        <w:numPr>
          <w:ilvl w:val="0"/>
          <w:numId w:val="2"/>
        </w:numPr>
        <w:spacing w:after="0" w:line="360" w:lineRule="auto"/>
        <w:contextualSpacing/>
        <w:rPr>
          <w:rFonts w:cs="Tahoma"/>
          <w:b/>
        </w:rPr>
      </w:pPr>
      <w:r w:rsidRPr="003C1D47">
        <w:rPr>
          <w:rFonts w:cs="Tahoma"/>
          <w:b/>
        </w:rPr>
        <w:t>Datos sensibles.</w:t>
      </w:r>
    </w:p>
    <w:p w14:paraId="5A147F7D" w14:textId="77777777" w:rsidR="00F21F1F" w:rsidRPr="003C1D47" w:rsidRDefault="00F21F1F" w:rsidP="006461DA">
      <w:pPr>
        <w:spacing w:after="0" w:line="360" w:lineRule="auto"/>
        <w:ind w:left="360"/>
        <w:contextualSpacing/>
        <w:rPr>
          <w:rFonts w:cs="Tahoma"/>
          <w:b/>
        </w:rPr>
      </w:pPr>
    </w:p>
    <w:p w14:paraId="5F6BC12A" w14:textId="77777777" w:rsidR="00F21F1F" w:rsidRPr="003C1D47" w:rsidRDefault="00F21F1F" w:rsidP="006461DA">
      <w:pPr>
        <w:spacing w:after="0" w:line="360" w:lineRule="auto"/>
        <w:contextualSpacing/>
        <w:rPr>
          <w:rFonts w:cs="Tahoma"/>
          <w:bCs/>
        </w:rPr>
      </w:pPr>
      <w:r w:rsidRPr="003C1D47">
        <w:rPr>
          <w:rFonts w:cs="Tahoma"/>
          <w:bCs/>
        </w:rPr>
        <w:t>Durante el desarrollo de las audiencias o bien, a través de la tramitación de amparos, se pudo revelar estado de salud, así como datos específicos que puedan ser considerados como sensibles en términos del artículo 4°, fracción XII, de la Ley de Protección de Datos Personales en Posesión de Sujetos Obligados del Estado de México y Municipios, diversas a la ya difundida.</w:t>
      </w:r>
    </w:p>
    <w:p w14:paraId="43DE5188" w14:textId="77777777" w:rsidR="00F21F1F" w:rsidRPr="003C1D47" w:rsidRDefault="00F21F1F" w:rsidP="006461DA">
      <w:pPr>
        <w:spacing w:after="0" w:line="360" w:lineRule="auto"/>
        <w:contextualSpacing/>
        <w:rPr>
          <w:rFonts w:cs="Tahoma"/>
          <w:bCs/>
          <w:iCs/>
        </w:rPr>
      </w:pPr>
    </w:p>
    <w:p w14:paraId="42EAB01D" w14:textId="77777777" w:rsidR="00F21F1F" w:rsidRPr="003C1D47" w:rsidRDefault="00F21F1F" w:rsidP="006461DA">
      <w:pPr>
        <w:spacing w:after="0" w:line="360" w:lineRule="auto"/>
        <w:ind w:left="567" w:right="616"/>
        <w:rPr>
          <w:i/>
          <w:iCs/>
          <w:sz w:val="20"/>
          <w:szCs w:val="20"/>
        </w:rPr>
      </w:pPr>
      <w:r w:rsidRPr="003C1D47">
        <w:rPr>
          <w:i/>
          <w:iCs/>
          <w:sz w:val="20"/>
          <w:szCs w:val="20"/>
        </w:rPr>
        <w:t>XII. Datos personales sensibles: a las referentes de la esfera de su titular cuya utilización indebida pueda dar origen a discriminación o conlleve un riesgo grave para éste. De manera enunciativa más no limitativa, se consideran sensibles los datos personales que puedan revelar aspectos como origen racial o étnico, estado de salud física o mental, presente o futura, información genética, creencias religiosas, filosóficas y morales, opiniones políticas y preferencia sexual.</w:t>
      </w:r>
    </w:p>
    <w:p w14:paraId="3F61D0C2" w14:textId="77777777" w:rsidR="00F21F1F" w:rsidRPr="008F04AB" w:rsidRDefault="00F21F1F" w:rsidP="006461DA">
      <w:pPr>
        <w:spacing w:after="0" w:line="360" w:lineRule="auto"/>
        <w:contextualSpacing/>
        <w:rPr>
          <w:rFonts w:cs="Tahoma"/>
          <w:bCs/>
          <w:iCs/>
        </w:rPr>
      </w:pPr>
    </w:p>
    <w:p w14:paraId="7867CB2F" w14:textId="62BDCB31" w:rsidR="00C20EE9" w:rsidRDefault="00C20EE9" w:rsidP="006461DA">
      <w:pPr>
        <w:numPr>
          <w:ilvl w:val="0"/>
          <w:numId w:val="2"/>
        </w:numPr>
        <w:spacing w:after="0" w:line="360" w:lineRule="auto"/>
        <w:contextualSpacing/>
        <w:rPr>
          <w:rFonts w:cs="Tahoma"/>
          <w:b/>
        </w:rPr>
      </w:pPr>
      <w:r w:rsidRPr="008F04AB">
        <w:rPr>
          <w:rFonts w:cs="Tahoma"/>
          <w:b/>
        </w:rPr>
        <w:t>Media afiliación</w:t>
      </w:r>
      <w:r w:rsidR="00E867D8" w:rsidRPr="008F04AB">
        <w:rPr>
          <w:rFonts w:cs="Tahoma"/>
          <w:b/>
        </w:rPr>
        <w:t xml:space="preserve"> de las víctimas y ofendidos.</w:t>
      </w:r>
    </w:p>
    <w:p w14:paraId="26290FD0" w14:textId="77777777" w:rsidR="00F21F1F" w:rsidRPr="008F04AB" w:rsidRDefault="00F21F1F" w:rsidP="006461DA">
      <w:pPr>
        <w:spacing w:after="0" w:line="360" w:lineRule="auto"/>
        <w:contextualSpacing/>
        <w:rPr>
          <w:rFonts w:cs="Tahoma"/>
          <w:b/>
        </w:rPr>
      </w:pPr>
    </w:p>
    <w:p w14:paraId="2DEBCB6C" w14:textId="77777777" w:rsidR="00E867D8" w:rsidRPr="008F04AB" w:rsidRDefault="00C20EE9" w:rsidP="006461DA">
      <w:pPr>
        <w:spacing w:after="0" w:line="360" w:lineRule="auto"/>
        <w:contextualSpacing/>
        <w:rPr>
          <w:rFonts w:cs="Tahoma"/>
          <w:bCs/>
          <w:iCs/>
        </w:rPr>
      </w:pPr>
      <w:r w:rsidRPr="008F04AB">
        <w:rPr>
          <w:rFonts w:cs="Tahoma"/>
          <w:bCs/>
          <w:iCs/>
        </w:rPr>
        <w:lastRenderedPageBreak/>
        <w:t>Este concepto, puede ser considerado también como descripción física, lo que en términos de la Tesis aislada</w:t>
      </w:r>
      <w:r w:rsidR="00E867D8" w:rsidRPr="008F04AB">
        <w:rPr>
          <w:rFonts w:cs="Tahoma"/>
          <w:bCs/>
          <w:iCs/>
        </w:rPr>
        <w:t xml:space="preserve"> con registro digital 228757, publicado en el Semanario Judicial de la Federación, Tomo III, Segunda Parte-1, </w:t>
      </w:r>
      <w:proofErr w:type="gramStart"/>
      <w:r w:rsidR="00E867D8" w:rsidRPr="008F04AB">
        <w:rPr>
          <w:rFonts w:cs="Tahoma"/>
          <w:bCs/>
          <w:iCs/>
        </w:rPr>
        <w:t>Enero</w:t>
      </w:r>
      <w:proofErr w:type="gramEnd"/>
      <w:r w:rsidR="00E867D8" w:rsidRPr="008F04AB">
        <w:rPr>
          <w:rFonts w:cs="Tahoma"/>
          <w:bCs/>
          <w:iCs/>
        </w:rPr>
        <w:t>-Junio de 1989, página 513, se considera como información únicamente de naturaleza administrativa pero no indispensable en la entonces Averiguación Previa:</w:t>
      </w:r>
    </w:p>
    <w:p w14:paraId="5BEAB2F6" w14:textId="77777777" w:rsidR="00E867D8" w:rsidRPr="008F04AB" w:rsidRDefault="00E867D8" w:rsidP="006461DA">
      <w:pPr>
        <w:spacing w:after="0" w:line="360" w:lineRule="auto"/>
        <w:contextualSpacing/>
        <w:rPr>
          <w:rFonts w:cs="Tahoma"/>
          <w:bCs/>
          <w:iCs/>
        </w:rPr>
      </w:pPr>
    </w:p>
    <w:p w14:paraId="24398043" w14:textId="77777777" w:rsidR="00E867D8" w:rsidRPr="008F04AB" w:rsidRDefault="00E867D8" w:rsidP="006461DA">
      <w:pPr>
        <w:spacing w:after="0" w:line="360" w:lineRule="auto"/>
        <w:ind w:left="567" w:right="616"/>
        <w:rPr>
          <w:i/>
          <w:iCs/>
          <w:sz w:val="20"/>
          <w:szCs w:val="20"/>
        </w:rPr>
      </w:pPr>
      <w:r w:rsidRPr="008F04AB">
        <w:rPr>
          <w:i/>
          <w:iCs/>
          <w:sz w:val="20"/>
          <w:szCs w:val="20"/>
        </w:rPr>
        <w:t>ORDEN DE APREHENSION. PARA SU LEGALIDAD NO ES REQUISITO LA MEDIA FILIACION DEL AGRAVIADO.</w:t>
      </w:r>
    </w:p>
    <w:p w14:paraId="4CFA3D4A" w14:textId="77777777" w:rsidR="00E867D8" w:rsidRPr="008F04AB" w:rsidRDefault="00E867D8" w:rsidP="006461DA">
      <w:pPr>
        <w:spacing w:after="0" w:line="360" w:lineRule="auto"/>
        <w:ind w:left="567" w:right="616"/>
        <w:rPr>
          <w:i/>
          <w:iCs/>
          <w:sz w:val="20"/>
          <w:szCs w:val="20"/>
        </w:rPr>
      </w:pPr>
    </w:p>
    <w:p w14:paraId="370E2D81" w14:textId="77777777" w:rsidR="00E867D8" w:rsidRPr="008F04AB" w:rsidRDefault="00E867D8" w:rsidP="006461DA">
      <w:pPr>
        <w:spacing w:after="0" w:line="360" w:lineRule="auto"/>
        <w:ind w:left="567" w:right="616"/>
        <w:rPr>
          <w:i/>
          <w:iCs/>
          <w:sz w:val="20"/>
          <w:szCs w:val="20"/>
        </w:rPr>
      </w:pPr>
      <w:r w:rsidRPr="008F04AB">
        <w:rPr>
          <w:i/>
          <w:iCs/>
          <w:sz w:val="20"/>
          <w:szCs w:val="20"/>
        </w:rPr>
        <w:t>La media filiación o descripción física de los agraviados no es un requisito indispensable para la legalidad de la orden de aprehensión, sino que constituye una medida administrativa, auxiliar para los elementos policiacos que realizan la captura y sirve, además, de referencia estadística, por lo que, su omisión en los autos que integran la averiguación previa en modo alguno constituye violación a las normas procedimentales.</w:t>
      </w:r>
    </w:p>
    <w:p w14:paraId="6D283647" w14:textId="21454225" w:rsidR="00C20EE9" w:rsidRPr="008F04AB" w:rsidRDefault="00C20EE9" w:rsidP="006461DA">
      <w:pPr>
        <w:spacing w:after="0" w:line="360" w:lineRule="auto"/>
        <w:ind w:right="616"/>
        <w:rPr>
          <w:i/>
          <w:iCs/>
          <w:sz w:val="20"/>
          <w:szCs w:val="20"/>
        </w:rPr>
      </w:pPr>
    </w:p>
    <w:p w14:paraId="790737CA" w14:textId="13992BBD" w:rsidR="00E867D8" w:rsidRPr="008F04AB" w:rsidRDefault="00E867D8" w:rsidP="006461DA">
      <w:pPr>
        <w:spacing w:after="0" w:line="360" w:lineRule="auto"/>
        <w:contextualSpacing/>
        <w:rPr>
          <w:rFonts w:cs="Tahoma"/>
          <w:bCs/>
          <w:iCs/>
        </w:rPr>
      </w:pPr>
      <w:r w:rsidRPr="008F04AB">
        <w:rPr>
          <w:rFonts w:cs="Tahoma"/>
          <w:bCs/>
          <w:iCs/>
        </w:rPr>
        <w:t xml:space="preserve">Es entonces, que buscando proteger la dignidad y la memoria de las víctimas, así como de los ofendidos por lo que cualquier dato que se relacione a esto, deberá ser considerado como información de naturaleza confidencial. </w:t>
      </w:r>
    </w:p>
    <w:p w14:paraId="762FB9D0" w14:textId="48803AE5" w:rsidR="00E867D8" w:rsidRPr="008F04AB" w:rsidRDefault="00E867D8" w:rsidP="006461DA">
      <w:pPr>
        <w:spacing w:after="0" w:line="360" w:lineRule="auto"/>
        <w:contextualSpacing/>
        <w:rPr>
          <w:rFonts w:cs="Tahoma"/>
          <w:bCs/>
          <w:iCs/>
        </w:rPr>
      </w:pPr>
    </w:p>
    <w:p w14:paraId="5B767208" w14:textId="7029615B" w:rsidR="00E867D8" w:rsidRPr="008F04AB" w:rsidRDefault="00E867D8" w:rsidP="006461DA">
      <w:pPr>
        <w:numPr>
          <w:ilvl w:val="0"/>
          <w:numId w:val="2"/>
        </w:numPr>
        <w:spacing w:after="0" w:line="360" w:lineRule="auto"/>
        <w:contextualSpacing/>
        <w:rPr>
          <w:rFonts w:cs="Tahoma"/>
          <w:b/>
        </w:rPr>
      </w:pPr>
      <w:r w:rsidRPr="008F04AB">
        <w:rPr>
          <w:rFonts w:cs="Tahoma"/>
          <w:b/>
        </w:rPr>
        <w:t>Información aportada durante la determinación a la excepción al principio de publicidad, contemplado en el artículo 64, d</w:t>
      </w:r>
      <w:r w:rsidR="00F52571" w:rsidRPr="008F04AB">
        <w:rPr>
          <w:rFonts w:cs="Tahoma"/>
          <w:b/>
        </w:rPr>
        <w:t>el Código Nacional de Procedimientos Penales.</w:t>
      </w:r>
    </w:p>
    <w:p w14:paraId="7BA5D2F3" w14:textId="23EC0A59" w:rsidR="00F52571" w:rsidRPr="008F04AB" w:rsidRDefault="00F52571" w:rsidP="006461DA">
      <w:pPr>
        <w:spacing w:after="0" w:line="360" w:lineRule="auto"/>
        <w:contextualSpacing/>
        <w:rPr>
          <w:rFonts w:cs="Tahoma"/>
          <w:bCs/>
          <w:iCs/>
        </w:rPr>
      </w:pPr>
      <w:r w:rsidRPr="008F04AB">
        <w:rPr>
          <w:rFonts w:cs="Tahoma"/>
          <w:bCs/>
          <w:iCs/>
        </w:rPr>
        <w:t xml:space="preserve">Los jueces tienen la facultad de determinar </w:t>
      </w:r>
      <w:r w:rsidR="005D3CA0" w:rsidRPr="008F04AB">
        <w:rPr>
          <w:rFonts w:cs="Tahoma"/>
          <w:bCs/>
          <w:iCs/>
        </w:rPr>
        <w:t>cuándo</w:t>
      </w:r>
      <w:r w:rsidRPr="008F04AB">
        <w:rPr>
          <w:rFonts w:cs="Tahoma"/>
          <w:bCs/>
          <w:iCs/>
        </w:rPr>
        <w:t xml:space="preserve"> se restrinja el principio de publicidad, sin embargo, esta restricción no es indeterminada, sino debe adecuarse a lo contemplado en los artículos 64 y 65 del Código Nacional de Procedimientos Penales, en donde el desarrollo de esas etapas únicamente será objeto de publicidad los resultados esenciales de lo que fue practicado a puerta cerrada, para lo que se reproducen:</w:t>
      </w:r>
    </w:p>
    <w:p w14:paraId="022457C3" w14:textId="77777777" w:rsidR="00F52571" w:rsidRPr="008F04AB" w:rsidRDefault="00F52571" w:rsidP="006461DA">
      <w:pPr>
        <w:spacing w:after="0" w:line="360" w:lineRule="auto"/>
        <w:contextualSpacing/>
        <w:rPr>
          <w:rFonts w:cs="Tahoma"/>
          <w:bCs/>
          <w:iCs/>
        </w:rPr>
      </w:pPr>
    </w:p>
    <w:p w14:paraId="5D763B50" w14:textId="77777777" w:rsidR="00F52571" w:rsidRPr="008F04AB" w:rsidRDefault="00F52571" w:rsidP="006461DA">
      <w:pPr>
        <w:spacing w:after="0" w:line="360" w:lineRule="auto"/>
        <w:ind w:left="567" w:right="616"/>
        <w:rPr>
          <w:i/>
          <w:iCs/>
          <w:sz w:val="20"/>
          <w:szCs w:val="20"/>
        </w:rPr>
      </w:pPr>
      <w:r w:rsidRPr="008F04AB">
        <w:rPr>
          <w:i/>
          <w:iCs/>
          <w:sz w:val="20"/>
          <w:szCs w:val="20"/>
        </w:rPr>
        <w:t xml:space="preserve">Artículo 64. Excepciones al principio de publicidad </w:t>
      </w:r>
    </w:p>
    <w:p w14:paraId="791EA124" w14:textId="01B02489" w:rsidR="00F52571" w:rsidRPr="008F04AB" w:rsidRDefault="00F52571" w:rsidP="006461DA">
      <w:pPr>
        <w:spacing w:after="0" w:line="360" w:lineRule="auto"/>
        <w:ind w:left="567" w:right="616"/>
        <w:rPr>
          <w:i/>
          <w:iCs/>
          <w:sz w:val="20"/>
          <w:szCs w:val="20"/>
        </w:rPr>
      </w:pPr>
      <w:r w:rsidRPr="008F04AB">
        <w:rPr>
          <w:i/>
          <w:iCs/>
          <w:sz w:val="20"/>
          <w:szCs w:val="20"/>
        </w:rPr>
        <w:t xml:space="preserve">El debate será público, pero el Órgano jurisdiccional podrá resolver excepcionalmente, aun de oficio, que se desarrolle total o parcialmente a puerta cerrada, cuando: </w:t>
      </w:r>
    </w:p>
    <w:p w14:paraId="7FFDB025" w14:textId="77777777" w:rsidR="00F52571" w:rsidRPr="008F04AB" w:rsidRDefault="00F52571" w:rsidP="006461DA">
      <w:pPr>
        <w:spacing w:after="0" w:line="360" w:lineRule="auto"/>
        <w:ind w:left="567" w:right="616"/>
        <w:rPr>
          <w:i/>
          <w:iCs/>
          <w:sz w:val="20"/>
          <w:szCs w:val="20"/>
        </w:rPr>
      </w:pPr>
      <w:r w:rsidRPr="008F04AB">
        <w:rPr>
          <w:i/>
          <w:iCs/>
          <w:sz w:val="20"/>
          <w:szCs w:val="20"/>
        </w:rPr>
        <w:t>I. Pueda afectar la integridad de alguna de las partes, o de alguna persona citada para participar en él;</w:t>
      </w:r>
    </w:p>
    <w:p w14:paraId="01A7CABB" w14:textId="425B8263" w:rsidR="00F52571" w:rsidRPr="008F04AB" w:rsidRDefault="00F52571" w:rsidP="006461DA">
      <w:pPr>
        <w:spacing w:after="0" w:line="360" w:lineRule="auto"/>
        <w:ind w:left="567" w:right="616"/>
        <w:rPr>
          <w:i/>
          <w:iCs/>
          <w:sz w:val="20"/>
          <w:szCs w:val="20"/>
        </w:rPr>
      </w:pPr>
      <w:r w:rsidRPr="008F04AB">
        <w:rPr>
          <w:i/>
          <w:iCs/>
          <w:sz w:val="20"/>
          <w:szCs w:val="20"/>
        </w:rPr>
        <w:t xml:space="preserve">II. La seguridad pública o la seguridad nacional puedan verse gravemente afectadas; </w:t>
      </w:r>
    </w:p>
    <w:p w14:paraId="37D08C75" w14:textId="77777777" w:rsidR="00F52571" w:rsidRPr="008F04AB" w:rsidRDefault="00F52571" w:rsidP="006461DA">
      <w:pPr>
        <w:spacing w:after="0" w:line="360" w:lineRule="auto"/>
        <w:ind w:left="567" w:right="616"/>
        <w:rPr>
          <w:i/>
          <w:iCs/>
          <w:sz w:val="20"/>
          <w:szCs w:val="20"/>
        </w:rPr>
      </w:pPr>
      <w:r w:rsidRPr="008F04AB">
        <w:rPr>
          <w:i/>
          <w:iCs/>
          <w:sz w:val="20"/>
          <w:szCs w:val="20"/>
        </w:rPr>
        <w:t xml:space="preserve">III. Peligre un secreto oficial, particular, comercial o industrial, cuya revelación indebida sea punible; </w:t>
      </w:r>
    </w:p>
    <w:p w14:paraId="32BBAAD2" w14:textId="77777777" w:rsidR="00F52571" w:rsidRPr="008F04AB" w:rsidRDefault="00F52571" w:rsidP="006461DA">
      <w:pPr>
        <w:spacing w:after="0" w:line="360" w:lineRule="auto"/>
        <w:ind w:left="567" w:right="616"/>
        <w:rPr>
          <w:i/>
          <w:iCs/>
          <w:sz w:val="20"/>
          <w:szCs w:val="20"/>
        </w:rPr>
      </w:pPr>
      <w:r w:rsidRPr="008F04AB">
        <w:rPr>
          <w:i/>
          <w:iCs/>
          <w:sz w:val="20"/>
          <w:szCs w:val="20"/>
        </w:rPr>
        <w:t xml:space="preserve">IV. El Órgano jurisdiccional estime conveniente; </w:t>
      </w:r>
    </w:p>
    <w:p w14:paraId="41A2FC2B" w14:textId="77777777" w:rsidR="00F52571" w:rsidRPr="008F04AB" w:rsidRDefault="00F52571" w:rsidP="006461DA">
      <w:pPr>
        <w:spacing w:after="0" w:line="360" w:lineRule="auto"/>
        <w:ind w:left="567" w:right="616"/>
        <w:rPr>
          <w:i/>
          <w:iCs/>
          <w:sz w:val="20"/>
          <w:szCs w:val="20"/>
        </w:rPr>
      </w:pPr>
      <w:r w:rsidRPr="008F04AB">
        <w:rPr>
          <w:i/>
          <w:iCs/>
          <w:sz w:val="20"/>
          <w:szCs w:val="20"/>
        </w:rPr>
        <w:t xml:space="preserve">V. Se afecte el Interés Superior del Niño y de la Niña en términos de lo establecido por los Tratados y las leyes en la materia, o </w:t>
      </w:r>
    </w:p>
    <w:p w14:paraId="2CFC35EC" w14:textId="77777777" w:rsidR="00F52571" w:rsidRPr="008F04AB" w:rsidRDefault="00F52571" w:rsidP="006461DA">
      <w:pPr>
        <w:spacing w:after="0" w:line="360" w:lineRule="auto"/>
        <w:ind w:left="567" w:right="616"/>
        <w:rPr>
          <w:i/>
          <w:iCs/>
          <w:sz w:val="20"/>
          <w:szCs w:val="20"/>
        </w:rPr>
      </w:pPr>
      <w:r w:rsidRPr="008F04AB">
        <w:rPr>
          <w:i/>
          <w:iCs/>
          <w:sz w:val="20"/>
          <w:szCs w:val="20"/>
        </w:rPr>
        <w:t xml:space="preserve">VI. Esté previsto en este Código o en otra ley. </w:t>
      </w:r>
    </w:p>
    <w:p w14:paraId="3367B78B" w14:textId="77777777" w:rsidR="00F52571" w:rsidRPr="008F04AB" w:rsidRDefault="00F52571" w:rsidP="006461DA">
      <w:pPr>
        <w:spacing w:after="0" w:line="360" w:lineRule="auto"/>
        <w:ind w:left="567" w:right="616"/>
        <w:rPr>
          <w:i/>
          <w:iCs/>
          <w:sz w:val="20"/>
          <w:szCs w:val="20"/>
        </w:rPr>
      </w:pPr>
      <w:r w:rsidRPr="008F04AB">
        <w:rPr>
          <w:i/>
          <w:iCs/>
          <w:sz w:val="20"/>
          <w:szCs w:val="20"/>
        </w:rPr>
        <w:t xml:space="preserve">La resolución que decrete alguna de estas excepciones será fundada y motivada constando en el registro de la audiencia. </w:t>
      </w:r>
    </w:p>
    <w:p w14:paraId="6A04C455" w14:textId="77777777" w:rsidR="00F52571" w:rsidRPr="008F04AB" w:rsidRDefault="00F52571" w:rsidP="006461DA">
      <w:pPr>
        <w:spacing w:after="0" w:line="360" w:lineRule="auto"/>
        <w:ind w:left="567" w:right="616"/>
        <w:rPr>
          <w:i/>
          <w:iCs/>
          <w:sz w:val="20"/>
          <w:szCs w:val="20"/>
        </w:rPr>
      </w:pPr>
    </w:p>
    <w:p w14:paraId="299985D6" w14:textId="77777777" w:rsidR="00F52571" w:rsidRPr="008F04AB" w:rsidRDefault="00F52571" w:rsidP="006461DA">
      <w:pPr>
        <w:spacing w:after="0" w:line="360" w:lineRule="auto"/>
        <w:ind w:left="567" w:right="616"/>
        <w:rPr>
          <w:i/>
          <w:iCs/>
          <w:sz w:val="20"/>
          <w:szCs w:val="20"/>
        </w:rPr>
      </w:pPr>
      <w:r w:rsidRPr="008F04AB">
        <w:rPr>
          <w:i/>
          <w:iCs/>
          <w:sz w:val="20"/>
          <w:szCs w:val="20"/>
        </w:rPr>
        <w:t xml:space="preserve">Artículo 65. Continuación de audiencia pública </w:t>
      </w:r>
    </w:p>
    <w:p w14:paraId="051EECC6" w14:textId="167F3824" w:rsidR="00F52571" w:rsidRPr="008F04AB" w:rsidRDefault="00F52571" w:rsidP="006461DA">
      <w:pPr>
        <w:spacing w:after="0" w:line="360" w:lineRule="auto"/>
        <w:ind w:left="567" w:right="616"/>
        <w:rPr>
          <w:i/>
          <w:iCs/>
          <w:sz w:val="20"/>
          <w:szCs w:val="20"/>
        </w:rPr>
      </w:pPr>
      <w:r w:rsidRPr="008F04AB">
        <w:rPr>
          <w:i/>
          <w:iCs/>
          <w:sz w:val="20"/>
          <w:szCs w:val="20"/>
        </w:rPr>
        <w:t xml:space="preserve">Una vez desaparecida la causa de excepción prevista en el artículo anterior, se permitirá ingresar nuevamente al público </w:t>
      </w:r>
      <w:r w:rsidRPr="008F04AB">
        <w:rPr>
          <w:b/>
          <w:bCs/>
          <w:i/>
          <w:iCs/>
          <w:sz w:val="20"/>
          <w:szCs w:val="20"/>
        </w:rPr>
        <w:t>y, el juzgador que presida la audiencia de juicio, informará brevemente sobre el resultado esencial de los actos desarrollados a puerta cerrada.</w:t>
      </w:r>
      <w:r w:rsidRPr="008F04AB">
        <w:rPr>
          <w:i/>
          <w:iCs/>
          <w:sz w:val="20"/>
          <w:szCs w:val="20"/>
        </w:rPr>
        <w:t xml:space="preserve"> </w:t>
      </w:r>
    </w:p>
    <w:p w14:paraId="7A604CFD" w14:textId="1BCE57F7" w:rsidR="00E867D8" w:rsidRPr="008F04AB" w:rsidRDefault="00E867D8" w:rsidP="006461DA">
      <w:pPr>
        <w:spacing w:after="0" w:line="360" w:lineRule="auto"/>
        <w:contextualSpacing/>
        <w:rPr>
          <w:rFonts w:cs="Tahoma"/>
          <w:bCs/>
          <w:iCs/>
        </w:rPr>
      </w:pPr>
    </w:p>
    <w:p w14:paraId="5611586D" w14:textId="2081789B" w:rsidR="00F52571" w:rsidRPr="008F04AB" w:rsidRDefault="00F52571" w:rsidP="006461DA">
      <w:pPr>
        <w:spacing w:after="0" w:line="360" w:lineRule="auto"/>
        <w:contextualSpacing/>
        <w:rPr>
          <w:rFonts w:cs="Tahoma"/>
          <w:bCs/>
          <w:iCs/>
        </w:rPr>
      </w:pPr>
      <w:r w:rsidRPr="008F04AB">
        <w:rPr>
          <w:rFonts w:cs="Tahoma"/>
          <w:bCs/>
          <w:iCs/>
        </w:rPr>
        <w:t>Esta información tendrá el carácter de confidencial en atención a que únicamente ser revelarán los resultados esenciales, pues la secrecía se hace para proteger derechos de terceros.</w:t>
      </w:r>
    </w:p>
    <w:p w14:paraId="21FC9D50" w14:textId="732BD915" w:rsidR="00CA6FA8" w:rsidRPr="008F04AB" w:rsidRDefault="00CA6FA8" w:rsidP="006461DA">
      <w:pPr>
        <w:spacing w:after="0" w:line="360" w:lineRule="auto"/>
        <w:contextualSpacing/>
        <w:rPr>
          <w:rFonts w:cs="Tahoma"/>
          <w:bCs/>
          <w:iCs/>
        </w:rPr>
      </w:pPr>
    </w:p>
    <w:p w14:paraId="7433DE5B" w14:textId="736A9580" w:rsidR="00CA6FA8" w:rsidRPr="008F04AB" w:rsidRDefault="00E1211E" w:rsidP="006461DA">
      <w:pPr>
        <w:spacing w:after="0" w:line="360" w:lineRule="auto"/>
        <w:contextualSpacing/>
        <w:rPr>
          <w:rFonts w:cs="Tahoma"/>
          <w:bCs/>
          <w:iCs/>
          <w:u w:val="single"/>
        </w:rPr>
      </w:pPr>
      <w:r w:rsidRPr="008F04AB">
        <w:rPr>
          <w:rFonts w:cs="Tahoma"/>
          <w:bCs/>
          <w:iCs/>
          <w:u w:val="single"/>
        </w:rPr>
        <w:t>Estos datos se señalan</w:t>
      </w:r>
      <w:r w:rsidR="00CA6FA8" w:rsidRPr="008F04AB">
        <w:rPr>
          <w:rFonts w:cs="Tahoma"/>
          <w:bCs/>
          <w:iCs/>
          <w:u w:val="single"/>
        </w:rPr>
        <w:t xml:space="preserve"> de manera enunciativa, sin contravención de que el Sujeto Obligado, contemple otros datos que sean objeto de clasificación.</w:t>
      </w:r>
    </w:p>
    <w:p w14:paraId="3FA443FC" w14:textId="77777777" w:rsidR="00F52571" w:rsidRPr="008F04AB" w:rsidRDefault="00F52571" w:rsidP="006461DA">
      <w:pPr>
        <w:spacing w:after="0" w:line="360" w:lineRule="auto"/>
        <w:contextualSpacing/>
        <w:rPr>
          <w:rFonts w:cs="Tahoma"/>
          <w:bCs/>
          <w:iCs/>
        </w:rPr>
      </w:pPr>
    </w:p>
    <w:p w14:paraId="729A9942" w14:textId="1E3F723D" w:rsidR="003D76E9" w:rsidRPr="008F04AB" w:rsidRDefault="00367D37" w:rsidP="006461DA">
      <w:pPr>
        <w:spacing w:after="0" w:line="360" w:lineRule="auto"/>
        <w:rPr>
          <w:rFonts w:cs="Tahoma"/>
          <w:b/>
          <w:lang w:val="es-ES"/>
        </w:rPr>
      </w:pPr>
      <w:r w:rsidRPr="008F04AB">
        <w:rPr>
          <w:rFonts w:cs="Tahoma"/>
          <w:b/>
          <w:lang w:val="es-ES"/>
        </w:rPr>
        <w:t>SÉPTIMO</w:t>
      </w:r>
      <w:r w:rsidR="003D76E9" w:rsidRPr="008F04AB">
        <w:rPr>
          <w:rFonts w:cs="Tahoma"/>
          <w:b/>
          <w:lang w:val="es-ES"/>
        </w:rPr>
        <w:t xml:space="preserve">. Decisión. </w:t>
      </w:r>
    </w:p>
    <w:p w14:paraId="2FF6785B" w14:textId="77777777" w:rsidR="003D76E9" w:rsidRPr="008F04AB" w:rsidRDefault="003D76E9" w:rsidP="006461DA">
      <w:pPr>
        <w:spacing w:after="0" w:line="360" w:lineRule="auto"/>
        <w:rPr>
          <w:rFonts w:cs="Tahoma"/>
          <w:b/>
          <w:lang w:val="es-ES"/>
        </w:rPr>
      </w:pPr>
    </w:p>
    <w:p w14:paraId="1D740CCF" w14:textId="34376506" w:rsidR="003D76E9" w:rsidRPr="008F04AB" w:rsidRDefault="003D76E9" w:rsidP="006461DA">
      <w:pPr>
        <w:autoSpaceDE w:val="0"/>
        <w:autoSpaceDN w:val="0"/>
        <w:adjustRightInd w:val="0"/>
        <w:spacing w:after="0" w:line="360" w:lineRule="auto"/>
        <w:ind w:right="49"/>
        <w:rPr>
          <w:rFonts w:cs="Tahoma"/>
          <w:bCs/>
          <w:iCs/>
          <w:lang w:val="es-ES_tradnl"/>
        </w:rPr>
      </w:pPr>
      <w:r w:rsidRPr="008F04AB">
        <w:rPr>
          <w:rFonts w:cs="Tahoma"/>
        </w:rPr>
        <w:lastRenderedPageBreak/>
        <w:t>Con fundamento en el artículo 186, fracción III, de la Ley de Transparencia y Acceso a la Información Pública del Estado de México y Municipios, este Instituto considera procedente</w:t>
      </w:r>
      <w:r w:rsidRPr="008F04AB">
        <w:rPr>
          <w:b/>
        </w:rPr>
        <w:t xml:space="preserve"> </w:t>
      </w:r>
      <w:r w:rsidR="007063D9" w:rsidRPr="008F04AB">
        <w:rPr>
          <w:b/>
        </w:rPr>
        <w:t>MODIFICAR</w:t>
      </w:r>
      <w:r w:rsidRPr="008F04AB">
        <w:rPr>
          <w:b/>
        </w:rPr>
        <w:t xml:space="preserve"> </w:t>
      </w:r>
      <w:r w:rsidRPr="008F04AB">
        <w:t>la respuesta otorgada por el Sujeto Obligado</w:t>
      </w:r>
      <w:r w:rsidRPr="008F04AB">
        <w:rPr>
          <w:b/>
        </w:rPr>
        <w:t xml:space="preserve"> </w:t>
      </w:r>
      <w:r w:rsidRPr="008F04AB">
        <w:rPr>
          <w:bCs/>
        </w:rPr>
        <w:t xml:space="preserve">a la solicitud de información </w:t>
      </w:r>
      <w:r w:rsidR="007063D9" w:rsidRPr="008F04AB">
        <w:rPr>
          <w:rFonts w:eastAsia="Calibri" w:cs="Tahoma"/>
          <w:b/>
          <w:color w:val="0D0D0D"/>
        </w:rPr>
        <w:t>01217/FGJ/IP/2021</w:t>
      </w:r>
      <w:r w:rsidRPr="008F04AB">
        <w:rPr>
          <w:b/>
          <w:bCs/>
        </w:rPr>
        <w:t xml:space="preserve">, </w:t>
      </w:r>
      <w:r w:rsidRPr="008F04AB">
        <w:t xml:space="preserve">por resultar parcialmente fundadas las razones o motivos de inconformidad hechos </w:t>
      </w:r>
      <w:r w:rsidRPr="008F04AB">
        <w:rPr>
          <w:rFonts w:cs="Tahoma"/>
        </w:rPr>
        <w:t>valer</w:t>
      </w:r>
      <w:r w:rsidRPr="008F04AB">
        <w:t xml:space="preserve"> por el Recurrente, en el Recurso de Revisión</w:t>
      </w:r>
      <w:r w:rsidRPr="008F04AB">
        <w:rPr>
          <w:rFonts w:cs="Tahoma"/>
          <w:b/>
          <w:bCs/>
          <w:color w:val="0D0D0D" w:themeColor="text1" w:themeTint="F2"/>
        </w:rPr>
        <w:t xml:space="preserve"> 01</w:t>
      </w:r>
      <w:r w:rsidR="007063D9" w:rsidRPr="008F04AB">
        <w:rPr>
          <w:rFonts w:cs="Tahoma"/>
          <w:b/>
          <w:bCs/>
          <w:color w:val="0D0D0D" w:themeColor="text1" w:themeTint="F2"/>
        </w:rPr>
        <w:t>026</w:t>
      </w:r>
      <w:r w:rsidRPr="008F04AB">
        <w:rPr>
          <w:rFonts w:cs="Tahoma"/>
          <w:b/>
          <w:bCs/>
          <w:color w:val="0D0D0D" w:themeColor="text1" w:themeTint="F2"/>
        </w:rPr>
        <w:t>/INFOEM/IP/RR/2022,</w:t>
      </w:r>
      <w:r w:rsidRPr="008F04AB">
        <w:t xml:space="preserve"> en consecuencia procede </w:t>
      </w:r>
      <w:r w:rsidRPr="008F04AB">
        <w:rPr>
          <w:rFonts w:cs="Tahoma"/>
          <w:b/>
        </w:rPr>
        <w:t>ORDENAR</w:t>
      </w:r>
      <w:r w:rsidRPr="008F04AB">
        <w:rPr>
          <w:rFonts w:cs="Tahoma"/>
        </w:rPr>
        <w:t xml:space="preserve">, </w:t>
      </w:r>
      <w:r w:rsidRPr="008F04AB">
        <w:rPr>
          <w:rFonts w:cs="Tahoma"/>
          <w:bCs/>
          <w:iCs/>
          <w:lang w:val="es-ES_tradnl"/>
        </w:rPr>
        <w:t>conceda en su caso en versión pública a través del Sistema de Acceso a la Información Mexiquense (SAIMEX</w:t>
      </w:r>
      <w:r w:rsidR="007063D9" w:rsidRPr="008F04AB">
        <w:rPr>
          <w:rFonts w:cs="Tahoma"/>
          <w:bCs/>
          <w:iCs/>
          <w:lang w:val="es-ES_tradnl"/>
        </w:rPr>
        <w:t>)</w:t>
      </w:r>
      <w:r w:rsidRPr="008F04AB">
        <w:rPr>
          <w:rFonts w:cs="Tahoma"/>
          <w:bCs/>
          <w:iCs/>
          <w:lang w:val="es-ES_tradnl"/>
        </w:rPr>
        <w:t xml:space="preserve"> lo siguiente:</w:t>
      </w:r>
    </w:p>
    <w:p w14:paraId="4C2B5E5C" w14:textId="36CFDEB1" w:rsidR="00C437C0" w:rsidRPr="008F04AB" w:rsidRDefault="00C437C0" w:rsidP="006461DA">
      <w:pPr>
        <w:autoSpaceDE w:val="0"/>
        <w:autoSpaceDN w:val="0"/>
        <w:adjustRightInd w:val="0"/>
        <w:spacing w:after="0" w:line="360" w:lineRule="auto"/>
        <w:ind w:right="49"/>
        <w:rPr>
          <w:rFonts w:cs="Tahoma"/>
          <w:bCs/>
          <w:iCs/>
          <w:lang w:val="es-ES_tradnl"/>
        </w:rPr>
      </w:pPr>
    </w:p>
    <w:p w14:paraId="6228A50A" w14:textId="77777777" w:rsidR="00CA6FA8" w:rsidRPr="008F04AB" w:rsidRDefault="00CA6FA8" w:rsidP="006461DA">
      <w:pPr>
        <w:autoSpaceDE w:val="0"/>
        <w:autoSpaceDN w:val="0"/>
        <w:adjustRightInd w:val="0"/>
        <w:spacing w:after="0" w:line="360" w:lineRule="auto"/>
        <w:ind w:right="49"/>
        <w:rPr>
          <w:rFonts w:cs="Tahoma"/>
          <w:bCs/>
          <w:iCs/>
          <w:lang w:val="es-ES_tradnl"/>
        </w:rPr>
      </w:pPr>
      <w:r w:rsidRPr="008F04AB">
        <w:rPr>
          <w:rFonts w:cs="Tahoma"/>
          <w:bCs/>
          <w:iCs/>
          <w:lang w:val="es-ES_tradnl"/>
        </w:rPr>
        <w:t>Del asunto señalado en la solicitud, referente al delito de feminicidio múltiple, al catorce de diciembre del 2021:</w:t>
      </w:r>
    </w:p>
    <w:p w14:paraId="4C506958" w14:textId="77777777" w:rsidR="00CA6FA8" w:rsidRPr="008F04AB" w:rsidRDefault="00CA6FA8" w:rsidP="006461DA">
      <w:pPr>
        <w:autoSpaceDE w:val="0"/>
        <w:autoSpaceDN w:val="0"/>
        <w:adjustRightInd w:val="0"/>
        <w:spacing w:after="0" w:line="360" w:lineRule="auto"/>
        <w:ind w:right="49"/>
        <w:rPr>
          <w:rFonts w:cs="Tahoma"/>
          <w:bCs/>
          <w:iCs/>
          <w:lang w:val="es-ES_tradnl"/>
        </w:rPr>
      </w:pPr>
    </w:p>
    <w:p w14:paraId="43E62059" w14:textId="77777777" w:rsidR="00CA6FA8" w:rsidRPr="008F04AB" w:rsidRDefault="00CA6FA8" w:rsidP="006461DA">
      <w:pPr>
        <w:pStyle w:val="Prrafodelista"/>
        <w:numPr>
          <w:ilvl w:val="0"/>
          <w:numId w:val="12"/>
        </w:numPr>
        <w:autoSpaceDE w:val="0"/>
        <w:autoSpaceDN w:val="0"/>
        <w:adjustRightInd w:val="0"/>
        <w:spacing w:line="360" w:lineRule="auto"/>
        <w:jc w:val="both"/>
        <w:rPr>
          <w:rFonts w:ascii="Palatino Linotype" w:eastAsia="Calibri" w:hAnsi="Palatino Linotype" w:cs="Tahoma"/>
          <w:bCs/>
          <w:iCs/>
          <w:color w:val="000000"/>
        </w:rPr>
      </w:pPr>
      <w:r w:rsidRPr="008F04AB">
        <w:rPr>
          <w:rFonts w:ascii="Palatino Linotype" w:eastAsia="Calibri" w:hAnsi="Palatino Linotype" w:cs="Tahoma"/>
          <w:bCs/>
          <w:iCs/>
          <w:color w:val="000000"/>
        </w:rPr>
        <w:t>Las acciones de extinción de dominio, promovidas para continuar con las investigaciones.</w:t>
      </w:r>
    </w:p>
    <w:p w14:paraId="6E73C5D4" w14:textId="77777777" w:rsidR="00CA6FA8" w:rsidRPr="008F04AB" w:rsidRDefault="00CA6FA8" w:rsidP="006461DA">
      <w:pPr>
        <w:pStyle w:val="Prrafodelista"/>
        <w:numPr>
          <w:ilvl w:val="0"/>
          <w:numId w:val="12"/>
        </w:numPr>
        <w:autoSpaceDE w:val="0"/>
        <w:autoSpaceDN w:val="0"/>
        <w:adjustRightInd w:val="0"/>
        <w:spacing w:line="360" w:lineRule="auto"/>
        <w:jc w:val="both"/>
        <w:rPr>
          <w:rFonts w:ascii="Palatino Linotype" w:eastAsia="Calibri" w:hAnsi="Palatino Linotype" w:cs="Tahoma"/>
          <w:bCs/>
          <w:iCs/>
          <w:color w:val="000000"/>
        </w:rPr>
      </w:pPr>
      <w:r w:rsidRPr="008F04AB">
        <w:rPr>
          <w:rFonts w:ascii="Palatino Linotype" w:eastAsia="Calibri" w:hAnsi="Palatino Linotype" w:cs="Tahoma"/>
          <w:bCs/>
          <w:iCs/>
          <w:color w:val="000000"/>
        </w:rPr>
        <w:t>Los expedientes formados, incluyendo carpeta de investigación, así como juicios de amparo promovidos por el Imputado.</w:t>
      </w:r>
    </w:p>
    <w:p w14:paraId="6A794B80" w14:textId="77777777" w:rsidR="00CA6FA8" w:rsidRPr="008F04AB" w:rsidRDefault="00CA6FA8" w:rsidP="006461DA">
      <w:pPr>
        <w:autoSpaceDE w:val="0"/>
        <w:autoSpaceDN w:val="0"/>
        <w:adjustRightInd w:val="0"/>
        <w:spacing w:after="0" w:line="360" w:lineRule="auto"/>
        <w:rPr>
          <w:rFonts w:eastAsia="Calibri" w:cs="Tahoma"/>
          <w:bCs/>
          <w:iCs/>
          <w:color w:val="000000"/>
        </w:rPr>
      </w:pPr>
    </w:p>
    <w:p w14:paraId="4A526682" w14:textId="77777777" w:rsidR="00CA6FA8" w:rsidRPr="008F04AB" w:rsidRDefault="00CA6FA8" w:rsidP="006461DA">
      <w:pPr>
        <w:autoSpaceDE w:val="0"/>
        <w:autoSpaceDN w:val="0"/>
        <w:adjustRightInd w:val="0"/>
        <w:spacing w:after="0" w:line="360" w:lineRule="auto"/>
        <w:rPr>
          <w:rFonts w:eastAsia="Calibri" w:cs="Tahoma"/>
          <w:bCs/>
          <w:iCs/>
          <w:color w:val="000000"/>
        </w:rPr>
      </w:pPr>
      <w:r w:rsidRPr="008F04AB">
        <w:rPr>
          <w:rFonts w:eastAsia="Calibri" w:cs="Tahoma"/>
          <w:bCs/>
          <w:iCs/>
          <w:color w:val="000000"/>
        </w:rPr>
        <w:t>Junto con las versiones públicas que se entreguen, se deberá proporcionar el Acuerdo de Clasificación donde el Comité de Transparencia, confirme la eliminación de los datos y documentos confidenciales, de conformidad con los artículos 49, fracciones II y VIII y 132, fracción II de la Ley de Transparencia y Acceso a la Información Pública del Estado de México y Municipios.</w:t>
      </w:r>
    </w:p>
    <w:p w14:paraId="5633707A" w14:textId="77777777" w:rsidR="00CA6FA8" w:rsidRPr="008F04AB" w:rsidRDefault="00CA6FA8" w:rsidP="006461DA">
      <w:pPr>
        <w:spacing w:after="0" w:line="360" w:lineRule="auto"/>
        <w:ind w:right="-93"/>
        <w:rPr>
          <w:rFonts w:eastAsia="Calibri" w:cs="Tahoma"/>
          <w:bCs/>
        </w:rPr>
      </w:pPr>
    </w:p>
    <w:p w14:paraId="0E6EDDB4" w14:textId="77777777" w:rsidR="00CA6FA8" w:rsidRPr="008F04AB" w:rsidRDefault="00CA6FA8" w:rsidP="006461DA">
      <w:pPr>
        <w:spacing w:after="0" w:line="360" w:lineRule="auto"/>
        <w:ind w:right="-93"/>
        <w:rPr>
          <w:rFonts w:eastAsia="Calibri" w:cs="Tahoma"/>
          <w:bCs/>
        </w:rPr>
      </w:pPr>
      <w:r w:rsidRPr="008F04AB">
        <w:rPr>
          <w:rFonts w:eastAsia="Calibri" w:cs="Tahoma"/>
          <w:bCs/>
        </w:rPr>
        <w:t>En el supuesto de determinar la procedencia de la reserva de la información sobre lo ordenado en el numera 1, deberá emitirse el acuerdo aprobado por el Comité de Transparencia del Sujeto Obligado y se deberá notificar a través de la vía indicada.</w:t>
      </w:r>
    </w:p>
    <w:p w14:paraId="7D4BB0F6" w14:textId="77777777" w:rsidR="003D76E9" w:rsidRPr="008F04AB" w:rsidRDefault="003D76E9" w:rsidP="006461DA">
      <w:pPr>
        <w:spacing w:after="0" w:line="360" w:lineRule="auto"/>
        <w:ind w:right="-93"/>
        <w:rPr>
          <w:rFonts w:eastAsia="Calibri" w:cs="Tahoma"/>
          <w:bCs/>
        </w:rPr>
      </w:pPr>
    </w:p>
    <w:p w14:paraId="5BD0C9F9" w14:textId="77777777" w:rsidR="003D76E9" w:rsidRPr="008F04AB" w:rsidRDefault="003D76E9" w:rsidP="006461DA">
      <w:pPr>
        <w:spacing w:after="0" w:line="360" w:lineRule="auto"/>
        <w:rPr>
          <w:rFonts w:cs="Tahoma"/>
          <w:b/>
          <w:bCs/>
        </w:rPr>
      </w:pPr>
      <w:r w:rsidRPr="008F04AB">
        <w:rPr>
          <w:rFonts w:cs="Tahoma"/>
          <w:b/>
          <w:bCs/>
        </w:rPr>
        <w:lastRenderedPageBreak/>
        <w:t>Términos de la Resolución para el Recurrente:</w:t>
      </w:r>
    </w:p>
    <w:p w14:paraId="73E131FE" w14:textId="77777777" w:rsidR="003D76E9" w:rsidRPr="008F04AB" w:rsidRDefault="003D76E9" w:rsidP="006461DA">
      <w:pPr>
        <w:spacing w:after="0" w:line="360" w:lineRule="auto"/>
        <w:rPr>
          <w:rFonts w:cs="Tahoma"/>
          <w:b/>
          <w:bCs/>
        </w:rPr>
      </w:pPr>
    </w:p>
    <w:p w14:paraId="08EB8F21" w14:textId="56C9B518" w:rsidR="003D76E9" w:rsidRPr="008F04AB" w:rsidRDefault="003D76E9" w:rsidP="006461DA">
      <w:pPr>
        <w:spacing w:after="0" w:line="360" w:lineRule="auto"/>
        <w:rPr>
          <w:rFonts w:cs="Tahoma"/>
          <w:bCs/>
        </w:rPr>
      </w:pPr>
      <w:r w:rsidRPr="008F04AB">
        <w:rPr>
          <w:rFonts w:cs="Tahoma"/>
          <w:bCs/>
        </w:rPr>
        <w:t xml:space="preserve">Se hace del conocimiento del Recurrente </w:t>
      </w:r>
      <w:r w:rsidR="000B62F9" w:rsidRPr="008F04AB">
        <w:rPr>
          <w:rFonts w:cs="Tahoma"/>
          <w:bCs/>
        </w:rPr>
        <w:t>que e</w:t>
      </w:r>
      <w:r w:rsidRPr="008F04AB">
        <w:rPr>
          <w:rFonts w:cs="Tahoma"/>
          <w:bCs/>
        </w:rPr>
        <w:t xml:space="preserve">ste Instituto, determinó </w:t>
      </w:r>
      <w:r w:rsidR="000B62F9" w:rsidRPr="008F04AB">
        <w:rPr>
          <w:rFonts w:cs="Tahoma"/>
          <w:bCs/>
        </w:rPr>
        <w:t>modificar</w:t>
      </w:r>
      <w:r w:rsidRPr="008F04AB">
        <w:rPr>
          <w:rFonts w:cs="Tahoma"/>
          <w:bCs/>
        </w:rPr>
        <w:t xml:space="preserve"> la respuesta que le entregó el Sujeto Obligado a su solicitud de acceso, toda vez que no entregó </w:t>
      </w:r>
      <w:r w:rsidR="000B62F9" w:rsidRPr="008F04AB">
        <w:rPr>
          <w:rFonts w:cs="Tahoma"/>
          <w:bCs/>
        </w:rPr>
        <w:t>toda la documentación requerida ni se pronunció sobre todos los puntos.</w:t>
      </w:r>
    </w:p>
    <w:p w14:paraId="51828147" w14:textId="77777777" w:rsidR="000B62F9" w:rsidRPr="008F04AB" w:rsidRDefault="000B62F9" w:rsidP="006461DA">
      <w:pPr>
        <w:spacing w:after="0" w:line="360" w:lineRule="auto"/>
        <w:rPr>
          <w:rFonts w:cs="Tahoma"/>
          <w:bCs/>
        </w:rPr>
      </w:pPr>
    </w:p>
    <w:p w14:paraId="4FDE9CCF" w14:textId="4BF23E3C" w:rsidR="003D76E9" w:rsidRPr="008F04AB" w:rsidRDefault="00CA6FA8" w:rsidP="006461DA">
      <w:pPr>
        <w:spacing w:after="0" w:line="360" w:lineRule="auto"/>
        <w:rPr>
          <w:rFonts w:cs="Tahoma"/>
          <w:bCs/>
        </w:rPr>
      </w:pPr>
      <w:r w:rsidRPr="008F04AB">
        <w:rPr>
          <w:rFonts w:cs="Tahoma"/>
          <w:bCs/>
        </w:rPr>
        <w:t xml:space="preserve">Este Organismo Garante, considera </w:t>
      </w:r>
      <w:r w:rsidR="00E1211E" w:rsidRPr="008F04AB">
        <w:rPr>
          <w:rFonts w:cs="Tahoma"/>
          <w:bCs/>
        </w:rPr>
        <w:t>que,</w:t>
      </w:r>
      <w:r w:rsidRPr="008F04AB">
        <w:rPr>
          <w:rFonts w:cs="Tahoma"/>
          <w:bCs/>
        </w:rPr>
        <w:t xml:space="preserve"> por la relevancia del asunto, así como de la publicidad que se ha dado al mismo a través de los medios de comunicación, no procede la reserva de la información por lo que, es dable ordenar los expedientes</w:t>
      </w:r>
      <w:r w:rsidR="00114D94" w:rsidRPr="008F04AB">
        <w:rPr>
          <w:rFonts w:cs="Tahoma"/>
          <w:bCs/>
        </w:rPr>
        <w:t xml:space="preserve"> de la </w:t>
      </w:r>
      <w:r w:rsidRPr="008F04AB">
        <w:rPr>
          <w:rFonts w:cs="Tahoma"/>
          <w:bCs/>
        </w:rPr>
        <w:t>carpeta de investigación</w:t>
      </w:r>
      <w:r w:rsidR="00114D94" w:rsidRPr="008F04AB">
        <w:rPr>
          <w:rFonts w:cs="Tahoma"/>
          <w:bCs/>
        </w:rPr>
        <w:t>, las acciones de extinción de dominio</w:t>
      </w:r>
      <w:r w:rsidRPr="008F04AB">
        <w:rPr>
          <w:rFonts w:cs="Tahoma"/>
          <w:bCs/>
        </w:rPr>
        <w:t xml:space="preserve"> así como los juicios de amparo promovidos, en su debida versión pública</w:t>
      </w:r>
      <w:r w:rsidR="00114D94" w:rsidRPr="008F04AB">
        <w:rPr>
          <w:rFonts w:cs="Tahoma"/>
          <w:bCs/>
        </w:rPr>
        <w:t>, esto en razón de la relevancia del caso y porque, dar a conocer este tipo de investigaciones por un lado permite a la ciudadanía conocer qué fue lo que hizo la Fiscalía para conseguir una sentencia condenatoria y lograr que el responsable no quedara impun</w:t>
      </w:r>
      <w:r w:rsidR="00D70138" w:rsidRPr="008F04AB">
        <w:rPr>
          <w:rFonts w:cs="Tahoma"/>
          <w:bCs/>
        </w:rPr>
        <w:t>e y por el otro sienta un precedente relevante para transparentar las acciones de las Fiscalías en los casos en donde las investigaciones no arroja resultados positivos que permitan identificar  sancionar  a los culpables.</w:t>
      </w:r>
    </w:p>
    <w:p w14:paraId="274A6116" w14:textId="6B7B41EF" w:rsidR="00D70138" w:rsidRPr="008F04AB" w:rsidRDefault="00D70138" w:rsidP="006461DA">
      <w:pPr>
        <w:spacing w:after="0" w:line="360" w:lineRule="auto"/>
        <w:rPr>
          <w:rFonts w:cs="Tahoma"/>
          <w:bCs/>
        </w:rPr>
      </w:pPr>
    </w:p>
    <w:p w14:paraId="729D6FD2" w14:textId="77804697" w:rsidR="00D70138" w:rsidRPr="008F04AB" w:rsidRDefault="00D70138" w:rsidP="006461DA">
      <w:pPr>
        <w:spacing w:after="0" w:line="360" w:lineRule="auto"/>
        <w:rPr>
          <w:rFonts w:cs="Tahoma"/>
          <w:bCs/>
        </w:rPr>
      </w:pPr>
      <w:r w:rsidRPr="008F04AB">
        <w:rPr>
          <w:rFonts w:cs="Tahoma"/>
          <w:bCs/>
        </w:rPr>
        <w:t>Incluso, el dar a conocer este tipo de expedientes puede servir como disuasivo, pues las personas y la sociedad en general, debe tener pleno conocimiento de que las condutas fuera de la ley son sancionadas y que el Estado protegerá a las mujeres que son víctimas de violencia.</w:t>
      </w:r>
    </w:p>
    <w:p w14:paraId="6BF2873A" w14:textId="77777777" w:rsidR="00CA6FA8" w:rsidRPr="008F04AB" w:rsidRDefault="00CA6FA8" w:rsidP="006461DA">
      <w:pPr>
        <w:spacing w:after="0" w:line="360" w:lineRule="auto"/>
        <w:rPr>
          <w:rFonts w:cs="Tahoma"/>
          <w:bCs/>
          <w:u w:val="single"/>
        </w:rPr>
      </w:pPr>
    </w:p>
    <w:p w14:paraId="2A329767" w14:textId="77777777" w:rsidR="003D76E9" w:rsidRPr="008F04AB" w:rsidRDefault="003D76E9" w:rsidP="006461DA">
      <w:pPr>
        <w:spacing w:after="0" w:line="360" w:lineRule="auto"/>
        <w:rPr>
          <w:rFonts w:cs="Tahoma"/>
          <w:bCs/>
          <w:u w:val="single"/>
        </w:rPr>
      </w:pPr>
      <w:r w:rsidRPr="008F04AB">
        <w:rPr>
          <w:rFonts w:cs="Tahoma"/>
          <w:bCs/>
          <w:u w:val="single"/>
        </w:rPr>
        <w:t>La labor del INFOEM, es apoyar a la población para acceder a la información pública y garantizar la protección de sus datos personales.</w:t>
      </w:r>
    </w:p>
    <w:p w14:paraId="71E71AF7" w14:textId="77777777" w:rsidR="003D76E9" w:rsidRPr="008F04AB" w:rsidRDefault="003D76E9" w:rsidP="006461DA">
      <w:pPr>
        <w:spacing w:after="0" w:line="360" w:lineRule="auto"/>
        <w:rPr>
          <w:rFonts w:cs="Tahoma"/>
          <w:bCs/>
          <w:color w:val="000000"/>
        </w:rPr>
      </w:pPr>
    </w:p>
    <w:p w14:paraId="4A0259AF" w14:textId="77777777" w:rsidR="003D76E9" w:rsidRPr="008F04AB" w:rsidRDefault="003D76E9" w:rsidP="006461DA">
      <w:pPr>
        <w:spacing w:after="0" w:line="360" w:lineRule="auto"/>
        <w:rPr>
          <w:rFonts w:eastAsia="Calibri" w:cs="Tahoma"/>
          <w:bCs/>
        </w:rPr>
      </w:pPr>
      <w:r w:rsidRPr="008F04AB">
        <w:rPr>
          <w:rFonts w:eastAsia="Calibri" w:cs="Tahoma"/>
          <w:bCs/>
        </w:rPr>
        <w:t>Por lo expuesto y fundado, este Pleno:</w:t>
      </w:r>
    </w:p>
    <w:p w14:paraId="57377467" w14:textId="77777777" w:rsidR="003D76E9" w:rsidRPr="008F04AB" w:rsidRDefault="003D76E9" w:rsidP="006461DA">
      <w:pPr>
        <w:spacing w:after="0" w:line="360" w:lineRule="auto"/>
        <w:ind w:right="-93"/>
        <w:rPr>
          <w:rFonts w:cs="Tahoma"/>
        </w:rPr>
      </w:pPr>
    </w:p>
    <w:p w14:paraId="0579677E" w14:textId="77777777" w:rsidR="003D76E9" w:rsidRPr="008F04AB" w:rsidRDefault="003D76E9" w:rsidP="006461DA">
      <w:pPr>
        <w:spacing w:after="0" w:line="360" w:lineRule="auto"/>
        <w:contextualSpacing/>
        <w:jc w:val="center"/>
        <w:rPr>
          <w:rFonts w:eastAsia="Calibri" w:cs="Tahoma"/>
          <w:b/>
          <w:bCs/>
        </w:rPr>
      </w:pPr>
      <w:r w:rsidRPr="008F04AB">
        <w:rPr>
          <w:rFonts w:eastAsia="Calibri" w:cs="Tahoma"/>
          <w:b/>
          <w:bCs/>
        </w:rPr>
        <w:t>R E S U E L V E</w:t>
      </w:r>
    </w:p>
    <w:p w14:paraId="1D83F89C" w14:textId="77777777" w:rsidR="003D76E9" w:rsidRPr="008F04AB" w:rsidRDefault="003D76E9" w:rsidP="006461DA">
      <w:pPr>
        <w:spacing w:after="0" w:line="360" w:lineRule="auto"/>
        <w:contextualSpacing/>
        <w:jc w:val="center"/>
        <w:rPr>
          <w:rFonts w:cs="Tahoma"/>
          <w:b/>
          <w:bCs/>
        </w:rPr>
      </w:pPr>
    </w:p>
    <w:p w14:paraId="6AE5361C" w14:textId="4964BCB2" w:rsidR="003D76E9" w:rsidRPr="008F04AB" w:rsidRDefault="003D76E9" w:rsidP="006461DA">
      <w:pPr>
        <w:spacing w:after="0" w:line="360" w:lineRule="auto"/>
        <w:contextualSpacing/>
        <w:rPr>
          <w:rFonts w:eastAsia="Calibri" w:cs="Tahoma"/>
          <w:bCs/>
        </w:rPr>
      </w:pPr>
      <w:r w:rsidRPr="008F04AB">
        <w:rPr>
          <w:rFonts w:cs="Tahoma"/>
          <w:b/>
          <w:bCs/>
        </w:rPr>
        <w:t xml:space="preserve">PRIMERO. </w:t>
      </w:r>
      <w:r w:rsidRPr="008F04AB">
        <w:rPr>
          <w:rFonts w:cs="Tahoma"/>
          <w:bCs/>
        </w:rPr>
        <w:t xml:space="preserve">Se </w:t>
      </w:r>
      <w:r w:rsidR="000B62F9" w:rsidRPr="008F04AB">
        <w:rPr>
          <w:rFonts w:cs="Tahoma"/>
          <w:b/>
          <w:bCs/>
        </w:rPr>
        <w:t>MODIFICA</w:t>
      </w:r>
      <w:r w:rsidRPr="008F04AB">
        <w:rPr>
          <w:rFonts w:cs="Tahoma"/>
          <w:bCs/>
        </w:rPr>
        <w:t xml:space="preserve"> la respuesta entregada por </w:t>
      </w:r>
      <w:r w:rsidR="000B62F9" w:rsidRPr="008F04AB">
        <w:rPr>
          <w:rFonts w:cs="Tahoma"/>
          <w:bCs/>
        </w:rPr>
        <w:t xml:space="preserve">la </w:t>
      </w:r>
      <w:proofErr w:type="gramStart"/>
      <w:r w:rsidR="000B62F9" w:rsidRPr="008F04AB">
        <w:rPr>
          <w:rFonts w:cs="Tahoma"/>
          <w:b/>
        </w:rPr>
        <w:t>Fiscalía General</w:t>
      </w:r>
      <w:proofErr w:type="gramEnd"/>
      <w:r w:rsidR="000B62F9" w:rsidRPr="008F04AB">
        <w:rPr>
          <w:rFonts w:cs="Tahoma"/>
          <w:b/>
        </w:rPr>
        <w:t xml:space="preserve"> de Justicia del Estado de México</w:t>
      </w:r>
      <w:r w:rsidRPr="008F04AB">
        <w:rPr>
          <w:rFonts w:cs="Tahoma"/>
          <w:b/>
          <w:bCs/>
        </w:rPr>
        <w:t xml:space="preserve"> </w:t>
      </w:r>
      <w:r w:rsidRPr="00506A1C">
        <w:rPr>
          <w:rFonts w:eastAsia="Calibri" w:cs="Tahoma"/>
        </w:rPr>
        <w:t>a</w:t>
      </w:r>
      <w:r w:rsidRPr="00506A1C">
        <w:rPr>
          <w:rFonts w:cs="Tahoma"/>
        </w:rPr>
        <w:t xml:space="preserve"> </w:t>
      </w:r>
      <w:r w:rsidRPr="008F04AB">
        <w:rPr>
          <w:rFonts w:cs="Tahoma"/>
          <w:bCs/>
        </w:rPr>
        <w:t xml:space="preserve">la solicitud de información </w:t>
      </w:r>
      <w:r w:rsidR="000B62F9" w:rsidRPr="008F04AB">
        <w:rPr>
          <w:rFonts w:eastAsia="Calibri" w:cs="Tahoma"/>
          <w:b/>
          <w:color w:val="0D0D0D"/>
        </w:rPr>
        <w:t>01217/FGJ/IP/2021</w:t>
      </w:r>
      <w:r w:rsidRPr="008F04AB">
        <w:rPr>
          <w:b/>
          <w:bCs/>
        </w:rPr>
        <w:t xml:space="preserve"> </w:t>
      </w:r>
      <w:r w:rsidRPr="008F04AB">
        <w:rPr>
          <w:bCs/>
        </w:rPr>
        <w:t xml:space="preserve">por resultar </w:t>
      </w:r>
      <w:r w:rsidRPr="008F04AB">
        <w:rPr>
          <w:b/>
          <w:caps/>
        </w:rPr>
        <w:t>parcialmente</w:t>
      </w:r>
      <w:r w:rsidRPr="008F04AB">
        <w:rPr>
          <w:bCs/>
        </w:rPr>
        <w:t xml:space="preserve"> </w:t>
      </w:r>
      <w:r w:rsidRPr="008F04AB">
        <w:rPr>
          <w:b/>
          <w:bCs/>
        </w:rPr>
        <w:t>FUNDADAS</w:t>
      </w:r>
      <w:r w:rsidRPr="008F04AB">
        <w:rPr>
          <w:rFonts w:cs="Tahoma"/>
          <w:bCs/>
        </w:rPr>
        <w:t xml:space="preserve"> </w:t>
      </w:r>
      <w:r w:rsidRPr="008F04AB">
        <w:rPr>
          <w:rFonts w:eastAsia="Calibri" w:cs="Tahoma"/>
          <w:bCs/>
        </w:rPr>
        <w:t xml:space="preserve">las razones o motivos de inconformidad hechos valer por el Recurrente en el Recurso de Revisión </w:t>
      </w:r>
      <w:r w:rsidRPr="008F04AB">
        <w:rPr>
          <w:rFonts w:cs="Tahoma"/>
          <w:b/>
          <w:bCs/>
          <w:color w:val="0D0D0D" w:themeColor="text1" w:themeTint="F2"/>
        </w:rPr>
        <w:t>01</w:t>
      </w:r>
      <w:r w:rsidR="000B62F9" w:rsidRPr="008F04AB">
        <w:rPr>
          <w:rFonts w:cs="Tahoma"/>
          <w:b/>
          <w:bCs/>
          <w:color w:val="0D0D0D" w:themeColor="text1" w:themeTint="F2"/>
        </w:rPr>
        <w:t>026</w:t>
      </w:r>
      <w:r w:rsidRPr="008F04AB">
        <w:rPr>
          <w:rFonts w:cs="Tahoma"/>
          <w:b/>
          <w:bCs/>
          <w:color w:val="0D0D0D" w:themeColor="text1" w:themeTint="F2"/>
        </w:rPr>
        <w:t>/INFOEM/IP/RR/2022</w:t>
      </w:r>
      <w:r w:rsidRPr="008F04AB">
        <w:rPr>
          <w:rFonts w:eastAsia="Calibri" w:cs="Tahoma"/>
          <w:bCs/>
        </w:rPr>
        <w:t xml:space="preserve">, en términos de los considerandos </w:t>
      </w:r>
      <w:r w:rsidRPr="008F04AB">
        <w:rPr>
          <w:rFonts w:eastAsia="Calibri" w:cs="Tahoma"/>
        </w:rPr>
        <w:t xml:space="preserve">QUINTO y </w:t>
      </w:r>
      <w:r w:rsidR="000B62F9" w:rsidRPr="008F04AB">
        <w:rPr>
          <w:rFonts w:eastAsia="Calibri" w:cs="Tahoma"/>
        </w:rPr>
        <w:t>SÉPTIMO</w:t>
      </w:r>
      <w:r w:rsidRPr="008F04AB">
        <w:rPr>
          <w:rFonts w:eastAsia="Calibri" w:cs="Tahoma"/>
          <w:bCs/>
        </w:rPr>
        <w:t xml:space="preserve"> de la presente Resolución.</w:t>
      </w:r>
    </w:p>
    <w:p w14:paraId="7659CE46" w14:textId="77777777" w:rsidR="003D76E9" w:rsidRPr="008F04AB" w:rsidRDefault="003D76E9" w:rsidP="006461DA">
      <w:pPr>
        <w:spacing w:after="0" w:line="360" w:lineRule="auto"/>
        <w:contextualSpacing/>
        <w:rPr>
          <w:rFonts w:cs="Tahoma"/>
          <w:bCs/>
        </w:rPr>
      </w:pPr>
    </w:p>
    <w:p w14:paraId="065A6121" w14:textId="3604F05D" w:rsidR="00CA6FA8" w:rsidRPr="008F04AB" w:rsidRDefault="003D76E9" w:rsidP="006461DA">
      <w:pPr>
        <w:autoSpaceDE w:val="0"/>
        <w:autoSpaceDN w:val="0"/>
        <w:adjustRightInd w:val="0"/>
        <w:spacing w:after="0" w:line="360" w:lineRule="auto"/>
        <w:ind w:right="49"/>
        <w:rPr>
          <w:rFonts w:cs="Tahoma"/>
          <w:bCs/>
          <w:iCs/>
          <w:lang w:val="es-ES_tradnl"/>
        </w:rPr>
      </w:pPr>
      <w:r w:rsidRPr="008F04AB">
        <w:rPr>
          <w:rFonts w:cs="Tahoma"/>
          <w:b/>
          <w:bCs/>
        </w:rPr>
        <w:t xml:space="preserve">SEGUNDO. </w:t>
      </w:r>
      <w:r w:rsidRPr="008F04AB">
        <w:rPr>
          <w:rFonts w:cs="Tahoma"/>
        </w:rPr>
        <w:t xml:space="preserve">Se </w:t>
      </w:r>
      <w:r w:rsidRPr="008F04AB">
        <w:rPr>
          <w:rFonts w:cs="Tahoma"/>
          <w:b/>
        </w:rPr>
        <w:t xml:space="preserve">ORDENA </w:t>
      </w:r>
      <w:r w:rsidR="00506A1C">
        <w:rPr>
          <w:rFonts w:cs="Tahoma"/>
        </w:rPr>
        <w:t>a</w:t>
      </w:r>
      <w:r w:rsidR="002B7ABA" w:rsidRPr="008F04AB">
        <w:rPr>
          <w:rFonts w:cs="Tahoma"/>
        </w:rPr>
        <w:t xml:space="preserve"> la </w:t>
      </w:r>
      <w:proofErr w:type="gramStart"/>
      <w:r w:rsidR="002B7ABA" w:rsidRPr="008F04AB">
        <w:rPr>
          <w:rFonts w:cs="Tahoma"/>
          <w:b/>
          <w:bCs/>
        </w:rPr>
        <w:t>Fiscalía General</w:t>
      </w:r>
      <w:proofErr w:type="gramEnd"/>
      <w:r w:rsidR="002B7ABA" w:rsidRPr="008F04AB">
        <w:rPr>
          <w:rFonts w:cs="Tahoma"/>
          <w:b/>
          <w:bCs/>
        </w:rPr>
        <w:t xml:space="preserve"> de Justicia del Estado de México</w:t>
      </w:r>
      <w:r w:rsidRPr="008F04AB">
        <w:rPr>
          <w:rFonts w:cs="Tahoma"/>
        </w:rPr>
        <w:t xml:space="preserve">, a efecto de que, previa búsqueda exhaustiva y razonable en los archivos de sus áreas competentes, remita </w:t>
      </w:r>
      <w:r w:rsidRPr="008F04AB">
        <w:rPr>
          <w:rFonts w:cs="Tahoma"/>
          <w:bCs/>
          <w:iCs/>
          <w:lang w:val="es-ES_tradnl"/>
        </w:rPr>
        <w:t xml:space="preserve">de ser procedente en versión pública, </w:t>
      </w:r>
      <w:r w:rsidRPr="008F04AB">
        <w:rPr>
          <w:rFonts w:cs="Tahoma"/>
          <w:bCs/>
          <w:iCs/>
        </w:rPr>
        <w:t xml:space="preserve">a través </w:t>
      </w:r>
      <w:r w:rsidRPr="008F04AB">
        <w:rPr>
          <w:rFonts w:cs="Tahoma"/>
          <w:bCs/>
          <w:iCs/>
          <w:lang w:val="es-ES_tradnl"/>
        </w:rPr>
        <w:t>del Sistema de Acceso a la Información Mexiquense (SAIMEX)</w:t>
      </w:r>
      <w:r w:rsidR="008043BD" w:rsidRPr="008F04AB">
        <w:rPr>
          <w:rFonts w:cs="Arial"/>
          <w:sz w:val="24"/>
          <w:szCs w:val="24"/>
          <w:lang w:val="es-ES"/>
        </w:rPr>
        <w:t xml:space="preserve">, </w:t>
      </w:r>
      <w:r w:rsidR="008043BD" w:rsidRPr="008F04AB">
        <w:rPr>
          <w:rFonts w:cs="Tahoma"/>
          <w:bCs/>
          <w:iCs/>
          <w:lang w:val="es-ES_tradnl"/>
        </w:rPr>
        <w:t>d</w:t>
      </w:r>
      <w:r w:rsidR="00CA6FA8" w:rsidRPr="008F04AB">
        <w:rPr>
          <w:rFonts w:cs="Tahoma"/>
          <w:bCs/>
          <w:iCs/>
          <w:lang w:val="es-ES_tradnl"/>
        </w:rPr>
        <w:t xml:space="preserve">el </w:t>
      </w:r>
      <w:r w:rsidR="008043BD" w:rsidRPr="008F04AB">
        <w:rPr>
          <w:rFonts w:cs="Tahoma"/>
          <w:bCs/>
          <w:iCs/>
          <w:lang w:val="es-ES_tradnl"/>
        </w:rPr>
        <w:t xml:space="preserve">juicio penal </w:t>
      </w:r>
      <w:r w:rsidR="00CA6FA8" w:rsidRPr="008F04AB">
        <w:rPr>
          <w:rFonts w:cs="Tahoma"/>
          <w:bCs/>
          <w:iCs/>
          <w:lang w:val="es-ES_tradnl"/>
        </w:rPr>
        <w:t>señalado en la solicitud, referente al delito de feminicidio múltiple</w:t>
      </w:r>
      <w:r w:rsidR="00F44961" w:rsidRPr="008F04AB">
        <w:rPr>
          <w:rFonts w:cs="Tahoma"/>
          <w:bCs/>
          <w:iCs/>
          <w:lang w:val="es-ES_tradnl"/>
        </w:rPr>
        <w:t xml:space="preserve"> cometido por el ahora sentenciado </w:t>
      </w:r>
      <w:r w:rsidR="008043BD" w:rsidRPr="008F04AB">
        <w:rPr>
          <w:rFonts w:cs="Tahoma"/>
          <w:bCs/>
          <w:iCs/>
          <w:lang w:val="es-ES_tradnl"/>
        </w:rPr>
        <w:t xml:space="preserve">de quien se indica su nombre </w:t>
      </w:r>
      <w:r w:rsidR="00F44961" w:rsidRPr="008F04AB">
        <w:rPr>
          <w:rFonts w:cs="Tahoma"/>
          <w:bCs/>
          <w:iCs/>
          <w:lang w:val="es-ES_tradnl"/>
        </w:rPr>
        <w:t>en la solicitud de información que nos ocupa</w:t>
      </w:r>
      <w:r w:rsidR="00CA6FA8" w:rsidRPr="008F04AB">
        <w:rPr>
          <w:rFonts w:cs="Tahoma"/>
          <w:bCs/>
          <w:iCs/>
          <w:lang w:val="es-ES_tradnl"/>
        </w:rPr>
        <w:t>:</w:t>
      </w:r>
    </w:p>
    <w:p w14:paraId="60244FB1" w14:textId="77777777" w:rsidR="00CA6FA8" w:rsidRPr="008F04AB" w:rsidRDefault="00CA6FA8" w:rsidP="006461DA">
      <w:pPr>
        <w:autoSpaceDE w:val="0"/>
        <w:autoSpaceDN w:val="0"/>
        <w:adjustRightInd w:val="0"/>
        <w:spacing w:after="0" w:line="360" w:lineRule="auto"/>
        <w:ind w:right="49"/>
        <w:rPr>
          <w:rFonts w:cs="Tahoma"/>
          <w:bCs/>
          <w:iCs/>
          <w:lang w:val="es-ES_tradnl"/>
        </w:rPr>
      </w:pPr>
    </w:p>
    <w:p w14:paraId="544CD7D3" w14:textId="50E4D64F" w:rsidR="00CA6FA8" w:rsidRPr="008F04AB" w:rsidRDefault="00CA6FA8" w:rsidP="006461DA">
      <w:pPr>
        <w:pStyle w:val="Prrafodelista"/>
        <w:numPr>
          <w:ilvl w:val="0"/>
          <w:numId w:val="13"/>
        </w:numPr>
        <w:autoSpaceDE w:val="0"/>
        <w:autoSpaceDN w:val="0"/>
        <w:adjustRightInd w:val="0"/>
        <w:spacing w:line="360" w:lineRule="auto"/>
        <w:jc w:val="both"/>
        <w:rPr>
          <w:rFonts w:ascii="Palatino Linotype" w:eastAsia="Calibri" w:hAnsi="Palatino Linotype" w:cs="Tahoma"/>
          <w:bCs/>
          <w:iCs/>
          <w:color w:val="000000"/>
        </w:rPr>
      </w:pPr>
      <w:r w:rsidRPr="008F04AB">
        <w:rPr>
          <w:rFonts w:ascii="Palatino Linotype" w:eastAsia="Calibri" w:hAnsi="Palatino Linotype" w:cs="Tahoma"/>
          <w:bCs/>
          <w:iCs/>
          <w:color w:val="000000"/>
        </w:rPr>
        <w:t xml:space="preserve">Las acciones de extinción de dominio, promovidas </w:t>
      </w:r>
      <w:r w:rsidR="00F44961" w:rsidRPr="008F04AB">
        <w:rPr>
          <w:rFonts w:ascii="Palatino Linotype" w:eastAsia="Calibri" w:hAnsi="Palatino Linotype" w:cs="Tahoma"/>
          <w:bCs/>
          <w:iCs/>
          <w:color w:val="000000"/>
        </w:rPr>
        <w:t xml:space="preserve">por el ministerio público, respecto de los inmuebles </w:t>
      </w:r>
      <w:r w:rsidR="003B2607" w:rsidRPr="008F04AB">
        <w:rPr>
          <w:rFonts w:ascii="Palatino Linotype" w:eastAsia="Calibri" w:hAnsi="Palatino Linotype" w:cs="Tahoma"/>
          <w:bCs/>
          <w:iCs/>
          <w:color w:val="000000"/>
        </w:rPr>
        <w:t>propiedad del sentenciado.</w:t>
      </w:r>
    </w:p>
    <w:p w14:paraId="75FE73DB" w14:textId="77777777" w:rsidR="008D039D" w:rsidRPr="008F04AB" w:rsidRDefault="008D039D" w:rsidP="006461DA">
      <w:pPr>
        <w:pStyle w:val="Prrafodelista"/>
        <w:autoSpaceDE w:val="0"/>
        <w:autoSpaceDN w:val="0"/>
        <w:adjustRightInd w:val="0"/>
        <w:spacing w:line="360" w:lineRule="auto"/>
        <w:ind w:left="1080"/>
        <w:jc w:val="both"/>
        <w:rPr>
          <w:rFonts w:ascii="Palatino Linotype" w:eastAsia="Calibri" w:hAnsi="Palatino Linotype" w:cs="Tahoma"/>
          <w:bCs/>
          <w:iCs/>
          <w:color w:val="000000"/>
        </w:rPr>
      </w:pPr>
    </w:p>
    <w:p w14:paraId="23009345" w14:textId="3991A1CD" w:rsidR="00CA6FA8" w:rsidRPr="002360DE" w:rsidRDefault="003B2607" w:rsidP="006461DA">
      <w:pPr>
        <w:pStyle w:val="Prrafodelista"/>
        <w:numPr>
          <w:ilvl w:val="0"/>
          <w:numId w:val="13"/>
        </w:numPr>
        <w:autoSpaceDE w:val="0"/>
        <w:autoSpaceDN w:val="0"/>
        <w:adjustRightInd w:val="0"/>
        <w:spacing w:line="360" w:lineRule="auto"/>
        <w:jc w:val="both"/>
        <w:rPr>
          <w:rFonts w:ascii="Palatino Linotype" w:eastAsia="Calibri" w:hAnsi="Palatino Linotype" w:cs="Tahoma"/>
          <w:bCs/>
          <w:iCs/>
          <w:color w:val="000000"/>
        </w:rPr>
      </w:pPr>
      <w:r w:rsidRPr="002360DE">
        <w:rPr>
          <w:rFonts w:ascii="Palatino Linotype" w:eastAsia="Calibri" w:hAnsi="Palatino Linotype" w:cs="Tahoma"/>
          <w:bCs/>
          <w:iCs/>
          <w:color w:val="000000"/>
        </w:rPr>
        <w:t>La</w:t>
      </w:r>
      <w:r w:rsidR="00CA6FA8" w:rsidRPr="002360DE">
        <w:rPr>
          <w:rFonts w:ascii="Palatino Linotype" w:eastAsia="Calibri" w:hAnsi="Palatino Linotype" w:cs="Tahoma"/>
          <w:bCs/>
          <w:iCs/>
          <w:color w:val="000000"/>
        </w:rPr>
        <w:t xml:space="preserve"> carpeta de investigación</w:t>
      </w:r>
      <w:r w:rsidR="00520CF7" w:rsidRPr="002360DE">
        <w:rPr>
          <w:rFonts w:ascii="Palatino Linotype" w:eastAsia="Calibri" w:hAnsi="Palatino Linotype" w:cs="Tahoma"/>
          <w:bCs/>
          <w:iCs/>
          <w:color w:val="000000"/>
        </w:rPr>
        <w:t>, expedientes formados y</w:t>
      </w:r>
      <w:r w:rsidRPr="002360DE">
        <w:rPr>
          <w:rFonts w:ascii="Palatino Linotype" w:eastAsia="Calibri" w:hAnsi="Palatino Linotype" w:cs="Tahoma"/>
          <w:bCs/>
          <w:iCs/>
          <w:color w:val="000000"/>
        </w:rPr>
        <w:t xml:space="preserve"> los documentos de los</w:t>
      </w:r>
      <w:r w:rsidR="00CA6FA8" w:rsidRPr="002360DE">
        <w:rPr>
          <w:rFonts w:ascii="Palatino Linotype" w:eastAsia="Calibri" w:hAnsi="Palatino Linotype" w:cs="Tahoma"/>
          <w:bCs/>
          <w:iCs/>
          <w:color w:val="000000"/>
        </w:rPr>
        <w:t xml:space="preserve"> juicios de amparo promovidos por el </w:t>
      </w:r>
      <w:r w:rsidRPr="002360DE">
        <w:rPr>
          <w:rFonts w:ascii="Palatino Linotype" w:eastAsia="Calibri" w:hAnsi="Palatino Linotype" w:cs="Tahoma"/>
          <w:bCs/>
          <w:iCs/>
          <w:color w:val="000000"/>
        </w:rPr>
        <w:t>sentenciado</w:t>
      </w:r>
      <w:r w:rsidR="00CA6FA8" w:rsidRPr="002360DE">
        <w:rPr>
          <w:rFonts w:ascii="Palatino Linotype" w:eastAsia="Calibri" w:hAnsi="Palatino Linotype" w:cs="Tahoma"/>
          <w:bCs/>
          <w:iCs/>
          <w:color w:val="000000"/>
        </w:rPr>
        <w:t>.</w:t>
      </w:r>
    </w:p>
    <w:p w14:paraId="681E7AD5" w14:textId="77777777" w:rsidR="00CA6FA8" w:rsidRPr="008F04AB" w:rsidRDefault="00CA6FA8" w:rsidP="006461DA">
      <w:pPr>
        <w:autoSpaceDE w:val="0"/>
        <w:autoSpaceDN w:val="0"/>
        <w:adjustRightInd w:val="0"/>
        <w:spacing w:after="0" w:line="360" w:lineRule="auto"/>
        <w:rPr>
          <w:rFonts w:eastAsia="Calibri" w:cs="Tahoma"/>
          <w:bCs/>
          <w:iCs/>
          <w:color w:val="000000"/>
        </w:rPr>
      </w:pPr>
    </w:p>
    <w:p w14:paraId="745B2321" w14:textId="77777777" w:rsidR="00CA6FA8" w:rsidRPr="008F04AB" w:rsidRDefault="00CA6FA8" w:rsidP="006461DA">
      <w:pPr>
        <w:autoSpaceDE w:val="0"/>
        <w:autoSpaceDN w:val="0"/>
        <w:adjustRightInd w:val="0"/>
        <w:spacing w:after="0" w:line="360" w:lineRule="auto"/>
        <w:rPr>
          <w:rFonts w:eastAsia="Calibri" w:cs="Tahoma"/>
          <w:bCs/>
          <w:iCs/>
          <w:color w:val="000000"/>
        </w:rPr>
      </w:pPr>
      <w:r w:rsidRPr="008F04AB">
        <w:rPr>
          <w:rFonts w:eastAsia="Calibri" w:cs="Tahoma"/>
          <w:bCs/>
          <w:iCs/>
          <w:color w:val="000000"/>
        </w:rPr>
        <w:t>Junto con las versiones públicas que se entreguen, se deberá proporcionar el Acuerdo de Clasificación donde el Comité de Transparencia, confirme la eliminación de los datos y documentos confidenciales, de conformidad con los artículos 49, fracciones II y VIII y 132, fracción II de la Ley de Transparencia y Acceso a la Información Pública del Estado de México y Municipios.</w:t>
      </w:r>
    </w:p>
    <w:p w14:paraId="675F9C73" w14:textId="77777777" w:rsidR="00CA6FA8" w:rsidRPr="008F04AB" w:rsidRDefault="00CA6FA8" w:rsidP="006461DA">
      <w:pPr>
        <w:spacing w:after="0" w:line="360" w:lineRule="auto"/>
        <w:ind w:right="-93"/>
        <w:rPr>
          <w:rFonts w:eastAsia="Calibri" w:cs="Tahoma"/>
          <w:bCs/>
        </w:rPr>
      </w:pPr>
    </w:p>
    <w:p w14:paraId="5A01E488" w14:textId="74C6F537" w:rsidR="00CA6FA8" w:rsidRPr="008F04AB" w:rsidRDefault="00CA6FA8" w:rsidP="006461DA">
      <w:pPr>
        <w:spacing w:after="0" w:line="360" w:lineRule="auto"/>
        <w:ind w:right="-93"/>
        <w:rPr>
          <w:rFonts w:eastAsia="Calibri" w:cs="Tahoma"/>
          <w:bCs/>
        </w:rPr>
      </w:pPr>
      <w:r w:rsidRPr="008F04AB">
        <w:rPr>
          <w:rFonts w:eastAsia="Calibri" w:cs="Tahoma"/>
          <w:bCs/>
        </w:rPr>
        <w:lastRenderedPageBreak/>
        <w:t xml:space="preserve">En el supuesto de </w:t>
      </w:r>
      <w:r w:rsidR="003B2607" w:rsidRPr="008F04AB">
        <w:rPr>
          <w:rFonts w:eastAsia="Calibri" w:cs="Tahoma"/>
          <w:bCs/>
        </w:rPr>
        <w:t>que la información que se ordena entregar sobre juicios de</w:t>
      </w:r>
      <w:r w:rsidR="00506A1C">
        <w:rPr>
          <w:rFonts w:eastAsia="Calibri" w:cs="Tahoma"/>
          <w:bCs/>
        </w:rPr>
        <w:t xml:space="preserve"> amparo</w:t>
      </w:r>
      <w:r w:rsidR="003B2607" w:rsidRPr="008F04AB">
        <w:rPr>
          <w:rFonts w:eastAsia="Calibri" w:cs="Tahoma"/>
          <w:bCs/>
        </w:rPr>
        <w:t xml:space="preserve"> no </w:t>
      </w:r>
      <w:proofErr w:type="gramStart"/>
      <w:r w:rsidR="003B2607" w:rsidRPr="008F04AB">
        <w:rPr>
          <w:rFonts w:eastAsia="Calibri" w:cs="Tahoma"/>
          <w:bCs/>
        </w:rPr>
        <w:t>obren</w:t>
      </w:r>
      <w:proofErr w:type="gramEnd"/>
      <w:r w:rsidR="003B2607" w:rsidRPr="008F04AB">
        <w:rPr>
          <w:rFonts w:eastAsia="Calibri" w:cs="Tahoma"/>
          <w:bCs/>
        </w:rPr>
        <w:t xml:space="preserve"> en los archivos del Sujeto Obligado, deberá hacerlo del conocimiento del Recurrente de manera precisa y clara.</w:t>
      </w:r>
    </w:p>
    <w:p w14:paraId="45062E6F" w14:textId="77777777" w:rsidR="003D76E9" w:rsidRPr="008F04AB" w:rsidRDefault="003D76E9" w:rsidP="006461DA">
      <w:pPr>
        <w:tabs>
          <w:tab w:val="left" w:pos="4962"/>
        </w:tabs>
        <w:spacing w:after="0" w:line="360" w:lineRule="auto"/>
        <w:rPr>
          <w:rFonts w:cs="Tahoma"/>
          <w:bCs/>
          <w:iCs/>
        </w:rPr>
      </w:pPr>
    </w:p>
    <w:p w14:paraId="193021D5" w14:textId="77777777" w:rsidR="003D76E9" w:rsidRPr="008F04AB" w:rsidRDefault="003D76E9" w:rsidP="006461DA">
      <w:pPr>
        <w:spacing w:after="0" w:line="360" w:lineRule="auto"/>
        <w:contextualSpacing/>
        <w:rPr>
          <w:rFonts w:cs="Tahoma"/>
        </w:rPr>
      </w:pPr>
      <w:r w:rsidRPr="008F04AB">
        <w:rPr>
          <w:rFonts w:eastAsia="Calibri" w:cs="Tahoma"/>
          <w:b/>
          <w:bCs/>
        </w:rPr>
        <w:t xml:space="preserve">TERCERO. </w:t>
      </w:r>
      <w:r w:rsidRPr="008F04AB">
        <w:rPr>
          <w:rFonts w:cs="Tahoma"/>
          <w:b/>
        </w:rPr>
        <w:t xml:space="preserve">NOTIFÍQUESE </w:t>
      </w:r>
      <w:r w:rsidRPr="008F04AB">
        <w:rPr>
          <w:rFonts w:cs="Tahoma"/>
        </w:rPr>
        <w:t>la presente resolución al Titular de la Unidad de Transparencia del Sujeto Obligado, para que conforme al artículo 186 último párrafo, 189 segundo párrafo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w:t>
      </w:r>
    </w:p>
    <w:p w14:paraId="668EA31F" w14:textId="77777777" w:rsidR="003D76E9" w:rsidRPr="008F04AB" w:rsidRDefault="003D76E9" w:rsidP="006461DA">
      <w:pPr>
        <w:spacing w:after="0" w:line="360" w:lineRule="auto"/>
        <w:contextualSpacing/>
        <w:rPr>
          <w:rFonts w:cs="Tahoma"/>
        </w:rPr>
      </w:pPr>
    </w:p>
    <w:p w14:paraId="0914C5B1" w14:textId="77777777" w:rsidR="003D76E9" w:rsidRPr="008F04AB" w:rsidRDefault="003D76E9" w:rsidP="006461DA">
      <w:pPr>
        <w:spacing w:after="0" w:line="360" w:lineRule="auto"/>
        <w:contextualSpacing/>
        <w:rPr>
          <w:rFonts w:cs="Tahoma"/>
          <w:iCs/>
        </w:rPr>
      </w:pPr>
      <w:r w:rsidRPr="008F04AB">
        <w:rPr>
          <w:rFonts w:cs="Tahoma"/>
          <w:iCs/>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7CF0BA37" w14:textId="77777777" w:rsidR="003D76E9" w:rsidRPr="008F04AB" w:rsidRDefault="003D76E9" w:rsidP="006461DA">
      <w:pPr>
        <w:spacing w:after="0" w:line="360" w:lineRule="auto"/>
        <w:contextualSpacing/>
        <w:rPr>
          <w:rFonts w:eastAsia="Calibri" w:cs="Tahoma"/>
          <w:color w:val="000000"/>
          <w:lang w:val="es-ES" w:eastAsia="es-MX"/>
        </w:rPr>
      </w:pPr>
    </w:p>
    <w:p w14:paraId="22FBDC84" w14:textId="31253504" w:rsidR="008043BD" w:rsidRPr="008F04AB" w:rsidRDefault="002D00DC" w:rsidP="006461DA">
      <w:pPr>
        <w:spacing w:after="0" w:line="360" w:lineRule="auto"/>
        <w:rPr>
          <w:rFonts w:eastAsia="Calibri" w:cs="Tahoma"/>
          <w:bCs/>
        </w:rPr>
      </w:pPr>
      <w:r w:rsidRPr="008F04AB">
        <w:rPr>
          <w:rFonts w:eastAsia="Calibri" w:cs="Tahoma"/>
          <w:b/>
          <w:lang w:eastAsia="es-MX"/>
        </w:rPr>
        <w:t>CUARTO</w:t>
      </w:r>
      <w:r w:rsidRPr="008F04AB">
        <w:rPr>
          <w:rFonts w:eastAsia="Calibri" w:cs="Tahoma"/>
          <w:b/>
          <w:bCs/>
        </w:rPr>
        <w:t xml:space="preserve">. </w:t>
      </w:r>
      <w:r w:rsidRPr="008F04AB">
        <w:rPr>
          <w:rFonts w:cs="Tahoma"/>
          <w:b/>
        </w:rPr>
        <w:t>NOTIFÍQUESE</w:t>
      </w:r>
      <w:r w:rsidRPr="008F04AB">
        <w:rPr>
          <w:rFonts w:cs="Tahoma"/>
        </w:rPr>
        <w:t xml:space="preserve"> al Recurrente la presente Resolución a través del </w:t>
      </w:r>
      <w:r w:rsidRPr="008F04AB">
        <w:rPr>
          <w:rFonts w:eastAsia="Calibri" w:cs="Tahoma"/>
          <w:bCs/>
        </w:rPr>
        <w:t>Sistema de Acceso a la Información Mexiquense (SAIMEX);</w:t>
      </w:r>
      <w:r w:rsidRPr="008F04AB">
        <w:rPr>
          <w:rFonts w:cs="Tahoma"/>
        </w:rPr>
        <w:t xml:space="preserve"> asimismo, se hace de su conocimiento que de conformidad con lo establecido en el </w:t>
      </w:r>
      <w:r w:rsidRPr="008F04AB">
        <w:rPr>
          <w:rFonts w:eastAsia="Calibri" w:cs="Tahoma"/>
          <w:bCs/>
        </w:rPr>
        <w:t>artículo 196 de la Ley de Transparencia y Acceso a la Información Pública del Estado de México y Municipios podrá promover el Juicio de Amparo en los términos de las leyes aplicables</w:t>
      </w:r>
      <w:r w:rsidR="008043BD" w:rsidRPr="008F04AB">
        <w:rPr>
          <w:rFonts w:eastAsia="Calibri" w:cs="Tahoma"/>
          <w:bCs/>
        </w:rPr>
        <w:t>.</w:t>
      </w:r>
    </w:p>
    <w:p w14:paraId="46576607" w14:textId="77777777" w:rsidR="008043BD" w:rsidRPr="008F04AB" w:rsidRDefault="008043BD" w:rsidP="006461DA">
      <w:pPr>
        <w:spacing w:after="0" w:line="360" w:lineRule="auto"/>
        <w:rPr>
          <w:rFonts w:eastAsia="Calibri" w:cs="Tahoma"/>
          <w:bCs/>
        </w:rPr>
      </w:pPr>
    </w:p>
    <w:p w14:paraId="6422486B" w14:textId="52B0698A" w:rsidR="00E1211E" w:rsidRPr="008F04AB" w:rsidRDefault="003D76E9" w:rsidP="006461DA">
      <w:pPr>
        <w:spacing w:after="0" w:line="360" w:lineRule="auto"/>
        <w:contextualSpacing/>
        <w:rPr>
          <w:rFonts w:cs="Tahoma"/>
          <w:lang w:eastAsia="es-MX"/>
        </w:rPr>
      </w:pPr>
      <w:r w:rsidRPr="008F04AB">
        <w:rPr>
          <w:rFonts w:cs="Tahoma"/>
          <w:lang w:eastAsia="es-MX"/>
        </w:rPr>
        <w:t xml:space="preserve">ASÍ LO </w:t>
      </w:r>
      <w:r w:rsidR="007E7764" w:rsidRPr="008F04AB">
        <w:rPr>
          <w:rFonts w:cs="Tahoma"/>
          <w:lang w:eastAsia="es-MX"/>
        </w:rPr>
        <w:t xml:space="preserve">RESUELVE, POR </w:t>
      </w:r>
      <w:r w:rsidR="007E7764">
        <w:rPr>
          <w:rFonts w:cs="Tahoma"/>
          <w:b/>
          <w:lang w:eastAsia="es-MX"/>
        </w:rPr>
        <w:t>MAYORÍA</w:t>
      </w:r>
      <w:r w:rsidR="007E7764" w:rsidRPr="008F04AB">
        <w:rPr>
          <w:rFonts w:cs="Tahoma"/>
          <w:lang w:eastAsia="es-MX"/>
        </w:rPr>
        <w:t xml:space="preserve"> DE VOTOS EL PLENO DEL INSTITUTO DE TRANSPARENCIA, ACCESO A LA INFORMACIÓN PÚBLICA Y PROTECCIÓN DE DATOS PERSONALES DEL ESTADO DE MÉXICO Y MUNICIPIOS, CONFORMADO POR LOS COMISIONADOS JOSÉ MARTÍNEZ VILCHIS, MARÍA DEL ROSARIO MEJÍA AYALA, SHARON CRISTINA MORALES MARTÍNEZ</w:t>
      </w:r>
      <w:r w:rsidR="007E7764">
        <w:rPr>
          <w:rFonts w:cs="Tahoma"/>
          <w:lang w:eastAsia="es-MX"/>
        </w:rPr>
        <w:t xml:space="preserve"> CON VOTO DISIDENTE</w:t>
      </w:r>
      <w:r w:rsidR="007E7764" w:rsidRPr="008F04AB">
        <w:rPr>
          <w:rFonts w:cs="Tahoma"/>
          <w:lang w:eastAsia="es-MX"/>
        </w:rPr>
        <w:t xml:space="preserve">, LUIS </w:t>
      </w:r>
      <w:r w:rsidRPr="008F04AB">
        <w:rPr>
          <w:rFonts w:cs="Tahoma"/>
          <w:lang w:eastAsia="es-MX"/>
        </w:rPr>
        <w:t xml:space="preserve">GUSTAVO </w:t>
      </w:r>
      <w:r w:rsidRPr="008F04AB">
        <w:rPr>
          <w:rFonts w:cs="Tahoma"/>
          <w:lang w:eastAsia="es-MX"/>
        </w:rPr>
        <w:lastRenderedPageBreak/>
        <w:t xml:space="preserve">PARRA NORIEGA Y GUADALUPE RAMÍREZ PEÑA, EN LA </w:t>
      </w:r>
      <w:r w:rsidR="002360DE">
        <w:rPr>
          <w:rFonts w:cs="Tahoma"/>
          <w:lang w:eastAsia="es-MX"/>
        </w:rPr>
        <w:t>TRIGÉSIMA</w:t>
      </w:r>
      <w:r w:rsidRPr="008F04AB">
        <w:rPr>
          <w:rFonts w:cs="Tahoma"/>
          <w:lang w:eastAsia="es-MX"/>
        </w:rPr>
        <w:t xml:space="preserve"> </w:t>
      </w:r>
      <w:r w:rsidR="00FC29CD">
        <w:rPr>
          <w:rFonts w:cs="Tahoma"/>
          <w:lang w:eastAsia="es-MX"/>
        </w:rPr>
        <w:t>TERCERA</w:t>
      </w:r>
      <w:r w:rsidR="00520CF7">
        <w:rPr>
          <w:rFonts w:cs="Tahoma"/>
          <w:lang w:eastAsia="es-MX"/>
        </w:rPr>
        <w:t xml:space="preserve"> </w:t>
      </w:r>
      <w:r w:rsidRPr="008F04AB">
        <w:rPr>
          <w:rFonts w:cs="Tahoma"/>
          <w:lang w:eastAsia="es-MX"/>
        </w:rPr>
        <w:t xml:space="preserve">SESIÓN ORDINARIA, CELEBRADA EL </w:t>
      </w:r>
      <w:r w:rsidR="00F10A90">
        <w:rPr>
          <w:rFonts w:cs="Tahoma"/>
          <w:lang w:eastAsia="es-MX"/>
        </w:rPr>
        <w:t>SIETE DE SEPTIEMBRE DE DOS MIL VEINTIDÓS</w:t>
      </w:r>
      <w:r w:rsidR="00FC29CD">
        <w:rPr>
          <w:rFonts w:cs="Tahoma"/>
          <w:lang w:eastAsia="es-MX"/>
        </w:rPr>
        <w:t xml:space="preserve">, </w:t>
      </w:r>
      <w:r w:rsidRPr="008F04AB">
        <w:rPr>
          <w:rFonts w:cs="Tahoma"/>
          <w:lang w:eastAsia="es-MX"/>
        </w:rPr>
        <w:t>ANTE EL SECRETARIO TÉCNICO DEL PLENO, ALEXIS TAPIA RAMÍREZ</w:t>
      </w:r>
      <w:r w:rsidR="00EC79B3" w:rsidRPr="008F04AB">
        <w:rPr>
          <w:rFonts w:cs="Tahoma"/>
          <w:lang w:eastAsia="es-MX"/>
        </w:rPr>
        <w:t>.</w:t>
      </w:r>
    </w:p>
    <w:p w14:paraId="6A42603C" w14:textId="77777777" w:rsidR="00E1211E" w:rsidRPr="008F04AB" w:rsidRDefault="00E1211E" w:rsidP="006461DA">
      <w:pPr>
        <w:spacing w:after="0" w:line="360" w:lineRule="auto"/>
        <w:jc w:val="left"/>
        <w:rPr>
          <w:rFonts w:cs="Tahoma"/>
          <w:lang w:eastAsia="es-MX"/>
        </w:rPr>
      </w:pPr>
      <w:r w:rsidRPr="008F04AB">
        <w:rPr>
          <w:rFonts w:cs="Tahoma"/>
          <w:lang w:eastAsia="es-MX"/>
        </w:rPr>
        <w:br w:type="page"/>
      </w:r>
    </w:p>
    <w:p w14:paraId="268A32E7" w14:textId="1ECF9C5D" w:rsidR="00EE1C95" w:rsidRPr="00695B2C" w:rsidRDefault="00EE1C95" w:rsidP="006461DA">
      <w:pPr>
        <w:spacing w:after="0" w:line="360" w:lineRule="auto"/>
      </w:pPr>
    </w:p>
    <w:p w14:paraId="1DAE6A76" w14:textId="47370011" w:rsidR="00EE1C95" w:rsidRPr="00695B2C" w:rsidRDefault="00EE1C95" w:rsidP="006461DA">
      <w:pPr>
        <w:spacing w:after="0" w:line="360" w:lineRule="auto"/>
      </w:pPr>
    </w:p>
    <w:p w14:paraId="240A65CB" w14:textId="08F59B8D" w:rsidR="00EE1C95" w:rsidRPr="00695B2C" w:rsidRDefault="00EE1C95" w:rsidP="006461DA">
      <w:pPr>
        <w:spacing w:after="0" w:line="360" w:lineRule="auto"/>
        <w:rPr>
          <w:rFonts w:eastAsia="Calibri" w:cs="Tahoma"/>
          <w:bCs/>
        </w:rPr>
      </w:pPr>
    </w:p>
    <w:p w14:paraId="4F097F64" w14:textId="77777777" w:rsidR="00EC79B3" w:rsidRPr="00695B2C" w:rsidRDefault="00EC79B3" w:rsidP="006461DA">
      <w:pPr>
        <w:spacing w:after="0" w:line="360" w:lineRule="auto"/>
        <w:contextualSpacing/>
        <w:rPr>
          <w:rFonts w:cs="Tahoma"/>
          <w:lang w:eastAsia="es-MX"/>
        </w:rPr>
      </w:pPr>
    </w:p>
    <w:sectPr w:rsidR="00EC79B3" w:rsidRPr="00695B2C" w:rsidSect="00177EE1">
      <w:headerReference w:type="even" r:id="rId96"/>
      <w:headerReference w:type="default" r:id="rId97"/>
      <w:footerReference w:type="even" r:id="rId98"/>
      <w:footerReference w:type="default" r:id="rId99"/>
      <w:headerReference w:type="first" r:id="rId100"/>
      <w:footerReference w:type="first" r:id="rId101"/>
      <w:pgSz w:w="12240" w:h="15840"/>
      <w:pgMar w:top="1418" w:right="1418"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C5BE88" w14:textId="77777777" w:rsidR="00906973" w:rsidRDefault="00906973" w:rsidP="00177EE1">
      <w:pPr>
        <w:spacing w:after="0" w:line="240" w:lineRule="auto"/>
      </w:pPr>
      <w:r>
        <w:separator/>
      </w:r>
    </w:p>
  </w:endnote>
  <w:endnote w:type="continuationSeparator" w:id="0">
    <w:p w14:paraId="7E811366" w14:textId="77777777" w:rsidR="00906973" w:rsidRDefault="00906973" w:rsidP="00177EE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Franklin Gothic Book">
    <w:panose1 w:val="020B05030201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Garamond">
    <w:panose1 w:val="020204040303010108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18588"/>
      <w:docPartObj>
        <w:docPartGallery w:val="Page Numbers (Bottom of Page)"/>
        <w:docPartUnique/>
      </w:docPartObj>
    </w:sdtPr>
    <w:sdtContent>
      <w:sdt>
        <w:sdtPr>
          <w:id w:val="-1486162003"/>
          <w:docPartObj>
            <w:docPartGallery w:val="Page Numbers (Top of Page)"/>
            <w:docPartUnique/>
          </w:docPartObj>
        </w:sdtPr>
        <w:sdtContent>
          <w:p w14:paraId="034B23CA" w14:textId="77777777" w:rsidR="000138A1" w:rsidRDefault="000138A1">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Pr>
                <w:b/>
                <w:bCs/>
                <w:lang w:val="es-ES"/>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Pr>
                <w:b/>
                <w:bCs/>
                <w:noProof/>
              </w:rPr>
              <w:t>1</w:t>
            </w:r>
            <w:r>
              <w:rPr>
                <w:b/>
                <w:bCs/>
                <w:sz w:val="24"/>
                <w:szCs w:val="24"/>
              </w:rPr>
              <w:fldChar w:fldCharType="end"/>
            </w:r>
          </w:p>
        </w:sdtContent>
      </w:sdt>
    </w:sdtContent>
  </w:sdt>
  <w:p w14:paraId="74A89D93" w14:textId="77777777" w:rsidR="000138A1" w:rsidRDefault="000138A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5037141"/>
      <w:docPartObj>
        <w:docPartGallery w:val="Page Numbers (Bottom of Page)"/>
        <w:docPartUnique/>
      </w:docPartObj>
    </w:sdtPr>
    <w:sdtContent>
      <w:sdt>
        <w:sdtPr>
          <w:id w:val="-1053769877"/>
          <w:docPartObj>
            <w:docPartGallery w:val="Page Numbers (Top of Page)"/>
            <w:docPartUnique/>
          </w:docPartObj>
        </w:sdtPr>
        <w:sdtContent>
          <w:p w14:paraId="5E23365D" w14:textId="77777777" w:rsidR="000138A1" w:rsidRDefault="000138A1">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674BC6">
              <w:rPr>
                <w:b/>
                <w:bCs/>
                <w:noProof/>
              </w:rPr>
              <w:t>2</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674BC6">
              <w:rPr>
                <w:b/>
                <w:bCs/>
                <w:noProof/>
              </w:rPr>
              <w:t>66</w:t>
            </w:r>
            <w:r>
              <w:rPr>
                <w:b/>
                <w:bCs/>
                <w:sz w:val="24"/>
                <w:szCs w:val="24"/>
              </w:rPr>
              <w:fldChar w:fldCharType="end"/>
            </w:r>
          </w:p>
        </w:sdtContent>
      </w:sdt>
    </w:sdtContent>
  </w:sdt>
  <w:p w14:paraId="07E97198" w14:textId="77777777" w:rsidR="000138A1" w:rsidRDefault="000138A1">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6825420"/>
      <w:docPartObj>
        <w:docPartGallery w:val="Page Numbers (Bottom of Page)"/>
        <w:docPartUnique/>
      </w:docPartObj>
    </w:sdtPr>
    <w:sdtContent>
      <w:sdt>
        <w:sdtPr>
          <w:id w:val="-1769616900"/>
          <w:docPartObj>
            <w:docPartGallery w:val="Page Numbers (Top of Page)"/>
            <w:docPartUnique/>
          </w:docPartObj>
        </w:sdtPr>
        <w:sdtContent>
          <w:p w14:paraId="02510848" w14:textId="77777777" w:rsidR="000138A1" w:rsidRDefault="000138A1">
            <w:pPr>
              <w:pStyle w:val="Piedepgina"/>
              <w:jc w:val="right"/>
            </w:pPr>
            <w:r>
              <w:rPr>
                <w:lang w:val="es-ES"/>
              </w:rPr>
              <w:t xml:space="preserve">Página </w:t>
            </w:r>
            <w:r>
              <w:rPr>
                <w:b/>
                <w:bCs/>
                <w:sz w:val="24"/>
                <w:szCs w:val="24"/>
              </w:rPr>
              <w:fldChar w:fldCharType="begin"/>
            </w:r>
            <w:r>
              <w:rPr>
                <w:b/>
                <w:bCs/>
              </w:rPr>
              <w:instrText>PAGE</w:instrText>
            </w:r>
            <w:r>
              <w:rPr>
                <w:b/>
                <w:bCs/>
                <w:sz w:val="24"/>
                <w:szCs w:val="24"/>
              </w:rPr>
              <w:fldChar w:fldCharType="separate"/>
            </w:r>
            <w:r w:rsidR="00674BC6">
              <w:rPr>
                <w:b/>
                <w:bCs/>
                <w:noProof/>
              </w:rPr>
              <w:t>1</w:t>
            </w:r>
            <w:r>
              <w:rPr>
                <w:b/>
                <w:bCs/>
                <w:sz w:val="24"/>
                <w:szCs w:val="24"/>
              </w:rPr>
              <w:fldChar w:fldCharType="end"/>
            </w:r>
            <w:r>
              <w:rPr>
                <w:lang w:val="es-ES"/>
              </w:rPr>
              <w:t xml:space="preserve"> de </w:t>
            </w:r>
            <w:r>
              <w:rPr>
                <w:b/>
                <w:bCs/>
                <w:sz w:val="24"/>
                <w:szCs w:val="24"/>
              </w:rPr>
              <w:fldChar w:fldCharType="begin"/>
            </w:r>
            <w:r>
              <w:rPr>
                <w:b/>
                <w:bCs/>
              </w:rPr>
              <w:instrText>NUMPAGES</w:instrText>
            </w:r>
            <w:r>
              <w:rPr>
                <w:b/>
                <w:bCs/>
                <w:sz w:val="24"/>
                <w:szCs w:val="24"/>
              </w:rPr>
              <w:fldChar w:fldCharType="separate"/>
            </w:r>
            <w:r w:rsidR="00674BC6">
              <w:rPr>
                <w:b/>
                <w:bCs/>
                <w:noProof/>
              </w:rPr>
              <w:t>66</w:t>
            </w:r>
            <w:r>
              <w:rPr>
                <w:b/>
                <w:bCs/>
                <w:sz w:val="24"/>
                <w:szCs w:val="24"/>
              </w:rPr>
              <w:fldChar w:fldCharType="end"/>
            </w:r>
          </w:p>
        </w:sdtContent>
      </w:sdt>
    </w:sdtContent>
  </w:sdt>
  <w:p w14:paraId="79B76E3F" w14:textId="77777777" w:rsidR="000138A1" w:rsidRDefault="000138A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A51B83" w14:textId="77777777" w:rsidR="00906973" w:rsidRDefault="00906973" w:rsidP="00177EE1">
      <w:pPr>
        <w:spacing w:after="0" w:line="240" w:lineRule="auto"/>
      </w:pPr>
      <w:r>
        <w:separator/>
      </w:r>
    </w:p>
  </w:footnote>
  <w:footnote w:type="continuationSeparator" w:id="0">
    <w:p w14:paraId="5FABF068" w14:textId="77777777" w:rsidR="00906973" w:rsidRDefault="00906973" w:rsidP="00177EE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5991" w:type="dxa"/>
      <w:tblInd w:w="35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20" w:firstRow="1" w:lastRow="0" w:firstColumn="0" w:lastColumn="0" w:noHBand="0" w:noVBand="1"/>
    </w:tblPr>
    <w:tblGrid>
      <w:gridCol w:w="2404"/>
      <w:gridCol w:w="3587"/>
    </w:tblGrid>
    <w:tr w:rsidR="000138A1" w14:paraId="5F52583E" w14:textId="77777777" w:rsidTr="00177EE1">
      <w:trPr>
        <w:trHeight w:val="141"/>
      </w:trPr>
      <w:tc>
        <w:tcPr>
          <w:tcW w:w="2404" w:type="dxa"/>
        </w:tcPr>
        <w:p w14:paraId="4FEC125C" w14:textId="77777777" w:rsidR="000138A1" w:rsidRPr="001B5FB6" w:rsidRDefault="000138A1" w:rsidP="00177EE1">
          <w:pPr>
            <w:tabs>
              <w:tab w:val="right" w:pos="8838"/>
            </w:tabs>
            <w:ind w:right="-105"/>
            <w:rPr>
              <w:rFonts w:eastAsia="Calibri" w:cs="Tahoma"/>
              <w:b/>
              <w:lang w:val="es-MX"/>
            </w:rPr>
          </w:pPr>
          <w:r w:rsidRPr="001B5FB6">
            <w:rPr>
              <w:rFonts w:eastAsia="Calibri" w:cs="Tahoma"/>
              <w:b/>
              <w:lang w:val="es-MX"/>
            </w:rPr>
            <w:t>Recurso</w:t>
          </w:r>
          <w:r>
            <w:rPr>
              <w:rFonts w:eastAsia="Calibri" w:cs="Tahoma"/>
              <w:b/>
              <w:lang w:val="es-MX"/>
            </w:rPr>
            <w:t xml:space="preserve"> </w:t>
          </w:r>
          <w:r w:rsidRPr="001B5FB6">
            <w:rPr>
              <w:rFonts w:eastAsia="Calibri" w:cs="Tahoma"/>
              <w:b/>
              <w:lang w:val="es-MX"/>
            </w:rPr>
            <w:t>de</w:t>
          </w:r>
          <w:r>
            <w:rPr>
              <w:rFonts w:eastAsia="Calibri" w:cs="Tahoma"/>
              <w:b/>
              <w:lang w:val="es-MX"/>
            </w:rPr>
            <w:t xml:space="preserve"> </w:t>
          </w:r>
          <w:r w:rsidRPr="001B5FB6">
            <w:rPr>
              <w:rFonts w:eastAsia="Calibri" w:cs="Tahoma"/>
              <w:b/>
              <w:lang w:val="es-MX"/>
            </w:rPr>
            <w:t>Revisión:</w:t>
          </w:r>
        </w:p>
      </w:tc>
      <w:tc>
        <w:tcPr>
          <w:tcW w:w="3587" w:type="dxa"/>
        </w:tcPr>
        <w:p w14:paraId="2E892B64" w14:textId="77777777" w:rsidR="000138A1" w:rsidRPr="00A8173F" w:rsidRDefault="000138A1" w:rsidP="00177EE1">
          <w:pPr>
            <w:tabs>
              <w:tab w:val="right" w:pos="8838"/>
            </w:tabs>
            <w:ind w:left="-28" w:right="683"/>
            <w:rPr>
              <w:rFonts w:eastAsia="Calibri" w:cs="Tahoma"/>
            </w:rPr>
          </w:pPr>
          <w:r w:rsidRPr="00A8173F">
            <w:rPr>
              <w:rFonts w:eastAsia="Calibri" w:cs="Tahoma"/>
              <w:lang w:val="es-MX"/>
            </w:rPr>
            <w:t>04196/INFOEM/IP/RR/2020</w:t>
          </w:r>
        </w:p>
      </w:tc>
    </w:tr>
    <w:tr w:rsidR="000138A1" w14:paraId="3BB32F3F" w14:textId="77777777" w:rsidTr="00177EE1">
      <w:trPr>
        <w:trHeight w:val="276"/>
      </w:trPr>
      <w:tc>
        <w:tcPr>
          <w:tcW w:w="2404" w:type="dxa"/>
        </w:tcPr>
        <w:p w14:paraId="75103636" w14:textId="77777777" w:rsidR="000138A1" w:rsidRPr="001B5FB6" w:rsidRDefault="000138A1" w:rsidP="00177EE1">
          <w:pPr>
            <w:tabs>
              <w:tab w:val="right" w:pos="8838"/>
            </w:tabs>
            <w:ind w:right="-105"/>
            <w:rPr>
              <w:rFonts w:eastAsia="Calibri" w:cs="Tahoma"/>
              <w:b/>
              <w:lang w:val="es-MX"/>
            </w:rPr>
          </w:pPr>
          <w:r w:rsidRPr="001B5FB6">
            <w:rPr>
              <w:rFonts w:eastAsia="Calibri" w:cs="Tahoma"/>
              <w:b/>
              <w:lang w:val="es-MX"/>
            </w:rPr>
            <w:t>Sujeto</w:t>
          </w:r>
          <w:r>
            <w:rPr>
              <w:rFonts w:eastAsia="Calibri" w:cs="Tahoma"/>
              <w:b/>
              <w:lang w:val="es-MX"/>
            </w:rPr>
            <w:t xml:space="preserve"> </w:t>
          </w:r>
          <w:r w:rsidRPr="001B5FB6">
            <w:rPr>
              <w:rFonts w:eastAsia="Calibri" w:cs="Tahoma"/>
              <w:b/>
              <w:lang w:val="es-MX"/>
            </w:rPr>
            <w:t>Obligado:</w:t>
          </w:r>
        </w:p>
      </w:tc>
      <w:tc>
        <w:tcPr>
          <w:tcW w:w="3587" w:type="dxa"/>
        </w:tcPr>
        <w:p w14:paraId="09FCA0D8" w14:textId="77777777" w:rsidR="000138A1" w:rsidRPr="00A8173F" w:rsidRDefault="000138A1" w:rsidP="00177EE1">
          <w:pPr>
            <w:tabs>
              <w:tab w:val="right" w:pos="8838"/>
            </w:tabs>
            <w:ind w:right="116"/>
            <w:rPr>
              <w:rFonts w:eastAsia="Calibri" w:cs="Tahoma"/>
              <w:lang w:val="es-MX"/>
            </w:rPr>
          </w:pPr>
          <w:r w:rsidRPr="00A8173F">
            <w:rPr>
              <w:rFonts w:eastAsia="Calibri" w:cs="Tahoma"/>
              <w:lang w:val="es-MX"/>
            </w:rPr>
            <w:t>Ayuntamiento</w:t>
          </w:r>
          <w:r>
            <w:rPr>
              <w:rFonts w:eastAsia="Calibri" w:cs="Tahoma"/>
              <w:lang w:val="es-MX"/>
            </w:rPr>
            <w:t xml:space="preserve"> </w:t>
          </w:r>
          <w:r w:rsidRPr="00A8173F">
            <w:rPr>
              <w:rFonts w:eastAsia="Calibri" w:cs="Tahoma"/>
              <w:lang w:val="es-MX"/>
            </w:rPr>
            <w:t>de</w:t>
          </w:r>
          <w:r>
            <w:rPr>
              <w:rFonts w:eastAsia="Calibri" w:cs="Tahoma"/>
              <w:lang w:val="es-MX"/>
            </w:rPr>
            <w:t xml:space="preserve"> </w:t>
          </w:r>
          <w:r w:rsidRPr="00A8173F">
            <w:rPr>
              <w:rFonts w:eastAsia="Calibri" w:cs="Tahoma"/>
              <w:lang w:val="es-MX"/>
            </w:rPr>
            <w:t>Chapultepec</w:t>
          </w:r>
        </w:p>
      </w:tc>
    </w:tr>
    <w:tr w:rsidR="000138A1" w14:paraId="0B6CFE08" w14:textId="77777777" w:rsidTr="00177EE1">
      <w:trPr>
        <w:trHeight w:val="276"/>
      </w:trPr>
      <w:tc>
        <w:tcPr>
          <w:tcW w:w="2404" w:type="dxa"/>
        </w:tcPr>
        <w:p w14:paraId="6428673D" w14:textId="77777777" w:rsidR="000138A1" w:rsidRPr="001B5FB6" w:rsidRDefault="000138A1" w:rsidP="00177EE1">
          <w:pPr>
            <w:tabs>
              <w:tab w:val="right" w:pos="8838"/>
            </w:tabs>
            <w:ind w:right="-105"/>
            <w:rPr>
              <w:rFonts w:eastAsia="Calibri" w:cs="Tahoma"/>
              <w:b/>
              <w:lang w:val="es-MX"/>
            </w:rPr>
          </w:pPr>
          <w:r w:rsidRPr="001B5FB6">
            <w:rPr>
              <w:rFonts w:eastAsia="Calibri" w:cs="Tahoma"/>
              <w:b/>
              <w:lang w:val="es-MX"/>
            </w:rPr>
            <w:t>Comisionado</w:t>
          </w:r>
          <w:r>
            <w:rPr>
              <w:rFonts w:eastAsia="Calibri" w:cs="Tahoma"/>
              <w:b/>
              <w:lang w:val="es-MX"/>
            </w:rPr>
            <w:t xml:space="preserve"> </w:t>
          </w:r>
          <w:r w:rsidRPr="001B5FB6">
            <w:rPr>
              <w:rFonts w:eastAsia="Calibri" w:cs="Tahoma"/>
              <w:b/>
              <w:lang w:val="es-MX"/>
            </w:rPr>
            <w:t>Ponente:</w:t>
          </w:r>
        </w:p>
      </w:tc>
      <w:tc>
        <w:tcPr>
          <w:tcW w:w="3587" w:type="dxa"/>
        </w:tcPr>
        <w:p w14:paraId="7D0D89D0" w14:textId="77777777" w:rsidR="000138A1" w:rsidRPr="00A8173F" w:rsidRDefault="000138A1" w:rsidP="00177EE1">
          <w:pPr>
            <w:tabs>
              <w:tab w:val="right" w:pos="8838"/>
            </w:tabs>
            <w:ind w:right="-32"/>
            <w:rPr>
              <w:rFonts w:eastAsia="Calibri" w:cs="Tahoma"/>
              <w:lang w:val="es-MX"/>
            </w:rPr>
          </w:pPr>
          <w:r w:rsidRPr="00A8173F">
            <w:rPr>
              <w:rFonts w:eastAsia="Calibri" w:cs="Tahoma"/>
              <w:lang w:val="es-MX"/>
            </w:rPr>
            <w:t>Luis</w:t>
          </w:r>
          <w:r>
            <w:rPr>
              <w:rFonts w:eastAsia="Calibri" w:cs="Tahoma"/>
              <w:lang w:val="es-MX"/>
            </w:rPr>
            <w:t xml:space="preserve"> </w:t>
          </w:r>
          <w:r w:rsidRPr="00A8173F">
            <w:rPr>
              <w:rFonts w:eastAsia="Calibri" w:cs="Tahoma"/>
              <w:lang w:val="es-MX"/>
            </w:rPr>
            <w:t>Gustavo</w:t>
          </w:r>
          <w:r>
            <w:rPr>
              <w:rFonts w:eastAsia="Calibri" w:cs="Tahoma"/>
              <w:lang w:val="es-MX"/>
            </w:rPr>
            <w:t xml:space="preserve"> </w:t>
          </w:r>
          <w:r w:rsidRPr="00A8173F">
            <w:rPr>
              <w:rFonts w:eastAsia="Calibri" w:cs="Tahoma"/>
              <w:lang w:val="es-MX"/>
            </w:rPr>
            <w:t>Parra</w:t>
          </w:r>
          <w:r>
            <w:rPr>
              <w:rFonts w:eastAsia="Calibri" w:cs="Tahoma"/>
              <w:lang w:val="es-MX"/>
            </w:rPr>
            <w:t xml:space="preserve"> </w:t>
          </w:r>
          <w:r w:rsidRPr="00A8173F">
            <w:rPr>
              <w:rFonts w:eastAsia="Calibri" w:cs="Tahoma"/>
              <w:lang w:val="es-MX"/>
            </w:rPr>
            <w:t>Noriega</w:t>
          </w:r>
        </w:p>
      </w:tc>
    </w:tr>
  </w:tbl>
  <w:p w14:paraId="6F5A29FB" w14:textId="77777777" w:rsidR="000138A1" w:rsidRDefault="00000000">
    <w:pPr>
      <w:pStyle w:val="Encabezado"/>
    </w:pPr>
    <w:r>
      <w:rPr>
        <w:noProof/>
      </w:rPr>
      <w:pict w14:anchorId="596947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12024032" o:spid="_x0000_s1025" type="#_x0000_t75" alt="MARCA DE AGUA - HOJA RESOLUCIÓN" style="position:absolute;left:0;text-align:left;margin-left:0;margin-top:0;width:663.5pt;height:12in;z-index:-251657216;mso-wrap-edited:f;mso-width-percent:0;mso-height-percent:0;mso-position-horizontal:center;mso-position-horizontal-relative:margin;mso-position-vertical:center;mso-position-vertical-relative:margin;mso-width-percent:0;mso-height-percent:0" o:allowincell="f">
          <v:imagedata r:id="rId1" o:title="MARCA DE AGUA - HOJA RESOLUCIÓN"/>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B68379" w14:textId="22A5B9C8" w:rsidR="000138A1" w:rsidRPr="004A705D" w:rsidRDefault="000138A1">
    <w:pPr>
      <w:rPr>
        <w:sz w:val="18"/>
        <w:szCs w:val="18"/>
      </w:rPr>
    </w:pPr>
  </w:p>
  <w:tbl>
    <w:tblPr>
      <w:tblStyle w:val="Tablaconcuadrcula"/>
      <w:tblW w:w="6521" w:type="dxa"/>
      <w:tblInd w:w="326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20" w:firstRow="1" w:lastRow="0" w:firstColumn="0" w:lastColumn="0" w:noHBand="0" w:noVBand="1"/>
    </w:tblPr>
    <w:tblGrid>
      <w:gridCol w:w="2404"/>
      <w:gridCol w:w="4117"/>
    </w:tblGrid>
    <w:tr w:rsidR="000138A1" w14:paraId="2121B106" w14:textId="77777777" w:rsidTr="00177EE1">
      <w:trPr>
        <w:trHeight w:val="141"/>
      </w:trPr>
      <w:tc>
        <w:tcPr>
          <w:tcW w:w="2404" w:type="dxa"/>
        </w:tcPr>
        <w:p w14:paraId="38DE62D8" w14:textId="77777777" w:rsidR="000138A1" w:rsidRPr="001B5FB6" w:rsidRDefault="000138A1" w:rsidP="00177EE1">
          <w:pPr>
            <w:tabs>
              <w:tab w:val="right" w:pos="8838"/>
            </w:tabs>
            <w:ind w:left="-395" w:right="-105" w:firstLine="395"/>
            <w:rPr>
              <w:rFonts w:eastAsia="Calibri" w:cs="Tahoma"/>
              <w:b/>
              <w:lang w:val="es-MX"/>
            </w:rPr>
          </w:pPr>
          <w:r w:rsidRPr="001B5FB6">
            <w:rPr>
              <w:rFonts w:eastAsia="Calibri" w:cs="Tahoma"/>
              <w:b/>
              <w:lang w:val="es-MX"/>
            </w:rPr>
            <w:t>Recurso</w:t>
          </w:r>
          <w:r>
            <w:rPr>
              <w:rFonts w:eastAsia="Calibri" w:cs="Tahoma"/>
              <w:b/>
              <w:lang w:val="es-MX"/>
            </w:rPr>
            <w:t xml:space="preserve"> </w:t>
          </w:r>
          <w:r w:rsidRPr="001B5FB6">
            <w:rPr>
              <w:rFonts w:eastAsia="Calibri" w:cs="Tahoma"/>
              <w:b/>
              <w:lang w:val="es-MX"/>
            </w:rPr>
            <w:t>de</w:t>
          </w:r>
          <w:r>
            <w:rPr>
              <w:rFonts w:eastAsia="Calibri" w:cs="Tahoma"/>
              <w:b/>
              <w:lang w:val="es-MX"/>
            </w:rPr>
            <w:t xml:space="preserve"> </w:t>
          </w:r>
          <w:r w:rsidRPr="001B5FB6">
            <w:rPr>
              <w:rFonts w:eastAsia="Calibri" w:cs="Tahoma"/>
              <w:b/>
              <w:lang w:val="es-MX"/>
            </w:rPr>
            <w:t>Revisión:</w:t>
          </w:r>
        </w:p>
      </w:tc>
      <w:tc>
        <w:tcPr>
          <w:tcW w:w="4117" w:type="dxa"/>
        </w:tcPr>
        <w:p w14:paraId="4682C08D" w14:textId="51B5717D" w:rsidR="000138A1" w:rsidRPr="00177EE1" w:rsidRDefault="00B060D8" w:rsidP="00177EE1">
          <w:pPr>
            <w:tabs>
              <w:tab w:val="right" w:pos="8838"/>
            </w:tabs>
            <w:ind w:left="-28" w:right="454"/>
            <w:rPr>
              <w:rFonts w:eastAsia="Calibri" w:cs="Tahoma"/>
            </w:rPr>
          </w:pPr>
          <w:bookmarkStart w:id="0" w:name="_Hlk113619794"/>
          <w:r>
            <w:rPr>
              <w:rFonts w:eastAsia="Calibri" w:cs="Tahoma"/>
              <w:bCs/>
              <w:lang w:val="es-MX"/>
            </w:rPr>
            <w:t>01026</w:t>
          </w:r>
          <w:r w:rsidR="00D104FE">
            <w:rPr>
              <w:rFonts w:eastAsia="Calibri" w:cs="Tahoma"/>
              <w:bCs/>
              <w:lang w:val="es-MX"/>
            </w:rPr>
            <w:t>/INFOEM/IP/RR/202</w:t>
          </w:r>
          <w:r w:rsidR="0080433B">
            <w:rPr>
              <w:rFonts w:eastAsia="Calibri" w:cs="Tahoma"/>
              <w:bCs/>
              <w:lang w:val="es-MX"/>
            </w:rPr>
            <w:t>2</w:t>
          </w:r>
          <w:bookmarkEnd w:id="0"/>
        </w:p>
      </w:tc>
    </w:tr>
    <w:tr w:rsidR="000138A1" w14:paraId="0A3867BF" w14:textId="77777777" w:rsidTr="00177EE1">
      <w:trPr>
        <w:trHeight w:val="276"/>
      </w:trPr>
      <w:tc>
        <w:tcPr>
          <w:tcW w:w="2404" w:type="dxa"/>
        </w:tcPr>
        <w:p w14:paraId="2490F7D1" w14:textId="77777777" w:rsidR="000138A1" w:rsidRPr="001B5FB6" w:rsidRDefault="000138A1" w:rsidP="00177EE1">
          <w:pPr>
            <w:tabs>
              <w:tab w:val="right" w:pos="8838"/>
            </w:tabs>
            <w:ind w:right="-105"/>
            <w:rPr>
              <w:rFonts w:eastAsia="Calibri" w:cs="Tahoma"/>
              <w:b/>
              <w:lang w:val="es-MX"/>
            </w:rPr>
          </w:pPr>
          <w:r w:rsidRPr="001B5FB6">
            <w:rPr>
              <w:rFonts w:eastAsia="Calibri" w:cs="Tahoma"/>
              <w:b/>
              <w:lang w:val="es-MX"/>
            </w:rPr>
            <w:t>Sujeto</w:t>
          </w:r>
          <w:r>
            <w:rPr>
              <w:rFonts w:eastAsia="Calibri" w:cs="Tahoma"/>
              <w:b/>
              <w:lang w:val="es-MX"/>
            </w:rPr>
            <w:t xml:space="preserve"> </w:t>
          </w:r>
          <w:r w:rsidRPr="001B5FB6">
            <w:rPr>
              <w:rFonts w:eastAsia="Calibri" w:cs="Tahoma"/>
              <w:b/>
              <w:lang w:val="es-MX"/>
            </w:rPr>
            <w:t>Obligado:</w:t>
          </w:r>
        </w:p>
      </w:tc>
      <w:tc>
        <w:tcPr>
          <w:tcW w:w="4117" w:type="dxa"/>
        </w:tcPr>
        <w:p w14:paraId="687FCF16" w14:textId="4584EF3B" w:rsidR="000138A1" w:rsidRPr="00177EE1" w:rsidRDefault="00B060D8" w:rsidP="00177EE1">
          <w:pPr>
            <w:tabs>
              <w:tab w:val="right" w:pos="8838"/>
            </w:tabs>
            <w:ind w:right="454"/>
            <w:rPr>
              <w:rFonts w:eastAsia="Calibri" w:cs="Tahoma"/>
              <w:lang w:val="es-MX"/>
            </w:rPr>
          </w:pPr>
          <w:r>
            <w:rPr>
              <w:rFonts w:eastAsia="Calibri" w:cs="Tahoma"/>
              <w:bCs/>
              <w:lang w:val="es-MX"/>
            </w:rPr>
            <w:t>Fiscalía General de Justicia del Estado de México</w:t>
          </w:r>
        </w:p>
      </w:tc>
    </w:tr>
    <w:tr w:rsidR="000138A1" w14:paraId="528EB81C" w14:textId="77777777" w:rsidTr="00177EE1">
      <w:trPr>
        <w:trHeight w:val="276"/>
      </w:trPr>
      <w:tc>
        <w:tcPr>
          <w:tcW w:w="2404" w:type="dxa"/>
        </w:tcPr>
        <w:p w14:paraId="30F0BB51" w14:textId="77777777" w:rsidR="000138A1" w:rsidRPr="001B5FB6" w:rsidRDefault="000138A1" w:rsidP="00177EE1">
          <w:pPr>
            <w:tabs>
              <w:tab w:val="right" w:pos="8838"/>
            </w:tabs>
            <w:ind w:right="-105"/>
            <w:rPr>
              <w:rFonts w:eastAsia="Calibri" w:cs="Tahoma"/>
              <w:b/>
              <w:lang w:val="es-MX"/>
            </w:rPr>
          </w:pPr>
          <w:r w:rsidRPr="001B5FB6">
            <w:rPr>
              <w:rFonts w:eastAsia="Calibri" w:cs="Tahoma"/>
              <w:b/>
              <w:lang w:val="es-MX"/>
            </w:rPr>
            <w:t>Comisionado</w:t>
          </w:r>
          <w:r>
            <w:rPr>
              <w:rFonts w:eastAsia="Calibri" w:cs="Tahoma"/>
              <w:b/>
              <w:lang w:val="es-MX"/>
            </w:rPr>
            <w:t xml:space="preserve"> </w:t>
          </w:r>
          <w:r w:rsidRPr="001B5FB6">
            <w:rPr>
              <w:rFonts w:eastAsia="Calibri" w:cs="Tahoma"/>
              <w:b/>
              <w:lang w:val="es-MX"/>
            </w:rPr>
            <w:t>Ponente:</w:t>
          </w:r>
        </w:p>
      </w:tc>
      <w:tc>
        <w:tcPr>
          <w:tcW w:w="4117" w:type="dxa"/>
        </w:tcPr>
        <w:p w14:paraId="1E4EDD5B" w14:textId="77777777" w:rsidR="000138A1" w:rsidRPr="00A8173F" w:rsidRDefault="000138A1" w:rsidP="00177EE1">
          <w:pPr>
            <w:tabs>
              <w:tab w:val="right" w:pos="8838"/>
            </w:tabs>
            <w:ind w:right="454"/>
            <w:rPr>
              <w:rFonts w:eastAsia="Calibri" w:cs="Tahoma"/>
              <w:lang w:val="es-MX"/>
            </w:rPr>
          </w:pPr>
          <w:r w:rsidRPr="00A8173F">
            <w:rPr>
              <w:rFonts w:eastAsia="Calibri" w:cs="Tahoma"/>
              <w:lang w:val="es-MX"/>
            </w:rPr>
            <w:t>Luis</w:t>
          </w:r>
          <w:r>
            <w:rPr>
              <w:rFonts w:eastAsia="Calibri" w:cs="Tahoma"/>
              <w:lang w:val="es-MX"/>
            </w:rPr>
            <w:t xml:space="preserve"> </w:t>
          </w:r>
          <w:r w:rsidRPr="00A8173F">
            <w:rPr>
              <w:rFonts w:eastAsia="Calibri" w:cs="Tahoma"/>
              <w:lang w:val="es-MX"/>
            </w:rPr>
            <w:t>Gustavo</w:t>
          </w:r>
          <w:r>
            <w:rPr>
              <w:rFonts w:eastAsia="Calibri" w:cs="Tahoma"/>
              <w:lang w:val="es-MX"/>
            </w:rPr>
            <w:t xml:space="preserve"> </w:t>
          </w:r>
          <w:r w:rsidRPr="00A8173F">
            <w:rPr>
              <w:rFonts w:eastAsia="Calibri" w:cs="Tahoma"/>
              <w:lang w:val="es-MX"/>
            </w:rPr>
            <w:t>Parra</w:t>
          </w:r>
          <w:r>
            <w:rPr>
              <w:rFonts w:eastAsia="Calibri" w:cs="Tahoma"/>
              <w:lang w:val="es-MX"/>
            </w:rPr>
            <w:t xml:space="preserve"> </w:t>
          </w:r>
          <w:r w:rsidRPr="00A8173F">
            <w:rPr>
              <w:rFonts w:eastAsia="Calibri" w:cs="Tahoma"/>
              <w:lang w:val="es-MX"/>
            </w:rPr>
            <w:t>Noriega</w:t>
          </w:r>
        </w:p>
      </w:tc>
    </w:tr>
  </w:tbl>
  <w:p w14:paraId="4839F206" w14:textId="77777777" w:rsidR="000138A1" w:rsidRDefault="00000000">
    <w:pPr>
      <w:pStyle w:val="Encabezado"/>
    </w:pPr>
    <w:r>
      <w:rPr>
        <w:noProof/>
      </w:rPr>
      <w:pict w14:anchorId="36E431D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12024033" o:spid="_x0000_s1026" type="#_x0000_t75" alt="MARCA DE AGUA - HOJA RESOLUCIÓN" style="position:absolute;left:0;text-align:left;margin-left:0;margin-top:0;width:663.5pt;height:12in;z-index:-251656192;mso-wrap-edited:f;mso-width-percent:0;mso-height-percent:0;mso-position-horizontal:center;mso-position-horizontal-relative:margin;mso-position-vertical:center;mso-position-vertical-relative:margin;mso-width-percent:0;mso-height-percent:0" o:allowincell="f">
          <v:imagedata r:id="rId1" o:title="MARCA DE AGUA - HOJA RESOLUCIÓN"/>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072" w:type="dxa"/>
      <w:tblLayout w:type="fixed"/>
      <w:tblLook w:val="04A0" w:firstRow="1" w:lastRow="0" w:firstColumn="1" w:lastColumn="0" w:noHBand="0" w:noVBand="1"/>
    </w:tblPr>
    <w:tblGrid>
      <w:gridCol w:w="2127"/>
      <w:gridCol w:w="6945"/>
    </w:tblGrid>
    <w:tr w:rsidR="000138A1" w:rsidRPr="005C106F" w14:paraId="59C1B90A" w14:textId="77777777" w:rsidTr="00177EE1">
      <w:trPr>
        <w:trHeight w:val="1546"/>
      </w:trPr>
      <w:tc>
        <w:tcPr>
          <w:tcW w:w="2127" w:type="dxa"/>
          <w:shd w:val="clear" w:color="auto" w:fill="auto"/>
        </w:tcPr>
        <w:p w14:paraId="188D0CF6" w14:textId="77777777" w:rsidR="000138A1" w:rsidRPr="005C106F" w:rsidRDefault="000138A1" w:rsidP="00177EE1">
          <w:pPr>
            <w:tabs>
              <w:tab w:val="right" w:pos="4273"/>
            </w:tabs>
            <w:rPr>
              <w:rFonts w:ascii="Garamond" w:eastAsia="Calibri" w:hAnsi="Garamond"/>
              <w:sz w:val="16"/>
              <w:szCs w:val="16"/>
            </w:rPr>
          </w:pPr>
        </w:p>
      </w:tc>
      <w:tc>
        <w:tcPr>
          <w:tcW w:w="6945" w:type="dxa"/>
          <w:shd w:val="clear" w:color="auto" w:fill="auto"/>
        </w:tcPr>
        <w:tbl>
          <w:tblPr>
            <w:tblStyle w:val="Tablaconcuadrcula"/>
            <w:tblW w:w="6554" w:type="dxa"/>
            <w:tblInd w:w="10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20" w:firstRow="1" w:lastRow="0" w:firstColumn="0" w:lastColumn="0" w:noHBand="0" w:noVBand="1"/>
          </w:tblPr>
          <w:tblGrid>
            <w:gridCol w:w="2404"/>
            <w:gridCol w:w="4150"/>
          </w:tblGrid>
          <w:tr w:rsidR="000138A1" w14:paraId="5DB7FB69" w14:textId="77777777" w:rsidTr="00177EE1">
            <w:trPr>
              <w:trHeight w:val="141"/>
            </w:trPr>
            <w:tc>
              <w:tcPr>
                <w:tcW w:w="2404" w:type="dxa"/>
                <w:vAlign w:val="bottom"/>
              </w:tcPr>
              <w:p w14:paraId="7636ECB1" w14:textId="77777777" w:rsidR="000138A1" w:rsidRPr="001B5FB6" w:rsidRDefault="000138A1" w:rsidP="00177EE1">
                <w:pPr>
                  <w:tabs>
                    <w:tab w:val="right" w:pos="8838"/>
                  </w:tabs>
                  <w:ind w:right="-105"/>
                  <w:rPr>
                    <w:rFonts w:eastAsia="Calibri" w:cs="Tahoma"/>
                    <w:b/>
                    <w:lang w:val="es-MX"/>
                  </w:rPr>
                </w:pPr>
                <w:r w:rsidRPr="001B5FB6">
                  <w:rPr>
                    <w:rFonts w:eastAsia="Calibri" w:cs="Tahoma"/>
                    <w:b/>
                    <w:lang w:val="es-MX"/>
                  </w:rPr>
                  <w:t>Recurso</w:t>
                </w:r>
                <w:r>
                  <w:rPr>
                    <w:rFonts w:eastAsia="Calibri" w:cs="Tahoma"/>
                    <w:b/>
                    <w:lang w:val="es-MX"/>
                  </w:rPr>
                  <w:t xml:space="preserve"> </w:t>
                </w:r>
                <w:r w:rsidRPr="001B5FB6">
                  <w:rPr>
                    <w:rFonts w:eastAsia="Calibri" w:cs="Tahoma"/>
                    <w:b/>
                    <w:lang w:val="es-MX"/>
                  </w:rPr>
                  <w:t>de</w:t>
                </w:r>
                <w:r>
                  <w:rPr>
                    <w:rFonts w:eastAsia="Calibri" w:cs="Tahoma"/>
                    <w:b/>
                    <w:lang w:val="es-MX"/>
                  </w:rPr>
                  <w:t xml:space="preserve"> </w:t>
                </w:r>
                <w:r w:rsidRPr="001B5FB6">
                  <w:rPr>
                    <w:rFonts w:eastAsia="Calibri" w:cs="Tahoma"/>
                    <w:b/>
                    <w:lang w:val="es-MX"/>
                  </w:rPr>
                  <w:t>Revisión:</w:t>
                </w:r>
              </w:p>
            </w:tc>
            <w:tc>
              <w:tcPr>
                <w:tcW w:w="4150" w:type="dxa"/>
              </w:tcPr>
              <w:p w14:paraId="34232C66" w14:textId="77777777" w:rsidR="000138A1" w:rsidRPr="0015161E" w:rsidRDefault="000138A1" w:rsidP="000C12E8">
                <w:pPr>
                  <w:tabs>
                    <w:tab w:val="right" w:pos="8838"/>
                  </w:tabs>
                  <w:ind w:left="-28" w:right="774"/>
                  <w:rPr>
                    <w:rFonts w:eastAsia="Calibri" w:cs="Tahoma"/>
                    <w:bCs/>
                    <w:lang w:val="es-MX"/>
                  </w:rPr>
                </w:pPr>
              </w:p>
              <w:p w14:paraId="446B26B0" w14:textId="2E97018D" w:rsidR="000138A1" w:rsidRPr="0015161E" w:rsidRDefault="005D60D5" w:rsidP="000C12E8">
                <w:pPr>
                  <w:tabs>
                    <w:tab w:val="right" w:pos="8838"/>
                  </w:tabs>
                  <w:ind w:left="-28" w:right="774"/>
                  <w:rPr>
                    <w:rFonts w:eastAsia="Calibri" w:cs="Tahoma"/>
                    <w:bCs/>
                    <w:lang w:val="es-MX"/>
                  </w:rPr>
                </w:pPr>
                <w:r>
                  <w:rPr>
                    <w:rFonts w:eastAsia="Calibri" w:cs="Tahoma"/>
                    <w:bCs/>
                    <w:lang w:val="es-MX"/>
                  </w:rPr>
                  <w:t>0</w:t>
                </w:r>
                <w:r w:rsidR="00F258C3">
                  <w:rPr>
                    <w:rFonts w:eastAsia="Calibri" w:cs="Tahoma"/>
                    <w:bCs/>
                    <w:lang w:val="es-MX"/>
                  </w:rPr>
                  <w:t>1026</w:t>
                </w:r>
                <w:r w:rsidR="004D309D">
                  <w:rPr>
                    <w:rFonts w:eastAsia="Calibri" w:cs="Tahoma"/>
                    <w:bCs/>
                    <w:lang w:val="es-MX"/>
                  </w:rPr>
                  <w:t>/</w:t>
                </w:r>
                <w:r w:rsidR="000138A1" w:rsidRPr="00177EE1">
                  <w:rPr>
                    <w:rFonts w:eastAsia="Calibri" w:cs="Tahoma"/>
                    <w:bCs/>
                    <w:lang w:val="es-MX"/>
                  </w:rPr>
                  <w:t>INFOEM/IP/RR/202</w:t>
                </w:r>
                <w:r w:rsidR="00B454AD">
                  <w:rPr>
                    <w:rFonts w:eastAsia="Calibri" w:cs="Tahoma"/>
                    <w:bCs/>
                    <w:lang w:val="es-MX"/>
                  </w:rPr>
                  <w:t>2</w:t>
                </w:r>
              </w:p>
            </w:tc>
          </w:tr>
          <w:tr w:rsidR="000138A1" w14:paraId="0DAE2909" w14:textId="77777777" w:rsidTr="00177EE1">
            <w:trPr>
              <w:trHeight w:val="141"/>
            </w:trPr>
            <w:tc>
              <w:tcPr>
                <w:tcW w:w="2404" w:type="dxa"/>
              </w:tcPr>
              <w:p w14:paraId="7634E44D" w14:textId="77777777" w:rsidR="000138A1" w:rsidRPr="001B5FB6" w:rsidRDefault="000138A1" w:rsidP="00177EE1">
                <w:pPr>
                  <w:tabs>
                    <w:tab w:val="right" w:pos="8838"/>
                  </w:tabs>
                  <w:ind w:right="-105"/>
                  <w:rPr>
                    <w:rFonts w:eastAsia="Calibri" w:cs="Tahoma"/>
                    <w:b/>
                    <w:lang w:val="es-MX"/>
                  </w:rPr>
                </w:pPr>
                <w:r w:rsidRPr="001B5FB6">
                  <w:rPr>
                    <w:rFonts w:eastAsia="Calibri" w:cs="Tahoma"/>
                    <w:b/>
                    <w:lang w:val="es-MX"/>
                  </w:rPr>
                  <w:t>Recurrente:</w:t>
                </w:r>
              </w:p>
            </w:tc>
            <w:tc>
              <w:tcPr>
                <w:tcW w:w="4150" w:type="dxa"/>
              </w:tcPr>
              <w:p w14:paraId="66275329" w14:textId="7D3B8BC7" w:rsidR="000138A1" w:rsidRPr="0015161E" w:rsidRDefault="00DD796E" w:rsidP="000C12E8">
                <w:pPr>
                  <w:tabs>
                    <w:tab w:val="right" w:pos="8838"/>
                  </w:tabs>
                  <w:ind w:left="-28" w:right="774"/>
                  <w:rPr>
                    <w:rFonts w:eastAsia="Calibri" w:cs="Tahoma"/>
                    <w:bCs/>
                    <w:lang w:val="es-MX"/>
                  </w:rPr>
                </w:pPr>
                <w:r w:rsidRPr="00DD796E">
                  <w:rPr>
                    <w:rFonts w:eastAsia="Calibri" w:cs="Tahoma"/>
                    <w:bCs/>
                    <w:highlight w:val="black"/>
                    <w:lang w:val="es-MX"/>
                  </w:rPr>
                  <w:t>XXXXXXXXXX</w:t>
                </w:r>
              </w:p>
            </w:tc>
          </w:tr>
          <w:tr w:rsidR="000138A1" w14:paraId="2320A145" w14:textId="77777777" w:rsidTr="00177EE1">
            <w:trPr>
              <w:trHeight w:val="276"/>
            </w:trPr>
            <w:tc>
              <w:tcPr>
                <w:tcW w:w="2404" w:type="dxa"/>
              </w:tcPr>
              <w:p w14:paraId="6D68E947" w14:textId="77777777" w:rsidR="000138A1" w:rsidRPr="001B5FB6" w:rsidRDefault="000138A1" w:rsidP="00177EE1">
                <w:pPr>
                  <w:tabs>
                    <w:tab w:val="right" w:pos="8838"/>
                  </w:tabs>
                  <w:ind w:right="-105"/>
                  <w:rPr>
                    <w:rFonts w:eastAsia="Calibri" w:cs="Tahoma"/>
                    <w:b/>
                    <w:lang w:val="es-MX"/>
                  </w:rPr>
                </w:pPr>
                <w:r w:rsidRPr="001B5FB6">
                  <w:rPr>
                    <w:rFonts w:eastAsia="Calibri" w:cs="Tahoma"/>
                    <w:b/>
                    <w:lang w:val="es-MX"/>
                  </w:rPr>
                  <w:t>Sujeto</w:t>
                </w:r>
                <w:r>
                  <w:rPr>
                    <w:rFonts w:eastAsia="Calibri" w:cs="Tahoma"/>
                    <w:b/>
                    <w:lang w:val="es-MX"/>
                  </w:rPr>
                  <w:t xml:space="preserve"> </w:t>
                </w:r>
                <w:r w:rsidRPr="001B5FB6">
                  <w:rPr>
                    <w:rFonts w:eastAsia="Calibri" w:cs="Tahoma"/>
                    <w:b/>
                    <w:lang w:val="es-MX"/>
                  </w:rPr>
                  <w:t>Obligado:</w:t>
                </w:r>
              </w:p>
            </w:tc>
            <w:tc>
              <w:tcPr>
                <w:tcW w:w="4150" w:type="dxa"/>
              </w:tcPr>
              <w:p w14:paraId="6CCA2CAC" w14:textId="62ADDA41" w:rsidR="000138A1" w:rsidRPr="0015161E" w:rsidRDefault="00F258C3" w:rsidP="006946CA">
                <w:pPr>
                  <w:tabs>
                    <w:tab w:val="right" w:pos="8838"/>
                  </w:tabs>
                  <w:ind w:left="-28" w:right="774"/>
                  <w:rPr>
                    <w:rFonts w:eastAsia="Calibri" w:cs="Tahoma"/>
                    <w:bCs/>
                    <w:lang w:val="es-MX"/>
                  </w:rPr>
                </w:pPr>
                <w:r>
                  <w:rPr>
                    <w:rFonts w:eastAsia="Calibri" w:cs="Tahoma"/>
                    <w:bCs/>
                    <w:lang w:val="es-MX"/>
                  </w:rPr>
                  <w:t>Fiscalía General de Justicia del Estado de México</w:t>
                </w:r>
              </w:p>
            </w:tc>
          </w:tr>
          <w:tr w:rsidR="000138A1" w14:paraId="044D3880" w14:textId="77777777" w:rsidTr="00177EE1">
            <w:trPr>
              <w:trHeight w:val="276"/>
            </w:trPr>
            <w:tc>
              <w:tcPr>
                <w:tcW w:w="2404" w:type="dxa"/>
              </w:tcPr>
              <w:p w14:paraId="35D7A55D" w14:textId="77777777" w:rsidR="000138A1" w:rsidRPr="001B5FB6" w:rsidRDefault="000138A1" w:rsidP="00177EE1">
                <w:pPr>
                  <w:tabs>
                    <w:tab w:val="right" w:pos="8838"/>
                  </w:tabs>
                  <w:ind w:right="-105"/>
                  <w:rPr>
                    <w:rFonts w:eastAsia="Calibri" w:cs="Tahoma"/>
                    <w:b/>
                    <w:lang w:val="es-MX"/>
                  </w:rPr>
                </w:pPr>
                <w:r w:rsidRPr="001B5FB6">
                  <w:rPr>
                    <w:rFonts w:eastAsia="Calibri" w:cs="Tahoma"/>
                    <w:b/>
                    <w:lang w:val="es-MX"/>
                  </w:rPr>
                  <w:t>Comisionado</w:t>
                </w:r>
                <w:r>
                  <w:rPr>
                    <w:rFonts w:eastAsia="Calibri" w:cs="Tahoma"/>
                    <w:b/>
                    <w:lang w:val="es-MX"/>
                  </w:rPr>
                  <w:t xml:space="preserve"> </w:t>
                </w:r>
                <w:r w:rsidRPr="001B5FB6">
                  <w:rPr>
                    <w:rFonts w:eastAsia="Calibri" w:cs="Tahoma"/>
                    <w:b/>
                    <w:lang w:val="es-MX"/>
                  </w:rPr>
                  <w:t>Ponente:</w:t>
                </w:r>
              </w:p>
            </w:tc>
            <w:tc>
              <w:tcPr>
                <w:tcW w:w="4150" w:type="dxa"/>
              </w:tcPr>
              <w:p w14:paraId="2CEFBDB3" w14:textId="77777777" w:rsidR="000138A1" w:rsidRPr="00A8173F" w:rsidRDefault="000138A1" w:rsidP="00177EE1">
                <w:pPr>
                  <w:tabs>
                    <w:tab w:val="right" w:pos="8838"/>
                  </w:tabs>
                  <w:ind w:right="-107"/>
                  <w:rPr>
                    <w:rFonts w:eastAsia="Calibri" w:cs="Tahoma"/>
                    <w:lang w:val="es-MX"/>
                  </w:rPr>
                </w:pPr>
                <w:r w:rsidRPr="00A8173F">
                  <w:rPr>
                    <w:rFonts w:eastAsia="Calibri" w:cs="Tahoma"/>
                    <w:lang w:val="es-MX"/>
                  </w:rPr>
                  <w:t>Luis</w:t>
                </w:r>
                <w:r>
                  <w:rPr>
                    <w:rFonts w:eastAsia="Calibri" w:cs="Tahoma"/>
                    <w:lang w:val="es-MX"/>
                  </w:rPr>
                  <w:t xml:space="preserve"> </w:t>
                </w:r>
                <w:r w:rsidRPr="00A8173F">
                  <w:rPr>
                    <w:rFonts w:eastAsia="Calibri" w:cs="Tahoma"/>
                    <w:lang w:val="es-MX"/>
                  </w:rPr>
                  <w:t>Gustavo</w:t>
                </w:r>
                <w:r>
                  <w:rPr>
                    <w:rFonts w:eastAsia="Calibri" w:cs="Tahoma"/>
                    <w:lang w:val="es-MX"/>
                  </w:rPr>
                  <w:t xml:space="preserve"> </w:t>
                </w:r>
                <w:r w:rsidRPr="00A8173F">
                  <w:rPr>
                    <w:rFonts w:eastAsia="Calibri" w:cs="Tahoma"/>
                    <w:lang w:val="es-MX"/>
                  </w:rPr>
                  <w:t>Parra</w:t>
                </w:r>
                <w:r>
                  <w:rPr>
                    <w:rFonts w:eastAsia="Calibri" w:cs="Tahoma"/>
                    <w:lang w:val="es-MX"/>
                  </w:rPr>
                  <w:t xml:space="preserve"> </w:t>
                </w:r>
                <w:r w:rsidRPr="00A8173F">
                  <w:rPr>
                    <w:rFonts w:eastAsia="Calibri" w:cs="Tahoma"/>
                    <w:lang w:val="es-MX"/>
                  </w:rPr>
                  <w:t>Noriega</w:t>
                </w:r>
              </w:p>
            </w:tc>
          </w:tr>
        </w:tbl>
        <w:p w14:paraId="217D2A05" w14:textId="77777777" w:rsidR="000138A1" w:rsidRPr="005C106F" w:rsidRDefault="000138A1" w:rsidP="00177EE1">
          <w:pPr>
            <w:tabs>
              <w:tab w:val="right" w:pos="8838"/>
            </w:tabs>
            <w:ind w:left="-28"/>
            <w:rPr>
              <w:rFonts w:ascii="Arial" w:eastAsia="Calibri" w:hAnsi="Arial" w:cs="Arial"/>
              <w:b/>
            </w:rPr>
          </w:pPr>
        </w:p>
      </w:tc>
    </w:tr>
  </w:tbl>
  <w:p w14:paraId="77E48973" w14:textId="77777777" w:rsidR="000138A1" w:rsidRDefault="00000000">
    <w:pPr>
      <w:pStyle w:val="Encabezado"/>
    </w:pPr>
    <w:r>
      <w:rPr>
        <w:noProof/>
      </w:rPr>
      <w:pict w14:anchorId="6B58407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12024031" o:spid="_x0000_s1027" type="#_x0000_t75" alt="MARCA DE AGUA - HOJA RESOLUCIÓN" style="position:absolute;left:0;text-align:left;margin-left:-97.1pt;margin-top:-127.6pt;width:663.5pt;height:12in;z-index:-251655168;mso-wrap-edited:f;mso-width-percent:0;mso-height-percent:0;mso-position-horizontal-relative:margin;mso-position-vertical-relative:margin;mso-width-percent:0;mso-height-percent:0" o:allowincell="f">
          <v:imagedata r:id="rId1" o:title="MARCA DE AGUA - HOJA RESOLUCIÓN"/>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70C43"/>
    <w:multiLevelType w:val="hybridMultilevel"/>
    <w:tmpl w:val="5C4AD4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5BB5C69"/>
    <w:multiLevelType w:val="hybridMultilevel"/>
    <w:tmpl w:val="E08E2894"/>
    <w:lvl w:ilvl="0" w:tplc="BE32FC5C">
      <w:start w:val="6"/>
      <w:numFmt w:val="bullet"/>
      <w:lvlText w:val="-"/>
      <w:lvlJc w:val="left"/>
      <w:pPr>
        <w:ind w:left="927" w:hanging="360"/>
      </w:pPr>
      <w:rPr>
        <w:rFonts w:ascii="Palatino Linotype" w:eastAsia="Times New Roman" w:hAnsi="Palatino Linotype"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47972E3"/>
    <w:multiLevelType w:val="hybridMultilevel"/>
    <w:tmpl w:val="330A5E2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 w15:restartNumberingAfterBreak="0">
    <w:nsid w:val="256C513A"/>
    <w:multiLevelType w:val="hybridMultilevel"/>
    <w:tmpl w:val="CCE275DE"/>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A5E18CC"/>
    <w:multiLevelType w:val="hybridMultilevel"/>
    <w:tmpl w:val="F8323F6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AF7774A"/>
    <w:multiLevelType w:val="hybridMultilevel"/>
    <w:tmpl w:val="81EA647A"/>
    <w:lvl w:ilvl="0" w:tplc="ACF6EFFE">
      <w:numFmt w:val="bullet"/>
      <w:lvlText w:val="-"/>
      <w:lvlJc w:val="left"/>
      <w:pPr>
        <w:ind w:left="720" w:hanging="360"/>
      </w:pPr>
      <w:rPr>
        <w:rFonts w:ascii="Palatino Linotype" w:eastAsia="Calibri" w:hAnsi="Palatino Linotype" w:cs="Tahoma"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B120579"/>
    <w:multiLevelType w:val="hybridMultilevel"/>
    <w:tmpl w:val="330A5E2C"/>
    <w:lvl w:ilvl="0" w:tplc="DA1C0DD6">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7" w15:restartNumberingAfterBreak="0">
    <w:nsid w:val="416F71DE"/>
    <w:multiLevelType w:val="hybridMultilevel"/>
    <w:tmpl w:val="330A5E2C"/>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 w15:restartNumberingAfterBreak="0">
    <w:nsid w:val="45133972"/>
    <w:multiLevelType w:val="hybridMultilevel"/>
    <w:tmpl w:val="0D2EFC24"/>
    <w:lvl w:ilvl="0" w:tplc="BE32FC5C">
      <w:start w:val="6"/>
      <w:numFmt w:val="bullet"/>
      <w:lvlText w:val="-"/>
      <w:lvlJc w:val="left"/>
      <w:pPr>
        <w:ind w:left="927" w:hanging="360"/>
      </w:pPr>
      <w:rPr>
        <w:rFonts w:ascii="Palatino Linotype" w:eastAsia="Times New Roman" w:hAnsi="Palatino Linotype" w:cs="Arial" w:hint="default"/>
      </w:rPr>
    </w:lvl>
    <w:lvl w:ilvl="1" w:tplc="080A0003" w:tentative="1">
      <w:start w:val="1"/>
      <w:numFmt w:val="bullet"/>
      <w:lvlText w:val="o"/>
      <w:lvlJc w:val="left"/>
      <w:pPr>
        <w:ind w:left="1647" w:hanging="360"/>
      </w:pPr>
      <w:rPr>
        <w:rFonts w:ascii="Courier New" w:hAnsi="Courier New" w:cs="Courier New" w:hint="default"/>
      </w:rPr>
    </w:lvl>
    <w:lvl w:ilvl="2" w:tplc="080A0005" w:tentative="1">
      <w:start w:val="1"/>
      <w:numFmt w:val="bullet"/>
      <w:lvlText w:val=""/>
      <w:lvlJc w:val="left"/>
      <w:pPr>
        <w:ind w:left="2367" w:hanging="360"/>
      </w:pPr>
      <w:rPr>
        <w:rFonts w:ascii="Wingdings" w:hAnsi="Wingdings" w:hint="default"/>
      </w:rPr>
    </w:lvl>
    <w:lvl w:ilvl="3" w:tplc="080A0001" w:tentative="1">
      <w:start w:val="1"/>
      <w:numFmt w:val="bullet"/>
      <w:lvlText w:val=""/>
      <w:lvlJc w:val="left"/>
      <w:pPr>
        <w:ind w:left="3087" w:hanging="360"/>
      </w:pPr>
      <w:rPr>
        <w:rFonts w:ascii="Symbol" w:hAnsi="Symbol" w:hint="default"/>
      </w:rPr>
    </w:lvl>
    <w:lvl w:ilvl="4" w:tplc="080A0003" w:tentative="1">
      <w:start w:val="1"/>
      <w:numFmt w:val="bullet"/>
      <w:lvlText w:val="o"/>
      <w:lvlJc w:val="left"/>
      <w:pPr>
        <w:ind w:left="3807" w:hanging="360"/>
      </w:pPr>
      <w:rPr>
        <w:rFonts w:ascii="Courier New" w:hAnsi="Courier New" w:cs="Courier New" w:hint="default"/>
      </w:rPr>
    </w:lvl>
    <w:lvl w:ilvl="5" w:tplc="080A0005" w:tentative="1">
      <w:start w:val="1"/>
      <w:numFmt w:val="bullet"/>
      <w:lvlText w:val=""/>
      <w:lvlJc w:val="left"/>
      <w:pPr>
        <w:ind w:left="4527" w:hanging="360"/>
      </w:pPr>
      <w:rPr>
        <w:rFonts w:ascii="Wingdings" w:hAnsi="Wingdings" w:hint="default"/>
      </w:rPr>
    </w:lvl>
    <w:lvl w:ilvl="6" w:tplc="080A0001" w:tentative="1">
      <w:start w:val="1"/>
      <w:numFmt w:val="bullet"/>
      <w:lvlText w:val=""/>
      <w:lvlJc w:val="left"/>
      <w:pPr>
        <w:ind w:left="5247" w:hanging="360"/>
      </w:pPr>
      <w:rPr>
        <w:rFonts w:ascii="Symbol" w:hAnsi="Symbol" w:hint="default"/>
      </w:rPr>
    </w:lvl>
    <w:lvl w:ilvl="7" w:tplc="080A0003" w:tentative="1">
      <w:start w:val="1"/>
      <w:numFmt w:val="bullet"/>
      <w:lvlText w:val="o"/>
      <w:lvlJc w:val="left"/>
      <w:pPr>
        <w:ind w:left="5967" w:hanging="360"/>
      </w:pPr>
      <w:rPr>
        <w:rFonts w:ascii="Courier New" w:hAnsi="Courier New" w:cs="Courier New" w:hint="default"/>
      </w:rPr>
    </w:lvl>
    <w:lvl w:ilvl="8" w:tplc="080A0005" w:tentative="1">
      <w:start w:val="1"/>
      <w:numFmt w:val="bullet"/>
      <w:lvlText w:val=""/>
      <w:lvlJc w:val="left"/>
      <w:pPr>
        <w:ind w:left="6687" w:hanging="360"/>
      </w:pPr>
      <w:rPr>
        <w:rFonts w:ascii="Wingdings" w:hAnsi="Wingdings" w:hint="default"/>
      </w:rPr>
    </w:lvl>
  </w:abstractNum>
  <w:abstractNum w:abstractNumId="9" w15:restartNumberingAfterBreak="0">
    <w:nsid w:val="4C3B3BF1"/>
    <w:multiLevelType w:val="hybridMultilevel"/>
    <w:tmpl w:val="1AA22BF0"/>
    <w:lvl w:ilvl="0" w:tplc="AB08DA52">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CF9062B"/>
    <w:multiLevelType w:val="hybridMultilevel"/>
    <w:tmpl w:val="D736D63C"/>
    <w:lvl w:ilvl="0" w:tplc="FC1ECF0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67DD5790"/>
    <w:multiLevelType w:val="hybridMultilevel"/>
    <w:tmpl w:val="90E876C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6BCA66F5"/>
    <w:multiLevelType w:val="hybridMultilevel"/>
    <w:tmpl w:val="19DEB010"/>
    <w:lvl w:ilvl="0" w:tplc="AF70E3CE">
      <w:start w:val="1"/>
      <w:numFmt w:val="lowerLetter"/>
      <w:lvlText w:val="%1)"/>
      <w:lvlJc w:val="left"/>
      <w:pPr>
        <w:ind w:left="720" w:hanging="360"/>
      </w:pPr>
      <w:rPr>
        <w:rFonts w:hint="default"/>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6F782406"/>
    <w:multiLevelType w:val="hybridMultilevel"/>
    <w:tmpl w:val="2270703E"/>
    <w:lvl w:ilvl="0" w:tplc="267CE45C">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2140687874">
    <w:abstractNumId w:val="11"/>
  </w:num>
  <w:num w:numId="2" w16cid:durableId="97340305">
    <w:abstractNumId w:val="0"/>
  </w:num>
  <w:num w:numId="3" w16cid:durableId="157373845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256943490">
    <w:abstractNumId w:val="3"/>
  </w:num>
  <w:num w:numId="5" w16cid:durableId="1679963985">
    <w:abstractNumId w:val="8"/>
  </w:num>
  <w:num w:numId="6" w16cid:durableId="1200700823">
    <w:abstractNumId w:val="10"/>
  </w:num>
  <w:num w:numId="7" w16cid:durableId="1932855828">
    <w:abstractNumId w:val="9"/>
  </w:num>
  <w:num w:numId="8" w16cid:durableId="130489702">
    <w:abstractNumId w:val="13"/>
  </w:num>
  <w:num w:numId="9" w16cid:durableId="1547137647">
    <w:abstractNumId w:val="12"/>
  </w:num>
  <w:num w:numId="10" w16cid:durableId="1493569823">
    <w:abstractNumId w:val="1"/>
  </w:num>
  <w:num w:numId="11" w16cid:durableId="712653169">
    <w:abstractNumId w:val="6"/>
  </w:num>
  <w:num w:numId="12" w16cid:durableId="753550183">
    <w:abstractNumId w:val="7"/>
  </w:num>
  <w:num w:numId="13" w16cid:durableId="1131631162">
    <w:abstractNumId w:val="2"/>
  </w:num>
  <w:num w:numId="14" w16cid:durableId="480273203">
    <w:abstractNumId w:val="5"/>
  </w:num>
  <w:num w:numId="15" w16cid:durableId="1487552143">
    <w:abstractNumId w:val="4"/>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7EE1"/>
    <w:rsid w:val="00002216"/>
    <w:rsid w:val="0000356F"/>
    <w:rsid w:val="00003883"/>
    <w:rsid w:val="0000718C"/>
    <w:rsid w:val="000128A5"/>
    <w:rsid w:val="00012B2E"/>
    <w:rsid w:val="00013843"/>
    <w:rsid w:val="000138A1"/>
    <w:rsid w:val="0001416C"/>
    <w:rsid w:val="00015304"/>
    <w:rsid w:val="00015B91"/>
    <w:rsid w:val="0001619B"/>
    <w:rsid w:val="00017A08"/>
    <w:rsid w:val="00022F21"/>
    <w:rsid w:val="0002343C"/>
    <w:rsid w:val="000234D0"/>
    <w:rsid w:val="00023824"/>
    <w:rsid w:val="00025F1C"/>
    <w:rsid w:val="00027A38"/>
    <w:rsid w:val="00031EC8"/>
    <w:rsid w:val="0003491C"/>
    <w:rsid w:val="00035AB4"/>
    <w:rsid w:val="000361CD"/>
    <w:rsid w:val="00040287"/>
    <w:rsid w:val="00040446"/>
    <w:rsid w:val="00042AD3"/>
    <w:rsid w:val="00050E04"/>
    <w:rsid w:val="000534C1"/>
    <w:rsid w:val="0005390B"/>
    <w:rsid w:val="00055475"/>
    <w:rsid w:val="00055DA6"/>
    <w:rsid w:val="000571B0"/>
    <w:rsid w:val="00062B87"/>
    <w:rsid w:val="00062DB3"/>
    <w:rsid w:val="00065115"/>
    <w:rsid w:val="00065B50"/>
    <w:rsid w:val="00065BA2"/>
    <w:rsid w:val="00071027"/>
    <w:rsid w:val="000729C1"/>
    <w:rsid w:val="000771BD"/>
    <w:rsid w:val="000805DB"/>
    <w:rsid w:val="00083A1D"/>
    <w:rsid w:val="00083B5E"/>
    <w:rsid w:val="00083CB6"/>
    <w:rsid w:val="00084C42"/>
    <w:rsid w:val="00085CA4"/>
    <w:rsid w:val="000865C1"/>
    <w:rsid w:val="00086FC3"/>
    <w:rsid w:val="00087ECD"/>
    <w:rsid w:val="00090CC5"/>
    <w:rsid w:val="00092753"/>
    <w:rsid w:val="00092ECF"/>
    <w:rsid w:val="00093951"/>
    <w:rsid w:val="00093CFD"/>
    <w:rsid w:val="0009502D"/>
    <w:rsid w:val="000A1DFF"/>
    <w:rsid w:val="000B2670"/>
    <w:rsid w:val="000B62F9"/>
    <w:rsid w:val="000B7B66"/>
    <w:rsid w:val="000C11E1"/>
    <w:rsid w:val="000C12E8"/>
    <w:rsid w:val="000C4C4B"/>
    <w:rsid w:val="000C5572"/>
    <w:rsid w:val="000C58E2"/>
    <w:rsid w:val="000E01DA"/>
    <w:rsid w:val="000E0B2A"/>
    <w:rsid w:val="000E4556"/>
    <w:rsid w:val="000F2A05"/>
    <w:rsid w:val="000F3119"/>
    <w:rsid w:val="00100D0B"/>
    <w:rsid w:val="00101483"/>
    <w:rsid w:val="001079A5"/>
    <w:rsid w:val="00110E75"/>
    <w:rsid w:val="00114D94"/>
    <w:rsid w:val="00115246"/>
    <w:rsid w:val="00115B9F"/>
    <w:rsid w:val="00117ACE"/>
    <w:rsid w:val="00120AC3"/>
    <w:rsid w:val="00122733"/>
    <w:rsid w:val="001228CC"/>
    <w:rsid w:val="00122C11"/>
    <w:rsid w:val="00126CEB"/>
    <w:rsid w:val="0013054B"/>
    <w:rsid w:val="00131964"/>
    <w:rsid w:val="00133F4D"/>
    <w:rsid w:val="00135EC3"/>
    <w:rsid w:val="0014355A"/>
    <w:rsid w:val="001455FB"/>
    <w:rsid w:val="0014587C"/>
    <w:rsid w:val="00146C51"/>
    <w:rsid w:val="0015161E"/>
    <w:rsid w:val="001613D0"/>
    <w:rsid w:val="00161EC1"/>
    <w:rsid w:val="00162596"/>
    <w:rsid w:val="00163ACC"/>
    <w:rsid w:val="00172E69"/>
    <w:rsid w:val="00177CD4"/>
    <w:rsid w:val="00177EE1"/>
    <w:rsid w:val="001823A5"/>
    <w:rsid w:val="0018480F"/>
    <w:rsid w:val="0018595C"/>
    <w:rsid w:val="0018660C"/>
    <w:rsid w:val="00190D85"/>
    <w:rsid w:val="00191E94"/>
    <w:rsid w:val="001964D1"/>
    <w:rsid w:val="001971B8"/>
    <w:rsid w:val="001973C0"/>
    <w:rsid w:val="001A04C7"/>
    <w:rsid w:val="001A306A"/>
    <w:rsid w:val="001A3ED8"/>
    <w:rsid w:val="001A71A0"/>
    <w:rsid w:val="001A7D71"/>
    <w:rsid w:val="001B00F9"/>
    <w:rsid w:val="001C2A3C"/>
    <w:rsid w:val="001C4245"/>
    <w:rsid w:val="001D1C9F"/>
    <w:rsid w:val="001D3E5A"/>
    <w:rsid w:val="001D4765"/>
    <w:rsid w:val="001D521B"/>
    <w:rsid w:val="001D61CF"/>
    <w:rsid w:val="001E03A5"/>
    <w:rsid w:val="001E0B0B"/>
    <w:rsid w:val="001E10F0"/>
    <w:rsid w:val="001E1398"/>
    <w:rsid w:val="001E2972"/>
    <w:rsid w:val="001E30E9"/>
    <w:rsid w:val="001E4327"/>
    <w:rsid w:val="001E6553"/>
    <w:rsid w:val="001E73AE"/>
    <w:rsid w:val="001E757C"/>
    <w:rsid w:val="001F3035"/>
    <w:rsid w:val="001F3AB9"/>
    <w:rsid w:val="001F46CF"/>
    <w:rsid w:val="001F6081"/>
    <w:rsid w:val="001F7255"/>
    <w:rsid w:val="00201F46"/>
    <w:rsid w:val="002032FB"/>
    <w:rsid w:val="002033C8"/>
    <w:rsid w:val="00207DF4"/>
    <w:rsid w:val="0021028C"/>
    <w:rsid w:val="0021058D"/>
    <w:rsid w:val="00211AA9"/>
    <w:rsid w:val="00222783"/>
    <w:rsid w:val="0022443A"/>
    <w:rsid w:val="00227572"/>
    <w:rsid w:val="00230091"/>
    <w:rsid w:val="0023050A"/>
    <w:rsid w:val="002327BA"/>
    <w:rsid w:val="00234162"/>
    <w:rsid w:val="002360DE"/>
    <w:rsid w:val="0024298A"/>
    <w:rsid w:val="00244F3B"/>
    <w:rsid w:val="002508C2"/>
    <w:rsid w:val="00250C94"/>
    <w:rsid w:val="00250D7E"/>
    <w:rsid w:val="002516CE"/>
    <w:rsid w:val="002529DD"/>
    <w:rsid w:val="00254F51"/>
    <w:rsid w:val="00256878"/>
    <w:rsid w:val="002578B4"/>
    <w:rsid w:val="002603F0"/>
    <w:rsid w:val="00262663"/>
    <w:rsid w:val="002719E0"/>
    <w:rsid w:val="00275047"/>
    <w:rsid w:val="00277DD0"/>
    <w:rsid w:val="00280EC4"/>
    <w:rsid w:val="002943BD"/>
    <w:rsid w:val="00296440"/>
    <w:rsid w:val="002974B1"/>
    <w:rsid w:val="002978A3"/>
    <w:rsid w:val="002A1D89"/>
    <w:rsid w:val="002A28F5"/>
    <w:rsid w:val="002A4B81"/>
    <w:rsid w:val="002A6678"/>
    <w:rsid w:val="002B10F5"/>
    <w:rsid w:val="002B1A31"/>
    <w:rsid w:val="002B32D0"/>
    <w:rsid w:val="002B5936"/>
    <w:rsid w:val="002B5EAA"/>
    <w:rsid w:val="002B64FA"/>
    <w:rsid w:val="002B721B"/>
    <w:rsid w:val="002B7ABA"/>
    <w:rsid w:val="002C2B0F"/>
    <w:rsid w:val="002C32B8"/>
    <w:rsid w:val="002C3793"/>
    <w:rsid w:val="002D00DC"/>
    <w:rsid w:val="002D6448"/>
    <w:rsid w:val="002D6573"/>
    <w:rsid w:val="002E1F0A"/>
    <w:rsid w:val="002E200D"/>
    <w:rsid w:val="002E209B"/>
    <w:rsid w:val="002E3580"/>
    <w:rsid w:val="002E4ABA"/>
    <w:rsid w:val="002E51C7"/>
    <w:rsid w:val="002E621C"/>
    <w:rsid w:val="002F09A8"/>
    <w:rsid w:val="002F0D2C"/>
    <w:rsid w:val="002F15AA"/>
    <w:rsid w:val="002F2CF1"/>
    <w:rsid w:val="002F321D"/>
    <w:rsid w:val="002F61B5"/>
    <w:rsid w:val="0030380F"/>
    <w:rsid w:val="003066D7"/>
    <w:rsid w:val="003069B6"/>
    <w:rsid w:val="003122FF"/>
    <w:rsid w:val="00320937"/>
    <w:rsid w:val="00323C69"/>
    <w:rsid w:val="003247BD"/>
    <w:rsid w:val="00324B5E"/>
    <w:rsid w:val="00330DCB"/>
    <w:rsid w:val="00330FE7"/>
    <w:rsid w:val="003325BC"/>
    <w:rsid w:val="00335F68"/>
    <w:rsid w:val="00344A25"/>
    <w:rsid w:val="00344C1B"/>
    <w:rsid w:val="003466FD"/>
    <w:rsid w:val="0034694B"/>
    <w:rsid w:val="003510CD"/>
    <w:rsid w:val="00361157"/>
    <w:rsid w:val="003637E6"/>
    <w:rsid w:val="00363A37"/>
    <w:rsid w:val="0036405E"/>
    <w:rsid w:val="003660C7"/>
    <w:rsid w:val="003674E8"/>
    <w:rsid w:val="00367D37"/>
    <w:rsid w:val="00370CB1"/>
    <w:rsid w:val="0037107C"/>
    <w:rsid w:val="00373BB3"/>
    <w:rsid w:val="00374EC5"/>
    <w:rsid w:val="003806C6"/>
    <w:rsid w:val="003812D9"/>
    <w:rsid w:val="00382002"/>
    <w:rsid w:val="0038498F"/>
    <w:rsid w:val="0039002F"/>
    <w:rsid w:val="0039029F"/>
    <w:rsid w:val="00392EA1"/>
    <w:rsid w:val="00393828"/>
    <w:rsid w:val="00395D6B"/>
    <w:rsid w:val="003968C5"/>
    <w:rsid w:val="003A1541"/>
    <w:rsid w:val="003A1AC3"/>
    <w:rsid w:val="003A5680"/>
    <w:rsid w:val="003A6772"/>
    <w:rsid w:val="003A722C"/>
    <w:rsid w:val="003B1767"/>
    <w:rsid w:val="003B1AA7"/>
    <w:rsid w:val="003B2607"/>
    <w:rsid w:val="003B3A2A"/>
    <w:rsid w:val="003B443D"/>
    <w:rsid w:val="003B5538"/>
    <w:rsid w:val="003B5A01"/>
    <w:rsid w:val="003B6CD7"/>
    <w:rsid w:val="003B7426"/>
    <w:rsid w:val="003C1FDE"/>
    <w:rsid w:val="003C5446"/>
    <w:rsid w:val="003C6EAC"/>
    <w:rsid w:val="003C75C8"/>
    <w:rsid w:val="003D0222"/>
    <w:rsid w:val="003D05EC"/>
    <w:rsid w:val="003D4BC5"/>
    <w:rsid w:val="003D5544"/>
    <w:rsid w:val="003D5DF5"/>
    <w:rsid w:val="003D76E9"/>
    <w:rsid w:val="003E0154"/>
    <w:rsid w:val="003E0C35"/>
    <w:rsid w:val="003E23C1"/>
    <w:rsid w:val="003E2DEC"/>
    <w:rsid w:val="003E3B71"/>
    <w:rsid w:val="003E4248"/>
    <w:rsid w:val="003F0D11"/>
    <w:rsid w:val="003F3235"/>
    <w:rsid w:val="004028B1"/>
    <w:rsid w:val="00413B07"/>
    <w:rsid w:val="00413BC2"/>
    <w:rsid w:val="004143DE"/>
    <w:rsid w:val="00415D6D"/>
    <w:rsid w:val="00416A62"/>
    <w:rsid w:val="00416CFE"/>
    <w:rsid w:val="004230B9"/>
    <w:rsid w:val="0042353D"/>
    <w:rsid w:val="004251F5"/>
    <w:rsid w:val="0043267B"/>
    <w:rsid w:val="00433F48"/>
    <w:rsid w:val="00441871"/>
    <w:rsid w:val="00445DCD"/>
    <w:rsid w:val="00446762"/>
    <w:rsid w:val="00447CAD"/>
    <w:rsid w:val="00451709"/>
    <w:rsid w:val="00457B4D"/>
    <w:rsid w:val="00460242"/>
    <w:rsid w:val="0046603E"/>
    <w:rsid w:val="00466B01"/>
    <w:rsid w:val="00472B74"/>
    <w:rsid w:val="004738C3"/>
    <w:rsid w:val="00474EA5"/>
    <w:rsid w:val="0047525A"/>
    <w:rsid w:val="0047580B"/>
    <w:rsid w:val="00475AFC"/>
    <w:rsid w:val="0048144B"/>
    <w:rsid w:val="004831F0"/>
    <w:rsid w:val="00484A44"/>
    <w:rsid w:val="0048610B"/>
    <w:rsid w:val="00487107"/>
    <w:rsid w:val="004877A7"/>
    <w:rsid w:val="00495935"/>
    <w:rsid w:val="00495EC7"/>
    <w:rsid w:val="00496B69"/>
    <w:rsid w:val="00497753"/>
    <w:rsid w:val="004A00EE"/>
    <w:rsid w:val="004A0C89"/>
    <w:rsid w:val="004A2567"/>
    <w:rsid w:val="004A4973"/>
    <w:rsid w:val="004A5273"/>
    <w:rsid w:val="004A6307"/>
    <w:rsid w:val="004A6F0D"/>
    <w:rsid w:val="004A79BF"/>
    <w:rsid w:val="004B0052"/>
    <w:rsid w:val="004B42CA"/>
    <w:rsid w:val="004C0D2B"/>
    <w:rsid w:val="004C675B"/>
    <w:rsid w:val="004C7573"/>
    <w:rsid w:val="004D18C5"/>
    <w:rsid w:val="004D26D4"/>
    <w:rsid w:val="004D309D"/>
    <w:rsid w:val="004D5AFE"/>
    <w:rsid w:val="004D6871"/>
    <w:rsid w:val="004E06D1"/>
    <w:rsid w:val="004E0EA7"/>
    <w:rsid w:val="004E33BF"/>
    <w:rsid w:val="004E57DE"/>
    <w:rsid w:val="004F04AF"/>
    <w:rsid w:val="004F07EF"/>
    <w:rsid w:val="004F3A36"/>
    <w:rsid w:val="004F7473"/>
    <w:rsid w:val="00500236"/>
    <w:rsid w:val="005024F5"/>
    <w:rsid w:val="00506612"/>
    <w:rsid w:val="00506A1C"/>
    <w:rsid w:val="00507B00"/>
    <w:rsid w:val="00507DB2"/>
    <w:rsid w:val="00511313"/>
    <w:rsid w:val="005119BA"/>
    <w:rsid w:val="00520CF7"/>
    <w:rsid w:val="005221D9"/>
    <w:rsid w:val="0052515B"/>
    <w:rsid w:val="00525E3E"/>
    <w:rsid w:val="00526ADA"/>
    <w:rsid w:val="00536C46"/>
    <w:rsid w:val="00536DC9"/>
    <w:rsid w:val="00542518"/>
    <w:rsid w:val="00543DD3"/>
    <w:rsid w:val="005444DC"/>
    <w:rsid w:val="005455F0"/>
    <w:rsid w:val="0054661A"/>
    <w:rsid w:val="00550942"/>
    <w:rsid w:val="00553373"/>
    <w:rsid w:val="00554394"/>
    <w:rsid w:val="00562E42"/>
    <w:rsid w:val="00563E14"/>
    <w:rsid w:val="00565961"/>
    <w:rsid w:val="00565D8A"/>
    <w:rsid w:val="00566770"/>
    <w:rsid w:val="00566C85"/>
    <w:rsid w:val="00571AE3"/>
    <w:rsid w:val="005764C6"/>
    <w:rsid w:val="00577401"/>
    <w:rsid w:val="0058059A"/>
    <w:rsid w:val="00580A65"/>
    <w:rsid w:val="00581C11"/>
    <w:rsid w:val="00584090"/>
    <w:rsid w:val="0058662F"/>
    <w:rsid w:val="005873AB"/>
    <w:rsid w:val="00592481"/>
    <w:rsid w:val="005952F9"/>
    <w:rsid w:val="00595872"/>
    <w:rsid w:val="00597D76"/>
    <w:rsid w:val="005A19D0"/>
    <w:rsid w:val="005A1AB3"/>
    <w:rsid w:val="005A4CDF"/>
    <w:rsid w:val="005A65F5"/>
    <w:rsid w:val="005A7EFD"/>
    <w:rsid w:val="005B11BA"/>
    <w:rsid w:val="005B37DA"/>
    <w:rsid w:val="005B6E78"/>
    <w:rsid w:val="005C1F47"/>
    <w:rsid w:val="005C3E12"/>
    <w:rsid w:val="005C6C49"/>
    <w:rsid w:val="005D1632"/>
    <w:rsid w:val="005D1D4D"/>
    <w:rsid w:val="005D3CA0"/>
    <w:rsid w:val="005D417E"/>
    <w:rsid w:val="005D60D5"/>
    <w:rsid w:val="005E79B6"/>
    <w:rsid w:val="005F10E8"/>
    <w:rsid w:val="005F13F5"/>
    <w:rsid w:val="005F186E"/>
    <w:rsid w:val="005F1DE6"/>
    <w:rsid w:val="005F2591"/>
    <w:rsid w:val="005F3FAF"/>
    <w:rsid w:val="005F4ACC"/>
    <w:rsid w:val="005F4CDB"/>
    <w:rsid w:val="005F67C9"/>
    <w:rsid w:val="005F6DF6"/>
    <w:rsid w:val="00602083"/>
    <w:rsid w:val="00603329"/>
    <w:rsid w:val="00604A22"/>
    <w:rsid w:val="006059EA"/>
    <w:rsid w:val="006075F9"/>
    <w:rsid w:val="00610D46"/>
    <w:rsid w:val="00611B39"/>
    <w:rsid w:val="00612598"/>
    <w:rsid w:val="00614CD3"/>
    <w:rsid w:val="00615658"/>
    <w:rsid w:val="006223E7"/>
    <w:rsid w:val="00622C21"/>
    <w:rsid w:val="00624857"/>
    <w:rsid w:val="0062723B"/>
    <w:rsid w:val="0063097A"/>
    <w:rsid w:val="00631A7E"/>
    <w:rsid w:val="0063423F"/>
    <w:rsid w:val="006356FF"/>
    <w:rsid w:val="00635C41"/>
    <w:rsid w:val="00645CB8"/>
    <w:rsid w:val="006461DA"/>
    <w:rsid w:val="00646592"/>
    <w:rsid w:val="006470EC"/>
    <w:rsid w:val="006515EA"/>
    <w:rsid w:val="00652141"/>
    <w:rsid w:val="0065630E"/>
    <w:rsid w:val="006574AF"/>
    <w:rsid w:val="00657EB2"/>
    <w:rsid w:val="006606F9"/>
    <w:rsid w:val="00660E17"/>
    <w:rsid w:val="006625FE"/>
    <w:rsid w:val="00662E94"/>
    <w:rsid w:val="00662F8A"/>
    <w:rsid w:val="006643E0"/>
    <w:rsid w:val="0066629E"/>
    <w:rsid w:val="0067469D"/>
    <w:rsid w:val="00674BC6"/>
    <w:rsid w:val="00676570"/>
    <w:rsid w:val="0068059B"/>
    <w:rsid w:val="00683E9F"/>
    <w:rsid w:val="006946CA"/>
    <w:rsid w:val="006956C9"/>
    <w:rsid w:val="00695B2C"/>
    <w:rsid w:val="00695CCE"/>
    <w:rsid w:val="0069743B"/>
    <w:rsid w:val="006A1A4E"/>
    <w:rsid w:val="006A5D9B"/>
    <w:rsid w:val="006A79DB"/>
    <w:rsid w:val="006A7E69"/>
    <w:rsid w:val="006B01CE"/>
    <w:rsid w:val="006B4237"/>
    <w:rsid w:val="006B52B1"/>
    <w:rsid w:val="006C152B"/>
    <w:rsid w:val="006C181C"/>
    <w:rsid w:val="006C505F"/>
    <w:rsid w:val="006D1F3D"/>
    <w:rsid w:val="006D3A1E"/>
    <w:rsid w:val="006D45F7"/>
    <w:rsid w:val="006D4803"/>
    <w:rsid w:val="006D5B52"/>
    <w:rsid w:val="006E3E2F"/>
    <w:rsid w:val="006F084E"/>
    <w:rsid w:val="006F158D"/>
    <w:rsid w:val="006F37C2"/>
    <w:rsid w:val="006F507D"/>
    <w:rsid w:val="006F61A0"/>
    <w:rsid w:val="006F7C85"/>
    <w:rsid w:val="007005C8"/>
    <w:rsid w:val="007013C9"/>
    <w:rsid w:val="00701FB1"/>
    <w:rsid w:val="00702A90"/>
    <w:rsid w:val="00705B41"/>
    <w:rsid w:val="00705FFD"/>
    <w:rsid w:val="007063D9"/>
    <w:rsid w:val="00710567"/>
    <w:rsid w:val="00712FC9"/>
    <w:rsid w:val="0071392F"/>
    <w:rsid w:val="007144B6"/>
    <w:rsid w:val="00714640"/>
    <w:rsid w:val="00715EC4"/>
    <w:rsid w:val="00727676"/>
    <w:rsid w:val="00731E0D"/>
    <w:rsid w:val="00732B8D"/>
    <w:rsid w:val="0073383F"/>
    <w:rsid w:val="007408A5"/>
    <w:rsid w:val="00744ABA"/>
    <w:rsid w:val="00744F3B"/>
    <w:rsid w:val="00745678"/>
    <w:rsid w:val="00745877"/>
    <w:rsid w:val="00750933"/>
    <w:rsid w:val="007523BE"/>
    <w:rsid w:val="00753446"/>
    <w:rsid w:val="00753965"/>
    <w:rsid w:val="007552EE"/>
    <w:rsid w:val="0075641D"/>
    <w:rsid w:val="00761513"/>
    <w:rsid w:val="00763609"/>
    <w:rsid w:val="0076721B"/>
    <w:rsid w:val="007711AE"/>
    <w:rsid w:val="00775EFA"/>
    <w:rsid w:val="00780A43"/>
    <w:rsid w:val="00780CDD"/>
    <w:rsid w:val="0078128A"/>
    <w:rsid w:val="00785C4E"/>
    <w:rsid w:val="0078647E"/>
    <w:rsid w:val="00786F7B"/>
    <w:rsid w:val="00787539"/>
    <w:rsid w:val="00790365"/>
    <w:rsid w:val="00792AEE"/>
    <w:rsid w:val="00792ED7"/>
    <w:rsid w:val="00793151"/>
    <w:rsid w:val="00793D23"/>
    <w:rsid w:val="00794E01"/>
    <w:rsid w:val="00795EE6"/>
    <w:rsid w:val="007A2D2E"/>
    <w:rsid w:val="007A33E9"/>
    <w:rsid w:val="007A3549"/>
    <w:rsid w:val="007A3D34"/>
    <w:rsid w:val="007A4EAD"/>
    <w:rsid w:val="007A622A"/>
    <w:rsid w:val="007A7D09"/>
    <w:rsid w:val="007A7EDF"/>
    <w:rsid w:val="007B0A01"/>
    <w:rsid w:val="007B13C2"/>
    <w:rsid w:val="007B43D3"/>
    <w:rsid w:val="007B4464"/>
    <w:rsid w:val="007B47E8"/>
    <w:rsid w:val="007B4D05"/>
    <w:rsid w:val="007B5165"/>
    <w:rsid w:val="007C001F"/>
    <w:rsid w:val="007C1329"/>
    <w:rsid w:val="007C6172"/>
    <w:rsid w:val="007C7235"/>
    <w:rsid w:val="007C7A92"/>
    <w:rsid w:val="007D33AC"/>
    <w:rsid w:val="007D663D"/>
    <w:rsid w:val="007D7ACE"/>
    <w:rsid w:val="007E08E2"/>
    <w:rsid w:val="007E2897"/>
    <w:rsid w:val="007E3CF9"/>
    <w:rsid w:val="007E65E9"/>
    <w:rsid w:val="007E6A4F"/>
    <w:rsid w:val="007E7764"/>
    <w:rsid w:val="007E7DD3"/>
    <w:rsid w:val="007F0676"/>
    <w:rsid w:val="007F0F82"/>
    <w:rsid w:val="007F1E93"/>
    <w:rsid w:val="007F2CFB"/>
    <w:rsid w:val="007F3280"/>
    <w:rsid w:val="007F440D"/>
    <w:rsid w:val="00803986"/>
    <w:rsid w:val="0080433B"/>
    <w:rsid w:val="008043BD"/>
    <w:rsid w:val="00805848"/>
    <w:rsid w:val="008072B5"/>
    <w:rsid w:val="00810CC5"/>
    <w:rsid w:val="008114D3"/>
    <w:rsid w:val="008118B9"/>
    <w:rsid w:val="00811EAD"/>
    <w:rsid w:val="00814762"/>
    <w:rsid w:val="00817A97"/>
    <w:rsid w:val="00820198"/>
    <w:rsid w:val="008205DB"/>
    <w:rsid w:val="00822F15"/>
    <w:rsid w:val="0082323D"/>
    <w:rsid w:val="008261AB"/>
    <w:rsid w:val="00826A2E"/>
    <w:rsid w:val="008300B4"/>
    <w:rsid w:val="00830AD7"/>
    <w:rsid w:val="008319A5"/>
    <w:rsid w:val="00832381"/>
    <w:rsid w:val="00833476"/>
    <w:rsid w:val="008335DB"/>
    <w:rsid w:val="00834A5C"/>
    <w:rsid w:val="00837F12"/>
    <w:rsid w:val="00841831"/>
    <w:rsid w:val="00842E28"/>
    <w:rsid w:val="00843AFA"/>
    <w:rsid w:val="008469E0"/>
    <w:rsid w:val="00846D95"/>
    <w:rsid w:val="00852223"/>
    <w:rsid w:val="00852566"/>
    <w:rsid w:val="008525E0"/>
    <w:rsid w:val="00853D7F"/>
    <w:rsid w:val="00855510"/>
    <w:rsid w:val="00855CCA"/>
    <w:rsid w:val="00857795"/>
    <w:rsid w:val="00860C05"/>
    <w:rsid w:val="008623E7"/>
    <w:rsid w:val="008636A9"/>
    <w:rsid w:val="008664AD"/>
    <w:rsid w:val="008665C0"/>
    <w:rsid w:val="00870879"/>
    <w:rsid w:val="00877628"/>
    <w:rsid w:val="0087799B"/>
    <w:rsid w:val="00880331"/>
    <w:rsid w:val="00881603"/>
    <w:rsid w:val="008827A8"/>
    <w:rsid w:val="008943CE"/>
    <w:rsid w:val="00894FB3"/>
    <w:rsid w:val="00895F51"/>
    <w:rsid w:val="008A0568"/>
    <w:rsid w:val="008A1FF4"/>
    <w:rsid w:val="008A6F3C"/>
    <w:rsid w:val="008A72A3"/>
    <w:rsid w:val="008B2482"/>
    <w:rsid w:val="008B2831"/>
    <w:rsid w:val="008B2ECC"/>
    <w:rsid w:val="008B343B"/>
    <w:rsid w:val="008B4335"/>
    <w:rsid w:val="008B511C"/>
    <w:rsid w:val="008C3090"/>
    <w:rsid w:val="008C3AFE"/>
    <w:rsid w:val="008C3E33"/>
    <w:rsid w:val="008C49F0"/>
    <w:rsid w:val="008D039D"/>
    <w:rsid w:val="008D170A"/>
    <w:rsid w:val="008D28FA"/>
    <w:rsid w:val="008D4D60"/>
    <w:rsid w:val="008D60AF"/>
    <w:rsid w:val="008D73CC"/>
    <w:rsid w:val="008D7C49"/>
    <w:rsid w:val="008F04AB"/>
    <w:rsid w:val="008F1450"/>
    <w:rsid w:val="008F1965"/>
    <w:rsid w:val="008F2368"/>
    <w:rsid w:val="008F44EF"/>
    <w:rsid w:val="008F4B97"/>
    <w:rsid w:val="008F6FA2"/>
    <w:rsid w:val="009016C6"/>
    <w:rsid w:val="00902E64"/>
    <w:rsid w:val="0090519F"/>
    <w:rsid w:val="009051EF"/>
    <w:rsid w:val="00906973"/>
    <w:rsid w:val="009135D8"/>
    <w:rsid w:val="00914564"/>
    <w:rsid w:val="00915F76"/>
    <w:rsid w:val="00916742"/>
    <w:rsid w:val="00916AFA"/>
    <w:rsid w:val="0092376B"/>
    <w:rsid w:val="0092508C"/>
    <w:rsid w:val="0092528B"/>
    <w:rsid w:val="00926117"/>
    <w:rsid w:val="00926173"/>
    <w:rsid w:val="00926839"/>
    <w:rsid w:val="0093395C"/>
    <w:rsid w:val="00936074"/>
    <w:rsid w:val="009362E1"/>
    <w:rsid w:val="00941CCB"/>
    <w:rsid w:val="00944020"/>
    <w:rsid w:val="00947D1B"/>
    <w:rsid w:val="00952F80"/>
    <w:rsid w:val="009535BB"/>
    <w:rsid w:val="00953B73"/>
    <w:rsid w:val="00953FD9"/>
    <w:rsid w:val="00956037"/>
    <w:rsid w:val="0096033D"/>
    <w:rsid w:val="00961043"/>
    <w:rsid w:val="009618BC"/>
    <w:rsid w:val="00961EEA"/>
    <w:rsid w:val="0096559A"/>
    <w:rsid w:val="00965619"/>
    <w:rsid w:val="00965A88"/>
    <w:rsid w:val="00966DF6"/>
    <w:rsid w:val="0097214C"/>
    <w:rsid w:val="00972403"/>
    <w:rsid w:val="00974B80"/>
    <w:rsid w:val="00976136"/>
    <w:rsid w:val="009826DE"/>
    <w:rsid w:val="00987ADD"/>
    <w:rsid w:val="00990A4F"/>
    <w:rsid w:val="009922AB"/>
    <w:rsid w:val="009927C6"/>
    <w:rsid w:val="0099450A"/>
    <w:rsid w:val="009946DF"/>
    <w:rsid w:val="00995C33"/>
    <w:rsid w:val="00996A2D"/>
    <w:rsid w:val="009A2914"/>
    <w:rsid w:val="009A5BF7"/>
    <w:rsid w:val="009B6F47"/>
    <w:rsid w:val="009C1CBF"/>
    <w:rsid w:val="009C4EE3"/>
    <w:rsid w:val="009C6967"/>
    <w:rsid w:val="009D0299"/>
    <w:rsid w:val="009E0295"/>
    <w:rsid w:val="009E08E9"/>
    <w:rsid w:val="009E2E7D"/>
    <w:rsid w:val="009E35A2"/>
    <w:rsid w:val="009E3D25"/>
    <w:rsid w:val="009E6A61"/>
    <w:rsid w:val="009E6CF1"/>
    <w:rsid w:val="009F1F5F"/>
    <w:rsid w:val="009F2C40"/>
    <w:rsid w:val="009F2CE3"/>
    <w:rsid w:val="009F3964"/>
    <w:rsid w:val="009F42C7"/>
    <w:rsid w:val="009F4341"/>
    <w:rsid w:val="009F51B9"/>
    <w:rsid w:val="00A004FF"/>
    <w:rsid w:val="00A037DA"/>
    <w:rsid w:val="00A105CB"/>
    <w:rsid w:val="00A11667"/>
    <w:rsid w:val="00A12AB0"/>
    <w:rsid w:val="00A22B88"/>
    <w:rsid w:val="00A23BF6"/>
    <w:rsid w:val="00A24961"/>
    <w:rsid w:val="00A25072"/>
    <w:rsid w:val="00A26293"/>
    <w:rsid w:val="00A27D2C"/>
    <w:rsid w:val="00A33082"/>
    <w:rsid w:val="00A33615"/>
    <w:rsid w:val="00A339EE"/>
    <w:rsid w:val="00A34D42"/>
    <w:rsid w:val="00A364B7"/>
    <w:rsid w:val="00A41909"/>
    <w:rsid w:val="00A42A9F"/>
    <w:rsid w:val="00A43C9B"/>
    <w:rsid w:val="00A50FC0"/>
    <w:rsid w:val="00A56A6C"/>
    <w:rsid w:val="00A57448"/>
    <w:rsid w:val="00A60AAA"/>
    <w:rsid w:val="00A64001"/>
    <w:rsid w:val="00A64301"/>
    <w:rsid w:val="00A64E71"/>
    <w:rsid w:val="00A658CC"/>
    <w:rsid w:val="00A729A4"/>
    <w:rsid w:val="00A73F84"/>
    <w:rsid w:val="00A74863"/>
    <w:rsid w:val="00A85A3D"/>
    <w:rsid w:val="00A86400"/>
    <w:rsid w:val="00A902E7"/>
    <w:rsid w:val="00A94ABD"/>
    <w:rsid w:val="00A95274"/>
    <w:rsid w:val="00A96A83"/>
    <w:rsid w:val="00A97427"/>
    <w:rsid w:val="00AA122A"/>
    <w:rsid w:val="00AA3BF2"/>
    <w:rsid w:val="00AB1456"/>
    <w:rsid w:val="00AB2075"/>
    <w:rsid w:val="00AB3C80"/>
    <w:rsid w:val="00AB4186"/>
    <w:rsid w:val="00AB49CB"/>
    <w:rsid w:val="00AB726B"/>
    <w:rsid w:val="00AB7446"/>
    <w:rsid w:val="00AC1B37"/>
    <w:rsid w:val="00AC5BFA"/>
    <w:rsid w:val="00AC7FEF"/>
    <w:rsid w:val="00AD1133"/>
    <w:rsid w:val="00AD126E"/>
    <w:rsid w:val="00AD2E6B"/>
    <w:rsid w:val="00AD4342"/>
    <w:rsid w:val="00AD4515"/>
    <w:rsid w:val="00AD4724"/>
    <w:rsid w:val="00AE79CC"/>
    <w:rsid w:val="00AF0E12"/>
    <w:rsid w:val="00AF1681"/>
    <w:rsid w:val="00AF3FF8"/>
    <w:rsid w:val="00AF5C99"/>
    <w:rsid w:val="00B018D5"/>
    <w:rsid w:val="00B0549F"/>
    <w:rsid w:val="00B060D8"/>
    <w:rsid w:val="00B06571"/>
    <w:rsid w:val="00B0681C"/>
    <w:rsid w:val="00B074FA"/>
    <w:rsid w:val="00B10983"/>
    <w:rsid w:val="00B10F73"/>
    <w:rsid w:val="00B15E71"/>
    <w:rsid w:val="00B22E8C"/>
    <w:rsid w:val="00B235B0"/>
    <w:rsid w:val="00B24B4F"/>
    <w:rsid w:val="00B2558F"/>
    <w:rsid w:val="00B25B63"/>
    <w:rsid w:val="00B264AA"/>
    <w:rsid w:val="00B3007D"/>
    <w:rsid w:val="00B32805"/>
    <w:rsid w:val="00B33E48"/>
    <w:rsid w:val="00B352E1"/>
    <w:rsid w:val="00B35543"/>
    <w:rsid w:val="00B36222"/>
    <w:rsid w:val="00B42AF7"/>
    <w:rsid w:val="00B42D8B"/>
    <w:rsid w:val="00B42F99"/>
    <w:rsid w:val="00B43395"/>
    <w:rsid w:val="00B44C9F"/>
    <w:rsid w:val="00B45217"/>
    <w:rsid w:val="00B454AD"/>
    <w:rsid w:val="00B46522"/>
    <w:rsid w:val="00B46BAE"/>
    <w:rsid w:val="00B51C54"/>
    <w:rsid w:val="00B53F51"/>
    <w:rsid w:val="00B540C7"/>
    <w:rsid w:val="00B542BD"/>
    <w:rsid w:val="00B57251"/>
    <w:rsid w:val="00B61556"/>
    <w:rsid w:val="00B67204"/>
    <w:rsid w:val="00B71495"/>
    <w:rsid w:val="00B7171C"/>
    <w:rsid w:val="00B7431D"/>
    <w:rsid w:val="00B75E73"/>
    <w:rsid w:val="00B81288"/>
    <w:rsid w:val="00B81563"/>
    <w:rsid w:val="00B825AB"/>
    <w:rsid w:val="00B851B9"/>
    <w:rsid w:val="00B92E5C"/>
    <w:rsid w:val="00B941BE"/>
    <w:rsid w:val="00B94F75"/>
    <w:rsid w:val="00B97E2E"/>
    <w:rsid w:val="00BA44F3"/>
    <w:rsid w:val="00BB074A"/>
    <w:rsid w:val="00BB3359"/>
    <w:rsid w:val="00BB5B1D"/>
    <w:rsid w:val="00BB6529"/>
    <w:rsid w:val="00BC02C8"/>
    <w:rsid w:val="00BC1C70"/>
    <w:rsid w:val="00BC3180"/>
    <w:rsid w:val="00BC6E9B"/>
    <w:rsid w:val="00BC7F56"/>
    <w:rsid w:val="00BD1443"/>
    <w:rsid w:val="00BD21C9"/>
    <w:rsid w:val="00BD65B4"/>
    <w:rsid w:val="00BD66A4"/>
    <w:rsid w:val="00BE037F"/>
    <w:rsid w:val="00BE0D27"/>
    <w:rsid w:val="00BE31EE"/>
    <w:rsid w:val="00BE7923"/>
    <w:rsid w:val="00BF1EF0"/>
    <w:rsid w:val="00BF232D"/>
    <w:rsid w:val="00BF2357"/>
    <w:rsid w:val="00BF3CE5"/>
    <w:rsid w:val="00BF49B9"/>
    <w:rsid w:val="00BF7069"/>
    <w:rsid w:val="00C010A3"/>
    <w:rsid w:val="00C07D18"/>
    <w:rsid w:val="00C11F9E"/>
    <w:rsid w:val="00C12DBB"/>
    <w:rsid w:val="00C16681"/>
    <w:rsid w:val="00C20687"/>
    <w:rsid w:val="00C20EE9"/>
    <w:rsid w:val="00C228DD"/>
    <w:rsid w:val="00C245A3"/>
    <w:rsid w:val="00C2686E"/>
    <w:rsid w:val="00C26C4E"/>
    <w:rsid w:val="00C272DD"/>
    <w:rsid w:val="00C3351A"/>
    <w:rsid w:val="00C34041"/>
    <w:rsid w:val="00C36084"/>
    <w:rsid w:val="00C40EA1"/>
    <w:rsid w:val="00C41F1C"/>
    <w:rsid w:val="00C42E70"/>
    <w:rsid w:val="00C437C0"/>
    <w:rsid w:val="00C43E6D"/>
    <w:rsid w:val="00C47A64"/>
    <w:rsid w:val="00C51699"/>
    <w:rsid w:val="00C54071"/>
    <w:rsid w:val="00C54A31"/>
    <w:rsid w:val="00C57549"/>
    <w:rsid w:val="00C62D45"/>
    <w:rsid w:val="00C65529"/>
    <w:rsid w:val="00C67F40"/>
    <w:rsid w:val="00C67FDB"/>
    <w:rsid w:val="00C72EBC"/>
    <w:rsid w:val="00C73970"/>
    <w:rsid w:val="00C75990"/>
    <w:rsid w:val="00C8074A"/>
    <w:rsid w:val="00C81AFC"/>
    <w:rsid w:val="00C838D5"/>
    <w:rsid w:val="00C856B8"/>
    <w:rsid w:val="00C85CFE"/>
    <w:rsid w:val="00C87028"/>
    <w:rsid w:val="00C91C48"/>
    <w:rsid w:val="00C92D37"/>
    <w:rsid w:val="00C93308"/>
    <w:rsid w:val="00C933FB"/>
    <w:rsid w:val="00C934C1"/>
    <w:rsid w:val="00C93AA9"/>
    <w:rsid w:val="00C95584"/>
    <w:rsid w:val="00C97AF0"/>
    <w:rsid w:val="00CA36B8"/>
    <w:rsid w:val="00CA6FA8"/>
    <w:rsid w:val="00CA7633"/>
    <w:rsid w:val="00CB24EC"/>
    <w:rsid w:val="00CB48FF"/>
    <w:rsid w:val="00CC18D4"/>
    <w:rsid w:val="00CC3386"/>
    <w:rsid w:val="00CC40EC"/>
    <w:rsid w:val="00CC4112"/>
    <w:rsid w:val="00CC4198"/>
    <w:rsid w:val="00CC5BEA"/>
    <w:rsid w:val="00CC5FF1"/>
    <w:rsid w:val="00CD1C32"/>
    <w:rsid w:val="00CD6465"/>
    <w:rsid w:val="00CD7F47"/>
    <w:rsid w:val="00CE1635"/>
    <w:rsid w:val="00CE1848"/>
    <w:rsid w:val="00CE67F4"/>
    <w:rsid w:val="00CE7001"/>
    <w:rsid w:val="00CE74B4"/>
    <w:rsid w:val="00CF0595"/>
    <w:rsid w:val="00CF05EB"/>
    <w:rsid w:val="00CF0A54"/>
    <w:rsid w:val="00CF1D43"/>
    <w:rsid w:val="00CF238C"/>
    <w:rsid w:val="00CF32E2"/>
    <w:rsid w:val="00CF4E3B"/>
    <w:rsid w:val="00CF6032"/>
    <w:rsid w:val="00CF6396"/>
    <w:rsid w:val="00D01E4B"/>
    <w:rsid w:val="00D104FE"/>
    <w:rsid w:val="00D10CAF"/>
    <w:rsid w:val="00D210DF"/>
    <w:rsid w:val="00D22916"/>
    <w:rsid w:val="00D229EB"/>
    <w:rsid w:val="00D2663C"/>
    <w:rsid w:val="00D301D0"/>
    <w:rsid w:val="00D30F98"/>
    <w:rsid w:val="00D3266A"/>
    <w:rsid w:val="00D35B85"/>
    <w:rsid w:val="00D402EF"/>
    <w:rsid w:val="00D42F25"/>
    <w:rsid w:val="00D4344C"/>
    <w:rsid w:val="00D44B3F"/>
    <w:rsid w:val="00D454DE"/>
    <w:rsid w:val="00D46612"/>
    <w:rsid w:val="00D50333"/>
    <w:rsid w:val="00D51370"/>
    <w:rsid w:val="00D57658"/>
    <w:rsid w:val="00D6422E"/>
    <w:rsid w:val="00D65665"/>
    <w:rsid w:val="00D65702"/>
    <w:rsid w:val="00D668BE"/>
    <w:rsid w:val="00D70138"/>
    <w:rsid w:val="00D712C5"/>
    <w:rsid w:val="00D716A1"/>
    <w:rsid w:val="00D74BE5"/>
    <w:rsid w:val="00D76407"/>
    <w:rsid w:val="00D77408"/>
    <w:rsid w:val="00D80E7B"/>
    <w:rsid w:val="00D80FF3"/>
    <w:rsid w:val="00D83CCC"/>
    <w:rsid w:val="00D86A27"/>
    <w:rsid w:val="00D873C5"/>
    <w:rsid w:val="00D87760"/>
    <w:rsid w:val="00D90A81"/>
    <w:rsid w:val="00D92CFD"/>
    <w:rsid w:val="00D93327"/>
    <w:rsid w:val="00D939BA"/>
    <w:rsid w:val="00D946DF"/>
    <w:rsid w:val="00D94E87"/>
    <w:rsid w:val="00D96805"/>
    <w:rsid w:val="00DA22B2"/>
    <w:rsid w:val="00DA32C4"/>
    <w:rsid w:val="00DA400F"/>
    <w:rsid w:val="00DA7A18"/>
    <w:rsid w:val="00DB0AF8"/>
    <w:rsid w:val="00DB1014"/>
    <w:rsid w:val="00DB31A7"/>
    <w:rsid w:val="00DB3D91"/>
    <w:rsid w:val="00DC280B"/>
    <w:rsid w:val="00DC477A"/>
    <w:rsid w:val="00DC5493"/>
    <w:rsid w:val="00DC5DA1"/>
    <w:rsid w:val="00DC612B"/>
    <w:rsid w:val="00DD0B26"/>
    <w:rsid w:val="00DD2332"/>
    <w:rsid w:val="00DD3890"/>
    <w:rsid w:val="00DD43EF"/>
    <w:rsid w:val="00DD6F3A"/>
    <w:rsid w:val="00DD796E"/>
    <w:rsid w:val="00DE565F"/>
    <w:rsid w:val="00DE6BE7"/>
    <w:rsid w:val="00DF308F"/>
    <w:rsid w:val="00DF6004"/>
    <w:rsid w:val="00DF7B12"/>
    <w:rsid w:val="00E05527"/>
    <w:rsid w:val="00E0708A"/>
    <w:rsid w:val="00E1007C"/>
    <w:rsid w:val="00E1211E"/>
    <w:rsid w:val="00E12FFA"/>
    <w:rsid w:val="00E157D4"/>
    <w:rsid w:val="00E21FBA"/>
    <w:rsid w:val="00E22ED4"/>
    <w:rsid w:val="00E34520"/>
    <w:rsid w:val="00E3469A"/>
    <w:rsid w:val="00E3672B"/>
    <w:rsid w:val="00E408E0"/>
    <w:rsid w:val="00E41BC3"/>
    <w:rsid w:val="00E421BE"/>
    <w:rsid w:val="00E458B9"/>
    <w:rsid w:val="00E52CFB"/>
    <w:rsid w:val="00E54F49"/>
    <w:rsid w:val="00E6046C"/>
    <w:rsid w:val="00E60EDE"/>
    <w:rsid w:val="00E62CC2"/>
    <w:rsid w:val="00E63C58"/>
    <w:rsid w:val="00E655E8"/>
    <w:rsid w:val="00E71CA6"/>
    <w:rsid w:val="00E731E1"/>
    <w:rsid w:val="00E73FC7"/>
    <w:rsid w:val="00E75BF0"/>
    <w:rsid w:val="00E76913"/>
    <w:rsid w:val="00E80352"/>
    <w:rsid w:val="00E8133F"/>
    <w:rsid w:val="00E83C45"/>
    <w:rsid w:val="00E864EA"/>
    <w:rsid w:val="00E867D8"/>
    <w:rsid w:val="00E9028C"/>
    <w:rsid w:val="00E914EB"/>
    <w:rsid w:val="00E9673B"/>
    <w:rsid w:val="00E96974"/>
    <w:rsid w:val="00E970B9"/>
    <w:rsid w:val="00EA310D"/>
    <w:rsid w:val="00EA3749"/>
    <w:rsid w:val="00EA47F5"/>
    <w:rsid w:val="00EA5EB0"/>
    <w:rsid w:val="00EB03E2"/>
    <w:rsid w:val="00EB627F"/>
    <w:rsid w:val="00EB6F80"/>
    <w:rsid w:val="00EB78CD"/>
    <w:rsid w:val="00EC4F72"/>
    <w:rsid w:val="00EC72C5"/>
    <w:rsid w:val="00EC79B3"/>
    <w:rsid w:val="00ED0DDF"/>
    <w:rsid w:val="00ED1568"/>
    <w:rsid w:val="00ED2149"/>
    <w:rsid w:val="00ED2212"/>
    <w:rsid w:val="00ED37CC"/>
    <w:rsid w:val="00ED6672"/>
    <w:rsid w:val="00EE0F9D"/>
    <w:rsid w:val="00EE1C95"/>
    <w:rsid w:val="00EE476D"/>
    <w:rsid w:val="00EF0010"/>
    <w:rsid w:val="00EF046F"/>
    <w:rsid w:val="00EF0DF1"/>
    <w:rsid w:val="00EF30B4"/>
    <w:rsid w:val="00EF32AD"/>
    <w:rsid w:val="00EF45E1"/>
    <w:rsid w:val="00F0356C"/>
    <w:rsid w:val="00F0435E"/>
    <w:rsid w:val="00F070B0"/>
    <w:rsid w:val="00F076E7"/>
    <w:rsid w:val="00F10A90"/>
    <w:rsid w:val="00F1445B"/>
    <w:rsid w:val="00F14603"/>
    <w:rsid w:val="00F16D28"/>
    <w:rsid w:val="00F21F1F"/>
    <w:rsid w:val="00F22515"/>
    <w:rsid w:val="00F25512"/>
    <w:rsid w:val="00F258C3"/>
    <w:rsid w:val="00F264BD"/>
    <w:rsid w:val="00F362B1"/>
    <w:rsid w:val="00F37AAD"/>
    <w:rsid w:val="00F4084F"/>
    <w:rsid w:val="00F4233C"/>
    <w:rsid w:val="00F4383E"/>
    <w:rsid w:val="00F44961"/>
    <w:rsid w:val="00F46BA7"/>
    <w:rsid w:val="00F4789F"/>
    <w:rsid w:val="00F47F04"/>
    <w:rsid w:val="00F51897"/>
    <w:rsid w:val="00F518CD"/>
    <w:rsid w:val="00F52288"/>
    <w:rsid w:val="00F52571"/>
    <w:rsid w:val="00F53767"/>
    <w:rsid w:val="00F53EF6"/>
    <w:rsid w:val="00F543B9"/>
    <w:rsid w:val="00F549E0"/>
    <w:rsid w:val="00F5613E"/>
    <w:rsid w:val="00F56E97"/>
    <w:rsid w:val="00F6245F"/>
    <w:rsid w:val="00F65B95"/>
    <w:rsid w:val="00F667B7"/>
    <w:rsid w:val="00F66ADA"/>
    <w:rsid w:val="00F67649"/>
    <w:rsid w:val="00F7004B"/>
    <w:rsid w:val="00F71959"/>
    <w:rsid w:val="00F7440B"/>
    <w:rsid w:val="00F7693D"/>
    <w:rsid w:val="00F77E2F"/>
    <w:rsid w:val="00F80EAA"/>
    <w:rsid w:val="00F830AA"/>
    <w:rsid w:val="00F83483"/>
    <w:rsid w:val="00F86A9A"/>
    <w:rsid w:val="00F919B6"/>
    <w:rsid w:val="00F93CFB"/>
    <w:rsid w:val="00F953E7"/>
    <w:rsid w:val="00F96891"/>
    <w:rsid w:val="00F96A31"/>
    <w:rsid w:val="00FA152E"/>
    <w:rsid w:val="00FA1ABC"/>
    <w:rsid w:val="00FA41D7"/>
    <w:rsid w:val="00FA642F"/>
    <w:rsid w:val="00FA7084"/>
    <w:rsid w:val="00FA7C9C"/>
    <w:rsid w:val="00FB0637"/>
    <w:rsid w:val="00FB1DA2"/>
    <w:rsid w:val="00FB424D"/>
    <w:rsid w:val="00FB48EB"/>
    <w:rsid w:val="00FB4C30"/>
    <w:rsid w:val="00FB4D49"/>
    <w:rsid w:val="00FB62D8"/>
    <w:rsid w:val="00FB79D5"/>
    <w:rsid w:val="00FB7D89"/>
    <w:rsid w:val="00FC29CD"/>
    <w:rsid w:val="00FC3BAC"/>
    <w:rsid w:val="00FC3FC4"/>
    <w:rsid w:val="00FC47BF"/>
    <w:rsid w:val="00FC6291"/>
    <w:rsid w:val="00FD49C9"/>
    <w:rsid w:val="00FD6BE7"/>
    <w:rsid w:val="00FE1FAB"/>
    <w:rsid w:val="00FE3931"/>
    <w:rsid w:val="00FE3B73"/>
    <w:rsid w:val="00FF0A82"/>
    <w:rsid w:val="00FF0D15"/>
    <w:rsid w:val="00FF2EE1"/>
    <w:rsid w:val="00FF6FBF"/>
    <w:rsid w:val="00FF751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056C34"/>
  <w15:chartTrackingRefBased/>
  <w15:docId w15:val="{4DED4967-5A90-42D3-8B04-35C6E360A5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77EE1"/>
    <w:pPr>
      <w:jc w:val="both"/>
    </w:pPr>
    <w:rPr>
      <w:rFonts w:ascii="Palatino Linotype" w:hAnsi="Palatino Linotype"/>
      <w:color w:val="000000" w:themeColor="tex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177EE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77EE1"/>
    <w:rPr>
      <w:rFonts w:ascii="Palatino Linotype" w:hAnsi="Palatino Linotype"/>
      <w:color w:val="000000" w:themeColor="text1"/>
    </w:rPr>
  </w:style>
  <w:style w:type="paragraph" w:styleId="Piedepgina">
    <w:name w:val="footer"/>
    <w:basedOn w:val="Normal"/>
    <w:link w:val="PiedepginaCar"/>
    <w:uiPriority w:val="99"/>
    <w:unhideWhenUsed/>
    <w:rsid w:val="00177EE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77EE1"/>
    <w:rPr>
      <w:rFonts w:ascii="Palatino Linotype" w:hAnsi="Palatino Linotype"/>
      <w:color w:val="000000" w:themeColor="text1"/>
    </w:rPr>
  </w:style>
  <w:style w:type="table" w:styleId="Tablaconcuadrcula">
    <w:name w:val="Table Grid"/>
    <w:basedOn w:val="Tablanormal"/>
    <w:uiPriority w:val="39"/>
    <w:rsid w:val="00177EE1"/>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aliases w:val="Hipervínculo1,Hipervínculo11,Hipervínculo12,Hipervínculo13,Hipervínculo14,Hipervínculo15"/>
    <w:basedOn w:val="Fuentedeprrafopredeter"/>
    <w:uiPriority w:val="99"/>
    <w:unhideWhenUsed/>
    <w:qFormat/>
    <w:rsid w:val="00177EE1"/>
    <w:rPr>
      <w:color w:val="0563C1" w:themeColor="hyperlink"/>
      <w:u w:val="single"/>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basedOn w:val="Fuentedeprrafopredeter"/>
    <w:link w:val="Prrafodelista"/>
    <w:uiPriority w:val="34"/>
    <w:qFormat/>
    <w:locked/>
    <w:rsid w:val="00177EE1"/>
    <w:rPr>
      <w:rFonts w:ascii="Century Gothic" w:eastAsia="Times New Roman" w:hAnsi="Century Gothic" w:cs="Times New Roman"/>
      <w:szCs w:val="24"/>
      <w:lang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177EE1"/>
    <w:pPr>
      <w:spacing w:after="0" w:line="240" w:lineRule="auto"/>
      <w:ind w:left="720"/>
      <w:contextualSpacing/>
      <w:jc w:val="left"/>
    </w:pPr>
    <w:rPr>
      <w:rFonts w:ascii="Century Gothic" w:eastAsia="Times New Roman" w:hAnsi="Century Gothic" w:cs="Times New Roman"/>
      <w:color w:val="auto"/>
      <w:szCs w:val="24"/>
      <w:lang w:eastAsia="es-ES"/>
    </w:rPr>
  </w:style>
  <w:style w:type="character" w:customStyle="1" w:styleId="UnresolvedMention1">
    <w:name w:val="Unresolved Mention1"/>
    <w:basedOn w:val="Fuentedeprrafopredeter"/>
    <w:uiPriority w:val="99"/>
    <w:semiHidden/>
    <w:unhideWhenUsed/>
    <w:rsid w:val="00177EE1"/>
    <w:rPr>
      <w:color w:val="605E5C"/>
      <w:shd w:val="clear" w:color="auto" w:fill="E1DFDD"/>
    </w:rPr>
  </w:style>
  <w:style w:type="character" w:styleId="Hipervnculovisitado">
    <w:name w:val="FollowedHyperlink"/>
    <w:basedOn w:val="Fuentedeprrafopredeter"/>
    <w:uiPriority w:val="99"/>
    <w:semiHidden/>
    <w:unhideWhenUsed/>
    <w:rsid w:val="00177EE1"/>
    <w:rPr>
      <w:color w:val="954F72" w:themeColor="followedHyperlink"/>
      <w:u w:val="single"/>
    </w:rPr>
  </w:style>
  <w:style w:type="character" w:customStyle="1" w:styleId="dp6">
    <w:name w:val="dp6"/>
    <w:basedOn w:val="Fuentedeprrafopredeter"/>
    <w:rsid w:val="00177EE1"/>
  </w:style>
  <w:style w:type="paragraph" w:styleId="Textosinformato">
    <w:name w:val="Plain Text"/>
    <w:basedOn w:val="Normal"/>
    <w:link w:val="TextosinformatoCar"/>
    <w:rsid w:val="00177EE1"/>
    <w:pPr>
      <w:spacing w:after="0" w:line="240" w:lineRule="auto"/>
      <w:jc w:val="left"/>
    </w:pPr>
    <w:rPr>
      <w:rFonts w:ascii="Courier New" w:eastAsia="Times New Roman" w:hAnsi="Courier New" w:cs="Times New Roman"/>
      <w:color w:val="auto"/>
      <w:sz w:val="20"/>
      <w:szCs w:val="20"/>
      <w:lang w:val="x-none" w:eastAsia="es-ES"/>
    </w:rPr>
  </w:style>
  <w:style w:type="character" w:customStyle="1" w:styleId="TextosinformatoCar">
    <w:name w:val="Texto sin formato Car"/>
    <w:basedOn w:val="Fuentedeprrafopredeter"/>
    <w:link w:val="Textosinformato"/>
    <w:rsid w:val="00177EE1"/>
    <w:rPr>
      <w:rFonts w:ascii="Courier New" w:eastAsia="Times New Roman" w:hAnsi="Courier New" w:cs="Times New Roman"/>
      <w:sz w:val="20"/>
      <w:szCs w:val="20"/>
      <w:lang w:val="x-none" w:eastAsia="es-ES"/>
    </w:rPr>
  </w:style>
  <w:style w:type="paragraph" w:customStyle="1" w:styleId="Texto">
    <w:name w:val="Texto"/>
    <w:basedOn w:val="Normal"/>
    <w:link w:val="TextoCar"/>
    <w:rsid w:val="00177EE1"/>
    <w:pPr>
      <w:spacing w:after="101" w:line="216" w:lineRule="exact"/>
      <w:ind w:firstLine="288"/>
    </w:pPr>
    <w:rPr>
      <w:rFonts w:ascii="Arial" w:eastAsia="Times New Roman" w:hAnsi="Arial" w:cs="Times New Roman"/>
      <w:color w:val="auto"/>
      <w:sz w:val="18"/>
      <w:szCs w:val="18"/>
      <w:lang w:val="es-ES" w:eastAsia="es-ES"/>
    </w:rPr>
  </w:style>
  <w:style w:type="character" w:customStyle="1" w:styleId="TextoCar">
    <w:name w:val="Texto Car"/>
    <w:link w:val="Texto"/>
    <w:locked/>
    <w:rsid w:val="00177EE1"/>
    <w:rPr>
      <w:rFonts w:ascii="Arial" w:eastAsia="Times New Roman" w:hAnsi="Arial" w:cs="Times New Roman"/>
      <w:sz w:val="18"/>
      <w:szCs w:val="18"/>
      <w:lang w:val="es-ES" w:eastAsia="es-ES"/>
    </w:rPr>
  </w:style>
  <w:style w:type="character" w:customStyle="1" w:styleId="markedcontent">
    <w:name w:val="markedcontent"/>
    <w:basedOn w:val="Fuentedeprrafopredeter"/>
    <w:rsid w:val="00177EE1"/>
  </w:style>
  <w:style w:type="paragraph" w:styleId="NormalWeb">
    <w:name w:val="Normal (Web)"/>
    <w:basedOn w:val="Normal"/>
    <w:uiPriority w:val="99"/>
    <w:semiHidden/>
    <w:unhideWhenUsed/>
    <w:rsid w:val="00177EE1"/>
    <w:pPr>
      <w:spacing w:before="100" w:beforeAutospacing="1" w:after="100" w:afterAutospacing="1" w:line="240" w:lineRule="auto"/>
      <w:jc w:val="left"/>
    </w:pPr>
    <w:rPr>
      <w:rFonts w:ascii="Times New Roman" w:eastAsia="Times New Roman" w:hAnsi="Times New Roman" w:cs="Times New Roman"/>
      <w:color w:val="auto"/>
      <w:sz w:val="24"/>
      <w:szCs w:val="24"/>
      <w:lang w:eastAsia="es-ES_tradnl"/>
    </w:rPr>
  </w:style>
  <w:style w:type="character" w:customStyle="1" w:styleId="apple-converted-space">
    <w:name w:val="apple-converted-space"/>
    <w:basedOn w:val="Fuentedeprrafopredeter"/>
    <w:rsid w:val="00177EE1"/>
  </w:style>
  <w:style w:type="paragraph" w:customStyle="1" w:styleId="paragraph">
    <w:name w:val="paragraph"/>
    <w:basedOn w:val="Normal"/>
    <w:rsid w:val="00916742"/>
    <w:pPr>
      <w:spacing w:before="100" w:beforeAutospacing="1" w:after="100" w:afterAutospacing="1" w:line="240" w:lineRule="auto"/>
      <w:jc w:val="left"/>
    </w:pPr>
    <w:rPr>
      <w:rFonts w:ascii="Times New Roman" w:eastAsia="Times New Roman" w:hAnsi="Times New Roman" w:cs="Times New Roman"/>
      <w:color w:val="auto"/>
      <w:sz w:val="24"/>
      <w:szCs w:val="24"/>
      <w:lang w:eastAsia="es-MX"/>
    </w:rPr>
  </w:style>
  <w:style w:type="character" w:customStyle="1" w:styleId="normaltextrun">
    <w:name w:val="normaltextrun"/>
    <w:basedOn w:val="Fuentedeprrafopredeter"/>
    <w:rsid w:val="00916742"/>
  </w:style>
  <w:style w:type="character" w:customStyle="1" w:styleId="eop">
    <w:name w:val="eop"/>
    <w:basedOn w:val="Fuentedeprrafopredeter"/>
    <w:rsid w:val="00916742"/>
  </w:style>
  <w:style w:type="character" w:customStyle="1" w:styleId="Mencinsinresolver1">
    <w:name w:val="Mención sin resolver1"/>
    <w:basedOn w:val="Fuentedeprrafopredeter"/>
    <w:uiPriority w:val="99"/>
    <w:semiHidden/>
    <w:unhideWhenUsed/>
    <w:rsid w:val="002A28F5"/>
    <w:rPr>
      <w:color w:val="605E5C"/>
      <w:shd w:val="clear" w:color="auto" w:fill="E1DFDD"/>
    </w:rPr>
  </w:style>
  <w:style w:type="character" w:customStyle="1" w:styleId="liststyle101843878level1">
    <w:name w:val="liststyle_101843878_level_1"/>
    <w:basedOn w:val="Fuentedeprrafopredeter"/>
    <w:rsid w:val="0000356F"/>
  </w:style>
  <w:style w:type="character" w:customStyle="1" w:styleId="liststyle531116157level1">
    <w:name w:val="liststyle_531116157_level_1"/>
    <w:basedOn w:val="Fuentedeprrafopredeter"/>
    <w:rsid w:val="0097214C"/>
  </w:style>
  <w:style w:type="character" w:customStyle="1" w:styleId="liststyle1720857053level1">
    <w:name w:val="liststyle_1720857053_level_1"/>
    <w:basedOn w:val="Fuentedeprrafopredeter"/>
    <w:rsid w:val="0097214C"/>
  </w:style>
  <w:style w:type="character" w:customStyle="1" w:styleId="liststyle1114203784level1">
    <w:name w:val="liststyle_1114203784_level_1"/>
    <w:basedOn w:val="Fuentedeprrafopredeter"/>
    <w:rsid w:val="0097214C"/>
  </w:style>
  <w:style w:type="character" w:customStyle="1" w:styleId="liststyle1433163178level1">
    <w:name w:val="liststyle_1433163178_level_1"/>
    <w:basedOn w:val="Fuentedeprrafopredeter"/>
    <w:rsid w:val="0097214C"/>
  </w:style>
  <w:style w:type="character" w:customStyle="1" w:styleId="liststyle634457552level1">
    <w:name w:val="liststyle_634457552_level_1"/>
    <w:basedOn w:val="Fuentedeprrafopredeter"/>
    <w:rsid w:val="0097214C"/>
  </w:style>
  <w:style w:type="character" w:customStyle="1" w:styleId="liststyle965307570level1">
    <w:name w:val="liststyle_965307570_level_1"/>
    <w:basedOn w:val="Fuentedeprrafopredeter"/>
    <w:rsid w:val="0097214C"/>
  </w:style>
  <w:style w:type="character" w:customStyle="1" w:styleId="liststyle955450067level1">
    <w:name w:val="liststyle_955450067_level_1"/>
    <w:basedOn w:val="Fuentedeprrafopredeter"/>
    <w:rsid w:val="00E0708A"/>
  </w:style>
  <w:style w:type="character" w:customStyle="1" w:styleId="liststyle680592117level1">
    <w:name w:val="liststyle_680592117_level_1"/>
    <w:basedOn w:val="Fuentedeprrafopredeter"/>
    <w:rsid w:val="00E0708A"/>
  </w:style>
  <w:style w:type="character" w:customStyle="1" w:styleId="liststyle253129228level1">
    <w:name w:val="liststyle_253129228_level_1"/>
    <w:basedOn w:val="Fuentedeprrafopredeter"/>
    <w:rsid w:val="00E0708A"/>
  </w:style>
  <w:style w:type="character" w:customStyle="1" w:styleId="liststyle1294600228level1">
    <w:name w:val="liststyle_1294600228_level_1"/>
    <w:basedOn w:val="Fuentedeprrafopredeter"/>
    <w:rsid w:val="00E0708A"/>
  </w:style>
  <w:style w:type="character" w:customStyle="1" w:styleId="liststyle576868307level1">
    <w:name w:val="liststyle_576868307_level_1"/>
    <w:basedOn w:val="Fuentedeprrafopredeter"/>
    <w:rsid w:val="00E0708A"/>
  </w:style>
  <w:style w:type="character" w:customStyle="1" w:styleId="liststyle871000154level1">
    <w:name w:val="liststyle_871000154_level_1"/>
    <w:basedOn w:val="Fuentedeprrafopredeter"/>
    <w:rsid w:val="00E0708A"/>
  </w:style>
  <w:style w:type="character" w:customStyle="1" w:styleId="liststyle1012340937level1">
    <w:name w:val="liststyle_1012340937_level_1"/>
    <w:basedOn w:val="Fuentedeprrafopredeter"/>
    <w:rsid w:val="00E0708A"/>
  </w:style>
  <w:style w:type="character" w:customStyle="1" w:styleId="findhit">
    <w:name w:val="findhit"/>
    <w:basedOn w:val="Fuentedeprrafopredeter"/>
    <w:rsid w:val="007C001F"/>
  </w:style>
  <w:style w:type="character" w:styleId="Mencinsinresolver">
    <w:name w:val="Unresolved Mention"/>
    <w:basedOn w:val="Fuentedeprrafopredeter"/>
    <w:uiPriority w:val="99"/>
    <w:semiHidden/>
    <w:unhideWhenUsed/>
    <w:rsid w:val="006515EA"/>
    <w:rPr>
      <w:color w:val="605E5C"/>
      <w:shd w:val="clear" w:color="auto" w:fill="E1DFDD"/>
    </w:rPr>
  </w:style>
  <w:style w:type="paragraph" w:styleId="Revisin">
    <w:name w:val="Revision"/>
    <w:hidden/>
    <w:uiPriority w:val="99"/>
    <w:semiHidden/>
    <w:rsid w:val="004D6871"/>
    <w:pPr>
      <w:spacing w:after="0" w:line="240" w:lineRule="auto"/>
    </w:pPr>
    <w:rPr>
      <w:rFonts w:ascii="Palatino Linotype" w:hAnsi="Palatino Linotype"/>
      <w:color w:val="000000" w:themeColor="text1"/>
    </w:rPr>
  </w:style>
  <w:style w:type="character" w:styleId="nfasis">
    <w:name w:val="Emphasis"/>
    <w:basedOn w:val="Fuentedeprrafopredeter"/>
    <w:uiPriority w:val="20"/>
    <w:qFormat/>
    <w:rsid w:val="009E6A61"/>
    <w:rPr>
      <w:i/>
      <w:iCs/>
    </w:rPr>
  </w:style>
  <w:style w:type="character" w:customStyle="1" w:styleId="r-18u37iz">
    <w:name w:val="r-18u37iz"/>
    <w:basedOn w:val="Fuentedeprrafopredeter"/>
    <w:rsid w:val="00015B91"/>
  </w:style>
  <w:style w:type="character" w:customStyle="1" w:styleId="css-901oao">
    <w:name w:val="css-901oao"/>
    <w:basedOn w:val="Fuentedeprrafopredeter"/>
    <w:rsid w:val="00015B91"/>
  </w:style>
  <w:style w:type="character" w:customStyle="1" w:styleId="ng-star-inserted">
    <w:name w:val="ng-star-inserted"/>
    <w:basedOn w:val="Fuentedeprrafopredeter"/>
    <w:rsid w:val="0000718C"/>
  </w:style>
  <w:style w:type="character" w:styleId="Textoennegrita">
    <w:name w:val="Strong"/>
    <w:basedOn w:val="Fuentedeprrafopredeter"/>
    <w:uiPriority w:val="22"/>
    <w:qFormat/>
    <w:rsid w:val="009618BC"/>
    <w:rPr>
      <w:b/>
      <w:bCs/>
    </w:rPr>
  </w:style>
  <w:style w:type="character" w:customStyle="1" w:styleId="nacep">
    <w:name w:val="n_acep"/>
    <w:basedOn w:val="Fuentedeprrafopredeter"/>
    <w:rsid w:val="00B3622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545341">
      <w:bodyDiv w:val="1"/>
      <w:marLeft w:val="0"/>
      <w:marRight w:val="0"/>
      <w:marTop w:val="0"/>
      <w:marBottom w:val="0"/>
      <w:divBdr>
        <w:top w:val="none" w:sz="0" w:space="0" w:color="auto"/>
        <w:left w:val="none" w:sz="0" w:space="0" w:color="auto"/>
        <w:bottom w:val="none" w:sz="0" w:space="0" w:color="auto"/>
        <w:right w:val="none" w:sz="0" w:space="0" w:color="auto"/>
      </w:divBdr>
    </w:div>
    <w:div w:id="52168163">
      <w:bodyDiv w:val="1"/>
      <w:marLeft w:val="0"/>
      <w:marRight w:val="0"/>
      <w:marTop w:val="0"/>
      <w:marBottom w:val="0"/>
      <w:divBdr>
        <w:top w:val="none" w:sz="0" w:space="0" w:color="auto"/>
        <w:left w:val="none" w:sz="0" w:space="0" w:color="auto"/>
        <w:bottom w:val="none" w:sz="0" w:space="0" w:color="auto"/>
        <w:right w:val="none" w:sz="0" w:space="0" w:color="auto"/>
      </w:divBdr>
      <w:divsChild>
        <w:div w:id="885146528">
          <w:marLeft w:val="0"/>
          <w:marRight w:val="0"/>
          <w:marTop w:val="0"/>
          <w:marBottom w:val="101"/>
          <w:divBdr>
            <w:top w:val="none" w:sz="0" w:space="0" w:color="auto"/>
            <w:left w:val="none" w:sz="0" w:space="0" w:color="auto"/>
            <w:bottom w:val="none" w:sz="0" w:space="0" w:color="auto"/>
            <w:right w:val="none" w:sz="0" w:space="0" w:color="auto"/>
          </w:divBdr>
        </w:div>
      </w:divsChild>
    </w:div>
    <w:div w:id="74711654">
      <w:bodyDiv w:val="1"/>
      <w:marLeft w:val="0"/>
      <w:marRight w:val="0"/>
      <w:marTop w:val="0"/>
      <w:marBottom w:val="0"/>
      <w:divBdr>
        <w:top w:val="none" w:sz="0" w:space="0" w:color="auto"/>
        <w:left w:val="none" w:sz="0" w:space="0" w:color="auto"/>
        <w:bottom w:val="none" w:sz="0" w:space="0" w:color="auto"/>
        <w:right w:val="none" w:sz="0" w:space="0" w:color="auto"/>
      </w:divBdr>
      <w:divsChild>
        <w:div w:id="1162240543">
          <w:marLeft w:val="0"/>
          <w:marRight w:val="0"/>
          <w:marTop w:val="0"/>
          <w:marBottom w:val="101"/>
          <w:divBdr>
            <w:top w:val="none" w:sz="0" w:space="0" w:color="auto"/>
            <w:left w:val="none" w:sz="0" w:space="0" w:color="auto"/>
            <w:bottom w:val="none" w:sz="0" w:space="0" w:color="auto"/>
            <w:right w:val="none" w:sz="0" w:space="0" w:color="auto"/>
          </w:divBdr>
        </w:div>
        <w:div w:id="1390568779">
          <w:marLeft w:val="0"/>
          <w:marRight w:val="0"/>
          <w:marTop w:val="0"/>
          <w:marBottom w:val="101"/>
          <w:divBdr>
            <w:top w:val="none" w:sz="0" w:space="0" w:color="auto"/>
            <w:left w:val="none" w:sz="0" w:space="0" w:color="auto"/>
            <w:bottom w:val="none" w:sz="0" w:space="0" w:color="auto"/>
            <w:right w:val="none" w:sz="0" w:space="0" w:color="auto"/>
          </w:divBdr>
        </w:div>
        <w:div w:id="104464617">
          <w:marLeft w:val="648"/>
          <w:marRight w:val="0"/>
          <w:marTop w:val="0"/>
          <w:marBottom w:val="101"/>
          <w:divBdr>
            <w:top w:val="none" w:sz="0" w:space="0" w:color="auto"/>
            <w:left w:val="none" w:sz="0" w:space="0" w:color="auto"/>
            <w:bottom w:val="none" w:sz="0" w:space="0" w:color="auto"/>
            <w:right w:val="none" w:sz="0" w:space="0" w:color="auto"/>
          </w:divBdr>
        </w:div>
        <w:div w:id="2043287633">
          <w:marLeft w:val="648"/>
          <w:marRight w:val="0"/>
          <w:marTop w:val="0"/>
          <w:marBottom w:val="101"/>
          <w:divBdr>
            <w:top w:val="none" w:sz="0" w:space="0" w:color="auto"/>
            <w:left w:val="none" w:sz="0" w:space="0" w:color="auto"/>
            <w:bottom w:val="none" w:sz="0" w:space="0" w:color="auto"/>
            <w:right w:val="none" w:sz="0" w:space="0" w:color="auto"/>
          </w:divBdr>
        </w:div>
        <w:div w:id="1947422112">
          <w:marLeft w:val="648"/>
          <w:marRight w:val="0"/>
          <w:marTop w:val="0"/>
          <w:marBottom w:val="101"/>
          <w:divBdr>
            <w:top w:val="none" w:sz="0" w:space="0" w:color="auto"/>
            <w:left w:val="none" w:sz="0" w:space="0" w:color="auto"/>
            <w:bottom w:val="none" w:sz="0" w:space="0" w:color="auto"/>
            <w:right w:val="none" w:sz="0" w:space="0" w:color="auto"/>
          </w:divBdr>
        </w:div>
        <w:div w:id="35279294">
          <w:marLeft w:val="648"/>
          <w:marRight w:val="0"/>
          <w:marTop w:val="0"/>
          <w:marBottom w:val="101"/>
          <w:divBdr>
            <w:top w:val="none" w:sz="0" w:space="0" w:color="auto"/>
            <w:left w:val="none" w:sz="0" w:space="0" w:color="auto"/>
            <w:bottom w:val="none" w:sz="0" w:space="0" w:color="auto"/>
            <w:right w:val="none" w:sz="0" w:space="0" w:color="auto"/>
          </w:divBdr>
        </w:div>
        <w:div w:id="94323968">
          <w:marLeft w:val="648"/>
          <w:marRight w:val="0"/>
          <w:marTop w:val="0"/>
          <w:marBottom w:val="101"/>
          <w:divBdr>
            <w:top w:val="none" w:sz="0" w:space="0" w:color="auto"/>
            <w:left w:val="none" w:sz="0" w:space="0" w:color="auto"/>
            <w:bottom w:val="none" w:sz="0" w:space="0" w:color="auto"/>
            <w:right w:val="none" w:sz="0" w:space="0" w:color="auto"/>
          </w:divBdr>
        </w:div>
        <w:div w:id="520778700">
          <w:marLeft w:val="648"/>
          <w:marRight w:val="0"/>
          <w:marTop w:val="0"/>
          <w:marBottom w:val="101"/>
          <w:divBdr>
            <w:top w:val="none" w:sz="0" w:space="0" w:color="auto"/>
            <w:left w:val="none" w:sz="0" w:space="0" w:color="auto"/>
            <w:bottom w:val="none" w:sz="0" w:space="0" w:color="auto"/>
            <w:right w:val="none" w:sz="0" w:space="0" w:color="auto"/>
          </w:divBdr>
        </w:div>
        <w:div w:id="1970276614">
          <w:marLeft w:val="648"/>
          <w:marRight w:val="0"/>
          <w:marTop w:val="0"/>
          <w:marBottom w:val="101"/>
          <w:divBdr>
            <w:top w:val="none" w:sz="0" w:space="0" w:color="auto"/>
            <w:left w:val="none" w:sz="0" w:space="0" w:color="auto"/>
            <w:bottom w:val="none" w:sz="0" w:space="0" w:color="auto"/>
            <w:right w:val="none" w:sz="0" w:space="0" w:color="auto"/>
          </w:divBdr>
        </w:div>
        <w:div w:id="827477988">
          <w:marLeft w:val="648"/>
          <w:marRight w:val="0"/>
          <w:marTop w:val="0"/>
          <w:marBottom w:val="101"/>
          <w:divBdr>
            <w:top w:val="none" w:sz="0" w:space="0" w:color="auto"/>
            <w:left w:val="none" w:sz="0" w:space="0" w:color="auto"/>
            <w:bottom w:val="none" w:sz="0" w:space="0" w:color="auto"/>
            <w:right w:val="none" w:sz="0" w:space="0" w:color="auto"/>
          </w:divBdr>
        </w:div>
        <w:div w:id="2036809237">
          <w:marLeft w:val="648"/>
          <w:marRight w:val="0"/>
          <w:marTop w:val="0"/>
          <w:marBottom w:val="101"/>
          <w:divBdr>
            <w:top w:val="none" w:sz="0" w:space="0" w:color="auto"/>
            <w:left w:val="none" w:sz="0" w:space="0" w:color="auto"/>
            <w:bottom w:val="none" w:sz="0" w:space="0" w:color="auto"/>
            <w:right w:val="none" w:sz="0" w:space="0" w:color="auto"/>
          </w:divBdr>
        </w:div>
        <w:div w:id="1032921594">
          <w:marLeft w:val="648"/>
          <w:marRight w:val="0"/>
          <w:marTop w:val="0"/>
          <w:marBottom w:val="101"/>
          <w:divBdr>
            <w:top w:val="none" w:sz="0" w:space="0" w:color="auto"/>
            <w:left w:val="none" w:sz="0" w:space="0" w:color="auto"/>
            <w:bottom w:val="none" w:sz="0" w:space="0" w:color="auto"/>
            <w:right w:val="none" w:sz="0" w:space="0" w:color="auto"/>
          </w:divBdr>
        </w:div>
        <w:div w:id="104078690">
          <w:marLeft w:val="648"/>
          <w:marRight w:val="0"/>
          <w:marTop w:val="0"/>
          <w:marBottom w:val="101"/>
          <w:divBdr>
            <w:top w:val="none" w:sz="0" w:space="0" w:color="auto"/>
            <w:left w:val="none" w:sz="0" w:space="0" w:color="auto"/>
            <w:bottom w:val="none" w:sz="0" w:space="0" w:color="auto"/>
            <w:right w:val="none" w:sz="0" w:space="0" w:color="auto"/>
          </w:divBdr>
        </w:div>
        <w:div w:id="1352997480">
          <w:marLeft w:val="648"/>
          <w:marRight w:val="0"/>
          <w:marTop w:val="0"/>
          <w:marBottom w:val="101"/>
          <w:divBdr>
            <w:top w:val="none" w:sz="0" w:space="0" w:color="auto"/>
            <w:left w:val="none" w:sz="0" w:space="0" w:color="auto"/>
            <w:bottom w:val="none" w:sz="0" w:space="0" w:color="auto"/>
            <w:right w:val="none" w:sz="0" w:space="0" w:color="auto"/>
          </w:divBdr>
        </w:div>
        <w:div w:id="408119211">
          <w:marLeft w:val="648"/>
          <w:marRight w:val="0"/>
          <w:marTop w:val="0"/>
          <w:marBottom w:val="101"/>
          <w:divBdr>
            <w:top w:val="none" w:sz="0" w:space="0" w:color="auto"/>
            <w:left w:val="none" w:sz="0" w:space="0" w:color="auto"/>
            <w:bottom w:val="none" w:sz="0" w:space="0" w:color="auto"/>
            <w:right w:val="none" w:sz="0" w:space="0" w:color="auto"/>
          </w:divBdr>
        </w:div>
        <w:div w:id="736710012">
          <w:marLeft w:val="648"/>
          <w:marRight w:val="0"/>
          <w:marTop w:val="0"/>
          <w:marBottom w:val="101"/>
          <w:divBdr>
            <w:top w:val="none" w:sz="0" w:space="0" w:color="auto"/>
            <w:left w:val="none" w:sz="0" w:space="0" w:color="auto"/>
            <w:bottom w:val="none" w:sz="0" w:space="0" w:color="auto"/>
            <w:right w:val="none" w:sz="0" w:space="0" w:color="auto"/>
          </w:divBdr>
        </w:div>
        <w:div w:id="876506071">
          <w:marLeft w:val="648"/>
          <w:marRight w:val="0"/>
          <w:marTop w:val="0"/>
          <w:marBottom w:val="101"/>
          <w:divBdr>
            <w:top w:val="none" w:sz="0" w:space="0" w:color="auto"/>
            <w:left w:val="none" w:sz="0" w:space="0" w:color="auto"/>
            <w:bottom w:val="none" w:sz="0" w:space="0" w:color="auto"/>
            <w:right w:val="none" w:sz="0" w:space="0" w:color="auto"/>
          </w:divBdr>
        </w:div>
        <w:div w:id="1199657419">
          <w:marLeft w:val="648"/>
          <w:marRight w:val="0"/>
          <w:marTop w:val="0"/>
          <w:marBottom w:val="101"/>
          <w:divBdr>
            <w:top w:val="none" w:sz="0" w:space="0" w:color="auto"/>
            <w:left w:val="none" w:sz="0" w:space="0" w:color="auto"/>
            <w:bottom w:val="none" w:sz="0" w:space="0" w:color="auto"/>
            <w:right w:val="none" w:sz="0" w:space="0" w:color="auto"/>
          </w:divBdr>
        </w:div>
        <w:div w:id="129519220">
          <w:marLeft w:val="648"/>
          <w:marRight w:val="0"/>
          <w:marTop w:val="0"/>
          <w:marBottom w:val="101"/>
          <w:divBdr>
            <w:top w:val="none" w:sz="0" w:space="0" w:color="auto"/>
            <w:left w:val="none" w:sz="0" w:space="0" w:color="auto"/>
            <w:bottom w:val="none" w:sz="0" w:space="0" w:color="auto"/>
            <w:right w:val="none" w:sz="0" w:space="0" w:color="auto"/>
          </w:divBdr>
        </w:div>
        <w:div w:id="1197352811">
          <w:marLeft w:val="648"/>
          <w:marRight w:val="0"/>
          <w:marTop w:val="0"/>
          <w:marBottom w:val="101"/>
          <w:divBdr>
            <w:top w:val="none" w:sz="0" w:space="0" w:color="auto"/>
            <w:left w:val="none" w:sz="0" w:space="0" w:color="auto"/>
            <w:bottom w:val="none" w:sz="0" w:space="0" w:color="auto"/>
            <w:right w:val="none" w:sz="0" w:space="0" w:color="auto"/>
          </w:divBdr>
        </w:div>
        <w:div w:id="1086732870">
          <w:marLeft w:val="648"/>
          <w:marRight w:val="0"/>
          <w:marTop w:val="0"/>
          <w:marBottom w:val="101"/>
          <w:divBdr>
            <w:top w:val="none" w:sz="0" w:space="0" w:color="auto"/>
            <w:left w:val="none" w:sz="0" w:space="0" w:color="auto"/>
            <w:bottom w:val="none" w:sz="0" w:space="0" w:color="auto"/>
            <w:right w:val="none" w:sz="0" w:space="0" w:color="auto"/>
          </w:divBdr>
        </w:div>
        <w:div w:id="703138578">
          <w:marLeft w:val="648"/>
          <w:marRight w:val="0"/>
          <w:marTop w:val="0"/>
          <w:marBottom w:val="101"/>
          <w:divBdr>
            <w:top w:val="none" w:sz="0" w:space="0" w:color="auto"/>
            <w:left w:val="none" w:sz="0" w:space="0" w:color="auto"/>
            <w:bottom w:val="none" w:sz="0" w:space="0" w:color="auto"/>
            <w:right w:val="none" w:sz="0" w:space="0" w:color="auto"/>
          </w:divBdr>
        </w:div>
        <w:div w:id="1302005910">
          <w:marLeft w:val="648"/>
          <w:marRight w:val="0"/>
          <w:marTop w:val="0"/>
          <w:marBottom w:val="101"/>
          <w:divBdr>
            <w:top w:val="none" w:sz="0" w:space="0" w:color="auto"/>
            <w:left w:val="none" w:sz="0" w:space="0" w:color="auto"/>
            <w:bottom w:val="none" w:sz="0" w:space="0" w:color="auto"/>
            <w:right w:val="none" w:sz="0" w:space="0" w:color="auto"/>
          </w:divBdr>
        </w:div>
        <w:div w:id="2015692831">
          <w:marLeft w:val="648"/>
          <w:marRight w:val="0"/>
          <w:marTop w:val="0"/>
          <w:marBottom w:val="101"/>
          <w:divBdr>
            <w:top w:val="none" w:sz="0" w:space="0" w:color="auto"/>
            <w:left w:val="none" w:sz="0" w:space="0" w:color="auto"/>
            <w:bottom w:val="none" w:sz="0" w:space="0" w:color="auto"/>
            <w:right w:val="none" w:sz="0" w:space="0" w:color="auto"/>
          </w:divBdr>
        </w:div>
        <w:div w:id="676809817">
          <w:marLeft w:val="648"/>
          <w:marRight w:val="0"/>
          <w:marTop w:val="0"/>
          <w:marBottom w:val="101"/>
          <w:divBdr>
            <w:top w:val="none" w:sz="0" w:space="0" w:color="auto"/>
            <w:left w:val="none" w:sz="0" w:space="0" w:color="auto"/>
            <w:bottom w:val="none" w:sz="0" w:space="0" w:color="auto"/>
            <w:right w:val="none" w:sz="0" w:space="0" w:color="auto"/>
          </w:divBdr>
        </w:div>
        <w:div w:id="292105402">
          <w:marLeft w:val="648"/>
          <w:marRight w:val="0"/>
          <w:marTop w:val="0"/>
          <w:marBottom w:val="101"/>
          <w:divBdr>
            <w:top w:val="none" w:sz="0" w:space="0" w:color="auto"/>
            <w:left w:val="none" w:sz="0" w:space="0" w:color="auto"/>
            <w:bottom w:val="none" w:sz="0" w:space="0" w:color="auto"/>
            <w:right w:val="none" w:sz="0" w:space="0" w:color="auto"/>
          </w:divBdr>
        </w:div>
        <w:div w:id="2014674645">
          <w:marLeft w:val="648"/>
          <w:marRight w:val="0"/>
          <w:marTop w:val="0"/>
          <w:marBottom w:val="101"/>
          <w:divBdr>
            <w:top w:val="none" w:sz="0" w:space="0" w:color="auto"/>
            <w:left w:val="none" w:sz="0" w:space="0" w:color="auto"/>
            <w:bottom w:val="none" w:sz="0" w:space="0" w:color="auto"/>
            <w:right w:val="none" w:sz="0" w:space="0" w:color="auto"/>
          </w:divBdr>
        </w:div>
        <w:div w:id="1844738993">
          <w:marLeft w:val="648"/>
          <w:marRight w:val="0"/>
          <w:marTop w:val="0"/>
          <w:marBottom w:val="101"/>
          <w:divBdr>
            <w:top w:val="none" w:sz="0" w:space="0" w:color="auto"/>
            <w:left w:val="none" w:sz="0" w:space="0" w:color="auto"/>
            <w:bottom w:val="none" w:sz="0" w:space="0" w:color="auto"/>
            <w:right w:val="none" w:sz="0" w:space="0" w:color="auto"/>
          </w:divBdr>
        </w:div>
        <w:div w:id="1764297383">
          <w:marLeft w:val="648"/>
          <w:marRight w:val="0"/>
          <w:marTop w:val="0"/>
          <w:marBottom w:val="101"/>
          <w:divBdr>
            <w:top w:val="none" w:sz="0" w:space="0" w:color="auto"/>
            <w:left w:val="none" w:sz="0" w:space="0" w:color="auto"/>
            <w:bottom w:val="none" w:sz="0" w:space="0" w:color="auto"/>
            <w:right w:val="none" w:sz="0" w:space="0" w:color="auto"/>
          </w:divBdr>
        </w:div>
        <w:div w:id="570117164">
          <w:marLeft w:val="648"/>
          <w:marRight w:val="0"/>
          <w:marTop w:val="0"/>
          <w:marBottom w:val="101"/>
          <w:divBdr>
            <w:top w:val="none" w:sz="0" w:space="0" w:color="auto"/>
            <w:left w:val="none" w:sz="0" w:space="0" w:color="auto"/>
            <w:bottom w:val="none" w:sz="0" w:space="0" w:color="auto"/>
            <w:right w:val="none" w:sz="0" w:space="0" w:color="auto"/>
          </w:divBdr>
        </w:div>
        <w:div w:id="1407923902">
          <w:marLeft w:val="648"/>
          <w:marRight w:val="0"/>
          <w:marTop w:val="0"/>
          <w:marBottom w:val="101"/>
          <w:divBdr>
            <w:top w:val="none" w:sz="0" w:space="0" w:color="auto"/>
            <w:left w:val="none" w:sz="0" w:space="0" w:color="auto"/>
            <w:bottom w:val="none" w:sz="0" w:space="0" w:color="auto"/>
            <w:right w:val="none" w:sz="0" w:space="0" w:color="auto"/>
          </w:divBdr>
        </w:div>
        <w:div w:id="991249441">
          <w:marLeft w:val="648"/>
          <w:marRight w:val="0"/>
          <w:marTop w:val="0"/>
          <w:marBottom w:val="101"/>
          <w:divBdr>
            <w:top w:val="none" w:sz="0" w:space="0" w:color="auto"/>
            <w:left w:val="none" w:sz="0" w:space="0" w:color="auto"/>
            <w:bottom w:val="none" w:sz="0" w:space="0" w:color="auto"/>
            <w:right w:val="none" w:sz="0" w:space="0" w:color="auto"/>
          </w:divBdr>
        </w:div>
        <w:div w:id="1202211799">
          <w:marLeft w:val="648"/>
          <w:marRight w:val="0"/>
          <w:marTop w:val="0"/>
          <w:marBottom w:val="101"/>
          <w:divBdr>
            <w:top w:val="none" w:sz="0" w:space="0" w:color="auto"/>
            <w:left w:val="none" w:sz="0" w:space="0" w:color="auto"/>
            <w:bottom w:val="none" w:sz="0" w:space="0" w:color="auto"/>
            <w:right w:val="none" w:sz="0" w:space="0" w:color="auto"/>
          </w:divBdr>
        </w:div>
        <w:div w:id="46102541">
          <w:marLeft w:val="648"/>
          <w:marRight w:val="0"/>
          <w:marTop w:val="0"/>
          <w:marBottom w:val="101"/>
          <w:divBdr>
            <w:top w:val="none" w:sz="0" w:space="0" w:color="auto"/>
            <w:left w:val="none" w:sz="0" w:space="0" w:color="auto"/>
            <w:bottom w:val="none" w:sz="0" w:space="0" w:color="auto"/>
            <w:right w:val="none" w:sz="0" w:space="0" w:color="auto"/>
          </w:divBdr>
        </w:div>
        <w:div w:id="1037049603">
          <w:marLeft w:val="648"/>
          <w:marRight w:val="0"/>
          <w:marTop w:val="0"/>
          <w:marBottom w:val="101"/>
          <w:divBdr>
            <w:top w:val="none" w:sz="0" w:space="0" w:color="auto"/>
            <w:left w:val="none" w:sz="0" w:space="0" w:color="auto"/>
            <w:bottom w:val="none" w:sz="0" w:space="0" w:color="auto"/>
            <w:right w:val="none" w:sz="0" w:space="0" w:color="auto"/>
          </w:divBdr>
        </w:div>
        <w:div w:id="1149135008">
          <w:marLeft w:val="648"/>
          <w:marRight w:val="0"/>
          <w:marTop w:val="0"/>
          <w:marBottom w:val="101"/>
          <w:divBdr>
            <w:top w:val="none" w:sz="0" w:space="0" w:color="auto"/>
            <w:left w:val="none" w:sz="0" w:space="0" w:color="auto"/>
            <w:bottom w:val="none" w:sz="0" w:space="0" w:color="auto"/>
            <w:right w:val="none" w:sz="0" w:space="0" w:color="auto"/>
          </w:divBdr>
        </w:div>
        <w:div w:id="1563324383">
          <w:marLeft w:val="648"/>
          <w:marRight w:val="0"/>
          <w:marTop w:val="0"/>
          <w:marBottom w:val="101"/>
          <w:divBdr>
            <w:top w:val="none" w:sz="0" w:space="0" w:color="auto"/>
            <w:left w:val="none" w:sz="0" w:space="0" w:color="auto"/>
            <w:bottom w:val="none" w:sz="0" w:space="0" w:color="auto"/>
            <w:right w:val="none" w:sz="0" w:space="0" w:color="auto"/>
          </w:divBdr>
        </w:div>
        <w:div w:id="1495680528">
          <w:marLeft w:val="648"/>
          <w:marRight w:val="0"/>
          <w:marTop w:val="0"/>
          <w:marBottom w:val="101"/>
          <w:divBdr>
            <w:top w:val="none" w:sz="0" w:space="0" w:color="auto"/>
            <w:left w:val="none" w:sz="0" w:space="0" w:color="auto"/>
            <w:bottom w:val="none" w:sz="0" w:space="0" w:color="auto"/>
            <w:right w:val="none" w:sz="0" w:space="0" w:color="auto"/>
          </w:divBdr>
        </w:div>
        <w:div w:id="1626696480">
          <w:marLeft w:val="648"/>
          <w:marRight w:val="0"/>
          <w:marTop w:val="0"/>
          <w:marBottom w:val="101"/>
          <w:divBdr>
            <w:top w:val="none" w:sz="0" w:space="0" w:color="auto"/>
            <w:left w:val="none" w:sz="0" w:space="0" w:color="auto"/>
            <w:bottom w:val="none" w:sz="0" w:space="0" w:color="auto"/>
            <w:right w:val="none" w:sz="0" w:space="0" w:color="auto"/>
          </w:divBdr>
        </w:div>
        <w:div w:id="1628118597">
          <w:marLeft w:val="648"/>
          <w:marRight w:val="0"/>
          <w:marTop w:val="0"/>
          <w:marBottom w:val="101"/>
          <w:divBdr>
            <w:top w:val="none" w:sz="0" w:space="0" w:color="auto"/>
            <w:left w:val="none" w:sz="0" w:space="0" w:color="auto"/>
            <w:bottom w:val="none" w:sz="0" w:space="0" w:color="auto"/>
            <w:right w:val="none" w:sz="0" w:space="0" w:color="auto"/>
          </w:divBdr>
        </w:div>
        <w:div w:id="1294871884">
          <w:marLeft w:val="648"/>
          <w:marRight w:val="0"/>
          <w:marTop w:val="0"/>
          <w:marBottom w:val="101"/>
          <w:divBdr>
            <w:top w:val="none" w:sz="0" w:space="0" w:color="auto"/>
            <w:left w:val="none" w:sz="0" w:space="0" w:color="auto"/>
            <w:bottom w:val="none" w:sz="0" w:space="0" w:color="auto"/>
            <w:right w:val="none" w:sz="0" w:space="0" w:color="auto"/>
          </w:divBdr>
        </w:div>
        <w:div w:id="1252620342">
          <w:marLeft w:val="648"/>
          <w:marRight w:val="0"/>
          <w:marTop w:val="0"/>
          <w:marBottom w:val="101"/>
          <w:divBdr>
            <w:top w:val="none" w:sz="0" w:space="0" w:color="auto"/>
            <w:left w:val="none" w:sz="0" w:space="0" w:color="auto"/>
            <w:bottom w:val="none" w:sz="0" w:space="0" w:color="auto"/>
            <w:right w:val="none" w:sz="0" w:space="0" w:color="auto"/>
          </w:divBdr>
        </w:div>
        <w:div w:id="1452937522">
          <w:marLeft w:val="648"/>
          <w:marRight w:val="0"/>
          <w:marTop w:val="0"/>
          <w:marBottom w:val="101"/>
          <w:divBdr>
            <w:top w:val="none" w:sz="0" w:space="0" w:color="auto"/>
            <w:left w:val="none" w:sz="0" w:space="0" w:color="auto"/>
            <w:bottom w:val="none" w:sz="0" w:space="0" w:color="auto"/>
            <w:right w:val="none" w:sz="0" w:space="0" w:color="auto"/>
          </w:divBdr>
        </w:div>
        <w:div w:id="659390015">
          <w:marLeft w:val="648"/>
          <w:marRight w:val="0"/>
          <w:marTop w:val="0"/>
          <w:marBottom w:val="101"/>
          <w:divBdr>
            <w:top w:val="none" w:sz="0" w:space="0" w:color="auto"/>
            <w:left w:val="none" w:sz="0" w:space="0" w:color="auto"/>
            <w:bottom w:val="none" w:sz="0" w:space="0" w:color="auto"/>
            <w:right w:val="none" w:sz="0" w:space="0" w:color="auto"/>
          </w:divBdr>
        </w:div>
        <w:div w:id="1815563706">
          <w:marLeft w:val="648"/>
          <w:marRight w:val="0"/>
          <w:marTop w:val="0"/>
          <w:marBottom w:val="101"/>
          <w:divBdr>
            <w:top w:val="none" w:sz="0" w:space="0" w:color="auto"/>
            <w:left w:val="none" w:sz="0" w:space="0" w:color="auto"/>
            <w:bottom w:val="none" w:sz="0" w:space="0" w:color="auto"/>
            <w:right w:val="none" w:sz="0" w:space="0" w:color="auto"/>
          </w:divBdr>
        </w:div>
        <w:div w:id="1725180713">
          <w:marLeft w:val="648"/>
          <w:marRight w:val="0"/>
          <w:marTop w:val="0"/>
          <w:marBottom w:val="101"/>
          <w:divBdr>
            <w:top w:val="none" w:sz="0" w:space="0" w:color="auto"/>
            <w:left w:val="none" w:sz="0" w:space="0" w:color="auto"/>
            <w:bottom w:val="none" w:sz="0" w:space="0" w:color="auto"/>
            <w:right w:val="none" w:sz="0" w:space="0" w:color="auto"/>
          </w:divBdr>
        </w:div>
        <w:div w:id="1270360017">
          <w:marLeft w:val="648"/>
          <w:marRight w:val="0"/>
          <w:marTop w:val="0"/>
          <w:marBottom w:val="101"/>
          <w:divBdr>
            <w:top w:val="none" w:sz="0" w:space="0" w:color="auto"/>
            <w:left w:val="none" w:sz="0" w:space="0" w:color="auto"/>
            <w:bottom w:val="none" w:sz="0" w:space="0" w:color="auto"/>
            <w:right w:val="none" w:sz="0" w:space="0" w:color="auto"/>
          </w:divBdr>
        </w:div>
        <w:div w:id="441387249">
          <w:marLeft w:val="648"/>
          <w:marRight w:val="0"/>
          <w:marTop w:val="0"/>
          <w:marBottom w:val="101"/>
          <w:divBdr>
            <w:top w:val="none" w:sz="0" w:space="0" w:color="auto"/>
            <w:left w:val="none" w:sz="0" w:space="0" w:color="auto"/>
            <w:bottom w:val="none" w:sz="0" w:space="0" w:color="auto"/>
            <w:right w:val="none" w:sz="0" w:space="0" w:color="auto"/>
          </w:divBdr>
        </w:div>
        <w:div w:id="560093922">
          <w:marLeft w:val="648"/>
          <w:marRight w:val="0"/>
          <w:marTop w:val="0"/>
          <w:marBottom w:val="101"/>
          <w:divBdr>
            <w:top w:val="none" w:sz="0" w:space="0" w:color="auto"/>
            <w:left w:val="none" w:sz="0" w:space="0" w:color="auto"/>
            <w:bottom w:val="none" w:sz="0" w:space="0" w:color="auto"/>
            <w:right w:val="none" w:sz="0" w:space="0" w:color="auto"/>
          </w:divBdr>
        </w:div>
        <w:div w:id="594363602">
          <w:marLeft w:val="648"/>
          <w:marRight w:val="0"/>
          <w:marTop w:val="0"/>
          <w:marBottom w:val="101"/>
          <w:divBdr>
            <w:top w:val="none" w:sz="0" w:space="0" w:color="auto"/>
            <w:left w:val="none" w:sz="0" w:space="0" w:color="auto"/>
            <w:bottom w:val="none" w:sz="0" w:space="0" w:color="auto"/>
            <w:right w:val="none" w:sz="0" w:space="0" w:color="auto"/>
          </w:divBdr>
        </w:div>
        <w:div w:id="1402213484">
          <w:marLeft w:val="648"/>
          <w:marRight w:val="0"/>
          <w:marTop w:val="0"/>
          <w:marBottom w:val="101"/>
          <w:divBdr>
            <w:top w:val="none" w:sz="0" w:space="0" w:color="auto"/>
            <w:left w:val="none" w:sz="0" w:space="0" w:color="auto"/>
            <w:bottom w:val="none" w:sz="0" w:space="0" w:color="auto"/>
            <w:right w:val="none" w:sz="0" w:space="0" w:color="auto"/>
          </w:divBdr>
        </w:div>
        <w:div w:id="1854682785">
          <w:marLeft w:val="648"/>
          <w:marRight w:val="0"/>
          <w:marTop w:val="0"/>
          <w:marBottom w:val="101"/>
          <w:divBdr>
            <w:top w:val="none" w:sz="0" w:space="0" w:color="auto"/>
            <w:left w:val="none" w:sz="0" w:space="0" w:color="auto"/>
            <w:bottom w:val="none" w:sz="0" w:space="0" w:color="auto"/>
            <w:right w:val="none" w:sz="0" w:space="0" w:color="auto"/>
          </w:divBdr>
        </w:div>
        <w:div w:id="1439643591">
          <w:marLeft w:val="648"/>
          <w:marRight w:val="0"/>
          <w:marTop w:val="0"/>
          <w:marBottom w:val="101"/>
          <w:divBdr>
            <w:top w:val="none" w:sz="0" w:space="0" w:color="auto"/>
            <w:left w:val="none" w:sz="0" w:space="0" w:color="auto"/>
            <w:bottom w:val="none" w:sz="0" w:space="0" w:color="auto"/>
            <w:right w:val="none" w:sz="0" w:space="0" w:color="auto"/>
          </w:divBdr>
        </w:div>
        <w:div w:id="1419250435">
          <w:marLeft w:val="648"/>
          <w:marRight w:val="0"/>
          <w:marTop w:val="0"/>
          <w:marBottom w:val="101"/>
          <w:divBdr>
            <w:top w:val="none" w:sz="0" w:space="0" w:color="auto"/>
            <w:left w:val="none" w:sz="0" w:space="0" w:color="auto"/>
            <w:bottom w:val="none" w:sz="0" w:space="0" w:color="auto"/>
            <w:right w:val="none" w:sz="0" w:space="0" w:color="auto"/>
          </w:divBdr>
        </w:div>
        <w:div w:id="1944532507">
          <w:marLeft w:val="648"/>
          <w:marRight w:val="0"/>
          <w:marTop w:val="0"/>
          <w:marBottom w:val="101"/>
          <w:divBdr>
            <w:top w:val="none" w:sz="0" w:space="0" w:color="auto"/>
            <w:left w:val="none" w:sz="0" w:space="0" w:color="auto"/>
            <w:bottom w:val="none" w:sz="0" w:space="0" w:color="auto"/>
            <w:right w:val="none" w:sz="0" w:space="0" w:color="auto"/>
          </w:divBdr>
        </w:div>
        <w:div w:id="1369456475">
          <w:marLeft w:val="648"/>
          <w:marRight w:val="0"/>
          <w:marTop w:val="0"/>
          <w:marBottom w:val="101"/>
          <w:divBdr>
            <w:top w:val="none" w:sz="0" w:space="0" w:color="auto"/>
            <w:left w:val="none" w:sz="0" w:space="0" w:color="auto"/>
            <w:bottom w:val="none" w:sz="0" w:space="0" w:color="auto"/>
            <w:right w:val="none" w:sz="0" w:space="0" w:color="auto"/>
          </w:divBdr>
        </w:div>
        <w:div w:id="753403943">
          <w:marLeft w:val="648"/>
          <w:marRight w:val="0"/>
          <w:marTop w:val="0"/>
          <w:marBottom w:val="101"/>
          <w:divBdr>
            <w:top w:val="none" w:sz="0" w:space="0" w:color="auto"/>
            <w:left w:val="none" w:sz="0" w:space="0" w:color="auto"/>
            <w:bottom w:val="none" w:sz="0" w:space="0" w:color="auto"/>
            <w:right w:val="none" w:sz="0" w:space="0" w:color="auto"/>
          </w:divBdr>
        </w:div>
        <w:div w:id="1427728612">
          <w:marLeft w:val="648"/>
          <w:marRight w:val="0"/>
          <w:marTop w:val="0"/>
          <w:marBottom w:val="101"/>
          <w:divBdr>
            <w:top w:val="none" w:sz="0" w:space="0" w:color="auto"/>
            <w:left w:val="none" w:sz="0" w:space="0" w:color="auto"/>
            <w:bottom w:val="none" w:sz="0" w:space="0" w:color="auto"/>
            <w:right w:val="none" w:sz="0" w:space="0" w:color="auto"/>
          </w:divBdr>
        </w:div>
        <w:div w:id="676083259">
          <w:marLeft w:val="648"/>
          <w:marRight w:val="0"/>
          <w:marTop w:val="0"/>
          <w:marBottom w:val="101"/>
          <w:divBdr>
            <w:top w:val="none" w:sz="0" w:space="0" w:color="auto"/>
            <w:left w:val="none" w:sz="0" w:space="0" w:color="auto"/>
            <w:bottom w:val="none" w:sz="0" w:space="0" w:color="auto"/>
            <w:right w:val="none" w:sz="0" w:space="0" w:color="auto"/>
          </w:divBdr>
        </w:div>
        <w:div w:id="158351630">
          <w:marLeft w:val="648"/>
          <w:marRight w:val="0"/>
          <w:marTop w:val="0"/>
          <w:marBottom w:val="101"/>
          <w:divBdr>
            <w:top w:val="none" w:sz="0" w:space="0" w:color="auto"/>
            <w:left w:val="none" w:sz="0" w:space="0" w:color="auto"/>
            <w:bottom w:val="none" w:sz="0" w:space="0" w:color="auto"/>
            <w:right w:val="none" w:sz="0" w:space="0" w:color="auto"/>
          </w:divBdr>
        </w:div>
        <w:div w:id="1499156085">
          <w:marLeft w:val="648"/>
          <w:marRight w:val="0"/>
          <w:marTop w:val="0"/>
          <w:marBottom w:val="101"/>
          <w:divBdr>
            <w:top w:val="none" w:sz="0" w:space="0" w:color="auto"/>
            <w:left w:val="none" w:sz="0" w:space="0" w:color="auto"/>
            <w:bottom w:val="none" w:sz="0" w:space="0" w:color="auto"/>
            <w:right w:val="none" w:sz="0" w:space="0" w:color="auto"/>
          </w:divBdr>
        </w:div>
        <w:div w:id="19670781">
          <w:marLeft w:val="648"/>
          <w:marRight w:val="0"/>
          <w:marTop w:val="0"/>
          <w:marBottom w:val="101"/>
          <w:divBdr>
            <w:top w:val="none" w:sz="0" w:space="0" w:color="auto"/>
            <w:left w:val="none" w:sz="0" w:space="0" w:color="auto"/>
            <w:bottom w:val="none" w:sz="0" w:space="0" w:color="auto"/>
            <w:right w:val="none" w:sz="0" w:space="0" w:color="auto"/>
          </w:divBdr>
        </w:div>
        <w:div w:id="998847019">
          <w:marLeft w:val="648"/>
          <w:marRight w:val="0"/>
          <w:marTop w:val="0"/>
          <w:marBottom w:val="101"/>
          <w:divBdr>
            <w:top w:val="none" w:sz="0" w:space="0" w:color="auto"/>
            <w:left w:val="none" w:sz="0" w:space="0" w:color="auto"/>
            <w:bottom w:val="none" w:sz="0" w:space="0" w:color="auto"/>
            <w:right w:val="none" w:sz="0" w:space="0" w:color="auto"/>
          </w:divBdr>
        </w:div>
        <w:div w:id="1075711990">
          <w:marLeft w:val="0"/>
          <w:marRight w:val="0"/>
          <w:marTop w:val="0"/>
          <w:marBottom w:val="101"/>
          <w:divBdr>
            <w:top w:val="none" w:sz="0" w:space="0" w:color="auto"/>
            <w:left w:val="none" w:sz="0" w:space="0" w:color="auto"/>
            <w:bottom w:val="none" w:sz="0" w:space="0" w:color="auto"/>
            <w:right w:val="none" w:sz="0" w:space="0" w:color="auto"/>
          </w:divBdr>
        </w:div>
        <w:div w:id="1384598536">
          <w:marLeft w:val="0"/>
          <w:marRight w:val="0"/>
          <w:marTop w:val="0"/>
          <w:marBottom w:val="101"/>
          <w:divBdr>
            <w:top w:val="none" w:sz="0" w:space="0" w:color="auto"/>
            <w:left w:val="none" w:sz="0" w:space="0" w:color="auto"/>
            <w:bottom w:val="none" w:sz="0" w:space="0" w:color="auto"/>
            <w:right w:val="none" w:sz="0" w:space="0" w:color="auto"/>
          </w:divBdr>
        </w:div>
        <w:div w:id="1811896329">
          <w:marLeft w:val="0"/>
          <w:marRight w:val="0"/>
          <w:marTop w:val="0"/>
          <w:marBottom w:val="101"/>
          <w:divBdr>
            <w:top w:val="none" w:sz="0" w:space="0" w:color="auto"/>
            <w:left w:val="none" w:sz="0" w:space="0" w:color="auto"/>
            <w:bottom w:val="none" w:sz="0" w:space="0" w:color="auto"/>
            <w:right w:val="none" w:sz="0" w:space="0" w:color="auto"/>
          </w:divBdr>
        </w:div>
        <w:div w:id="1816020148">
          <w:marLeft w:val="0"/>
          <w:marRight w:val="0"/>
          <w:marTop w:val="0"/>
          <w:marBottom w:val="101"/>
          <w:divBdr>
            <w:top w:val="none" w:sz="0" w:space="0" w:color="auto"/>
            <w:left w:val="none" w:sz="0" w:space="0" w:color="auto"/>
            <w:bottom w:val="none" w:sz="0" w:space="0" w:color="auto"/>
            <w:right w:val="none" w:sz="0" w:space="0" w:color="auto"/>
          </w:divBdr>
        </w:div>
        <w:div w:id="1409814264">
          <w:marLeft w:val="0"/>
          <w:marRight w:val="0"/>
          <w:marTop w:val="0"/>
          <w:marBottom w:val="101"/>
          <w:divBdr>
            <w:top w:val="none" w:sz="0" w:space="0" w:color="auto"/>
            <w:left w:val="none" w:sz="0" w:space="0" w:color="auto"/>
            <w:bottom w:val="none" w:sz="0" w:space="0" w:color="auto"/>
            <w:right w:val="none" w:sz="0" w:space="0" w:color="auto"/>
          </w:divBdr>
        </w:div>
        <w:div w:id="1104299438">
          <w:marLeft w:val="0"/>
          <w:marRight w:val="0"/>
          <w:marTop w:val="0"/>
          <w:marBottom w:val="101"/>
          <w:divBdr>
            <w:top w:val="none" w:sz="0" w:space="0" w:color="auto"/>
            <w:left w:val="none" w:sz="0" w:space="0" w:color="auto"/>
            <w:bottom w:val="none" w:sz="0" w:space="0" w:color="auto"/>
            <w:right w:val="none" w:sz="0" w:space="0" w:color="auto"/>
          </w:divBdr>
        </w:div>
        <w:div w:id="1402605059">
          <w:marLeft w:val="0"/>
          <w:marRight w:val="0"/>
          <w:marTop w:val="0"/>
          <w:marBottom w:val="101"/>
          <w:divBdr>
            <w:top w:val="none" w:sz="0" w:space="0" w:color="auto"/>
            <w:left w:val="none" w:sz="0" w:space="0" w:color="auto"/>
            <w:bottom w:val="none" w:sz="0" w:space="0" w:color="auto"/>
            <w:right w:val="none" w:sz="0" w:space="0" w:color="auto"/>
          </w:divBdr>
        </w:div>
        <w:div w:id="500198495">
          <w:marLeft w:val="0"/>
          <w:marRight w:val="0"/>
          <w:marTop w:val="0"/>
          <w:marBottom w:val="101"/>
          <w:divBdr>
            <w:top w:val="none" w:sz="0" w:space="0" w:color="auto"/>
            <w:left w:val="none" w:sz="0" w:space="0" w:color="auto"/>
            <w:bottom w:val="none" w:sz="0" w:space="0" w:color="auto"/>
            <w:right w:val="none" w:sz="0" w:space="0" w:color="auto"/>
          </w:divBdr>
        </w:div>
        <w:div w:id="444931530">
          <w:marLeft w:val="0"/>
          <w:marRight w:val="0"/>
          <w:marTop w:val="0"/>
          <w:marBottom w:val="101"/>
          <w:divBdr>
            <w:top w:val="none" w:sz="0" w:space="0" w:color="auto"/>
            <w:left w:val="none" w:sz="0" w:space="0" w:color="auto"/>
            <w:bottom w:val="none" w:sz="0" w:space="0" w:color="auto"/>
            <w:right w:val="none" w:sz="0" w:space="0" w:color="auto"/>
          </w:divBdr>
        </w:div>
        <w:div w:id="1490093852">
          <w:marLeft w:val="0"/>
          <w:marRight w:val="0"/>
          <w:marTop w:val="0"/>
          <w:marBottom w:val="101"/>
          <w:divBdr>
            <w:top w:val="none" w:sz="0" w:space="0" w:color="auto"/>
            <w:left w:val="none" w:sz="0" w:space="0" w:color="auto"/>
            <w:bottom w:val="none" w:sz="0" w:space="0" w:color="auto"/>
            <w:right w:val="none" w:sz="0" w:space="0" w:color="auto"/>
          </w:divBdr>
        </w:div>
        <w:div w:id="892084682">
          <w:marLeft w:val="0"/>
          <w:marRight w:val="0"/>
          <w:marTop w:val="0"/>
          <w:marBottom w:val="101"/>
          <w:divBdr>
            <w:top w:val="none" w:sz="0" w:space="0" w:color="auto"/>
            <w:left w:val="none" w:sz="0" w:space="0" w:color="auto"/>
            <w:bottom w:val="none" w:sz="0" w:space="0" w:color="auto"/>
            <w:right w:val="none" w:sz="0" w:space="0" w:color="auto"/>
          </w:divBdr>
        </w:div>
        <w:div w:id="1107653155">
          <w:marLeft w:val="0"/>
          <w:marRight w:val="0"/>
          <w:marTop w:val="0"/>
          <w:marBottom w:val="101"/>
          <w:divBdr>
            <w:top w:val="none" w:sz="0" w:space="0" w:color="auto"/>
            <w:left w:val="none" w:sz="0" w:space="0" w:color="auto"/>
            <w:bottom w:val="none" w:sz="0" w:space="0" w:color="auto"/>
            <w:right w:val="none" w:sz="0" w:space="0" w:color="auto"/>
          </w:divBdr>
        </w:div>
        <w:div w:id="1430392266">
          <w:marLeft w:val="0"/>
          <w:marRight w:val="0"/>
          <w:marTop w:val="0"/>
          <w:marBottom w:val="101"/>
          <w:divBdr>
            <w:top w:val="none" w:sz="0" w:space="0" w:color="auto"/>
            <w:left w:val="none" w:sz="0" w:space="0" w:color="auto"/>
            <w:bottom w:val="none" w:sz="0" w:space="0" w:color="auto"/>
            <w:right w:val="none" w:sz="0" w:space="0" w:color="auto"/>
          </w:divBdr>
        </w:div>
        <w:div w:id="54743669">
          <w:marLeft w:val="0"/>
          <w:marRight w:val="0"/>
          <w:marTop w:val="0"/>
          <w:marBottom w:val="101"/>
          <w:divBdr>
            <w:top w:val="none" w:sz="0" w:space="0" w:color="auto"/>
            <w:left w:val="none" w:sz="0" w:space="0" w:color="auto"/>
            <w:bottom w:val="none" w:sz="0" w:space="0" w:color="auto"/>
            <w:right w:val="none" w:sz="0" w:space="0" w:color="auto"/>
          </w:divBdr>
        </w:div>
        <w:div w:id="1834445989">
          <w:marLeft w:val="0"/>
          <w:marRight w:val="0"/>
          <w:marTop w:val="0"/>
          <w:marBottom w:val="101"/>
          <w:divBdr>
            <w:top w:val="none" w:sz="0" w:space="0" w:color="auto"/>
            <w:left w:val="none" w:sz="0" w:space="0" w:color="auto"/>
            <w:bottom w:val="none" w:sz="0" w:space="0" w:color="auto"/>
            <w:right w:val="none" w:sz="0" w:space="0" w:color="auto"/>
          </w:divBdr>
        </w:div>
        <w:div w:id="216479857">
          <w:marLeft w:val="0"/>
          <w:marRight w:val="0"/>
          <w:marTop w:val="0"/>
          <w:marBottom w:val="101"/>
          <w:divBdr>
            <w:top w:val="none" w:sz="0" w:space="0" w:color="auto"/>
            <w:left w:val="none" w:sz="0" w:space="0" w:color="auto"/>
            <w:bottom w:val="none" w:sz="0" w:space="0" w:color="auto"/>
            <w:right w:val="none" w:sz="0" w:space="0" w:color="auto"/>
          </w:divBdr>
        </w:div>
        <w:div w:id="1732266029">
          <w:marLeft w:val="648"/>
          <w:marRight w:val="0"/>
          <w:marTop w:val="0"/>
          <w:marBottom w:val="101"/>
          <w:divBdr>
            <w:top w:val="none" w:sz="0" w:space="0" w:color="auto"/>
            <w:left w:val="none" w:sz="0" w:space="0" w:color="auto"/>
            <w:bottom w:val="none" w:sz="0" w:space="0" w:color="auto"/>
            <w:right w:val="none" w:sz="0" w:space="0" w:color="auto"/>
          </w:divBdr>
        </w:div>
        <w:div w:id="2136827054">
          <w:marLeft w:val="648"/>
          <w:marRight w:val="0"/>
          <w:marTop w:val="0"/>
          <w:marBottom w:val="101"/>
          <w:divBdr>
            <w:top w:val="none" w:sz="0" w:space="0" w:color="auto"/>
            <w:left w:val="none" w:sz="0" w:space="0" w:color="auto"/>
            <w:bottom w:val="none" w:sz="0" w:space="0" w:color="auto"/>
            <w:right w:val="none" w:sz="0" w:space="0" w:color="auto"/>
          </w:divBdr>
        </w:div>
        <w:div w:id="207836173">
          <w:marLeft w:val="648"/>
          <w:marRight w:val="0"/>
          <w:marTop w:val="0"/>
          <w:marBottom w:val="101"/>
          <w:divBdr>
            <w:top w:val="none" w:sz="0" w:space="0" w:color="auto"/>
            <w:left w:val="none" w:sz="0" w:space="0" w:color="auto"/>
            <w:bottom w:val="none" w:sz="0" w:space="0" w:color="auto"/>
            <w:right w:val="none" w:sz="0" w:space="0" w:color="auto"/>
          </w:divBdr>
        </w:div>
        <w:div w:id="308822577">
          <w:marLeft w:val="648"/>
          <w:marRight w:val="0"/>
          <w:marTop w:val="0"/>
          <w:marBottom w:val="101"/>
          <w:divBdr>
            <w:top w:val="none" w:sz="0" w:space="0" w:color="auto"/>
            <w:left w:val="none" w:sz="0" w:space="0" w:color="auto"/>
            <w:bottom w:val="none" w:sz="0" w:space="0" w:color="auto"/>
            <w:right w:val="none" w:sz="0" w:space="0" w:color="auto"/>
          </w:divBdr>
        </w:div>
        <w:div w:id="1775048992">
          <w:marLeft w:val="648"/>
          <w:marRight w:val="0"/>
          <w:marTop w:val="0"/>
          <w:marBottom w:val="101"/>
          <w:divBdr>
            <w:top w:val="none" w:sz="0" w:space="0" w:color="auto"/>
            <w:left w:val="none" w:sz="0" w:space="0" w:color="auto"/>
            <w:bottom w:val="none" w:sz="0" w:space="0" w:color="auto"/>
            <w:right w:val="none" w:sz="0" w:space="0" w:color="auto"/>
          </w:divBdr>
        </w:div>
        <w:div w:id="22949335">
          <w:marLeft w:val="648"/>
          <w:marRight w:val="0"/>
          <w:marTop w:val="0"/>
          <w:marBottom w:val="101"/>
          <w:divBdr>
            <w:top w:val="none" w:sz="0" w:space="0" w:color="auto"/>
            <w:left w:val="none" w:sz="0" w:space="0" w:color="auto"/>
            <w:bottom w:val="none" w:sz="0" w:space="0" w:color="auto"/>
            <w:right w:val="none" w:sz="0" w:space="0" w:color="auto"/>
          </w:divBdr>
        </w:div>
        <w:div w:id="846408873">
          <w:marLeft w:val="648"/>
          <w:marRight w:val="0"/>
          <w:marTop w:val="0"/>
          <w:marBottom w:val="101"/>
          <w:divBdr>
            <w:top w:val="none" w:sz="0" w:space="0" w:color="auto"/>
            <w:left w:val="none" w:sz="0" w:space="0" w:color="auto"/>
            <w:bottom w:val="none" w:sz="0" w:space="0" w:color="auto"/>
            <w:right w:val="none" w:sz="0" w:space="0" w:color="auto"/>
          </w:divBdr>
        </w:div>
        <w:div w:id="1533109884">
          <w:marLeft w:val="648"/>
          <w:marRight w:val="0"/>
          <w:marTop w:val="0"/>
          <w:marBottom w:val="101"/>
          <w:divBdr>
            <w:top w:val="none" w:sz="0" w:space="0" w:color="auto"/>
            <w:left w:val="none" w:sz="0" w:space="0" w:color="auto"/>
            <w:bottom w:val="none" w:sz="0" w:space="0" w:color="auto"/>
            <w:right w:val="none" w:sz="0" w:space="0" w:color="auto"/>
          </w:divBdr>
        </w:div>
        <w:div w:id="1547598291">
          <w:marLeft w:val="648"/>
          <w:marRight w:val="0"/>
          <w:marTop w:val="0"/>
          <w:marBottom w:val="101"/>
          <w:divBdr>
            <w:top w:val="none" w:sz="0" w:space="0" w:color="auto"/>
            <w:left w:val="none" w:sz="0" w:space="0" w:color="auto"/>
            <w:bottom w:val="none" w:sz="0" w:space="0" w:color="auto"/>
            <w:right w:val="none" w:sz="0" w:space="0" w:color="auto"/>
          </w:divBdr>
        </w:div>
        <w:div w:id="1054475530">
          <w:marLeft w:val="648"/>
          <w:marRight w:val="0"/>
          <w:marTop w:val="0"/>
          <w:marBottom w:val="101"/>
          <w:divBdr>
            <w:top w:val="none" w:sz="0" w:space="0" w:color="auto"/>
            <w:left w:val="none" w:sz="0" w:space="0" w:color="auto"/>
            <w:bottom w:val="none" w:sz="0" w:space="0" w:color="auto"/>
            <w:right w:val="none" w:sz="0" w:space="0" w:color="auto"/>
          </w:divBdr>
        </w:div>
        <w:div w:id="1593003873">
          <w:marLeft w:val="648"/>
          <w:marRight w:val="0"/>
          <w:marTop w:val="0"/>
          <w:marBottom w:val="101"/>
          <w:divBdr>
            <w:top w:val="none" w:sz="0" w:space="0" w:color="auto"/>
            <w:left w:val="none" w:sz="0" w:space="0" w:color="auto"/>
            <w:bottom w:val="none" w:sz="0" w:space="0" w:color="auto"/>
            <w:right w:val="none" w:sz="0" w:space="0" w:color="auto"/>
          </w:divBdr>
        </w:div>
        <w:div w:id="1696466339">
          <w:marLeft w:val="648"/>
          <w:marRight w:val="0"/>
          <w:marTop w:val="0"/>
          <w:marBottom w:val="101"/>
          <w:divBdr>
            <w:top w:val="none" w:sz="0" w:space="0" w:color="auto"/>
            <w:left w:val="none" w:sz="0" w:space="0" w:color="auto"/>
            <w:bottom w:val="none" w:sz="0" w:space="0" w:color="auto"/>
            <w:right w:val="none" w:sz="0" w:space="0" w:color="auto"/>
          </w:divBdr>
        </w:div>
        <w:div w:id="1062601935">
          <w:marLeft w:val="648"/>
          <w:marRight w:val="0"/>
          <w:marTop w:val="0"/>
          <w:marBottom w:val="101"/>
          <w:divBdr>
            <w:top w:val="none" w:sz="0" w:space="0" w:color="auto"/>
            <w:left w:val="none" w:sz="0" w:space="0" w:color="auto"/>
            <w:bottom w:val="none" w:sz="0" w:space="0" w:color="auto"/>
            <w:right w:val="none" w:sz="0" w:space="0" w:color="auto"/>
          </w:divBdr>
        </w:div>
        <w:div w:id="2034722494">
          <w:marLeft w:val="648"/>
          <w:marRight w:val="0"/>
          <w:marTop w:val="0"/>
          <w:marBottom w:val="101"/>
          <w:divBdr>
            <w:top w:val="none" w:sz="0" w:space="0" w:color="auto"/>
            <w:left w:val="none" w:sz="0" w:space="0" w:color="auto"/>
            <w:bottom w:val="none" w:sz="0" w:space="0" w:color="auto"/>
            <w:right w:val="none" w:sz="0" w:space="0" w:color="auto"/>
          </w:divBdr>
        </w:div>
        <w:div w:id="697507024">
          <w:marLeft w:val="648"/>
          <w:marRight w:val="0"/>
          <w:marTop w:val="0"/>
          <w:marBottom w:val="101"/>
          <w:divBdr>
            <w:top w:val="none" w:sz="0" w:space="0" w:color="auto"/>
            <w:left w:val="none" w:sz="0" w:space="0" w:color="auto"/>
            <w:bottom w:val="none" w:sz="0" w:space="0" w:color="auto"/>
            <w:right w:val="none" w:sz="0" w:space="0" w:color="auto"/>
          </w:divBdr>
        </w:div>
        <w:div w:id="1434324968">
          <w:marLeft w:val="648"/>
          <w:marRight w:val="0"/>
          <w:marTop w:val="0"/>
          <w:marBottom w:val="101"/>
          <w:divBdr>
            <w:top w:val="none" w:sz="0" w:space="0" w:color="auto"/>
            <w:left w:val="none" w:sz="0" w:space="0" w:color="auto"/>
            <w:bottom w:val="none" w:sz="0" w:space="0" w:color="auto"/>
            <w:right w:val="none" w:sz="0" w:space="0" w:color="auto"/>
          </w:divBdr>
        </w:div>
        <w:div w:id="1319991158">
          <w:marLeft w:val="0"/>
          <w:marRight w:val="0"/>
          <w:marTop w:val="0"/>
          <w:marBottom w:val="101"/>
          <w:divBdr>
            <w:top w:val="none" w:sz="0" w:space="0" w:color="auto"/>
            <w:left w:val="none" w:sz="0" w:space="0" w:color="auto"/>
            <w:bottom w:val="none" w:sz="0" w:space="0" w:color="auto"/>
            <w:right w:val="none" w:sz="0" w:space="0" w:color="auto"/>
          </w:divBdr>
        </w:div>
        <w:div w:id="78910787">
          <w:marLeft w:val="0"/>
          <w:marRight w:val="0"/>
          <w:marTop w:val="0"/>
          <w:marBottom w:val="101"/>
          <w:divBdr>
            <w:top w:val="none" w:sz="0" w:space="0" w:color="auto"/>
            <w:left w:val="none" w:sz="0" w:space="0" w:color="auto"/>
            <w:bottom w:val="none" w:sz="0" w:space="0" w:color="auto"/>
            <w:right w:val="none" w:sz="0" w:space="0" w:color="auto"/>
          </w:divBdr>
        </w:div>
        <w:div w:id="998265076">
          <w:marLeft w:val="0"/>
          <w:marRight w:val="0"/>
          <w:marTop w:val="0"/>
          <w:marBottom w:val="101"/>
          <w:divBdr>
            <w:top w:val="none" w:sz="0" w:space="0" w:color="auto"/>
            <w:left w:val="none" w:sz="0" w:space="0" w:color="auto"/>
            <w:bottom w:val="none" w:sz="0" w:space="0" w:color="auto"/>
            <w:right w:val="none" w:sz="0" w:space="0" w:color="auto"/>
          </w:divBdr>
        </w:div>
        <w:div w:id="1300577432">
          <w:marLeft w:val="0"/>
          <w:marRight w:val="0"/>
          <w:marTop w:val="0"/>
          <w:marBottom w:val="101"/>
          <w:divBdr>
            <w:top w:val="none" w:sz="0" w:space="0" w:color="auto"/>
            <w:left w:val="none" w:sz="0" w:space="0" w:color="auto"/>
            <w:bottom w:val="none" w:sz="0" w:space="0" w:color="auto"/>
            <w:right w:val="none" w:sz="0" w:space="0" w:color="auto"/>
          </w:divBdr>
        </w:div>
        <w:div w:id="889196736">
          <w:marLeft w:val="0"/>
          <w:marRight w:val="0"/>
          <w:marTop w:val="0"/>
          <w:marBottom w:val="101"/>
          <w:divBdr>
            <w:top w:val="none" w:sz="0" w:space="0" w:color="auto"/>
            <w:left w:val="none" w:sz="0" w:space="0" w:color="auto"/>
            <w:bottom w:val="none" w:sz="0" w:space="0" w:color="auto"/>
            <w:right w:val="none" w:sz="0" w:space="0" w:color="auto"/>
          </w:divBdr>
        </w:div>
        <w:div w:id="642975365">
          <w:marLeft w:val="0"/>
          <w:marRight w:val="0"/>
          <w:marTop w:val="0"/>
          <w:marBottom w:val="101"/>
          <w:divBdr>
            <w:top w:val="none" w:sz="0" w:space="0" w:color="auto"/>
            <w:left w:val="none" w:sz="0" w:space="0" w:color="auto"/>
            <w:bottom w:val="none" w:sz="0" w:space="0" w:color="auto"/>
            <w:right w:val="none" w:sz="0" w:space="0" w:color="auto"/>
          </w:divBdr>
        </w:div>
        <w:div w:id="812064043">
          <w:marLeft w:val="0"/>
          <w:marRight w:val="0"/>
          <w:marTop w:val="0"/>
          <w:marBottom w:val="101"/>
          <w:divBdr>
            <w:top w:val="none" w:sz="0" w:space="0" w:color="auto"/>
            <w:left w:val="none" w:sz="0" w:space="0" w:color="auto"/>
            <w:bottom w:val="none" w:sz="0" w:space="0" w:color="auto"/>
            <w:right w:val="none" w:sz="0" w:space="0" w:color="auto"/>
          </w:divBdr>
        </w:div>
        <w:div w:id="2109694875">
          <w:marLeft w:val="0"/>
          <w:marRight w:val="0"/>
          <w:marTop w:val="0"/>
          <w:marBottom w:val="101"/>
          <w:divBdr>
            <w:top w:val="none" w:sz="0" w:space="0" w:color="auto"/>
            <w:left w:val="none" w:sz="0" w:space="0" w:color="auto"/>
            <w:bottom w:val="none" w:sz="0" w:space="0" w:color="auto"/>
            <w:right w:val="none" w:sz="0" w:space="0" w:color="auto"/>
          </w:divBdr>
        </w:div>
        <w:div w:id="1327516688">
          <w:marLeft w:val="0"/>
          <w:marRight w:val="0"/>
          <w:marTop w:val="0"/>
          <w:marBottom w:val="101"/>
          <w:divBdr>
            <w:top w:val="none" w:sz="0" w:space="0" w:color="auto"/>
            <w:left w:val="none" w:sz="0" w:space="0" w:color="auto"/>
            <w:bottom w:val="none" w:sz="0" w:space="0" w:color="auto"/>
            <w:right w:val="none" w:sz="0" w:space="0" w:color="auto"/>
          </w:divBdr>
        </w:div>
        <w:div w:id="864710897">
          <w:marLeft w:val="0"/>
          <w:marRight w:val="0"/>
          <w:marTop w:val="0"/>
          <w:marBottom w:val="101"/>
          <w:divBdr>
            <w:top w:val="none" w:sz="0" w:space="0" w:color="auto"/>
            <w:left w:val="none" w:sz="0" w:space="0" w:color="auto"/>
            <w:bottom w:val="none" w:sz="0" w:space="0" w:color="auto"/>
            <w:right w:val="none" w:sz="0" w:space="0" w:color="auto"/>
          </w:divBdr>
        </w:div>
        <w:div w:id="81224888">
          <w:marLeft w:val="0"/>
          <w:marRight w:val="0"/>
          <w:marTop w:val="0"/>
          <w:marBottom w:val="101"/>
          <w:divBdr>
            <w:top w:val="none" w:sz="0" w:space="0" w:color="auto"/>
            <w:left w:val="none" w:sz="0" w:space="0" w:color="auto"/>
            <w:bottom w:val="none" w:sz="0" w:space="0" w:color="auto"/>
            <w:right w:val="none" w:sz="0" w:space="0" w:color="auto"/>
          </w:divBdr>
        </w:div>
        <w:div w:id="2058821791">
          <w:marLeft w:val="0"/>
          <w:marRight w:val="0"/>
          <w:marTop w:val="0"/>
          <w:marBottom w:val="101"/>
          <w:divBdr>
            <w:top w:val="none" w:sz="0" w:space="0" w:color="auto"/>
            <w:left w:val="none" w:sz="0" w:space="0" w:color="auto"/>
            <w:bottom w:val="none" w:sz="0" w:space="0" w:color="auto"/>
            <w:right w:val="none" w:sz="0" w:space="0" w:color="auto"/>
          </w:divBdr>
        </w:div>
        <w:div w:id="35399105">
          <w:marLeft w:val="720"/>
          <w:marRight w:val="0"/>
          <w:marTop w:val="0"/>
          <w:marBottom w:val="101"/>
          <w:divBdr>
            <w:top w:val="none" w:sz="0" w:space="0" w:color="auto"/>
            <w:left w:val="none" w:sz="0" w:space="0" w:color="auto"/>
            <w:bottom w:val="none" w:sz="0" w:space="0" w:color="auto"/>
            <w:right w:val="none" w:sz="0" w:space="0" w:color="auto"/>
          </w:divBdr>
        </w:div>
        <w:div w:id="1807501708">
          <w:marLeft w:val="720"/>
          <w:marRight w:val="0"/>
          <w:marTop w:val="0"/>
          <w:marBottom w:val="101"/>
          <w:divBdr>
            <w:top w:val="none" w:sz="0" w:space="0" w:color="auto"/>
            <w:left w:val="none" w:sz="0" w:space="0" w:color="auto"/>
            <w:bottom w:val="none" w:sz="0" w:space="0" w:color="auto"/>
            <w:right w:val="none" w:sz="0" w:space="0" w:color="auto"/>
          </w:divBdr>
        </w:div>
        <w:div w:id="764309164">
          <w:marLeft w:val="720"/>
          <w:marRight w:val="0"/>
          <w:marTop w:val="0"/>
          <w:marBottom w:val="101"/>
          <w:divBdr>
            <w:top w:val="none" w:sz="0" w:space="0" w:color="auto"/>
            <w:left w:val="none" w:sz="0" w:space="0" w:color="auto"/>
            <w:bottom w:val="none" w:sz="0" w:space="0" w:color="auto"/>
            <w:right w:val="none" w:sz="0" w:space="0" w:color="auto"/>
          </w:divBdr>
        </w:div>
        <w:div w:id="1559391275">
          <w:marLeft w:val="0"/>
          <w:marRight w:val="0"/>
          <w:marTop w:val="0"/>
          <w:marBottom w:val="101"/>
          <w:divBdr>
            <w:top w:val="none" w:sz="0" w:space="0" w:color="auto"/>
            <w:left w:val="none" w:sz="0" w:space="0" w:color="auto"/>
            <w:bottom w:val="none" w:sz="0" w:space="0" w:color="auto"/>
            <w:right w:val="none" w:sz="0" w:space="0" w:color="auto"/>
          </w:divBdr>
        </w:div>
        <w:div w:id="1454595290">
          <w:marLeft w:val="0"/>
          <w:marRight w:val="0"/>
          <w:marTop w:val="0"/>
          <w:marBottom w:val="101"/>
          <w:divBdr>
            <w:top w:val="none" w:sz="0" w:space="0" w:color="auto"/>
            <w:left w:val="none" w:sz="0" w:space="0" w:color="auto"/>
            <w:bottom w:val="none" w:sz="0" w:space="0" w:color="auto"/>
            <w:right w:val="none" w:sz="0" w:space="0" w:color="auto"/>
          </w:divBdr>
        </w:div>
        <w:div w:id="1000163154">
          <w:marLeft w:val="0"/>
          <w:marRight w:val="0"/>
          <w:marTop w:val="0"/>
          <w:marBottom w:val="101"/>
          <w:divBdr>
            <w:top w:val="none" w:sz="0" w:space="0" w:color="auto"/>
            <w:left w:val="none" w:sz="0" w:space="0" w:color="auto"/>
            <w:bottom w:val="none" w:sz="0" w:space="0" w:color="auto"/>
            <w:right w:val="none" w:sz="0" w:space="0" w:color="auto"/>
          </w:divBdr>
        </w:div>
        <w:div w:id="713194029">
          <w:marLeft w:val="0"/>
          <w:marRight w:val="0"/>
          <w:marTop w:val="0"/>
          <w:marBottom w:val="101"/>
          <w:divBdr>
            <w:top w:val="none" w:sz="0" w:space="0" w:color="auto"/>
            <w:left w:val="none" w:sz="0" w:space="0" w:color="auto"/>
            <w:bottom w:val="none" w:sz="0" w:space="0" w:color="auto"/>
            <w:right w:val="none" w:sz="0" w:space="0" w:color="auto"/>
          </w:divBdr>
        </w:div>
        <w:div w:id="1015307090">
          <w:marLeft w:val="0"/>
          <w:marRight w:val="0"/>
          <w:marTop w:val="0"/>
          <w:marBottom w:val="101"/>
          <w:divBdr>
            <w:top w:val="none" w:sz="0" w:space="0" w:color="auto"/>
            <w:left w:val="none" w:sz="0" w:space="0" w:color="auto"/>
            <w:bottom w:val="none" w:sz="0" w:space="0" w:color="auto"/>
            <w:right w:val="none" w:sz="0" w:space="0" w:color="auto"/>
          </w:divBdr>
        </w:div>
      </w:divsChild>
    </w:div>
    <w:div w:id="118450346">
      <w:bodyDiv w:val="1"/>
      <w:marLeft w:val="0"/>
      <w:marRight w:val="0"/>
      <w:marTop w:val="0"/>
      <w:marBottom w:val="0"/>
      <w:divBdr>
        <w:top w:val="none" w:sz="0" w:space="0" w:color="auto"/>
        <w:left w:val="none" w:sz="0" w:space="0" w:color="auto"/>
        <w:bottom w:val="none" w:sz="0" w:space="0" w:color="auto"/>
        <w:right w:val="none" w:sz="0" w:space="0" w:color="auto"/>
      </w:divBdr>
    </w:div>
    <w:div w:id="130749977">
      <w:bodyDiv w:val="1"/>
      <w:marLeft w:val="0"/>
      <w:marRight w:val="0"/>
      <w:marTop w:val="0"/>
      <w:marBottom w:val="0"/>
      <w:divBdr>
        <w:top w:val="none" w:sz="0" w:space="0" w:color="auto"/>
        <w:left w:val="none" w:sz="0" w:space="0" w:color="auto"/>
        <w:bottom w:val="none" w:sz="0" w:space="0" w:color="auto"/>
        <w:right w:val="none" w:sz="0" w:space="0" w:color="auto"/>
      </w:divBdr>
      <w:divsChild>
        <w:div w:id="1908110711">
          <w:marLeft w:val="0"/>
          <w:marRight w:val="0"/>
          <w:marTop w:val="0"/>
          <w:marBottom w:val="101"/>
          <w:divBdr>
            <w:top w:val="none" w:sz="0" w:space="0" w:color="auto"/>
            <w:left w:val="none" w:sz="0" w:space="0" w:color="auto"/>
            <w:bottom w:val="none" w:sz="0" w:space="0" w:color="auto"/>
            <w:right w:val="none" w:sz="0" w:space="0" w:color="auto"/>
          </w:divBdr>
        </w:div>
      </w:divsChild>
    </w:div>
    <w:div w:id="135874725">
      <w:bodyDiv w:val="1"/>
      <w:marLeft w:val="0"/>
      <w:marRight w:val="0"/>
      <w:marTop w:val="0"/>
      <w:marBottom w:val="0"/>
      <w:divBdr>
        <w:top w:val="none" w:sz="0" w:space="0" w:color="auto"/>
        <w:left w:val="none" w:sz="0" w:space="0" w:color="auto"/>
        <w:bottom w:val="none" w:sz="0" w:space="0" w:color="auto"/>
        <w:right w:val="none" w:sz="0" w:space="0" w:color="auto"/>
      </w:divBdr>
    </w:div>
    <w:div w:id="160464033">
      <w:bodyDiv w:val="1"/>
      <w:marLeft w:val="0"/>
      <w:marRight w:val="0"/>
      <w:marTop w:val="0"/>
      <w:marBottom w:val="0"/>
      <w:divBdr>
        <w:top w:val="none" w:sz="0" w:space="0" w:color="auto"/>
        <w:left w:val="none" w:sz="0" w:space="0" w:color="auto"/>
        <w:bottom w:val="none" w:sz="0" w:space="0" w:color="auto"/>
        <w:right w:val="none" w:sz="0" w:space="0" w:color="auto"/>
      </w:divBdr>
    </w:div>
    <w:div w:id="163395080">
      <w:bodyDiv w:val="1"/>
      <w:marLeft w:val="0"/>
      <w:marRight w:val="0"/>
      <w:marTop w:val="0"/>
      <w:marBottom w:val="0"/>
      <w:divBdr>
        <w:top w:val="none" w:sz="0" w:space="0" w:color="auto"/>
        <w:left w:val="none" w:sz="0" w:space="0" w:color="auto"/>
        <w:bottom w:val="none" w:sz="0" w:space="0" w:color="auto"/>
        <w:right w:val="none" w:sz="0" w:space="0" w:color="auto"/>
      </w:divBdr>
    </w:div>
    <w:div w:id="171575764">
      <w:bodyDiv w:val="1"/>
      <w:marLeft w:val="0"/>
      <w:marRight w:val="0"/>
      <w:marTop w:val="0"/>
      <w:marBottom w:val="0"/>
      <w:divBdr>
        <w:top w:val="none" w:sz="0" w:space="0" w:color="auto"/>
        <w:left w:val="none" w:sz="0" w:space="0" w:color="auto"/>
        <w:bottom w:val="none" w:sz="0" w:space="0" w:color="auto"/>
        <w:right w:val="none" w:sz="0" w:space="0" w:color="auto"/>
      </w:divBdr>
    </w:div>
    <w:div w:id="212234628">
      <w:bodyDiv w:val="1"/>
      <w:marLeft w:val="0"/>
      <w:marRight w:val="0"/>
      <w:marTop w:val="0"/>
      <w:marBottom w:val="0"/>
      <w:divBdr>
        <w:top w:val="none" w:sz="0" w:space="0" w:color="auto"/>
        <w:left w:val="none" w:sz="0" w:space="0" w:color="auto"/>
        <w:bottom w:val="none" w:sz="0" w:space="0" w:color="auto"/>
        <w:right w:val="none" w:sz="0" w:space="0" w:color="auto"/>
      </w:divBdr>
    </w:div>
    <w:div w:id="212931199">
      <w:bodyDiv w:val="1"/>
      <w:marLeft w:val="0"/>
      <w:marRight w:val="0"/>
      <w:marTop w:val="0"/>
      <w:marBottom w:val="0"/>
      <w:divBdr>
        <w:top w:val="none" w:sz="0" w:space="0" w:color="auto"/>
        <w:left w:val="none" w:sz="0" w:space="0" w:color="auto"/>
        <w:bottom w:val="none" w:sz="0" w:space="0" w:color="auto"/>
        <w:right w:val="none" w:sz="0" w:space="0" w:color="auto"/>
      </w:divBdr>
    </w:div>
    <w:div w:id="372581347">
      <w:bodyDiv w:val="1"/>
      <w:marLeft w:val="0"/>
      <w:marRight w:val="0"/>
      <w:marTop w:val="0"/>
      <w:marBottom w:val="0"/>
      <w:divBdr>
        <w:top w:val="none" w:sz="0" w:space="0" w:color="auto"/>
        <w:left w:val="none" w:sz="0" w:space="0" w:color="auto"/>
        <w:bottom w:val="none" w:sz="0" w:space="0" w:color="auto"/>
        <w:right w:val="none" w:sz="0" w:space="0" w:color="auto"/>
      </w:divBdr>
    </w:div>
    <w:div w:id="413163118">
      <w:bodyDiv w:val="1"/>
      <w:marLeft w:val="0"/>
      <w:marRight w:val="0"/>
      <w:marTop w:val="0"/>
      <w:marBottom w:val="0"/>
      <w:divBdr>
        <w:top w:val="none" w:sz="0" w:space="0" w:color="auto"/>
        <w:left w:val="none" w:sz="0" w:space="0" w:color="auto"/>
        <w:bottom w:val="none" w:sz="0" w:space="0" w:color="auto"/>
        <w:right w:val="none" w:sz="0" w:space="0" w:color="auto"/>
      </w:divBdr>
    </w:div>
    <w:div w:id="478964096">
      <w:bodyDiv w:val="1"/>
      <w:marLeft w:val="0"/>
      <w:marRight w:val="0"/>
      <w:marTop w:val="0"/>
      <w:marBottom w:val="0"/>
      <w:divBdr>
        <w:top w:val="none" w:sz="0" w:space="0" w:color="auto"/>
        <w:left w:val="none" w:sz="0" w:space="0" w:color="auto"/>
        <w:bottom w:val="none" w:sz="0" w:space="0" w:color="auto"/>
        <w:right w:val="none" w:sz="0" w:space="0" w:color="auto"/>
      </w:divBdr>
    </w:div>
    <w:div w:id="605620322">
      <w:bodyDiv w:val="1"/>
      <w:marLeft w:val="0"/>
      <w:marRight w:val="0"/>
      <w:marTop w:val="0"/>
      <w:marBottom w:val="0"/>
      <w:divBdr>
        <w:top w:val="none" w:sz="0" w:space="0" w:color="auto"/>
        <w:left w:val="none" w:sz="0" w:space="0" w:color="auto"/>
        <w:bottom w:val="none" w:sz="0" w:space="0" w:color="auto"/>
        <w:right w:val="none" w:sz="0" w:space="0" w:color="auto"/>
      </w:divBdr>
    </w:div>
    <w:div w:id="637691485">
      <w:bodyDiv w:val="1"/>
      <w:marLeft w:val="0"/>
      <w:marRight w:val="0"/>
      <w:marTop w:val="0"/>
      <w:marBottom w:val="0"/>
      <w:divBdr>
        <w:top w:val="none" w:sz="0" w:space="0" w:color="auto"/>
        <w:left w:val="none" w:sz="0" w:space="0" w:color="auto"/>
        <w:bottom w:val="none" w:sz="0" w:space="0" w:color="auto"/>
        <w:right w:val="none" w:sz="0" w:space="0" w:color="auto"/>
      </w:divBdr>
      <w:divsChild>
        <w:div w:id="1620836392">
          <w:marLeft w:val="0"/>
          <w:marRight w:val="0"/>
          <w:marTop w:val="0"/>
          <w:marBottom w:val="101"/>
          <w:divBdr>
            <w:top w:val="none" w:sz="0" w:space="0" w:color="auto"/>
            <w:left w:val="none" w:sz="0" w:space="0" w:color="auto"/>
            <w:bottom w:val="none" w:sz="0" w:space="0" w:color="auto"/>
            <w:right w:val="none" w:sz="0" w:space="0" w:color="auto"/>
          </w:divBdr>
        </w:div>
        <w:div w:id="281151523">
          <w:marLeft w:val="0"/>
          <w:marRight w:val="0"/>
          <w:marTop w:val="0"/>
          <w:marBottom w:val="101"/>
          <w:divBdr>
            <w:top w:val="none" w:sz="0" w:space="0" w:color="auto"/>
            <w:left w:val="none" w:sz="0" w:space="0" w:color="auto"/>
            <w:bottom w:val="none" w:sz="0" w:space="0" w:color="auto"/>
            <w:right w:val="none" w:sz="0" w:space="0" w:color="auto"/>
          </w:divBdr>
        </w:div>
        <w:div w:id="1044721086">
          <w:marLeft w:val="0"/>
          <w:marRight w:val="0"/>
          <w:marTop w:val="0"/>
          <w:marBottom w:val="101"/>
          <w:divBdr>
            <w:top w:val="none" w:sz="0" w:space="0" w:color="auto"/>
            <w:left w:val="none" w:sz="0" w:space="0" w:color="auto"/>
            <w:bottom w:val="none" w:sz="0" w:space="0" w:color="auto"/>
            <w:right w:val="none" w:sz="0" w:space="0" w:color="auto"/>
          </w:divBdr>
        </w:div>
        <w:div w:id="1667316873">
          <w:marLeft w:val="0"/>
          <w:marRight w:val="0"/>
          <w:marTop w:val="0"/>
          <w:marBottom w:val="101"/>
          <w:divBdr>
            <w:top w:val="none" w:sz="0" w:space="0" w:color="auto"/>
            <w:left w:val="none" w:sz="0" w:space="0" w:color="auto"/>
            <w:bottom w:val="none" w:sz="0" w:space="0" w:color="auto"/>
            <w:right w:val="none" w:sz="0" w:space="0" w:color="auto"/>
          </w:divBdr>
        </w:div>
        <w:div w:id="1561557490">
          <w:marLeft w:val="0"/>
          <w:marRight w:val="0"/>
          <w:marTop w:val="0"/>
          <w:marBottom w:val="101"/>
          <w:divBdr>
            <w:top w:val="none" w:sz="0" w:space="0" w:color="auto"/>
            <w:left w:val="none" w:sz="0" w:space="0" w:color="auto"/>
            <w:bottom w:val="none" w:sz="0" w:space="0" w:color="auto"/>
            <w:right w:val="none" w:sz="0" w:space="0" w:color="auto"/>
          </w:divBdr>
        </w:div>
        <w:div w:id="1611665642">
          <w:marLeft w:val="720"/>
          <w:marRight w:val="0"/>
          <w:marTop w:val="0"/>
          <w:marBottom w:val="101"/>
          <w:divBdr>
            <w:top w:val="none" w:sz="0" w:space="0" w:color="auto"/>
            <w:left w:val="none" w:sz="0" w:space="0" w:color="auto"/>
            <w:bottom w:val="none" w:sz="0" w:space="0" w:color="auto"/>
            <w:right w:val="none" w:sz="0" w:space="0" w:color="auto"/>
          </w:divBdr>
        </w:div>
        <w:div w:id="2109500552">
          <w:marLeft w:val="720"/>
          <w:marRight w:val="0"/>
          <w:marTop w:val="0"/>
          <w:marBottom w:val="101"/>
          <w:divBdr>
            <w:top w:val="none" w:sz="0" w:space="0" w:color="auto"/>
            <w:left w:val="none" w:sz="0" w:space="0" w:color="auto"/>
            <w:bottom w:val="none" w:sz="0" w:space="0" w:color="auto"/>
            <w:right w:val="none" w:sz="0" w:space="0" w:color="auto"/>
          </w:divBdr>
        </w:div>
        <w:div w:id="1319192929">
          <w:marLeft w:val="720"/>
          <w:marRight w:val="0"/>
          <w:marTop w:val="0"/>
          <w:marBottom w:val="101"/>
          <w:divBdr>
            <w:top w:val="none" w:sz="0" w:space="0" w:color="auto"/>
            <w:left w:val="none" w:sz="0" w:space="0" w:color="auto"/>
            <w:bottom w:val="none" w:sz="0" w:space="0" w:color="auto"/>
            <w:right w:val="none" w:sz="0" w:space="0" w:color="auto"/>
          </w:divBdr>
        </w:div>
        <w:div w:id="758017841">
          <w:marLeft w:val="720"/>
          <w:marRight w:val="0"/>
          <w:marTop w:val="0"/>
          <w:marBottom w:val="101"/>
          <w:divBdr>
            <w:top w:val="none" w:sz="0" w:space="0" w:color="auto"/>
            <w:left w:val="none" w:sz="0" w:space="0" w:color="auto"/>
            <w:bottom w:val="none" w:sz="0" w:space="0" w:color="auto"/>
            <w:right w:val="none" w:sz="0" w:space="0" w:color="auto"/>
          </w:divBdr>
        </w:div>
        <w:div w:id="1421176801">
          <w:marLeft w:val="720"/>
          <w:marRight w:val="0"/>
          <w:marTop w:val="0"/>
          <w:marBottom w:val="101"/>
          <w:divBdr>
            <w:top w:val="none" w:sz="0" w:space="0" w:color="auto"/>
            <w:left w:val="none" w:sz="0" w:space="0" w:color="auto"/>
            <w:bottom w:val="none" w:sz="0" w:space="0" w:color="auto"/>
            <w:right w:val="none" w:sz="0" w:space="0" w:color="auto"/>
          </w:divBdr>
        </w:div>
        <w:div w:id="679242352">
          <w:marLeft w:val="720"/>
          <w:marRight w:val="0"/>
          <w:marTop w:val="0"/>
          <w:marBottom w:val="101"/>
          <w:divBdr>
            <w:top w:val="none" w:sz="0" w:space="0" w:color="auto"/>
            <w:left w:val="none" w:sz="0" w:space="0" w:color="auto"/>
            <w:bottom w:val="none" w:sz="0" w:space="0" w:color="auto"/>
            <w:right w:val="none" w:sz="0" w:space="0" w:color="auto"/>
          </w:divBdr>
        </w:div>
        <w:div w:id="2052268460">
          <w:marLeft w:val="0"/>
          <w:marRight w:val="0"/>
          <w:marTop w:val="0"/>
          <w:marBottom w:val="101"/>
          <w:divBdr>
            <w:top w:val="none" w:sz="0" w:space="0" w:color="auto"/>
            <w:left w:val="none" w:sz="0" w:space="0" w:color="auto"/>
            <w:bottom w:val="none" w:sz="0" w:space="0" w:color="auto"/>
            <w:right w:val="none" w:sz="0" w:space="0" w:color="auto"/>
          </w:divBdr>
        </w:div>
        <w:div w:id="1690326254">
          <w:marLeft w:val="0"/>
          <w:marRight w:val="0"/>
          <w:marTop w:val="0"/>
          <w:marBottom w:val="101"/>
          <w:divBdr>
            <w:top w:val="none" w:sz="0" w:space="0" w:color="auto"/>
            <w:left w:val="none" w:sz="0" w:space="0" w:color="auto"/>
            <w:bottom w:val="none" w:sz="0" w:space="0" w:color="auto"/>
            <w:right w:val="none" w:sz="0" w:space="0" w:color="auto"/>
          </w:divBdr>
        </w:div>
        <w:div w:id="1464158427">
          <w:marLeft w:val="0"/>
          <w:marRight w:val="0"/>
          <w:marTop w:val="0"/>
          <w:marBottom w:val="101"/>
          <w:divBdr>
            <w:top w:val="none" w:sz="0" w:space="0" w:color="auto"/>
            <w:left w:val="none" w:sz="0" w:space="0" w:color="auto"/>
            <w:bottom w:val="none" w:sz="0" w:space="0" w:color="auto"/>
            <w:right w:val="none" w:sz="0" w:space="0" w:color="auto"/>
          </w:divBdr>
        </w:div>
        <w:div w:id="326250538">
          <w:marLeft w:val="0"/>
          <w:marRight w:val="0"/>
          <w:marTop w:val="0"/>
          <w:marBottom w:val="101"/>
          <w:divBdr>
            <w:top w:val="none" w:sz="0" w:space="0" w:color="auto"/>
            <w:left w:val="none" w:sz="0" w:space="0" w:color="auto"/>
            <w:bottom w:val="none" w:sz="0" w:space="0" w:color="auto"/>
            <w:right w:val="none" w:sz="0" w:space="0" w:color="auto"/>
          </w:divBdr>
        </w:div>
        <w:div w:id="1189415109">
          <w:marLeft w:val="0"/>
          <w:marRight w:val="0"/>
          <w:marTop w:val="0"/>
          <w:marBottom w:val="101"/>
          <w:divBdr>
            <w:top w:val="none" w:sz="0" w:space="0" w:color="auto"/>
            <w:left w:val="none" w:sz="0" w:space="0" w:color="auto"/>
            <w:bottom w:val="none" w:sz="0" w:space="0" w:color="auto"/>
            <w:right w:val="none" w:sz="0" w:space="0" w:color="auto"/>
          </w:divBdr>
        </w:div>
        <w:div w:id="13968257">
          <w:marLeft w:val="0"/>
          <w:marRight w:val="0"/>
          <w:marTop w:val="0"/>
          <w:marBottom w:val="101"/>
          <w:divBdr>
            <w:top w:val="none" w:sz="0" w:space="0" w:color="auto"/>
            <w:left w:val="none" w:sz="0" w:space="0" w:color="auto"/>
            <w:bottom w:val="none" w:sz="0" w:space="0" w:color="auto"/>
            <w:right w:val="none" w:sz="0" w:space="0" w:color="auto"/>
          </w:divBdr>
        </w:div>
        <w:div w:id="307560908">
          <w:marLeft w:val="0"/>
          <w:marRight w:val="0"/>
          <w:marTop w:val="0"/>
          <w:marBottom w:val="101"/>
          <w:divBdr>
            <w:top w:val="none" w:sz="0" w:space="0" w:color="auto"/>
            <w:left w:val="none" w:sz="0" w:space="0" w:color="auto"/>
            <w:bottom w:val="none" w:sz="0" w:space="0" w:color="auto"/>
            <w:right w:val="none" w:sz="0" w:space="0" w:color="auto"/>
          </w:divBdr>
        </w:div>
        <w:div w:id="1991865748">
          <w:marLeft w:val="0"/>
          <w:marRight w:val="0"/>
          <w:marTop w:val="0"/>
          <w:marBottom w:val="101"/>
          <w:divBdr>
            <w:top w:val="none" w:sz="0" w:space="0" w:color="auto"/>
            <w:left w:val="none" w:sz="0" w:space="0" w:color="auto"/>
            <w:bottom w:val="none" w:sz="0" w:space="0" w:color="auto"/>
            <w:right w:val="none" w:sz="0" w:space="0" w:color="auto"/>
          </w:divBdr>
        </w:div>
        <w:div w:id="1205753798">
          <w:marLeft w:val="0"/>
          <w:marRight w:val="0"/>
          <w:marTop w:val="0"/>
          <w:marBottom w:val="101"/>
          <w:divBdr>
            <w:top w:val="none" w:sz="0" w:space="0" w:color="auto"/>
            <w:left w:val="none" w:sz="0" w:space="0" w:color="auto"/>
            <w:bottom w:val="none" w:sz="0" w:space="0" w:color="auto"/>
            <w:right w:val="none" w:sz="0" w:space="0" w:color="auto"/>
          </w:divBdr>
        </w:div>
        <w:div w:id="1551723687">
          <w:marLeft w:val="0"/>
          <w:marRight w:val="0"/>
          <w:marTop w:val="0"/>
          <w:marBottom w:val="101"/>
          <w:divBdr>
            <w:top w:val="none" w:sz="0" w:space="0" w:color="auto"/>
            <w:left w:val="none" w:sz="0" w:space="0" w:color="auto"/>
            <w:bottom w:val="none" w:sz="0" w:space="0" w:color="auto"/>
            <w:right w:val="none" w:sz="0" w:space="0" w:color="auto"/>
          </w:divBdr>
        </w:div>
        <w:div w:id="1951353432">
          <w:marLeft w:val="0"/>
          <w:marRight w:val="0"/>
          <w:marTop w:val="0"/>
          <w:marBottom w:val="101"/>
          <w:divBdr>
            <w:top w:val="none" w:sz="0" w:space="0" w:color="auto"/>
            <w:left w:val="none" w:sz="0" w:space="0" w:color="auto"/>
            <w:bottom w:val="none" w:sz="0" w:space="0" w:color="auto"/>
            <w:right w:val="none" w:sz="0" w:space="0" w:color="auto"/>
          </w:divBdr>
        </w:div>
        <w:div w:id="556278747">
          <w:marLeft w:val="720"/>
          <w:marRight w:val="0"/>
          <w:marTop w:val="0"/>
          <w:marBottom w:val="101"/>
          <w:divBdr>
            <w:top w:val="none" w:sz="0" w:space="0" w:color="auto"/>
            <w:left w:val="none" w:sz="0" w:space="0" w:color="auto"/>
            <w:bottom w:val="none" w:sz="0" w:space="0" w:color="auto"/>
            <w:right w:val="none" w:sz="0" w:space="0" w:color="auto"/>
          </w:divBdr>
        </w:div>
        <w:div w:id="187765899">
          <w:marLeft w:val="720"/>
          <w:marRight w:val="0"/>
          <w:marTop w:val="0"/>
          <w:marBottom w:val="101"/>
          <w:divBdr>
            <w:top w:val="none" w:sz="0" w:space="0" w:color="auto"/>
            <w:left w:val="none" w:sz="0" w:space="0" w:color="auto"/>
            <w:bottom w:val="none" w:sz="0" w:space="0" w:color="auto"/>
            <w:right w:val="none" w:sz="0" w:space="0" w:color="auto"/>
          </w:divBdr>
        </w:div>
        <w:div w:id="542253846">
          <w:marLeft w:val="720"/>
          <w:marRight w:val="0"/>
          <w:marTop w:val="0"/>
          <w:marBottom w:val="101"/>
          <w:divBdr>
            <w:top w:val="none" w:sz="0" w:space="0" w:color="auto"/>
            <w:left w:val="none" w:sz="0" w:space="0" w:color="auto"/>
            <w:bottom w:val="none" w:sz="0" w:space="0" w:color="auto"/>
            <w:right w:val="none" w:sz="0" w:space="0" w:color="auto"/>
          </w:divBdr>
        </w:div>
        <w:div w:id="247273627">
          <w:marLeft w:val="720"/>
          <w:marRight w:val="0"/>
          <w:marTop w:val="0"/>
          <w:marBottom w:val="101"/>
          <w:divBdr>
            <w:top w:val="none" w:sz="0" w:space="0" w:color="auto"/>
            <w:left w:val="none" w:sz="0" w:space="0" w:color="auto"/>
            <w:bottom w:val="none" w:sz="0" w:space="0" w:color="auto"/>
            <w:right w:val="none" w:sz="0" w:space="0" w:color="auto"/>
          </w:divBdr>
        </w:div>
        <w:div w:id="142047548">
          <w:marLeft w:val="720"/>
          <w:marRight w:val="0"/>
          <w:marTop w:val="0"/>
          <w:marBottom w:val="101"/>
          <w:divBdr>
            <w:top w:val="none" w:sz="0" w:space="0" w:color="auto"/>
            <w:left w:val="none" w:sz="0" w:space="0" w:color="auto"/>
            <w:bottom w:val="none" w:sz="0" w:space="0" w:color="auto"/>
            <w:right w:val="none" w:sz="0" w:space="0" w:color="auto"/>
          </w:divBdr>
        </w:div>
        <w:div w:id="426926353">
          <w:marLeft w:val="720"/>
          <w:marRight w:val="0"/>
          <w:marTop w:val="0"/>
          <w:marBottom w:val="101"/>
          <w:divBdr>
            <w:top w:val="none" w:sz="0" w:space="0" w:color="auto"/>
            <w:left w:val="none" w:sz="0" w:space="0" w:color="auto"/>
            <w:bottom w:val="none" w:sz="0" w:space="0" w:color="auto"/>
            <w:right w:val="none" w:sz="0" w:space="0" w:color="auto"/>
          </w:divBdr>
        </w:div>
        <w:div w:id="1772356366">
          <w:marLeft w:val="720"/>
          <w:marRight w:val="0"/>
          <w:marTop w:val="0"/>
          <w:marBottom w:val="101"/>
          <w:divBdr>
            <w:top w:val="none" w:sz="0" w:space="0" w:color="auto"/>
            <w:left w:val="none" w:sz="0" w:space="0" w:color="auto"/>
            <w:bottom w:val="none" w:sz="0" w:space="0" w:color="auto"/>
            <w:right w:val="none" w:sz="0" w:space="0" w:color="auto"/>
          </w:divBdr>
        </w:div>
        <w:div w:id="1018972936">
          <w:marLeft w:val="720"/>
          <w:marRight w:val="0"/>
          <w:marTop w:val="0"/>
          <w:marBottom w:val="101"/>
          <w:divBdr>
            <w:top w:val="none" w:sz="0" w:space="0" w:color="auto"/>
            <w:left w:val="none" w:sz="0" w:space="0" w:color="auto"/>
            <w:bottom w:val="none" w:sz="0" w:space="0" w:color="auto"/>
            <w:right w:val="none" w:sz="0" w:space="0" w:color="auto"/>
          </w:divBdr>
        </w:div>
        <w:div w:id="202794666">
          <w:marLeft w:val="720"/>
          <w:marRight w:val="0"/>
          <w:marTop w:val="0"/>
          <w:marBottom w:val="101"/>
          <w:divBdr>
            <w:top w:val="none" w:sz="0" w:space="0" w:color="auto"/>
            <w:left w:val="none" w:sz="0" w:space="0" w:color="auto"/>
            <w:bottom w:val="none" w:sz="0" w:space="0" w:color="auto"/>
            <w:right w:val="none" w:sz="0" w:space="0" w:color="auto"/>
          </w:divBdr>
        </w:div>
        <w:div w:id="846017762">
          <w:marLeft w:val="0"/>
          <w:marRight w:val="0"/>
          <w:marTop w:val="0"/>
          <w:marBottom w:val="101"/>
          <w:divBdr>
            <w:top w:val="none" w:sz="0" w:space="0" w:color="auto"/>
            <w:left w:val="none" w:sz="0" w:space="0" w:color="auto"/>
            <w:bottom w:val="none" w:sz="0" w:space="0" w:color="auto"/>
            <w:right w:val="none" w:sz="0" w:space="0" w:color="auto"/>
          </w:divBdr>
        </w:div>
        <w:div w:id="1661425098">
          <w:marLeft w:val="0"/>
          <w:marRight w:val="0"/>
          <w:marTop w:val="0"/>
          <w:marBottom w:val="101"/>
          <w:divBdr>
            <w:top w:val="none" w:sz="0" w:space="0" w:color="auto"/>
            <w:left w:val="none" w:sz="0" w:space="0" w:color="auto"/>
            <w:bottom w:val="none" w:sz="0" w:space="0" w:color="auto"/>
            <w:right w:val="none" w:sz="0" w:space="0" w:color="auto"/>
          </w:divBdr>
        </w:div>
        <w:div w:id="1247425576">
          <w:marLeft w:val="0"/>
          <w:marRight w:val="0"/>
          <w:marTop w:val="0"/>
          <w:marBottom w:val="101"/>
          <w:divBdr>
            <w:top w:val="none" w:sz="0" w:space="0" w:color="auto"/>
            <w:left w:val="none" w:sz="0" w:space="0" w:color="auto"/>
            <w:bottom w:val="none" w:sz="0" w:space="0" w:color="auto"/>
            <w:right w:val="none" w:sz="0" w:space="0" w:color="auto"/>
          </w:divBdr>
        </w:div>
        <w:div w:id="144516175">
          <w:marLeft w:val="0"/>
          <w:marRight w:val="0"/>
          <w:marTop w:val="0"/>
          <w:marBottom w:val="101"/>
          <w:divBdr>
            <w:top w:val="none" w:sz="0" w:space="0" w:color="auto"/>
            <w:left w:val="none" w:sz="0" w:space="0" w:color="auto"/>
            <w:bottom w:val="none" w:sz="0" w:space="0" w:color="auto"/>
            <w:right w:val="none" w:sz="0" w:space="0" w:color="auto"/>
          </w:divBdr>
        </w:div>
        <w:div w:id="2065178766">
          <w:marLeft w:val="0"/>
          <w:marRight w:val="0"/>
          <w:marTop w:val="0"/>
          <w:marBottom w:val="101"/>
          <w:divBdr>
            <w:top w:val="none" w:sz="0" w:space="0" w:color="auto"/>
            <w:left w:val="none" w:sz="0" w:space="0" w:color="auto"/>
            <w:bottom w:val="none" w:sz="0" w:space="0" w:color="auto"/>
            <w:right w:val="none" w:sz="0" w:space="0" w:color="auto"/>
          </w:divBdr>
        </w:div>
        <w:div w:id="1933196755">
          <w:marLeft w:val="0"/>
          <w:marRight w:val="0"/>
          <w:marTop w:val="0"/>
          <w:marBottom w:val="101"/>
          <w:divBdr>
            <w:top w:val="none" w:sz="0" w:space="0" w:color="auto"/>
            <w:left w:val="none" w:sz="0" w:space="0" w:color="auto"/>
            <w:bottom w:val="none" w:sz="0" w:space="0" w:color="auto"/>
            <w:right w:val="none" w:sz="0" w:space="0" w:color="auto"/>
          </w:divBdr>
        </w:div>
        <w:div w:id="1490633246">
          <w:marLeft w:val="720"/>
          <w:marRight w:val="0"/>
          <w:marTop w:val="0"/>
          <w:marBottom w:val="101"/>
          <w:divBdr>
            <w:top w:val="none" w:sz="0" w:space="0" w:color="auto"/>
            <w:left w:val="none" w:sz="0" w:space="0" w:color="auto"/>
            <w:bottom w:val="none" w:sz="0" w:space="0" w:color="auto"/>
            <w:right w:val="none" w:sz="0" w:space="0" w:color="auto"/>
          </w:divBdr>
        </w:div>
        <w:div w:id="269627108">
          <w:marLeft w:val="720"/>
          <w:marRight w:val="0"/>
          <w:marTop w:val="0"/>
          <w:marBottom w:val="101"/>
          <w:divBdr>
            <w:top w:val="none" w:sz="0" w:space="0" w:color="auto"/>
            <w:left w:val="none" w:sz="0" w:space="0" w:color="auto"/>
            <w:bottom w:val="none" w:sz="0" w:space="0" w:color="auto"/>
            <w:right w:val="none" w:sz="0" w:space="0" w:color="auto"/>
          </w:divBdr>
        </w:div>
        <w:div w:id="2076925542">
          <w:marLeft w:val="720"/>
          <w:marRight w:val="0"/>
          <w:marTop w:val="0"/>
          <w:marBottom w:val="101"/>
          <w:divBdr>
            <w:top w:val="none" w:sz="0" w:space="0" w:color="auto"/>
            <w:left w:val="none" w:sz="0" w:space="0" w:color="auto"/>
            <w:bottom w:val="none" w:sz="0" w:space="0" w:color="auto"/>
            <w:right w:val="none" w:sz="0" w:space="0" w:color="auto"/>
          </w:divBdr>
        </w:div>
        <w:div w:id="13849356">
          <w:marLeft w:val="720"/>
          <w:marRight w:val="0"/>
          <w:marTop w:val="0"/>
          <w:marBottom w:val="101"/>
          <w:divBdr>
            <w:top w:val="none" w:sz="0" w:space="0" w:color="auto"/>
            <w:left w:val="none" w:sz="0" w:space="0" w:color="auto"/>
            <w:bottom w:val="none" w:sz="0" w:space="0" w:color="auto"/>
            <w:right w:val="none" w:sz="0" w:space="0" w:color="auto"/>
          </w:divBdr>
        </w:div>
        <w:div w:id="201523380">
          <w:marLeft w:val="720"/>
          <w:marRight w:val="0"/>
          <w:marTop w:val="0"/>
          <w:marBottom w:val="101"/>
          <w:divBdr>
            <w:top w:val="none" w:sz="0" w:space="0" w:color="auto"/>
            <w:left w:val="none" w:sz="0" w:space="0" w:color="auto"/>
            <w:bottom w:val="none" w:sz="0" w:space="0" w:color="auto"/>
            <w:right w:val="none" w:sz="0" w:space="0" w:color="auto"/>
          </w:divBdr>
        </w:div>
        <w:div w:id="120077323">
          <w:marLeft w:val="720"/>
          <w:marRight w:val="0"/>
          <w:marTop w:val="0"/>
          <w:marBottom w:val="101"/>
          <w:divBdr>
            <w:top w:val="none" w:sz="0" w:space="0" w:color="auto"/>
            <w:left w:val="none" w:sz="0" w:space="0" w:color="auto"/>
            <w:bottom w:val="none" w:sz="0" w:space="0" w:color="auto"/>
            <w:right w:val="none" w:sz="0" w:space="0" w:color="auto"/>
          </w:divBdr>
        </w:div>
        <w:div w:id="246158481">
          <w:marLeft w:val="720"/>
          <w:marRight w:val="0"/>
          <w:marTop w:val="0"/>
          <w:marBottom w:val="101"/>
          <w:divBdr>
            <w:top w:val="none" w:sz="0" w:space="0" w:color="auto"/>
            <w:left w:val="none" w:sz="0" w:space="0" w:color="auto"/>
            <w:bottom w:val="none" w:sz="0" w:space="0" w:color="auto"/>
            <w:right w:val="none" w:sz="0" w:space="0" w:color="auto"/>
          </w:divBdr>
        </w:div>
        <w:div w:id="257906749">
          <w:marLeft w:val="720"/>
          <w:marRight w:val="0"/>
          <w:marTop w:val="0"/>
          <w:marBottom w:val="101"/>
          <w:divBdr>
            <w:top w:val="none" w:sz="0" w:space="0" w:color="auto"/>
            <w:left w:val="none" w:sz="0" w:space="0" w:color="auto"/>
            <w:bottom w:val="none" w:sz="0" w:space="0" w:color="auto"/>
            <w:right w:val="none" w:sz="0" w:space="0" w:color="auto"/>
          </w:divBdr>
        </w:div>
        <w:div w:id="1319504355">
          <w:marLeft w:val="720"/>
          <w:marRight w:val="0"/>
          <w:marTop w:val="0"/>
          <w:marBottom w:val="101"/>
          <w:divBdr>
            <w:top w:val="none" w:sz="0" w:space="0" w:color="auto"/>
            <w:left w:val="none" w:sz="0" w:space="0" w:color="auto"/>
            <w:bottom w:val="none" w:sz="0" w:space="0" w:color="auto"/>
            <w:right w:val="none" w:sz="0" w:space="0" w:color="auto"/>
          </w:divBdr>
        </w:div>
        <w:div w:id="1588230650">
          <w:marLeft w:val="720"/>
          <w:marRight w:val="0"/>
          <w:marTop w:val="0"/>
          <w:marBottom w:val="101"/>
          <w:divBdr>
            <w:top w:val="none" w:sz="0" w:space="0" w:color="auto"/>
            <w:left w:val="none" w:sz="0" w:space="0" w:color="auto"/>
            <w:bottom w:val="none" w:sz="0" w:space="0" w:color="auto"/>
            <w:right w:val="none" w:sz="0" w:space="0" w:color="auto"/>
          </w:divBdr>
        </w:div>
      </w:divsChild>
    </w:div>
    <w:div w:id="646015523">
      <w:bodyDiv w:val="1"/>
      <w:marLeft w:val="0"/>
      <w:marRight w:val="0"/>
      <w:marTop w:val="0"/>
      <w:marBottom w:val="0"/>
      <w:divBdr>
        <w:top w:val="none" w:sz="0" w:space="0" w:color="auto"/>
        <w:left w:val="none" w:sz="0" w:space="0" w:color="auto"/>
        <w:bottom w:val="none" w:sz="0" w:space="0" w:color="auto"/>
        <w:right w:val="none" w:sz="0" w:space="0" w:color="auto"/>
      </w:divBdr>
    </w:div>
    <w:div w:id="798958765">
      <w:bodyDiv w:val="1"/>
      <w:marLeft w:val="0"/>
      <w:marRight w:val="0"/>
      <w:marTop w:val="0"/>
      <w:marBottom w:val="0"/>
      <w:divBdr>
        <w:top w:val="none" w:sz="0" w:space="0" w:color="auto"/>
        <w:left w:val="none" w:sz="0" w:space="0" w:color="auto"/>
        <w:bottom w:val="none" w:sz="0" w:space="0" w:color="auto"/>
        <w:right w:val="none" w:sz="0" w:space="0" w:color="auto"/>
      </w:divBdr>
      <w:divsChild>
        <w:div w:id="1068459084">
          <w:marLeft w:val="0"/>
          <w:marRight w:val="0"/>
          <w:marTop w:val="0"/>
          <w:marBottom w:val="101"/>
          <w:divBdr>
            <w:top w:val="none" w:sz="0" w:space="0" w:color="auto"/>
            <w:left w:val="none" w:sz="0" w:space="0" w:color="auto"/>
            <w:bottom w:val="none" w:sz="0" w:space="0" w:color="auto"/>
            <w:right w:val="none" w:sz="0" w:space="0" w:color="auto"/>
          </w:divBdr>
        </w:div>
        <w:div w:id="1344362075">
          <w:marLeft w:val="0"/>
          <w:marRight w:val="0"/>
          <w:marTop w:val="0"/>
          <w:marBottom w:val="101"/>
          <w:divBdr>
            <w:top w:val="none" w:sz="0" w:space="0" w:color="auto"/>
            <w:left w:val="none" w:sz="0" w:space="0" w:color="auto"/>
            <w:bottom w:val="none" w:sz="0" w:space="0" w:color="auto"/>
            <w:right w:val="none" w:sz="0" w:space="0" w:color="auto"/>
          </w:divBdr>
        </w:div>
        <w:div w:id="162625658">
          <w:marLeft w:val="648"/>
          <w:marRight w:val="0"/>
          <w:marTop w:val="0"/>
          <w:marBottom w:val="101"/>
          <w:divBdr>
            <w:top w:val="none" w:sz="0" w:space="0" w:color="auto"/>
            <w:left w:val="none" w:sz="0" w:space="0" w:color="auto"/>
            <w:bottom w:val="none" w:sz="0" w:space="0" w:color="auto"/>
            <w:right w:val="none" w:sz="0" w:space="0" w:color="auto"/>
          </w:divBdr>
        </w:div>
        <w:div w:id="10302874">
          <w:marLeft w:val="648"/>
          <w:marRight w:val="0"/>
          <w:marTop w:val="0"/>
          <w:marBottom w:val="101"/>
          <w:divBdr>
            <w:top w:val="none" w:sz="0" w:space="0" w:color="auto"/>
            <w:left w:val="none" w:sz="0" w:space="0" w:color="auto"/>
            <w:bottom w:val="none" w:sz="0" w:space="0" w:color="auto"/>
            <w:right w:val="none" w:sz="0" w:space="0" w:color="auto"/>
          </w:divBdr>
        </w:div>
        <w:div w:id="1765762173">
          <w:marLeft w:val="648"/>
          <w:marRight w:val="0"/>
          <w:marTop w:val="0"/>
          <w:marBottom w:val="101"/>
          <w:divBdr>
            <w:top w:val="none" w:sz="0" w:space="0" w:color="auto"/>
            <w:left w:val="none" w:sz="0" w:space="0" w:color="auto"/>
            <w:bottom w:val="none" w:sz="0" w:space="0" w:color="auto"/>
            <w:right w:val="none" w:sz="0" w:space="0" w:color="auto"/>
          </w:divBdr>
        </w:div>
        <w:div w:id="701591787">
          <w:marLeft w:val="648"/>
          <w:marRight w:val="0"/>
          <w:marTop w:val="0"/>
          <w:marBottom w:val="101"/>
          <w:divBdr>
            <w:top w:val="none" w:sz="0" w:space="0" w:color="auto"/>
            <w:left w:val="none" w:sz="0" w:space="0" w:color="auto"/>
            <w:bottom w:val="none" w:sz="0" w:space="0" w:color="auto"/>
            <w:right w:val="none" w:sz="0" w:space="0" w:color="auto"/>
          </w:divBdr>
        </w:div>
        <w:div w:id="207956544">
          <w:marLeft w:val="648"/>
          <w:marRight w:val="0"/>
          <w:marTop w:val="0"/>
          <w:marBottom w:val="101"/>
          <w:divBdr>
            <w:top w:val="none" w:sz="0" w:space="0" w:color="auto"/>
            <w:left w:val="none" w:sz="0" w:space="0" w:color="auto"/>
            <w:bottom w:val="none" w:sz="0" w:space="0" w:color="auto"/>
            <w:right w:val="none" w:sz="0" w:space="0" w:color="auto"/>
          </w:divBdr>
        </w:div>
        <w:div w:id="1567911883">
          <w:marLeft w:val="648"/>
          <w:marRight w:val="0"/>
          <w:marTop w:val="0"/>
          <w:marBottom w:val="101"/>
          <w:divBdr>
            <w:top w:val="none" w:sz="0" w:space="0" w:color="auto"/>
            <w:left w:val="none" w:sz="0" w:space="0" w:color="auto"/>
            <w:bottom w:val="none" w:sz="0" w:space="0" w:color="auto"/>
            <w:right w:val="none" w:sz="0" w:space="0" w:color="auto"/>
          </w:divBdr>
        </w:div>
        <w:div w:id="1643390930">
          <w:marLeft w:val="648"/>
          <w:marRight w:val="0"/>
          <w:marTop w:val="0"/>
          <w:marBottom w:val="101"/>
          <w:divBdr>
            <w:top w:val="none" w:sz="0" w:space="0" w:color="auto"/>
            <w:left w:val="none" w:sz="0" w:space="0" w:color="auto"/>
            <w:bottom w:val="none" w:sz="0" w:space="0" w:color="auto"/>
            <w:right w:val="none" w:sz="0" w:space="0" w:color="auto"/>
          </w:divBdr>
        </w:div>
        <w:div w:id="897477600">
          <w:marLeft w:val="648"/>
          <w:marRight w:val="0"/>
          <w:marTop w:val="0"/>
          <w:marBottom w:val="101"/>
          <w:divBdr>
            <w:top w:val="none" w:sz="0" w:space="0" w:color="auto"/>
            <w:left w:val="none" w:sz="0" w:space="0" w:color="auto"/>
            <w:bottom w:val="none" w:sz="0" w:space="0" w:color="auto"/>
            <w:right w:val="none" w:sz="0" w:space="0" w:color="auto"/>
          </w:divBdr>
        </w:div>
        <w:div w:id="542639220">
          <w:marLeft w:val="648"/>
          <w:marRight w:val="0"/>
          <w:marTop w:val="0"/>
          <w:marBottom w:val="101"/>
          <w:divBdr>
            <w:top w:val="none" w:sz="0" w:space="0" w:color="auto"/>
            <w:left w:val="none" w:sz="0" w:space="0" w:color="auto"/>
            <w:bottom w:val="none" w:sz="0" w:space="0" w:color="auto"/>
            <w:right w:val="none" w:sz="0" w:space="0" w:color="auto"/>
          </w:divBdr>
        </w:div>
        <w:div w:id="1344740330">
          <w:marLeft w:val="648"/>
          <w:marRight w:val="0"/>
          <w:marTop w:val="0"/>
          <w:marBottom w:val="101"/>
          <w:divBdr>
            <w:top w:val="none" w:sz="0" w:space="0" w:color="auto"/>
            <w:left w:val="none" w:sz="0" w:space="0" w:color="auto"/>
            <w:bottom w:val="none" w:sz="0" w:space="0" w:color="auto"/>
            <w:right w:val="none" w:sz="0" w:space="0" w:color="auto"/>
          </w:divBdr>
        </w:div>
        <w:div w:id="2125735293">
          <w:marLeft w:val="648"/>
          <w:marRight w:val="0"/>
          <w:marTop w:val="0"/>
          <w:marBottom w:val="101"/>
          <w:divBdr>
            <w:top w:val="none" w:sz="0" w:space="0" w:color="auto"/>
            <w:left w:val="none" w:sz="0" w:space="0" w:color="auto"/>
            <w:bottom w:val="none" w:sz="0" w:space="0" w:color="auto"/>
            <w:right w:val="none" w:sz="0" w:space="0" w:color="auto"/>
          </w:divBdr>
        </w:div>
        <w:div w:id="1043022094">
          <w:marLeft w:val="648"/>
          <w:marRight w:val="0"/>
          <w:marTop w:val="0"/>
          <w:marBottom w:val="101"/>
          <w:divBdr>
            <w:top w:val="none" w:sz="0" w:space="0" w:color="auto"/>
            <w:left w:val="none" w:sz="0" w:space="0" w:color="auto"/>
            <w:bottom w:val="none" w:sz="0" w:space="0" w:color="auto"/>
            <w:right w:val="none" w:sz="0" w:space="0" w:color="auto"/>
          </w:divBdr>
        </w:div>
        <w:div w:id="1469932186">
          <w:marLeft w:val="648"/>
          <w:marRight w:val="0"/>
          <w:marTop w:val="0"/>
          <w:marBottom w:val="101"/>
          <w:divBdr>
            <w:top w:val="none" w:sz="0" w:space="0" w:color="auto"/>
            <w:left w:val="none" w:sz="0" w:space="0" w:color="auto"/>
            <w:bottom w:val="none" w:sz="0" w:space="0" w:color="auto"/>
            <w:right w:val="none" w:sz="0" w:space="0" w:color="auto"/>
          </w:divBdr>
        </w:div>
        <w:div w:id="1530143576">
          <w:marLeft w:val="648"/>
          <w:marRight w:val="0"/>
          <w:marTop w:val="0"/>
          <w:marBottom w:val="101"/>
          <w:divBdr>
            <w:top w:val="none" w:sz="0" w:space="0" w:color="auto"/>
            <w:left w:val="none" w:sz="0" w:space="0" w:color="auto"/>
            <w:bottom w:val="none" w:sz="0" w:space="0" w:color="auto"/>
            <w:right w:val="none" w:sz="0" w:space="0" w:color="auto"/>
          </w:divBdr>
        </w:div>
        <w:div w:id="1963151692">
          <w:marLeft w:val="648"/>
          <w:marRight w:val="0"/>
          <w:marTop w:val="0"/>
          <w:marBottom w:val="101"/>
          <w:divBdr>
            <w:top w:val="none" w:sz="0" w:space="0" w:color="auto"/>
            <w:left w:val="none" w:sz="0" w:space="0" w:color="auto"/>
            <w:bottom w:val="none" w:sz="0" w:space="0" w:color="auto"/>
            <w:right w:val="none" w:sz="0" w:space="0" w:color="auto"/>
          </w:divBdr>
        </w:div>
        <w:div w:id="1774519197">
          <w:marLeft w:val="648"/>
          <w:marRight w:val="0"/>
          <w:marTop w:val="0"/>
          <w:marBottom w:val="101"/>
          <w:divBdr>
            <w:top w:val="none" w:sz="0" w:space="0" w:color="auto"/>
            <w:left w:val="none" w:sz="0" w:space="0" w:color="auto"/>
            <w:bottom w:val="none" w:sz="0" w:space="0" w:color="auto"/>
            <w:right w:val="none" w:sz="0" w:space="0" w:color="auto"/>
          </w:divBdr>
        </w:div>
        <w:div w:id="768086554">
          <w:marLeft w:val="648"/>
          <w:marRight w:val="0"/>
          <w:marTop w:val="0"/>
          <w:marBottom w:val="101"/>
          <w:divBdr>
            <w:top w:val="none" w:sz="0" w:space="0" w:color="auto"/>
            <w:left w:val="none" w:sz="0" w:space="0" w:color="auto"/>
            <w:bottom w:val="none" w:sz="0" w:space="0" w:color="auto"/>
            <w:right w:val="none" w:sz="0" w:space="0" w:color="auto"/>
          </w:divBdr>
        </w:div>
        <w:div w:id="1815751299">
          <w:marLeft w:val="648"/>
          <w:marRight w:val="0"/>
          <w:marTop w:val="0"/>
          <w:marBottom w:val="101"/>
          <w:divBdr>
            <w:top w:val="none" w:sz="0" w:space="0" w:color="auto"/>
            <w:left w:val="none" w:sz="0" w:space="0" w:color="auto"/>
            <w:bottom w:val="none" w:sz="0" w:space="0" w:color="auto"/>
            <w:right w:val="none" w:sz="0" w:space="0" w:color="auto"/>
          </w:divBdr>
        </w:div>
        <w:div w:id="1998000609">
          <w:marLeft w:val="648"/>
          <w:marRight w:val="0"/>
          <w:marTop w:val="0"/>
          <w:marBottom w:val="101"/>
          <w:divBdr>
            <w:top w:val="none" w:sz="0" w:space="0" w:color="auto"/>
            <w:left w:val="none" w:sz="0" w:space="0" w:color="auto"/>
            <w:bottom w:val="none" w:sz="0" w:space="0" w:color="auto"/>
            <w:right w:val="none" w:sz="0" w:space="0" w:color="auto"/>
          </w:divBdr>
        </w:div>
        <w:div w:id="1600942509">
          <w:marLeft w:val="648"/>
          <w:marRight w:val="0"/>
          <w:marTop w:val="0"/>
          <w:marBottom w:val="101"/>
          <w:divBdr>
            <w:top w:val="none" w:sz="0" w:space="0" w:color="auto"/>
            <w:left w:val="none" w:sz="0" w:space="0" w:color="auto"/>
            <w:bottom w:val="none" w:sz="0" w:space="0" w:color="auto"/>
            <w:right w:val="none" w:sz="0" w:space="0" w:color="auto"/>
          </w:divBdr>
        </w:div>
        <w:div w:id="719209304">
          <w:marLeft w:val="648"/>
          <w:marRight w:val="0"/>
          <w:marTop w:val="0"/>
          <w:marBottom w:val="101"/>
          <w:divBdr>
            <w:top w:val="none" w:sz="0" w:space="0" w:color="auto"/>
            <w:left w:val="none" w:sz="0" w:space="0" w:color="auto"/>
            <w:bottom w:val="none" w:sz="0" w:space="0" w:color="auto"/>
            <w:right w:val="none" w:sz="0" w:space="0" w:color="auto"/>
          </w:divBdr>
        </w:div>
        <w:div w:id="475344623">
          <w:marLeft w:val="648"/>
          <w:marRight w:val="0"/>
          <w:marTop w:val="0"/>
          <w:marBottom w:val="101"/>
          <w:divBdr>
            <w:top w:val="none" w:sz="0" w:space="0" w:color="auto"/>
            <w:left w:val="none" w:sz="0" w:space="0" w:color="auto"/>
            <w:bottom w:val="none" w:sz="0" w:space="0" w:color="auto"/>
            <w:right w:val="none" w:sz="0" w:space="0" w:color="auto"/>
          </w:divBdr>
        </w:div>
        <w:div w:id="312373704">
          <w:marLeft w:val="648"/>
          <w:marRight w:val="0"/>
          <w:marTop w:val="0"/>
          <w:marBottom w:val="101"/>
          <w:divBdr>
            <w:top w:val="none" w:sz="0" w:space="0" w:color="auto"/>
            <w:left w:val="none" w:sz="0" w:space="0" w:color="auto"/>
            <w:bottom w:val="none" w:sz="0" w:space="0" w:color="auto"/>
            <w:right w:val="none" w:sz="0" w:space="0" w:color="auto"/>
          </w:divBdr>
        </w:div>
        <w:div w:id="912859746">
          <w:marLeft w:val="648"/>
          <w:marRight w:val="0"/>
          <w:marTop w:val="0"/>
          <w:marBottom w:val="101"/>
          <w:divBdr>
            <w:top w:val="none" w:sz="0" w:space="0" w:color="auto"/>
            <w:left w:val="none" w:sz="0" w:space="0" w:color="auto"/>
            <w:bottom w:val="none" w:sz="0" w:space="0" w:color="auto"/>
            <w:right w:val="none" w:sz="0" w:space="0" w:color="auto"/>
          </w:divBdr>
        </w:div>
        <w:div w:id="180440614">
          <w:marLeft w:val="648"/>
          <w:marRight w:val="0"/>
          <w:marTop w:val="0"/>
          <w:marBottom w:val="101"/>
          <w:divBdr>
            <w:top w:val="none" w:sz="0" w:space="0" w:color="auto"/>
            <w:left w:val="none" w:sz="0" w:space="0" w:color="auto"/>
            <w:bottom w:val="none" w:sz="0" w:space="0" w:color="auto"/>
            <w:right w:val="none" w:sz="0" w:space="0" w:color="auto"/>
          </w:divBdr>
        </w:div>
        <w:div w:id="856885930">
          <w:marLeft w:val="648"/>
          <w:marRight w:val="0"/>
          <w:marTop w:val="0"/>
          <w:marBottom w:val="101"/>
          <w:divBdr>
            <w:top w:val="none" w:sz="0" w:space="0" w:color="auto"/>
            <w:left w:val="none" w:sz="0" w:space="0" w:color="auto"/>
            <w:bottom w:val="none" w:sz="0" w:space="0" w:color="auto"/>
            <w:right w:val="none" w:sz="0" w:space="0" w:color="auto"/>
          </w:divBdr>
        </w:div>
        <w:div w:id="564606509">
          <w:marLeft w:val="648"/>
          <w:marRight w:val="0"/>
          <w:marTop w:val="0"/>
          <w:marBottom w:val="101"/>
          <w:divBdr>
            <w:top w:val="none" w:sz="0" w:space="0" w:color="auto"/>
            <w:left w:val="none" w:sz="0" w:space="0" w:color="auto"/>
            <w:bottom w:val="none" w:sz="0" w:space="0" w:color="auto"/>
            <w:right w:val="none" w:sz="0" w:space="0" w:color="auto"/>
          </w:divBdr>
        </w:div>
        <w:div w:id="2114548330">
          <w:marLeft w:val="648"/>
          <w:marRight w:val="0"/>
          <w:marTop w:val="0"/>
          <w:marBottom w:val="101"/>
          <w:divBdr>
            <w:top w:val="none" w:sz="0" w:space="0" w:color="auto"/>
            <w:left w:val="none" w:sz="0" w:space="0" w:color="auto"/>
            <w:bottom w:val="none" w:sz="0" w:space="0" w:color="auto"/>
            <w:right w:val="none" w:sz="0" w:space="0" w:color="auto"/>
          </w:divBdr>
        </w:div>
        <w:div w:id="1736194738">
          <w:marLeft w:val="648"/>
          <w:marRight w:val="0"/>
          <w:marTop w:val="0"/>
          <w:marBottom w:val="101"/>
          <w:divBdr>
            <w:top w:val="none" w:sz="0" w:space="0" w:color="auto"/>
            <w:left w:val="none" w:sz="0" w:space="0" w:color="auto"/>
            <w:bottom w:val="none" w:sz="0" w:space="0" w:color="auto"/>
            <w:right w:val="none" w:sz="0" w:space="0" w:color="auto"/>
          </w:divBdr>
        </w:div>
        <w:div w:id="1495729187">
          <w:marLeft w:val="648"/>
          <w:marRight w:val="0"/>
          <w:marTop w:val="0"/>
          <w:marBottom w:val="101"/>
          <w:divBdr>
            <w:top w:val="none" w:sz="0" w:space="0" w:color="auto"/>
            <w:left w:val="none" w:sz="0" w:space="0" w:color="auto"/>
            <w:bottom w:val="none" w:sz="0" w:space="0" w:color="auto"/>
            <w:right w:val="none" w:sz="0" w:space="0" w:color="auto"/>
          </w:divBdr>
        </w:div>
        <w:div w:id="1037924071">
          <w:marLeft w:val="648"/>
          <w:marRight w:val="0"/>
          <w:marTop w:val="0"/>
          <w:marBottom w:val="101"/>
          <w:divBdr>
            <w:top w:val="none" w:sz="0" w:space="0" w:color="auto"/>
            <w:left w:val="none" w:sz="0" w:space="0" w:color="auto"/>
            <w:bottom w:val="none" w:sz="0" w:space="0" w:color="auto"/>
            <w:right w:val="none" w:sz="0" w:space="0" w:color="auto"/>
          </w:divBdr>
        </w:div>
        <w:div w:id="442892298">
          <w:marLeft w:val="648"/>
          <w:marRight w:val="0"/>
          <w:marTop w:val="0"/>
          <w:marBottom w:val="101"/>
          <w:divBdr>
            <w:top w:val="none" w:sz="0" w:space="0" w:color="auto"/>
            <w:left w:val="none" w:sz="0" w:space="0" w:color="auto"/>
            <w:bottom w:val="none" w:sz="0" w:space="0" w:color="auto"/>
            <w:right w:val="none" w:sz="0" w:space="0" w:color="auto"/>
          </w:divBdr>
        </w:div>
        <w:div w:id="401295210">
          <w:marLeft w:val="648"/>
          <w:marRight w:val="0"/>
          <w:marTop w:val="0"/>
          <w:marBottom w:val="101"/>
          <w:divBdr>
            <w:top w:val="none" w:sz="0" w:space="0" w:color="auto"/>
            <w:left w:val="none" w:sz="0" w:space="0" w:color="auto"/>
            <w:bottom w:val="none" w:sz="0" w:space="0" w:color="auto"/>
            <w:right w:val="none" w:sz="0" w:space="0" w:color="auto"/>
          </w:divBdr>
        </w:div>
        <w:div w:id="942612451">
          <w:marLeft w:val="648"/>
          <w:marRight w:val="0"/>
          <w:marTop w:val="0"/>
          <w:marBottom w:val="101"/>
          <w:divBdr>
            <w:top w:val="none" w:sz="0" w:space="0" w:color="auto"/>
            <w:left w:val="none" w:sz="0" w:space="0" w:color="auto"/>
            <w:bottom w:val="none" w:sz="0" w:space="0" w:color="auto"/>
            <w:right w:val="none" w:sz="0" w:space="0" w:color="auto"/>
          </w:divBdr>
        </w:div>
        <w:div w:id="1208688333">
          <w:marLeft w:val="648"/>
          <w:marRight w:val="0"/>
          <w:marTop w:val="0"/>
          <w:marBottom w:val="101"/>
          <w:divBdr>
            <w:top w:val="none" w:sz="0" w:space="0" w:color="auto"/>
            <w:left w:val="none" w:sz="0" w:space="0" w:color="auto"/>
            <w:bottom w:val="none" w:sz="0" w:space="0" w:color="auto"/>
            <w:right w:val="none" w:sz="0" w:space="0" w:color="auto"/>
          </w:divBdr>
        </w:div>
        <w:div w:id="813641447">
          <w:marLeft w:val="648"/>
          <w:marRight w:val="0"/>
          <w:marTop w:val="0"/>
          <w:marBottom w:val="101"/>
          <w:divBdr>
            <w:top w:val="none" w:sz="0" w:space="0" w:color="auto"/>
            <w:left w:val="none" w:sz="0" w:space="0" w:color="auto"/>
            <w:bottom w:val="none" w:sz="0" w:space="0" w:color="auto"/>
            <w:right w:val="none" w:sz="0" w:space="0" w:color="auto"/>
          </w:divBdr>
        </w:div>
        <w:div w:id="1469862956">
          <w:marLeft w:val="648"/>
          <w:marRight w:val="0"/>
          <w:marTop w:val="0"/>
          <w:marBottom w:val="101"/>
          <w:divBdr>
            <w:top w:val="none" w:sz="0" w:space="0" w:color="auto"/>
            <w:left w:val="none" w:sz="0" w:space="0" w:color="auto"/>
            <w:bottom w:val="none" w:sz="0" w:space="0" w:color="auto"/>
            <w:right w:val="none" w:sz="0" w:space="0" w:color="auto"/>
          </w:divBdr>
        </w:div>
        <w:div w:id="1116486049">
          <w:marLeft w:val="648"/>
          <w:marRight w:val="0"/>
          <w:marTop w:val="0"/>
          <w:marBottom w:val="101"/>
          <w:divBdr>
            <w:top w:val="none" w:sz="0" w:space="0" w:color="auto"/>
            <w:left w:val="none" w:sz="0" w:space="0" w:color="auto"/>
            <w:bottom w:val="none" w:sz="0" w:space="0" w:color="auto"/>
            <w:right w:val="none" w:sz="0" w:space="0" w:color="auto"/>
          </w:divBdr>
        </w:div>
        <w:div w:id="1873688276">
          <w:marLeft w:val="648"/>
          <w:marRight w:val="0"/>
          <w:marTop w:val="0"/>
          <w:marBottom w:val="101"/>
          <w:divBdr>
            <w:top w:val="none" w:sz="0" w:space="0" w:color="auto"/>
            <w:left w:val="none" w:sz="0" w:space="0" w:color="auto"/>
            <w:bottom w:val="none" w:sz="0" w:space="0" w:color="auto"/>
            <w:right w:val="none" w:sz="0" w:space="0" w:color="auto"/>
          </w:divBdr>
        </w:div>
        <w:div w:id="239022769">
          <w:marLeft w:val="648"/>
          <w:marRight w:val="0"/>
          <w:marTop w:val="0"/>
          <w:marBottom w:val="101"/>
          <w:divBdr>
            <w:top w:val="none" w:sz="0" w:space="0" w:color="auto"/>
            <w:left w:val="none" w:sz="0" w:space="0" w:color="auto"/>
            <w:bottom w:val="none" w:sz="0" w:space="0" w:color="auto"/>
            <w:right w:val="none" w:sz="0" w:space="0" w:color="auto"/>
          </w:divBdr>
        </w:div>
        <w:div w:id="1126774300">
          <w:marLeft w:val="648"/>
          <w:marRight w:val="0"/>
          <w:marTop w:val="0"/>
          <w:marBottom w:val="101"/>
          <w:divBdr>
            <w:top w:val="none" w:sz="0" w:space="0" w:color="auto"/>
            <w:left w:val="none" w:sz="0" w:space="0" w:color="auto"/>
            <w:bottom w:val="none" w:sz="0" w:space="0" w:color="auto"/>
            <w:right w:val="none" w:sz="0" w:space="0" w:color="auto"/>
          </w:divBdr>
        </w:div>
        <w:div w:id="2038847657">
          <w:marLeft w:val="648"/>
          <w:marRight w:val="0"/>
          <w:marTop w:val="0"/>
          <w:marBottom w:val="101"/>
          <w:divBdr>
            <w:top w:val="none" w:sz="0" w:space="0" w:color="auto"/>
            <w:left w:val="none" w:sz="0" w:space="0" w:color="auto"/>
            <w:bottom w:val="none" w:sz="0" w:space="0" w:color="auto"/>
            <w:right w:val="none" w:sz="0" w:space="0" w:color="auto"/>
          </w:divBdr>
        </w:div>
        <w:div w:id="1659266756">
          <w:marLeft w:val="648"/>
          <w:marRight w:val="0"/>
          <w:marTop w:val="0"/>
          <w:marBottom w:val="101"/>
          <w:divBdr>
            <w:top w:val="none" w:sz="0" w:space="0" w:color="auto"/>
            <w:left w:val="none" w:sz="0" w:space="0" w:color="auto"/>
            <w:bottom w:val="none" w:sz="0" w:space="0" w:color="auto"/>
            <w:right w:val="none" w:sz="0" w:space="0" w:color="auto"/>
          </w:divBdr>
        </w:div>
        <w:div w:id="267124949">
          <w:marLeft w:val="648"/>
          <w:marRight w:val="0"/>
          <w:marTop w:val="0"/>
          <w:marBottom w:val="101"/>
          <w:divBdr>
            <w:top w:val="none" w:sz="0" w:space="0" w:color="auto"/>
            <w:left w:val="none" w:sz="0" w:space="0" w:color="auto"/>
            <w:bottom w:val="none" w:sz="0" w:space="0" w:color="auto"/>
            <w:right w:val="none" w:sz="0" w:space="0" w:color="auto"/>
          </w:divBdr>
        </w:div>
        <w:div w:id="1796561752">
          <w:marLeft w:val="648"/>
          <w:marRight w:val="0"/>
          <w:marTop w:val="0"/>
          <w:marBottom w:val="101"/>
          <w:divBdr>
            <w:top w:val="none" w:sz="0" w:space="0" w:color="auto"/>
            <w:left w:val="none" w:sz="0" w:space="0" w:color="auto"/>
            <w:bottom w:val="none" w:sz="0" w:space="0" w:color="auto"/>
            <w:right w:val="none" w:sz="0" w:space="0" w:color="auto"/>
          </w:divBdr>
        </w:div>
        <w:div w:id="1588542624">
          <w:marLeft w:val="648"/>
          <w:marRight w:val="0"/>
          <w:marTop w:val="0"/>
          <w:marBottom w:val="101"/>
          <w:divBdr>
            <w:top w:val="none" w:sz="0" w:space="0" w:color="auto"/>
            <w:left w:val="none" w:sz="0" w:space="0" w:color="auto"/>
            <w:bottom w:val="none" w:sz="0" w:space="0" w:color="auto"/>
            <w:right w:val="none" w:sz="0" w:space="0" w:color="auto"/>
          </w:divBdr>
        </w:div>
        <w:div w:id="1504856350">
          <w:marLeft w:val="648"/>
          <w:marRight w:val="0"/>
          <w:marTop w:val="0"/>
          <w:marBottom w:val="101"/>
          <w:divBdr>
            <w:top w:val="none" w:sz="0" w:space="0" w:color="auto"/>
            <w:left w:val="none" w:sz="0" w:space="0" w:color="auto"/>
            <w:bottom w:val="none" w:sz="0" w:space="0" w:color="auto"/>
            <w:right w:val="none" w:sz="0" w:space="0" w:color="auto"/>
          </w:divBdr>
        </w:div>
        <w:div w:id="291592533">
          <w:marLeft w:val="648"/>
          <w:marRight w:val="0"/>
          <w:marTop w:val="0"/>
          <w:marBottom w:val="101"/>
          <w:divBdr>
            <w:top w:val="none" w:sz="0" w:space="0" w:color="auto"/>
            <w:left w:val="none" w:sz="0" w:space="0" w:color="auto"/>
            <w:bottom w:val="none" w:sz="0" w:space="0" w:color="auto"/>
            <w:right w:val="none" w:sz="0" w:space="0" w:color="auto"/>
          </w:divBdr>
        </w:div>
        <w:div w:id="662859180">
          <w:marLeft w:val="648"/>
          <w:marRight w:val="0"/>
          <w:marTop w:val="0"/>
          <w:marBottom w:val="101"/>
          <w:divBdr>
            <w:top w:val="none" w:sz="0" w:space="0" w:color="auto"/>
            <w:left w:val="none" w:sz="0" w:space="0" w:color="auto"/>
            <w:bottom w:val="none" w:sz="0" w:space="0" w:color="auto"/>
            <w:right w:val="none" w:sz="0" w:space="0" w:color="auto"/>
          </w:divBdr>
        </w:div>
        <w:div w:id="260336971">
          <w:marLeft w:val="648"/>
          <w:marRight w:val="0"/>
          <w:marTop w:val="0"/>
          <w:marBottom w:val="101"/>
          <w:divBdr>
            <w:top w:val="none" w:sz="0" w:space="0" w:color="auto"/>
            <w:left w:val="none" w:sz="0" w:space="0" w:color="auto"/>
            <w:bottom w:val="none" w:sz="0" w:space="0" w:color="auto"/>
            <w:right w:val="none" w:sz="0" w:space="0" w:color="auto"/>
          </w:divBdr>
        </w:div>
        <w:div w:id="2058118571">
          <w:marLeft w:val="648"/>
          <w:marRight w:val="0"/>
          <w:marTop w:val="0"/>
          <w:marBottom w:val="101"/>
          <w:divBdr>
            <w:top w:val="none" w:sz="0" w:space="0" w:color="auto"/>
            <w:left w:val="none" w:sz="0" w:space="0" w:color="auto"/>
            <w:bottom w:val="none" w:sz="0" w:space="0" w:color="auto"/>
            <w:right w:val="none" w:sz="0" w:space="0" w:color="auto"/>
          </w:divBdr>
        </w:div>
        <w:div w:id="1875381785">
          <w:marLeft w:val="648"/>
          <w:marRight w:val="0"/>
          <w:marTop w:val="0"/>
          <w:marBottom w:val="101"/>
          <w:divBdr>
            <w:top w:val="none" w:sz="0" w:space="0" w:color="auto"/>
            <w:left w:val="none" w:sz="0" w:space="0" w:color="auto"/>
            <w:bottom w:val="none" w:sz="0" w:space="0" w:color="auto"/>
            <w:right w:val="none" w:sz="0" w:space="0" w:color="auto"/>
          </w:divBdr>
        </w:div>
        <w:div w:id="1572933282">
          <w:marLeft w:val="648"/>
          <w:marRight w:val="0"/>
          <w:marTop w:val="0"/>
          <w:marBottom w:val="101"/>
          <w:divBdr>
            <w:top w:val="none" w:sz="0" w:space="0" w:color="auto"/>
            <w:left w:val="none" w:sz="0" w:space="0" w:color="auto"/>
            <w:bottom w:val="none" w:sz="0" w:space="0" w:color="auto"/>
            <w:right w:val="none" w:sz="0" w:space="0" w:color="auto"/>
          </w:divBdr>
        </w:div>
        <w:div w:id="1760760352">
          <w:marLeft w:val="648"/>
          <w:marRight w:val="0"/>
          <w:marTop w:val="0"/>
          <w:marBottom w:val="101"/>
          <w:divBdr>
            <w:top w:val="none" w:sz="0" w:space="0" w:color="auto"/>
            <w:left w:val="none" w:sz="0" w:space="0" w:color="auto"/>
            <w:bottom w:val="none" w:sz="0" w:space="0" w:color="auto"/>
            <w:right w:val="none" w:sz="0" w:space="0" w:color="auto"/>
          </w:divBdr>
        </w:div>
        <w:div w:id="1489899985">
          <w:marLeft w:val="648"/>
          <w:marRight w:val="0"/>
          <w:marTop w:val="0"/>
          <w:marBottom w:val="101"/>
          <w:divBdr>
            <w:top w:val="none" w:sz="0" w:space="0" w:color="auto"/>
            <w:left w:val="none" w:sz="0" w:space="0" w:color="auto"/>
            <w:bottom w:val="none" w:sz="0" w:space="0" w:color="auto"/>
            <w:right w:val="none" w:sz="0" w:space="0" w:color="auto"/>
          </w:divBdr>
        </w:div>
        <w:div w:id="2090080485">
          <w:marLeft w:val="648"/>
          <w:marRight w:val="0"/>
          <w:marTop w:val="0"/>
          <w:marBottom w:val="101"/>
          <w:divBdr>
            <w:top w:val="none" w:sz="0" w:space="0" w:color="auto"/>
            <w:left w:val="none" w:sz="0" w:space="0" w:color="auto"/>
            <w:bottom w:val="none" w:sz="0" w:space="0" w:color="auto"/>
            <w:right w:val="none" w:sz="0" w:space="0" w:color="auto"/>
          </w:divBdr>
        </w:div>
        <w:div w:id="376854943">
          <w:marLeft w:val="648"/>
          <w:marRight w:val="0"/>
          <w:marTop w:val="0"/>
          <w:marBottom w:val="101"/>
          <w:divBdr>
            <w:top w:val="none" w:sz="0" w:space="0" w:color="auto"/>
            <w:left w:val="none" w:sz="0" w:space="0" w:color="auto"/>
            <w:bottom w:val="none" w:sz="0" w:space="0" w:color="auto"/>
            <w:right w:val="none" w:sz="0" w:space="0" w:color="auto"/>
          </w:divBdr>
        </w:div>
        <w:div w:id="1219972728">
          <w:marLeft w:val="648"/>
          <w:marRight w:val="0"/>
          <w:marTop w:val="0"/>
          <w:marBottom w:val="101"/>
          <w:divBdr>
            <w:top w:val="none" w:sz="0" w:space="0" w:color="auto"/>
            <w:left w:val="none" w:sz="0" w:space="0" w:color="auto"/>
            <w:bottom w:val="none" w:sz="0" w:space="0" w:color="auto"/>
            <w:right w:val="none" w:sz="0" w:space="0" w:color="auto"/>
          </w:divBdr>
        </w:div>
        <w:div w:id="1724136648">
          <w:marLeft w:val="648"/>
          <w:marRight w:val="0"/>
          <w:marTop w:val="0"/>
          <w:marBottom w:val="101"/>
          <w:divBdr>
            <w:top w:val="none" w:sz="0" w:space="0" w:color="auto"/>
            <w:left w:val="none" w:sz="0" w:space="0" w:color="auto"/>
            <w:bottom w:val="none" w:sz="0" w:space="0" w:color="auto"/>
            <w:right w:val="none" w:sz="0" w:space="0" w:color="auto"/>
          </w:divBdr>
        </w:div>
        <w:div w:id="1845363478">
          <w:marLeft w:val="648"/>
          <w:marRight w:val="0"/>
          <w:marTop w:val="0"/>
          <w:marBottom w:val="101"/>
          <w:divBdr>
            <w:top w:val="none" w:sz="0" w:space="0" w:color="auto"/>
            <w:left w:val="none" w:sz="0" w:space="0" w:color="auto"/>
            <w:bottom w:val="none" w:sz="0" w:space="0" w:color="auto"/>
            <w:right w:val="none" w:sz="0" w:space="0" w:color="auto"/>
          </w:divBdr>
        </w:div>
        <w:div w:id="1518889143">
          <w:marLeft w:val="648"/>
          <w:marRight w:val="0"/>
          <w:marTop w:val="0"/>
          <w:marBottom w:val="101"/>
          <w:divBdr>
            <w:top w:val="none" w:sz="0" w:space="0" w:color="auto"/>
            <w:left w:val="none" w:sz="0" w:space="0" w:color="auto"/>
            <w:bottom w:val="none" w:sz="0" w:space="0" w:color="auto"/>
            <w:right w:val="none" w:sz="0" w:space="0" w:color="auto"/>
          </w:divBdr>
        </w:div>
        <w:div w:id="1344086671">
          <w:marLeft w:val="0"/>
          <w:marRight w:val="0"/>
          <w:marTop w:val="0"/>
          <w:marBottom w:val="101"/>
          <w:divBdr>
            <w:top w:val="none" w:sz="0" w:space="0" w:color="auto"/>
            <w:left w:val="none" w:sz="0" w:space="0" w:color="auto"/>
            <w:bottom w:val="none" w:sz="0" w:space="0" w:color="auto"/>
            <w:right w:val="none" w:sz="0" w:space="0" w:color="auto"/>
          </w:divBdr>
        </w:div>
        <w:div w:id="1288387958">
          <w:marLeft w:val="0"/>
          <w:marRight w:val="0"/>
          <w:marTop w:val="0"/>
          <w:marBottom w:val="101"/>
          <w:divBdr>
            <w:top w:val="none" w:sz="0" w:space="0" w:color="auto"/>
            <w:left w:val="none" w:sz="0" w:space="0" w:color="auto"/>
            <w:bottom w:val="none" w:sz="0" w:space="0" w:color="auto"/>
            <w:right w:val="none" w:sz="0" w:space="0" w:color="auto"/>
          </w:divBdr>
        </w:div>
        <w:div w:id="1813136424">
          <w:marLeft w:val="0"/>
          <w:marRight w:val="0"/>
          <w:marTop w:val="0"/>
          <w:marBottom w:val="101"/>
          <w:divBdr>
            <w:top w:val="none" w:sz="0" w:space="0" w:color="auto"/>
            <w:left w:val="none" w:sz="0" w:space="0" w:color="auto"/>
            <w:bottom w:val="none" w:sz="0" w:space="0" w:color="auto"/>
            <w:right w:val="none" w:sz="0" w:space="0" w:color="auto"/>
          </w:divBdr>
        </w:div>
        <w:div w:id="1637947817">
          <w:marLeft w:val="0"/>
          <w:marRight w:val="0"/>
          <w:marTop w:val="0"/>
          <w:marBottom w:val="101"/>
          <w:divBdr>
            <w:top w:val="none" w:sz="0" w:space="0" w:color="auto"/>
            <w:left w:val="none" w:sz="0" w:space="0" w:color="auto"/>
            <w:bottom w:val="none" w:sz="0" w:space="0" w:color="auto"/>
            <w:right w:val="none" w:sz="0" w:space="0" w:color="auto"/>
          </w:divBdr>
        </w:div>
        <w:div w:id="2086026707">
          <w:marLeft w:val="0"/>
          <w:marRight w:val="0"/>
          <w:marTop w:val="0"/>
          <w:marBottom w:val="101"/>
          <w:divBdr>
            <w:top w:val="none" w:sz="0" w:space="0" w:color="auto"/>
            <w:left w:val="none" w:sz="0" w:space="0" w:color="auto"/>
            <w:bottom w:val="none" w:sz="0" w:space="0" w:color="auto"/>
            <w:right w:val="none" w:sz="0" w:space="0" w:color="auto"/>
          </w:divBdr>
        </w:div>
        <w:div w:id="1563177468">
          <w:marLeft w:val="0"/>
          <w:marRight w:val="0"/>
          <w:marTop w:val="0"/>
          <w:marBottom w:val="101"/>
          <w:divBdr>
            <w:top w:val="none" w:sz="0" w:space="0" w:color="auto"/>
            <w:left w:val="none" w:sz="0" w:space="0" w:color="auto"/>
            <w:bottom w:val="none" w:sz="0" w:space="0" w:color="auto"/>
            <w:right w:val="none" w:sz="0" w:space="0" w:color="auto"/>
          </w:divBdr>
        </w:div>
        <w:div w:id="856893497">
          <w:marLeft w:val="0"/>
          <w:marRight w:val="0"/>
          <w:marTop w:val="0"/>
          <w:marBottom w:val="101"/>
          <w:divBdr>
            <w:top w:val="none" w:sz="0" w:space="0" w:color="auto"/>
            <w:left w:val="none" w:sz="0" w:space="0" w:color="auto"/>
            <w:bottom w:val="none" w:sz="0" w:space="0" w:color="auto"/>
            <w:right w:val="none" w:sz="0" w:space="0" w:color="auto"/>
          </w:divBdr>
        </w:div>
        <w:div w:id="620381555">
          <w:marLeft w:val="0"/>
          <w:marRight w:val="0"/>
          <w:marTop w:val="0"/>
          <w:marBottom w:val="101"/>
          <w:divBdr>
            <w:top w:val="none" w:sz="0" w:space="0" w:color="auto"/>
            <w:left w:val="none" w:sz="0" w:space="0" w:color="auto"/>
            <w:bottom w:val="none" w:sz="0" w:space="0" w:color="auto"/>
            <w:right w:val="none" w:sz="0" w:space="0" w:color="auto"/>
          </w:divBdr>
        </w:div>
        <w:div w:id="1567913591">
          <w:marLeft w:val="0"/>
          <w:marRight w:val="0"/>
          <w:marTop w:val="0"/>
          <w:marBottom w:val="101"/>
          <w:divBdr>
            <w:top w:val="none" w:sz="0" w:space="0" w:color="auto"/>
            <w:left w:val="none" w:sz="0" w:space="0" w:color="auto"/>
            <w:bottom w:val="none" w:sz="0" w:space="0" w:color="auto"/>
            <w:right w:val="none" w:sz="0" w:space="0" w:color="auto"/>
          </w:divBdr>
        </w:div>
        <w:div w:id="1271233642">
          <w:marLeft w:val="0"/>
          <w:marRight w:val="0"/>
          <w:marTop w:val="0"/>
          <w:marBottom w:val="101"/>
          <w:divBdr>
            <w:top w:val="none" w:sz="0" w:space="0" w:color="auto"/>
            <w:left w:val="none" w:sz="0" w:space="0" w:color="auto"/>
            <w:bottom w:val="none" w:sz="0" w:space="0" w:color="auto"/>
            <w:right w:val="none" w:sz="0" w:space="0" w:color="auto"/>
          </w:divBdr>
        </w:div>
        <w:div w:id="245654811">
          <w:marLeft w:val="0"/>
          <w:marRight w:val="0"/>
          <w:marTop w:val="0"/>
          <w:marBottom w:val="101"/>
          <w:divBdr>
            <w:top w:val="none" w:sz="0" w:space="0" w:color="auto"/>
            <w:left w:val="none" w:sz="0" w:space="0" w:color="auto"/>
            <w:bottom w:val="none" w:sz="0" w:space="0" w:color="auto"/>
            <w:right w:val="none" w:sz="0" w:space="0" w:color="auto"/>
          </w:divBdr>
        </w:div>
        <w:div w:id="1961375821">
          <w:marLeft w:val="0"/>
          <w:marRight w:val="0"/>
          <w:marTop w:val="0"/>
          <w:marBottom w:val="101"/>
          <w:divBdr>
            <w:top w:val="none" w:sz="0" w:space="0" w:color="auto"/>
            <w:left w:val="none" w:sz="0" w:space="0" w:color="auto"/>
            <w:bottom w:val="none" w:sz="0" w:space="0" w:color="auto"/>
            <w:right w:val="none" w:sz="0" w:space="0" w:color="auto"/>
          </w:divBdr>
        </w:div>
        <w:div w:id="177619298">
          <w:marLeft w:val="0"/>
          <w:marRight w:val="0"/>
          <w:marTop w:val="0"/>
          <w:marBottom w:val="101"/>
          <w:divBdr>
            <w:top w:val="none" w:sz="0" w:space="0" w:color="auto"/>
            <w:left w:val="none" w:sz="0" w:space="0" w:color="auto"/>
            <w:bottom w:val="none" w:sz="0" w:space="0" w:color="auto"/>
            <w:right w:val="none" w:sz="0" w:space="0" w:color="auto"/>
          </w:divBdr>
        </w:div>
        <w:div w:id="1587376832">
          <w:marLeft w:val="0"/>
          <w:marRight w:val="0"/>
          <w:marTop w:val="0"/>
          <w:marBottom w:val="101"/>
          <w:divBdr>
            <w:top w:val="none" w:sz="0" w:space="0" w:color="auto"/>
            <w:left w:val="none" w:sz="0" w:space="0" w:color="auto"/>
            <w:bottom w:val="none" w:sz="0" w:space="0" w:color="auto"/>
            <w:right w:val="none" w:sz="0" w:space="0" w:color="auto"/>
          </w:divBdr>
        </w:div>
        <w:div w:id="1670979168">
          <w:marLeft w:val="0"/>
          <w:marRight w:val="0"/>
          <w:marTop w:val="0"/>
          <w:marBottom w:val="101"/>
          <w:divBdr>
            <w:top w:val="none" w:sz="0" w:space="0" w:color="auto"/>
            <w:left w:val="none" w:sz="0" w:space="0" w:color="auto"/>
            <w:bottom w:val="none" w:sz="0" w:space="0" w:color="auto"/>
            <w:right w:val="none" w:sz="0" w:space="0" w:color="auto"/>
          </w:divBdr>
        </w:div>
        <w:div w:id="1265729045">
          <w:marLeft w:val="0"/>
          <w:marRight w:val="0"/>
          <w:marTop w:val="0"/>
          <w:marBottom w:val="101"/>
          <w:divBdr>
            <w:top w:val="none" w:sz="0" w:space="0" w:color="auto"/>
            <w:left w:val="none" w:sz="0" w:space="0" w:color="auto"/>
            <w:bottom w:val="none" w:sz="0" w:space="0" w:color="auto"/>
            <w:right w:val="none" w:sz="0" w:space="0" w:color="auto"/>
          </w:divBdr>
        </w:div>
        <w:div w:id="525754648">
          <w:marLeft w:val="648"/>
          <w:marRight w:val="0"/>
          <w:marTop w:val="0"/>
          <w:marBottom w:val="101"/>
          <w:divBdr>
            <w:top w:val="none" w:sz="0" w:space="0" w:color="auto"/>
            <w:left w:val="none" w:sz="0" w:space="0" w:color="auto"/>
            <w:bottom w:val="none" w:sz="0" w:space="0" w:color="auto"/>
            <w:right w:val="none" w:sz="0" w:space="0" w:color="auto"/>
          </w:divBdr>
        </w:div>
        <w:div w:id="2101247364">
          <w:marLeft w:val="648"/>
          <w:marRight w:val="0"/>
          <w:marTop w:val="0"/>
          <w:marBottom w:val="101"/>
          <w:divBdr>
            <w:top w:val="none" w:sz="0" w:space="0" w:color="auto"/>
            <w:left w:val="none" w:sz="0" w:space="0" w:color="auto"/>
            <w:bottom w:val="none" w:sz="0" w:space="0" w:color="auto"/>
            <w:right w:val="none" w:sz="0" w:space="0" w:color="auto"/>
          </w:divBdr>
        </w:div>
        <w:div w:id="1611551846">
          <w:marLeft w:val="648"/>
          <w:marRight w:val="0"/>
          <w:marTop w:val="0"/>
          <w:marBottom w:val="101"/>
          <w:divBdr>
            <w:top w:val="none" w:sz="0" w:space="0" w:color="auto"/>
            <w:left w:val="none" w:sz="0" w:space="0" w:color="auto"/>
            <w:bottom w:val="none" w:sz="0" w:space="0" w:color="auto"/>
            <w:right w:val="none" w:sz="0" w:space="0" w:color="auto"/>
          </w:divBdr>
        </w:div>
        <w:div w:id="1706640241">
          <w:marLeft w:val="648"/>
          <w:marRight w:val="0"/>
          <w:marTop w:val="0"/>
          <w:marBottom w:val="101"/>
          <w:divBdr>
            <w:top w:val="none" w:sz="0" w:space="0" w:color="auto"/>
            <w:left w:val="none" w:sz="0" w:space="0" w:color="auto"/>
            <w:bottom w:val="none" w:sz="0" w:space="0" w:color="auto"/>
            <w:right w:val="none" w:sz="0" w:space="0" w:color="auto"/>
          </w:divBdr>
        </w:div>
        <w:div w:id="1337731903">
          <w:marLeft w:val="648"/>
          <w:marRight w:val="0"/>
          <w:marTop w:val="0"/>
          <w:marBottom w:val="101"/>
          <w:divBdr>
            <w:top w:val="none" w:sz="0" w:space="0" w:color="auto"/>
            <w:left w:val="none" w:sz="0" w:space="0" w:color="auto"/>
            <w:bottom w:val="none" w:sz="0" w:space="0" w:color="auto"/>
            <w:right w:val="none" w:sz="0" w:space="0" w:color="auto"/>
          </w:divBdr>
        </w:div>
        <w:div w:id="600066865">
          <w:marLeft w:val="648"/>
          <w:marRight w:val="0"/>
          <w:marTop w:val="0"/>
          <w:marBottom w:val="101"/>
          <w:divBdr>
            <w:top w:val="none" w:sz="0" w:space="0" w:color="auto"/>
            <w:left w:val="none" w:sz="0" w:space="0" w:color="auto"/>
            <w:bottom w:val="none" w:sz="0" w:space="0" w:color="auto"/>
            <w:right w:val="none" w:sz="0" w:space="0" w:color="auto"/>
          </w:divBdr>
        </w:div>
        <w:div w:id="674383158">
          <w:marLeft w:val="648"/>
          <w:marRight w:val="0"/>
          <w:marTop w:val="0"/>
          <w:marBottom w:val="101"/>
          <w:divBdr>
            <w:top w:val="none" w:sz="0" w:space="0" w:color="auto"/>
            <w:left w:val="none" w:sz="0" w:space="0" w:color="auto"/>
            <w:bottom w:val="none" w:sz="0" w:space="0" w:color="auto"/>
            <w:right w:val="none" w:sz="0" w:space="0" w:color="auto"/>
          </w:divBdr>
        </w:div>
        <w:div w:id="992877750">
          <w:marLeft w:val="648"/>
          <w:marRight w:val="0"/>
          <w:marTop w:val="0"/>
          <w:marBottom w:val="101"/>
          <w:divBdr>
            <w:top w:val="none" w:sz="0" w:space="0" w:color="auto"/>
            <w:left w:val="none" w:sz="0" w:space="0" w:color="auto"/>
            <w:bottom w:val="none" w:sz="0" w:space="0" w:color="auto"/>
            <w:right w:val="none" w:sz="0" w:space="0" w:color="auto"/>
          </w:divBdr>
        </w:div>
        <w:div w:id="226306793">
          <w:marLeft w:val="648"/>
          <w:marRight w:val="0"/>
          <w:marTop w:val="0"/>
          <w:marBottom w:val="101"/>
          <w:divBdr>
            <w:top w:val="none" w:sz="0" w:space="0" w:color="auto"/>
            <w:left w:val="none" w:sz="0" w:space="0" w:color="auto"/>
            <w:bottom w:val="none" w:sz="0" w:space="0" w:color="auto"/>
            <w:right w:val="none" w:sz="0" w:space="0" w:color="auto"/>
          </w:divBdr>
        </w:div>
        <w:div w:id="862592934">
          <w:marLeft w:val="648"/>
          <w:marRight w:val="0"/>
          <w:marTop w:val="0"/>
          <w:marBottom w:val="101"/>
          <w:divBdr>
            <w:top w:val="none" w:sz="0" w:space="0" w:color="auto"/>
            <w:left w:val="none" w:sz="0" w:space="0" w:color="auto"/>
            <w:bottom w:val="none" w:sz="0" w:space="0" w:color="auto"/>
            <w:right w:val="none" w:sz="0" w:space="0" w:color="auto"/>
          </w:divBdr>
        </w:div>
        <w:div w:id="1134102991">
          <w:marLeft w:val="648"/>
          <w:marRight w:val="0"/>
          <w:marTop w:val="0"/>
          <w:marBottom w:val="101"/>
          <w:divBdr>
            <w:top w:val="none" w:sz="0" w:space="0" w:color="auto"/>
            <w:left w:val="none" w:sz="0" w:space="0" w:color="auto"/>
            <w:bottom w:val="none" w:sz="0" w:space="0" w:color="auto"/>
            <w:right w:val="none" w:sz="0" w:space="0" w:color="auto"/>
          </w:divBdr>
        </w:div>
        <w:div w:id="1412043514">
          <w:marLeft w:val="648"/>
          <w:marRight w:val="0"/>
          <w:marTop w:val="0"/>
          <w:marBottom w:val="101"/>
          <w:divBdr>
            <w:top w:val="none" w:sz="0" w:space="0" w:color="auto"/>
            <w:left w:val="none" w:sz="0" w:space="0" w:color="auto"/>
            <w:bottom w:val="none" w:sz="0" w:space="0" w:color="auto"/>
            <w:right w:val="none" w:sz="0" w:space="0" w:color="auto"/>
          </w:divBdr>
        </w:div>
        <w:div w:id="2075546173">
          <w:marLeft w:val="648"/>
          <w:marRight w:val="0"/>
          <w:marTop w:val="0"/>
          <w:marBottom w:val="101"/>
          <w:divBdr>
            <w:top w:val="none" w:sz="0" w:space="0" w:color="auto"/>
            <w:left w:val="none" w:sz="0" w:space="0" w:color="auto"/>
            <w:bottom w:val="none" w:sz="0" w:space="0" w:color="auto"/>
            <w:right w:val="none" w:sz="0" w:space="0" w:color="auto"/>
          </w:divBdr>
        </w:div>
        <w:div w:id="402139231">
          <w:marLeft w:val="648"/>
          <w:marRight w:val="0"/>
          <w:marTop w:val="0"/>
          <w:marBottom w:val="101"/>
          <w:divBdr>
            <w:top w:val="none" w:sz="0" w:space="0" w:color="auto"/>
            <w:left w:val="none" w:sz="0" w:space="0" w:color="auto"/>
            <w:bottom w:val="none" w:sz="0" w:space="0" w:color="auto"/>
            <w:right w:val="none" w:sz="0" w:space="0" w:color="auto"/>
          </w:divBdr>
        </w:div>
        <w:div w:id="1398895896">
          <w:marLeft w:val="648"/>
          <w:marRight w:val="0"/>
          <w:marTop w:val="0"/>
          <w:marBottom w:val="101"/>
          <w:divBdr>
            <w:top w:val="none" w:sz="0" w:space="0" w:color="auto"/>
            <w:left w:val="none" w:sz="0" w:space="0" w:color="auto"/>
            <w:bottom w:val="none" w:sz="0" w:space="0" w:color="auto"/>
            <w:right w:val="none" w:sz="0" w:space="0" w:color="auto"/>
          </w:divBdr>
        </w:div>
        <w:div w:id="956958482">
          <w:marLeft w:val="648"/>
          <w:marRight w:val="0"/>
          <w:marTop w:val="0"/>
          <w:marBottom w:val="101"/>
          <w:divBdr>
            <w:top w:val="none" w:sz="0" w:space="0" w:color="auto"/>
            <w:left w:val="none" w:sz="0" w:space="0" w:color="auto"/>
            <w:bottom w:val="none" w:sz="0" w:space="0" w:color="auto"/>
            <w:right w:val="none" w:sz="0" w:space="0" w:color="auto"/>
          </w:divBdr>
        </w:div>
        <w:div w:id="1073356390">
          <w:marLeft w:val="0"/>
          <w:marRight w:val="0"/>
          <w:marTop w:val="0"/>
          <w:marBottom w:val="101"/>
          <w:divBdr>
            <w:top w:val="none" w:sz="0" w:space="0" w:color="auto"/>
            <w:left w:val="none" w:sz="0" w:space="0" w:color="auto"/>
            <w:bottom w:val="none" w:sz="0" w:space="0" w:color="auto"/>
            <w:right w:val="none" w:sz="0" w:space="0" w:color="auto"/>
          </w:divBdr>
        </w:div>
        <w:div w:id="1317881424">
          <w:marLeft w:val="0"/>
          <w:marRight w:val="0"/>
          <w:marTop w:val="0"/>
          <w:marBottom w:val="101"/>
          <w:divBdr>
            <w:top w:val="none" w:sz="0" w:space="0" w:color="auto"/>
            <w:left w:val="none" w:sz="0" w:space="0" w:color="auto"/>
            <w:bottom w:val="none" w:sz="0" w:space="0" w:color="auto"/>
            <w:right w:val="none" w:sz="0" w:space="0" w:color="auto"/>
          </w:divBdr>
        </w:div>
        <w:div w:id="2065904836">
          <w:marLeft w:val="0"/>
          <w:marRight w:val="0"/>
          <w:marTop w:val="0"/>
          <w:marBottom w:val="101"/>
          <w:divBdr>
            <w:top w:val="none" w:sz="0" w:space="0" w:color="auto"/>
            <w:left w:val="none" w:sz="0" w:space="0" w:color="auto"/>
            <w:bottom w:val="none" w:sz="0" w:space="0" w:color="auto"/>
            <w:right w:val="none" w:sz="0" w:space="0" w:color="auto"/>
          </w:divBdr>
        </w:div>
        <w:div w:id="1616715982">
          <w:marLeft w:val="0"/>
          <w:marRight w:val="0"/>
          <w:marTop w:val="0"/>
          <w:marBottom w:val="101"/>
          <w:divBdr>
            <w:top w:val="none" w:sz="0" w:space="0" w:color="auto"/>
            <w:left w:val="none" w:sz="0" w:space="0" w:color="auto"/>
            <w:bottom w:val="none" w:sz="0" w:space="0" w:color="auto"/>
            <w:right w:val="none" w:sz="0" w:space="0" w:color="auto"/>
          </w:divBdr>
        </w:div>
        <w:div w:id="529104404">
          <w:marLeft w:val="0"/>
          <w:marRight w:val="0"/>
          <w:marTop w:val="0"/>
          <w:marBottom w:val="101"/>
          <w:divBdr>
            <w:top w:val="none" w:sz="0" w:space="0" w:color="auto"/>
            <w:left w:val="none" w:sz="0" w:space="0" w:color="auto"/>
            <w:bottom w:val="none" w:sz="0" w:space="0" w:color="auto"/>
            <w:right w:val="none" w:sz="0" w:space="0" w:color="auto"/>
          </w:divBdr>
        </w:div>
        <w:div w:id="1926188138">
          <w:marLeft w:val="0"/>
          <w:marRight w:val="0"/>
          <w:marTop w:val="0"/>
          <w:marBottom w:val="101"/>
          <w:divBdr>
            <w:top w:val="none" w:sz="0" w:space="0" w:color="auto"/>
            <w:left w:val="none" w:sz="0" w:space="0" w:color="auto"/>
            <w:bottom w:val="none" w:sz="0" w:space="0" w:color="auto"/>
            <w:right w:val="none" w:sz="0" w:space="0" w:color="auto"/>
          </w:divBdr>
        </w:div>
        <w:div w:id="605432386">
          <w:marLeft w:val="0"/>
          <w:marRight w:val="0"/>
          <w:marTop w:val="0"/>
          <w:marBottom w:val="101"/>
          <w:divBdr>
            <w:top w:val="none" w:sz="0" w:space="0" w:color="auto"/>
            <w:left w:val="none" w:sz="0" w:space="0" w:color="auto"/>
            <w:bottom w:val="none" w:sz="0" w:space="0" w:color="auto"/>
            <w:right w:val="none" w:sz="0" w:space="0" w:color="auto"/>
          </w:divBdr>
        </w:div>
        <w:div w:id="724986168">
          <w:marLeft w:val="0"/>
          <w:marRight w:val="0"/>
          <w:marTop w:val="0"/>
          <w:marBottom w:val="101"/>
          <w:divBdr>
            <w:top w:val="none" w:sz="0" w:space="0" w:color="auto"/>
            <w:left w:val="none" w:sz="0" w:space="0" w:color="auto"/>
            <w:bottom w:val="none" w:sz="0" w:space="0" w:color="auto"/>
            <w:right w:val="none" w:sz="0" w:space="0" w:color="auto"/>
          </w:divBdr>
        </w:div>
        <w:div w:id="924069160">
          <w:marLeft w:val="0"/>
          <w:marRight w:val="0"/>
          <w:marTop w:val="0"/>
          <w:marBottom w:val="101"/>
          <w:divBdr>
            <w:top w:val="none" w:sz="0" w:space="0" w:color="auto"/>
            <w:left w:val="none" w:sz="0" w:space="0" w:color="auto"/>
            <w:bottom w:val="none" w:sz="0" w:space="0" w:color="auto"/>
            <w:right w:val="none" w:sz="0" w:space="0" w:color="auto"/>
          </w:divBdr>
        </w:div>
        <w:div w:id="1989702256">
          <w:marLeft w:val="0"/>
          <w:marRight w:val="0"/>
          <w:marTop w:val="0"/>
          <w:marBottom w:val="101"/>
          <w:divBdr>
            <w:top w:val="none" w:sz="0" w:space="0" w:color="auto"/>
            <w:left w:val="none" w:sz="0" w:space="0" w:color="auto"/>
            <w:bottom w:val="none" w:sz="0" w:space="0" w:color="auto"/>
            <w:right w:val="none" w:sz="0" w:space="0" w:color="auto"/>
          </w:divBdr>
        </w:div>
        <w:div w:id="1631473352">
          <w:marLeft w:val="0"/>
          <w:marRight w:val="0"/>
          <w:marTop w:val="0"/>
          <w:marBottom w:val="101"/>
          <w:divBdr>
            <w:top w:val="none" w:sz="0" w:space="0" w:color="auto"/>
            <w:left w:val="none" w:sz="0" w:space="0" w:color="auto"/>
            <w:bottom w:val="none" w:sz="0" w:space="0" w:color="auto"/>
            <w:right w:val="none" w:sz="0" w:space="0" w:color="auto"/>
          </w:divBdr>
        </w:div>
        <w:div w:id="1921208806">
          <w:marLeft w:val="0"/>
          <w:marRight w:val="0"/>
          <w:marTop w:val="0"/>
          <w:marBottom w:val="101"/>
          <w:divBdr>
            <w:top w:val="none" w:sz="0" w:space="0" w:color="auto"/>
            <w:left w:val="none" w:sz="0" w:space="0" w:color="auto"/>
            <w:bottom w:val="none" w:sz="0" w:space="0" w:color="auto"/>
            <w:right w:val="none" w:sz="0" w:space="0" w:color="auto"/>
          </w:divBdr>
        </w:div>
        <w:div w:id="2075278931">
          <w:marLeft w:val="720"/>
          <w:marRight w:val="0"/>
          <w:marTop w:val="0"/>
          <w:marBottom w:val="101"/>
          <w:divBdr>
            <w:top w:val="none" w:sz="0" w:space="0" w:color="auto"/>
            <w:left w:val="none" w:sz="0" w:space="0" w:color="auto"/>
            <w:bottom w:val="none" w:sz="0" w:space="0" w:color="auto"/>
            <w:right w:val="none" w:sz="0" w:space="0" w:color="auto"/>
          </w:divBdr>
        </w:div>
        <w:div w:id="521823910">
          <w:marLeft w:val="720"/>
          <w:marRight w:val="0"/>
          <w:marTop w:val="0"/>
          <w:marBottom w:val="101"/>
          <w:divBdr>
            <w:top w:val="none" w:sz="0" w:space="0" w:color="auto"/>
            <w:left w:val="none" w:sz="0" w:space="0" w:color="auto"/>
            <w:bottom w:val="none" w:sz="0" w:space="0" w:color="auto"/>
            <w:right w:val="none" w:sz="0" w:space="0" w:color="auto"/>
          </w:divBdr>
        </w:div>
        <w:div w:id="118375255">
          <w:marLeft w:val="720"/>
          <w:marRight w:val="0"/>
          <w:marTop w:val="0"/>
          <w:marBottom w:val="101"/>
          <w:divBdr>
            <w:top w:val="none" w:sz="0" w:space="0" w:color="auto"/>
            <w:left w:val="none" w:sz="0" w:space="0" w:color="auto"/>
            <w:bottom w:val="none" w:sz="0" w:space="0" w:color="auto"/>
            <w:right w:val="none" w:sz="0" w:space="0" w:color="auto"/>
          </w:divBdr>
        </w:div>
        <w:div w:id="1936205160">
          <w:marLeft w:val="0"/>
          <w:marRight w:val="0"/>
          <w:marTop w:val="0"/>
          <w:marBottom w:val="101"/>
          <w:divBdr>
            <w:top w:val="none" w:sz="0" w:space="0" w:color="auto"/>
            <w:left w:val="none" w:sz="0" w:space="0" w:color="auto"/>
            <w:bottom w:val="none" w:sz="0" w:space="0" w:color="auto"/>
            <w:right w:val="none" w:sz="0" w:space="0" w:color="auto"/>
          </w:divBdr>
        </w:div>
        <w:div w:id="158663015">
          <w:marLeft w:val="0"/>
          <w:marRight w:val="0"/>
          <w:marTop w:val="0"/>
          <w:marBottom w:val="101"/>
          <w:divBdr>
            <w:top w:val="none" w:sz="0" w:space="0" w:color="auto"/>
            <w:left w:val="none" w:sz="0" w:space="0" w:color="auto"/>
            <w:bottom w:val="none" w:sz="0" w:space="0" w:color="auto"/>
            <w:right w:val="none" w:sz="0" w:space="0" w:color="auto"/>
          </w:divBdr>
        </w:div>
        <w:div w:id="1546454583">
          <w:marLeft w:val="0"/>
          <w:marRight w:val="0"/>
          <w:marTop w:val="0"/>
          <w:marBottom w:val="101"/>
          <w:divBdr>
            <w:top w:val="none" w:sz="0" w:space="0" w:color="auto"/>
            <w:left w:val="none" w:sz="0" w:space="0" w:color="auto"/>
            <w:bottom w:val="none" w:sz="0" w:space="0" w:color="auto"/>
            <w:right w:val="none" w:sz="0" w:space="0" w:color="auto"/>
          </w:divBdr>
        </w:div>
        <w:div w:id="1814374301">
          <w:marLeft w:val="0"/>
          <w:marRight w:val="0"/>
          <w:marTop w:val="0"/>
          <w:marBottom w:val="101"/>
          <w:divBdr>
            <w:top w:val="none" w:sz="0" w:space="0" w:color="auto"/>
            <w:left w:val="none" w:sz="0" w:space="0" w:color="auto"/>
            <w:bottom w:val="none" w:sz="0" w:space="0" w:color="auto"/>
            <w:right w:val="none" w:sz="0" w:space="0" w:color="auto"/>
          </w:divBdr>
        </w:div>
        <w:div w:id="1231380768">
          <w:marLeft w:val="0"/>
          <w:marRight w:val="0"/>
          <w:marTop w:val="0"/>
          <w:marBottom w:val="101"/>
          <w:divBdr>
            <w:top w:val="none" w:sz="0" w:space="0" w:color="auto"/>
            <w:left w:val="none" w:sz="0" w:space="0" w:color="auto"/>
            <w:bottom w:val="none" w:sz="0" w:space="0" w:color="auto"/>
            <w:right w:val="none" w:sz="0" w:space="0" w:color="auto"/>
          </w:divBdr>
        </w:div>
      </w:divsChild>
    </w:div>
    <w:div w:id="828640478">
      <w:bodyDiv w:val="1"/>
      <w:marLeft w:val="0"/>
      <w:marRight w:val="0"/>
      <w:marTop w:val="0"/>
      <w:marBottom w:val="0"/>
      <w:divBdr>
        <w:top w:val="none" w:sz="0" w:space="0" w:color="auto"/>
        <w:left w:val="none" w:sz="0" w:space="0" w:color="auto"/>
        <w:bottom w:val="none" w:sz="0" w:space="0" w:color="auto"/>
        <w:right w:val="none" w:sz="0" w:space="0" w:color="auto"/>
      </w:divBdr>
    </w:div>
    <w:div w:id="838693650">
      <w:bodyDiv w:val="1"/>
      <w:marLeft w:val="0"/>
      <w:marRight w:val="0"/>
      <w:marTop w:val="0"/>
      <w:marBottom w:val="0"/>
      <w:divBdr>
        <w:top w:val="none" w:sz="0" w:space="0" w:color="auto"/>
        <w:left w:val="none" w:sz="0" w:space="0" w:color="auto"/>
        <w:bottom w:val="none" w:sz="0" w:space="0" w:color="auto"/>
        <w:right w:val="none" w:sz="0" w:space="0" w:color="auto"/>
      </w:divBdr>
    </w:div>
    <w:div w:id="877812761">
      <w:bodyDiv w:val="1"/>
      <w:marLeft w:val="0"/>
      <w:marRight w:val="0"/>
      <w:marTop w:val="0"/>
      <w:marBottom w:val="0"/>
      <w:divBdr>
        <w:top w:val="none" w:sz="0" w:space="0" w:color="auto"/>
        <w:left w:val="none" w:sz="0" w:space="0" w:color="auto"/>
        <w:bottom w:val="none" w:sz="0" w:space="0" w:color="auto"/>
        <w:right w:val="none" w:sz="0" w:space="0" w:color="auto"/>
      </w:divBdr>
      <w:divsChild>
        <w:div w:id="839929261">
          <w:marLeft w:val="0"/>
          <w:marRight w:val="0"/>
          <w:marTop w:val="0"/>
          <w:marBottom w:val="101"/>
          <w:divBdr>
            <w:top w:val="none" w:sz="0" w:space="0" w:color="auto"/>
            <w:left w:val="none" w:sz="0" w:space="0" w:color="auto"/>
            <w:bottom w:val="none" w:sz="0" w:space="0" w:color="auto"/>
            <w:right w:val="none" w:sz="0" w:space="0" w:color="auto"/>
          </w:divBdr>
        </w:div>
        <w:div w:id="228734594">
          <w:marLeft w:val="0"/>
          <w:marRight w:val="0"/>
          <w:marTop w:val="0"/>
          <w:marBottom w:val="101"/>
          <w:divBdr>
            <w:top w:val="none" w:sz="0" w:space="0" w:color="auto"/>
            <w:left w:val="none" w:sz="0" w:space="0" w:color="auto"/>
            <w:bottom w:val="none" w:sz="0" w:space="0" w:color="auto"/>
            <w:right w:val="none" w:sz="0" w:space="0" w:color="auto"/>
          </w:divBdr>
        </w:div>
      </w:divsChild>
    </w:div>
    <w:div w:id="913130528">
      <w:bodyDiv w:val="1"/>
      <w:marLeft w:val="0"/>
      <w:marRight w:val="0"/>
      <w:marTop w:val="0"/>
      <w:marBottom w:val="0"/>
      <w:divBdr>
        <w:top w:val="none" w:sz="0" w:space="0" w:color="auto"/>
        <w:left w:val="none" w:sz="0" w:space="0" w:color="auto"/>
        <w:bottom w:val="none" w:sz="0" w:space="0" w:color="auto"/>
        <w:right w:val="none" w:sz="0" w:space="0" w:color="auto"/>
      </w:divBdr>
    </w:div>
    <w:div w:id="952899573">
      <w:bodyDiv w:val="1"/>
      <w:marLeft w:val="0"/>
      <w:marRight w:val="0"/>
      <w:marTop w:val="0"/>
      <w:marBottom w:val="0"/>
      <w:divBdr>
        <w:top w:val="none" w:sz="0" w:space="0" w:color="auto"/>
        <w:left w:val="none" w:sz="0" w:space="0" w:color="auto"/>
        <w:bottom w:val="none" w:sz="0" w:space="0" w:color="auto"/>
        <w:right w:val="none" w:sz="0" w:space="0" w:color="auto"/>
      </w:divBdr>
    </w:div>
    <w:div w:id="956914246">
      <w:bodyDiv w:val="1"/>
      <w:marLeft w:val="0"/>
      <w:marRight w:val="0"/>
      <w:marTop w:val="0"/>
      <w:marBottom w:val="0"/>
      <w:divBdr>
        <w:top w:val="none" w:sz="0" w:space="0" w:color="auto"/>
        <w:left w:val="none" w:sz="0" w:space="0" w:color="auto"/>
        <w:bottom w:val="none" w:sz="0" w:space="0" w:color="auto"/>
        <w:right w:val="none" w:sz="0" w:space="0" w:color="auto"/>
      </w:divBdr>
    </w:div>
    <w:div w:id="999699043">
      <w:bodyDiv w:val="1"/>
      <w:marLeft w:val="0"/>
      <w:marRight w:val="0"/>
      <w:marTop w:val="0"/>
      <w:marBottom w:val="0"/>
      <w:divBdr>
        <w:top w:val="none" w:sz="0" w:space="0" w:color="auto"/>
        <w:left w:val="none" w:sz="0" w:space="0" w:color="auto"/>
        <w:bottom w:val="none" w:sz="0" w:space="0" w:color="auto"/>
        <w:right w:val="none" w:sz="0" w:space="0" w:color="auto"/>
      </w:divBdr>
    </w:div>
    <w:div w:id="1035079518">
      <w:bodyDiv w:val="1"/>
      <w:marLeft w:val="0"/>
      <w:marRight w:val="0"/>
      <w:marTop w:val="0"/>
      <w:marBottom w:val="0"/>
      <w:divBdr>
        <w:top w:val="none" w:sz="0" w:space="0" w:color="auto"/>
        <w:left w:val="none" w:sz="0" w:space="0" w:color="auto"/>
        <w:bottom w:val="none" w:sz="0" w:space="0" w:color="auto"/>
        <w:right w:val="none" w:sz="0" w:space="0" w:color="auto"/>
      </w:divBdr>
    </w:div>
    <w:div w:id="1097094834">
      <w:bodyDiv w:val="1"/>
      <w:marLeft w:val="0"/>
      <w:marRight w:val="0"/>
      <w:marTop w:val="0"/>
      <w:marBottom w:val="0"/>
      <w:divBdr>
        <w:top w:val="none" w:sz="0" w:space="0" w:color="auto"/>
        <w:left w:val="none" w:sz="0" w:space="0" w:color="auto"/>
        <w:bottom w:val="none" w:sz="0" w:space="0" w:color="auto"/>
        <w:right w:val="none" w:sz="0" w:space="0" w:color="auto"/>
      </w:divBdr>
    </w:div>
    <w:div w:id="1130708097">
      <w:bodyDiv w:val="1"/>
      <w:marLeft w:val="0"/>
      <w:marRight w:val="0"/>
      <w:marTop w:val="0"/>
      <w:marBottom w:val="0"/>
      <w:divBdr>
        <w:top w:val="none" w:sz="0" w:space="0" w:color="auto"/>
        <w:left w:val="none" w:sz="0" w:space="0" w:color="auto"/>
        <w:bottom w:val="none" w:sz="0" w:space="0" w:color="auto"/>
        <w:right w:val="none" w:sz="0" w:space="0" w:color="auto"/>
      </w:divBdr>
    </w:div>
    <w:div w:id="1175918609">
      <w:bodyDiv w:val="1"/>
      <w:marLeft w:val="0"/>
      <w:marRight w:val="0"/>
      <w:marTop w:val="0"/>
      <w:marBottom w:val="0"/>
      <w:divBdr>
        <w:top w:val="none" w:sz="0" w:space="0" w:color="auto"/>
        <w:left w:val="none" w:sz="0" w:space="0" w:color="auto"/>
        <w:bottom w:val="none" w:sz="0" w:space="0" w:color="auto"/>
        <w:right w:val="none" w:sz="0" w:space="0" w:color="auto"/>
      </w:divBdr>
    </w:div>
    <w:div w:id="1177309908">
      <w:bodyDiv w:val="1"/>
      <w:marLeft w:val="0"/>
      <w:marRight w:val="0"/>
      <w:marTop w:val="0"/>
      <w:marBottom w:val="0"/>
      <w:divBdr>
        <w:top w:val="none" w:sz="0" w:space="0" w:color="auto"/>
        <w:left w:val="none" w:sz="0" w:space="0" w:color="auto"/>
        <w:bottom w:val="none" w:sz="0" w:space="0" w:color="auto"/>
        <w:right w:val="none" w:sz="0" w:space="0" w:color="auto"/>
      </w:divBdr>
    </w:div>
    <w:div w:id="1191332767">
      <w:bodyDiv w:val="1"/>
      <w:marLeft w:val="0"/>
      <w:marRight w:val="0"/>
      <w:marTop w:val="0"/>
      <w:marBottom w:val="0"/>
      <w:divBdr>
        <w:top w:val="none" w:sz="0" w:space="0" w:color="auto"/>
        <w:left w:val="none" w:sz="0" w:space="0" w:color="auto"/>
        <w:bottom w:val="none" w:sz="0" w:space="0" w:color="auto"/>
        <w:right w:val="none" w:sz="0" w:space="0" w:color="auto"/>
      </w:divBdr>
    </w:div>
    <w:div w:id="1235433715">
      <w:bodyDiv w:val="1"/>
      <w:marLeft w:val="0"/>
      <w:marRight w:val="0"/>
      <w:marTop w:val="0"/>
      <w:marBottom w:val="0"/>
      <w:divBdr>
        <w:top w:val="none" w:sz="0" w:space="0" w:color="auto"/>
        <w:left w:val="none" w:sz="0" w:space="0" w:color="auto"/>
        <w:bottom w:val="none" w:sz="0" w:space="0" w:color="auto"/>
        <w:right w:val="none" w:sz="0" w:space="0" w:color="auto"/>
      </w:divBdr>
      <w:divsChild>
        <w:div w:id="2086608239">
          <w:marLeft w:val="0"/>
          <w:marRight w:val="0"/>
          <w:marTop w:val="0"/>
          <w:marBottom w:val="101"/>
          <w:divBdr>
            <w:top w:val="none" w:sz="0" w:space="0" w:color="auto"/>
            <w:left w:val="none" w:sz="0" w:space="0" w:color="auto"/>
            <w:bottom w:val="none" w:sz="0" w:space="0" w:color="auto"/>
            <w:right w:val="none" w:sz="0" w:space="0" w:color="auto"/>
          </w:divBdr>
        </w:div>
      </w:divsChild>
    </w:div>
    <w:div w:id="1239025177">
      <w:bodyDiv w:val="1"/>
      <w:marLeft w:val="0"/>
      <w:marRight w:val="0"/>
      <w:marTop w:val="0"/>
      <w:marBottom w:val="0"/>
      <w:divBdr>
        <w:top w:val="none" w:sz="0" w:space="0" w:color="auto"/>
        <w:left w:val="none" w:sz="0" w:space="0" w:color="auto"/>
        <w:bottom w:val="none" w:sz="0" w:space="0" w:color="auto"/>
        <w:right w:val="none" w:sz="0" w:space="0" w:color="auto"/>
      </w:divBdr>
    </w:div>
    <w:div w:id="1262958676">
      <w:bodyDiv w:val="1"/>
      <w:marLeft w:val="0"/>
      <w:marRight w:val="0"/>
      <w:marTop w:val="0"/>
      <w:marBottom w:val="0"/>
      <w:divBdr>
        <w:top w:val="none" w:sz="0" w:space="0" w:color="auto"/>
        <w:left w:val="none" w:sz="0" w:space="0" w:color="auto"/>
        <w:bottom w:val="none" w:sz="0" w:space="0" w:color="auto"/>
        <w:right w:val="none" w:sz="0" w:space="0" w:color="auto"/>
      </w:divBdr>
    </w:div>
    <w:div w:id="1287276199">
      <w:bodyDiv w:val="1"/>
      <w:marLeft w:val="0"/>
      <w:marRight w:val="0"/>
      <w:marTop w:val="0"/>
      <w:marBottom w:val="0"/>
      <w:divBdr>
        <w:top w:val="none" w:sz="0" w:space="0" w:color="auto"/>
        <w:left w:val="none" w:sz="0" w:space="0" w:color="auto"/>
        <w:bottom w:val="none" w:sz="0" w:space="0" w:color="auto"/>
        <w:right w:val="none" w:sz="0" w:space="0" w:color="auto"/>
      </w:divBdr>
    </w:div>
    <w:div w:id="1354261045">
      <w:bodyDiv w:val="1"/>
      <w:marLeft w:val="0"/>
      <w:marRight w:val="0"/>
      <w:marTop w:val="0"/>
      <w:marBottom w:val="0"/>
      <w:divBdr>
        <w:top w:val="none" w:sz="0" w:space="0" w:color="auto"/>
        <w:left w:val="none" w:sz="0" w:space="0" w:color="auto"/>
        <w:bottom w:val="none" w:sz="0" w:space="0" w:color="auto"/>
        <w:right w:val="none" w:sz="0" w:space="0" w:color="auto"/>
      </w:divBdr>
    </w:div>
    <w:div w:id="1362902471">
      <w:bodyDiv w:val="1"/>
      <w:marLeft w:val="0"/>
      <w:marRight w:val="0"/>
      <w:marTop w:val="0"/>
      <w:marBottom w:val="0"/>
      <w:divBdr>
        <w:top w:val="none" w:sz="0" w:space="0" w:color="auto"/>
        <w:left w:val="none" w:sz="0" w:space="0" w:color="auto"/>
        <w:bottom w:val="none" w:sz="0" w:space="0" w:color="auto"/>
        <w:right w:val="none" w:sz="0" w:space="0" w:color="auto"/>
      </w:divBdr>
    </w:div>
    <w:div w:id="1382709721">
      <w:bodyDiv w:val="1"/>
      <w:marLeft w:val="0"/>
      <w:marRight w:val="0"/>
      <w:marTop w:val="0"/>
      <w:marBottom w:val="0"/>
      <w:divBdr>
        <w:top w:val="none" w:sz="0" w:space="0" w:color="auto"/>
        <w:left w:val="none" w:sz="0" w:space="0" w:color="auto"/>
        <w:bottom w:val="none" w:sz="0" w:space="0" w:color="auto"/>
        <w:right w:val="none" w:sz="0" w:space="0" w:color="auto"/>
      </w:divBdr>
    </w:div>
    <w:div w:id="1385135907">
      <w:bodyDiv w:val="1"/>
      <w:marLeft w:val="0"/>
      <w:marRight w:val="0"/>
      <w:marTop w:val="0"/>
      <w:marBottom w:val="0"/>
      <w:divBdr>
        <w:top w:val="none" w:sz="0" w:space="0" w:color="auto"/>
        <w:left w:val="none" w:sz="0" w:space="0" w:color="auto"/>
        <w:bottom w:val="none" w:sz="0" w:space="0" w:color="auto"/>
        <w:right w:val="none" w:sz="0" w:space="0" w:color="auto"/>
      </w:divBdr>
      <w:divsChild>
        <w:div w:id="1539510813">
          <w:marLeft w:val="0"/>
          <w:marRight w:val="0"/>
          <w:marTop w:val="0"/>
          <w:marBottom w:val="101"/>
          <w:divBdr>
            <w:top w:val="none" w:sz="0" w:space="0" w:color="auto"/>
            <w:left w:val="none" w:sz="0" w:space="0" w:color="auto"/>
            <w:bottom w:val="none" w:sz="0" w:space="0" w:color="auto"/>
            <w:right w:val="none" w:sz="0" w:space="0" w:color="auto"/>
          </w:divBdr>
        </w:div>
        <w:div w:id="1739397847">
          <w:marLeft w:val="864"/>
          <w:marRight w:val="0"/>
          <w:marTop w:val="0"/>
          <w:marBottom w:val="101"/>
          <w:divBdr>
            <w:top w:val="none" w:sz="0" w:space="0" w:color="auto"/>
            <w:left w:val="none" w:sz="0" w:space="0" w:color="auto"/>
            <w:bottom w:val="none" w:sz="0" w:space="0" w:color="auto"/>
            <w:right w:val="none" w:sz="0" w:space="0" w:color="auto"/>
          </w:divBdr>
        </w:div>
        <w:div w:id="869759582">
          <w:marLeft w:val="864"/>
          <w:marRight w:val="0"/>
          <w:marTop w:val="0"/>
          <w:marBottom w:val="101"/>
          <w:divBdr>
            <w:top w:val="none" w:sz="0" w:space="0" w:color="auto"/>
            <w:left w:val="none" w:sz="0" w:space="0" w:color="auto"/>
            <w:bottom w:val="none" w:sz="0" w:space="0" w:color="auto"/>
            <w:right w:val="none" w:sz="0" w:space="0" w:color="auto"/>
          </w:divBdr>
        </w:div>
        <w:div w:id="617300696">
          <w:marLeft w:val="0"/>
          <w:marRight w:val="0"/>
          <w:marTop w:val="0"/>
          <w:marBottom w:val="101"/>
          <w:divBdr>
            <w:top w:val="none" w:sz="0" w:space="0" w:color="auto"/>
            <w:left w:val="none" w:sz="0" w:space="0" w:color="auto"/>
            <w:bottom w:val="none" w:sz="0" w:space="0" w:color="auto"/>
            <w:right w:val="none" w:sz="0" w:space="0" w:color="auto"/>
          </w:divBdr>
        </w:div>
        <w:div w:id="33232761">
          <w:marLeft w:val="0"/>
          <w:marRight w:val="0"/>
          <w:marTop w:val="0"/>
          <w:marBottom w:val="101"/>
          <w:divBdr>
            <w:top w:val="none" w:sz="0" w:space="0" w:color="auto"/>
            <w:left w:val="none" w:sz="0" w:space="0" w:color="auto"/>
            <w:bottom w:val="none" w:sz="0" w:space="0" w:color="auto"/>
            <w:right w:val="none" w:sz="0" w:space="0" w:color="auto"/>
          </w:divBdr>
        </w:div>
        <w:div w:id="82648018">
          <w:marLeft w:val="0"/>
          <w:marRight w:val="0"/>
          <w:marTop w:val="0"/>
          <w:marBottom w:val="101"/>
          <w:divBdr>
            <w:top w:val="none" w:sz="0" w:space="0" w:color="auto"/>
            <w:left w:val="none" w:sz="0" w:space="0" w:color="auto"/>
            <w:bottom w:val="none" w:sz="0" w:space="0" w:color="auto"/>
            <w:right w:val="none" w:sz="0" w:space="0" w:color="auto"/>
          </w:divBdr>
        </w:div>
        <w:div w:id="1762220944">
          <w:marLeft w:val="0"/>
          <w:marRight w:val="0"/>
          <w:marTop w:val="0"/>
          <w:marBottom w:val="101"/>
          <w:divBdr>
            <w:top w:val="none" w:sz="0" w:space="0" w:color="auto"/>
            <w:left w:val="none" w:sz="0" w:space="0" w:color="auto"/>
            <w:bottom w:val="none" w:sz="0" w:space="0" w:color="auto"/>
            <w:right w:val="none" w:sz="0" w:space="0" w:color="auto"/>
          </w:divBdr>
        </w:div>
      </w:divsChild>
    </w:div>
    <w:div w:id="1476680541">
      <w:bodyDiv w:val="1"/>
      <w:marLeft w:val="0"/>
      <w:marRight w:val="0"/>
      <w:marTop w:val="0"/>
      <w:marBottom w:val="0"/>
      <w:divBdr>
        <w:top w:val="none" w:sz="0" w:space="0" w:color="auto"/>
        <w:left w:val="none" w:sz="0" w:space="0" w:color="auto"/>
        <w:bottom w:val="none" w:sz="0" w:space="0" w:color="auto"/>
        <w:right w:val="none" w:sz="0" w:space="0" w:color="auto"/>
      </w:divBdr>
    </w:div>
    <w:div w:id="1557429113">
      <w:bodyDiv w:val="1"/>
      <w:marLeft w:val="0"/>
      <w:marRight w:val="0"/>
      <w:marTop w:val="0"/>
      <w:marBottom w:val="0"/>
      <w:divBdr>
        <w:top w:val="none" w:sz="0" w:space="0" w:color="auto"/>
        <w:left w:val="none" w:sz="0" w:space="0" w:color="auto"/>
        <w:bottom w:val="none" w:sz="0" w:space="0" w:color="auto"/>
        <w:right w:val="none" w:sz="0" w:space="0" w:color="auto"/>
      </w:divBdr>
    </w:div>
    <w:div w:id="1557626157">
      <w:bodyDiv w:val="1"/>
      <w:marLeft w:val="0"/>
      <w:marRight w:val="0"/>
      <w:marTop w:val="0"/>
      <w:marBottom w:val="0"/>
      <w:divBdr>
        <w:top w:val="none" w:sz="0" w:space="0" w:color="auto"/>
        <w:left w:val="none" w:sz="0" w:space="0" w:color="auto"/>
        <w:bottom w:val="none" w:sz="0" w:space="0" w:color="auto"/>
        <w:right w:val="none" w:sz="0" w:space="0" w:color="auto"/>
      </w:divBdr>
    </w:div>
    <w:div w:id="1576936050">
      <w:bodyDiv w:val="1"/>
      <w:marLeft w:val="0"/>
      <w:marRight w:val="0"/>
      <w:marTop w:val="0"/>
      <w:marBottom w:val="0"/>
      <w:divBdr>
        <w:top w:val="none" w:sz="0" w:space="0" w:color="auto"/>
        <w:left w:val="none" w:sz="0" w:space="0" w:color="auto"/>
        <w:bottom w:val="none" w:sz="0" w:space="0" w:color="auto"/>
        <w:right w:val="none" w:sz="0" w:space="0" w:color="auto"/>
      </w:divBdr>
    </w:div>
    <w:div w:id="1582837568">
      <w:bodyDiv w:val="1"/>
      <w:marLeft w:val="0"/>
      <w:marRight w:val="0"/>
      <w:marTop w:val="0"/>
      <w:marBottom w:val="0"/>
      <w:divBdr>
        <w:top w:val="none" w:sz="0" w:space="0" w:color="auto"/>
        <w:left w:val="none" w:sz="0" w:space="0" w:color="auto"/>
        <w:bottom w:val="none" w:sz="0" w:space="0" w:color="auto"/>
        <w:right w:val="none" w:sz="0" w:space="0" w:color="auto"/>
      </w:divBdr>
    </w:div>
    <w:div w:id="1643582803">
      <w:bodyDiv w:val="1"/>
      <w:marLeft w:val="0"/>
      <w:marRight w:val="0"/>
      <w:marTop w:val="0"/>
      <w:marBottom w:val="0"/>
      <w:divBdr>
        <w:top w:val="none" w:sz="0" w:space="0" w:color="auto"/>
        <w:left w:val="none" w:sz="0" w:space="0" w:color="auto"/>
        <w:bottom w:val="none" w:sz="0" w:space="0" w:color="auto"/>
        <w:right w:val="none" w:sz="0" w:space="0" w:color="auto"/>
      </w:divBdr>
    </w:div>
    <w:div w:id="1681472053">
      <w:bodyDiv w:val="1"/>
      <w:marLeft w:val="0"/>
      <w:marRight w:val="0"/>
      <w:marTop w:val="0"/>
      <w:marBottom w:val="0"/>
      <w:divBdr>
        <w:top w:val="none" w:sz="0" w:space="0" w:color="auto"/>
        <w:left w:val="none" w:sz="0" w:space="0" w:color="auto"/>
        <w:bottom w:val="none" w:sz="0" w:space="0" w:color="auto"/>
        <w:right w:val="none" w:sz="0" w:space="0" w:color="auto"/>
      </w:divBdr>
      <w:divsChild>
        <w:div w:id="624121528">
          <w:marLeft w:val="0"/>
          <w:marRight w:val="0"/>
          <w:marTop w:val="0"/>
          <w:marBottom w:val="101"/>
          <w:divBdr>
            <w:top w:val="none" w:sz="0" w:space="0" w:color="auto"/>
            <w:left w:val="none" w:sz="0" w:space="0" w:color="auto"/>
            <w:bottom w:val="none" w:sz="0" w:space="0" w:color="auto"/>
            <w:right w:val="none" w:sz="0" w:space="0" w:color="auto"/>
          </w:divBdr>
        </w:div>
        <w:div w:id="2048721702">
          <w:marLeft w:val="0"/>
          <w:marRight w:val="0"/>
          <w:marTop w:val="0"/>
          <w:marBottom w:val="101"/>
          <w:divBdr>
            <w:top w:val="none" w:sz="0" w:space="0" w:color="auto"/>
            <w:left w:val="none" w:sz="0" w:space="0" w:color="auto"/>
            <w:bottom w:val="none" w:sz="0" w:space="0" w:color="auto"/>
            <w:right w:val="none" w:sz="0" w:space="0" w:color="auto"/>
          </w:divBdr>
        </w:div>
        <w:div w:id="1092975767">
          <w:marLeft w:val="0"/>
          <w:marRight w:val="0"/>
          <w:marTop w:val="0"/>
          <w:marBottom w:val="101"/>
          <w:divBdr>
            <w:top w:val="none" w:sz="0" w:space="0" w:color="auto"/>
            <w:left w:val="none" w:sz="0" w:space="0" w:color="auto"/>
            <w:bottom w:val="none" w:sz="0" w:space="0" w:color="auto"/>
            <w:right w:val="none" w:sz="0" w:space="0" w:color="auto"/>
          </w:divBdr>
        </w:div>
      </w:divsChild>
    </w:div>
    <w:div w:id="1708221011">
      <w:bodyDiv w:val="1"/>
      <w:marLeft w:val="0"/>
      <w:marRight w:val="0"/>
      <w:marTop w:val="0"/>
      <w:marBottom w:val="0"/>
      <w:divBdr>
        <w:top w:val="none" w:sz="0" w:space="0" w:color="auto"/>
        <w:left w:val="none" w:sz="0" w:space="0" w:color="auto"/>
        <w:bottom w:val="none" w:sz="0" w:space="0" w:color="auto"/>
        <w:right w:val="none" w:sz="0" w:space="0" w:color="auto"/>
      </w:divBdr>
    </w:div>
    <w:div w:id="1710566154">
      <w:bodyDiv w:val="1"/>
      <w:marLeft w:val="0"/>
      <w:marRight w:val="0"/>
      <w:marTop w:val="0"/>
      <w:marBottom w:val="0"/>
      <w:divBdr>
        <w:top w:val="none" w:sz="0" w:space="0" w:color="auto"/>
        <w:left w:val="none" w:sz="0" w:space="0" w:color="auto"/>
        <w:bottom w:val="none" w:sz="0" w:space="0" w:color="auto"/>
        <w:right w:val="none" w:sz="0" w:space="0" w:color="auto"/>
      </w:divBdr>
    </w:div>
    <w:div w:id="1717656378">
      <w:bodyDiv w:val="1"/>
      <w:marLeft w:val="0"/>
      <w:marRight w:val="0"/>
      <w:marTop w:val="0"/>
      <w:marBottom w:val="0"/>
      <w:divBdr>
        <w:top w:val="none" w:sz="0" w:space="0" w:color="auto"/>
        <w:left w:val="none" w:sz="0" w:space="0" w:color="auto"/>
        <w:bottom w:val="none" w:sz="0" w:space="0" w:color="auto"/>
        <w:right w:val="none" w:sz="0" w:space="0" w:color="auto"/>
      </w:divBdr>
    </w:div>
    <w:div w:id="1770344306">
      <w:bodyDiv w:val="1"/>
      <w:marLeft w:val="0"/>
      <w:marRight w:val="0"/>
      <w:marTop w:val="0"/>
      <w:marBottom w:val="0"/>
      <w:divBdr>
        <w:top w:val="none" w:sz="0" w:space="0" w:color="auto"/>
        <w:left w:val="none" w:sz="0" w:space="0" w:color="auto"/>
        <w:bottom w:val="none" w:sz="0" w:space="0" w:color="auto"/>
        <w:right w:val="none" w:sz="0" w:space="0" w:color="auto"/>
      </w:divBdr>
      <w:divsChild>
        <w:div w:id="1083603749">
          <w:marLeft w:val="0"/>
          <w:marRight w:val="0"/>
          <w:marTop w:val="0"/>
          <w:marBottom w:val="101"/>
          <w:divBdr>
            <w:top w:val="none" w:sz="0" w:space="0" w:color="auto"/>
            <w:left w:val="none" w:sz="0" w:space="0" w:color="auto"/>
            <w:bottom w:val="none" w:sz="0" w:space="0" w:color="auto"/>
            <w:right w:val="none" w:sz="0" w:space="0" w:color="auto"/>
          </w:divBdr>
        </w:div>
        <w:div w:id="1779328600">
          <w:marLeft w:val="0"/>
          <w:marRight w:val="0"/>
          <w:marTop w:val="0"/>
          <w:marBottom w:val="82"/>
          <w:divBdr>
            <w:top w:val="none" w:sz="0" w:space="0" w:color="auto"/>
            <w:left w:val="none" w:sz="0" w:space="0" w:color="auto"/>
            <w:bottom w:val="none" w:sz="0" w:space="0" w:color="auto"/>
            <w:right w:val="none" w:sz="0" w:space="0" w:color="auto"/>
          </w:divBdr>
        </w:div>
      </w:divsChild>
    </w:div>
    <w:div w:id="1786189669">
      <w:bodyDiv w:val="1"/>
      <w:marLeft w:val="0"/>
      <w:marRight w:val="0"/>
      <w:marTop w:val="0"/>
      <w:marBottom w:val="0"/>
      <w:divBdr>
        <w:top w:val="none" w:sz="0" w:space="0" w:color="auto"/>
        <w:left w:val="none" w:sz="0" w:space="0" w:color="auto"/>
        <w:bottom w:val="none" w:sz="0" w:space="0" w:color="auto"/>
        <w:right w:val="none" w:sz="0" w:space="0" w:color="auto"/>
      </w:divBdr>
    </w:div>
    <w:div w:id="1786578735">
      <w:bodyDiv w:val="1"/>
      <w:marLeft w:val="0"/>
      <w:marRight w:val="0"/>
      <w:marTop w:val="0"/>
      <w:marBottom w:val="0"/>
      <w:divBdr>
        <w:top w:val="none" w:sz="0" w:space="0" w:color="auto"/>
        <w:left w:val="none" w:sz="0" w:space="0" w:color="auto"/>
        <w:bottom w:val="none" w:sz="0" w:space="0" w:color="auto"/>
        <w:right w:val="none" w:sz="0" w:space="0" w:color="auto"/>
      </w:divBdr>
    </w:div>
    <w:div w:id="1799034321">
      <w:bodyDiv w:val="1"/>
      <w:marLeft w:val="0"/>
      <w:marRight w:val="0"/>
      <w:marTop w:val="0"/>
      <w:marBottom w:val="0"/>
      <w:divBdr>
        <w:top w:val="none" w:sz="0" w:space="0" w:color="auto"/>
        <w:left w:val="none" w:sz="0" w:space="0" w:color="auto"/>
        <w:bottom w:val="none" w:sz="0" w:space="0" w:color="auto"/>
        <w:right w:val="none" w:sz="0" w:space="0" w:color="auto"/>
      </w:divBdr>
      <w:divsChild>
        <w:div w:id="2022509676">
          <w:marLeft w:val="0"/>
          <w:marRight w:val="0"/>
          <w:marTop w:val="0"/>
          <w:marBottom w:val="101"/>
          <w:divBdr>
            <w:top w:val="none" w:sz="0" w:space="0" w:color="auto"/>
            <w:left w:val="none" w:sz="0" w:space="0" w:color="auto"/>
            <w:bottom w:val="none" w:sz="0" w:space="0" w:color="auto"/>
            <w:right w:val="none" w:sz="0" w:space="0" w:color="auto"/>
          </w:divBdr>
        </w:div>
        <w:div w:id="482042746">
          <w:marLeft w:val="0"/>
          <w:marRight w:val="0"/>
          <w:marTop w:val="0"/>
          <w:marBottom w:val="101"/>
          <w:divBdr>
            <w:top w:val="none" w:sz="0" w:space="0" w:color="auto"/>
            <w:left w:val="none" w:sz="0" w:space="0" w:color="auto"/>
            <w:bottom w:val="none" w:sz="0" w:space="0" w:color="auto"/>
            <w:right w:val="none" w:sz="0" w:space="0" w:color="auto"/>
          </w:divBdr>
        </w:div>
        <w:div w:id="1442384891">
          <w:marLeft w:val="0"/>
          <w:marRight w:val="0"/>
          <w:marTop w:val="0"/>
          <w:marBottom w:val="101"/>
          <w:divBdr>
            <w:top w:val="none" w:sz="0" w:space="0" w:color="auto"/>
            <w:left w:val="none" w:sz="0" w:space="0" w:color="auto"/>
            <w:bottom w:val="none" w:sz="0" w:space="0" w:color="auto"/>
            <w:right w:val="none" w:sz="0" w:space="0" w:color="auto"/>
          </w:divBdr>
        </w:div>
        <w:div w:id="590699983">
          <w:marLeft w:val="0"/>
          <w:marRight w:val="0"/>
          <w:marTop w:val="0"/>
          <w:marBottom w:val="101"/>
          <w:divBdr>
            <w:top w:val="none" w:sz="0" w:space="0" w:color="auto"/>
            <w:left w:val="none" w:sz="0" w:space="0" w:color="auto"/>
            <w:bottom w:val="none" w:sz="0" w:space="0" w:color="auto"/>
            <w:right w:val="none" w:sz="0" w:space="0" w:color="auto"/>
          </w:divBdr>
        </w:div>
        <w:div w:id="3437179">
          <w:marLeft w:val="0"/>
          <w:marRight w:val="0"/>
          <w:marTop w:val="0"/>
          <w:marBottom w:val="101"/>
          <w:divBdr>
            <w:top w:val="none" w:sz="0" w:space="0" w:color="auto"/>
            <w:left w:val="none" w:sz="0" w:space="0" w:color="auto"/>
            <w:bottom w:val="none" w:sz="0" w:space="0" w:color="auto"/>
            <w:right w:val="none" w:sz="0" w:space="0" w:color="auto"/>
          </w:divBdr>
        </w:div>
        <w:div w:id="341325897">
          <w:marLeft w:val="0"/>
          <w:marRight w:val="0"/>
          <w:marTop w:val="0"/>
          <w:marBottom w:val="101"/>
          <w:divBdr>
            <w:top w:val="none" w:sz="0" w:space="0" w:color="auto"/>
            <w:left w:val="none" w:sz="0" w:space="0" w:color="auto"/>
            <w:bottom w:val="none" w:sz="0" w:space="0" w:color="auto"/>
            <w:right w:val="none" w:sz="0" w:space="0" w:color="auto"/>
          </w:divBdr>
        </w:div>
        <w:div w:id="1479951841">
          <w:marLeft w:val="0"/>
          <w:marRight w:val="0"/>
          <w:marTop w:val="0"/>
          <w:marBottom w:val="101"/>
          <w:divBdr>
            <w:top w:val="none" w:sz="0" w:space="0" w:color="auto"/>
            <w:left w:val="none" w:sz="0" w:space="0" w:color="auto"/>
            <w:bottom w:val="none" w:sz="0" w:space="0" w:color="auto"/>
            <w:right w:val="none" w:sz="0" w:space="0" w:color="auto"/>
          </w:divBdr>
        </w:div>
        <w:div w:id="1807971557">
          <w:marLeft w:val="0"/>
          <w:marRight w:val="0"/>
          <w:marTop w:val="0"/>
          <w:marBottom w:val="101"/>
          <w:divBdr>
            <w:top w:val="none" w:sz="0" w:space="0" w:color="auto"/>
            <w:left w:val="none" w:sz="0" w:space="0" w:color="auto"/>
            <w:bottom w:val="none" w:sz="0" w:space="0" w:color="auto"/>
            <w:right w:val="none" w:sz="0" w:space="0" w:color="auto"/>
          </w:divBdr>
        </w:div>
        <w:div w:id="440996214">
          <w:marLeft w:val="720"/>
          <w:marRight w:val="0"/>
          <w:marTop w:val="0"/>
          <w:marBottom w:val="101"/>
          <w:divBdr>
            <w:top w:val="none" w:sz="0" w:space="0" w:color="auto"/>
            <w:left w:val="none" w:sz="0" w:space="0" w:color="auto"/>
            <w:bottom w:val="none" w:sz="0" w:space="0" w:color="auto"/>
            <w:right w:val="none" w:sz="0" w:space="0" w:color="auto"/>
          </w:divBdr>
        </w:div>
        <w:div w:id="1470198630">
          <w:marLeft w:val="720"/>
          <w:marRight w:val="0"/>
          <w:marTop w:val="0"/>
          <w:marBottom w:val="101"/>
          <w:divBdr>
            <w:top w:val="none" w:sz="0" w:space="0" w:color="auto"/>
            <w:left w:val="none" w:sz="0" w:space="0" w:color="auto"/>
            <w:bottom w:val="none" w:sz="0" w:space="0" w:color="auto"/>
            <w:right w:val="none" w:sz="0" w:space="0" w:color="auto"/>
          </w:divBdr>
        </w:div>
        <w:div w:id="1149131203">
          <w:marLeft w:val="720"/>
          <w:marRight w:val="0"/>
          <w:marTop w:val="0"/>
          <w:marBottom w:val="101"/>
          <w:divBdr>
            <w:top w:val="none" w:sz="0" w:space="0" w:color="auto"/>
            <w:left w:val="none" w:sz="0" w:space="0" w:color="auto"/>
            <w:bottom w:val="none" w:sz="0" w:space="0" w:color="auto"/>
            <w:right w:val="none" w:sz="0" w:space="0" w:color="auto"/>
          </w:divBdr>
        </w:div>
        <w:div w:id="945036356">
          <w:marLeft w:val="720"/>
          <w:marRight w:val="0"/>
          <w:marTop w:val="0"/>
          <w:marBottom w:val="101"/>
          <w:divBdr>
            <w:top w:val="none" w:sz="0" w:space="0" w:color="auto"/>
            <w:left w:val="none" w:sz="0" w:space="0" w:color="auto"/>
            <w:bottom w:val="none" w:sz="0" w:space="0" w:color="auto"/>
            <w:right w:val="none" w:sz="0" w:space="0" w:color="auto"/>
          </w:divBdr>
        </w:div>
        <w:div w:id="1534881990">
          <w:marLeft w:val="0"/>
          <w:marRight w:val="0"/>
          <w:marTop w:val="0"/>
          <w:marBottom w:val="101"/>
          <w:divBdr>
            <w:top w:val="none" w:sz="0" w:space="0" w:color="auto"/>
            <w:left w:val="none" w:sz="0" w:space="0" w:color="auto"/>
            <w:bottom w:val="none" w:sz="0" w:space="0" w:color="auto"/>
            <w:right w:val="none" w:sz="0" w:space="0" w:color="auto"/>
          </w:divBdr>
        </w:div>
        <w:div w:id="351297812">
          <w:marLeft w:val="0"/>
          <w:marRight w:val="0"/>
          <w:marTop w:val="0"/>
          <w:marBottom w:val="101"/>
          <w:divBdr>
            <w:top w:val="none" w:sz="0" w:space="0" w:color="auto"/>
            <w:left w:val="none" w:sz="0" w:space="0" w:color="auto"/>
            <w:bottom w:val="none" w:sz="0" w:space="0" w:color="auto"/>
            <w:right w:val="none" w:sz="0" w:space="0" w:color="auto"/>
          </w:divBdr>
        </w:div>
        <w:div w:id="1846280698">
          <w:marLeft w:val="0"/>
          <w:marRight w:val="0"/>
          <w:marTop w:val="0"/>
          <w:marBottom w:val="101"/>
          <w:divBdr>
            <w:top w:val="none" w:sz="0" w:space="0" w:color="auto"/>
            <w:left w:val="none" w:sz="0" w:space="0" w:color="auto"/>
            <w:bottom w:val="none" w:sz="0" w:space="0" w:color="auto"/>
            <w:right w:val="none" w:sz="0" w:space="0" w:color="auto"/>
          </w:divBdr>
        </w:div>
        <w:div w:id="1233273270">
          <w:marLeft w:val="0"/>
          <w:marRight w:val="0"/>
          <w:marTop w:val="0"/>
          <w:marBottom w:val="101"/>
          <w:divBdr>
            <w:top w:val="none" w:sz="0" w:space="0" w:color="auto"/>
            <w:left w:val="none" w:sz="0" w:space="0" w:color="auto"/>
            <w:bottom w:val="none" w:sz="0" w:space="0" w:color="auto"/>
            <w:right w:val="none" w:sz="0" w:space="0" w:color="auto"/>
          </w:divBdr>
        </w:div>
        <w:div w:id="148719819">
          <w:marLeft w:val="0"/>
          <w:marRight w:val="0"/>
          <w:marTop w:val="0"/>
          <w:marBottom w:val="101"/>
          <w:divBdr>
            <w:top w:val="none" w:sz="0" w:space="0" w:color="auto"/>
            <w:left w:val="none" w:sz="0" w:space="0" w:color="auto"/>
            <w:bottom w:val="none" w:sz="0" w:space="0" w:color="auto"/>
            <w:right w:val="none" w:sz="0" w:space="0" w:color="auto"/>
          </w:divBdr>
        </w:div>
        <w:div w:id="583995947">
          <w:marLeft w:val="0"/>
          <w:marRight w:val="0"/>
          <w:marTop w:val="0"/>
          <w:marBottom w:val="101"/>
          <w:divBdr>
            <w:top w:val="none" w:sz="0" w:space="0" w:color="auto"/>
            <w:left w:val="none" w:sz="0" w:space="0" w:color="auto"/>
            <w:bottom w:val="none" w:sz="0" w:space="0" w:color="auto"/>
            <w:right w:val="none" w:sz="0" w:space="0" w:color="auto"/>
          </w:divBdr>
        </w:div>
        <w:div w:id="374817686">
          <w:marLeft w:val="0"/>
          <w:marRight w:val="0"/>
          <w:marTop w:val="0"/>
          <w:marBottom w:val="101"/>
          <w:divBdr>
            <w:top w:val="none" w:sz="0" w:space="0" w:color="auto"/>
            <w:left w:val="none" w:sz="0" w:space="0" w:color="auto"/>
            <w:bottom w:val="none" w:sz="0" w:space="0" w:color="auto"/>
            <w:right w:val="none" w:sz="0" w:space="0" w:color="auto"/>
          </w:divBdr>
        </w:div>
      </w:divsChild>
    </w:div>
    <w:div w:id="1809277442">
      <w:bodyDiv w:val="1"/>
      <w:marLeft w:val="0"/>
      <w:marRight w:val="0"/>
      <w:marTop w:val="0"/>
      <w:marBottom w:val="0"/>
      <w:divBdr>
        <w:top w:val="none" w:sz="0" w:space="0" w:color="auto"/>
        <w:left w:val="none" w:sz="0" w:space="0" w:color="auto"/>
        <w:bottom w:val="none" w:sz="0" w:space="0" w:color="auto"/>
        <w:right w:val="none" w:sz="0" w:space="0" w:color="auto"/>
      </w:divBdr>
    </w:div>
    <w:div w:id="1861315669">
      <w:bodyDiv w:val="1"/>
      <w:marLeft w:val="0"/>
      <w:marRight w:val="0"/>
      <w:marTop w:val="0"/>
      <w:marBottom w:val="0"/>
      <w:divBdr>
        <w:top w:val="none" w:sz="0" w:space="0" w:color="auto"/>
        <w:left w:val="none" w:sz="0" w:space="0" w:color="auto"/>
        <w:bottom w:val="none" w:sz="0" w:space="0" w:color="auto"/>
        <w:right w:val="none" w:sz="0" w:space="0" w:color="auto"/>
      </w:divBdr>
    </w:div>
    <w:div w:id="1896551627">
      <w:bodyDiv w:val="1"/>
      <w:marLeft w:val="0"/>
      <w:marRight w:val="0"/>
      <w:marTop w:val="0"/>
      <w:marBottom w:val="0"/>
      <w:divBdr>
        <w:top w:val="none" w:sz="0" w:space="0" w:color="auto"/>
        <w:left w:val="none" w:sz="0" w:space="0" w:color="auto"/>
        <w:bottom w:val="none" w:sz="0" w:space="0" w:color="auto"/>
        <w:right w:val="none" w:sz="0" w:space="0" w:color="auto"/>
      </w:divBdr>
    </w:div>
    <w:div w:id="1904756550">
      <w:bodyDiv w:val="1"/>
      <w:marLeft w:val="0"/>
      <w:marRight w:val="0"/>
      <w:marTop w:val="0"/>
      <w:marBottom w:val="0"/>
      <w:divBdr>
        <w:top w:val="none" w:sz="0" w:space="0" w:color="auto"/>
        <w:left w:val="none" w:sz="0" w:space="0" w:color="auto"/>
        <w:bottom w:val="none" w:sz="0" w:space="0" w:color="auto"/>
        <w:right w:val="none" w:sz="0" w:space="0" w:color="auto"/>
      </w:divBdr>
    </w:div>
    <w:div w:id="1912353505">
      <w:bodyDiv w:val="1"/>
      <w:marLeft w:val="0"/>
      <w:marRight w:val="0"/>
      <w:marTop w:val="0"/>
      <w:marBottom w:val="0"/>
      <w:divBdr>
        <w:top w:val="none" w:sz="0" w:space="0" w:color="auto"/>
        <w:left w:val="none" w:sz="0" w:space="0" w:color="auto"/>
        <w:bottom w:val="none" w:sz="0" w:space="0" w:color="auto"/>
        <w:right w:val="none" w:sz="0" w:space="0" w:color="auto"/>
      </w:divBdr>
      <w:divsChild>
        <w:div w:id="390269894">
          <w:marLeft w:val="0"/>
          <w:marRight w:val="0"/>
          <w:marTop w:val="0"/>
          <w:marBottom w:val="101"/>
          <w:divBdr>
            <w:top w:val="none" w:sz="0" w:space="0" w:color="auto"/>
            <w:left w:val="none" w:sz="0" w:space="0" w:color="auto"/>
            <w:bottom w:val="none" w:sz="0" w:space="0" w:color="auto"/>
            <w:right w:val="none" w:sz="0" w:space="0" w:color="auto"/>
          </w:divBdr>
        </w:div>
        <w:div w:id="919947919">
          <w:marLeft w:val="0"/>
          <w:marRight w:val="0"/>
          <w:marTop w:val="0"/>
          <w:marBottom w:val="101"/>
          <w:divBdr>
            <w:top w:val="none" w:sz="0" w:space="0" w:color="auto"/>
            <w:left w:val="none" w:sz="0" w:space="0" w:color="auto"/>
            <w:bottom w:val="none" w:sz="0" w:space="0" w:color="auto"/>
            <w:right w:val="none" w:sz="0" w:space="0" w:color="auto"/>
          </w:divBdr>
        </w:div>
      </w:divsChild>
    </w:div>
    <w:div w:id="1912764435">
      <w:bodyDiv w:val="1"/>
      <w:marLeft w:val="0"/>
      <w:marRight w:val="0"/>
      <w:marTop w:val="0"/>
      <w:marBottom w:val="0"/>
      <w:divBdr>
        <w:top w:val="none" w:sz="0" w:space="0" w:color="auto"/>
        <w:left w:val="none" w:sz="0" w:space="0" w:color="auto"/>
        <w:bottom w:val="none" w:sz="0" w:space="0" w:color="auto"/>
        <w:right w:val="none" w:sz="0" w:space="0" w:color="auto"/>
      </w:divBdr>
    </w:div>
    <w:div w:id="1924218609">
      <w:bodyDiv w:val="1"/>
      <w:marLeft w:val="0"/>
      <w:marRight w:val="0"/>
      <w:marTop w:val="0"/>
      <w:marBottom w:val="0"/>
      <w:divBdr>
        <w:top w:val="none" w:sz="0" w:space="0" w:color="auto"/>
        <w:left w:val="none" w:sz="0" w:space="0" w:color="auto"/>
        <w:bottom w:val="none" w:sz="0" w:space="0" w:color="auto"/>
        <w:right w:val="none" w:sz="0" w:space="0" w:color="auto"/>
      </w:divBdr>
    </w:div>
    <w:div w:id="1925531296">
      <w:bodyDiv w:val="1"/>
      <w:marLeft w:val="0"/>
      <w:marRight w:val="0"/>
      <w:marTop w:val="0"/>
      <w:marBottom w:val="0"/>
      <w:divBdr>
        <w:top w:val="none" w:sz="0" w:space="0" w:color="auto"/>
        <w:left w:val="none" w:sz="0" w:space="0" w:color="auto"/>
        <w:bottom w:val="none" w:sz="0" w:space="0" w:color="auto"/>
        <w:right w:val="none" w:sz="0" w:space="0" w:color="auto"/>
      </w:divBdr>
    </w:div>
    <w:div w:id="1948652885">
      <w:bodyDiv w:val="1"/>
      <w:marLeft w:val="0"/>
      <w:marRight w:val="0"/>
      <w:marTop w:val="0"/>
      <w:marBottom w:val="0"/>
      <w:divBdr>
        <w:top w:val="none" w:sz="0" w:space="0" w:color="auto"/>
        <w:left w:val="none" w:sz="0" w:space="0" w:color="auto"/>
        <w:bottom w:val="none" w:sz="0" w:space="0" w:color="auto"/>
        <w:right w:val="none" w:sz="0" w:space="0" w:color="auto"/>
      </w:divBdr>
    </w:div>
    <w:div w:id="1961952321">
      <w:bodyDiv w:val="1"/>
      <w:marLeft w:val="0"/>
      <w:marRight w:val="0"/>
      <w:marTop w:val="0"/>
      <w:marBottom w:val="0"/>
      <w:divBdr>
        <w:top w:val="none" w:sz="0" w:space="0" w:color="auto"/>
        <w:left w:val="none" w:sz="0" w:space="0" w:color="auto"/>
        <w:bottom w:val="none" w:sz="0" w:space="0" w:color="auto"/>
        <w:right w:val="none" w:sz="0" w:space="0" w:color="auto"/>
      </w:divBdr>
      <w:divsChild>
        <w:div w:id="603653354">
          <w:marLeft w:val="0"/>
          <w:marRight w:val="0"/>
          <w:marTop w:val="0"/>
          <w:marBottom w:val="101"/>
          <w:divBdr>
            <w:top w:val="none" w:sz="0" w:space="0" w:color="auto"/>
            <w:left w:val="none" w:sz="0" w:space="0" w:color="auto"/>
            <w:bottom w:val="none" w:sz="0" w:space="0" w:color="auto"/>
            <w:right w:val="none" w:sz="0" w:space="0" w:color="auto"/>
          </w:divBdr>
        </w:div>
        <w:div w:id="117719803">
          <w:marLeft w:val="0"/>
          <w:marRight w:val="0"/>
          <w:marTop w:val="0"/>
          <w:marBottom w:val="101"/>
          <w:divBdr>
            <w:top w:val="none" w:sz="0" w:space="0" w:color="auto"/>
            <w:left w:val="none" w:sz="0" w:space="0" w:color="auto"/>
            <w:bottom w:val="none" w:sz="0" w:space="0" w:color="auto"/>
            <w:right w:val="none" w:sz="0" w:space="0" w:color="auto"/>
          </w:divBdr>
        </w:div>
        <w:div w:id="561212190">
          <w:marLeft w:val="0"/>
          <w:marRight w:val="0"/>
          <w:marTop w:val="0"/>
          <w:marBottom w:val="101"/>
          <w:divBdr>
            <w:top w:val="none" w:sz="0" w:space="0" w:color="auto"/>
            <w:left w:val="none" w:sz="0" w:space="0" w:color="auto"/>
            <w:bottom w:val="none" w:sz="0" w:space="0" w:color="auto"/>
            <w:right w:val="none" w:sz="0" w:space="0" w:color="auto"/>
          </w:divBdr>
        </w:div>
        <w:div w:id="310906429">
          <w:marLeft w:val="0"/>
          <w:marRight w:val="0"/>
          <w:marTop w:val="0"/>
          <w:marBottom w:val="101"/>
          <w:divBdr>
            <w:top w:val="none" w:sz="0" w:space="0" w:color="auto"/>
            <w:left w:val="none" w:sz="0" w:space="0" w:color="auto"/>
            <w:bottom w:val="none" w:sz="0" w:space="0" w:color="auto"/>
            <w:right w:val="none" w:sz="0" w:space="0" w:color="auto"/>
          </w:divBdr>
        </w:div>
        <w:div w:id="1410079408">
          <w:marLeft w:val="0"/>
          <w:marRight w:val="0"/>
          <w:marTop w:val="0"/>
          <w:marBottom w:val="101"/>
          <w:divBdr>
            <w:top w:val="none" w:sz="0" w:space="0" w:color="auto"/>
            <w:left w:val="none" w:sz="0" w:space="0" w:color="auto"/>
            <w:bottom w:val="none" w:sz="0" w:space="0" w:color="auto"/>
            <w:right w:val="none" w:sz="0" w:space="0" w:color="auto"/>
          </w:divBdr>
        </w:div>
      </w:divsChild>
    </w:div>
    <w:div w:id="2013951637">
      <w:bodyDiv w:val="1"/>
      <w:marLeft w:val="0"/>
      <w:marRight w:val="0"/>
      <w:marTop w:val="0"/>
      <w:marBottom w:val="0"/>
      <w:divBdr>
        <w:top w:val="none" w:sz="0" w:space="0" w:color="auto"/>
        <w:left w:val="none" w:sz="0" w:space="0" w:color="auto"/>
        <w:bottom w:val="none" w:sz="0" w:space="0" w:color="auto"/>
        <w:right w:val="none" w:sz="0" w:space="0" w:color="auto"/>
      </w:divBdr>
    </w:div>
    <w:div w:id="2044556918">
      <w:bodyDiv w:val="1"/>
      <w:marLeft w:val="0"/>
      <w:marRight w:val="0"/>
      <w:marTop w:val="0"/>
      <w:marBottom w:val="0"/>
      <w:divBdr>
        <w:top w:val="none" w:sz="0" w:space="0" w:color="auto"/>
        <w:left w:val="none" w:sz="0" w:space="0" w:color="auto"/>
        <w:bottom w:val="none" w:sz="0" w:space="0" w:color="auto"/>
        <w:right w:val="none" w:sz="0" w:space="0" w:color="auto"/>
      </w:divBdr>
      <w:divsChild>
        <w:div w:id="2030568487">
          <w:marLeft w:val="0"/>
          <w:marRight w:val="0"/>
          <w:marTop w:val="0"/>
          <w:marBottom w:val="101"/>
          <w:divBdr>
            <w:top w:val="none" w:sz="0" w:space="0" w:color="auto"/>
            <w:left w:val="none" w:sz="0" w:space="0" w:color="auto"/>
            <w:bottom w:val="none" w:sz="0" w:space="0" w:color="auto"/>
            <w:right w:val="none" w:sz="0" w:space="0" w:color="auto"/>
          </w:divBdr>
        </w:div>
        <w:div w:id="1179662891">
          <w:marLeft w:val="0"/>
          <w:marRight w:val="0"/>
          <w:marTop w:val="0"/>
          <w:marBottom w:val="101"/>
          <w:divBdr>
            <w:top w:val="none" w:sz="0" w:space="0" w:color="auto"/>
            <w:left w:val="none" w:sz="0" w:space="0" w:color="auto"/>
            <w:bottom w:val="none" w:sz="0" w:space="0" w:color="auto"/>
            <w:right w:val="none" w:sz="0" w:space="0" w:color="auto"/>
          </w:divBdr>
        </w:div>
        <w:div w:id="550265200">
          <w:marLeft w:val="0"/>
          <w:marRight w:val="0"/>
          <w:marTop w:val="0"/>
          <w:marBottom w:val="101"/>
          <w:divBdr>
            <w:top w:val="none" w:sz="0" w:space="0" w:color="auto"/>
            <w:left w:val="none" w:sz="0" w:space="0" w:color="auto"/>
            <w:bottom w:val="none" w:sz="0" w:space="0" w:color="auto"/>
            <w:right w:val="none" w:sz="0" w:space="0" w:color="auto"/>
          </w:divBdr>
        </w:div>
        <w:div w:id="876888497">
          <w:marLeft w:val="0"/>
          <w:marRight w:val="0"/>
          <w:marTop w:val="0"/>
          <w:marBottom w:val="101"/>
          <w:divBdr>
            <w:top w:val="none" w:sz="0" w:space="0" w:color="auto"/>
            <w:left w:val="none" w:sz="0" w:space="0" w:color="auto"/>
            <w:bottom w:val="none" w:sz="0" w:space="0" w:color="auto"/>
            <w:right w:val="none" w:sz="0" w:space="0" w:color="auto"/>
          </w:divBdr>
        </w:div>
        <w:div w:id="1081636888">
          <w:marLeft w:val="0"/>
          <w:marRight w:val="0"/>
          <w:marTop w:val="0"/>
          <w:marBottom w:val="101"/>
          <w:divBdr>
            <w:top w:val="none" w:sz="0" w:space="0" w:color="auto"/>
            <w:left w:val="none" w:sz="0" w:space="0" w:color="auto"/>
            <w:bottom w:val="none" w:sz="0" w:space="0" w:color="auto"/>
            <w:right w:val="none" w:sz="0" w:space="0" w:color="auto"/>
          </w:divBdr>
        </w:div>
        <w:div w:id="1830053082">
          <w:marLeft w:val="0"/>
          <w:marRight w:val="0"/>
          <w:marTop w:val="0"/>
          <w:marBottom w:val="101"/>
          <w:divBdr>
            <w:top w:val="none" w:sz="0" w:space="0" w:color="auto"/>
            <w:left w:val="none" w:sz="0" w:space="0" w:color="auto"/>
            <w:bottom w:val="none" w:sz="0" w:space="0" w:color="auto"/>
            <w:right w:val="none" w:sz="0" w:space="0" w:color="auto"/>
          </w:divBdr>
        </w:div>
        <w:div w:id="326061449">
          <w:marLeft w:val="0"/>
          <w:marRight w:val="0"/>
          <w:marTop w:val="0"/>
          <w:marBottom w:val="101"/>
          <w:divBdr>
            <w:top w:val="none" w:sz="0" w:space="0" w:color="auto"/>
            <w:left w:val="none" w:sz="0" w:space="0" w:color="auto"/>
            <w:bottom w:val="none" w:sz="0" w:space="0" w:color="auto"/>
            <w:right w:val="none" w:sz="0" w:space="0" w:color="auto"/>
          </w:divBdr>
        </w:div>
        <w:div w:id="400370554">
          <w:marLeft w:val="0"/>
          <w:marRight w:val="0"/>
          <w:marTop w:val="0"/>
          <w:marBottom w:val="101"/>
          <w:divBdr>
            <w:top w:val="none" w:sz="0" w:space="0" w:color="auto"/>
            <w:left w:val="none" w:sz="0" w:space="0" w:color="auto"/>
            <w:bottom w:val="none" w:sz="0" w:space="0" w:color="auto"/>
            <w:right w:val="none" w:sz="0" w:space="0" w:color="auto"/>
          </w:divBdr>
        </w:div>
        <w:div w:id="2029525780">
          <w:marLeft w:val="0"/>
          <w:marRight w:val="0"/>
          <w:marTop w:val="0"/>
          <w:marBottom w:val="101"/>
          <w:divBdr>
            <w:top w:val="none" w:sz="0" w:space="0" w:color="auto"/>
            <w:left w:val="none" w:sz="0" w:space="0" w:color="auto"/>
            <w:bottom w:val="none" w:sz="0" w:space="0" w:color="auto"/>
            <w:right w:val="none" w:sz="0" w:space="0" w:color="auto"/>
          </w:divBdr>
        </w:div>
        <w:div w:id="1636331628">
          <w:marLeft w:val="0"/>
          <w:marRight w:val="0"/>
          <w:marTop w:val="0"/>
          <w:marBottom w:val="101"/>
          <w:divBdr>
            <w:top w:val="none" w:sz="0" w:space="0" w:color="auto"/>
            <w:left w:val="none" w:sz="0" w:space="0" w:color="auto"/>
            <w:bottom w:val="none" w:sz="0" w:space="0" w:color="auto"/>
            <w:right w:val="none" w:sz="0" w:space="0" w:color="auto"/>
          </w:divBdr>
        </w:div>
        <w:div w:id="2082828981">
          <w:marLeft w:val="0"/>
          <w:marRight w:val="0"/>
          <w:marTop w:val="0"/>
          <w:marBottom w:val="101"/>
          <w:divBdr>
            <w:top w:val="none" w:sz="0" w:space="0" w:color="auto"/>
            <w:left w:val="none" w:sz="0" w:space="0" w:color="auto"/>
            <w:bottom w:val="none" w:sz="0" w:space="0" w:color="auto"/>
            <w:right w:val="none" w:sz="0" w:space="0" w:color="auto"/>
          </w:divBdr>
        </w:div>
        <w:div w:id="553346946">
          <w:marLeft w:val="720"/>
          <w:marRight w:val="0"/>
          <w:marTop w:val="0"/>
          <w:marBottom w:val="101"/>
          <w:divBdr>
            <w:top w:val="none" w:sz="0" w:space="0" w:color="auto"/>
            <w:left w:val="none" w:sz="0" w:space="0" w:color="auto"/>
            <w:bottom w:val="none" w:sz="0" w:space="0" w:color="auto"/>
            <w:right w:val="none" w:sz="0" w:space="0" w:color="auto"/>
          </w:divBdr>
        </w:div>
        <w:div w:id="295182836">
          <w:marLeft w:val="720"/>
          <w:marRight w:val="0"/>
          <w:marTop w:val="0"/>
          <w:marBottom w:val="101"/>
          <w:divBdr>
            <w:top w:val="none" w:sz="0" w:space="0" w:color="auto"/>
            <w:left w:val="none" w:sz="0" w:space="0" w:color="auto"/>
            <w:bottom w:val="none" w:sz="0" w:space="0" w:color="auto"/>
            <w:right w:val="none" w:sz="0" w:space="0" w:color="auto"/>
          </w:divBdr>
        </w:div>
        <w:div w:id="788743012">
          <w:marLeft w:val="720"/>
          <w:marRight w:val="0"/>
          <w:marTop w:val="0"/>
          <w:marBottom w:val="101"/>
          <w:divBdr>
            <w:top w:val="none" w:sz="0" w:space="0" w:color="auto"/>
            <w:left w:val="none" w:sz="0" w:space="0" w:color="auto"/>
            <w:bottom w:val="none" w:sz="0" w:space="0" w:color="auto"/>
            <w:right w:val="none" w:sz="0" w:space="0" w:color="auto"/>
          </w:divBdr>
        </w:div>
        <w:div w:id="1875271167">
          <w:marLeft w:val="720"/>
          <w:marRight w:val="0"/>
          <w:marTop w:val="0"/>
          <w:marBottom w:val="101"/>
          <w:divBdr>
            <w:top w:val="none" w:sz="0" w:space="0" w:color="auto"/>
            <w:left w:val="none" w:sz="0" w:space="0" w:color="auto"/>
            <w:bottom w:val="none" w:sz="0" w:space="0" w:color="auto"/>
            <w:right w:val="none" w:sz="0" w:space="0" w:color="auto"/>
          </w:divBdr>
        </w:div>
        <w:div w:id="285236209">
          <w:marLeft w:val="720"/>
          <w:marRight w:val="0"/>
          <w:marTop w:val="0"/>
          <w:marBottom w:val="84"/>
          <w:divBdr>
            <w:top w:val="none" w:sz="0" w:space="0" w:color="auto"/>
            <w:left w:val="none" w:sz="0" w:space="0" w:color="auto"/>
            <w:bottom w:val="none" w:sz="0" w:space="0" w:color="auto"/>
            <w:right w:val="none" w:sz="0" w:space="0" w:color="auto"/>
          </w:divBdr>
        </w:div>
        <w:div w:id="1321155708">
          <w:marLeft w:val="720"/>
          <w:marRight w:val="0"/>
          <w:marTop w:val="0"/>
          <w:marBottom w:val="84"/>
          <w:divBdr>
            <w:top w:val="none" w:sz="0" w:space="0" w:color="auto"/>
            <w:left w:val="none" w:sz="0" w:space="0" w:color="auto"/>
            <w:bottom w:val="none" w:sz="0" w:space="0" w:color="auto"/>
            <w:right w:val="none" w:sz="0" w:space="0" w:color="auto"/>
          </w:divBdr>
        </w:div>
        <w:div w:id="1783186894">
          <w:marLeft w:val="1152"/>
          <w:marRight w:val="0"/>
          <w:marTop w:val="0"/>
          <w:marBottom w:val="84"/>
          <w:divBdr>
            <w:top w:val="none" w:sz="0" w:space="0" w:color="auto"/>
            <w:left w:val="none" w:sz="0" w:space="0" w:color="auto"/>
            <w:bottom w:val="none" w:sz="0" w:space="0" w:color="auto"/>
            <w:right w:val="none" w:sz="0" w:space="0" w:color="auto"/>
          </w:divBdr>
        </w:div>
        <w:div w:id="260771004">
          <w:marLeft w:val="1152"/>
          <w:marRight w:val="0"/>
          <w:marTop w:val="0"/>
          <w:marBottom w:val="84"/>
          <w:divBdr>
            <w:top w:val="none" w:sz="0" w:space="0" w:color="auto"/>
            <w:left w:val="none" w:sz="0" w:space="0" w:color="auto"/>
            <w:bottom w:val="none" w:sz="0" w:space="0" w:color="auto"/>
            <w:right w:val="none" w:sz="0" w:space="0" w:color="auto"/>
          </w:divBdr>
        </w:div>
        <w:div w:id="321737286">
          <w:marLeft w:val="1152"/>
          <w:marRight w:val="0"/>
          <w:marTop w:val="0"/>
          <w:marBottom w:val="84"/>
          <w:divBdr>
            <w:top w:val="none" w:sz="0" w:space="0" w:color="auto"/>
            <w:left w:val="none" w:sz="0" w:space="0" w:color="auto"/>
            <w:bottom w:val="none" w:sz="0" w:space="0" w:color="auto"/>
            <w:right w:val="none" w:sz="0" w:space="0" w:color="auto"/>
          </w:divBdr>
        </w:div>
        <w:div w:id="1928418843">
          <w:marLeft w:val="1152"/>
          <w:marRight w:val="0"/>
          <w:marTop w:val="0"/>
          <w:marBottom w:val="84"/>
          <w:divBdr>
            <w:top w:val="none" w:sz="0" w:space="0" w:color="auto"/>
            <w:left w:val="none" w:sz="0" w:space="0" w:color="auto"/>
            <w:bottom w:val="none" w:sz="0" w:space="0" w:color="auto"/>
            <w:right w:val="none" w:sz="0" w:space="0" w:color="auto"/>
          </w:divBdr>
        </w:div>
        <w:div w:id="1499926429">
          <w:marLeft w:val="1152"/>
          <w:marRight w:val="0"/>
          <w:marTop w:val="0"/>
          <w:marBottom w:val="84"/>
          <w:divBdr>
            <w:top w:val="none" w:sz="0" w:space="0" w:color="auto"/>
            <w:left w:val="none" w:sz="0" w:space="0" w:color="auto"/>
            <w:bottom w:val="none" w:sz="0" w:space="0" w:color="auto"/>
            <w:right w:val="none" w:sz="0" w:space="0" w:color="auto"/>
          </w:divBdr>
        </w:div>
        <w:div w:id="2045010915">
          <w:marLeft w:val="720"/>
          <w:marRight w:val="0"/>
          <w:marTop w:val="0"/>
          <w:marBottom w:val="84"/>
          <w:divBdr>
            <w:top w:val="none" w:sz="0" w:space="0" w:color="auto"/>
            <w:left w:val="none" w:sz="0" w:space="0" w:color="auto"/>
            <w:bottom w:val="none" w:sz="0" w:space="0" w:color="auto"/>
            <w:right w:val="none" w:sz="0" w:space="0" w:color="auto"/>
          </w:divBdr>
        </w:div>
        <w:div w:id="633406414">
          <w:marLeft w:val="720"/>
          <w:marRight w:val="0"/>
          <w:marTop w:val="0"/>
          <w:marBottom w:val="84"/>
          <w:divBdr>
            <w:top w:val="none" w:sz="0" w:space="0" w:color="auto"/>
            <w:left w:val="none" w:sz="0" w:space="0" w:color="auto"/>
            <w:bottom w:val="none" w:sz="0" w:space="0" w:color="auto"/>
            <w:right w:val="none" w:sz="0" w:space="0" w:color="auto"/>
          </w:divBdr>
        </w:div>
        <w:div w:id="271327712">
          <w:marLeft w:val="0"/>
          <w:marRight w:val="0"/>
          <w:marTop w:val="0"/>
          <w:marBottom w:val="84"/>
          <w:divBdr>
            <w:top w:val="none" w:sz="0" w:space="0" w:color="auto"/>
            <w:left w:val="none" w:sz="0" w:space="0" w:color="auto"/>
            <w:bottom w:val="none" w:sz="0" w:space="0" w:color="auto"/>
            <w:right w:val="none" w:sz="0" w:space="0" w:color="auto"/>
          </w:divBdr>
        </w:div>
        <w:div w:id="587228906">
          <w:marLeft w:val="0"/>
          <w:marRight w:val="0"/>
          <w:marTop w:val="0"/>
          <w:marBottom w:val="84"/>
          <w:divBdr>
            <w:top w:val="none" w:sz="0" w:space="0" w:color="auto"/>
            <w:left w:val="none" w:sz="0" w:space="0" w:color="auto"/>
            <w:bottom w:val="none" w:sz="0" w:space="0" w:color="auto"/>
            <w:right w:val="none" w:sz="0" w:space="0" w:color="auto"/>
          </w:divBdr>
        </w:div>
        <w:div w:id="1254901386">
          <w:marLeft w:val="0"/>
          <w:marRight w:val="0"/>
          <w:marTop w:val="0"/>
          <w:marBottom w:val="84"/>
          <w:divBdr>
            <w:top w:val="none" w:sz="0" w:space="0" w:color="auto"/>
            <w:left w:val="none" w:sz="0" w:space="0" w:color="auto"/>
            <w:bottom w:val="none" w:sz="0" w:space="0" w:color="auto"/>
            <w:right w:val="none" w:sz="0" w:space="0" w:color="auto"/>
          </w:divBdr>
        </w:div>
        <w:div w:id="1235552475">
          <w:marLeft w:val="0"/>
          <w:marRight w:val="0"/>
          <w:marTop w:val="0"/>
          <w:marBottom w:val="84"/>
          <w:divBdr>
            <w:top w:val="none" w:sz="0" w:space="0" w:color="auto"/>
            <w:left w:val="none" w:sz="0" w:space="0" w:color="auto"/>
            <w:bottom w:val="none" w:sz="0" w:space="0" w:color="auto"/>
            <w:right w:val="none" w:sz="0" w:space="0" w:color="auto"/>
          </w:divBdr>
        </w:div>
        <w:div w:id="1065883121">
          <w:marLeft w:val="0"/>
          <w:marRight w:val="0"/>
          <w:marTop w:val="0"/>
          <w:marBottom w:val="84"/>
          <w:divBdr>
            <w:top w:val="none" w:sz="0" w:space="0" w:color="auto"/>
            <w:left w:val="none" w:sz="0" w:space="0" w:color="auto"/>
            <w:bottom w:val="none" w:sz="0" w:space="0" w:color="auto"/>
            <w:right w:val="none" w:sz="0" w:space="0" w:color="auto"/>
          </w:divBdr>
        </w:div>
        <w:div w:id="1105731009">
          <w:marLeft w:val="0"/>
          <w:marRight w:val="0"/>
          <w:marTop w:val="0"/>
          <w:marBottom w:val="84"/>
          <w:divBdr>
            <w:top w:val="none" w:sz="0" w:space="0" w:color="auto"/>
            <w:left w:val="none" w:sz="0" w:space="0" w:color="auto"/>
            <w:bottom w:val="none" w:sz="0" w:space="0" w:color="auto"/>
            <w:right w:val="none" w:sz="0" w:space="0" w:color="auto"/>
          </w:divBdr>
        </w:div>
        <w:div w:id="2094810359">
          <w:marLeft w:val="0"/>
          <w:marRight w:val="0"/>
          <w:marTop w:val="0"/>
          <w:marBottom w:val="84"/>
          <w:divBdr>
            <w:top w:val="none" w:sz="0" w:space="0" w:color="auto"/>
            <w:left w:val="none" w:sz="0" w:space="0" w:color="auto"/>
            <w:bottom w:val="none" w:sz="0" w:space="0" w:color="auto"/>
            <w:right w:val="none" w:sz="0" w:space="0" w:color="auto"/>
          </w:divBdr>
        </w:div>
        <w:div w:id="1403217329">
          <w:marLeft w:val="0"/>
          <w:marRight w:val="0"/>
          <w:marTop w:val="0"/>
          <w:marBottom w:val="84"/>
          <w:divBdr>
            <w:top w:val="none" w:sz="0" w:space="0" w:color="auto"/>
            <w:left w:val="none" w:sz="0" w:space="0" w:color="auto"/>
            <w:bottom w:val="none" w:sz="0" w:space="0" w:color="auto"/>
            <w:right w:val="none" w:sz="0" w:space="0" w:color="auto"/>
          </w:divBdr>
        </w:div>
        <w:div w:id="1491755864">
          <w:marLeft w:val="0"/>
          <w:marRight w:val="0"/>
          <w:marTop w:val="0"/>
          <w:marBottom w:val="84"/>
          <w:divBdr>
            <w:top w:val="none" w:sz="0" w:space="0" w:color="auto"/>
            <w:left w:val="none" w:sz="0" w:space="0" w:color="auto"/>
            <w:bottom w:val="none" w:sz="0" w:space="0" w:color="auto"/>
            <w:right w:val="none" w:sz="0" w:space="0" w:color="auto"/>
          </w:divBdr>
        </w:div>
        <w:div w:id="1006833703">
          <w:marLeft w:val="0"/>
          <w:marRight w:val="0"/>
          <w:marTop w:val="0"/>
          <w:marBottom w:val="84"/>
          <w:divBdr>
            <w:top w:val="none" w:sz="0" w:space="0" w:color="auto"/>
            <w:left w:val="none" w:sz="0" w:space="0" w:color="auto"/>
            <w:bottom w:val="none" w:sz="0" w:space="0" w:color="auto"/>
            <w:right w:val="none" w:sz="0" w:space="0" w:color="auto"/>
          </w:divBdr>
        </w:div>
        <w:div w:id="653873987">
          <w:marLeft w:val="0"/>
          <w:marRight w:val="0"/>
          <w:marTop w:val="0"/>
          <w:marBottom w:val="84"/>
          <w:divBdr>
            <w:top w:val="none" w:sz="0" w:space="0" w:color="auto"/>
            <w:left w:val="none" w:sz="0" w:space="0" w:color="auto"/>
            <w:bottom w:val="none" w:sz="0" w:space="0" w:color="auto"/>
            <w:right w:val="none" w:sz="0" w:space="0" w:color="auto"/>
          </w:divBdr>
        </w:div>
        <w:div w:id="1523743022">
          <w:marLeft w:val="0"/>
          <w:marRight w:val="0"/>
          <w:marTop w:val="0"/>
          <w:marBottom w:val="84"/>
          <w:divBdr>
            <w:top w:val="none" w:sz="0" w:space="0" w:color="auto"/>
            <w:left w:val="none" w:sz="0" w:space="0" w:color="auto"/>
            <w:bottom w:val="none" w:sz="0" w:space="0" w:color="auto"/>
            <w:right w:val="none" w:sz="0" w:space="0" w:color="auto"/>
          </w:divBdr>
        </w:div>
        <w:div w:id="103503934">
          <w:marLeft w:val="0"/>
          <w:marRight w:val="0"/>
          <w:marTop w:val="0"/>
          <w:marBottom w:val="84"/>
          <w:divBdr>
            <w:top w:val="none" w:sz="0" w:space="0" w:color="auto"/>
            <w:left w:val="none" w:sz="0" w:space="0" w:color="auto"/>
            <w:bottom w:val="none" w:sz="0" w:space="0" w:color="auto"/>
            <w:right w:val="none" w:sz="0" w:space="0" w:color="auto"/>
          </w:divBdr>
        </w:div>
        <w:div w:id="1568373826">
          <w:marLeft w:val="0"/>
          <w:marRight w:val="0"/>
          <w:marTop w:val="0"/>
          <w:marBottom w:val="84"/>
          <w:divBdr>
            <w:top w:val="none" w:sz="0" w:space="0" w:color="auto"/>
            <w:left w:val="none" w:sz="0" w:space="0" w:color="auto"/>
            <w:bottom w:val="none" w:sz="0" w:space="0" w:color="auto"/>
            <w:right w:val="none" w:sz="0" w:space="0" w:color="auto"/>
          </w:divBdr>
        </w:div>
        <w:div w:id="213078537">
          <w:marLeft w:val="0"/>
          <w:marRight w:val="0"/>
          <w:marTop w:val="0"/>
          <w:marBottom w:val="84"/>
          <w:divBdr>
            <w:top w:val="none" w:sz="0" w:space="0" w:color="auto"/>
            <w:left w:val="none" w:sz="0" w:space="0" w:color="auto"/>
            <w:bottom w:val="none" w:sz="0" w:space="0" w:color="auto"/>
            <w:right w:val="none" w:sz="0" w:space="0" w:color="auto"/>
          </w:divBdr>
        </w:div>
        <w:div w:id="1144930227">
          <w:marLeft w:val="0"/>
          <w:marRight w:val="0"/>
          <w:marTop w:val="0"/>
          <w:marBottom w:val="84"/>
          <w:divBdr>
            <w:top w:val="none" w:sz="0" w:space="0" w:color="auto"/>
            <w:left w:val="none" w:sz="0" w:space="0" w:color="auto"/>
            <w:bottom w:val="none" w:sz="0" w:space="0" w:color="auto"/>
            <w:right w:val="none" w:sz="0" w:space="0" w:color="auto"/>
          </w:divBdr>
        </w:div>
        <w:div w:id="1626427300">
          <w:marLeft w:val="0"/>
          <w:marRight w:val="0"/>
          <w:marTop w:val="0"/>
          <w:marBottom w:val="84"/>
          <w:divBdr>
            <w:top w:val="none" w:sz="0" w:space="0" w:color="auto"/>
            <w:left w:val="none" w:sz="0" w:space="0" w:color="auto"/>
            <w:bottom w:val="none" w:sz="0" w:space="0" w:color="auto"/>
            <w:right w:val="none" w:sz="0" w:space="0" w:color="auto"/>
          </w:divBdr>
        </w:div>
        <w:div w:id="1473593174">
          <w:marLeft w:val="0"/>
          <w:marRight w:val="0"/>
          <w:marTop w:val="0"/>
          <w:marBottom w:val="84"/>
          <w:divBdr>
            <w:top w:val="none" w:sz="0" w:space="0" w:color="auto"/>
            <w:left w:val="none" w:sz="0" w:space="0" w:color="auto"/>
            <w:bottom w:val="none" w:sz="0" w:space="0" w:color="auto"/>
            <w:right w:val="none" w:sz="0" w:space="0" w:color="auto"/>
          </w:divBdr>
        </w:div>
        <w:div w:id="1431923833">
          <w:marLeft w:val="720"/>
          <w:marRight w:val="0"/>
          <w:marTop w:val="0"/>
          <w:marBottom w:val="84"/>
          <w:divBdr>
            <w:top w:val="none" w:sz="0" w:space="0" w:color="auto"/>
            <w:left w:val="none" w:sz="0" w:space="0" w:color="auto"/>
            <w:bottom w:val="none" w:sz="0" w:space="0" w:color="auto"/>
            <w:right w:val="none" w:sz="0" w:space="0" w:color="auto"/>
          </w:divBdr>
        </w:div>
        <w:div w:id="1970742540">
          <w:marLeft w:val="720"/>
          <w:marRight w:val="0"/>
          <w:marTop w:val="0"/>
          <w:marBottom w:val="84"/>
          <w:divBdr>
            <w:top w:val="none" w:sz="0" w:space="0" w:color="auto"/>
            <w:left w:val="none" w:sz="0" w:space="0" w:color="auto"/>
            <w:bottom w:val="none" w:sz="0" w:space="0" w:color="auto"/>
            <w:right w:val="none" w:sz="0" w:space="0" w:color="auto"/>
          </w:divBdr>
        </w:div>
        <w:div w:id="1410688996">
          <w:marLeft w:val="720"/>
          <w:marRight w:val="0"/>
          <w:marTop w:val="0"/>
          <w:marBottom w:val="84"/>
          <w:divBdr>
            <w:top w:val="none" w:sz="0" w:space="0" w:color="auto"/>
            <w:left w:val="none" w:sz="0" w:space="0" w:color="auto"/>
            <w:bottom w:val="none" w:sz="0" w:space="0" w:color="auto"/>
            <w:right w:val="none" w:sz="0" w:space="0" w:color="auto"/>
          </w:divBdr>
        </w:div>
        <w:div w:id="775947385">
          <w:marLeft w:val="720"/>
          <w:marRight w:val="0"/>
          <w:marTop w:val="0"/>
          <w:marBottom w:val="84"/>
          <w:divBdr>
            <w:top w:val="none" w:sz="0" w:space="0" w:color="auto"/>
            <w:left w:val="none" w:sz="0" w:space="0" w:color="auto"/>
            <w:bottom w:val="none" w:sz="0" w:space="0" w:color="auto"/>
            <w:right w:val="none" w:sz="0" w:space="0" w:color="auto"/>
          </w:divBdr>
        </w:div>
        <w:div w:id="301085337">
          <w:marLeft w:val="720"/>
          <w:marRight w:val="0"/>
          <w:marTop w:val="0"/>
          <w:marBottom w:val="84"/>
          <w:divBdr>
            <w:top w:val="none" w:sz="0" w:space="0" w:color="auto"/>
            <w:left w:val="none" w:sz="0" w:space="0" w:color="auto"/>
            <w:bottom w:val="none" w:sz="0" w:space="0" w:color="auto"/>
            <w:right w:val="none" w:sz="0" w:space="0" w:color="auto"/>
          </w:divBdr>
        </w:div>
        <w:div w:id="842670774">
          <w:marLeft w:val="720"/>
          <w:marRight w:val="0"/>
          <w:marTop w:val="0"/>
          <w:marBottom w:val="84"/>
          <w:divBdr>
            <w:top w:val="none" w:sz="0" w:space="0" w:color="auto"/>
            <w:left w:val="none" w:sz="0" w:space="0" w:color="auto"/>
            <w:bottom w:val="none" w:sz="0" w:space="0" w:color="auto"/>
            <w:right w:val="none" w:sz="0" w:space="0" w:color="auto"/>
          </w:divBdr>
        </w:div>
        <w:div w:id="902717686">
          <w:marLeft w:val="720"/>
          <w:marRight w:val="0"/>
          <w:marTop w:val="0"/>
          <w:marBottom w:val="84"/>
          <w:divBdr>
            <w:top w:val="none" w:sz="0" w:space="0" w:color="auto"/>
            <w:left w:val="none" w:sz="0" w:space="0" w:color="auto"/>
            <w:bottom w:val="none" w:sz="0" w:space="0" w:color="auto"/>
            <w:right w:val="none" w:sz="0" w:space="0" w:color="auto"/>
          </w:divBdr>
        </w:div>
        <w:div w:id="1606573036">
          <w:marLeft w:val="720"/>
          <w:marRight w:val="0"/>
          <w:marTop w:val="0"/>
          <w:marBottom w:val="84"/>
          <w:divBdr>
            <w:top w:val="none" w:sz="0" w:space="0" w:color="auto"/>
            <w:left w:val="none" w:sz="0" w:space="0" w:color="auto"/>
            <w:bottom w:val="none" w:sz="0" w:space="0" w:color="auto"/>
            <w:right w:val="none" w:sz="0" w:space="0" w:color="auto"/>
          </w:divBdr>
        </w:div>
        <w:div w:id="2127001808">
          <w:marLeft w:val="720"/>
          <w:marRight w:val="0"/>
          <w:marTop w:val="0"/>
          <w:marBottom w:val="84"/>
          <w:divBdr>
            <w:top w:val="none" w:sz="0" w:space="0" w:color="auto"/>
            <w:left w:val="none" w:sz="0" w:space="0" w:color="auto"/>
            <w:bottom w:val="none" w:sz="0" w:space="0" w:color="auto"/>
            <w:right w:val="none" w:sz="0" w:space="0" w:color="auto"/>
          </w:divBdr>
        </w:div>
        <w:div w:id="1994404494">
          <w:marLeft w:val="720"/>
          <w:marRight w:val="0"/>
          <w:marTop w:val="0"/>
          <w:marBottom w:val="84"/>
          <w:divBdr>
            <w:top w:val="none" w:sz="0" w:space="0" w:color="auto"/>
            <w:left w:val="none" w:sz="0" w:space="0" w:color="auto"/>
            <w:bottom w:val="none" w:sz="0" w:space="0" w:color="auto"/>
            <w:right w:val="none" w:sz="0" w:space="0" w:color="auto"/>
          </w:divBdr>
        </w:div>
        <w:div w:id="309091346">
          <w:marLeft w:val="288"/>
          <w:marRight w:val="0"/>
          <w:marTop w:val="0"/>
          <w:marBottom w:val="84"/>
          <w:divBdr>
            <w:top w:val="none" w:sz="0" w:space="0" w:color="auto"/>
            <w:left w:val="none" w:sz="0" w:space="0" w:color="auto"/>
            <w:bottom w:val="none" w:sz="0" w:space="0" w:color="auto"/>
            <w:right w:val="none" w:sz="0" w:space="0" w:color="auto"/>
          </w:divBdr>
        </w:div>
        <w:div w:id="1328822735">
          <w:marLeft w:val="720"/>
          <w:marRight w:val="0"/>
          <w:marTop w:val="0"/>
          <w:marBottom w:val="84"/>
          <w:divBdr>
            <w:top w:val="none" w:sz="0" w:space="0" w:color="auto"/>
            <w:left w:val="none" w:sz="0" w:space="0" w:color="auto"/>
            <w:bottom w:val="none" w:sz="0" w:space="0" w:color="auto"/>
            <w:right w:val="none" w:sz="0" w:space="0" w:color="auto"/>
          </w:divBdr>
        </w:div>
        <w:div w:id="1077630297">
          <w:marLeft w:val="720"/>
          <w:marRight w:val="0"/>
          <w:marTop w:val="0"/>
          <w:marBottom w:val="84"/>
          <w:divBdr>
            <w:top w:val="none" w:sz="0" w:space="0" w:color="auto"/>
            <w:left w:val="none" w:sz="0" w:space="0" w:color="auto"/>
            <w:bottom w:val="none" w:sz="0" w:space="0" w:color="auto"/>
            <w:right w:val="none" w:sz="0" w:space="0" w:color="auto"/>
          </w:divBdr>
        </w:div>
        <w:div w:id="1784381297">
          <w:marLeft w:val="720"/>
          <w:marRight w:val="0"/>
          <w:marTop w:val="0"/>
          <w:marBottom w:val="84"/>
          <w:divBdr>
            <w:top w:val="none" w:sz="0" w:space="0" w:color="auto"/>
            <w:left w:val="none" w:sz="0" w:space="0" w:color="auto"/>
            <w:bottom w:val="none" w:sz="0" w:space="0" w:color="auto"/>
            <w:right w:val="none" w:sz="0" w:space="0" w:color="auto"/>
          </w:divBdr>
        </w:div>
        <w:div w:id="808286920">
          <w:marLeft w:val="720"/>
          <w:marRight w:val="0"/>
          <w:marTop w:val="0"/>
          <w:marBottom w:val="84"/>
          <w:divBdr>
            <w:top w:val="none" w:sz="0" w:space="0" w:color="auto"/>
            <w:left w:val="none" w:sz="0" w:space="0" w:color="auto"/>
            <w:bottom w:val="none" w:sz="0" w:space="0" w:color="auto"/>
            <w:right w:val="none" w:sz="0" w:space="0" w:color="auto"/>
          </w:divBdr>
        </w:div>
        <w:div w:id="2049334923">
          <w:marLeft w:val="720"/>
          <w:marRight w:val="0"/>
          <w:marTop w:val="0"/>
          <w:marBottom w:val="84"/>
          <w:divBdr>
            <w:top w:val="none" w:sz="0" w:space="0" w:color="auto"/>
            <w:left w:val="none" w:sz="0" w:space="0" w:color="auto"/>
            <w:bottom w:val="none" w:sz="0" w:space="0" w:color="auto"/>
            <w:right w:val="none" w:sz="0" w:space="0" w:color="auto"/>
          </w:divBdr>
        </w:div>
        <w:div w:id="515659385">
          <w:marLeft w:val="720"/>
          <w:marRight w:val="0"/>
          <w:marTop w:val="0"/>
          <w:marBottom w:val="84"/>
          <w:divBdr>
            <w:top w:val="none" w:sz="0" w:space="0" w:color="auto"/>
            <w:left w:val="none" w:sz="0" w:space="0" w:color="auto"/>
            <w:bottom w:val="none" w:sz="0" w:space="0" w:color="auto"/>
            <w:right w:val="none" w:sz="0" w:space="0" w:color="auto"/>
          </w:divBdr>
        </w:div>
        <w:div w:id="58868583">
          <w:marLeft w:val="720"/>
          <w:marRight w:val="0"/>
          <w:marTop w:val="0"/>
          <w:marBottom w:val="84"/>
          <w:divBdr>
            <w:top w:val="none" w:sz="0" w:space="0" w:color="auto"/>
            <w:left w:val="none" w:sz="0" w:space="0" w:color="auto"/>
            <w:bottom w:val="none" w:sz="0" w:space="0" w:color="auto"/>
            <w:right w:val="none" w:sz="0" w:space="0" w:color="auto"/>
          </w:divBdr>
        </w:div>
        <w:div w:id="1378823925">
          <w:marLeft w:val="720"/>
          <w:marRight w:val="0"/>
          <w:marTop w:val="0"/>
          <w:marBottom w:val="84"/>
          <w:divBdr>
            <w:top w:val="none" w:sz="0" w:space="0" w:color="auto"/>
            <w:left w:val="none" w:sz="0" w:space="0" w:color="auto"/>
            <w:bottom w:val="none" w:sz="0" w:space="0" w:color="auto"/>
            <w:right w:val="none" w:sz="0" w:space="0" w:color="auto"/>
          </w:divBdr>
        </w:div>
        <w:div w:id="203105840">
          <w:marLeft w:val="720"/>
          <w:marRight w:val="0"/>
          <w:marTop w:val="0"/>
          <w:marBottom w:val="84"/>
          <w:divBdr>
            <w:top w:val="none" w:sz="0" w:space="0" w:color="auto"/>
            <w:left w:val="none" w:sz="0" w:space="0" w:color="auto"/>
            <w:bottom w:val="none" w:sz="0" w:space="0" w:color="auto"/>
            <w:right w:val="none" w:sz="0" w:space="0" w:color="auto"/>
          </w:divBdr>
        </w:div>
        <w:div w:id="68773095">
          <w:marLeft w:val="0"/>
          <w:marRight w:val="0"/>
          <w:marTop w:val="0"/>
          <w:marBottom w:val="84"/>
          <w:divBdr>
            <w:top w:val="none" w:sz="0" w:space="0" w:color="auto"/>
            <w:left w:val="none" w:sz="0" w:space="0" w:color="auto"/>
            <w:bottom w:val="none" w:sz="0" w:space="0" w:color="auto"/>
            <w:right w:val="none" w:sz="0" w:space="0" w:color="auto"/>
          </w:divBdr>
        </w:div>
        <w:div w:id="213467252">
          <w:marLeft w:val="720"/>
          <w:marRight w:val="0"/>
          <w:marTop w:val="0"/>
          <w:marBottom w:val="84"/>
          <w:divBdr>
            <w:top w:val="none" w:sz="0" w:space="0" w:color="auto"/>
            <w:left w:val="none" w:sz="0" w:space="0" w:color="auto"/>
            <w:bottom w:val="none" w:sz="0" w:space="0" w:color="auto"/>
            <w:right w:val="none" w:sz="0" w:space="0" w:color="auto"/>
          </w:divBdr>
        </w:div>
        <w:div w:id="1265922234">
          <w:marLeft w:val="720"/>
          <w:marRight w:val="0"/>
          <w:marTop w:val="0"/>
          <w:marBottom w:val="84"/>
          <w:divBdr>
            <w:top w:val="none" w:sz="0" w:space="0" w:color="auto"/>
            <w:left w:val="none" w:sz="0" w:space="0" w:color="auto"/>
            <w:bottom w:val="none" w:sz="0" w:space="0" w:color="auto"/>
            <w:right w:val="none" w:sz="0" w:space="0" w:color="auto"/>
          </w:divBdr>
        </w:div>
        <w:div w:id="805390295">
          <w:marLeft w:val="720"/>
          <w:marRight w:val="0"/>
          <w:marTop w:val="0"/>
          <w:marBottom w:val="84"/>
          <w:divBdr>
            <w:top w:val="none" w:sz="0" w:space="0" w:color="auto"/>
            <w:left w:val="none" w:sz="0" w:space="0" w:color="auto"/>
            <w:bottom w:val="none" w:sz="0" w:space="0" w:color="auto"/>
            <w:right w:val="none" w:sz="0" w:space="0" w:color="auto"/>
          </w:divBdr>
        </w:div>
        <w:div w:id="784347335">
          <w:marLeft w:val="720"/>
          <w:marRight w:val="0"/>
          <w:marTop w:val="0"/>
          <w:marBottom w:val="84"/>
          <w:divBdr>
            <w:top w:val="none" w:sz="0" w:space="0" w:color="auto"/>
            <w:left w:val="none" w:sz="0" w:space="0" w:color="auto"/>
            <w:bottom w:val="none" w:sz="0" w:space="0" w:color="auto"/>
            <w:right w:val="none" w:sz="0" w:space="0" w:color="auto"/>
          </w:divBdr>
        </w:div>
        <w:div w:id="1431513539">
          <w:marLeft w:val="720"/>
          <w:marRight w:val="0"/>
          <w:marTop w:val="0"/>
          <w:marBottom w:val="84"/>
          <w:divBdr>
            <w:top w:val="none" w:sz="0" w:space="0" w:color="auto"/>
            <w:left w:val="none" w:sz="0" w:space="0" w:color="auto"/>
            <w:bottom w:val="none" w:sz="0" w:space="0" w:color="auto"/>
            <w:right w:val="none" w:sz="0" w:space="0" w:color="auto"/>
          </w:divBdr>
        </w:div>
        <w:div w:id="591936964">
          <w:marLeft w:val="720"/>
          <w:marRight w:val="0"/>
          <w:marTop w:val="0"/>
          <w:marBottom w:val="84"/>
          <w:divBdr>
            <w:top w:val="none" w:sz="0" w:space="0" w:color="auto"/>
            <w:left w:val="none" w:sz="0" w:space="0" w:color="auto"/>
            <w:bottom w:val="none" w:sz="0" w:space="0" w:color="auto"/>
            <w:right w:val="none" w:sz="0" w:space="0" w:color="auto"/>
          </w:divBdr>
        </w:div>
        <w:div w:id="709888720">
          <w:marLeft w:val="0"/>
          <w:marRight w:val="0"/>
          <w:marTop w:val="0"/>
          <w:marBottom w:val="84"/>
          <w:divBdr>
            <w:top w:val="none" w:sz="0" w:space="0" w:color="auto"/>
            <w:left w:val="none" w:sz="0" w:space="0" w:color="auto"/>
            <w:bottom w:val="none" w:sz="0" w:space="0" w:color="auto"/>
            <w:right w:val="none" w:sz="0" w:space="0" w:color="auto"/>
          </w:divBdr>
        </w:div>
        <w:div w:id="1223131106">
          <w:marLeft w:val="720"/>
          <w:marRight w:val="0"/>
          <w:marTop w:val="0"/>
          <w:marBottom w:val="84"/>
          <w:divBdr>
            <w:top w:val="none" w:sz="0" w:space="0" w:color="auto"/>
            <w:left w:val="none" w:sz="0" w:space="0" w:color="auto"/>
            <w:bottom w:val="none" w:sz="0" w:space="0" w:color="auto"/>
            <w:right w:val="none" w:sz="0" w:space="0" w:color="auto"/>
          </w:divBdr>
        </w:div>
        <w:div w:id="618344044">
          <w:marLeft w:val="720"/>
          <w:marRight w:val="0"/>
          <w:marTop w:val="0"/>
          <w:marBottom w:val="84"/>
          <w:divBdr>
            <w:top w:val="none" w:sz="0" w:space="0" w:color="auto"/>
            <w:left w:val="none" w:sz="0" w:space="0" w:color="auto"/>
            <w:bottom w:val="none" w:sz="0" w:space="0" w:color="auto"/>
            <w:right w:val="none" w:sz="0" w:space="0" w:color="auto"/>
          </w:divBdr>
        </w:div>
        <w:div w:id="107554393">
          <w:marLeft w:val="720"/>
          <w:marRight w:val="0"/>
          <w:marTop w:val="0"/>
          <w:marBottom w:val="84"/>
          <w:divBdr>
            <w:top w:val="none" w:sz="0" w:space="0" w:color="auto"/>
            <w:left w:val="none" w:sz="0" w:space="0" w:color="auto"/>
            <w:bottom w:val="none" w:sz="0" w:space="0" w:color="auto"/>
            <w:right w:val="none" w:sz="0" w:space="0" w:color="auto"/>
          </w:divBdr>
        </w:div>
        <w:div w:id="668023432">
          <w:marLeft w:val="0"/>
          <w:marRight w:val="0"/>
          <w:marTop w:val="0"/>
          <w:marBottom w:val="84"/>
          <w:divBdr>
            <w:top w:val="none" w:sz="0" w:space="0" w:color="auto"/>
            <w:left w:val="none" w:sz="0" w:space="0" w:color="auto"/>
            <w:bottom w:val="none" w:sz="0" w:space="0" w:color="auto"/>
            <w:right w:val="none" w:sz="0" w:space="0" w:color="auto"/>
          </w:divBdr>
        </w:div>
        <w:div w:id="476142853">
          <w:marLeft w:val="720"/>
          <w:marRight w:val="0"/>
          <w:marTop w:val="0"/>
          <w:marBottom w:val="84"/>
          <w:divBdr>
            <w:top w:val="none" w:sz="0" w:space="0" w:color="auto"/>
            <w:left w:val="none" w:sz="0" w:space="0" w:color="auto"/>
            <w:bottom w:val="none" w:sz="0" w:space="0" w:color="auto"/>
            <w:right w:val="none" w:sz="0" w:space="0" w:color="auto"/>
          </w:divBdr>
        </w:div>
        <w:div w:id="1063673428">
          <w:marLeft w:val="720"/>
          <w:marRight w:val="0"/>
          <w:marTop w:val="0"/>
          <w:marBottom w:val="84"/>
          <w:divBdr>
            <w:top w:val="none" w:sz="0" w:space="0" w:color="auto"/>
            <w:left w:val="none" w:sz="0" w:space="0" w:color="auto"/>
            <w:bottom w:val="none" w:sz="0" w:space="0" w:color="auto"/>
            <w:right w:val="none" w:sz="0" w:space="0" w:color="auto"/>
          </w:divBdr>
        </w:div>
        <w:div w:id="1873227202">
          <w:marLeft w:val="720"/>
          <w:marRight w:val="0"/>
          <w:marTop w:val="0"/>
          <w:marBottom w:val="84"/>
          <w:divBdr>
            <w:top w:val="none" w:sz="0" w:space="0" w:color="auto"/>
            <w:left w:val="none" w:sz="0" w:space="0" w:color="auto"/>
            <w:bottom w:val="none" w:sz="0" w:space="0" w:color="auto"/>
            <w:right w:val="none" w:sz="0" w:space="0" w:color="auto"/>
          </w:divBdr>
        </w:div>
        <w:div w:id="228200629">
          <w:marLeft w:val="0"/>
          <w:marRight w:val="0"/>
          <w:marTop w:val="0"/>
          <w:marBottom w:val="84"/>
          <w:divBdr>
            <w:top w:val="none" w:sz="0" w:space="0" w:color="auto"/>
            <w:left w:val="none" w:sz="0" w:space="0" w:color="auto"/>
            <w:bottom w:val="none" w:sz="0" w:space="0" w:color="auto"/>
            <w:right w:val="none" w:sz="0" w:space="0" w:color="auto"/>
          </w:divBdr>
        </w:div>
        <w:div w:id="1848444703">
          <w:marLeft w:val="0"/>
          <w:marRight w:val="0"/>
          <w:marTop w:val="0"/>
          <w:marBottom w:val="101"/>
          <w:divBdr>
            <w:top w:val="none" w:sz="0" w:space="0" w:color="auto"/>
            <w:left w:val="none" w:sz="0" w:space="0" w:color="auto"/>
            <w:bottom w:val="none" w:sz="0" w:space="0" w:color="auto"/>
            <w:right w:val="none" w:sz="0" w:space="0" w:color="auto"/>
          </w:divBdr>
        </w:div>
        <w:div w:id="1215581500">
          <w:marLeft w:val="0"/>
          <w:marRight w:val="0"/>
          <w:marTop w:val="0"/>
          <w:marBottom w:val="101"/>
          <w:divBdr>
            <w:top w:val="none" w:sz="0" w:space="0" w:color="auto"/>
            <w:left w:val="none" w:sz="0" w:space="0" w:color="auto"/>
            <w:bottom w:val="none" w:sz="0" w:space="0" w:color="auto"/>
            <w:right w:val="none" w:sz="0" w:space="0" w:color="auto"/>
          </w:divBdr>
        </w:div>
        <w:div w:id="131993958">
          <w:marLeft w:val="0"/>
          <w:marRight w:val="0"/>
          <w:marTop w:val="0"/>
          <w:marBottom w:val="101"/>
          <w:divBdr>
            <w:top w:val="none" w:sz="0" w:space="0" w:color="auto"/>
            <w:left w:val="none" w:sz="0" w:space="0" w:color="auto"/>
            <w:bottom w:val="none" w:sz="0" w:space="0" w:color="auto"/>
            <w:right w:val="none" w:sz="0" w:space="0" w:color="auto"/>
          </w:divBdr>
        </w:div>
        <w:div w:id="312568645">
          <w:marLeft w:val="0"/>
          <w:marRight w:val="0"/>
          <w:marTop w:val="0"/>
          <w:marBottom w:val="101"/>
          <w:divBdr>
            <w:top w:val="none" w:sz="0" w:space="0" w:color="auto"/>
            <w:left w:val="none" w:sz="0" w:space="0" w:color="auto"/>
            <w:bottom w:val="none" w:sz="0" w:space="0" w:color="auto"/>
            <w:right w:val="none" w:sz="0" w:space="0" w:color="auto"/>
          </w:divBdr>
        </w:div>
        <w:div w:id="1860970659">
          <w:marLeft w:val="0"/>
          <w:marRight w:val="0"/>
          <w:marTop w:val="0"/>
          <w:marBottom w:val="101"/>
          <w:divBdr>
            <w:top w:val="none" w:sz="0" w:space="0" w:color="auto"/>
            <w:left w:val="none" w:sz="0" w:space="0" w:color="auto"/>
            <w:bottom w:val="none" w:sz="0" w:space="0" w:color="auto"/>
            <w:right w:val="none" w:sz="0" w:space="0" w:color="auto"/>
          </w:divBdr>
        </w:div>
      </w:divsChild>
    </w:div>
    <w:div w:id="2058971183">
      <w:bodyDiv w:val="1"/>
      <w:marLeft w:val="0"/>
      <w:marRight w:val="0"/>
      <w:marTop w:val="0"/>
      <w:marBottom w:val="0"/>
      <w:divBdr>
        <w:top w:val="none" w:sz="0" w:space="0" w:color="auto"/>
        <w:left w:val="none" w:sz="0" w:space="0" w:color="auto"/>
        <w:bottom w:val="none" w:sz="0" w:space="0" w:color="auto"/>
        <w:right w:val="none" w:sz="0" w:space="0" w:color="auto"/>
      </w:divBdr>
      <w:divsChild>
        <w:div w:id="762649801">
          <w:marLeft w:val="0"/>
          <w:marRight w:val="0"/>
          <w:marTop w:val="0"/>
          <w:marBottom w:val="101"/>
          <w:divBdr>
            <w:top w:val="none" w:sz="0" w:space="0" w:color="auto"/>
            <w:left w:val="none" w:sz="0" w:space="0" w:color="auto"/>
            <w:bottom w:val="none" w:sz="0" w:space="0" w:color="auto"/>
            <w:right w:val="none" w:sz="0" w:space="0" w:color="auto"/>
          </w:divBdr>
        </w:div>
        <w:div w:id="1482774379">
          <w:marLeft w:val="0"/>
          <w:marRight w:val="0"/>
          <w:marTop w:val="0"/>
          <w:marBottom w:val="101"/>
          <w:divBdr>
            <w:top w:val="none" w:sz="0" w:space="0" w:color="auto"/>
            <w:left w:val="none" w:sz="0" w:space="0" w:color="auto"/>
            <w:bottom w:val="none" w:sz="0" w:space="0" w:color="auto"/>
            <w:right w:val="none" w:sz="0" w:space="0" w:color="auto"/>
          </w:divBdr>
        </w:div>
        <w:div w:id="856891775">
          <w:marLeft w:val="864"/>
          <w:marRight w:val="0"/>
          <w:marTop w:val="0"/>
          <w:marBottom w:val="101"/>
          <w:divBdr>
            <w:top w:val="none" w:sz="0" w:space="0" w:color="auto"/>
            <w:left w:val="none" w:sz="0" w:space="0" w:color="auto"/>
            <w:bottom w:val="none" w:sz="0" w:space="0" w:color="auto"/>
            <w:right w:val="none" w:sz="0" w:space="0" w:color="auto"/>
          </w:divBdr>
        </w:div>
        <w:div w:id="345404900">
          <w:marLeft w:val="864"/>
          <w:marRight w:val="0"/>
          <w:marTop w:val="0"/>
          <w:marBottom w:val="101"/>
          <w:divBdr>
            <w:top w:val="none" w:sz="0" w:space="0" w:color="auto"/>
            <w:left w:val="none" w:sz="0" w:space="0" w:color="auto"/>
            <w:bottom w:val="none" w:sz="0" w:space="0" w:color="auto"/>
            <w:right w:val="none" w:sz="0" w:space="0" w:color="auto"/>
          </w:divBdr>
        </w:div>
        <w:div w:id="1297569822">
          <w:marLeft w:val="864"/>
          <w:marRight w:val="0"/>
          <w:marTop w:val="0"/>
          <w:marBottom w:val="101"/>
          <w:divBdr>
            <w:top w:val="none" w:sz="0" w:space="0" w:color="auto"/>
            <w:left w:val="none" w:sz="0" w:space="0" w:color="auto"/>
            <w:bottom w:val="none" w:sz="0" w:space="0" w:color="auto"/>
            <w:right w:val="none" w:sz="0" w:space="0" w:color="auto"/>
          </w:divBdr>
        </w:div>
        <w:div w:id="662394672">
          <w:marLeft w:val="864"/>
          <w:marRight w:val="0"/>
          <w:marTop w:val="0"/>
          <w:marBottom w:val="101"/>
          <w:divBdr>
            <w:top w:val="none" w:sz="0" w:space="0" w:color="auto"/>
            <w:left w:val="none" w:sz="0" w:space="0" w:color="auto"/>
            <w:bottom w:val="none" w:sz="0" w:space="0" w:color="auto"/>
            <w:right w:val="none" w:sz="0" w:space="0" w:color="auto"/>
          </w:divBdr>
        </w:div>
      </w:divsChild>
    </w:div>
    <w:div w:id="2065181528">
      <w:bodyDiv w:val="1"/>
      <w:marLeft w:val="0"/>
      <w:marRight w:val="0"/>
      <w:marTop w:val="0"/>
      <w:marBottom w:val="0"/>
      <w:divBdr>
        <w:top w:val="none" w:sz="0" w:space="0" w:color="auto"/>
        <w:left w:val="none" w:sz="0" w:space="0" w:color="auto"/>
        <w:bottom w:val="none" w:sz="0" w:space="0" w:color="auto"/>
        <w:right w:val="none" w:sz="0" w:space="0" w:color="auto"/>
      </w:divBdr>
    </w:div>
    <w:div w:id="2131124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proceso.com.mx/nacional/estados/2021/5/19/el-presunto-feminicida-serial-andres-n-confiesa-haber-matado-30-mujeres-en-20-anos-264219.html" TargetMode="External"/><Relationship Id="rId21" Type="http://schemas.openxmlformats.org/officeDocument/2006/relationships/image" Target="media/image12.png"/><Relationship Id="rId42" Type="http://schemas.openxmlformats.org/officeDocument/2006/relationships/hyperlink" Target="https://www.youtube.com/watch?v=HDc_gHsJ9wY" TargetMode="External"/><Relationship Id="rId47" Type="http://schemas.openxmlformats.org/officeDocument/2006/relationships/image" Target="media/image20.png"/><Relationship Id="rId63" Type="http://schemas.openxmlformats.org/officeDocument/2006/relationships/hyperlink" Target="https://twitter.com/FiscalEdomex/status/1394775971664912384/photo/2" TargetMode="External"/><Relationship Id="rId68" Type="http://schemas.openxmlformats.org/officeDocument/2006/relationships/hyperlink" Target="https://twitter.com/FiscalEdomex/status/1395137781010153475" TargetMode="External"/><Relationship Id="rId84" Type="http://schemas.openxmlformats.org/officeDocument/2006/relationships/hyperlink" Target="https://www.jornada.com.mx/notas/2022/03/17/estados/declaran-culpable-de-una-muerte-a-presunto-feminicida-serial-de-atizapan/" TargetMode="External"/><Relationship Id="rId89" Type="http://schemas.openxmlformats.org/officeDocument/2006/relationships/hyperlink" Target="https://www.elfinanciero.com.mx/nacional/2022/03/18/dictan-prision-vitalicia-para-andres-n-feminicida-de-atizapan/" TargetMode="Externa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13.png"/><Relationship Id="rId37" Type="http://schemas.openxmlformats.org/officeDocument/2006/relationships/hyperlink" Target="https://www.tvazteca.com/aztecanoticias/feminicida-atizapan-casa-victimas-mej" TargetMode="External"/><Relationship Id="rId53" Type="http://schemas.openxmlformats.org/officeDocument/2006/relationships/hyperlink" Target="https://www.proceso.com.mx/nacional/estados/2021/7/16/hay-mas-de-mil-restos-oseos-en-casa-de-andres-el-presunto-feminicida-de-atizapan-267979.html" TargetMode="External"/><Relationship Id="rId58" Type="http://schemas.openxmlformats.org/officeDocument/2006/relationships/hyperlink" Target="https://heraldodemexico.com.mx/nacional/2022/2/23/andres-n-el-feminicida-de-atizapan-fiscalia-busca-mas-evidencias-de-sus-crimenes-en-un-inmueble-lado-de-su-casa-381488.html" TargetMode="External"/><Relationship Id="rId74" Type="http://schemas.openxmlformats.org/officeDocument/2006/relationships/hyperlink" Target="http://www.scielo.org.mx/scielo.php?script=sci_arttext&amp;pid=S0187-73722000000100004" TargetMode="External"/><Relationship Id="rId79" Type="http://schemas.openxmlformats.org/officeDocument/2006/relationships/hyperlink" Target="https://www.youtube.com/watch?v=HDc_gHsJ9wY" TargetMode="External"/><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javascript:void(0)" TargetMode="External"/><Relationship Id="rId95" Type="http://schemas.openxmlformats.org/officeDocument/2006/relationships/hyperlink" Target="https://www.infobae.com/america/mexico/2021/05/20/el-pequeno-hijo-de-rubicela-gallegos-estuvo-solo-por-cuatro-dias-ella-habria-sido-victima-de-andres-el-feminicida-serial-de-atizapan/" TargetMode="External"/><Relationship Id="rId22" Type="http://schemas.openxmlformats.org/officeDocument/2006/relationships/hyperlink" Target="https://www.excelsior.com.mx/comunidad/esposo-de-victima-fue-clave-para-detener-al-asesino-serial-de-atizapan/1451622" TargetMode="External"/><Relationship Id="rId27" Type="http://schemas.openxmlformats.org/officeDocument/2006/relationships/hyperlink" Target="https://www.infobae.com/america/mexico/2021/05/19/identifican-a-rubicela-gallegos-como-otra-posible-victima-de-andres-n-el-feminicida-serial-de-atizapan/" TargetMode="External"/><Relationship Id="rId43" Type="http://schemas.openxmlformats.org/officeDocument/2006/relationships/image" Target="media/image18.png"/><Relationship Id="rId48" Type="http://schemas.openxmlformats.org/officeDocument/2006/relationships/hyperlink" Target="https://www.youtube.com/watch?v=_TKZihzYzTQ" TargetMode="External"/><Relationship Id="rId64" Type="http://schemas.openxmlformats.org/officeDocument/2006/relationships/hyperlink" Target="https://twitter.com/FiscalEdomex/status/1394775971664912384/photo/3" TargetMode="External"/><Relationship Id="rId69" Type="http://schemas.openxmlformats.org/officeDocument/2006/relationships/hyperlink" Target="https://www.slideshare.net/FGJEM/comunicado-669-2021" TargetMode="External"/><Relationship Id="rId80" Type="http://schemas.openxmlformats.org/officeDocument/2006/relationships/hyperlink" Target="https://www.youtube.com/watch?v=gckUOnErTaM" TargetMode="External"/><Relationship Id="rId85" Type="http://schemas.openxmlformats.org/officeDocument/2006/relationships/hyperlink" Target="https://fgjem.edomex.gob.mx/bienes-extension-dominio"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excelsior.com.mx/comunidad/ellas-son-las-victimas-del-feminicida-serial-de-atizapan/1450127" TargetMode="External"/><Relationship Id="rId33" Type="http://schemas.openxmlformats.org/officeDocument/2006/relationships/image" Target="media/image14.png"/><Relationship Id="rId38" Type="http://schemas.openxmlformats.org/officeDocument/2006/relationships/hyperlink" Target="https://www.eleconomista.com.mx/politica/Juez-ordena-vinculacion-a-proceso-contra-presunto-feminicida-de-Atizapan-20210520-0096.html" TargetMode="External"/><Relationship Id="rId46" Type="http://schemas.openxmlformats.org/officeDocument/2006/relationships/hyperlink" Target="https://www.youtube.com/watch?v=wY2I97E6WHE" TargetMode="External"/><Relationship Id="rId59" Type="http://schemas.openxmlformats.org/officeDocument/2006/relationships/hyperlink" Target="https://twitter.com/FiscaliaEdomex/status/1504960093137289221/photo/1" TargetMode="External"/><Relationship Id="rId67" Type="http://schemas.openxmlformats.org/officeDocument/2006/relationships/hyperlink" Target="https://twitter.com/FiscalEdomex/status/1394776034424274949" TargetMode="External"/><Relationship Id="rId103" Type="http://schemas.openxmlformats.org/officeDocument/2006/relationships/theme" Target="theme/theme1.xml"/><Relationship Id="rId20" Type="http://schemas.openxmlformats.org/officeDocument/2006/relationships/hyperlink" Target="https://es.wikipedia.org/wiki/Andr%C3%A9s_Mendoza_(asesino_serial)" TargetMode="External"/><Relationship Id="rId41" Type="http://schemas.openxmlformats.org/officeDocument/2006/relationships/hyperlink" Target="https://www.eleconomista.com.mx/politica/Juez-ordena-vinculacion-a-proceso-contra-presunto-feminicida-de-Atizapan-20210520-0096.html" TargetMode="External"/><Relationship Id="rId54" Type="http://schemas.openxmlformats.org/officeDocument/2006/relationships/hyperlink" Target="https://www.eluniversal.com.mx/metropoli/restos-hallados-en-casa-de-feminicida-serial-de-atizapan-serian-de-19-victimas-fiscal" TargetMode="External"/><Relationship Id="rId62" Type="http://schemas.openxmlformats.org/officeDocument/2006/relationships/hyperlink" Target="https://twitter.com/FiscalEdomex/status/1394775971664912384/photo/1" TargetMode="External"/><Relationship Id="rId70" Type="http://schemas.openxmlformats.org/officeDocument/2006/relationships/image" Target="media/image24.png"/><Relationship Id="rId75" Type="http://schemas.openxmlformats.org/officeDocument/2006/relationships/hyperlink" Target="https://fgjem.edomex.gob.mx/estadisticas-feminicidio-homicidio" TargetMode="External"/><Relationship Id="rId83" Type="http://schemas.openxmlformats.org/officeDocument/2006/relationships/hyperlink" Target="https://www.milenio.com/policia/feminicida-serial-de-atizapan-testimonios-cuentan-como-era" TargetMode="External"/><Relationship Id="rId88" Type="http://schemas.openxmlformats.org/officeDocument/2006/relationships/hyperlink" Target="https://www.infobae.com/america/mexico/2021/11/17/el-feminicida-serial-de-atizapan-hablo-por-primera-vez-desde-la-carcel-demasiado-tarde-ya-sucedieron-las-cosas/" TargetMode="External"/><Relationship Id="rId91" Type="http://schemas.openxmlformats.org/officeDocument/2006/relationships/hyperlink" Target="javascript:void(0)" TargetMode="External"/><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s://www.infobae.com/america/mexico/2021/05/19/comia-cuerpos-y-los-conservaba-con-sal-las-atroces-confesiones-del-presunto-feminicida-serial-de-atizapan/" TargetMode="External"/><Relationship Id="rId28" Type="http://schemas.openxmlformats.org/officeDocument/2006/relationships/hyperlink" Target="https://www.infobae.com/america/mexico/2021/05/19/cuidense-las-extrano-el-ultimo-mensaje-a-sus-hijas-de-flor-ninive-victima-de-andres-el-feminicida-serial-de-atizapan/" TargetMode="External"/><Relationship Id="rId36" Type="http://schemas.openxmlformats.org/officeDocument/2006/relationships/image" Target="media/image16.png"/><Relationship Id="rId49" Type="http://schemas.openxmlformats.org/officeDocument/2006/relationships/image" Target="media/image21.png"/><Relationship Id="rId57" Type="http://schemas.openxmlformats.org/officeDocument/2006/relationships/hyperlink" Target="https://www.tvazteca.com/aztecanoticias/notas/identifican-a-seis-victimas-del-feminicida-de-atizapan-vcp" TargetMode="External"/><Relationship Id="rId10" Type="http://schemas.openxmlformats.org/officeDocument/2006/relationships/image" Target="media/image3.png"/><Relationship Id="rId31" Type="http://schemas.openxmlformats.org/officeDocument/2006/relationships/hyperlink" Target="https://www.infobae.com/america/mexico/2021/05/20/fue-el-esposo-de-la-ultima-victima-y-no-la-policia-quien-descubrio-la-casa-del-horror-de-andres-n-el-feminicida-serial-de-atizapan/" TargetMode="External"/><Relationship Id="rId44" Type="http://schemas.openxmlformats.org/officeDocument/2006/relationships/hyperlink" Target="https://www.youtube.com/watch?v=bi1hZuh_vEo" TargetMode="External"/><Relationship Id="rId52" Type="http://schemas.openxmlformats.org/officeDocument/2006/relationships/hyperlink" Target="https://www.proceso.com.mx/nacional/estados/2021/7/16/hay-mas-de-mil-restos-oseos-en-casa-de-andres-el-presunto-feminicida-de-atizapan-267979.html" TargetMode="External"/><Relationship Id="rId60" Type="http://schemas.openxmlformats.org/officeDocument/2006/relationships/image" Target="media/image23.png"/><Relationship Id="rId65" Type="http://schemas.openxmlformats.org/officeDocument/2006/relationships/hyperlink" Target="https://twitter.com/FiscalEdomex/status/1394775971664912384/photo/4" TargetMode="External"/><Relationship Id="rId73" Type="http://schemas.openxmlformats.org/officeDocument/2006/relationships/image" Target="media/image25.png"/><Relationship Id="rId78" Type="http://schemas.openxmlformats.org/officeDocument/2006/relationships/hyperlink" Target="https://www.elsoldemexico.com.mx/mexico/sociedad/data-van-229-feminicidios-en-lo-que-va-del-2022-8231129.html" TargetMode="External"/><Relationship Id="rId81" Type="http://schemas.openxmlformats.org/officeDocument/2006/relationships/hyperlink" Target="https://www.elfinanciero.com.mx/edomex/2022/02/22/identifican-a-6-de-las-19-presuntas-victimas-del-feminicida-de-atizapan/" TargetMode="External"/><Relationship Id="rId86" Type="http://schemas.openxmlformats.org/officeDocument/2006/relationships/image" Target="media/image27.png"/><Relationship Id="rId94" Type="http://schemas.openxmlformats.org/officeDocument/2006/relationships/hyperlink" Target="https://www.infobae.com/america/mexico/2021/05/22/maria-su-pequeno-hijo-y-martha-desaparecieron-andres-n-el-feminicida-de-atizapan-les-daba-despensas-y-les-prometio-trabajo/" TargetMode="External"/><Relationship Id="rId99" Type="http://schemas.openxmlformats.org/officeDocument/2006/relationships/footer" Target="footer2.xml"/><Relationship Id="rId10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s://legislacion.edomex.gob.mx/sites/legislacion.edomex.gob.mx/files/files/pdf/gct/2016/abr226.pdf" TargetMode="External"/><Relationship Id="rId39" Type="http://schemas.openxmlformats.org/officeDocument/2006/relationships/image" Target="media/image17.png"/><Relationship Id="rId34" Type="http://schemas.openxmlformats.org/officeDocument/2006/relationships/image" Target="media/image15.png"/><Relationship Id="rId50" Type="http://schemas.openxmlformats.org/officeDocument/2006/relationships/hyperlink" Target="https://www.youtube.com/watch?v=wY2I97E6WHE" TargetMode="External"/><Relationship Id="rId55" Type="http://schemas.openxmlformats.org/officeDocument/2006/relationships/hyperlink" Target="https://www.youtube.com/watch?v=gckUOnErTaM" TargetMode="External"/><Relationship Id="rId76" Type="http://schemas.openxmlformats.org/officeDocument/2006/relationships/image" Target="media/image26.png"/><Relationship Id="rId97"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hyperlink" Target="https://www.youtube.com/watch?v=wan0Ti_UTIc" TargetMode="External"/><Relationship Id="rId92" Type="http://schemas.openxmlformats.org/officeDocument/2006/relationships/hyperlink" Target="https://www.infobae.com/america/mexico/2021/05/29/andres-n-fue-a-declarar-nadie-lo-investigo-la-impunidad-que-creo-al-feminicida-de-atizapan/" TargetMode="External"/><Relationship Id="rId2" Type="http://schemas.openxmlformats.org/officeDocument/2006/relationships/numbering" Target="numbering.xml"/><Relationship Id="rId29" Type="http://schemas.openxmlformats.org/officeDocument/2006/relationships/hyperlink" Target="https://www.youtube.com/watch?v=gckUOnErTaM" TargetMode="External"/><Relationship Id="rId24" Type="http://schemas.openxmlformats.org/officeDocument/2006/relationships/hyperlink" Target="https://www.milenio.com/policia/edomex-detienen-presunto-feminicida-esperan-orden-aprehension" TargetMode="External"/><Relationship Id="rId40" Type="http://schemas.openxmlformats.org/officeDocument/2006/relationships/hyperlink" Target="https://elpais.com/mexico/2021-05-20/el-asesino-de-atizapan-se-declara-culpable-del-asesinato-de-reyna-ante-el-juez-lo-he-hecho-ya-ni-modo.html" TargetMode="External"/><Relationship Id="rId45" Type="http://schemas.openxmlformats.org/officeDocument/2006/relationships/image" Target="media/image19.png"/><Relationship Id="rId66" Type="http://schemas.openxmlformats.org/officeDocument/2006/relationships/hyperlink" Target="https://www.slideshare.net/FGJEM/comunicado-663-2021" TargetMode="External"/><Relationship Id="rId87" Type="http://schemas.openxmlformats.org/officeDocument/2006/relationships/image" Target="media/image28.png"/><Relationship Id="rId61" Type="http://schemas.openxmlformats.org/officeDocument/2006/relationships/hyperlink" Target="http://www.eluniversal.com.mx/" TargetMode="External"/><Relationship Id="rId82" Type="http://schemas.openxmlformats.org/officeDocument/2006/relationships/hyperlink" Target="https://www.excelsior.com.mx/comunidad/margaritas-22-la-casa-del-infierno-del-feminicida-de-atizapan/1450248" TargetMode="External"/><Relationship Id="rId19" Type="http://schemas.openxmlformats.org/officeDocument/2006/relationships/image" Target="media/image11.png"/><Relationship Id="rId14" Type="http://schemas.openxmlformats.org/officeDocument/2006/relationships/image" Target="media/image7.png"/><Relationship Id="rId30" Type="http://schemas.openxmlformats.org/officeDocument/2006/relationships/hyperlink" Target="https://www.rockandpop.com.ar/las-hijas-de-flor-presunta-victima-de-andres-n-feminicida-de-atizapan-dejaron-la-escuela-por-terror-a-ser-secuestradas/" TargetMode="External"/><Relationship Id="rId35" Type="http://schemas.openxmlformats.org/officeDocument/2006/relationships/hyperlink" Target="https://www.youtube.com/watch?v=pRMey4EgBII" TargetMode="External"/><Relationship Id="rId56" Type="http://schemas.openxmlformats.org/officeDocument/2006/relationships/image" Target="media/image22.png"/><Relationship Id="rId77" Type="http://schemas.openxmlformats.org/officeDocument/2006/relationships/hyperlink" Target="https://www.elfinanciero.com.mx/nacional/2022/01/20/feminicidios-en-mexico-2021-es-el-ano-mas-violento-contra-las-mujeres/" TargetMode="External"/><Relationship Id="rId100"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hyperlink" Target="https://www.eluniversal.com.mx/metropoli/aun-indagan-vivienda-del-feminicida-de-atizapan" TargetMode="External"/><Relationship Id="rId72" Type="http://schemas.openxmlformats.org/officeDocument/2006/relationships/hyperlink" Target="https://www.youtube.com/watch?v=kO0KPBoDBGI" TargetMode="External"/><Relationship Id="rId93" Type="http://schemas.openxmlformats.org/officeDocument/2006/relationships/hyperlink" Target="https://www.infobae.com/america/mexico/2021/05/21/las-cortejaba-en-bares-y-tras-su-rechazo-coleccionaba-sus-bellos-rostros-van-7-las-victimas-del-feminicida-serial-de-atizapan/" TargetMode="External"/><Relationship Id="rId98" Type="http://schemas.openxmlformats.org/officeDocument/2006/relationships/footer" Target="foot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9.jpeg"/></Relationships>
</file>

<file path=word/_rels/header2.xml.rels><?xml version="1.0" encoding="UTF-8" standalone="yes"?>
<Relationships xmlns="http://schemas.openxmlformats.org/package/2006/relationships"><Relationship Id="rId1" Type="http://schemas.openxmlformats.org/officeDocument/2006/relationships/image" Target="media/image29.jpeg"/></Relationships>
</file>

<file path=word/_rels/header3.xml.rels><?xml version="1.0" encoding="UTF-8" standalone="yes"?>
<Relationships xmlns="http://schemas.openxmlformats.org/package/2006/relationships"><Relationship Id="rId1" Type="http://schemas.openxmlformats.org/officeDocument/2006/relationships/image" Target="media/image2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2A81118-612C-4FA9-A177-56DFFC291C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163</Pages>
  <Words>43048</Words>
  <Characters>236769</Characters>
  <Application>Microsoft Office Word</Application>
  <DocSecurity>0</DocSecurity>
  <Lines>1973</Lines>
  <Paragraphs>558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279259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Cuenta Microsoft</dc:creator>
  <cp:keywords/>
  <dc:description/>
  <cp:lastModifiedBy>Juan</cp:lastModifiedBy>
  <cp:revision>3</cp:revision>
  <dcterms:created xsi:type="dcterms:W3CDTF">2022-09-09T17:35:00Z</dcterms:created>
  <dcterms:modified xsi:type="dcterms:W3CDTF">2022-09-09T17:47:00Z</dcterms:modified>
</cp:coreProperties>
</file>