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7E21" w:rsidRDefault="008015C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Palatino Linotype" w:hAnsi="Palatino Linotype" w:cs="Palatino Linotype"/>
          <w:b/>
        </w:rPr>
        <w:t>siete de abril de dos mil veintidós</w:t>
      </w:r>
      <w:r>
        <w:rPr>
          <w:rFonts w:ascii="Palatino Linotype" w:eastAsia="Palatino Linotype" w:hAnsi="Palatino Linotype" w:cs="Palatino Linotype"/>
        </w:rPr>
        <w:t xml:space="preserve">. </w:t>
      </w:r>
    </w:p>
    <w:p w:rsidR="001A7E21" w:rsidRDefault="008015C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01044/INFOEM/IP/RR/2022</w:t>
      </w:r>
      <w:r>
        <w:rPr>
          <w:rFonts w:ascii="Palatino Linotype" w:eastAsia="Palatino Linotype" w:hAnsi="Palatino Linotype" w:cs="Palatino Linotype"/>
        </w:rPr>
        <w:t xml:space="preserve">, interpuesto por </w:t>
      </w:r>
      <w:r w:rsidR="000A5BDF" w:rsidRPr="000A5BDF">
        <w:rPr>
          <w:rFonts w:ascii="Palatino Linotype" w:eastAsia="Palatino Linotype" w:hAnsi="Palatino Linotype" w:cs="Palatino Linotype"/>
          <w:b/>
        </w:rPr>
        <w:t>XXXX XXXXXXX XXXXXXXX</w:t>
      </w:r>
      <w:r>
        <w:rPr>
          <w:rFonts w:ascii="Palatino Linotype" w:eastAsia="Palatino Linotype" w:hAnsi="Palatino Linotype" w:cs="Palatino Linotype"/>
        </w:rPr>
        <w:t>, en lo sucesivo</w:t>
      </w:r>
      <w:r>
        <w:rPr>
          <w:rFonts w:ascii="Palatino Linotype" w:eastAsia="Palatino Linotype" w:hAnsi="Palatino Linotype" w:cs="Palatino Linotype"/>
          <w:b/>
        </w:rPr>
        <w:t xml:space="preserve"> el Recurrente,</w:t>
      </w:r>
      <w:r>
        <w:rPr>
          <w:rFonts w:ascii="Palatino Linotype" w:eastAsia="Palatino Linotype" w:hAnsi="Palatino Linotype" w:cs="Palatino Linotype"/>
        </w:rPr>
        <w:t xml:space="preserve"> en contra de la respuesta a su solicitud por parte del </w:t>
      </w:r>
      <w:r>
        <w:rPr>
          <w:rFonts w:ascii="Palatino Linotype" w:eastAsia="Palatino Linotype" w:hAnsi="Palatino Linotype" w:cs="Palatino Linotype"/>
          <w:b/>
        </w:rPr>
        <w:t xml:space="preserve">Ayuntamiento de Toluca,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rsidR="001A7E21" w:rsidRDefault="008015C6">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rsidR="001A7E21" w:rsidRDefault="008015C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Con fecha </w:t>
      </w:r>
      <w:r>
        <w:rPr>
          <w:rFonts w:ascii="Palatino Linotype" w:eastAsia="Palatino Linotype" w:hAnsi="Palatino Linotype" w:cs="Palatino Linotype"/>
          <w:b/>
        </w:rPr>
        <w:t>veintisiete de enero de dos mil veintidós,</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presentó,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00384/TOLUCA/IP/2022, </w:t>
      </w:r>
      <w:r>
        <w:rPr>
          <w:rFonts w:ascii="Palatino Linotype" w:eastAsia="Palatino Linotype" w:hAnsi="Palatino Linotype" w:cs="Palatino Linotype"/>
        </w:rPr>
        <w:t xml:space="preserve">mediante la cual requirió la información siguiente: </w:t>
      </w:r>
    </w:p>
    <w:p w:rsidR="001A7E21" w:rsidRDefault="008015C6">
      <w:pPr>
        <w:spacing w:before="240" w:after="240" w:line="276" w:lineRule="auto"/>
        <w:ind w:left="567" w:right="902"/>
        <w:jc w:val="both"/>
        <w:rPr>
          <w:rFonts w:ascii="Palatino Linotype" w:eastAsia="Palatino Linotype" w:hAnsi="Palatino Linotype" w:cs="Palatino Linotype"/>
          <w:b/>
          <w:i/>
          <w:sz w:val="22"/>
          <w:szCs w:val="22"/>
        </w:rPr>
      </w:pPr>
      <w:bookmarkStart w:id="0" w:name="_heading=h.gjdgxs" w:colFirst="0" w:colLast="0"/>
      <w:bookmarkEnd w:id="0"/>
      <w:r>
        <w:rPr>
          <w:rFonts w:ascii="Palatino Linotype" w:eastAsia="Palatino Linotype" w:hAnsi="Palatino Linotype" w:cs="Palatino Linotype"/>
          <w:i/>
          <w:sz w:val="22"/>
          <w:szCs w:val="22"/>
        </w:rPr>
        <w:t>“Una pregunta: ¿Cuándo se instaló en el ayuntamiento de Toluca la comisión de Desarrollo Económico o de Dictamen de Giro que avala las licencias de funcionamiento de los nuevos negocios? Porque el pasado 13 de enero se inauguró la “Terraza Bar Fetiche”, justo en el Andador Constitución, en la zona exclusiva del primer cuadro de la capital. Nada de raro tendría este lanzamiento comercial, más en estos tiempos donde urge reactivar la economía, pero todo apunta a que alguien con amplias influencias habría logrado el permiso de “fast track”. Aunque al revisar los nombres de los propietarios aparecen personas “aparentemente desconocidas”, se dice que detrás de ellos está un sujeto con fuero constitucional. Solicito la licencia de funcionamiento de dicho Bar. Así como wñ Dictamen de giro. Actas del mes de enero 2022 del Comite de dictamen de giro.” (sic)</w:t>
      </w:r>
    </w:p>
    <w:p w:rsidR="001A7E21" w:rsidRDefault="008015C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Modalidad de Entrega:</w:t>
      </w:r>
      <w:r>
        <w:rPr>
          <w:rFonts w:ascii="Palatino Linotype" w:eastAsia="Palatino Linotype" w:hAnsi="Palatino Linotype" w:cs="Palatino Linotype"/>
        </w:rPr>
        <w:t xml:space="preserve"> A través de SAIMEX.</w:t>
      </w:r>
    </w:p>
    <w:p w:rsidR="001A7E21" w:rsidRDefault="008015C6">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dieciocho de febrero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envió su respuesta a la solicitud de acceso a la información a través de SAIMEX, sustancialmente en los términos siguientes:   </w:t>
      </w:r>
    </w:p>
    <w:p w:rsidR="001A7E21" w:rsidRDefault="008015C6">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A7E21" w:rsidRDefault="008015C6">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atención a la solicitud de información número 00384/TOLUCA/IP/2022, me permito adjuntar al presente la respuesta correspondiente. Sin más por el momento, le envío un cordial saludo.</w:t>
      </w:r>
    </w:p>
    <w:p w:rsidR="001A7E21" w:rsidRDefault="008015C6">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rsidR="001A7E21" w:rsidRDefault="008015C6">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 Norma Sofía Pérez Martínez” (Sic)</w:t>
      </w:r>
    </w:p>
    <w:p w:rsidR="001A7E21" w:rsidRDefault="008015C6">
      <w:pPr>
        <w:spacing w:before="240" w:after="240" w:line="360" w:lineRule="auto"/>
        <w:ind w:left="567" w:right="49"/>
        <w:jc w:val="both"/>
        <w:rPr>
          <w:rFonts w:ascii="Palatino Linotype" w:eastAsia="Palatino Linotype" w:hAnsi="Palatino Linotype" w:cs="Palatino Linotype"/>
          <w:b/>
        </w:rPr>
      </w:pPr>
      <w:r>
        <w:rPr>
          <w:rFonts w:ascii="Palatino Linotype" w:eastAsia="Palatino Linotype" w:hAnsi="Palatino Linotype" w:cs="Palatino Linotype"/>
          <w:b/>
        </w:rPr>
        <w:t>Archivos adjuntos:</w:t>
      </w:r>
    </w:p>
    <w:p w:rsidR="001A7E21" w:rsidRDefault="008015C6">
      <w:pPr>
        <w:spacing w:before="240"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rPr>
        <w:t>El</w:t>
      </w:r>
      <w:r>
        <w:rPr>
          <w:rFonts w:ascii="Palatino Linotype" w:eastAsia="Palatino Linotype" w:hAnsi="Palatino Linotype" w:cs="Palatino Linotype"/>
          <w:b/>
        </w:rPr>
        <w:t xml:space="preserve"> Sujeto Obligado </w:t>
      </w:r>
      <w:r>
        <w:rPr>
          <w:rFonts w:ascii="Palatino Linotype" w:eastAsia="Palatino Linotype" w:hAnsi="Palatino Linotype" w:cs="Palatino Linotype"/>
        </w:rPr>
        <w:t>adjuntó el archivo electrónico denominado “</w:t>
      </w:r>
      <w:r>
        <w:rPr>
          <w:rFonts w:ascii="Palatino Linotype" w:eastAsia="Palatino Linotype" w:hAnsi="Palatino Linotype" w:cs="Palatino Linotype"/>
          <w:b/>
          <w:i/>
        </w:rPr>
        <w:t xml:space="preserve">Saimex 00384.pdf”, </w:t>
      </w:r>
      <w:r>
        <w:rPr>
          <w:rFonts w:ascii="Palatino Linotype" w:eastAsia="Palatino Linotype" w:hAnsi="Palatino Linotype" w:cs="Palatino Linotype"/>
        </w:rPr>
        <w:t xml:space="preserve">consistente en un documento de tres fojas que da cuenta de la respuesta a la presente solicitud de información, se insertan las siguientes capturas de pantalla para mayor referencia: </w:t>
      </w:r>
    </w:p>
    <w:p w:rsidR="001A7E21" w:rsidRDefault="000A5BDF">
      <w:pPr>
        <w:spacing w:before="240" w:after="240" w:line="360" w:lineRule="auto"/>
        <w:ind w:left="567" w:right="900"/>
        <w:jc w:val="both"/>
        <w:rPr>
          <w:rFonts w:ascii="Palatino Linotype" w:eastAsia="Palatino Linotype" w:hAnsi="Palatino Linotype" w:cs="Palatino Linotype"/>
        </w:rPr>
      </w:pPr>
      <w:r>
        <w:object w:dxaOrig="7500" w:dyaOrig="10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522pt" o:ole="">
            <v:imagedata r:id="rId9" o:title=""/>
          </v:shape>
          <o:OLEObject Type="Embed" ProgID="Paint.Picture.1" ShapeID="_x0000_i1025" DrawAspect="Content" ObjectID="_1713344331" r:id="rId10"/>
        </w:object>
      </w:r>
    </w:p>
    <w:p w:rsidR="001A7E21" w:rsidRDefault="008015C6">
      <w:pPr>
        <w:spacing w:before="240"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4933950" cy="5962650"/>
            <wp:effectExtent l="0" t="0" r="0" b="0"/>
            <wp:docPr id="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933950" cy="5962650"/>
                    </a:xfrm>
                    <a:prstGeom prst="rect">
                      <a:avLst/>
                    </a:prstGeom>
                    <a:ln/>
                  </pic:spPr>
                </pic:pic>
              </a:graphicData>
            </a:graphic>
          </wp:inline>
        </w:drawing>
      </w:r>
    </w:p>
    <w:p w:rsidR="001A7E21" w:rsidRDefault="008015C6">
      <w:pPr>
        <w:spacing w:before="240"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4619625" cy="3762375"/>
            <wp:effectExtent l="0" t="0" r="0" b="0"/>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619625" cy="3762375"/>
                    </a:xfrm>
                    <a:prstGeom prst="rect">
                      <a:avLst/>
                    </a:prstGeom>
                    <a:ln/>
                  </pic:spPr>
                </pic:pic>
              </a:graphicData>
            </a:graphic>
          </wp:inline>
        </w:drawing>
      </w:r>
    </w:p>
    <w:p w:rsidR="001A7E21" w:rsidRDefault="008015C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los términos de la respuesta emitida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 </w:t>
      </w:r>
      <w:r>
        <w:rPr>
          <w:rFonts w:ascii="Palatino Linotype" w:eastAsia="Palatino Linotype" w:hAnsi="Palatino Linotype" w:cs="Palatino Linotype"/>
          <w:b/>
        </w:rPr>
        <w:t>veintiuno de febrero de dos mil veintidós,</w:t>
      </w:r>
      <w:r>
        <w:rPr>
          <w:rFonts w:ascii="Palatino Linotype" w:eastAsia="Palatino Linotype" w:hAnsi="Palatino Linotype" w:cs="Palatino Linotype"/>
        </w:rPr>
        <w:t xml:space="preserve"> la parte recurrente 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se manifestó de la siguiente manera:</w:t>
      </w:r>
    </w:p>
    <w:p w:rsidR="001A7E21" w:rsidRDefault="008015C6">
      <w:pPr>
        <w:tabs>
          <w:tab w:val="left" w:pos="2745"/>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Acto impugnado: </w:t>
      </w:r>
      <w:r>
        <w:rPr>
          <w:rFonts w:ascii="Palatino Linotype" w:eastAsia="Palatino Linotype" w:hAnsi="Palatino Linotype" w:cs="Palatino Linotype"/>
          <w:b/>
        </w:rPr>
        <w:tab/>
      </w:r>
    </w:p>
    <w:p w:rsidR="001A7E21" w:rsidRDefault="008015C6">
      <w:pPr>
        <w:spacing w:line="360"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RESPUESTA PROPORCIONADA.” (Sic)</w:t>
      </w:r>
    </w:p>
    <w:p w:rsidR="001A7E21" w:rsidRDefault="008015C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Y Razones o motivos de inconformidad</w:t>
      </w:r>
      <w:r>
        <w:rPr>
          <w:rFonts w:ascii="Palatino Linotype" w:eastAsia="Palatino Linotype" w:hAnsi="Palatino Linotype" w:cs="Palatino Linotype"/>
        </w:rPr>
        <w:t>:</w:t>
      </w:r>
    </w:p>
    <w:p w:rsidR="001A7E21" w:rsidRDefault="008015C6">
      <w:pPr>
        <w:ind w:left="567" w:right="902"/>
        <w:jc w:val="both"/>
        <w:rPr>
          <w:rFonts w:ascii="Palatino Linotype" w:eastAsia="Palatino Linotype" w:hAnsi="Palatino Linotype" w:cs="Palatino Linotype"/>
          <w:i/>
          <w:sz w:val="22"/>
          <w:szCs w:val="22"/>
        </w:rPr>
      </w:pPr>
      <w:bookmarkStart w:id="1" w:name="_heading=h.30j0zll" w:colFirst="0" w:colLast="0"/>
      <w:bookmarkEnd w:id="1"/>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NO ME ENTREGARON LA LICENCIA DE FUNCIONAMIENTO DE LOS BARES QUE ESTAN FUNCIONANDO.</w:t>
      </w:r>
      <w:r>
        <w:rPr>
          <w:rFonts w:ascii="Palatino Linotype" w:eastAsia="Palatino Linotype" w:hAnsi="Palatino Linotype" w:cs="Palatino Linotype"/>
          <w:i/>
          <w:sz w:val="22"/>
          <w:szCs w:val="22"/>
        </w:rPr>
        <w:t>” (Sic) (Énfasis añadido)</w:t>
      </w:r>
    </w:p>
    <w:p w:rsidR="001A7E21" w:rsidRDefault="008015C6">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 xml:space="preserve">Anexos: </w:t>
      </w:r>
      <w:r>
        <w:rPr>
          <w:rFonts w:ascii="Palatino Linotype" w:eastAsia="Palatino Linotype" w:hAnsi="Palatino Linotype" w:cs="Palatino Linotype"/>
        </w:rPr>
        <w:t xml:space="preserve">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adjuntó archivos.</w:t>
      </w:r>
    </w:p>
    <w:p w:rsidR="001A7E21" w:rsidRDefault="008015C6">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Pr>
          <w:rFonts w:ascii="Palatino Linotype" w:eastAsia="Palatino Linotype" w:hAnsi="Palatino Linotype" w:cs="Palatino Linotype"/>
          <w:b/>
        </w:rPr>
        <w:t xml:space="preserve">Comisionada Guadalupe Ramírez Peña, </w:t>
      </w:r>
      <w:r>
        <w:rPr>
          <w:rFonts w:ascii="Palatino Linotype" w:eastAsia="Palatino Linotype" w:hAnsi="Palatino Linotype" w:cs="Palatino Linotype"/>
        </w:rPr>
        <w:t>a efecto de que analizara sobre su admisión o su desechamiento.</w:t>
      </w:r>
    </w:p>
    <w:p w:rsidR="001A7E21" w:rsidRDefault="008015C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 Admisión del Recurso de revisión.</w:t>
      </w:r>
      <w:r>
        <w:rPr>
          <w:rFonts w:ascii="Palatino Linotype" w:eastAsia="Palatino Linotype" w:hAnsi="Palatino Linotype" w:cs="Palatino Linotype"/>
        </w:rPr>
        <w:t xml:space="preserve"> Con fecha</w:t>
      </w:r>
      <w:r>
        <w:rPr>
          <w:rFonts w:ascii="Palatino Linotype" w:eastAsia="Palatino Linotype" w:hAnsi="Palatino Linotype" w:cs="Palatino Linotype"/>
          <w:b/>
        </w:rPr>
        <w:t xml:space="preserve"> veinticuatro de febrero de dos mil veintidós,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presentara su informe justificado.</w:t>
      </w:r>
    </w:p>
    <w:p w:rsidR="001A7E21" w:rsidRDefault="008015C6">
      <w:pPr>
        <w:spacing w:after="240" w:line="360" w:lineRule="auto"/>
        <w:jc w:val="both"/>
        <w:rPr>
          <w:rFonts w:ascii="Palatino Linotype" w:eastAsia="Palatino Linotype" w:hAnsi="Palatino Linotype" w:cs="Palatino Linotype"/>
        </w:rPr>
      </w:pPr>
      <w:bookmarkStart w:id="2" w:name="_heading=h.2s8eyo1" w:colFirst="0" w:colLast="0"/>
      <w:bookmarkEnd w:id="2"/>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 xml:space="preserve">ocho de marzo de dos mil veintidós,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remitió, a través del SAIMEX, su informe justificado, mediante el archivo “</w:t>
      </w:r>
      <w:r>
        <w:rPr>
          <w:rFonts w:ascii="Palatino Linotype" w:eastAsia="Palatino Linotype" w:hAnsi="Palatino Linotype" w:cs="Palatino Linotype"/>
          <w:b/>
          <w:i/>
          <w:sz w:val="22"/>
          <w:szCs w:val="22"/>
        </w:rPr>
        <w:t xml:space="preserve">Informe Justificado 01044_2022.pdf”, </w:t>
      </w:r>
      <w:r>
        <w:rPr>
          <w:rFonts w:ascii="Palatino Linotype" w:eastAsia="Palatino Linotype" w:hAnsi="Palatino Linotype" w:cs="Palatino Linotype"/>
        </w:rPr>
        <w:t xml:space="preserve">el cual consta de once fojas y medularmente ratifica la respuesta proporcionada inicialmente, se insertan las siguientes capturas de pantalla para mayor referencia: </w:t>
      </w:r>
    </w:p>
    <w:p w:rsidR="001A7E21" w:rsidRDefault="000A5BDF">
      <w:pPr>
        <w:spacing w:after="240" w:line="360" w:lineRule="auto"/>
        <w:jc w:val="both"/>
        <w:rPr>
          <w:rFonts w:ascii="Palatino Linotype" w:eastAsia="Palatino Linotype" w:hAnsi="Palatino Linotype" w:cs="Palatino Linotype"/>
          <w:sz w:val="22"/>
          <w:szCs w:val="22"/>
        </w:rPr>
      </w:pPr>
      <w:r>
        <w:object w:dxaOrig="8130" w:dyaOrig="10515">
          <v:shape id="_x0000_i1026" type="#_x0000_t75" style="width:406.5pt;height:525.75pt" o:ole="">
            <v:imagedata r:id="rId13" o:title=""/>
          </v:shape>
          <o:OLEObject Type="Embed" ProgID="Paint.Picture.1" ShapeID="_x0000_i1026" DrawAspect="Content" ObjectID="_1713344332" r:id="rId14"/>
        </w:object>
      </w:r>
      <w:bookmarkStart w:id="3" w:name="_GoBack"/>
      <w:bookmarkEnd w:id="3"/>
    </w:p>
    <w:p w:rsidR="001A7E21" w:rsidRDefault="001A7E21">
      <w:pPr>
        <w:spacing w:after="240" w:line="360" w:lineRule="auto"/>
        <w:jc w:val="both"/>
        <w:rPr>
          <w:rFonts w:ascii="Palatino Linotype" w:eastAsia="Palatino Linotype" w:hAnsi="Palatino Linotype" w:cs="Palatino Linotype"/>
        </w:rPr>
      </w:pPr>
    </w:p>
    <w:p w:rsidR="001A7E21" w:rsidRDefault="001A7E21">
      <w:pPr>
        <w:spacing w:after="240" w:line="360" w:lineRule="auto"/>
        <w:jc w:val="both"/>
        <w:rPr>
          <w:rFonts w:ascii="Palatino Linotype" w:eastAsia="Palatino Linotype" w:hAnsi="Palatino Linotype" w:cs="Palatino Linotype"/>
        </w:rPr>
      </w:pPr>
    </w:p>
    <w:p w:rsidR="001A7E21" w:rsidRDefault="001A7E21">
      <w:pPr>
        <w:spacing w:after="240" w:line="360" w:lineRule="auto"/>
        <w:jc w:val="both"/>
        <w:rPr>
          <w:rFonts w:ascii="Palatino Linotype" w:eastAsia="Palatino Linotype" w:hAnsi="Palatino Linotype" w:cs="Palatino Linotype"/>
        </w:rPr>
      </w:pPr>
    </w:p>
    <w:p w:rsidR="001A7E21" w:rsidRDefault="008015C6">
      <w:pPr>
        <w:spacing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759062" cy="4005222"/>
            <wp:effectExtent l="0" t="0" r="0" b="0"/>
            <wp:docPr id="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759062" cy="4005222"/>
                    </a:xfrm>
                    <a:prstGeom prst="rect">
                      <a:avLst/>
                    </a:prstGeom>
                    <a:ln/>
                  </pic:spPr>
                </pic:pic>
              </a:graphicData>
            </a:graphic>
          </wp:inline>
        </w:drawing>
      </w:r>
    </w:p>
    <w:p w:rsidR="001A7E21" w:rsidRDefault="008015C6">
      <w:pPr>
        <w:spacing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269532" cy="6684100"/>
            <wp:effectExtent l="0" t="0" r="0" b="0"/>
            <wp:docPr id="3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5269532" cy="6684100"/>
                    </a:xfrm>
                    <a:prstGeom prst="rect">
                      <a:avLst/>
                    </a:prstGeom>
                    <a:ln/>
                  </pic:spPr>
                </pic:pic>
              </a:graphicData>
            </a:graphic>
          </wp:inline>
        </w:drawing>
      </w:r>
      <w:r>
        <w:rPr>
          <w:rFonts w:ascii="Palatino Linotype" w:eastAsia="Palatino Linotype" w:hAnsi="Palatino Linotype" w:cs="Palatino Linotype"/>
          <w:noProof/>
          <w:lang w:val="es-MX"/>
        </w:rPr>
        <w:lastRenderedPageBreak/>
        <w:drawing>
          <wp:inline distT="0" distB="0" distL="0" distR="0">
            <wp:extent cx="5353069" cy="6765368"/>
            <wp:effectExtent l="0" t="0" r="0" b="0"/>
            <wp:docPr id="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353069" cy="6765368"/>
                    </a:xfrm>
                    <a:prstGeom prst="rect">
                      <a:avLst/>
                    </a:prstGeom>
                    <a:ln/>
                  </pic:spPr>
                </pic:pic>
              </a:graphicData>
            </a:graphic>
          </wp:inline>
        </w:drawing>
      </w:r>
    </w:p>
    <w:p w:rsidR="001A7E21" w:rsidRDefault="001A7E21">
      <w:pPr>
        <w:spacing w:after="240" w:line="360" w:lineRule="auto"/>
        <w:jc w:val="both"/>
        <w:rPr>
          <w:rFonts w:ascii="Palatino Linotype" w:eastAsia="Palatino Linotype" w:hAnsi="Palatino Linotype" w:cs="Palatino Linotype"/>
        </w:rPr>
      </w:pPr>
    </w:p>
    <w:p w:rsidR="001A7E21" w:rsidRDefault="008015C6">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Documentos que, una vez analizados, se hicieron del conocimiento del </w:t>
      </w:r>
      <w:r>
        <w:rPr>
          <w:rFonts w:ascii="Palatino Linotype" w:eastAsia="Palatino Linotype" w:hAnsi="Palatino Linotype" w:cs="Palatino Linotype"/>
          <w:b/>
        </w:rPr>
        <w:t>Recurrente mediante acuerdo emitido por la Comisionada Ponente en fecha treinta y uno de marzo de dos mil veintiuno,</w:t>
      </w:r>
      <w:r>
        <w:rPr>
          <w:rFonts w:ascii="Palatino Linotype" w:eastAsia="Palatino Linotype" w:hAnsi="Palatino Linotype" w:cs="Palatino Linotype"/>
        </w:rPr>
        <w:t xml:space="preserve"> a efecto de que manifestara lo que a su derecho estimara conveniente, sin embargo, fue omiso en ejercer dicha prerrogativa en el plazo establecido para tal efecto.</w:t>
      </w:r>
    </w:p>
    <w:p w:rsidR="001A7E21" w:rsidRDefault="008015C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7.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Pr>
          <w:rFonts w:ascii="Palatino Linotype" w:eastAsia="Palatino Linotype" w:hAnsi="Palatino Linotype" w:cs="Palatino Linotype"/>
          <w:b/>
        </w:rPr>
        <w:t>seis de abril de dos mil veintidós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1A7E21" w:rsidRDefault="008015C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1A7E21" w:rsidRDefault="008015C6">
      <w:pPr>
        <w:widowControl w:val="0"/>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rsidR="001A7E21" w:rsidRDefault="001A7E21">
      <w:pPr>
        <w:widowControl w:val="0"/>
        <w:pBdr>
          <w:top w:val="nil"/>
          <w:left w:val="nil"/>
          <w:bottom w:val="nil"/>
          <w:right w:val="nil"/>
          <w:between w:val="nil"/>
        </w:pBdr>
        <w:spacing w:line="360" w:lineRule="auto"/>
        <w:ind w:left="1080"/>
        <w:rPr>
          <w:rFonts w:ascii="Palatino Linotype" w:eastAsia="Palatino Linotype" w:hAnsi="Palatino Linotype" w:cs="Palatino Linotype"/>
          <w:b/>
          <w:color w:val="000000"/>
        </w:rPr>
      </w:pPr>
    </w:p>
    <w:p w:rsidR="001A7E21" w:rsidRDefault="008015C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w:t>
      </w:r>
      <w:r>
        <w:rPr>
          <w:rFonts w:ascii="Palatino Linotype" w:eastAsia="Palatino Linotype" w:hAnsi="Palatino Linotype" w:cs="Palatino Linotype"/>
        </w:rPr>
        <w:lastRenderedPageBreak/>
        <w:t>Pública del Estado de México y Municipios; 9, fracciones I y XXIV y 11 del Reglamento Interior del Instituto de Transparencia, Acceso a la Información Pública y Protección de Datos Personales del Estado de México y Municipios.</w:t>
      </w:r>
    </w:p>
    <w:p w:rsidR="001A7E21" w:rsidRDefault="008015C6">
      <w:pPr>
        <w:spacing w:before="240" w:after="240" w:line="360" w:lineRule="auto"/>
        <w:jc w:val="both"/>
        <w:rPr>
          <w:rFonts w:ascii="Palatino Linotype" w:eastAsia="Palatino Linotype" w:hAnsi="Palatino Linotype" w:cs="Palatino Linotype"/>
        </w:rPr>
      </w:pPr>
      <w:bookmarkStart w:id="4" w:name="_heading=h.tyjcwt" w:colFirst="0" w:colLast="0"/>
      <w:bookmarkEnd w:id="4"/>
      <w:r>
        <w:rPr>
          <w:rFonts w:ascii="Palatino Linotype" w:eastAsia="Palatino Linotype" w:hAnsi="Palatino Linotype" w:cs="Palatino Linotype"/>
          <w:b/>
        </w:rPr>
        <w:t xml:space="preserve">Segundo. Oportunidad y Procediblidad del Recurso de Revisión. </w:t>
      </w:r>
      <w:r>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1A7E21" w:rsidRDefault="008015C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la Ley de Transparencia y Acceso a la Información Pública del Estado de México y Municipios, establece lo siguiente:</w:t>
      </w:r>
    </w:p>
    <w:p w:rsidR="001A7E21" w:rsidRDefault="008015C6">
      <w:pPr>
        <w:ind w:left="851" w:right="900"/>
        <w:jc w:val="both"/>
        <w:rPr>
          <w:rFonts w:ascii="Palatino Linotype" w:eastAsia="Palatino Linotype" w:hAnsi="Palatino Linotype" w:cs="Palatino Linotype"/>
          <w:i/>
          <w:sz w:val="28"/>
          <w:szCs w:val="28"/>
        </w:rPr>
      </w:pPr>
      <w:r>
        <w:rPr>
          <w:rFonts w:ascii="Palatino Linotype" w:eastAsia="Palatino Linotype" w:hAnsi="Palatino Linotype" w:cs="Palatino Linotype"/>
          <w:b/>
          <w:i/>
          <w:sz w:val="22"/>
          <w:szCs w:val="22"/>
        </w:rPr>
        <w:t xml:space="preserve">“Artículo 178. </w:t>
      </w:r>
      <w:r>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1A7E21" w:rsidRDefault="008015C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la respuesta a la solicitud de información el día </w:t>
      </w:r>
      <w:r>
        <w:rPr>
          <w:rFonts w:ascii="Palatino Linotype" w:eastAsia="Palatino Linotype" w:hAnsi="Palatino Linotype" w:cs="Palatino Linotype"/>
          <w:b/>
          <w:color w:val="000000"/>
        </w:rPr>
        <w:t>dieciocho</w:t>
      </w:r>
      <w:r>
        <w:rPr>
          <w:rFonts w:ascii="Palatino Linotype" w:eastAsia="Palatino Linotype" w:hAnsi="Palatino Linotype" w:cs="Palatino Linotype"/>
          <w:b/>
        </w:rPr>
        <w:t xml:space="preserve"> de febrero de dos mil veintidós, </w:t>
      </w:r>
      <w:r>
        <w:rPr>
          <w:rFonts w:ascii="Palatino Linotype" w:eastAsia="Palatino Linotype" w:hAnsi="Palatino Linotype" w:cs="Palatino Linotype"/>
        </w:rPr>
        <w:t xml:space="preserve">mientras que el recurso de revisión interpuesto por la parte recurrente, se tuvo por presentado el </w:t>
      </w:r>
      <w:r>
        <w:rPr>
          <w:rFonts w:ascii="Palatino Linotype" w:eastAsia="Palatino Linotype" w:hAnsi="Palatino Linotype" w:cs="Palatino Linotype"/>
          <w:color w:val="000000"/>
        </w:rPr>
        <w:t xml:space="preserve">día </w:t>
      </w:r>
      <w:r>
        <w:rPr>
          <w:rFonts w:ascii="Palatino Linotype" w:eastAsia="Palatino Linotype" w:hAnsi="Palatino Linotype" w:cs="Palatino Linotype"/>
          <w:b/>
          <w:color w:val="000000"/>
        </w:rPr>
        <w:t xml:space="preserve">veintiuno </w:t>
      </w:r>
      <w:r>
        <w:rPr>
          <w:rFonts w:ascii="Palatino Linotype" w:eastAsia="Palatino Linotype" w:hAnsi="Palatino Linotype" w:cs="Palatino Linotype"/>
          <w:b/>
          <w:color w:val="000000"/>
        </w:rPr>
        <w:lastRenderedPageBreak/>
        <w:t xml:space="preserve">de febrero </w:t>
      </w:r>
      <w:r>
        <w:rPr>
          <w:rFonts w:ascii="Palatino Linotype" w:eastAsia="Palatino Linotype" w:hAnsi="Palatino Linotype" w:cs="Palatino Linotype"/>
          <w:b/>
        </w:rPr>
        <w:t>de dos mil veintidós</w:t>
      </w:r>
      <w:r>
        <w:rPr>
          <w:rFonts w:ascii="Palatino Linotype" w:eastAsia="Palatino Linotype" w:hAnsi="Palatino Linotype" w:cs="Palatino Linotype"/>
        </w:rPr>
        <w:t xml:space="preserve">, esto es, el </w:t>
      </w:r>
      <w:r>
        <w:rPr>
          <w:rFonts w:ascii="Palatino Linotype" w:eastAsia="Palatino Linotype" w:hAnsi="Palatino Linotype" w:cs="Palatino Linotype"/>
          <w:b/>
          <w:color w:val="000000"/>
        </w:rPr>
        <w:t>primer día hábil</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posterior en que tuvo conocimiento de la respuesta impugnada.</w:t>
      </w:r>
    </w:p>
    <w:p w:rsidR="001A7E21" w:rsidRDefault="008015C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al considerar la fecha en que se formuló la solicitud y la fecha en que respondió a ésta el </w:t>
      </w:r>
      <w:r>
        <w:rPr>
          <w:rFonts w:ascii="Palatino Linotype" w:eastAsia="Palatino Linotype" w:hAnsi="Palatino Linotype" w:cs="Palatino Linotype"/>
          <w:b/>
        </w:rPr>
        <w:t>Sujeto Obligado</w:t>
      </w:r>
      <w:r>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rsidR="001A7E21" w:rsidRDefault="008015C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1A7E21" w:rsidRDefault="008015C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 Análisis de las causales de improcedencia y sobreseimiento del Recurso de Revisión</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Este Instituto, realiza el estudio preferente y oficioso de las cuales de improcedencia, en el entendido de que las mismas deben ser analizadas sea que las hayan hecho valer o no las partes, por tratarse de una cuestión de orden público y de estudio preferente, atento a lo establecido por la Jurisprudencia número 940, publicada en la página 1538 de la Segunda Parte del Apéndice del Semanario Judicial de la Federación 1917-1918 que a la letra señala:</w:t>
      </w:r>
    </w:p>
    <w:p w:rsidR="001A7E21" w:rsidRDefault="008015C6">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“Improcedencia: </w:t>
      </w:r>
      <w:r>
        <w:rPr>
          <w:rFonts w:ascii="Palatino Linotype" w:eastAsia="Palatino Linotype" w:hAnsi="Palatino Linotype" w:cs="Palatino Linotype"/>
          <w:i/>
          <w:sz w:val="22"/>
          <w:szCs w:val="22"/>
        </w:rPr>
        <w:t>Sea que las partes la aleguen o no, debe examinarse previamente la procedencia del juicio de amparo, por ser cuestión de orden público en el juicio de garantías.”</w:t>
      </w:r>
    </w:p>
    <w:p w:rsidR="001A7E21" w:rsidRDefault="008015C6">
      <w:pPr>
        <w:spacing w:before="240" w:after="240" w:line="360" w:lineRule="auto"/>
        <w:ind w:right="-1134"/>
        <w:jc w:val="both"/>
        <w:rPr>
          <w:rFonts w:ascii="Palatino Linotype" w:eastAsia="Palatino Linotype" w:hAnsi="Palatino Linotype" w:cs="Palatino Linotype"/>
        </w:rPr>
      </w:pPr>
      <w:r>
        <w:rPr>
          <w:rFonts w:ascii="Palatino Linotype" w:eastAsia="Palatino Linotype" w:hAnsi="Palatino Linotype" w:cs="Palatino Linotype"/>
        </w:rPr>
        <w:t>Por su parte los artículos 186, 191 y 192 de la Ley en cita, disponen lo siguiente:</w:t>
      </w:r>
    </w:p>
    <w:p w:rsidR="001A7E21" w:rsidRDefault="008015C6">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“Artículo 186. </w:t>
      </w:r>
      <w:r>
        <w:rPr>
          <w:rFonts w:ascii="Palatino Linotype" w:eastAsia="Palatino Linotype" w:hAnsi="Palatino Linotype" w:cs="Palatino Linotype"/>
          <w:i/>
          <w:sz w:val="22"/>
          <w:szCs w:val="22"/>
        </w:rPr>
        <w:t>Las resoluciones del Instituto podrán:</w:t>
      </w:r>
    </w:p>
    <w:p w:rsidR="001A7E21" w:rsidRDefault="008015C6">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 Desechar o sobreseer el recurso;</w:t>
      </w:r>
    </w:p>
    <w:p w:rsidR="001A7E21" w:rsidRDefault="008015C6">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 </w:t>
      </w:r>
      <w:r>
        <w:rPr>
          <w:rFonts w:ascii="Palatino Linotype" w:eastAsia="Palatino Linotype" w:hAnsi="Palatino Linotype" w:cs="Palatino Linotype"/>
          <w:i/>
          <w:sz w:val="22"/>
          <w:szCs w:val="22"/>
        </w:rPr>
        <w:t>Confirmar la respuesta del sujeto obligado;</w:t>
      </w:r>
    </w:p>
    <w:p w:rsidR="001A7E21" w:rsidRDefault="008015C6">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i/>
          <w:sz w:val="22"/>
          <w:szCs w:val="22"/>
        </w:rPr>
        <w:t>Revocar o modificar la respuesta del sujeto obligado; y</w:t>
      </w:r>
    </w:p>
    <w:p w:rsidR="001A7E21" w:rsidRDefault="008015C6">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Ordenar la entrega de la información…”</w:t>
      </w:r>
    </w:p>
    <w:p w:rsidR="001A7E21" w:rsidRDefault="008015C6">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191. </w:t>
      </w:r>
      <w:r>
        <w:rPr>
          <w:rFonts w:ascii="Palatino Linotype" w:eastAsia="Palatino Linotype" w:hAnsi="Palatino Linotype" w:cs="Palatino Linotype"/>
          <w:i/>
          <w:sz w:val="22"/>
          <w:szCs w:val="22"/>
        </w:rPr>
        <w:t>El recurso será desechado por improcedente cuando:</w:t>
      </w:r>
    </w:p>
    <w:p w:rsidR="001A7E21" w:rsidRDefault="008015C6">
      <w:pPr>
        <w:tabs>
          <w:tab w:val="left" w:pos="1276"/>
        </w:tabs>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i/>
          <w:sz w:val="22"/>
          <w:szCs w:val="22"/>
        </w:rPr>
        <w:t>Sea extemporáneo por haber transcurrido el plazo establecido en la presente Ley, a partir de la respuesta;</w:t>
      </w:r>
    </w:p>
    <w:p w:rsidR="001A7E21" w:rsidRDefault="008015C6">
      <w:pPr>
        <w:tabs>
          <w:tab w:val="left" w:pos="1276"/>
        </w:tabs>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 </w:t>
      </w:r>
      <w:r>
        <w:rPr>
          <w:rFonts w:ascii="Palatino Linotype" w:eastAsia="Palatino Linotype" w:hAnsi="Palatino Linotype" w:cs="Palatino Linotype"/>
          <w:i/>
          <w:sz w:val="22"/>
          <w:szCs w:val="22"/>
        </w:rPr>
        <w:t>Se esté tramitando ante el Poder Judicial de la Federación algún recurso o medio de defensa interpuesto por el recurrente;</w:t>
      </w:r>
    </w:p>
    <w:p w:rsidR="001A7E21" w:rsidRDefault="008015C6">
      <w:pPr>
        <w:tabs>
          <w:tab w:val="left" w:pos="1276"/>
        </w:tabs>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i/>
          <w:sz w:val="22"/>
          <w:szCs w:val="22"/>
        </w:rPr>
        <w:t>No actualice alguno de los supuestos previstos en la presente Ley;</w:t>
      </w:r>
    </w:p>
    <w:p w:rsidR="001A7E21" w:rsidRDefault="008015C6">
      <w:pPr>
        <w:tabs>
          <w:tab w:val="left" w:pos="1276"/>
        </w:tabs>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No se haya desahogado la prevención en los términos establecidos en la presente Ley;</w:t>
      </w:r>
    </w:p>
    <w:p w:rsidR="001A7E21" w:rsidRDefault="008015C6">
      <w:pPr>
        <w:tabs>
          <w:tab w:val="left" w:pos="1276"/>
        </w:tabs>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Se impugne la veracidad de la información proporcionada</w:t>
      </w:r>
      <w:r>
        <w:rPr>
          <w:rFonts w:ascii="Palatino Linotype" w:eastAsia="Palatino Linotype" w:hAnsi="Palatino Linotype" w:cs="Palatino Linotype"/>
          <w:b/>
          <w:i/>
          <w:sz w:val="22"/>
          <w:szCs w:val="22"/>
        </w:rPr>
        <w:t>;</w:t>
      </w:r>
    </w:p>
    <w:p w:rsidR="001A7E21" w:rsidRDefault="008015C6">
      <w:pPr>
        <w:tabs>
          <w:tab w:val="left" w:pos="1276"/>
        </w:tabs>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Se trate de una consulta, o trámite en específico; y</w:t>
      </w:r>
    </w:p>
    <w:p w:rsidR="001A7E21" w:rsidRDefault="008015C6">
      <w:pPr>
        <w:tabs>
          <w:tab w:val="left" w:pos="1276"/>
        </w:tabs>
        <w:spacing w:before="120" w:after="120"/>
        <w:ind w:left="567"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VII. El recurrente amplíe su solicitud en el recurso de revisión, únicamente respecto de los nuevos contenidos.”</w:t>
      </w:r>
    </w:p>
    <w:p w:rsidR="001A7E21" w:rsidRDefault="008015C6">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192. </w:t>
      </w:r>
      <w:r>
        <w:rPr>
          <w:rFonts w:ascii="Palatino Linotype" w:eastAsia="Palatino Linotype" w:hAnsi="Palatino Linotype" w:cs="Palatino Linotype"/>
          <w:i/>
          <w:sz w:val="22"/>
          <w:szCs w:val="22"/>
        </w:rPr>
        <w:t>El recurso será sobreseído, en todo o en parte, cuando una vez admitido, se actualicen alguno de los siguientes supuestos:</w:t>
      </w:r>
    </w:p>
    <w:p w:rsidR="001A7E21" w:rsidRDefault="008015C6">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i/>
          <w:sz w:val="22"/>
          <w:szCs w:val="22"/>
        </w:rPr>
        <w:t>El recurrente se desista expresamente del recurso;</w:t>
      </w:r>
    </w:p>
    <w:p w:rsidR="001A7E21" w:rsidRDefault="008015C6">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 </w:t>
      </w:r>
      <w:r>
        <w:rPr>
          <w:rFonts w:ascii="Palatino Linotype" w:eastAsia="Palatino Linotype" w:hAnsi="Palatino Linotype" w:cs="Palatino Linotype"/>
          <w:i/>
          <w:sz w:val="22"/>
          <w:szCs w:val="22"/>
        </w:rPr>
        <w:t>El recurrente fallezca o, tratándose de personas jurídicas colectivas, se disuelva;</w:t>
      </w:r>
    </w:p>
    <w:p w:rsidR="001A7E21" w:rsidRDefault="008015C6">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i/>
          <w:sz w:val="22"/>
          <w:szCs w:val="22"/>
        </w:rPr>
        <w:t>El sujeto obligado responsable del acto lo modifique o revoque de tal manera que el recurso de revisión quede sin materia;</w:t>
      </w:r>
    </w:p>
    <w:p w:rsidR="001A7E21" w:rsidRDefault="008015C6">
      <w:pPr>
        <w:spacing w:before="120" w:after="120"/>
        <w:ind w:left="567"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IV. Admitido el recurso de revisión, aparezca alguna causal de improcedencia en los términos de la presente Ley; y</w:t>
      </w:r>
    </w:p>
    <w:p w:rsidR="001A7E21" w:rsidRDefault="008015C6">
      <w:pPr>
        <w:spacing w:before="120" w:after="120"/>
        <w:ind w:left="567"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Cuando por cualquier motivo quede sin materia el recurso</w:t>
      </w:r>
      <w:r>
        <w:rPr>
          <w:rFonts w:ascii="Palatino Linotype" w:eastAsia="Palatino Linotype" w:hAnsi="Palatino Linotype" w:cs="Palatino Linotype"/>
          <w:sz w:val="22"/>
          <w:szCs w:val="22"/>
        </w:rPr>
        <w:t>.”</w:t>
      </w:r>
    </w:p>
    <w:p w:rsidR="001A7E21" w:rsidRDefault="008015C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el presente caso, en el análisis oficioso este Organismo Garante advierte que, una vez admitido el Recurso de Revisión y en su estudio a detalle, surgió una causal de improcedencia, prevista en el artículo 191 fracción VII de la Ley de Transparencia y Acceso a la Información Pública del Estado de México y Municipios</w:t>
      </w:r>
    </w:p>
    <w:p w:rsidR="001A7E21" w:rsidRDefault="008015C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Cobrando aplicación lo previsto en la fracción IV del artículo 192, en razón a que al haber sido el recurso y al actualizarse una causal de improcedencia, debe ser sobreseído. </w:t>
      </w:r>
    </w:p>
    <w:p w:rsidR="001A7E21" w:rsidRDefault="008015C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atención de lo anterior, se procede a analizar las cuestiones de hecho que dieron lugar a la improcedencia en concordancia con el apartado de causales de sobreseimiento.</w:t>
      </w:r>
    </w:p>
    <w:p w:rsidR="001A7E21" w:rsidRDefault="008015C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Así, de las constancias que obran en el expediente de mérito, se advierte que se actualiza la causal de sobreseimiento enunciada en la fracción IV del artículo 192 de la Ley de Transparencia y Acceso a la Información Pública del Estado de México y Municipios, en relación directa con la fracción VII del artículo 191 de la misma Ley citado con antelación, por no existir elementos de procedencia, en virtud de que el mismo no actualiza alguno de los supuestos previstos en el  citado artículo 179, toda vez que el </w:t>
      </w:r>
      <w:r>
        <w:rPr>
          <w:rFonts w:ascii="Palatino Linotype" w:eastAsia="Palatino Linotype" w:hAnsi="Palatino Linotype" w:cs="Palatino Linotype"/>
          <w:b/>
        </w:rPr>
        <w:t>Recurrente</w:t>
      </w:r>
      <w:r>
        <w:rPr>
          <w:rFonts w:ascii="Palatino Linotype" w:eastAsia="Palatino Linotype" w:hAnsi="Palatino Linotype" w:cs="Palatino Linotype"/>
        </w:rPr>
        <w:t>, mediante el recurso de revisión, solicita le sea entregada información que no fue requerida a través de la solicitud primigenia.</w:t>
      </w:r>
    </w:p>
    <w:p w:rsidR="001A7E21" w:rsidRDefault="008015C6">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A efecto de sustentar lo anterior, es imprescindible mencionar que, del análisis de la solicitud de información motivo del recurso de revisión que ahora se resuelve, se advierte que la parte solicitante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le proporcione información consistente en lo siguiente:</w:t>
      </w:r>
    </w:p>
    <w:p w:rsidR="001A7E21" w:rsidRDefault="008015C6">
      <w:pPr>
        <w:numPr>
          <w:ilvl w:val="0"/>
          <w:numId w:val="2"/>
        </w:numPr>
        <w:pBdr>
          <w:top w:val="nil"/>
          <w:left w:val="nil"/>
          <w:bottom w:val="nil"/>
          <w:right w:val="nil"/>
          <w:between w:val="nil"/>
        </w:pBdr>
        <w:spacing w:before="240"/>
        <w:ind w:left="567" w:right="902" w:hanging="14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¿Cuándo se instaló en el ayuntamiento de Toluca la comisión de Desarrollo Económico o de Dictamen de Giro que avala las licencias de funcionamiento de los nuevos negocios? </w:t>
      </w:r>
    </w:p>
    <w:p w:rsidR="001A7E21" w:rsidRDefault="008015C6">
      <w:pPr>
        <w:numPr>
          <w:ilvl w:val="0"/>
          <w:numId w:val="2"/>
        </w:numPr>
        <w:pBdr>
          <w:top w:val="nil"/>
          <w:left w:val="nil"/>
          <w:bottom w:val="nil"/>
          <w:right w:val="nil"/>
          <w:between w:val="nil"/>
        </w:pBdr>
        <w:ind w:left="567" w:right="902" w:hanging="14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Solicito la licencia de funcionamiento del  Bar “Terraza Bar Fetiche”, así como su dictamen de giro </w:t>
      </w:r>
    </w:p>
    <w:p w:rsidR="001A7E21" w:rsidRDefault="008015C6">
      <w:pPr>
        <w:numPr>
          <w:ilvl w:val="0"/>
          <w:numId w:val="2"/>
        </w:numPr>
        <w:pBdr>
          <w:top w:val="nil"/>
          <w:left w:val="nil"/>
          <w:bottom w:val="nil"/>
          <w:right w:val="nil"/>
          <w:between w:val="nil"/>
        </w:pBdr>
        <w:spacing w:after="240" w:line="360" w:lineRule="auto"/>
        <w:ind w:left="567" w:right="900" w:hanging="14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Actas del mes de enero 2022 del Comité de dictamen de giro.</w:t>
      </w:r>
    </w:p>
    <w:p w:rsidR="001A7E21" w:rsidRDefault="008015C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respuesta,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el archivo </w:t>
      </w:r>
      <w:r>
        <w:rPr>
          <w:rFonts w:ascii="Palatino Linotype" w:eastAsia="Palatino Linotype" w:hAnsi="Palatino Linotype" w:cs="Palatino Linotype"/>
          <w:b/>
          <w:i/>
          <w:sz w:val="22"/>
          <w:szCs w:val="22"/>
        </w:rPr>
        <w:t xml:space="preserve">“Saimex 00384.pdf”, </w:t>
      </w:r>
      <w:r>
        <w:rPr>
          <w:rFonts w:ascii="Palatino Linotype" w:eastAsia="Palatino Linotype" w:hAnsi="Palatino Linotype" w:cs="Palatino Linotype"/>
        </w:rPr>
        <w:t>del cual se desprenden las siguientes consideraciones:</w:t>
      </w:r>
    </w:p>
    <w:p w:rsidR="001A7E21" w:rsidRDefault="008015C6">
      <w:pPr>
        <w:numPr>
          <w:ilvl w:val="0"/>
          <w:numId w:val="1"/>
        </w:numPr>
        <w:pBdr>
          <w:top w:val="nil"/>
          <w:left w:val="nil"/>
          <w:bottom w:val="nil"/>
          <w:right w:val="nil"/>
          <w:between w:val="nil"/>
        </w:pBdr>
        <w:spacing w:before="240" w:line="360" w:lineRule="auto"/>
        <w:ind w:left="567" w:right="900" w:hanging="141"/>
        <w:jc w:val="both"/>
        <w:rPr>
          <w:rFonts w:ascii="Palatino Linotype" w:eastAsia="Palatino Linotype" w:hAnsi="Palatino Linotype" w:cs="Palatino Linotype"/>
          <w:b/>
          <w:color w:val="000000"/>
          <w:sz w:val="28"/>
          <w:szCs w:val="28"/>
          <w:u w:val="single"/>
        </w:rPr>
      </w:pPr>
      <w:r>
        <w:rPr>
          <w:rFonts w:ascii="Palatino Linotype" w:eastAsia="Palatino Linotype" w:hAnsi="Palatino Linotype" w:cs="Palatino Linotype"/>
          <w:color w:val="000000"/>
        </w:rPr>
        <w:t xml:space="preserve">La Directora General de Desarrollo Económico informó mediante oficio DGDE/110/2022, que por lo que respecta a su solicitud de información pública y después de realizar una búsqueda exhaustiva y razonable, respecto al cuestionamiento </w:t>
      </w:r>
      <w:r>
        <w:rPr>
          <w:rFonts w:ascii="Palatino Linotype" w:eastAsia="Palatino Linotype" w:hAnsi="Palatino Linotype" w:cs="Palatino Linotype"/>
          <w:i/>
          <w:color w:val="000000"/>
          <w:sz w:val="22"/>
          <w:szCs w:val="22"/>
        </w:rPr>
        <w:t>“¿Cuándo se instaló en el ayuntamiento de Toluca la comisión de Desarrollo Económico o de Dictamen de Giro que avala las licencias de funcionamiento de los nuevos negocios?</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color w:val="000000"/>
        </w:rPr>
        <w:t xml:space="preserve">al respecto manifestó que </w:t>
      </w:r>
      <w:r>
        <w:rPr>
          <w:rFonts w:ascii="Palatino Linotype" w:eastAsia="Palatino Linotype" w:hAnsi="Palatino Linotype" w:cs="Palatino Linotype"/>
          <w:b/>
          <w:color w:val="000000"/>
          <w:u w:val="single"/>
        </w:rPr>
        <w:t xml:space="preserve">no se cuenta con fecha para la instalación del Comité Municipal de Dictamen de Giro, sin embargo, se han realizado mesas de trabajo. </w:t>
      </w:r>
    </w:p>
    <w:p w:rsidR="001A7E21" w:rsidRDefault="008015C6">
      <w:pPr>
        <w:numPr>
          <w:ilvl w:val="0"/>
          <w:numId w:val="1"/>
        </w:numPr>
        <w:pBdr>
          <w:top w:val="nil"/>
          <w:left w:val="nil"/>
          <w:bottom w:val="nil"/>
          <w:right w:val="nil"/>
          <w:between w:val="nil"/>
        </w:pBdr>
        <w:spacing w:line="360" w:lineRule="auto"/>
        <w:ind w:left="567" w:right="900" w:hanging="141"/>
        <w:jc w:val="both"/>
        <w:rPr>
          <w:rFonts w:ascii="Palatino Linotype" w:eastAsia="Palatino Linotype" w:hAnsi="Palatino Linotype" w:cs="Palatino Linotype"/>
          <w:b/>
          <w:color w:val="000000"/>
          <w:u w:val="single"/>
        </w:rPr>
      </w:pPr>
      <w:r>
        <w:rPr>
          <w:rFonts w:ascii="Palatino Linotype" w:eastAsia="Palatino Linotype" w:hAnsi="Palatino Linotype" w:cs="Palatino Linotype"/>
          <w:color w:val="000000"/>
        </w:rPr>
        <w:t xml:space="preserve">El Director General de Gobierno refirió que la Comisión de Desarrollo Económico, informó mediante el oficio 204010000/141/2022, referente a “Solicito la licencia de funcionamiento del  Bar “Terraza Bar Fetiche”,  informó que después de realizar una búsqueda minuciosa en el Sistema de Registro Municipal de Unidades Económicas (RMUE), perteneciente a  la Dirección de Atención al Comercio, </w:t>
      </w:r>
      <w:r>
        <w:rPr>
          <w:rFonts w:ascii="Palatino Linotype" w:eastAsia="Palatino Linotype" w:hAnsi="Palatino Linotype" w:cs="Palatino Linotype"/>
          <w:b/>
          <w:color w:val="000000"/>
          <w:u w:val="single"/>
        </w:rPr>
        <w:t>no se encontró ningún registro de expedición o trámite de licencia de funcionamiento a nombre de la unidad económica de referencia.</w:t>
      </w:r>
    </w:p>
    <w:p w:rsidR="001A7E21" w:rsidRDefault="008015C6">
      <w:pPr>
        <w:numPr>
          <w:ilvl w:val="0"/>
          <w:numId w:val="1"/>
        </w:numPr>
        <w:pBdr>
          <w:top w:val="nil"/>
          <w:left w:val="nil"/>
          <w:bottom w:val="nil"/>
          <w:right w:val="nil"/>
          <w:between w:val="nil"/>
        </w:pBdr>
        <w:spacing w:after="240" w:line="360" w:lineRule="auto"/>
        <w:ind w:left="567" w:right="900" w:hanging="141"/>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Finalmente, el</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Quinto Regidor</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manifestó que</w:t>
      </w:r>
      <w:r>
        <w:rPr>
          <w:rFonts w:ascii="Palatino Linotype" w:eastAsia="Palatino Linotype" w:hAnsi="Palatino Linotype" w:cs="Palatino Linotype"/>
          <w:b/>
          <w:color w:val="000000"/>
          <w:u w:val="single"/>
        </w:rPr>
        <w:t xml:space="preserve"> la Comisión de Desarrollo Económico fue instalada el 24 de enero de 2022. </w:t>
      </w:r>
      <w:r>
        <w:rPr>
          <w:rFonts w:ascii="Palatino Linotype" w:eastAsia="Palatino Linotype" w:hAnsi="Palatino Linotype" w:cs="Palatino Linotype"/>
          <w:color w:val="000000"/>
        </w:rPr>
        <w:t xml:space="preserve">Del Dictamen de Giro que avala las licencias de funcionamiento de nuevos negocios, hace del conocimiento que no es de su competencia. En </w:t>
      </w:r>
      <w:r>
        <w:rPr>
          <w:rFonts w:ascii="Palatino Linotype" w:eastAsia="Palatino Linotype" w:hAnsi="Palatino Linotype" w:cs="Palatino Linotype"/>
          <w:color w:val="000000"/>
        </w:rPr>
        <w:lastRenderedPageBreak/>
        <w:t xml:space="preserve">relación a las licencias de funcionamiento, </w:t>
      </w:r>
      <w:r>
        <w:rPr>
          <w:rFonts w:ascii="Palatino Linotype" w:eastAsia="Palatino Linotype" w:hAnsi="Palatino Linotype" w:cs="Palatino Linotype"/>
          <w:b/>
          <w:color w:val="000000"/>
        </w:rPr>
        <w:t>la Comisión no ha sesionado para la aprobación de dichas licencias.</w:t>
      </w:r>
    </w:p>
    <w:p w:rsidR="001A7E21" w:rsidRDefault="008015C6">
      <w:pPr>
        <w:spacing w:before="240" w:after="240" w:line="360" w:lineRule="auto"/>
        <w:ind w:right="51"/>
        <w:jc w:val="both"/>
        <w:rPr>
          <w:rFonts w:ascii="Palatino Linotype" w:eastAsia="Palatino Linotype" w:hAnsi="Palatino Linotype" w:cs="Palatino Linotype"/>
          <w:i/>
        </w:rPr>
      </w:pPr>
      <w:r>
        <w:rPr>
          <w:rFonts w:ascii="Palatino Linotype" w:eastAsia="Palatino Linotype" w:hAnsi="Palatino Linotype" w:cs="Palatino Linotype"/>
        </w:rPr>
        <w:t xml:space="preserve">No obstante,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al presentar el recurso de revisión que nos ocupa, señaló como motivo de inconformidad </w:t>
      </w:r>
      <w:r>
        <w:rPr>
          <w:rFonts w:ascii="Palatino Linotype" w:eastAsia="Palatino Linotype" w:hAnsi="Palatino Linotype" w:cs="Palatino Linotype"/>
          <w:b/>
          <w:i/>
          <w:u w:val="single"/>
        </w:rPr>
        <w:t xml:space="preserve">“NO ME ENTREGARON LA LICENCIA DE FUNCIONAMIENTO DE LOS BARES QUE ESTAN FUNCIONANDO.” </w:t>
      </w:r>
      <w:r>
        <w:rPr>
          <w:rFonts w:ascii="Palatino Linotype" w:eastAsia="Palatino Linotype" w:hAnsi="Palatino Linotype" w:cs="Palatino Linotype"/>
          <w:i/>
        </w:rPr>
        <w:t>(Sic) (Énfasis añadido)</w:t>
      </w:r>
    </w:p>
    <w:p w:rsidR="001A7E21" w:rsidRDefault="008015C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tenor, no pasa desapercibido para este Órgano Garante que el particular no expresó motivo de inconformidad respecto de la información remitida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por lo que la respuesta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satisface la solicitud presentada.</w:t>
      </w:r>
    </w:p>
    <w:p w:rsidR="001A7E21" w:rsidRDefault="008015C6">
      <w:pPr>
        <w:spacing w:before="240" w:after="3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es así, debido a que cuando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impugna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y éste no expresa Razón o Motivo de Inconformidad en contra de todos los rubros solicitados, dichos rubros deben declararse atendidos, pues se entiende que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1A7E21" w:rsidRDefault="008015C6">
      <w:pPr>
        <w:spacing w:before="240" w:after="36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“REVISIÓN EN AMPARO. LOS RESOLUTIVOS NO COMBATIDOS DEBEN DECLARARSE FIRMES. </w:t>
      </w:r>
      <w:r>
        <w:rPr>
          <w:rFonts w:ascii="Palatino Linotype" w:eastAsia="Palatino Linotype" w:hAnsi="Palatino Linotype" w:cs="Palatino Linotype"/>
          <w:i/>
          <w:sz w:val="22"/>
          <w:szCs w:val="22"/>
        </w:rPr>
        <w:t xml:space="preserve">Cuando algún resolutivo de la sentencia impugnada afecta a la recurrente, y ésta no expresa agravio en contra de las </w:t>
      </w:r>
      <w:r>
        <w:rPr>
          <w:rFonts w:ascii="Palatino Linotype" w:eastAsia="Palatino Linotype" w:hAnsi="Palatino Linotype" w:cs="Palatino Linotype"/>
          <w:i/>
          <w:sz w:val="22"/>
          <w:szCs w:val="22"/>
        </w:rPr>
        <w:lastRenderedPageBreak/>
        <w:t>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1A7E21" w:rsidRDefault="008015C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Consecuentemente, se reitera, al no ser impugnada que la respuesta,  debe declararse consentida ante la falta de impugnación eficaz. </w:t>
      </w:r>
    </w:p>
    <w:p w:rsidR="001A7E21" w:rsidRDefault="008015C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rsidR="001A7E21" w:rsidRDefault="008015C6">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mallCaps/>
          <w:sz w:val="22"/>
          <w:szCs w:val="22"/>
        </w:rPr>
        <w:t xml:space="preserve">“ACTOS CONSENTIDOS. SON LOS QUE NO SE IMPUGNAN MEDIANTE EL RECURSO IDÓNEO. </w:t>
      </w:r>
      <w:r>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1A7E21" w:rsidRDefault="001A7E21"/>
    <w:p w:rsidR="001A7E21" w:rsidRDefault="008015C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por cuanto hace a </w:t>
      </w:r>
      <w:r>
        <w:rPr>
          <w:rFonts w:ascii="Palatino Linotype" w:eastAsia="Palatino Linotype" w:hAnsi="Palatino Linotype" w:cs="Palatino Linotype"/>
          <w:b/>
          <w:u w:val="single"/>
        </w:rPr>
        <w:t>las licencias de funcionamiento de los bares que están funcionando</w:t>
      </w:r>
      <w:r>
        <w:rPr>
          <w:rFonts w:ascii="Palatino Linotype" w:eastAsia="Palatino Linotype" w:hAnsi="Palatino Linotype" w:cs="Palatino Linotype"/>
        </w:rPr>
        <w:t xml:space="preserve">, cabe señalar que de la confronta a la solicitud de información y el acto impugnado y las razones o motivos de inconformidad, dichos documentos no fueron solicitados, como se desprende del antecedente marcado con el numeral 1 de la presente resolución, por lo que constituyen en su totalidad nuevos requerimientos de información, configurándose así lo que se conoce como </w:t>
      </w:r>
      <w:r>
        <w:rPr>
          <w:rFonts w:ascii="Palatino Linotype" w:eastAsia="Palatino Linotype" w:hAnsi="Palatino Linotype" w:cs="Palatino Linotype"/>
          <w:i/>
        </w:rPr>
        <w:t>plus petitio</w:t>
      </w:r>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que consiste en una ampliación a su requerimiento informativo, argumentos que no son susceptibles de ser valorados en términos de la fracción VII del Artículo 191 de la Ley de Transparencia y Acceso a la Información Pública del Estado de </w:t>
      </w:r>
      <w:r>
        <w:rPr>
          <w:rFonts w:ascii="Palatino Linotype" w:eastAsia="Palatino Linotype" w:hAnsi="Palatino Linotype" w:cs="Palatino Linotype"/>
        </w:rPr>
        <w:lastRenderedPageBreak/>
        <w:t xml:space="preserve">México y Municipios, el cual señala la improcedencia cuando el Recurrente amplíe su solicitud en el Recurso de Revisión, </w:t>
      </w:r>
      <w:r>
        <w:rPr>
          <w:rFonts w:ascii="Palatino Linotype" w:eastAsia="Palatino Linotype" w:hAnsi="Palatino Linotype" w:cs="Palatino Linotype"/>
          <w:b/>
          <w:u w:val="single"/>
        </w:rPr>
        <w:t xml:space="preserve">únicamente respecto de los nuevos contenidos; </w:t>
      </w:r>
      <w:r>
        <w:rPr>
          <w:rFonts w:ascii="Palatino Linotype" w:eastAsia="Palatino Linotype" w:hAnsi="Palatino Linotype" w:cs="Palatino Linotype"/>
        </w:rPr>
        <w:t xml:space="preserve">cuestión que tuvo lugar en el presente caso, pues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nuevos cuestionamientos, en los que solicitó información que no formó parte de su solicitud inicial y por lo tanto son inatendibles a través del recurso de revisión.</w:t>
      </w:r>
    </w:p>
    <w:p w:rsidR="001A7E21" w:rsidRDefault="008015C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tenor, es posible determinar que para el caso que nos ocupa, la totalidad de los argumentos formulados como motivos o razones de inconformidad son una ampliación a la solicitud inicial y corresponden a nuevos requerimientos de información, que no se encuentran relacionados con lo solicitado en un primer momento; por lo que se actualiza el supuesto de improcedencia previsto en el artículo 191 fracción VII de la Ley de Transparencia y Acceso a la Información Pública del Estado de México y Municipios; que prevé que son improcedentes los Recursos de Revisión en los que se plantean ampliaciones a las solicitudes iniciales.</w:t>
      </w:r>
    </w:p>
    <w:p w:rsidR="001A7E21" w:rsidRDefault="008015C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orden de ideas, una vez formulada su solicitud inicial,</w:t>
      </w:r>
      <w:r>
        <w:rPr>
          <w:rFonts w:ascii="Palatino Linotype" w:eastAsia="Palatino Linotype" w:hAnsi="Palatino Linotype" w:cs="Palatino Linotype"/>
          <w:i/>
        </w:rPr>
        <w:t xml:space="preserve"> </w:t>
      </w:r>
      <w:r>
        <w:rPr>
          <w:rFonts w:ascii="Palatino Linotype" w:eastAsia="Palatino Linotype" w:hAnsi="Palatino Linotype" w:cs="Palatino Linotype"/>
        </w:rPr>
        <w:t>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rsidR="001A7E21" w:rsidRDefault="008015C6">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Robustece lo anterior lo plasmado en el criterio orientador número 01/17 emitido por el Instituto Nacional de Transparencia, Acceso a la Información y Protección de Datos Personales, INAI, que lleva por rubro y texto lo que a continuación se transcribe:</w:t>
      </w:r>
    </w:p>
    <w:p w:rsidR="001A7E21" w:rsidRDefault="008015C6">
      <w:pPr>
        <w:spacing w:before="240" w:after="240"/>
        <w:ind w:left="851" w:right="900"/>
        <w:jc w:val="both"/>
        <w:rPr>
          <w:rFonts w:ascii="Palatino Linotype" w:eastAsia="Palatino Linotype" w:hAnsi="Palatino Linotype" w:cs="Palatino Linotype"/>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 xml:space="preserve">Es improcedente ampliar las solicitudes de acceso a información, a través de la interposición del recurso de revisión. </w:t>
      </w:r>
      <w:r>
        <w:rPr>
          <w:rFonts w:ascii="Palatino Linotype" w:eastAsia="Palatino Linotype" w:hAnsi="Palatino Linotype" w:cs="Palatino Linotype"/>
          <w:i/>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rsidR="001A7E21" w:rsidRDefault="008015C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Bajo lo previo, es evidente que el motivo de inconformidad, materia del presente medio de impugnación, es improcedente, al garantizarse lo previsto en los artículos 4, 12 y 166 párrafo primero de la Ley de Transparencia en la Entidad, que son de la literalidad siguiente:</w:t>
      </w:r>
    </w:p>
    <w:p w:rsidR="001A7E21" w:rsidRDefault="008015C6">
      <w:pPr>
        <w:spacing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1A7E21" w:rsidRDefault="008015C6">
      <w:pPr>
        <w:spacing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1A7E21" w:rsidRDefault="008015C6">
      <w:pPr>
        <w:spacing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rsidR="001A7E21" w:rsidRDefault="008015C6">
      <w:pPr>
        <w:spacing w:after="120"/>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1A7E21" w:rsidRDefault="008015C6">
      <w:pPr>
        <w:spacing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1A7E21" w:rsidRDefault="008015C6">
      <w:pPr>
        <w:spacing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1A7E21" w:rsidRDefault="008015C6">
      <w:pPr>
        <w:spacing w:after="120"/>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1A7E21" w:rsidRDefault="008015C6">
      <w:pPr>
        <w:spacing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166.</w:t>
      </w:r>
      <w:r>
        <w:rPr>
          <w:rFonts w:ascii="Palatino Linotype" w:eastAsia="Palatino Linotype" w:hAnsi="Palatino Linotype" w:cs="Palatino Linotype"/>
          <w:i/>
          <w:sz w:val="22"/>
          <w:szCs w:val="22"/>
        </w:rPr>
        <w:t xml:space="preserve"> La obligación de acceso a la información pública </w:t>
      </w:r>
      <w:r>
        <w:rPr>
          <w:rFonts w:ascii="Palatino Linotype" w:eastAsia="Palatino Linotype" w:hAnsi="Palatino Linotype" w:cs="Palatino Linotype"/>
          <w:b/>
          <w:i/>
          <w:sz w:val="22"/>
          <w:szCs w:val="22"/>
        </w:rPr>
        <w:t>se tendrá por cumplida cuando el solicitante tenga a su disposición la información requerida</w:t>
      </w:r>
      <w:r>
        <w:rPr>
          <w:rFonts w:ascii="Palatino Linotype" w:eastAsia="Palatino Linotype" w:hAnsi="Palatino Linotype" w:cs="Palatino Linotype"/>
          <w:i/>
          <w:sz w:val="22"/>
          <w:szCs w:val="22"/>
        </w:rPr>
        <w:t>, o cuando realice la consulta de la misma en el lugar en el que ésta se localice.”</w:t>
      </w:r>
    </w:p>
    <w:p w:rsidR="001A7E21" w:rsidRDefault="008015C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resulta procedente </w:t>
      </w:r>
      <w:r>
        <w:rPr>
          <w:rFonts w:ascii="Palatino Linotype" w:eastAsia="Palatino Linotype" w:hAnsi="Palatino Linotype" w:cs="Palatino Linotype"/>
          <w:i/>
        </w:rPr>
        <w:t>sobreseer</w:t>
      </w:r>
      <w:r>
        <w:rPr>
          <w:rFonts w:ascii="Palatino Linotype" w:eastAsia="Palatino Linotype" w:hAnsi="Palatino Linotype" w:cs="Palatino Linotype"/>
        </w:rPr>
        <w:t xml:space="preserve"> el recurso de revisión materia de la presente resolución en términos del artículo 186 fracción I de la de la Ley de Transparencia y Acceso a la Información Pública del Estado de México y Municipios en relación directa con los artículos 191 fracción VII y 192 fracción IV de mismo ordenamiento legal, citados con anterioridad, pues se actualizó una causal de improcedencia; ya que en su formulación,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amplió la solicitud inicial y formuló nuevos requerimientos de información que corresponden a nuevos contenidos.</w:t>
      </w:r>
    </w:p>
    <w:p w:rsidR="001A7E21" w:rsidRDefault="008015C6">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1A7E21" w:rsidRDefault="008015C6">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III. R E S U E L V E:</w:t>
      </w:r>
    </w:p>
    <w:p w:rsidR="001A7E21" w:rsidRDefault="008015C6">
      <w:pPr>
        <w:spacing w:before="240" w:after="240" w:line="360" w:lineRule="auto"/>
        <w:jc w:val="both"/>
        <w:rPr>
          <w:rFonts w:ascii="Palatino Linotype" w:eastAsia="Palatino Linotype" w:hAnsi="Palatino Linotype" w:cs="Palatino Linotype"/>
          <w:b/>
        </w:rPr>
      </w:pPr>
      <w:bookmarkStart w:id="5" w:name="_heading=h.3dy6vkm" w:colFirst="0" w:colLast="0"/>
      <w:bookmarkEnd w:id="5"/>
      <w:r>
        <w:rPr>
          <w:rFonts w:ascii="Palatino Linotype" w:eastAsia="Palatino Linotype" w:hAnsi="Palatino Linotype" w:cs="Palatino Linotype"/>
          <w:b/>
        </w:rPr>
        <w:lastRenderedPageBreak/>
        <w:t xml:space="preserve">Primero. </w:t>
      </w:r>
      <w:r>
        <w:rPr>
          <w:rFonts w:ascii="Palatino Linotype" w:eastAsia="Palatino Linotype" w:hAnsi="Palatino Linotype" w:cs="Palatino Linotype"/>
        </w:rPr>
        <w:t xml:space="preserve">Se </w:t>
      </w:r>
      <w:r>
        <w:rPr>
          <w:rFonts w:ascii="Palatino Linotype" w:eastAsia="Palatino Linotype" w:hAnsi="Palatino Linotype" w:cs="Palatino Linotype"/>
          <w:b/>
        </w:rPr>
        <w:t>Sobresee</w:t>
      </w:r>
      <w:r>
        <w:rPr>
          <w:rFonts w:ascii="Palatino Linotype" w:eastAsia="Palatino Linotype" w:hAnsi="Palatino Linotype" w:cs="Palatino Linotype"/>
        </w:rPr>
        <w:t xml:space="preserve"> por improcedente el recurso de revisión </w:t>
      </w:r>
      <w:r>
        <w:rPr>
          <w:rFonts w:ascii="Palatino Linotype" w:eastAsia="Palatino Linotype" w:hAnsi="Palatino Linotype" w:cs="Palatino Linotype"/>
          <w:b/>
        </w:rPr>
        <w:t>01044/INFOEM/IP/RR/2022</w:t>
      </w:r>
      <w:r>
        <w:rPr>
          <w:rFonts w:ascii="Palatino Linotype" w:eastAsia="Palatino Linotype" w:hAnsi="Palatino Linotype" w:cs="Palatino Linotype"/>
        </w:rPr>
        <w:t xml:space="preserve">, por actualizarse la causal de improcedencia establecida en la fracción VII del artículo 191, de la Ley de Transparencia y Acceso a la Información Pública del Estado de México y Municipios, en términos del Considerando </w:t>
      </w:r>
      <w:r>
        <w:rPr>
          <w:rFonts w:ascii="Palatino Linotype" w:eastAsia="Palatino Linotype" w:hAnsi="Palatino Linotype" w:cs="Palatino Linotype"/>
          <w:b/>
        </w:rPr>
        <w:t>Tercero</w:t>
      </w:r>
      <w:r>
        <w:rPr>
          <w:rFonts w:ascii="Palatino Linotype" w:eastAsia="Palatino Linotype" w:hAnsi="Palatino Linotype" w:cs="Palatino Linotype"/>
        </w:rPr>
        <w:t xml:space="preserve"> de la presente Resolución.</w:t>
      </w:r>
      <w:r>
        <w:rPr>
          <w:rFonts w:ascii="Palatino Linotype" w:eastAsia="Palatino Linotype" w:hAnsi="Palatino Linotype" w:cs="Palatino Linotype"/>
          <w:b/>
        </w:rPr>
        <w:t xml:space="preserve"> </w:t>
      </w:r>
    </w:p>
    <w:p w:rsidR="001A7E21" w:rsidRDefault="008015C6">
      <w:pPr>
        <w:spacing w:before="240" w:after="240" w:line="360" w:lineRule="auto"/>
        <w:jc w:val="both"/>
        <w:rPr>
          <w:rFonts w:ascii="Palatino Linotype" w:eastAsia="Palatino Linotype" w:hAnsi="Palatino Linotype" w:cs="Palatino Linotype"/>
        </w:rPr>
      </w:pPr>
      <w:bookmarkStart w:id="6" w:name="_heading=h.17dp8vu" w:colFirst="0" w:colLast="0"/>
      <w:bookmarkEnd w:id="6"/>
      <w:r>
        <w:rPr>
          <w:rFonts w:ascii="Palatino Linotype" w:eastAsia="Palatino Linotype" w:hAnsi="Palatino Linotype" w:cs="Palatino Linotype"/>
          <w:b/>
        </w:rPr>
        <w:t>Segundo. Notifíquese</w:t>
      </w:r>
      <w:r>
        <w:rPr>
          <w:rFonts w:ascii="Palatino Linotype" w:eastAsia="Palatino Linotype" w:hAnsi="Palatino Linotype" w:cs="Palatino Linotype"/>
        </w:rPr>
        <w:t xml:space="preserve"> vía </w:t>
      </w:r>
      <w:r>
        <w:rPr>
          <w:rFonts w:ascii="Palatino Linotype" w:eastAsia="Palatino Linotype" w:hAnsi="Palatino Linotype" w:cs="Palatino Linotype"/>
          <w:b/>
        </w:rPr>
        <w:t xml:space="preserve">SAIMEX </w:t>
      </w:r>
      <w:r>
        <w:rPr>
          <w:rFonts w:ascii="Palatino Linotype" w:eastAsia="Palatino Linotype" w:hAnsi="Palatino Linotype" w:cs="Palatino Linotype"/>
        </w:rPr>
        <w:t xml:space="preserve">la presente resolución a la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para su conocimiento, lo anterior en términos del artículo 189 de la Ley de Transparencia y Acceso a la Información Pública del Estado de México y Municipios.</w:t>
      </w:r>
    </w:p>
    <w:p w:rsidR="001A7E21" w:rsidRDefault="008015C6">
      <w:pPr>
        <w:tabs>
          <w:tab w:val="left" w:pos="8647"/>
        </w:tabs>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Notifíquese, vía SAIMEX </w:t>
      </w:r>
      <w:r>
        <w:rPr>
          <w:rFonts w:ascii="Palatino Linotype" w:eastAsia="Palatino Linotype" w:hAnsi="Palatino Linotype" w:cs="Palatino Linotype"/>
        </w:rPr>
        <w:t>a</w:t>
      </w:r>
      <w:r>
        <w:rPr>
          <w:rFonts w:ascii="Palatino Linotype" w:eastAsia="Palatino Linotype" w:hAnsi="Palatino Linotype" w:cs="Palatino Linotype"/>
          <w:b/>
        </w:rPr>
        <w:t xml:space="preserve"> </w:t>
      </w:r>
      <w:r>
        <w:rPr>
          <w:rFonts w:ascii="Palatino Linotype" w:eastAsia="Palatino Linotype" w:hAnsi="Palatino Linotype" w:cs="Palatino Linotype"/>
        </w:rPr>
        <w:t>la parte</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la presente resolución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rsidR="001A7E21" w:rsidRDefault="008015C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w:t>
      </w:r>
      <w:r w:rsidR="00A13994">
        <w:rPr>
          <w:rFonts w:ascii="Palatino Linotype" w:eastAsia="Palatino Linotype" w:hAnsi="Palatino Linotype" w:cs="Palatino Linotype"/>
        </w:rPr>
        <w:t>A</w:t>
      </w:r>
      <w:r>
        <w:rPr>
          <w:rFonts w:ascii="Palatino Linotype" w:eastAsia="Palatino Linotype" w:hAnsi="Palatino Linotype" w:cs="Palatino Linotype"/>
        </w:rPr>
        <w:t xml:space="preserve"> TERCERA SESIÓN ORDINARIA CELEBRADA </w:t>
      </w:r>
      <w:r>
        <w:rPr>
          <w:rFonts w:ascii="Palatino Linotype" w:eastAsia="Palatino Linotype" w:hAnsi="Palatino Linotype" w:cs="Palatino Linotype"/>
        </w:rPr>
        <w:lastRenderedPageBreak/>
        <w:t xml:space="preserve">EL SIETE DE ABRIL DE DOS MIL VEINTIDÓS, ANTE EL SECRETARIO TÉCNICO </w:t>
      </w:r>
      <w:r>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simplePos x="0" y="0"/>
                <wp:positionH relativeFrom="column">
                  <wp:posOffset>129540</wp:posOffset>
                </wp:positionH>
                <wp:positionV relativeFrom="paragraph">
                  <wp:posOffset>541656</wp:posOffset>
                </wp:positionV>
                <wp:extent cx="5372100" cy="7353300"/>
                <wp:effectExtent l="0" t="0" r="19050" b="19050"/>
                <wp:wrapNone/>
                <wp:docPr id="1" name="Conector recto 1"/>
                <wp:cNvGraphicFramePr/>
                <a:graphic xmlns:a="http://schemas.openxmlformats.org/drawingml/2006/main">
                  <a:graphicData uri="http://schemas.microsoft.com/office/word/2010/wordprocessingShape">
                    <wps:wsp>
                      <wps:cNvCnPr/>
                      <wps:spPr>
                        <a:xfrm>
                          <a:off x="0" y="0"/>
                          <a:ext cx="5372100" cy="7353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1516AEBF" id="Conector rec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42.65pt" to="433.2pt,6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" strokecolor="black [3040]"/>
            </w:pict>
          </mc:Fallback>
        </mc:AlternateContent>
      </w:r>
      <w:r>
        <w:rPr>
          <w:rFonts w:ascii="Palatino Linotype" w:eastAsia="Palatino Linotype" w:hAnsi="Palatino Linotype" w:cs="Palatino Linotype"/>
        </w:rPr>
        <w:t>DEL PLENO ALEXIS TAPIA RAMÍREZ.</w:t>
      </w:r>
    </w:p>
    <w:p w:rsidR="008015C6" w:rsidRDefault="008015C6">
      <w:pPr>
        <w:spacing w:line="360" w:lineRule="auto"/>
        <w:jc w:val="both"/>
        <w:rPr>
          <w:rFonts w:ascii="Palatino Linotype" w:eastAsia="Palatino Linotype" w:hAnsi="Palatino Linotype" w:cs="Palatino Linotype"/>
        </w:rPr>
        <w:sectPr w:rsidR="008015C6">
          <w:headerReference w:type="default" r:id="rId18"/>
          <w:footerReference w:type="default" r:id="rId19"/>
          <w:headerReference w:type="first" r:id="rId20"/>
          <w:footerReference w:type="first" r:id="rId21"/>
          <w:pgSz w:w="12240" w:h="15840"/>
          <w:pgMar w:top="1985" w:right="1701" w:bottom="1701" w:left="1701" w:header="709" w:footer="709" w:gutter="0"/>
          <w:pgNumType w:start="1"/>
          <w:cols w:space="720"/>
          <w:titlePg/>
        </w:sectPr>
      </w:pPr>
    </w:p>
    <w:p w:rsidR="001A7E21" w:rsidRDefault="001A7E21">
      <w:pPr>
        <w:spacing w:line="360" w:lineRule="auto"/>
        <w:jc w:val="both"/>
        <w:rPr>
          <w:rFonts w:ascii="Palatino Linotype" w:eastAsia="Palatino Linotype" w:hAnsi="Palatino Linotype" w:cs="Palatino Linotype"/>
        </w:rPr>
      </w:pPr>
    </w:p>
    <w:p w:rsidR="001A7E21" w:rsidRDefault="001A7E21">
      <w:pPr>
        <w:spacing w:line="360" w:lineRule="auto"/>
        <w:jc w:val="both"/>
        <w:rPr>
          <w:rFonts w:ascii="Palatino Linotype" w:eastAsia="Palatino Linotype" w:hAnsi="Palatino Linotype" w:cs="Palatino Linotype"/>
        </w:rPr>
      </w:pPr>
    </w:p>
    <w:p w:rsidR="001A7E21" w:rsidRDefault="001A7E21">
      <w:pPr>
        <w:spacing w:line="360" w:lineRule="auto"/>
        <w:jc w:val="both"/>
        <w:rPr>
          <w:rFonts w:ascii="Palatino Linotype" w:eastAsia="Palatino Linotype" w:hAnsi="Palatino Linotype" w:cs="Palatino Linotype"/>
        </w:rPr>
      </w:pPr>
    </w:p>
    <w:p w:rsidR="001A7E21" w:rsidRDefault="001A7E21">
      <w:pPr>
        <w:rPr>
          <w:rFonts w:ascii="Palatino Linotype" w:eastAsia="Palatino Linotype" w:hAnsi="Palatino Linotype" w:cs="Palatino Linotype"/>
        </w:rPr>
      </w:pPr>
    </w:p>
    <w:p w:rsidR="001A7E21" w:rsidRDefault="001A7E21">
      <w:pPr>
        <w:spacing w:line="360" w:lineRule="auto"/>
        <w:jc w:val="both"/>
        <w:rPr>
          <w:rFonts w:ascii="Palatino Linotype" w:eastAsia="Palatino Linotype" w:hAnsi="Palatino Linotype" w:cs="Palatino Linotype"/>
        </w:rPr>
      </w:pPr>
    </w:p>
    <w:p w:rsidR="001A7E21" w:rsidRDefault="001A7E21">
      <w:pPr>
        <w:spacing w:line="360" w:lineRule="auto"/>
        <w:jc w:val="both"/>
        <w:rPr>
          <w:rFonts w:ascii="Palatino Linotype" w:eastAsia="Palatino Linotype" w:hAnsi="Palatino Linotype" w:cs="Palatino Linotype"/>
        </w:rPr>
      </w:pPr>
    </w:p>
    <w:p w:rsidR="001A7E21" w:rsidRDefault="001A7E21">
      <w:pPr>
        <w:spacing w:line="360" w:lineRule="auto"/>
        <w:jc w:val="both"/>
        <w:rPr>
          <w:rFonts w:ascii="Palatino Linotype" w:eastAsia="Palatino Linotype" w:hAnsi="Palatino Linotype" w:cs="Palatino Linotype"/>
        </w:rPr>
      </w:pPr>
    </w:p>
    <w:p w:rsidR="001A7E21" w:rsidRDefault="001A7E21">
      <w:pPr>
        <w:spacing w:line="360" w:lineRule="auto"/>
        <w:jc w:val="both"/>
        <w:rPr>
          <w:rFonts w:ascii="Palatino Linotype" w:eastAsia="Palatino Linotype" w:hAnsi="Palatino Linotype" w:cs="Palatino Linotype"/>
        </w:rPr>
      </w:pPr>
    </w:p>
    <w:p w:rsidR="001A7E21" w:rsidRDefault="001A7E21">
      <w:pPr>
        <w:spacing w:line="360" w:lineRule="auto"/>
        <w:jc w:val="both"/>
        <w:rPr>
          <w:rFonts w:ascii="Palatino Linotype" w:eastAsia="Palatino Linotype" w:hAnsi="Palatino Linotype" w:cs="Palatino Linotype"/>
        </w:rPr>
      </w:pPr>
    </w:p>
    <w:p w:rsidR="001A7E21" w:rsidRDefault="001A7E21">
      <w:pPr>
        <w:spacing w:line="360" w:lineRule="auto"/>
        <w:jc w:val="both"/>
        <w:rPr>
          <w:rFonts w:ascii="Palatino Linotype" w:eastAsia="Palatino Linotype" w:hAnsi="Palatino Linotype" w:cs="Palatino Linotype"/>
        </w:rPr>
      </w:pPr>
    </w:p>
    <w:p w:rsidR="001A7E21" w:rsidRDefault="001A7E21">
      <w:pPr>
        <w:spacing w:line="360" w:lineRule="auto"/>
        <w:jc w:val="both"/>
        <w:rPr>
          <w:rFonts w:ascii="Palatino Linotype" w:eastAsia="Palatino Linotype" w:hAnsi="Palatino Linotype" w:cs="Palatino Linotype"/>
        </w:rPr>
      </w:pPr>
    </w:p>
    <w:p w:rsidR="001A7E21" w:rsidRDefault="001A7E21">
      <w:pPr>
        <w:spacing w:line="360" w:lineRule="auto"/>
        <w:jc w:val="both"/>
        <w:rPr>
          <w:rFonts w:ascii="Palatino Linotype" w:eastAsia="Palatino Linotype" w:hAnsi="Palatino Linotype" w:cs="Palatino Linotype"/>
        </w:rPr>
      </w:pPr>
    </w:p>
    <w:p w:rsidR="001A7E21" w:rsidRDefault="001A7E21">
      <w:pPr>
        <w:spacing w:line="360" w:lineRule="auto"/>
        <w:jc w:val="both"/>
        <w:rPr>
          <w:rFonts w:ascii="Palatino Linotype" w:eastAsia="Palatino Linotype" w:hAnsi="Palatino Linotype" w:cs="Palatino Linotype"/>
        </w:rPr>
      </w:pPr>
    </w:p>
    <w:p w:rsidR="001A7E21" w:rsidRDefault="001A7E21">
      <w:pPr>
        <w:spacing w:line="360" w:lineRule="auto"/>
        <w:jc w:val="both"/>
        <w:rPr>
          <w:rFonts w:ascii="Palatino Linotype" w:eastAsia="Palatino Linotype" w:hAnsi="Palatino Linotype" w:cs="Palatino Linotype"/>
        </w:rPr>
      </w:pPr>
    </w:p>
    <w:p w:rsidR="001A7E21" w:rsidRDefault="001A7E21">
      <w:pPr>
        <w:spacing w:line="360" w:lineRule="auto"/>
        <w:jc w:val="both"/>
        <w:rPr>
          <w:rFonts w:ascii="Palatino Linotype" w:eastAsia="Palatino Linotype" w:hAnsi="Palatino Linotype" w:cs="Palatino Linotype"/>
        </w:rPr>
      </w:pPr>
    </w:p>
    <w:p w:rsidR="001A7E21" w:rsidRDefault="001A7E21">
      <w:pPr>
        <w:spacing w:line="360" w:lineRule="auto"/>
        <w:jc w:val="both"/>
        <w:rPr>
          <w:rFonts w:ascii="Palatino Linotype" w:eastAsia="Palatino Linotype" w:hAnsi="Palatino Linotype" w:cs="Palatino Linotype"/>
        </w:rPr>
      </w:pPr>
    </w:p>
    <w:p w:rsidR="001A7E21" w:rsidRDefault="001A7E21">
      <w:pPr>
        <w:spacing w:line="360" w:lineRule="auto"/>
        <w:jc w:val="both"/>
        <w:rPr>
          <w:rFonts w:ascii="Palatino Linotype" w:eastAsia="Palatino Linotype" w:hAnsi="Palatino Linotype" w:cs="Palatino Linotype"/>
        </w:rPr>
      </w:pPr>
    </w:p>
    <w:p w:rsidR="001A7E21" w:rsidRDefault="001A7E21">
      <w:pPr>
        <w:spacing w:line="360" w:lineRule="auto"/>
        <w:jc w:val="both"/>
        <w:rPr>
          <w:rFonts w:ascii="Palatino Linotype" w:eastAsia="Palatino Linotype" w:hAnsi="Palatino Linotype" w:cs="Palatino Linotype"/>
        </w:rPr>
      </w:pPr>
    </w:p>
    <w:p w:rsidR="001A7E21" w:rsidRDefault="001A7E21">
      <w:pPr>
        <w:spacing w:line="360" w:lineRule="auto"/>
        <w:jc w:val="both"/>
        <w:rPr>
          <w:rFonts w:ascii="Palatino Linotype" w:eastAsia="Palatino Linotype" w:hAnsi="Palatino Linotype" w:cs="Palatino Linotype"/>
        </w:rPr>
      </w:pPr>
    </w:p>
    <w:p w:rsidR="001A7E21" w:rsidRDefault="001A7E21">
      <w:pPr>
        <w:spacing w:line="360" w:lineRule="auto"/>
        <w:jc w:val="both"/>
        <w:rPr>
          <w:rFonts w:ascii="Palatino Linotype" w:eastAsia="Palatino Linotype" w:hAnsi="Palatino Linotype" w:cs="Palatino Linotype"/>
        </w:rPr>
      </w:pPr>
    </w:p>
    <w:p w:rsidR="001A7E21" w:rsidRDefault="001A7E21">
      <w:pPr>
        <w:spacing w:line="360" w:lineRule="auto"/>
        <w:jc w:val="both"/>
        <w:rPr>
          <w:rFonts w:ascii="Palatino Linotype" w:eastAsia="Palatino Linotype" w:hAnsi="Palatino Linotype" w:cs="Palatino Linotype"/>
        </w:rPr>
      </w:pPr>
    </w:p>
    <w:p w:rsidR="001A7E21" w:rsidRDefault="001A7E21">
      <w:pPr>
        <w:spacing w:line="360" w:lineRule="auto"/>
        <w:jc w:val="both"/>
        <w:rPr>
          <w:rFonts w:ascii="Palatino Linotype" w:eastAsia="Palatino Linotype" w:hAnsi="Palatino Linotype" w:cs="Palatino Linotype"/>
        </w:rPr>
      </w:pPr>
    </w:p>
    <w:sectPr w:rsidR="001A7E21">
      <w:headerReference w:type="first" r:id="rId2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26E2" w:rsidRDefault="003526E2">
      <w:r>
        <w:separator/>
      </w:r>
    </w:p>
  </w:endnote>
  <w:endnote w:type="continuationSeparator" w:id="0">
    <w:p w:rsidR="003526E2" w:rsidRDefault="00352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E21" w:rsidRDefault="008015C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A5BDF">
      <w:rPr>
        <w:rFonts w:ascii="Palatino Linotype" w:eastAsia="Palatino Linotype" w:hAnsi="Palatino Linotype" w:cs="Palatino Linotype"/>
        <w:b/>
        <w:noProof/>
        <w:color w:val="000000"/>
        <w:sz w:val="20"/>
        <w:szCs w:val="20"/>
      </w:rPr>
      <w:t>23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A5BDF">
      <w:rPr>
        <w:rFonts w:ascii="Palatino Linotype" w:eastAsia="Palatino Linotype" w:hAnsi="Palatino Linotype" w:cs="Palatino Linotype"/>
        <w:b/>
        <w:noProof/>
        <w:color w:val="000000"/>
        <w:sz w:val="20"/>
        <w:szCs w:val="20"/>
      </w:rPr>
      <w:t>24</w:t>
    </w:r>
    <w:r>
      <w:rPr>
        <w:rFonts w:ascii="Palatino Linotype" w:eastAsia="Palatino Linotype" w:hAnsi="Palatino Linotype" w:cs="Palatino Linotype"/>
        <w:b/>
        <w:color w:val="000000"/>
        <w:sz w:val="20"/>
        <w:szCs w:val="20"/>
      </w:rPr>
      <w:fldChar w:fldCharType="end"/>
    </w:r>
  </w:p>
  <w:p w:rsidR="001A7E21" w:rsidRDefault="001A7E21">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E21" w:rsidRDefault="008015C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A5BDF">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A5BDF">
      <w:rPr>
        <w:rFonts w:ascii="Palatino Linotype" w:eastAsia="Palatino Linotype" w:hAnsi="Palatino Linotype" w:cs="Palatino Linotype"/>
        <w:b/>
        <w:noProof/>
        <w:color w:val="000000"/>
        <w:sz w:val="20"/>
        <w:szCs w:val="20"/>
      </w:rPr>
      <w:t>24</w:t>
    </w:r>
    <w:r>
      <w:rPr>
        <w:rFonts w:ascii="Palatino Linotype" w:eastAsia="Palatino Linotype" w:hAnsi="Palatino Linotype" w:cs="Palatino Linotype"/>
        <w:b/>
        <w:color w:val="000000"/>
        <w:sz w:val="20"/>
        <w:szCs w:val="20"/>
      </w:rPr>
      <w:fldChar w:fldCharType="end"/>
    </w:r>
  </w:p>
  <w:p w:rsidR="001A7E21" w:rsidRDefault="001A7E21">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26E2" w:rsidRDefault="003526E2">
      <w:r>
        <w:separator/>
      </w:r>
    </w:p>
  </w:footnote>
  <w:footnote w:type="continuationSeparator" w:id="0">
    <w:p w:rsidR="003526E2" w:rsidRDefault="003526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E21" w:rsidRDefault="008015C6">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-1080133</wp:posOffset>
          </wp:positionH>
          <wp:positionV relativeFrom="paragraph">
            <wp:posOffset>-488313</wp:posOffset>
          </wp:positionV>
          <wp:extent cx="7809865" cy="10165715"/>
          <wp:effectExtent l="0" t="0" r="0" b="0"/>
          <wp:wrapNone/>
          <wp:docPr id="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4"/>
      <w:tblW w:w="5953" w:type="dxa"/>
      <w:tblInd w:w="3261" w:type="dxa"/>
      <w:tblLayout w:type="fixed"/>
      <w:tblLook w:val="0400" w:firstRow="0" w:lastRow="0" w:firstColumn="0" w:lastColumn="0" w:noHBand="0" w:noVBand="1"/>
    </w:tblPr>
    <w:tblGrid>
      <w:gridCol w:w="2489"/>
      <w:gridCol w:w="3464"/>
    </w:tblGrid>
    <w:tr w:rsidR="001A7E21">
      <w:tc>
        <w:tcPr>
          <w:tcW w:w="2489" w:type="dxa"/>
          <w:shd w:val="clear" w:color="auto" w:fill="auto"/>
        </w:tcPr>
        <w:p w:rsidR="001A7E21" w:rsidRDefault="008015C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1A7E21" w:rsidRDefault="008015C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01044/INFOEM/IP/RR/2022</w:t>
          </w:r>
        </w:p>
      </w:tc>
    </w:tr>
    <w:tr w:rsidR="001A7E21">
      <w:trPr>
        <w:trHeight w:val="228"/>
      </w:trPr>
      <w:tc>
        <w:tcPr>
          <w:tcW w:w="2489" w:type="dxa"/>
          <w:shd w:val="clear" w:color="auto" w:fill="auto"/>
          <w:vAlign w:val="center"/>
        </w:tcPr>
        <w:p w:rsidR="001A7E21" w:rsidRDefault="008015C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1A7E21" w:rsidRDefault="008015C6">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Ayuntamiento de Toluca</w:t>
          </w:r>
        </w:p>
      </w:tc>
    </w:tr>
    <w:tr w:rsidR="001A7E21">
      <w:tc>
        <w:tcPr>
          <w:tcW w:w="2489" w:type="dxa"/>
          <w:shd w:val="clear" w:color="auto" w:fill="auto"/>
          <w:vAlign w:val="center"/>
        </w:tcPr>
        <w:p w:rsidR="001A7E21" w:rsidRDefault="008015C6">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1A7E21" w:rsidRDefault="008015C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1A7E21" w:rsidRDefault="008015C6">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E21" w:rsidRDefault="001A7E2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3"/>
      <w:tblW w:w="5670" w:type="dxa"/>
      <w:tblInd w:w="3261" w:type="dxa"/>
      <w:tblLayout w:type="fixed"/>
      <w:tblLook w:val="0400" w:firstRow="0" w:lastRow="0" w:firstColumn="0" w:lastColumn="0" w:noHBand="0" w:noVBand="1"/>
    </w:tblPr>
    <w:tblGrid>
      <w:gridCol w:w="2551"/>
      <w:gridCol w:w="3119"/>
    </w:tblGrid>
    <w:tr w:rsidR="001A7E21">
      <w:tc>
        <w:tcPr>
          <w:tcW w:w="2551" w:type="dxa"/>
          <w:shd w:val="clear" w:color="auto" w:fill="auto"/>
          <w:vAlign w:val="center"/>
        </w:tcPr>
        <w:p w:rsidR="001A7E21" w:rsidRDefault="008015C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1A7E21" w:rsidRDefault="008015C6">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01044/INFOEM/IP/RR/2022</w:t>
          </w:r>
        </w:p>
      </w:tc>
    </w:tr>
    <w:tr w:rsidR="001A7E21">
      <w:trPr>
        <w:trHeight w:val="130"/>
      </w:trPr>
      <w:tc>
        <w:tcPr>
          <w:tcW w:w="2551" w:type="dxa"/>
          <w:shd w:val="clear" w:color="auto" w:fill="auto"/>
          <w:vAlign w:val="center"/>
        </w:tcPr>
        <w:p w:rsidR="001A7E21" w:rsidRDefault="008015C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1A7E21" w:rsidRDefault="000A5BDF">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 XXXXXXX XXXXXXXX</w:t>
          </w:r>
        </w:p>
      </w:tc>
    </w:tr>
    <w:tr w:rsidR="001A7E21">
      <w:trPr>
        <w:trHeight w:val="228"/>
      </w:trPr>
      <w:tc>
        <w:tcPr>
          <w:tcW w:w="2551" w:type="dxa"/>
          <w:shd w:val="clear" w:color="auto" w:fill="auto"/>
          <w:vAlign w:val="center"/>
        </w:tcPr>
        <w:p w:rsidR="001A7E21" w:rsidRDefault="008015C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1A7E21" w:rsidRDefault="008015C6">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1A7E21">
      <w:tc>
        <w:tcPr>
          <w:tcW w:w="2551" w:type="dxa"/>
          <w:shd w:val="clear" w:color="auto" w:fill="auto"/>
          <w:vAlign w:val="center"/>
        </w:tcPr>
        <w:p w:rsidR="001A7E21" w:rsidRDefault="008015C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1A7E21" w:rsidRDefault="008015C6">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1A7E21" w:rsidRDefault="008015C6">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simplePos x="0" y="0"/>
          <wp:positionH relativeFrom="column">
            <wp:posOffset>-1089658</wp:posOffset>
          </wp:positionH>
          <wp:positionV relativeFrom="paragraph">
            <wp:posOffset>-1169668</wp:posOffset>
          </wp:positionV>
          <wp:extent cx="7809865" cy="10165715"/>
          <wp:effectExtent l="0" t="0" r="0" b="0"/>
          <wp:wrapNone/>
          <wp:docPr id="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5C6" w:rsidRDefault="008015C6">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7A6CEC"/>
    <w:multiLevelType w:val="multilevel"/>
    <w:tmpl w:val="BEFA1D66"/>
    <w:lvl w:ilvl="0">
      <w:start w:val="1"/>
      <w:numFmt w:val="bullet"/>
      <w:pStyle w:val="Listaconvietas3"/>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
    <w:nsid w:val="31042E4D"/>
    <w:multiLevelType w:val="multilevel"/>
    <w:tmpl w:val="E326D2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E21"/>
    <w:rsid w:val="00046303"/>
    <w:rsid w:val="000A5BDF"/>
    <w:rsid w:val="001A7E21"/>
    <w:rsid w:val="003526E2"/>
    <w:rsid w:val="00544295"/>
    <w:rsid w:val="008015C6"/>
    <w:rsid w:val="00A13994"/>
    <w:rsid w:val="00B262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BF4D19-4ACE-4DBB-8BEC-61158ED39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JeauZG1EK14QGF6qBdGsaEoW0CQ==">AMUW2mWG9rqjjBNWnwOBkJtnXObsr1SYbsexHKenlLHZWeep6DESHInSQGihdg0apDgmulLqmpeAEqx+A5Zpf8Rq/Z2u3vqVTb2kOe1izFJRpQGu8y6Yi7DP81jSytVkNA3uDGfTJfflo/iwY7jupIOaqfGP8v+12WLU0a1JWn3qyi32QytaSiE317d2fSJhswnZkKB6YMJw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BE168E9-0D4D-4D29-91C7-3F78E618E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3928</Words>
  <Characters>21608</Characters>
  <Application>Microsoft Office Word</Application>
  <DocSecurity>0</DocSecurity>
  <Lines>180</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2022-04-08T15:26:00Z</cp:lastPrinted>
  <dcterms:created xsi:type="dcterms:W3CDTF">2022-05-06T17:12:00Z</dcterms:created>
  <dcterms:modified xsi:type="dcterms:W3CDTF">2022-05-06T17:12:00Z</dcterms:modified>
</cp:coreProperties>
</file>