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2A72" w:rsidR="002C3A82" w:rsidP="001036A9" w:rsidRDefault="002C3A82" w14:paraId="76FFABB9" w14:textId="27FC443D">
      <w:pPr>
        <w:spacing w:after="0" w:line="360" w:lineRule="auto"/>
        <w:rPr>
          <w:rFonts w:eastAsia="Times New Roman" w:cs="Tahoma"/>
          <w:bCs/>
          <w:color w:val="auto"/>
          <w:lang w:eastAsia="es-ES"/>
        </w:rPr>
      </w:pPr>
      <w:r w:rsidRPr="00762A72">
        <w:rPr>
          <w:rFonts w:eastAsia="Calibri" w:cs="Tahoma"/>
          <w:bCs/>
          <w:color w:val="000000"/>
        </w:rPr>
        <w:t xml:space="preserve">Resolución del Pleno del Instituto de Transparencia, Acceso a la Información Pública y </w:t>
      </w:r>
      <w:r w:rsidRPr="00762A72">
        <w:rPr>
          <w:rFonts w:eastAsia="Times New Roman" w:cs="Tahoma"/>
          <w:bCs/>
          <w:color w:val="auto"/>
          <w:lang w:eastAsia="es-ES"/>
        </w:rPr>
        <w:t xml:space="preserve">Protección de Datos Personales del Estado de México y Municipios, con domicilio en Metepec, Estado de México, de fecha </w:t>
      </w:r>
      <w:r w:rsidRPr="00762A72" w:rsidR="00526FC5">
        <w:rPr>
          <w:rFonts w:eastAsia="Times New Roman" w:cs="Tahoma"/>
          <w:bCs/>
          <w:color w:val="auto"/>
          <w:lang w:eastAsia="es-ES"/>
        </w:rPr>
        <w:t>diez de febrero</w:t>
      </w:r>
      <w:r w:rsidRPr="00762A72">
        <w:rPr>
          <w:rFonts w:eastAsia="Times New Roman" w:cs="Tahoma"/>
          <w:bCs/>
          <w:color w:val="auto"/>
          <w:lang w:eastAsia="es-ES"/>
        </w:rPr>
        <w:t xml:space="preserve"> de dos mil veintidós. </w:t>
      </w:r>
    </w:p>
    <w:p w:rsidRPr="00762A72" w:rsidR="002C3A82" w:rsidP="001036A9" w:rsidRDefault="002C3A82" w14:paraId="496BD902" w14:textId="77777777">
      <w:pPr>
        <w:tabs>
          <w:tab w:val="left" w:pos="2839"/>
        </w:tabs>
        <w:spacing w:after="0" w:line="360" w:lineRule="auto"/>
        <w:rPr>
          <w:rFonts w:eastAsia="Times New Roman" w:cs="Tahoma"/>
          <w:bCs/>
          <w:color w:val="auto"/>
          <w:lang w:eastAsia="es-ES"/>
        </w:rPr>
      </w:pPr>
    </w:p>
    <w:p w:rsidRPr="00762A72" w:rsidR="002C3A82" w:rsidP="001036A9" w:rsidRDefault="002C3A82" w14:paraId="497104DB" w14:textId="74A5B1B1">
      <w:pPr>
        <w:spacing w:after="0" w:line="360" w:lineRule="auto"/>
        <w:rPr>
          <w:rFonts w:eastAsia="Calibri" w:cs="Tahoma"/>
          <w:color w:val="0D0D0D"/>
        </w:rPr>
      </w:pPr>
      <w:r w:rsidRPr="37FFCB88" w:rsidR="37FFCB88">
        <w:rPr>
          <w:rFonts w:eastAsia="Times New Roman" w:cs="Tahoma"/>
          <w:b w:val="1"/>
          <w:bCs w:val="1"/>
          <w:color w:val="auto"/>
          <w:lang w:eastAsia="es-ES"/>
        </w:rPr>
        <w:t>VISTO</w:t>
      </w:r>
      <w:r w:rsidRPr="37FFCB88" w:rsidR="37FFCB88">
        <w:rPr>
          <w:rFonts w:eastAsia="Calibri" w:cs="Tahoma"/>
          <w:color w:val="0D0D0D" w:themeColor="text1" w:themeTint="F2" w:themeShade="FF"/>
        </w:rPr>
        <w:t xml:space="preserve"> el expediente conformado con motivo del Recurso de Revisión </w:t>
      </w:r>
      <w:r w:rsidRPr="37FFCB88" w:rsidR="37FFCB88">
        <w:rPr>
          <w:rFonts w:eastAsia="Calibri" w:cs="Tahoma"/>
          <w:color w:val="000000" w:themeColor="text1" w:themeTint="FF" w:themeShade="FF"/>
        </w:rPr>
        <w:t xml:space="preserve">05791/INFOEM/IP/RR/2021, interpuesto por </w:t>
      </w:r>
      <w:r w:rsidRPr="37FFCB88" w:rsidR="37FFCB88">
        <w:rPr>
          <w:rFonts w:eastAsia="Calibri" w:cs="Tahoma"/>
          <w:color w:val="000000" w:themeColor="text1" w:themeTint="FF" w:themeShade="FF"/>
          <w:highlight w:val="black"/>
        </w:rPr>
        <w:t>XXXXXXXXXXXXXXXXXXXX</w:t>
      </w:r>
      <w:r w:rsidRPr="37FFCB88" w:rsidR="37FFCB88">
        <w:rPr>
          <w:rFonts w:eastAsia="Calibri" w:cs="Tahoma"/>
          <w:color w:val="000000" w:themeColor="text1" w:themeTint="FF" w:themeShade="FF"/>
        </w:rPr>
        <w:t xml:space="preserve">, en lo sucesivo, el </w:t>
      </w:r>
      <w:r w:rsidRPr="37FFCB88" w:rsidR="37FFCB88">
        <w:rPr>
          <w:rFonts w:eastAsia="Calibri" w:cs="Tahoma"/>
          <w:color w:val="0D0D0D" w:themeColor="text1" w:themeTint="F2" w:themeShade="FF"/>
        </w:rPr>
        <w:t>Recurrente o Particular, en contra de la respuesta del Sujeto Obligado,</w:t>
      </w:r>
      <w:r w:rsidRPr="37FFCB88" w:rsidR="37FFCB88">
        <w:rPr>
          <w:rFonts w:eastAsia="Calibri" w:cs="Tahoma"/>
          <w:color w:val="000000" w:themeColor="text1" w:themeTint="FF" w:themeShade="FF"/>
        </w:rPr>
        <w:t xml:space="preserve"> Tribunal Estatal de Conciliación y Arbitraje, a la solicitud de acceso a la información 00085/TRIECA/IP/2021, se emite la presente Resolución, con base en los Antecedentes y Considerandos que se exponen a continuación:</w:t>
      </w:r>
    </w:p>
    <w:p w:rsidRPr="00762A72" w:rsidR="002C3A82" w:rsidP="001036A9" w:rsidRDefault="002C3A82" w14:paraId="0FD42B51" w14:textId="77777777">
      <w:pPr>
        <w:spacing w:after="0" w:line="360" w:lineRule="auto"/>
        <w:rPr>
          <w:rFonts w:eastAsia="Calibri" w:cs="Tahoma"/>
          <w:color w:val="000000"/>
        </w:rPr>
      </w:pPr>
    </w:p>
    <w:p w:rsidRPr="00762A72" w:rsidR="002C3A82" w:rsidP="001036A9" w:rsidRDefault="002C3A82" w14:paraId="598E692A" w14:textId="77777777">
      <w:pPr>
        <w:tabs>
          <w:tab w:val="center" w:pos="4522"/>
          <w:tab w:val="left" w:pos="7245"/>
        </w:tabs>
        <w:spacing w:after="0" w:line="360" w:lineRule="auto"/>
        <w:jc w:val="center"/>
        <w:rPr>
          <w:rFonts w:eastAsia="Calibri" w:cs="Tahoma"/>
          <w:b/>
          <w:color w:val="000000"/>
        </w:rPr>
      </w:pPr>
      <w:r w:rsidRPr="00762A72">
        <w:rPr>
          <w:rFonts w:eastAsia="Calibri" w:cs="Tahoma"/>
          <w:b/>
          <w:color w:val="000000"/>
        </w:rPr>
        <w:t>A N T E C E D E N T E S:</w:t>
      </w:r>
    </w:p>
    <w:p w:rsidRPr="00762A72" w:rsidR="002C3A82" w:rsidP="001036A9" w:rsidRDefault="002C3A82" w14:paraId="47654693" w14:textId="77777777">
      <w:pPr>
        <w:spacing w:after="0" w:line="360" w:lineRule="auto"/>
      </w:pPr>
    </w:p>
    <w:p w:rsidRPr="00762A72" w:rsidR="002C3A82" w:rsidP="001036A9" w:rsidRDefault="002C3A82" w14:paraId="135158D6" w14:textId="77777777">
      <w:pPr>
        <w:tabs>
          <w:tab w:val="left" w:pos="567"/>
        </w:tabs>
        <w:spacing w:after="0" w:line="360" w:lineRule="auto"/>
        <w:rPr>
          <w:rFonts w:eastAsia="Times New Roman" w:cs="Tahoma"/>
          <w:b/>
          <w:color w:val="auto"/>
          <w:lang w:eastAsia="es-ES"/>
        </w:rPr>
      </w:pPr>
      <w:r w:rsidRPr="00762A72">
        <w:rPr>
          <w:rFonts w:eastAsia="Times New Roman" w:cs="Tahoma"/>
          <w:b/>
          <w:color w:val="auto"/>
          <w:lang w:eastAsia="es-ES"/>
        </w:rPr>
        <w:t>I. Presentación de la solicitud de información:</w:t>
      </w:r>
    </w:p>
    <w:p w:rsidRPr="00762A72" w:rsidR="002C3A82" w:rsidP="001036A9" w:rsidRDefault="002C3A82" w14:paraId="32C9BEA5" w14:textId="77777777">
      <w:pPr>
        <w:tabs>
          <w:tab w:val="left" w:pos="567"/>
        </w:tabs>
        <w:spacing w:after="0" w:line="360" w:lineRule="auto"/>
        <w:rPr>
          <w:rFonts w:eastAsia="Times New Roman" w:cs="Tahoma"/>
          <w:color w:val="auto"/>
          <w:lang w:eastAsia="es-ES"/>
        </w:rPr>
      </w:pPr>
    </w:p>
    <w:p w:rsidRPr="00762A72" w:rsidR="002C3A82" w:rsidP="001036A9" w:rsidRDefault="002C3A82" w14:paraId="00A37C90" w14:textId="65B930B3">
      <w:pPr>
        <w:spacing w:after="0" w:line="360" w:lineRule="auto"/>
        <w:rPr>
          <w:rFonts w:eastAsia="Times New Roman" w:cs="Tahoma"/>
          <w:color w:val="auto"/>
          <w:lang w:eastAsia="es-ES"/>
        </w:rPr>
      </w:pPr>
      <w:r w:rsidRPr="00762A72">
        <w:rPr>
          <w:rFonts w:eastAsia="Times New Roman" w:cs="Tahoma"/>
          <w:color w:val="auto"/>
          <w:lang w:eastAsia="es-ES"/>
        </w:rPr>
        <w:t xml:space="preserve">Con fecha </w:t>
      </w:r>
      <w:r w:rsidRPr="00762A72" w:rsidR="0035560C">
        <w:rPr>
          <w:rFonts w:eastAsia="Times New Roman" w:cs="Tahoma"/>
          <w:color w:val="auto"/>
          <w:lang w:eastAsia="es-ES"/>
        </w:rPr>
        <w:t>veintiocho de octubre de dos mil veintiuno</w:t>
      </w:r>
      <w:r w:rsidRPr="00762A72">
        <w:rPr>
          <w:rFonts w:eastAsia="Times New Roman" w:cs="Tahoma"/>
          <w:color w:val="auto"/>
          <w:lang w:eastAsia="es-ES"/>
        </w:rPr>
        <w:t xml:space="preserve">, el Particular presentó una solicitud de acceso a la información pública, a través del Sistema de Acceso a la Información Mexiquense (SAIMEX), ante el </w:t>
      </w:r>
      <w:r w:rsidRPr="00762A72">
        <w:rPr>
          <w:rFonts w:eastAsia="Calibri" w:cs="Tahoma"/>
        </w:rPr>
        <w:t xml:space="preserve">Tribunal Estatal de Conciliación y Arbitraje, en los siguientes términos: </w:t>
      </w:r>
    </w:p>
    <w:p w:rsidRPr="00762A72" w:rsidR="002C3A82" w:rsidP="001036A9" w:rsidRDefault="002C3A82" w14:paraId="1AEE51C5" w14:textId="77777777">
      <w:pPr>
        <w:spacing w:after="0" w:line="360" w:lineRule="auto"/>
        <w:rPr>
          <w:rFonts w:eastAsia="Calibri" w:cs="Tahoma"/>
        </w:rPr>
      </w:pPr>
    </w:p>
    <w:p w:rsidRPr="00762A72" w:rsidR="002C3A82" w:rsidP="001036A9" w:rsidRDefault="002C3A82" w14:paraId="43C3A18C" w14:textId="77777777">
      <w:pPr>
        <w:tabs>
          <w:tab w:val="left" w:pos="4667"/>
        </w:tabs>
        <w:spacing w:after="0" w:line="360" w:lineRule="auto"/>
        <w:ind w:left="567" w:right="567"/>
        <w:rPr>
          <w:rFonts w:eastAsia="Times New Roman" w:cs="Tahoma"/>
          <w:b/>
          <w:i/>
          <w:iCs/>
          <w:color w:val="auto"/>
          <w:sz w:val="20"/>
          <w:szCs w:val="20"/>
          <w:lang w:eastAsia="es-ES"/>
        </w:rPr>
      </w:pPr>
      <w:r w:rsidRPr="00762A72">
        <w:rPr>
          <w:rFonts w:eastAsia="Times New Roman" w:cs="Tahoma"/>
          <w:b/>
          <w:i/>
          <w:iCs/>
          <w:color w:val="auto"/>
          <w:sz w:val="20"/>
          <w:szCs w:val="20"/>
          <w:lang w:eastAsia="es-ES"/>
        </w:rPr>
        <w:t>“DESCRIPCIÓN CLARA Y PRECISA DE LA INFORMACIÓN SOLICITADA.</w:t>
      </w:r>
    </w:p>
    <w:p w:rsidRPr="00762A72" w:rsidR="002C3A82" w:rsidP="001036A9" w:rsidRDefault="0035560C" w14:paraId="431958EE" w14:textId="5A36C1A6">
      <w:pPr>
        <w:tabs>
          <w:tab w:val="left" w:pos="4667"/>
        </w:tabs>
        <w:spacing w:after="0" w:line="360" w:lineRule="auto"/>
        <w:ind w:left="567" w:right="567"/>
        <w:rPr>
          <w:rFonts w:eastAsia="Times New Roman" w:cs="Tahoma"/>
          <w:bCs/>
          <w:i/>
          <w:iCs/>
          <w:color w:val="auto"/>
          <w:sz w:val="20"/>
          <w:szCs w:val="20"/>
          <w:lang w:eastAsia="es-ES"/>
        </w:rPr>
      </w:pPr>
      <w:r w:rsidRPr="00762A72">
        <w:rPr>
          <w:rFonts w:eastAsia="Times New Roman" w:cs="Tahoma"/>
          <w:bCs/>
          <w:i/>
          <w:iCs/>
          <w:color w:val="auto"/>
          <w:sz w:val="20"/>
          <w:szCs w:val="20"/>
          <w:lang w:eastAsia="es-ES"/>
        </w:rPr>
        <w:t>Con fundamento jurídico en el artículo 6 de la Constitución Política de los Estados Unidos Mexicanos y del artículo 5 de la Constitución Política del Estado Libre y Soberano de México que tutelan el derecho de acceso a la información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en los años 2019, 2020 y 2021 (de ENERO a OCTUBRE). Agradecemos su pronta respuesta.</w:t>
      </w:r>
      <w:r w:rsidRPr="00762A72" w:rsidR="002C3A82">
        <w:rPr>
          <w:rFonts w:eastAsia="Times New Roman" w:cs="Tahoma"/>
          <w:bCs/>
          <w:i/>
          <w:iCs/>
          <w:color w:val="auto"/>
          <w:sz w:val="20"/>
          <w:szCs w:val="20"/>
          <w:lang w:eastAsia="es-ES"/>
        </w:rPr>
        <w:t xml:space="preserve">” (Sic) </w:t>
      </w:r>
    </w:p>
    <w:p w:rsidRPr="00762A72" w:rsidR="002C3A82" w:rsidP="001036A9" w:rsidRDefault="002C3A82" w14:paraId="3B1D53EE" w14:textId="77777777">
      <w:pPr>
        <w:tabs>
          <w:tab w:val="left" w:pos="4667"/>
        </w:tabs>
        <w:spacing w:after="0" w:line="360" w:lineRule="auto"/>
        <w:ind w:left="567" w:right="567"/>
        <w:rPr>
          <w:rFonts w:eastAsia="Times New Roman" w:cs="Tahoma"/>
          <w:b/>
          <w:bCs/>
          <w:i/>
          <w:iCs/>
          <w:color w:val="auto"/>
          <w:sz w:val="20"/>
          <w:lang w:eastAsia="es-ES"/>
        </w:rPr>
      </w:pPr>
      <w:r w:rsidRPr="00762A72">
        <w:rPr>
          <w:rFonts w:eastAsia="Times New Roman" w:cs="Tahoma"/>
          <w:b/>
          <w:bCs/>
          <w:i/>
          <w:iCs/>
          <w:color w:val="auto"/>
          <w:sz w:val="20"/>
          <w:lang w:eastAsia="es-ES"/>
        </w:rPr>
        <w:lastRenderedPageBreak/>
        <w:t>“MODALIDAD DE ENTREGA</w:t>
      </w:r>
    </w:p>
    <w:p w:rsidRPr="00762A72" w:rsidR="002C3A82" w:rsidP="001036A9" w:rsidRDefault="002C3A82" w14:paraId="6F29B2B7" w14:textId="77777777">
      <w:pPr>
        <w:spacing w:after="0" w:line="360" w:lineRule="auto"/>
        <w:ind w:left="567" w:right="567"/>
        <w:rPr>
          <w:rFonts w:eastAsia="Times New Roman" w:cs="Arial"/>
          <w:bCs/>
          <w:i/>
          <w:iCs/>
          <w:color w:val="auto"/>
          <w:sz w:val="20"/>
          <w:lang w:eastAsia="es-ES"/>
        </w:rPr>
      </w:pPr>
      <w:r w:rsidRPr="00762A72">
        <w:rPr>
          <w:rFonts w:eastAsia="Times New Roman" w:cs="Arial"/>
          <w:bCs/>
          <w:i/>
          <w:iCs/>
          <w:color w:val="auto"/>
          <w:sz w:val="20"/>
          <w:lang w:eastAsia="es-ES"/>
        </w:rPr>
        <w:t>A través del SAIMEX”</w:t>
      </w:r>
    </w:p>
    <w:p w:rsidRPr="00762A72" w:rsidR="002C3A82" w:rsidP="001036A9" w:rsidRDefault="002C3A82" w14:paraId="2DBA0DD8" w14:textId="77777777">
      <w:pPr>
        <w:spacing w:after="0" w:line="360" w:lineRule="auto"/>
        <w:ind w:left="567" w:right="567"/>
        <w:rPr>
          <w:rFonts w:eastAsia="Times New Roman" w:cs="Arial"/>
          <w:bCs/>
          <w:i/>
          <w:iCs/>
          <w:color w:val="auto"/>
          <w:sz w:val="20"/>
          <w:lang w:eastAsia="es-ES"/>
        </w:rPr>
      </w:pPr>
    </w:p>
    <w:p w:rsidRPr="00762A72" w:rsidR="002C3A82" w:rsidP="001036A9" w:rsidRDefault="002C3A82" w14:paraId="55B1D895" w14:textId="77777777">
      <w:pPr>
        <w:autoSpaceDE w:val="0"/>
        <w:autoSpaceDN w:val="0"/>
        <w:adjustRightInd w:val="0"/>
        <w:spacing w:after="0" w:line="360" w:lineRule="auto"/>
        <w:rPr>
          <w:b/>
          <w:bCs/>
        </w:rPr>
      </w:pPr>
      <w:r w:rsidRPr="00762A72">
        <w:rPr>
          <w:rFonts w:cs="Tahoma"/>
          <w:b/>
        </w:rPr>
        <w:t>II.</w:t>
      </w:r>
      <w:r w:rsidRPr="00762A72">
        <w:rPr>
          <w:b/>
          <w:bCs/>
        </w:rPr>
        <w:t xml:space="preserve"> Respuesta del Sujeto Obligado. </w:t>
      </w:r>
    </w:p>
    <w:p w:rsidRPr="00762A72" w:rsidR="002C3A82" w:rsidP="001036A9" w:rsidRDefault="002C3A82" w14:paraId="22CEA00D" w14:textId="77777777">
      <w:pPr>
        <w:spacing w:after="0" w:line="360" w:lineRule="auto"/>
      </w:pPr>
    </w:p>
    <w:p w:rsidRPr="00762A72" w:rsidR="002B6B2F" w:rsidP="001036A9" w:rsidRDefault="002C3A82" w14:paraId="09EA99CE" w14:textId="5ABB3D43">
      <w:pPr>
        <w:spacing w:after="0" w:line="360" w:lineRule="auto"/>
      </w:pPr>
      <w:r w:rsidRPr="00762A72">
        <w:t>Con fecha</w:t>
      </w:r>
      <w:r w:rsidRPr="00762A72" w:rsidR="002B6B2F">
        <w:t xml:space="preserve"> veintidós de noviembre de dos mil veintiuno, el Sujeto Obligado notificó, a través del Sistema de Acceso a la Información Mexiquense (SAIMEX), la respuesta a la solicitud de acceso a la información pública, mediante el oficio sin número, de fecha diecinueve de noviembre de dos mil veintiuno, el cual es suscrito por la Secretaria Auxiliar de la Sala Auxiliar de Ecatepec, por medio del cual manifiesta y expone: </w:t>
      </w:r>
    </w:p>
    <w:p w:rsidRPr="00762A72" w:rsidR="002B6B2F" w:rsidP="001036A9" w:rsidRDefault="002B6B2F" w14:paraId="6C69EC22" w14:textId="3694BBE7">
      <w:pPr>
        <w:spacing w:after="0" w:line="360" w:lineRule="auto"/>
      </w:pPr>
    </w:p>
    <w:p w:rsidRPr="00762A72" w:rsidR="002B6B2F" w:rsidP="001036A9" w:rsidRDefault="002B6B2F" w14:paraId="02F967F6" w14:textId="3D30BAC7">
      <w:pPr>
        <w:spacing w:after="0" w:line="360" w:lineRule="auto"/>
        <w:ind w:left="567" w:right="567"/>
        <w:rPr>
          <w:i/>
          <w:iCs/>
        </w:rPr>
      </w:pPr>
      <w:r w:rsidRPr="00762A72">
        <w:rPr>
          <w:i/>
          <w:iCs/>
        </w:rPr>
        <w:t xml:space="preserve">“… </w:t>
      </w:r>
    </w:p>
    <w:p w:rsidRPr="000260D0" w:rsidR="002B6B2F" w:rsidP="001036A9" w:rsidRDefault="002B6B2F" w14:paraId="117A2EB3" w14:textId="19011392">
      <w:pPr>
        <w:spacing w:after="0" w:line="360" w:lineRule="auto"/>
        <w:ind w:left="567" w:right="567"/>
        <w:rPr>
          <w:rFonts w:eastAsia="Times New Roman" w:cs="Tahoma"/>
          <w:bCs/>
          <w:i/>
          <w:iCs/>
          <w:color w:val="auto"/>
          <w:sz w:val="20"/>
          <w:szCs w:val="20"/>
          <w:lang w:eastAsia="es-ES"/>
        </w:rPr>
      </w:pPr>
      <w:r w:rsidRPr="00762A72">
        <w:rPr>
          <w:i/>
          <w:iCs/>
        </w:rPr>
        <w:t>En atención a la solicitud número 00085/TRIECA/IP/2021, de fecha 28-10-2021</w:t>
      </w:r>
      <w:r w:rsidRPr="00762A72" w:rsidR="009C6708">
        <w:rPr>
          <w:i/>
          <w:iCs/>
        </w:rPr>
        <w:t xml:space="preserve"> a través de SAIMEX, a través de la cual solicita “</w:t>
      </w:r>
      <w:r w:rsidRPr="00762A72" w:rsidR="009C6708">
        <w:rPr>
          <w:rFonts w:eastAsia="Times New Roman" w:cs="Tahoma"/>
          <w:bCs/>
          <w:i/>
          <w:iCs/>
          <w:color w:val="auto"/>
          <w:sz w:val="20"/>
          <w:szCs w:val="20"/>
          <w:lang w:eastAsia="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en los años 2019, 2020 y 2021 (de ENERO a OCTUBRE). Agradecemos su pronta respuesta” Por lo que en primer termino se hace de su conocimiento que los expedientes tramitados ante esta Sala Auxiliar de Ecatepec del Tribunal Estatal de Conciliación y Arbitraje se encuentran contenidos en los catálogos de información reservada, a efecto de evitar causar daño alguna de las personas o alterar el procedimiento, lo anterior con fundamento en lo dispuesto por las fracciones VI y VIII del artículo 140 de la Ley de Transparencia y Acceso a la Información Pública del Estado de México </w:t>
      </w:r>
      <w:r w:rsidRPr="00762A72" w:rsidR="007E31F7">
        <w:rPr>
          <w:rFonts w:eastAsia="Times New Roman" w:cs="Tahoma"/>
          <w:bCs/>
          <w:i/>
          <w:iCs/>
          <w:color w:val="auto"/>
          <w:sz w:val="20"/>
          <w:szCs w:val="20"/>
          <w:lang w:eastAsia="es-ES"/>
        </w:rPr>
        <w:t xml:space="preserve">que a la letra </w:t>
      </w:r>
      <w:r w:rsidRPr="000260D0" w:rsidR="007E31F7">
        <w:rPr>
          <w:rFonts w:eastAsia="Times New Roman" w:cs="Tahoma"/>
          <w:bCs/>
          <w:i/>
          <w:iCs/>
          <w:color w:val="auto"/>
          <w:sz w:val="20"/>
          <w:szCs w:val="20"/>
          <w:lang w:eastAsia="es-ES"/>
        </w:rPr>
        <w:t xml:space="preserve">se transcribe </w:t>
      </w:r>
    </w:p>
    <w:p w:rsidRPr="000260D0" w:rsidR="00E27369" w:rsidP="001036A9" w:rsidRDefault="000260D0" w14:paraId="69AE2237" w14:textId="5E8D2B9D">
      <w:pPr>
        <w:spacing w:after="0" w:line="360" w:lineRule="auto"/>
        <w:ind w:left="567" w:right="850"/>
        <w:rPr>
          <w:i/>
          <w:iCs/>
          <w:sz w:val="20"/>
          <w:szCs w:val="20"/>
        </w:rPr>
      </w:pPr>
      <w:r w:rsidRPr="000260D0">
        <w:rPr>
          <w:i/>
          <w:iCs/>
          <w:sz w:val="20"/>
          <w:szCs w:val="20"/>
        </w:rPr>
        <w:t>…</w:t>
      </w:r>
    </w:p>
    <w:p w:rsidRPr="000260D0" w:rsidR="00CF15DE" w:rsidP="001036A9" w:rsidRDefault="00CF15DE" w14:paraId="04F33109" w14:textId="7169A5B3">
      <w:pPr>
        <w:spacing w:after="0" w:line="360" w:lineRule="auto"/>
        <w:ind w:left="567" w:right="567"/>
        <w:rPr>
          <w:i/>
          <w:iCs/>
          <w:sz w:val="20"/>
          <w:szCs w:val="20"/>
        </w:rPr>
      </w:pPr>
      <w:r w:rsidRPr="000260D0">
        <w:rPr>
          <w:i/>
          <w:iCs/>
          <w:sz w:val="20"/>
          <w:szCs w:val="20"/>
        </w:rPr>
        <w:lastRenderedPageBreak/>
        <w:t>No obstante lo anterior y de la búsqueda exhaustiva que se realiza se informa que en el año 2019 se realizaron 391 convenios, en el 2020 se hicieron 231 convenios y para el 2021 se celebraron 7 convenios en la Sala Auxiliar Ecatepec del Tribunal Estatal de Conciliación y Arbitraje entre el H Ayuntamiento de Valle de Chalco Solidaridad y los ex servidores públicos para finiquitar la relación laboral con el H Ayuntamiento en los años 2019, 2020 y 2021 (de ENERO a OCTUBRE). Sin embargo, es importante señalar que la información de dichos convenios se encuentre restringida y clasificada como reservada, toda vez que contiene datos personales</w:t>
      </w:r>
    </w:p>
    <w:p w:rsidRPr="000260D0" w:rsidR="00CF15DE" w:rsidP="001036A9" w:rsidRDefault="00CF15DE" w14:paraId="7D06C13B" w14:textId="41D16449">
      <w:pPr>
        <w:spacing w:after="0" w:line="360" w:lineRule="auto"/>
        <w:ind w:left="567" w:right="567"/>
        <w:rPr>
          <w:i/>
          <w:iCs/>
          <w:sz w:val="20"/>
          <w:szCs w:val="20"/>
        </w:rPr>
      </w:pPr>
      <w:r w:rsidRPr="000260D0">
        <w:rPr>
          <w:i/>
          <w:iCs/>
          <w:sz w:val="20"/>
          <w:szCs w:val="20"/>
        </w:rPr>
        <w:t xml:space="preserve">…” (Sic) </w:t>
      </w:r>
    </w:p>
    <w:p w:rsidRPr="00762A72" w:rsidR="002C3A82" w:rsidP="001036A9" w:rsidRDefault="002C3A82" w14:paraId="30E5C1EA" w14:textId="77777777">
      <w:pPr>
        <w:spacing w:after="0" w:line="360" w:lineRule="auto"/>
        <w:ind w:right="567"/>
        <w:rPr>
          <w:sz w:val="20"/>
          <w:szCs w:val="20"/>
        </w:rPr>
      </w:pPr>
    </w:p>
    <w:p w:rsidRPr="00762A72" w:rsidR="002C3A82" w:rsidP="001036A9" w:rsidRDefault="002C3A82" w14:paraId="794D0D2A" w14:textId="77777777">
      <w:pPr>
        <w:spacing w:after="0" w:line="360" w:lineRule="auto"/>
        <w:rPr>
          <w:b/>
        </w:rPr>
      </w:pPr>
      <w:r w:rsidRPr="00762A72">
        <w:rPr>
          <w:b/>
        </w:rPr>
        <w:t xml:space="preserve">III. Interposición del Recurso de Revisión. </w:t>
      </w:r>
    </w:p>
    <w:p w:rsidRPr="00762A72" w:rsidR="002C3A82" w:rsidP="001036A9" w:rsidRDefault="002C3A82" w14:paraId="1BFEF853" w14:textId="77777777">
      <w:pPr>
        <w:spacing w:after="0" w:line="360" w:lineRule="auto"/>
        <w:rPr>
          <w:bCs/>
        </w:rPr>
      </w:pPr>
    </w:p>
    <w:p w:rsidRPr="00762A72" w:rsidR="002C3A82" w:rsidP="001036A9" w:rsidRDefault="002C3A82" w14:paraId="1F894991" w14:textId="3F9C6E54">
      <w:pPr>
        <w:spacing w:after="0" w:line="360" w:lineRule="auto"/>
        <w:rPr>
          <w:bCs/>
        </w:rPr>
      </w:pPr>
      <w:r w:rsidRPr="00762A72">
        <w:rPr>
          <w:bCs/>
        </w:rPr>
        <w:t xml:space="preserve">Con fecha </w:t>
      </w:r>
      <w:r w:rsidRPr="00762A72" w:rsidR="00B87093">
        <w:rPr>
          <w:bCs/>
        </w:rPr>
        <w:t>veintidós de noviembre de dos mil veintiuno</w:t>
      </w:r>
      <w:r w:rsidRPr="00762A72">
        <w:rPr>
          <w:bCs/>
        </w:rPr>
        <w:t xml:space="preserve">, se recibió en este Instituto, a través del </w:t>
      </w:r>
      <w:r w:rsidRPr="00762A72">
        <w:rPr>
          <w:bCs/>
          <w:lang w:val="es-ES"/>
        </w:rPr>
        <w:t>Sistema de Acceso a la Información Mexiquense (SAIMEX)</w:t>
      </w:r>
      <w:r w:rsidRPr="00762A72">
        <w:rPr>
          <w:bCs/>
        </w:rPr>
        <w:t>, Recurso de Revisión interpuesto por la parte Recurrente, en contra de la respuesta por el Sujeto Obligado, a la solicitud de información, en los siguientes términos:</w:t>
      </w:r>
    </w:p>
    <w:p w:rsidRPr="00762A72" w:rsidR="002C3A82" w:rsidP="001036A9" w:rsidRDefault="002C3A82" w14:paraId="70D8091A" w14:textId="77777777">
      <w:pPr>
        <w:spacing w:after="0" w:line="360" w:lineRule="auto"/>
        <w:rPr>
          <w:bCs/>
        </w:rPr>
      </w:pPr>
    </w:p>
    <w:p w:rsidRPr="00762A72" w:rsidR="002C3A82" w:rsidP="001036A9" w:rsidRDefault="002C3A82" w14:paraId="2AE22AF3" w14:textId="77777777">
      <w:pPr>
        <w:spacing w:after="0" w:line="360" w:lineRule="auto"/>
        <w:ind w:left="567" w:right="567"/>
        <w:rPr>
          <w:bCs/>
          <w:i/>
          <w:sz w:val="20"/>
          <w:szCs w:val="20"/>
        </w:rPr>
      </w:pPr>
      <w:r w:rsidRPr="00762A72">
        <w:rPr>
          <w:b/>
          <w:bCs/>
          <w:i/>
          <w:sz w:val="20"/>
          <w:szCs w:val="20"/>
        </w:rPr>
        <w:t>“ACTO IMPUGNADO</w:t>
      </w:r>
    </w:p>
    <w:p w:rsidRPr="00762A72" w:rsidR="002C3A82" w:rsidP="001036A9" w:rsidRDefault="00B87093" w14:paraId="41967389" w14:textId="2C245E0A">
      <w:pPr>
        <w:spacing w:after="0" w:line="360" w:lineRule="auto"/>
        <w:ind w:left="567" w:right="567"/>
        <w:rPr>
          <w:i/>
          <w:sz w:val="20"/>
          <w:szCs w:val="20"/>
        </w:rPr>
      </w:pPr>
      <w:r w:rsidRPr="00762A72">
        <w:rPr>
          <w:i/>
          <w:sz w:val="20"/>
          <w:szCs w:val="20"/>
        </w:rPr>
        <w:t>La entrega de información incompleta.</w:t>
      </w:r>
      <w:r w:rsidRPr="00762A72" w:rsidR="002C3A82">
        <w:rPr>
          <w:i/>
          <w:sz w:val="20"/>
          <w:szCs w:val="20"/>
        </w:rPr>
        <w:t>” (Sic.)</w:t>
      </w:r>
    </w:p>
    <w:p w:rsidRPr="00762A72" w:rsidR="002C3A82" w:rsidP="001036A9" w:rsidRDefault="002C3A82" w14:paraId="43DB1EA5" w14:textId="77777777">
      <w:pPr>
        <w:spacing w:after="0" w:line="360" w:lineRule="auto"/>
        <w:ind w:left="567" w:right="567"/>
        <w:rPr>
          <w:i/>
          <w:sz w:val="20"/>
          <w:szCs w:val="20"/>
        </w:rPr>
      </w:pPr>
    </w:p>
    <w:p w:rsidRPr="00762A72" w:rsidR="002C3A82" w:rsidP="001036A9" w:rsidRDefault="002C3A82" w14:paraId="48336B8B" w14:textId="77777777">
      <w:pPr>
        <w:spacing w:after="0" w:line="360" w:lineRule="auto"/>
        <w:ind w:left="567" w:right="567"/>
        <w:rPr>
          <w:b/>
          <w:i/>
          <w:sz w:val="20"/>
          <w:szCs w:val="20"/>
        </w:rPr>
      </w:pPr>
      <w:r w:rsidRPr="00762A72">
        <w:rPr>
          <w:b/>
          <w:i/>
          <w:sz w:val="20"/>
          <w:szCs w:val="20"/>
        </w:rPr>
        <w:t>“RAZONES O MOTIVOS DE LA INCONFORMIDAD</w:t>
      </w:r>
    </w:p>
    <w:p w:rsidRPr="00762A72" w:rsidR="002C3A82" w:rsidP="001036A9" w:rsidRDefault="00B87093" w14:paraId="77B197E6" w14:textId="6DAA6296">
      <w:pPr>
        <w:spacing w:after="0" w:line="360" w:lineRule="auto"/>
        <w:ind w:left="567" w:right="567"/>
        <w:rPr>
          <w:i/>
          <w:sz w:val="20"/>
          <w:szCs w:val="20"/>
        </w:rPr>
      </w:pPr>
      <w:r w:rsidRPr="00762A72">
        <w:rPr>
          <w:i/>
          <w:sz w:val="20"/>
          <w:szCs w:val="20"/>
        </w:rPr>
        <w:t xml:space="preserve">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los 391 convenios celebrados en el año 2019, los 231 convenios del año 2020 y los 7 convenios del año 2021, convenios que fueron celebrados ante la Sala Auxiliar Ecatepec del Tribunal Estatal de Conciliación y Arbitraje, entre los ex servidores públicos y el H. Ayuntamiento de Valle de Chalco Solidaridad. También, por la responsabilidad administrativa a que pudiera hacerse acreedora la Secretaria Auxiliar de la Sala Auxiliar de Ecatepec por la deficiente respuesta a esta solicitud de acceso a la </w:t>
      </w:r>
      <w:r w:rsidRPr="00762A72">
        <w:rPr>
          <w:i/>
          <w:sz w:val="20"/>
          <w:szCs w:val="20"/>
        </w:rPr>
        <w:lastRenderedPageBreak/>
        <w:t>información pública, solicitamos que se notifique al órgano interno de control para lo que en derecho proceda</w:t>
      </w:r>
      <w:r w:rsidRPr="00762A72" w:rsidR="00132B8F">
        <w:rPr>
          <w:i/>
          <w:sz w:val="20"/>
          <w:szCs w:val="20"/>
        </w:rPr>
        <w:t>.</w:t>
      </w:r>
      <w:r w:rsidRPr="00762A72" w:rsidR="00671E63">
        <w:rPr>
          <w:i/>
          <w:sz w:val="20"/>
          <w:szCs w:val="20"/>
        </w:rPr>
        <w:t>”</w:t>
      </w:r>
      <w:r w:rsidRPr="00762A72" w:rsidR="00A26673">
        <w:rPr>
          <w:i/>
          <w:sz w:val="20"/>
          <w:szCs w:val="20"/>
        </w:rPr>
        <w:t xml:space="preserve"> </w:t>
      </w:r>
      <w:r w:rsidRPr="00762A72" w:rsidR="002C3A82">
        <w:rPr>
          <w:i/>
          <w:sz w:val="20"/>
          <w:szCs w:val="20"/>
        </w:rPr>
        <w:t>(Sic.)</w:t>
      </w:r>
    </w:p>
    <w:p w:rsidRPr="00762A72" w:rsidR="002C3A82" w:rsidP="001036A9" w:rsidRDefault="002C3A82" w14:paraId="42C634B3" w14:textId="77777777">
      <w:pPr>
        <w:spacing w:after="0" w:line="360" w:lineRule="auto"/>
      </w:pPr>
    </w:p>
    <w:p w:rsidRPr="00762A72" w:rsidR="002C3A82" w:rsidP="001036A9" w:rsidRDefault="002C3A82" w14:paraId="48E08986" w14:textId="77777777">
      <w:pPr>
        <w:spacing w:after="0" w:line="360" w:lineRule="auto"/>
        <w:rPr>
          <w:b/>
          <w:bCs/>
        </w:rPr>
      </w:pPr>
      <w:r w:rsidRPr="00762A72">
        <w:rPr>
          <w:b/>
        </w:rPr>
        <w:t xml:space="preserve">IV. </w:t>
      </w:r>
      <w:r w:rsidRPr="00762A72">
        <w:rPr>
          <w:b/>
          <w:bCs/>
        </w:rPr>
        <w:t xml:space="preserve">Trámite del </w:t>
      </w:r>
      <w:r w:rsidRPr="00762A72">
        <w:rPr>
          <w:b/>
        </w:rPr>
        <w:t xml:space="preserve">Recurso de Revisión </w:t>
      </w:r>
      <w:r w:rsidRPr="00762A72">
        <w:rPr>
          <w:b/>
          <w:bCs/>
        </w:rPr>
        <w:t>ante este Instituto.</w:t>
      </w:r>
    </w:p>
    <w:p w:rsidRPr="00762A72" w:rsidR="002C3A82" w:rsidP="001036A9" w:rsidRDefault="002C3A82" w14:paraId="6908B2FE" w14:textId="77777777">
      <w:pPr>
        <w:spacing w:after="0" w:line="360" w:lineRule="auto"/>
        <w:rPr>
          <w:b/>
          <w:bCs/>
        </w:rPr>
      </w:pPr>
    </w:p>
    <w:p w:rsidRPr="00762A72" w:rsidR="002C3A82" w:rsidP="001036A9" w:rsidRDefault="002C3A82" w14:paraId="0DC7A7E6" w14:textId="56D73539">
      <w:pPr>
        <w:spacing w:after="0" w:line="360" w:lineRule="auto"/>
        <w:rPr>
          <w:b/>
          <w:bCs/>
        </w:rPr>
      </w:pPr>
      <w:r w:rsidRPr="00762A72">
        <w:rPr>
          <w:b/>
          <w:bCs/>
        </w:rPr>
        <w:t xml:space="preserve">a) Turno del Medio de Impugnación. </w:t>
      </w:r>
      <w:r w:rsidRPr="00762A72">
        <w:rPr>
          <w:bCs/>
        </w:rPr>
        <w:t>E</w:t>
      </w:r>
      <w:r w:rsidRPr="00762A72" w:rsidR="005B386C">
        <w:rPr>
          <w:bCs/>
        </w:rPr>
        <w:t>n</w:t>
      </w:r>
      <w:r w:rsidRPr="00762A72">
        <w:rPr>
          <w:bCs/>
        </w:rPr>
        <w:t xml:space="preserve"> </w:t>
      </w:r>
      <w:r w:rsidRPr="00762A72" w:rsidR="005B386C">
        <w:rPr>
          <w:bCs/>
        </w:rPr>
        <w:t>fecha veintidós de noviembre de dos mil veintiuno</w:t>
      </w:r>
      <w:r w:rsidRPr="00762A72">
        <w:rPr>
          <w:bCs/>
        </w:rPr>
        <w:t xml:space="preserve">, el </w:t>
      </w:r>
      <w:r w:rsidRPr="00762A72">
        <w:rPr>
          <w:lang w:val="es-ES"/>
        </w:rPr>
        <w:t>Sistema de Acceso a la Información Mexiquense (SAIMEX),</w:t>
      </w:r>
      <w:r w:rsidRPr="00762A72">
        <w:rPr>
          <w:bCs/>
        </w:rPr>
        <w:t xml:space="preserve"> asignó el número de expediente </w:t>
      </w:r>
      <w:r w:rsidRPr="00762A72">
        <w:rPr>
          <w:b/>
          <w:bCs/>
        </w:rPr>
        <w:t>05791/INFOEM/IP/RR/2021</w:t>
      </w:r>
      <w:r w:rsidRPr="00762A72">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762A72" w:rsidR="002C3A82" w:rsidP="001036A9" w:rsidRDefault="002C3A82" w14:paraId="3F80CC11" w14:textId="77777777">
      <w:pPr>
        <w:spacing w:after="0" w:line="360" w:lineRule="auto"/>
        <w:rPr>
          <w:bCs/>
        </w:rPr>
      </w:pPr>
    </w:p>
    <w:p w:rsidRPr="00762A72" w:rsidR="002C3A82" w:rsidP="001036A9" w:rsidRDefault="002C3A82" w14:paraId="4B2173C7" w14:textId="0F7EA8BD">
      <w:pPr>
        <w:spacing w:after="0" w:line="360" w:lineRule="auto"/>
      </w:pPr>
      <w:r w:rsidRPr="00762A72">
        <w:rPr>
          <w:b/>
          <w:bCs/>
        </w:rPr>
        <w:t>b) Admisión del Recurso de Revisión</w:t>
      </w:r>
      <w:r w:rsidRPr="00762A72">
        <w:rPr>
          <w:b/>
          <w:bCs/>
          <w:lang w:val="es-ES_tradnl"/>
        </w:rPr>
        <w:t xml:space="preserve">. </w:t>
      </w:r>
      <w:r w:rsidRPr="00762A72">
        <w:rPr>
          <w:bCs/>
          <w:lang w:val="es-ES_tradnl"/>
        </w:rPr>
        <w:t xml:space="preserve">El </w:t>
      </w:r>
      <w:r w:rsidRPr="00762A72" w:rsidR="005B386C">
        <w:rPr>
          <w:bCs/>
        </w:rPr>
        <w:t>veinticinco de noviembre de dos mil veintiuno</w:t>
      </w:r>
      <w:r w:rsidRPr="00762A72">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762A72" w:rsidR="002C3A82" w:rsidP="001036A9" w:rsidRDefault="002C3A82" w14:paraId="5D637DB2" w14:textId="77777777">
      <w:pPr>
        <w:spacing w:after="0" w:line="360" w:lineRule="auto"/>
      </w:pPr>
    </w:p>
    <w:p w:rsidRPr="00762A72" w:rsidR="005B386C" w:rsidP="001036A9" w:rsidRDefault="002C3A82" w14:paraId="467FE402" w14:textId="64FC1DB6">
      <w:pPr>
        <w:spacing w:after="0" w:line="360" w:lineRule="auto"/>
        <w:rPr>
          <w:bCs/>
          <w:lang w:val="es-ES"/>
        </w:rPr>
      </w:pPr>
      <w:r w:rsidRPr="00762A72">
        <w:rPr>
          <w:b/>
        </w:rPr>
        <w:t xml:space="preserve">c) Informe Justificado. </w:t>
      </w:r>
      <w:r w:rsidRPr="00762A72">
        <w:rPr>
          <w:bCs/>
        </w:rPr>
        <w:t>El</w:t>
      </w:r>
      <w:r w:rsidRPr="00762A72" w:rsidR="005B386C">
        <w:rPr>
          <w:bCs/>
        </w:rPr>
        <w:t xml:space="preserve"> veintinueve de noviembre de dos mil veintiuno</w:t>
      </w:r>
      <w:r w:rsidRPr="00762A72">
        <w:rPr>
          <w:bCs/>
        </w:rPr>
        <w:t>, el Sujeto Obligado rindió su Informe Justificado, por medio del oficio</w:t>
      </w:r>
      <w:r w:rsidRPr="00762A72" w:rsidR="00A41402">
        <w:rPr>
          <w:bCs/>
        </w:rPr>
        <w:t xml:space="preserve"> sin número, de la misma fecha de mes y año, el cual es suscrito por la </w:t>
      </w:r>
      <w:r w:rsidR="000260D0">
        <w:rPr>
          <w:bCs/>
          <w:lang w:val="es-ES"/>
        </w:rPr>
        <w:t>S</w:t>
      </w:r>
      <w:r w:rsidRPr="00762A72" w:rsidR="000260D0">
        <w:rPr>
          <w:bCs/>
          <w:lang w:val="es-ES"/>
        </w:rPr>
        <w:t>ecretaria</w:t>
      </w:r>
      <w:r w:rsidRPr="00762A72" w:rsidR="00A41402">
        <w:rPr>
          <w:bCs/>
          <w:lang w:val="es-ES"/>
        </w:rPr>
        <w:t xml:space="preserve"> Auxiliar de la Sala Auxiliar de Ecatepec, de cuyo contenido se desprende lo siguiente: </w:t>
      </w:r>
    </w:p>
    <w:p w:rsidR="00A41402" w:rsidP="001036A9" w:rsidRDefault="00A41402" w14:paraId="083A6FC9" w14:textId="370CAEF4">
      <w:pPr>
        <w:spacing w:after="0" w:line="360" w:lineRule="auto"/>
        <w:rPr>
          <w:bCs/>
          <w:lang w:val="es-ES"/>
        </w:rPr>
      </w:pPr>
    </w:p>
    <w:p w:rsidRPr="00762A72" w:rsidR="00A41402" w:rsidP="001036A9" w:rsidRDefault="00A41402" w14:paraId="06A51F68" w14:textId="354E2D7E">
      <w:pPr>
        <w:spacing w:after="0" w:line="360" w:lineRule="auto"/>
        <w:ind w:left="567" w:right="567"/>
        <w:rPr>
          <w:bCs/>
          <w:i/>
          <w:iCs/>
          <w:sz w:val="20"/>
          <w:szCs w:val="20"/>
          <w:lang w:val="es-ES"/>
        </w:rPr>
      </w:pPr>
      <w:r w:rsidRPr="00762A72">
        <w:rPr>
          <w:bCs/>
          <w:i/>
          <w:iCs/>
          <w:sz w:val="20"/>
          <w:szCs w:val="20"/>
          <w:lang w:val="es-ES"/>
        </w:rPr>
        <w:t xml:space="preserve">“…Por este medio le saludo, as, mismo informo que la que suscribe Lic. Heidi Josefina Huerta Cano, Secretaria Auxiliar de la Sala Auxiliar de Ecatepec del Tribunal Estatal de Concil1ac1ón y Arbitraje, </w:t>
      </w:r>
      <w:r w:rsidRPr="00762A72">
        <w:rPr>
          <w:bCs/>
          <w:i/>
          <w:iCs/>
          <w:sz w:val="20"/>
          <w:szCs w:val="20"/>
          <w:lang w:val="es-ES"/>
        </w:rPr>
        <w:lastRenderedPageBreak/>
        <w:t>ha sido designada a partir del 03 de noviembre del 202l como Suplente del Presidente en términos de lo establecido por el articulo 10 fracciones VI y VII, 54 del reglamento interior del Tribunal Estatal de Conciliación Y Arbitraje</w:t>
      </w:r>
    </w:p>
    <w:p w:rsidRPr="00762A72" w:rsidR="00A41402" w:rsidP="001036A9" w:rsidRDefault="00A41402" w14:paraId="07B2800C" w14:textId="77777777">
      <w:pPr>
        <w:spacing w:after="0" w:line="360" w:lineRule="auto"/>
        <w:ind w:left="567" w:right="567"/>
        <w:rPr>
          <w:bCs/>
          <w:i/>
          <w:iCs/>
          <w:sz w:val="20"/>
          <w:szCs w:val="20"/>
          <w:lang w:val="es-ES"/>
        </w:rPr>
      </w:pPr>
    </w:p>
    <w:p w:rsidRPr="00762A72" w:rsidR="00A41402" w:rsidP="001036A9" w:rsidRDefault="00A41402" w14:paraId="65E706BA" w14:textId="295CFAD6">
      <w:pPr>
        <w:spacing w:after="0" w:line="360" w:lineRule="auto"/>
        <w:ind w:left="567" w:right="567"/>
        <w:rPr>
          <w:bCs/>
          <w:i/>
          <w:iCs/>
          <w:sz w:val="20"/>
          <w:szCs w:val="20"/>
          <w:lang w:val="es-ES"/>
        </w:rPr>
      </w:pPr>
      <w:r w:rsidRPr="00762A72">
        <w:rPr>
          <w:bCs/>
          <w:i/>
          <w:iCs/>
          <w:sz w:val="20"/>
          <w:szCs w:val="20"/>
          <w:lang w:val="es-ES"/>
        </w:rPr>
        <w:t>A través de este medio, en alcance a la información proporcionada en fecha 19 de noviembre del año 2021, en respuesta a la solicitud 00085/TRIECA/IP/2021</w:t>
      </w:r>
      <w:r w:rsidRPr="00762A72">
        <w:rPr>
          <w:b/>
          <w:bCs/>
          <w:i/>
          <w:iCs/>
          <w:sz w:val="20"/>
          <w:szCs w:val="20"/>
          <w:lang w:val="es-ES"/>
        </w:rPr>
        <w:t xml:space="preserve">, </w:t>
      </w:r>
      <w:r w:rsidRPr="00762A72">
        <w:rPr>
          <w:bCs/>
          <w:i/>
          <w:iCs/>
          <w:sz w:val="20"/>
          <w:szCs w:val="20"/>
          <w:lang w:val="es-ES"/>
        </w:rPr>
        <w:t>por un error involuntario, se remitió información</w:t>
      </w:r>
      <w:r w:rsidRPr="00762A72" w:rsidR="003531BA">
        <w:rPr>
          <w:bCs/>
          <w:i/>
          <w:iCs/>
          <w:sz w:val="20"/>
          <w:szCs w:val="20"/>
          <w:lang w:val="es-ES"/>
        </w:rPr>
        <w:t xml:space="preserve"> </w:t>
      </w:r>
      <w:r w:rsidRPr="00762A72">
        <w:rPr>
          <w:bCs/>
          <w:i/>
          <w:iCs/>
          <w:sz w:val="20"/>
          <w:szCs w:val="20"/>
          <w:lang w:val="es-ES"/>
        </w:rPr>
        <w:t>diversa</w:t>
      </w:r>
      <w:r w:rsidRPr="00762A72" w:rsidR="003531BA">
        <w:rPr>
          <w:bCs/>
          <w:i/>
          <w:iCs/>
          <w:sz w:val="20"/>
          <w:szCs w:val="20"/>
          <w:lang w:val="es-ES"/>
        </w:rPr>
        <w:t xml:space="preserve"> </w:t>
      </w:r>
      <w:r w:rsidRPr="00762A72">
        <w:rPr>
          <w:bCs/>
          <w:i/>
          <w:iCs/>
          <w:sz w:val="20"/>
          <w:szCs w:val="20"/>
          <w:lang w:val="es-ES"/>
        </w:rPr>
        <w:t>a la solicitada, por lo que a través de la presente se aclara</w:t>
      </w:r>
      <w:r w:rsidRPr="00762A72" w:rsidR="003531BA">
        <w:rPr>
          <w:bCs/>
          <w:i/>
          <w:iCs/>
          <w:sz w:val="20"/>
          <w:szCs w:val="20"/>
          <w:lang w:val="es-ES"/>
        </w:rPr>
        <w:t xml:space="preserve"> </w:t>
      </w:r>
      <w:r w:rsidRPr="00762A72">
        <w:rPr>
          <w:bCs/>
          <w:i/>
          <w:iCs/>
          <w:sz w:val="20"/>
          <w:szCs w:val="20"/>
          <w:lang w:val="es-ES"/>
        </w:rPr>
        <w:t>que</w:t>
      </w:r>
      <w:r w:rsidRPr="00762A72" w:rsidR="003531BA">
        <w:rPr>
          <w:bCs/>
          <w:i/>
          <w:iCs/>
          <w:sz w:val="20"/>
          <w:szCs w:val="20"/>
          <w:lang w:val="es-ES"/>
        </w:rPr>
        <w:t xml:space="preserve"> </w:t>
      </w:r>
      <w:r w:rsidRPr="00762A72">
        <w:rPr>
          <w:bCs/>
          <w:i/>
          <w:iCs/>
          <w:sz w:val="20"/>
          <w:szCs w:val="20"/>
          <w:lang w:val="es-ES"/>
        </w:rPr>
        <w:t>en la Sala Auxiliar Ecatepec del</w:t>
      </w:r>
      <w:r w:rsidRPr="00762A72" w:rsidR="003531BA">
        <w:rPr>
          <w:bCs/>
          <w:i/>
          <w:iCs/>
          <w:sz w:val="20"/>
          <w:szCs w:val="20"/>
          <w:lang w:val="es-ES"/>
        </w:rPr>
        <w:t xml:space="preserve"> </w:t>
      </w:r>
      <w:r w:rsidRPr="00762A72">
        <w:rPr>
          <w:bCs/>
          <w:i/>
          <w:iCs/>
          <w:sz w:val="20"/>
          <w:szCs w:val="20"/>
          <w:lang w:val="es-ES"/>
        </w:rPr>
        <w:t>Tribunal Estatal de Conciliación y Arbitraje entre el H Ayuntamiento de Valle de</w:t>
      </w:r>
      <w:r w:rsidRPr="00762A72" w:rsidR="003531BA">
        <w:rPr>
          <w:bCs/>
          <w:i/>
          <w:iCs/>
          <w:sz w:val="20"/>
          <w:szCs w:val="20"/>
          <w:lang w:val="es-ES"/>
        </w:rPr>
        <w:t xml:space="preserve"> </w:t>
      </w:r>
      <w:r w:rsidRPr="00762A72">
        <w:rPr>
          <w:bCs/>
          <w:i/>
          <w:iCs/>
          <w:sz w:val="20"/>
          <w:szCs w:val="20"/>
          <w:lang w:val="es-ES"/>
        </w:rPr>
        <w:t>Chalco Solidaridad los</w:t>
      </w:r>
      <w:r w:rsidRPr="00762A72" w:rsidR="003531BA">
        <w:rPr>
          <w:bCs/>
          <w:i/>
          <w:iCs/>
          <w:sz w:val="20"/>
          <w:szCs w:val="20"/>
          <w:lang w:val="es-ES"/>
        </w:rPr>
        <w:t xml:space="preserve"> </w:t>
      </w:r>
      <w:r w:rsidRPr="00762A72">
        <w:rPr>
          <w:bCs/>
          <w:i/>
          <w:iCs/>
          <w:sz w:val="20"/>
          <w:szCs w:val="20"/>
          <w:lang w:val="es-ES"/>
        </w:rPr>
        <w:t>ex servidores públicos para finiquitar la relación laboral</w:t>
      </w:r>
      <w:r w:rsidRPr="00762A72" w:rsidR="003531BA">
        <w:rPr>
          <w:bCs/>
          <w:i/>
          <w:iCs/>
          <w:sz w:val="20"/>
          <w:szCs w:val="20"/>
          <w:lang w:val="es-ES"/>
        </w:rPr>
        <w:t xml:space="preserve"> </w:t>
      </w:r>
      <w:r w:rsidRPr="00762A72">
        <w:rPr>
          <w:bCs/>
          <w:i/>
          <w:iCs/>
          <w:sz w:val="20"/>
          <w:szCs w:val="20"/>
          <w:lang w:val="es-ES"/>
        </w:rPr>
        <w:t>con</w:t>
      </w:r>
      <w:r w:rsidRPr="00762A72" w:rsidR="003531BA">
        <w:rPr>
          <w:bCs/>
          <w:i/>
          <w:iCs/>
          <w:sz w:val="20"/>
          <w:szCs w:val="20"/>
          <w:lang w:val="es-ES"/>
        </w:rPr>
        <w:t xml:space="preserve"> </w:t>
      </w:r>
      <w:r w:rsidRPr="00762A72">
        <w:rPr>
          <w:bCs/>
          <w:i/>
          <w:iCs/>
          <w:sz w:val="20"/>
          <w:szCs w:val="20"/>
          <w:lang w:val="es-ES"/>
        </w:rPr>
        <w:t>el</w:t>
      </w:r>
      <w:r w:rsidRPr="00762A72" w:rsidR="003531BA">
        <w:rPr>
          <w:bCs/>
          <w:i/>
          <w:iCs/>
          <w:sz w:val="20"/>
          <w:szCs w:val="20"/>
          <w:lang w:val="es-ES"/>
        </w:rPr>
        <w:t xml:space="preserve"> </w:t>
      </w:r>
      <w:r w:rsidRPr="00762A72">
        <w:rPr>
          <w:bCs/>
          <w:i/>
          <w:iCs/>
          <w:sz w:val="20"/>
          <w:szCs w:val="20"/>
          <w:lang w:val="es-ES"/>
        </w:rPr>
        <w:t>H Ayuntamiento</w:t>
      </w:r>
      <w:r w:rsidRPr="00762A72" w:rsidR="003531BA">
        <w:rPr>
          <w:bCs/>
          <w:i/>
          <w:iCs/>
          <w:sz w:val="20"/>
          <w:szCs w:val="20"/>
          <w:lang w:val="es-ES"/>
        </w:rPr>
        <w:t xml:space="preserve"> </w:t>
      </w:r>
      <w:r w:rsidRPr="00762A72">
        <w:rPr>
          <w:bCs/>
          <w:i/>
          <w:iCs/>
          <w:sz w:val="20"/>
          <w:szCs w:val="20"/>
          <w:lang w:val="es-ES"/>
        </w:rPr>
        <w:t>en</w:t>
      </w:r>
      <w:r w:rsidRPr="00762A72" w:rsidR="003531BA">
        <w:rPr>
          <w:bCs/>
          <w:i/>
          <w:iCs/>
          <w:sz w:val="20"/>
          <w:szCs w:val="20"/>
          <w:lang w:val="es-ES"/>
        </w:rPr>
        <w:t xml:space="preserve"> </w:t>
      </w:r>
      <w:r w:rsidRPr="00762A72">
        <w:rPr>
          <w:bCs/>
          <w:i/>
          <w:iCs/>
          <w:sz w:val="20"/>
          <w:szCs w:val="20"/>
          <w:lang w:val="es-ES"/>
        </w:rPr>
        <w:t>los</w:t>
      </w:r>
      <w:r w:rsidRPr="00762A72" w:rsidR="003531BA">
        <w:rPr>
          <w:bCs/>
          <w:i/>
          <w:iCs/>
          <w:sz w:val="20"/>
          <w:szCs w:val="20"/>
          <w:lang w:val="es-ES"/>
        </w:rPr>
        <w:t xml:space="preserve"> </w:t>
      </w:r>
      <w:r w:rsidRPr="00762A72">
        <w:rPr>
          <w:bCs/>
          <w:i/>
          <w:iCs/>
          <w:sz w:val="20"/>
          <w:szCs w:val="20"/>
          <w:lang w:val="es-ES"/>
        </w:rPr>
        <w:t>años 2079,</w:t>
      </w:r>
      <w:r w:rsidRPr="00762A72" w:rsidR="003531BA">
        <w:rPr>
          <w:bCs/>
          <w:i/>
          <w:iCs/>
          <w:sz w:val="20"/>
          <w:szCs w:val="20"/>
          <w:lang w:val="es-ES"/>
        </w:rPr>
        <w:t xml:space="preserve"> </w:t>
      </w:r>
      <w:r w:rsidRPr="00762A72">
        <w:rPr>
          <w:bCs/>
          <w:i/>
          <w:iCs/>
          <w:sz w:val="20"/>
          <w:szCs w:val="20"/>
          <w:lang w:val="es-ES"/>
        </w:rPr>
        <w:t>2020y 2027 (de ENERO a OCTUBRE) Siendo lo correcto.</w:t>
      </w:r>
    </w:p>
    <w:p w:rsidRPr="00762A72" w:rsidR="00A41402" w:rsidP="001036A9" w:rsidRDefault="00A41402" w14:paraId="0D46A76A" w14:textId="6A91542A">
      <w:pPr>
        <w:spacing w:after="0" w:line="360" w:lineRule="auto"/>
        <w:ind w:left="567" w:right="567"/>
        <w:rPr>
          <w:bCs/>
          <w:i/>
          <w:iCs/>
          <w:sz w:val="20"/>
          <w:szCs w:val="20"/>
          <w:lang w:val="es-ES"/>
        </w:rPr>
      </w:pPr>
    </w:p>
    <w:p w:rsidRPr="00762A72" w:rsidR="00A41402" w:rsidP="001036A9" w:rsidRDefault="00A41402" w14:paraId="6456B41C" w14:textId="385B6CC3">
      <w:pPr>
        <w:spacing w:after="0" w:line="360" w:lineRule="auto"/>
        <w:ind w:left="567" w:right="567"/>
        <w:rPr>
          <w:bCs/>
          <w:i/>
          <w:iCs/>
          <w:sz w:val="20"/>
          <w:szCs w:val="20"/>
          <w:lang w:val="es-ES"/>
        </w:rPr>
      </w:pPr>
      <w:r w:rsidRPr="00762A72">
        <w:rPr>
          <w:bCs/>
          <w:i/>
          <w:iCs/>
          <w:sz w:val="20"/>
          <w:szCs w:val="20"/>
          <w:lang w:val="es-ES"/>
        </w:rPr>
        <w:t>Convenios celebrados en el año 2019</w:t>
      </w:r>
      <w:r w:rsidRPr="00762A72" w:rsidR="00421F87">
        <w:rPr>
          <w:bCs/>
          <w:i/>
          <w:iCs/>
          <w:sz w:val="20"/>
          <w:szCs w:val="20"/>
          <w:lang w:val="es-ES"/>
        </w:rPr>
        <w:t>: 26</w:t>
      </w:r>
    </w:p>
    <w:p w:rsidRPr="00762A72" w:rsidR="00421F87" w:rsidP="001036A9" w:rsidRDefault="00421F87" w14:paraId="7F912003" w14:textId="26683907">
      <w:pPr>
        <w:spacing w:after="0" w:line="360" w:lineRule="auto"/>
        <w:ind w:left="567" w:right="567"/>
        <w:rPr>
          <w:bCs/>
          <w:i/>
          <w:iCs/>
          <w:sz w:val="20"/>
          <w:szCs w:val="20"/>
          <w:lang w:val="es-ES"/>
        </w:rPr>
      </w:pPr>
      <w:r w:rsidRPr="00762A72">
        <w:rPr>
          <w:bCs/>
          <w:i/>
          <w:iCs/>
          <w:sz w:val="20"/>
          <w:szCs w:val="20"/>
          <w:lang w:val="es-ES"/>
        </w:rPr>
        <w:t>Convenios celebrados en el año 2020: 26</w:t>
      </w:r>
    </w:p>
    <w:p w:rsidRPr="00762A72" w:rsidR="00421F87" w:rsidP="001036A9" w:rsidRDefault="00421F87" w14:paraId="07608043" w14:textId="41F1082A">
      <w:pPr>
        <w:spacing w:after="0" w:line="360" w:lineRule="auto"/>
        <w:ind w:left="567" w:right="567"/>
        <w:rPr>
          <w:bCs/>
          <w:i/>
          <w:iCs/>
          <w:sz w:val="20"/>
          <w:szCs w:val="20"/>
          <w:lang w:val="es-ES"/>
        </w:rPr>
      </w:pPr>
      <w:r w:rsidRPr="00762A72">
        <w:rPr>
          <w:bCs/>
          <w:i/>
          <w:iCs/>
          <w:sz w:val="20"/>
          <w:szCs w:val="20"/>
          <w:lang w:val="es-ES"/>
        </w:rPr>
        <w:t>Convenios celebrados en el año</w:t>
      </w:r>
      <w:r w:rsidRPr="00762A72" w:rsidR="00746EBB">
        <w:rPr>
          <w:bCs/>
          <w:i/>
          <w:iCs/>
          <w:sz w:val="20"/>
          <w:szCs w:val="20"/>
          <w:lang w:val="es-ES"/>
        </w:rPr>
        <w:t xml:space="preserve"> 2021</w:t>
      </w:r>
      <w:r w:rsidRPr="00762A72">
        <w:rPr>
          <w:bCs/>
          <w:i/>
          <w:iCs/>
          <w:sz w:val="20"/>
          <w:szCs w:val="20"/>
          <w:lang w:val="es-ES"/>
        </w:rPr>
        <w:t>: 06</w:t>
      </w:r>
    </w:p>
    <w:p w:rsidRPr="00762A72" w:rsidR="00421F87" w:rsidP="001036A9" w:rsidRDefault="00421F87" w14:paraId="71EEEE0A" w14:textId="762EF455">
      <w:pPr>
        <w:spacing w:after="0" w:line="360" w:lineRule="auto"/>
        <w:ind w:left="567" w:right="567"/>
        <w:rPr>
          <w:bCs/>
          <w:i/>
          <w:iCs/>
          <w:sz w:val="20"/>
          <w:szCs w:val="20"/>
          <w:lang w:val="es-ES"/>
        </w:rPr>
      </w:pPr>
    </w:p>
    <w:p w:rsidRPr="00762A72" w:rsidR="00421F87" w:rsidP="001036A9" w:rsidRDefault="00421F87" w14:paraId="02606714" w14:textId="5571E2D0">
      <w:pPr>
        <w:spacing w:after="0" w:line="360" w:lineRule="auto"/>
        <w:ind w:left="567" w:right="567"/>
        <w:rPr>
          <w:bCs/>
          <w:i/>
          <w:iCs/>
          <w:sz w:val="20"/>
          <w:szCs w:val="20"/>
          <w:lang w:val="es-ES"/>
        </w:rPr>
      </w:pPr>
      <w:r w:rsidRPr="00762A72">
        <w:rPr>
          <w:bCs/>
          <w:i/>
          <w:iCs/>
          <w:sz w:val="20"/>
          <w:szCs w:val="20"/>
          <w:lang w:val="es-ES"/>
        </w:rPr>
        <w:t xml:space="preserve">Sin embargo, es importante señalar que la información de dichos convenios se muestra restringida y clasificada como reservada, toda vez que contiene datos personales. </w:t>
      </w:r>
    </w:p>
    <w:p w:rsidRPr="00762A72" w:rsidR="00A41402" w:rsidP="001036A9" w:rsidRDefault="00421F87" w14:paraId="5A9904C1" w14:textId="6801E022">
      <w:pPr>
        <w:spacing w:after="0" w:line="360" w:lineRule="auto"/>
        <w:ind w:left="567" w:right="567"/>
        <w:rPr>
          <w:bCs/>
          <w:lang w:val="es-ES"/>
        </w:rPr>
      </w:pPr>
      <w:r w:rsidRPr="00762A72">
        <w:rPr>
          <w:bCs/>
          <w:i/>
          <w:iCs/>
          <w:sz w:val="20"/>
          <w:szCs w:val="20"/>
          <w:lang w:val="es-ES"/>
        </w:rPr>
        <w:t>…” (Sic)</w:t>
      </w:r>
      <w:r w:rsidRPr="00762A72">
        <w:rPr>
          <w:bCs/>
          <w:lang w:val="es-ES"/>
        </w:rPr>
        <w:t xml:space="preserve"> </w:t>
      </w:r>
    </w:p>
    <w:p w:rsidRPr="00762A72" w:rsidR="002C3A82" w:rsidP="001036A9" w:rsidRDefault="002C3A82" w14:paraId="77809BCE" w14:textId="77777777">
      <w:pPr>
        <w:spacing w:after="0" w:line="360" w:lineRule="auto"/>
        <w:rPr>
          <w:bCs/>
        </w:rPr>
      </w:pPr>
    </w:p>
    <w:p w:rsidRPr="00762A72" w:rsidR="006C678F" w:rsidP="001036A9" w:rsidRDefault="006C678F" w14:paraId="354A26BC" w14:textId="01BF5CB0">
      <w:pPr>
        <w:spacing w:after="0" w:line="360" w:lineRule="auto"/>
        <w:rPr>
          <w:rFonts w:cs="Tahoma"/>
        </w:rPr>
      </w:pPr>
      <w:r w:rsidRPr="00762A72">
        <w:rPr>
          <w:rFonts w:cs="Tahoma"/>
          <w:b/>
          <w:bCs/>
        </w:rPr>
        <w:t xml:space="preserve">d) Vista del Informe Justificado: </w:t>
      </w:r>
      <w:r w:rsidRPr="00762A72">
        <w:rPr>
          <w:rFonts w:cs="Tahoma"/>
        </w:rPr>
        <w:t>El</w:t>
      </w:r>
      <w:r w:rsidRPr="00762A72" w:rsidR="00CA0049">
        <w:rPr>
          <w:rFonts w:cs="Tahoma"/>
        </w:rPr>
        <w:t xml:space="preserve"> trece diciembre de dos mil veintiuno</w:t>
      </w:r>
      <w:r w:rsidRPr="00762A72">
        <w:rPr>
          <w:rFonts w:cs="Tahoma"/>
        </w:rPr>
        <w:t xml:space="preserve">, se dictó acuerdo, por medio del cual </w:t>
      </w:r>
      <w:r w:rsidRPr="00762A72">
        <w:rPr>
          <w:rFonts w:cs="Tahoma"/>
          <w:b/>
        </w:rPr>
        <w:t>se puso a la vista del Recurrente el Informe Justificad</w:t>
      </w:r>
      <w:r w:rsidRPr="00762A72" w:rsidR="0061084D">
        <w:rPr>
          <w:rFonts w:cs="Tahoma"/>
          <w:b/>
        </w:rPr>
        <w:t>o</w:t>
      </w:r>
      <w:r w:rsidRPr="00762A72">
        <w:rPr>
          <w:rFonts w:cs="Tahoma"/>
        </w:rPr>
        <w:t>, entregados por el Sujeto Obligado, a fin de que en un término no mayor a tres días hábiles manifestará lo que a derecho corresponda, acto que fue notificado</w:t>
      </w:r>
      <w:r w:rsidRPr="00762A72">
        <w:rPr>
          <w:rFonts w:eastAsia="Palatino Linotype" w:cs="Palatino Linotype"/>
          <w:lang w:val="es-ES"/>
        </w:rPr>
        <w:t xml:space="preserve"> mediante el Sistema de Acceso a la Información Mexiquense (SAIMEX), el quince de septiembre de dos mil veintiuno.</w:t>
      </w:r>
    </w:p>
    <w:p w:rsidRPr="00762A72" w:rsidR="006C678F" w:rsidP="001036A9" w:rsidRDefault="006C678F" w14:paraId="13E68FCF" w14:textId="77777777">
      <w:pPr>
        <w:spacing w:after="0" w:line="360" w:lineRule="auto"/>
      </w:pPr>
    </w:p>
    <w:p w:rsidRPr="00762A72" w:rsidR="00687ED2" w:rsidP="001036A9" w:rsidRDefault="00687ED2" w14:paraId="6F307079" w14:textId="672D7EB7">
      <w:pPr>
        <w:spacing w:after="0" w:line="360" w:lineRule="auto"/>
      </w:pPr>
      <w:r w:rsidRPr="00762A72">
        <w:rPr>
          <w:rFonts w:eastAsia="Palatino Linotype" w:cs="Palatino Linotype"/>
          <w:b/>
          <w:bCs/>
          <w:lang w:val="es-ES"/>
        </w:rPr>
        <w:t xml:space="preserve">e) Ampliación de plazo para resolver. </w:t>
      </w:r>
      <w:r w:rsidRPr="00762A72">
        <w:rPr>
          <w:rFonts w:eastAsia="Palatino Linotype" w:cs="Palatino Linotype"/>
          <w:lang w:val="es-ES"/>
        </w:rPr>
        <w:t xml:space="preserve">El </w:t>
      </w:r>
      <w:r w:rsidRPr="00762A72" w:rsidR="00D568CC">
        <w:rPr>
          <w:rFonts w:eastAsia="Palatino Linotype" w:cs="Palatino Linotype"/>
        </w:rPr>
        <w:t>veinticuatro de enero de dos mil veintidós</w:t>
      </w:r>
      <w:r w:rsidRPr="00762A72">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w:t>
      </w:r>
      <w:r w:rsidRPr="00762A72">
        <w:rPr>
          <w:rFonts w:eastAsia="Palatino Linotype" w:cs="Palatino Linotype"/>
          <w:lang w:val="es-ES"/>
        </w:rPr>
        <w:lastRenderedPageBreak/>
        <w:t>acordó ampliar por un periodo de quince días hábiles, el plazo para resolver el Recurso de Revisión que nos ocupa; acto que fue notificado a las partes, mediante el Sistema de Acceso a la Información Mexiquense (SAIMEX).</w:t>
      </w:r>
    </w:p>
    <w:p w:rsidRPr="00762A72" w:rsidR="008B0E26" w:rsidP="001036A9" w:rsidRDefault="008B0E26" w14:paraId="47AC9984" w14:textId="77777777">
      <w:pPr>
        <w:spacing w:after="0" w:line="360" w:lineRule="auto"/>
      </w:pPr>
    </w:p>
    <w:p w:rsidRPr="00762A72" w:rsidR="00D150B3" w:rsidP="001036A9" w:rsidRDefault="00A5685E" w14:paraId="391E4E40" w14:textId="2DD9491D">
      <w:pPr>
        <w:spacing w:after="0" w:line="360" w:lineRule="auto"/>
      </w:pPr>
      <w:r w:rsidRPr="00762A72">
        <w:rPr>
          <w:b/>
        </w:rPr>
        <w:t>f</w:t>
      </w:r>
      <w:r w:rsidRPr="00762A72" w:rsidR="00D150B3">
        <w:rPr>
          <w:b/>
        </w:rPr>
        <w:t>) Requerimiento de información adicional.</w:t>
      </w:r>
      <w:r w:rsidRPr="00762A72" w:rsidR="00D150B3">
        <w:t xml:space="preserve"> El </w:t>
      </w:r>
      <w:r w:rsidRPr="00762A72" w:rsidR="00123E9A">
        <w:t>veinticuatro de enero de dos mil veintidós</w:t>
      </w:r>
      <w:r w:rsidRPr="00762A72" w:rsidR="00D150B3">
        <w:t xml:space="preserve">, se emitió un requerimiento de información adicional suscrito por el Comisionado Ponente el cual es dirigido a la Titular de la Unidad de Transparencia del Sujeto Obligado, lo anterior de conformidad con </w:t>
      </w:r>
      <w:r w:rsidRPr="00762A72" w:rsidR="00D150B3">
        <w:rPr>
          <w:lang w:val="es-ES_tradnl"/>
        </w:rPr>
        <w:t xml:space="preserve">los artículos 14, fracciones I, II, V y XVI, del Reglamento Interior del Instituto de Transparencia, Acceso a la Información Pública y Protección de Datos Personales del Estado de México y Municipios, mismo que fue notificado al </w:t>
      </w:r>
      <w:r w:rsidRPr="00762A72" w:rsidR="009F4BE0">
        <w:t>Tribunal Estatal de Conciliación y Arbitraje</w:t>
      </w:r>
      <w:r w:rsidRPr="00762A72" w:rsidR="00D150B3">
        <w:t>, el</w:t>
      </w:r>
      <w:r w:rsidRPr="00762A72" w:rsidR="009F4BE0">
        <w:t xml:space="preserve"> mismo día</w:t>
      </w:r>
      <w:r w:rsidRPr="00762A72" w:rsidR="00D150B3">
        <w:rPr>
          <w:lang w:val="es-ES_tradnl"/>
        </w:rPr>
        <w:t>, a través de correo electrónico y el Sistema de Acceso a la Información Mexiquense (SAIMEX), por medio del cual se le solicitó lo siguiente:</w:t>
      </w:r>
    </w:p>
    <w:p w:rsidRPr="00762A72" w:rsidR="00D150B3" w:rsidP="001036A9" w:rsidRDefault="00D150B3" w14:paraId="5AACB39B" w14:textId="77777777">
      <w:pPr>
        <w:spacing w:after="0" w:line="360" w:lineRule="auto"/>
      </w:pPr>
    </w:p>
    <w:p w:rsidRPr="00762A72" w:rsidR="009874D7" w:rsidP="001036A9" w:rsidRDefault="009874D7" w14:paraId="363CC19E" w14:textId="5E1B0D23">
      <w:pPr>
        <w:spacing w:after="0" w:line="360" w:lineRule="auto"/>
        <w:ind w:left="567" w:right="567"/>
        <w:rPr>
          <w:i/>
          <w:iCs/>
          <w:sz w:val="20"/>
          <w:szCs w:val="20"/>
        </w:rPr>
      </w:pPr>
      <w:r w:rsidRPr="00762A72">
        <w:rPr>
          <w:i/>
          <w:iCs/>
          <w:sz w:val="20"/>
          <w:szCs w:val="20"/>
        </w:rPr>
        <w:t>“…</w:t>
      </w:r>
    </w:p>
    <w:p w:rsidRPr="00762A72" w:rsidR="009874D7" w:rsidP="001036A9" w:rsidRDefault="009874D7" w14:paraId="68C7CAC3" w14:textId="77777777">
      <w:pPr>
        <w:pStyle w:val="Prrafodelista"/>
        <w:numPr>
          <w:ilvl w:val="0"/>
          <w:numId w:val="6"/>
        </w:numPr>
        <w:spacing w:line="360" w:lineRule="auto"/>
        <w:ind w:left="993" w:right="567"/>
        <w:rPr>
          <w:i/>
          <w:iCs/>
          <w:szCs w:val="20"/>
          <w:lang w:val="es-ES"/>
        </w:rPr>
      </w:pPr>
      <w:r w:rsidRPr="00762A72">
        <w:rPr>
          <w:i/>
          <w:iCs/>
          <w:szCs w:val="20"/>
          <w:lang w:val="es-ES"/>
        </w:rPr>
        <w:t xml:space="preserve">El número de convenios que se han celebrado entre el Ayuntamiento de Valle de Chalco Solidaridad </w:t>
      </w:r>
      <w:r w:rsidRPr="00762A72">
        <w:rPr>
          <w:bCs/>
          <w:i/>
          <w:iCs/>
          <w:szCs w:val="20"/>
        </w:rPr>
        <w:t xml:space="preserve">y los ex servidores públicos, en la Sala Auxiliar de Ecatepec, para finiquitar la relación laboral, del primero enero de dos mil diecinueve al veintiocho de octubre de dos mil veintiuno. </w:t>
      </w:r>
    </w:p>
    <w:p w:rsidRPr="00762A72" w:rsidR="009874D7" w:rsidP="001036A9" w:rsidRDefault="009874D7" w14:paraId="626E10FA" w14:textId="77777777">
      <w:pPr>
        <w:pStyle w:val="Prrafodelista"/>
        <w:numPr>
          <w:ilvl w:val="0"/>
          <w:numId w:val="6"/>
        </w:numPr>
        <w:spacing w:line="360" w:lineRule="auto"/>
        <w:ind w:left="993" w:right="567"/>
        <w:rPr>
          <w:i/>
          <w:iCs/>
          <w:szCs w:val="20"/>
          <w:lang w:val="es-ES"/>
        </w:rPr>
      </w:pPr>
      <w:r w:rsidRPr="00762A72">
        <w:rPr>
          <w:bCs/>
          <w:i/>
          <w:iCs/>
          <w:szCs w:val="20"/>
        </w:rPr>
        <w:t xml:space="preserve">Las razones por las cuales los convenios referidos, son reservados. </w:t>
      </w:r>
    </w:p>
    <w:p w:rsidRPr="00762A72" w:rsidR="009874D7" w:rsidP="001036A9" w:rsidRDefault="009874D7" w14:paraId="21F19706" w14:textId="559C2617">
      <w:pPr>
        <w:pStyle w:val="Prrafodelista"/>
        <w:numPr>
          <w:ilvl w:val="0"/>
          <w:numId w:val="6"/>
        </w:numPr>
        <w:spacing w:line="360" w:lineRule="auto"/>
        <w:ind w:left="993" w:right="567"/>
        <w:rPr>
          <w:i/>
          <w:iCs/>
          <w:szCs w:val="20"/>
          <w:lang w:val="es-ES"/>
        </w:rPr>
      </w:pPr>
      <w:r w:rsidRPr="00762A72">
        <w:rPr>
          <w:bCs/>
          <w:i/>
          <w:iCs/>
          <w:szCs w:val="20"/>
        </w:rPr>
        <w:t xml:space="preserve">Los datos personales que integran los convenios. </w:t>
      </w:r>
    </w:p>
    <w:p w:rsidRPr="00762A72" w:rsidR="009874D7" w:rsidP="001036A9" w:rsidRDefault="009874D7" w14:paraId="73105B82" w14:textId="6B2BD978">
      <w:pPr>
        <w:spacing w:after="0" w:line="360" w:lineRule="auto"/>
        <w:ind w:left="567" w:right="567"/>
        <w:rPr>
          <w:i/>
          <w:iCs/>
          <w:sz w:val="20"/>
          <w:szCs w:val="20"/>
          <w:lang w:val="es-ES"/>
        </w:rPr>
      </w:pPr>
      <w:r w:rsidRPr="00762A72">
        <w:rPr>
          <w:i/>
          <w:iCs/>
          <w:sz w:val="20"/>
          <w:szCs w:val="20"/>
          <w:lang w:val="es-ES"/>
        </w:rPr>
        <w:t xml:space="preserve">…” (Sic) </w:t>
      </w:r>
    </w:p>
    <w:p w:rsidRPr="00762A72" w:rsidR="009874D7" w:rsidP="001036A9" w:rsidRDefault="009874D7" w14:paraId="14587BFF" w14:textId="77777777">
      <w:pPr>
        <w:spacing w:after="0" w:line="360" w:lineRule="auto"/>
      </w:pPr>
    </w:p>
    <w:p w:rsidRPr="00762A72" w:rsidR="002A4FB9" w:rsidP="001036A9" w:rsidRDefault="00024348" w14:paraId="1064BD84" w14:textId="644F21FB">
      <w:pPr>
        <w:spacing w:after="0" w:line="360" w:lineRule="auto"/>
        <w:rPr>
          <w:lang w:val="es-ES"/>
        </w:rPr>
      </w:pPr>
      <w:r w:rsidRPr="00762A72">
        <w:rPr>
          <w:b/>
          <w:bCs/>
        </w:rPr>
        <w:t>g</w:t>
      </w:r>
      <w:r w:rsidRPr="00762A72" w:rsidR="00F00729">
        <w:rPr>
          <w:b/>
          <w:bCs/>
        </w:rPr>
        <w:t xml:space="preserve">) </w:t>
      </w:r>
      <w:r w:rsidRPr="00762A72" w:rsidR="00F00729">
        <w:rPr>
          <w:b/>
          <w:bCs/>
          <w:lang w:val="es-ES"/>
        </w:rPr>
        <w:t xml:space="preserve">Desahogo del </w:t>
      </w:r>
      <w:r w:rsidRPr="00762A72" w:rsidR="00F00729">
        <w:rPr>
          <w:b/>
        </w:rPr>
        <w:t>requerimiento de información adicional</w:t>
      </w:r>
      <w:r w:rsidRPr="00762A72" w:rsidR="00F00729">
        <w:rPr>
          <w:b/>
          <w:bCs/>
          <w:lang w:val="es-ES"/>
        </w:rPr>
        <w:t xml:space="preserve">. </w:t>
      </w:r>
      <w:r w:rsidRPr="00762A72" w:rsidR="00F00729">
        <w:rPr>
          <w:bCs/>
          <w:lang w:val="es-ES"/>
        </w:rPr>
        <w:t xml:space="preserve">El </w:t>
      </w:r>
      <w:r w:rsidRPr="00762A72" w:rsidR="002A4FB9">
        <w:rPr>
          <w:bCs/>
          <w:lang w:val="es-ES"/>
        </w:rPr>
        <w:t>veintiséis de enero de dos mil veintidós</w:t>
      </w:r>
      <w:r w:rsidRPr="00762A72" w:rsidR="00F00729">
        <w:rPr>
          <w:lang w:val="es-ES"/>
        </w:rPr>
        <w:t xml:space="preserve">, se recibió por medio de correo institucional, el desahogo del requerimiento de información adicional por medio </w:t>
      </w:r>
      <w:r w:rsidRPr="00762A72" w:rsidR="009A5774">
        <w:rPr>
          <w:lang w:val="es-ES"/>
        </w:rPr>
        <w:t xml:space="preserve">del oficio sin número, de fecha veinticinco de enero del año en curso, el cual es suscrito </w:t>
      </w:r>
      <w:r w:rsidRPr="00762A72" w:rsidR="009B5BDF">
        <w:rPr>
          <w:lang w:val="es-ES"/>
        </w:rPr>
        <w:t xml:space="preserve">por la Responsable de la Unidad de Información, por medio del cual manifiesta y expone: </w:t>
      </w:r>
    </w:p>
    <w:p w:rsidRPr="00762A72" w:rsidR="009B5BDF" w:rsidP="001036A9" w:rsidRDefault="009B5BDF" w14:paraId="4883CB4B" w14:textId="330B448B">
      <w:pPr>
        <w:spacing w:after="0" w:line="360" w:lineRule="auto"/>
        <w:ind w:left="567" w:right="567"/>
        <w:rPr>
          <w:i/>
          <w:iCs/>
          <w:sz w:val="20"/>
          <w:szCs w:val="20"/>
          <w:lang w:val="es-ES"/>
        </w:rPr>
      </w:pPr>
      <w:r w:rsidRPr="00762A72">
        <w:rPr>
          <w:i/>
          <w:iCs/>
          <w:sz w:val="20"/>
          <w:szCs w:val="20"/>
          <w:lang w:val="es-ES"/>
        </w:rPr>
        <w:lastRenderedPageBreak/>
        <w:t xml:space="preserve">“… </w:t>
      </w:r>
    </w:p>
    <w:p w:rsidRPr="00762A72" w:rsidR="009B5BDF" w:rsidP="001036A9" w:rsidRDefault="00D8028E" w14:paraId="150B87E0" w14:textId="2995406C">
      <w:pPr>
        <w:spacing w:after="0" w:line="360" w:lineRule="auto"/>
        <w:ind w:left="567" w:right="567"/>
        <w:rPr>
          <w:i/>
          <w:iCs/>
          <w:sz w:val="20"/>
          <w:szCs w:val="20"/>
        </w:rPr>
      </w:pPr>
      <w:r w:rsidRPr="00762A72">
        <w:rPr>
          <w:i/>
          <w:iCs/>
          <w:sz w:val="20"/>
          <w:szCs w:val="20"/>
        </w:rPr>
        <w:t>De las constancias que integran el expediente del Recurso de Revisión 05791/INFOEM/IP/RR/2021, y con el objeto de contar con los elementos necesarios para la elaboración del proyecto de resolución correspondiente, se envía lo siguiente</w:t>
      </w:r>
    </w:p>
    <w:p w:rsidRPr="00762A72" w:rsidR="002A4FB9" w:rsidP="001036A9" w:rsidRDefault="002A4FB9" w14:paraId="0AE9F4D5" w14:textId="77777777">
      <w:pPr>
        <w:spacing w:after="0" w:line="360" w:lineRule="auto"/>
        <w:ind w:left="567" w:right="567"/>
        <w:rPr>
          <w:i/>
          <w:iCs/>
          <w:sz w:val="20"/>
          <w:szCs w:val="20"/>
          <w:lang w:val="es-ES"/>
        </w:rPr>
      </w:pPr>
    </w:p>
    <w:p w:rsidRPr="00762A72" w:rsidR="002A4FB9" w:rsidP="001036A9" w:rsidRDefault="00D8028E" w14:paraId="72B3E5D2" w14:textId="31C64259">
      <w:pPr>
        <w:spacing w:after="0" w:line="360" w:lineRule="auto"/>
        <w:ind w:left="567" w:right="567"/>
        <w:rPr>
          <w:i/>
          <w:iCs/>
          <w:sz w:val="20"/>
          <w:szCs w:val="20"/>
        </w:rPr>
      </w:pPr>
      <w:r w:rsidRPr="00762A72">
        <w:rPr>
          <w:i/>
          <w:iCs/>
          <w:sz w:val="20"/>
          <w:szCs w:val="20"/>
        </w:rPr>
        <w:t>a. El número de convenios que se han celebrado entre el Ayuntamiento de Valle de Chalco Solidaridad y los ex servidores públicos, en la Sala Auxiliar de Ecatepec, para finiquitar la relación laboral, del primero enero de dos mil diecinueve al veintiocho de octubre de dos mil veintiuno.</w:t>
      </w:r>
    </w:p>
    <w:p w:rsidRPr="00762A72" w:rsidR="003E6FB6" w:rsidP="001036A9" w:rsidRDefault="003E6FB6" w14:paraId="6171F351" w14:textId="77777777">
      <w:pPr>
        <w:spacing w:after="0" w:line="360" w:lineRule="auto"/>
        <w:ind w:left="567" w:right="567"/>
        <w:rPr>
          <w:i/>
          <w:iCs/>
          <w:sz w:val="20"/>
          <w:szCs w:val="20"/>
        </w:rPr>
      </w:pPr>
    </w:p>
    <w:p w:rsidRPr="00762A72" w:rsidR="005F11B0" w:rsidP="001036A9" w:rsidRDefault="005F11B0" w14:paraId="192B5169" w14:textId="77777777">
      <w:pPr>
        <w:spacing w:after="0" w:line="360" w:lineRule="auto"/>
        <w:ind w:left="567" w:right="567"/>
        <w:rPr>
          <w:b/>
          <w:bCs/>
          <w:i/>
          <w:iCs/>
          <w:sz w:val="20"/>
          <w:szCs w:val="20"/>
        </w:rPr>
      </w:pPr>
      <w:r w:rsidRPr="00762A72">
        <w:rPr>
          <w:i/>
          <w:iCs/>
          <w:sz w:val="20"/>
          <w:szCs w:val="20"/>
        </w:rPr>
        <w:t xml:space="preserve">Convenios celebrados en el año 2019 </w:t>
      </w:r>
      <w:r w:rsidRPr="00762A72">
        <w:rPr>
          <w:b/>
          <w:bCs/>
          <w:i/>
          <w:iCs/>
          <w:sz w:val="20"/>
          <w:szCs w:val="20"/>
        </w:rPr>
        <w:t>373</w:t>
      </w:r>
    </w:p>
    <w:p w:rsidRPr="00762A72" w:rsidR="005F11B0" w:rsidP="001036A9" w:rsidRDefault="005F11B0" w14:paraId="2DDEEF5B" w14:textId="77777777">
      <w:pPr>
        <w:spacing w:after="0" w:line="360" w:lineRule="auto"/>
        <w:ind w:left="567" w:right="567"/>
        <w:rPr>
          <w:b/>
          <w:bCs/>
          <w:i/>
          <w:iCs/>
          <w:sz w:val="20"/>
          <w:szCs w:val="20"/>
        </w:rPr>
      </w:pPr>
      <w:r w:rsidRPr="00762A72">
        <w:rPr>
          <w:i/>
          <w:iCs/>
          <w:sz w:val="20"/>
          <w:szCs w:val="20"/>
        </w:rPr>
        <w:t xml:space="preserve">Convenios celebrados en el año 2020 </w:t>
      </w:r>
      <w:r w:rsidRPr="00762A72">
        <w:rPr>
          <w:b/>
          <w:bCs/>
          <w:i/>
          <w:iCs/>
          <w:sz w:val="20"/>
          <w:szCs w:val="20"/>
        </w:rPr>
        <w:t>26</w:t>
      </w:r>
    </w:p>
    <w:p w:rsidRPr="00762A72" w:rsidR="00D8028E" w:rsidP="001036A9" w:rsidRDefault="005F11B0" w14:paraId="58C06253" w14:textId="5C91311A">
      <w:pPr>
        <w:spacing w:after="0" w:line="360" w:lineRule="auto"/>
        <w:ind w:left="567" w:right="567"/>
        <w:rPr>
          <w:i/>
          <w:iCs/>
          <w:sz w:val="20"/>
          <w:szCs w:val="20"/>
          <w:lang w:val="es-ES"/>
        </w:rPr>
      </w:pPr>
      <w:r w:rsidRPr="00762A72">
        <w:rPr>
          <w:i/>
          <w:iCs/>
          <w:sz w:val="20"/>
          <w:szCs w:val="20"/>
        </w:rPr>
        <w:t xml:space="preserve">Convenios celebrados en el año 2021 </w:t>
      </w:r>
      <w:r w:rsidRPr="00762A72">
        <w:rPr>
          <w:b/>
          <w:bCs/>
          <w:i/>
          <w:iCs/>
          <w:sz w:val="20"/>
          <w:szCs w:val="20"/>
        </w:rPr>
        <w:t>06</w:t>
      </w:r>
    </w:p>
    <w:p w:rsidRPr="00762A72" w:rsidR="005F11B0" w:rsidP="001036A9" w:rsidRDefault="003346A0" w14:paraId="13BE0B0B" w14:textId="3F9B4D48">
      <w:pPr>
        <w:spacing w:after="0" w:line="360" w:lineRule="auto"/>
        <w:ind w:left="567" w:right="567"/>
        <w:rPr>
          <w:i/>
          <w:iCs/>
          <w:sz w:val="20"/>
          <w:szCs w:val="20"/>
          <w:lang w:val="es-ES"/>
        </w:rPr>
      </w:pPr>
      <w:r>
        <w:rPr>
          <w:i/>
          <w:iCs/>
          <w:sz w:val="20"/>
          <w:szCs w:val="20"/>
          <w:lang w:val="es-ES"/>
        </w:rPr>
        <w:t>…</w:t>
      </w:r>
    </w:p>
    <w:p w:rsidRPr="00762A72" w:rsidR="003E6FB6" w:rsidP="001036A9" w:rsidRDefault="003E6FB6" w14:paraId="01BAF946" w14:textId="77777777">
      <w:pPr>
        <w:spacing w:after="0" w:line="360" w:lineRule="auto"/>
        <w:ind w:left="567" w:right="567"/>
        <w:rPr>
          <w:i/>
          <w:iCs/>
          <w:sz w:val="20"/>
          <w:szCs w:val="20"/>
        </w:rPr>
      </w:pPr>
      <w:r w:rsidRPr="00762A72">
        <w:rPr>
          <w:i/>
          <w:iCs/>
          <w:sz w:val="20"/>
          <w:szCs w:val="20"/>
        </w:rPr>
        <w:t>c. Los datos personales que integran los convenios.</w:t>
      </w:r>
    </w:p>
    <w:p w:rsidRPr="00762A72" w:rsidR="005F11B0" w:rsidP="001036A9" w:rsidRDefault="003E6FB6" w14:paraId="13B8AD71" w14:textId="7CF99DE2">
      <w:pPr>
        <w:spacing w:after="0" w:line="360" w:lineRule="auto"/>
        <w:ind w:left="567" w:right="567"/>
        <w:rPr>
          <w:i/>
          <w:iCs/>
          <w:sz w:val="20"/>
          <w:szCs w:val="20"/>
          <w:lang w:val="es-ES"/>
        </w:rPr>
      </w:pPr>
      <w:r w:rsidRPr="00762A72">
        <w:rPr>
          <w:i/>
          <w:iCs/>
          <w:sz w:val="20"/>
          <w:szCs w:val="20"/>
        </w:rPr>
        <w:t>Credenciales de elector, domicilios y huellas digitales.</w:t>
      </w:r>
    </w:p>
    <w:p w:rsidRPr="00762A72" w:rsidR="005F11B0" w:rsidP="001036A9" w:rsidRDefault="003E6FB6" w14:paraId="447E1B20" w14:textId="26B2B762">
      <w:pPr>
        <w:spacing w:after="0" w:line="360" w:lineRule="auto"/>
        <w:ind w:left="567" w:right="567"/>
        <w:rPr>
          <w:i/>
          <w:iCs/>
          <w:sz w:val="20"/>
          <w:szCs w:val="20"/>
          <w:lang w:val="es-ES"/>
        </w:rPr>
      </w:pPr>
      <w:r w:rsidRPr="00762A72">
        <w:rPr>
          <w:i/>
          <w:iCs/>
          <w:sz w:val="20"/>
          <w:szCs w:val="20"/>
          <w:lang w:val="es-ES"/>
        </w:rPr>
        <w:t xml:space="preserve">…” (Sic) </w:t>
      </w:r>
    </w:p>
    <w:p w:rsidRPr="00762A72" w:rsidR="00D568CC" w:rsidP="001036A9" w:rsidRDefault="00D568CC" w14:paraId="181EB178" w14:textId="77777777">
      <w:pPr>
        <w:spacing w:after="0" w:line="360" w:lineRule="auto"/>
      </w:pPr>
    </w:p>
    <w:p w:rsidRPr="00762A72" w:rsidR="0061084D" w:rsidP="001036A9" w:rsidRDefault="006344CA" w14:paraId="3CFCB06A" w14:textId="27A0B7E1">
      <w:pPr>
        <w:spacing w:after="0" w:line="360" w:lineRule="auto"/>
      </w:pPr>
      <w:r w:rsidRPr="00762A72">
        <w:rPr>
          <w:rFonts w:eastAsia="Times New Roman" w:cs="Tahoma"/>
          <w:b/>
          <w:color w:val="auto"/>
          <w:szCs w:val="24"/>
          <w:lang w:eastAsia="es-ES"/>
        </w:rPr>
        <w:t>h</w:t>
      </w:r>
      <w:r w:rsidRPr="00762A72" w:rsidR="0061084D">
        <w:rPr>
          <w:rFonts w:eastAsia="Times New Roman" w:cs="Tahoma"/>
          <w:b/>
          <w:color w:val="auto"/>
          <w:szCs w:val="24"/>
          <w:lang w:eastAsia="es-ES"/>
        </w:rPr>
        <w:t>) Cierre de instrucción.</w:t>
      </w:r>
      <w:r w:rsidRPr="00762A72" w:rsidR="0061084D">
        <w:rPr>
          <w:rFonts w:eastAsia="Times New Roman" w:cs="Tahoma"/>
          <w:color w:val="auto"/>
          <w:szCs w:val="24"/>
          <w:lang w:eastAsia="es-ES"/>
        </w:rPr>
        <w:t xml:space="preserve"> El </w:t>
      </w:r>
      <w:r w:rsidR="001D6A7F">
        <w:rPr>
          <w:rFonts w:eastAsia="Times New Roman" w:cs="Tahoma"/>
          <w:color w:val="auto"/>
          <w:szCs w:val="24"/>
          <w:lang w:eastAsia="es-ES"/>
        </w:rPr>
        <w:t>cuatro</w:t>
      </w:r>
      <w:r w:rsidRPr="00762A72" w:rsidR="000377B4">
        <w:rPr>
          <w:rFonts w:eastAsia="Times New Roman" w:cs="Tahoma"/>
          <w:color w:val="auto"/>
          <w:szCs w:val="24"/>
          <w:lang w:eastAsia="es-ES"/>
        </w:rPr>
        <w:t xml:space="preserve"> de febrero de dos mil veintidós</w:t>
      </w:r>
      <w:r w:rsidRPr="00762A72" w:rsidR="0061084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762A72" w:rsidR="0061084D">
        <w:rPr>
          <w:rFonts w:eastAsia="Palatino Linotype" w:cs="Palatino Linotype"/>
          <w:lang w:val="es-ES"/>
        </w:rPr>
        <w:t>acto que fue notificado a las partes, mediante el Sistema de Acceso a la Información Mexiquense (SAIMEX), el mismo día</w:t>
      </w:r>
    </w:p>
    <w:p w:rsidRPr="00762A72" w:rsidR="002C3A82" w:rsidP="001036A9" w:rsidRDefault="002C3A82" w14:paraId="1BD4A45D" w14:textId="534F8645">
      <w:pPr>
        <w:spacing w:after="0" w:line="360" w:lineRule="auto"/>
        <w:rPr>
          <w:rFonts w:eastAsia="Palatino Linotype" w:cs="Palatino Linotype"/>
          <w:b/>
          <w:bCs/>
        </w:rPr>
      </w:pPr>
    </w:p>
    <w:p w:rsidRPr="00762A72" w:rsidR="002C3A82" w:rsidP="001036A9" w:rsidRDefault="002C3A82" w14:paraId="47B23730" w14:textId="77777777">
      <w:pPr>
        <w:spacing w:after="0" w:line="360" w:lineRule="auto"/>
        <w:rPr>
          <w:rFonts w:eastAsia="Times New Roman" w:cs="Tahoma"/>
          <w:color w:val="auto"/>
          <w:szCs w:val="24"/>
          <w:lang w:eastAsia="es-ES"/>
        </w:rPr>
      </w:pPr>
      <w:r w:rsidRPr="00762A72">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762A72" w:rsidR="002C3A82" w:rsidP="001036A9" w:rsidRDefault="002C3A82" w14:paraId="1AFBF725" w14:textId="77777777">
      <w:pPr>
        <w:spacing w:after="0" w:line="360" w:lineRule="auto"/>
        <w:rPr>
          <w:rFonts w:eastAsia="Times New Roman" w:cs="Tahoma"/>
          <w:bCs/>
          <w:iCs/>
          <w:color w:val="auto"/>
          <w:lang w:val="es-ES" w:eastAsia="es-ES"/>
        </w:rPr>
      </w:pPr>
    </w:p>
    <w:p w:rsidR="004646B4" w:rsidP="001036A9" w:rsidRDefault="004646B4" w14:paraId="1725385C" w14:textId="77777777">
      <w:pPr>
        <w:spacing w:after="0" w:line="360" w:lineRule="auto"/>
        <w:jc w:val="center"/>
        <w:rPr>
          <w:rFonts w:eastAsia="Times New Roman" w:cs="Tahoma"/>
          <w:b/>
          <w:color w:val="auto"/>
          <w:lang w:val="es-ES" w:eastAsia="es-ES"/>
        </w:rPr>
      </w:pPr>
    </w:p>
    <w:p w:rsidRPr="00762A72" w:rsidR="002C3A82" w:rsidP="001036A9" w:rsidRDefault="002C3A82" w14:paraId="4F44FD97" w14:textId="3B8FCFD7">
      <w:pPr>
        <w:spacing w:after="0" w:line="360" w:lineRule="auto"/>
        <w:jc w:val="center"/>
        <w:rPr>
          <w:rFonts w:eastAsia="Times New Roman" w:cs="Tahoma"/>
          <w:b/>
          <w:color w:val="auto"/>
          <w:lang w:val="es-ES" w:eastAsia="es-ES"/>
        </w:rPr>
      </w:pPr>
      <w:r w:rsidRPr="00762A72">
        <w:rPr>
          <w:rFonts w:eastAsia="Times New Roman" w:cs="Tahoma"/>
          <w:b/>
          <w:color w:val="auto"/>
          <w:lang w:val="es-ES" w:eastAsia="es-ES"/>
        </w:rPr>
        <w:t>C O N S I D E R A N D O S:</w:t>
      </w:r>
    </w:p>
    <w:p w:rsidRPr="00762A72" w:rsidR="002C3A82" w:rsidP="001036A9" w:rsidRDefault="002C3A82" w14:paraId="24C157B5" w14:textId="77777777">
      <w:pPr>
        <w:spacing w:after="0" w:line="360" w:lineRule="auto"/>
        <w:rPr>
          <w:b/>
        </w:rPr>
      </w:pPr>
    </w:p>
    <w:p w:rsidRPr="00762A72" w:rsidR="002C3A82" w:rsidP="001036A9" w:rsidRDefault="002C3A82" w14:paraId="284E8A08" w14:textId="77777777">
      <w:pPr>
        <w:autoSpaceDE w:val="0"/>
        <w:autoSpaceDN w:val="0"/>
        <w:adjustRightInd w:val="0"/>
        <w:spacing w:after="0" w:line="360" w:lineRule="auto"/>
        <w:rPr>
          <w:rFonts w:eastAsia="Times New Roman" w:cs="Tahoma"/>
          <w:b/>
          <w:color w:val="auto"/>
          <w:szCs w:val="24"/>
          <w:lang w:val="es-ES" w:eastAsia="es-ES"/>
        </w:rPr>
      </w:pPr>
      <w:r w:rsidRPr="00762A72">
        <w:rPr>
          <w:rFonts w:eastAsia="Calibri" w:cs="Tahoma"/>
          <w:b/>
          <w:color w:val="000000"/>
          <w:szCs w:val="24"/>
          <w:lang w:val="es-ES" w:eastAsia="es-MX"/>
        </w:rPr>
        <w:t>PRIMERO</w:t>
      </w:r>
      <w:r w:rsidRPr="00762A72">
        <w:rPr>
          <w:rFonts w:eastAsia="Calibri" w:cs="Tahoma"/>
          <w:color w:val="000000"/>
          <w:szCs w:val="24"/>
          <w:lang w:val="es-ES" w:eastAsia="es-MX"/>
        </w:rPr>
        <w:t xml:space="preserve">. </w:t>
      </w:r>
      <w:r w:rsidRPr="00762A72">
        <w:rPr>
          <w:rFonts w:eastAsia="Times New Roman" w:cs="Tahoma"/>
          <w:b/>
          <w:color w:val="auto"/>
          <w:szCs w:val="24"/>
          <w:lang w:val="es-ES" w:eastAsia="es-ES"/>
        </w:rPr>
        <w:t>Competencia.</w:t>
      </w:r>
    </w:p>
    <w:p w:rsidRPr="00762A72" w:rsidR="002C3A82" w:rsidP="001036A9" w:rsidRDefault="002C3A82" w14:paraId="68120F20" w14:textId="77777777">
      <w:pPr>
        <w:autoSpaceDE w:val="0"/>
        <w:autoSpaceDN w:val="0"/>
        <w:adjustRightInd w:val="0"/>
        <w:spacing w:after="0" w:line="360" w:lineRule="auto"/>
        <w:rPr>
          <w:rFonts w:eastAsia="Times New Roman" w:cs="Tahoma"/>
          <w:b/>
          <w:color w:val="auto"/>
          <w:szCs w:val="24"/>
          <w:lang w:val="es-ES" w:eastAsia="es-ES"/>
        </w:rPr>
      </w:pPr>
    </w:p>
    <w:p w:rsidRPr="00762A72" w:rsidR="002C3A82" w:rsidP="001036A9" w:rsidRDefault="002C3A82" w14:paraId="17DB1DA3" w14:textId="77777777">
      <w:pPr>
        <w:spacing w:after="0" w:line="360" w:lineRule="auto"/>
        <w:rPr>
          <w:rFonts w:eastAsia="Times New Roman" w:cs="Tahoma"/>
          <w:bCs/>
          <w:color w:val="auto"/>
          <w:lang w:eastAsia="es-ES"/>
        </w:rPr>
      </w:pPr>
      <w:r w:rsidRPr="00762A72">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762A72">
        <w:rPr>
          <w:rFonts w:eastAsia="Times New Roman" w:cs="Tahoma"/>
          <w:bCs/>
          <w:color w:val="auto"/>
          <w:lang w:val="x-none" w:eastAsia="es-ES"/>
        </w:rPr>
        <w:t>ésimo, trigésimo primero</w:t>
      </w:r>
      <w:r w:rsidRPr="00762A72">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62A72">
        <w:rPr>
          <w:rFonts w:eastAsia="Times New Roman" w:cs="Times New Roman"/>
          <w:bCs/>
          <w:color w:val="auto"/>
          <w:lang w:eastAsia="es-ES"/>
        </w:rPr>
        <w:t xml:space="preserve"> 7°, </w:t>
      </w:r>
      <w:r w:rsidRPr="00762A72">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762A72" w:rsidR="002C3A82" w:rsidP="001036A9" w:rsidRDefault="002C3A82" w14:paraId="4C0CB5FA" w14:textId="77777777">
      <w:pPr>
        <w:spacing w:after="0" w:line="360" w:lineRule="auto"/>
        <w:rPr>
          <w:rFonts w:eastAsia="Times New Roman" w:cs="Tahoma"/>
          <w:bCs/>
          <w:color w:val="auto"/>
          <w:lang w:eastAsia="es-ES"/>
        </w:rPr>
      </w:pPr>
    </w:p>
    <w:p w:rsidRPr="00762A72" w:rsidR="002C3A82" w:rsidP="001036A9" w:rsidRDefault="002C3A82" w14:paraId="1EAE27C4" w14:textId="77777777">
      <w:pPr>
        <w:autoSpaceDE w:val="0"/>
        <w:autoSpaceDN w:val="0"/>
        <w:adjustRightInd w:val="0"/>
        <w:spacing w:after="0" w:line="360" w:lineRule="auto"/>
        <w:rPr>
          <w:rFonts w:eastAsia="Times New Roman" w:cs="Tahoma"/>
          <w:color w:val="auto"/>
          <w:szCs w:val="24"/>
          <w:lang w:val="es-ES" w:eastAsia="es-ES"/>
        </w:rPr>
      </w:pPr>
      <w:r w:rsidRPr="00762A72">
        <w:rPr>
          <w:rFonts w:eastAsia="Calibri" w:cs="Tahoma"/>
          <w:b/>
          <w:color w:val="000000"/>
          <w:szCs w:val="24"/>
          <w:lang w:val="es-ES" w:eastAsia="es-MX"/>
        </w:rPr>
        <w:t>SEGUNDO</w:t>
      </w:r>
      <w:r w:rsidRPr="00762A72">
        <w:rPr>
          <w:rFonts w:eastAsia="Calibri" w:cs="Tahoma"/>
          <w:color w:val="000000"/>
          <w:szCs w:val="24"/>
          <w:lang w:val="es-ES" w:eastAsia="es-MX"/>
        </w:rPr>
        <w:t xml:space="preserve">. </w:t>
      </w:r>
      <w:r w:rsidRPr="00762A72">
        <w:rPr>
          <w:rFonts w:eastAsia="Times New Roman" w:cs="Tahoma"/>
          <w:b/>
          <w:color w:val="auto"/>
          <w:szCs w:val="24"/>
          <w:lang w:val="es-ES" w:eastAsia="es-ES"/>
        </w:rPr>
        <w:t>Causales de improcedencia y sobreseimiento.</w:t>
      </w:r>
      <w:r w:rsidRPr="00762A72">
        <w:rPr>
          <w:rFonts w:eastAsia="Times New Roman" w:cs="Tahoma"/>
          <w:color w:val="auto"/>
          <w:szCs w:val="24"/>
          <w:lang w:val="es-ES" w:eastAsia="es-ES"/>
        </w:rPr>
        <w:t xml:space="preserve"> </w:t>
      </w:r>
    </w:p>
    <w:p w:rsidRPr="00762A72" w:rsidR="002C3A82" w:rsidP="001036A9" w:rsidRDefault="002C3A82" w14:paraId="1A384BEB" w14:textId="77777777">
      <w:pPr>
        <w:autoSpaceDE w:val="0"/>
        <w:autoSpaceDN w:val="0"/>
        <w:adjustRightInd w:val="0"/>
        <w:spacing w:after="0" w:line="360" w:lineRule="auto"/>
        <w:rPr>
          <w:rFonts w:eastAsia="Times New Roman" w:cs="Tahoma"/>
          <w:color w:val="auto"/>
          <w:szCs w:val="24"/>
          <w:lang w:val="es-ES" w:eastAsia="es-ES"/>
        </w:rPr>
      </w:pPr>
    </w:p>
    <w:p w:rsidRPr="00762A72" w:rsidR="002C3A82" w:rsidP="001036A9" w:rsidRDefault="002C3A82" w14:paraId="7CC5354F" w14:textId="77777777">
      <w:pPr>
        <w:autoSpaceDE w:val="0"/>
        <w:autoSpaceDN w:val="0"/>
        <w:adjustRightInd w:val="0"/>
        <w:spacing w:after="0" w:line="360" w:lineRule="auto"/>
        <w:rPr>
          <w:rFonts w:eastAsia="Times New Roman" w:cs="Tahoma"/>
          <w:color w:val="auto"/>
          <w:szCs w:val="24"/>
          <w:lang w:val="es-ES" w:eastAsia="es-ES"/>
        </w:rPr>
      </w:pPr>
      <w:r w:rsidRPr="00762A72">
        <w:rPr>
          <w:rFonts w:eastAsia="Times New Roman" w:cs="Tahoma"/>
          <w:color w:val="auto"/>
          <w:szCs w:val="24"/>
          <w:lang w:val="es-ES" w:eastAsia="es-ES"/>
        </w:rPr>
        <w:t xml:space="preserve">De las constancias que forma parte del Recurso de Revisión que se analiza, se advierte que previo al estudio del fondo de la </w:t>
      </w:r>
      <w:r w:rsidRPr="00762A72">
        <w:rPr>
          <w:rFonts w:eastAsia="Times New Roman" w:cs="Tahoma"/>
          <w:i/>
          <w:color w:val="auto"/>
          <w:szCs w:val="24"/>
          <w:lang w:val="es-ES" w:eastAsia="es-ES"/>
        </w:rPr>
        <w:t>litis</w:t>
      </w:r>
      <w:r w:rsidRPr="00762A72">
        <w:rPr>
          <w:rFonts w:eastAsia="Times New Roman" w:cs="Tahoma"/>
          <w:color w:val="auto"/>
          <w:szCs w:val="24"/>
          <w:lang w:val="es-ES" w:eastAsia="es-ES"/>
        </w:rPr>
        <w:t>, es necesario estudiar las causales de improcedencia y sobreseimiento que se adviertan, para determinar lo que en Derecho proceda.</w:t>
      </w:r>
    </w:p>
    <w:p w:rsidRPr="00762A72" w:rsidR="002C3A82" w:rsidP="001036A9" w:rsidRDefault="002C3A82" w14:paraId="349B07B8" w14:textId="77777777">
      <w:pPr>
        <w:autoSpaceDE w:val="0"/>
        <w:autoSpaceDN w:val="0"/>
        <w:adjustRightInd w:val="0"/>
        <w:spacing w:after="0" w:line="360" w:lineRule="auto"/>
        <w:rPr>
          <w:rFonts w:eastAsia="Times New Roman" w:cs="Tahoma"/>
          <w:color w:val="auto"/>
          <w:szCs w:val="24"/>
          <w:lang w:val="es-ES" w:eastAsia="es-ES"/>
        </w:rPr>
      </w:pPr>
    </w:p>
    <w:p w:rsidR="002C3A82" w:rsidP="001036A9" w:rsidRDefault="002C3A82" w14:paraId="3A83E69A" w14:textId="09EFDF51">
      <w:pPr>
        <w:autoSpaceDE w:val="0"/>
        <w:autoSpaceDN w:val="0"/>
        <w:adjustRightInd w:val="0"/>
        <w:spacing w:after="0" w:line="360" w:lineRule="auto"/>
        <w:rPr>
          <w:rFonts w:eastAsia="Calibri" w:cs="Tahoma"/>
          <w:color w:val="000000"/>
          <w:szCs w:val="24"/>
          <w:lang w:val="es-ES" w:eastAsia="es-MX"/>
        </w:rPr>
      </w:pPr>
      <w:r w:rsidRPr="00762A72">
        <w:rPr>
          <w:rFonts w:eastAsia="Calibri" w:cs="Tahoma"/>
          <w:b/>
          <w:color w:val="000000"/>
          <w:szCs w:val="24"/>
          <w:lang w:val="es-ES" w:eastAsia="es-MX"/>
        </w:rPr>
        <w:t>Causales de improcedencia.</w:t>
      </w:r>
      <w:r w:rsidRPr="00762A72">
        <w:rPr>
          <w:rFonts w:eastAsia="Calibri" w:cs="Tahoma"/>
          <w:color w:val="000000"/>
          <w:szCs w:val="24"/>
          <w:lang w:val="es-ES" w:eastAsia="es-MX"/>
        </w:rPr>
        <w:t xml:space="preserve"> </w:t>
      </w:r>
    </w:p>
    <w:p w:rsidRPr="00762A72" w:rsidR="004646B4" w:rsidP="001036A9" w:rsidRDefault="004646B4" w14:paraId="5256DB40" w14:textId="77777777">
      <w:pPr>
        <w:autoSpaceDE w:val="0"/>
        <w:autoSpaceDN w:val="0"/>
        <w:adjustRightInd w:val="0"/>
        <w:spacing w:after="0" w:line="360" w:lineRule="auto"/>
        <w:rPr>
          <w:rFonts w:eastAsia="Calibri" w:cs="Tahoma"/>
          <w:color w:val="000000"/>
          <w:szCs w:val="24"/>
          <w:lang w:val="es-ES" w:eastAsia="es-MX"/>
        </w:rPr>
      </w:pPr>
    </w:p>
    <w:p w:rsidRPr="00762A72" w:rsidR="002C3A82" w:rsidP="001036A9" w:rsidRDefault="002C3A82" w14:paraId="3528E935" w14:textId="77777777">
      <w:pPr>
        <w:autoSpaceDE w:val="0"/>
        <w:autoSpaceDN w:val="0"/>
        <w:adjustRightInd w:val="0"/>
        <w:spacing w:after="0" w:line="360" w:lineRule="auto"/>
        <w:rPr>
          <w:rFonts w:eastAsia="Calibri" w:cs="Tahoma"/>
          <w:color w:val="000000"/>
          <w:lang w:val="es-ES" w:eastAsia="es-MX"/>
        </w:rPr>
      </w:pPr>
      <w:r w:rsidRPr="00762A72">
        <w:rPr>
          <w:rFonts w:eastAsia="Calibri" w:cs="Tahoma"/>
          <w:color w:val="000000"/>
          <w:lang w:eastAsia="es-MX"/>
        </w:rPr>
        <w:t xml:space="preserve">Este Instituto realiza el estudio oficioso de las causales de improcedencia, ya que estas deben estudiarse, aunque no las hagan valer las partes, por ser una cuestión de orden público y de </w:t>
      </w:r>
      <w:r w:rsidRPr="00762A72">
        <w:rPr>
          <w:rFonts w:eastAsia="Calibri" w:cs="Tahoma"/>
          <w:color w:val="000000"/>
          <w:lang w:eastAsia="es-MX"/>
        </w:rPr>
        <w:lastRenderedPageBreak/>
        <w:t>estudio preferente al fondo del asunto. Lo anterior se robustece en la Tesis de Jurisprudencia: 1a./J. 163/2005</w:t>
      </w:r>
      <w:r w:rsidRPr="00762A72">
        <w:rPr>
          <w:rFonts w:eastAsia="Calibri" w:cs="Tahoma"/>
          <w:b/>
          <w:bCs/>
          <w:color w:val="000000"/>
          <w:lang w:eastAsia="es-MX"/>
        </w:rPr>
        <w:t xml:space="preserve"> </w:t>
      </w:r>
      <w:r w:rsidRPr="00762A72">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762A72" w:rsidR="002C3A82" w:rsidP="001036A9" w:rsidRDefault="002C3A82" w14:paraId="7D875BDC" w14:textId="77777777">
      <w:pPr>
        <w:autoSpaceDE w:val="0"/>
        <w:autoSpaceDN w:val="0"/>
        <w:adjustRightInd w:val="0"/>
        <w:spacing w:after="0" w:line="360" w:lineRule="auto"/>
        <w:rPr>
          <w:rFonts w:eastAsia="Calibri" w:cs="Tahoma"/>
          <w:color w:val="000000"/>
          <w:lang w:eastAsia="es-MX"/>
        </w:rPr>
      </w:pPr>
    </w:p>
    <w:p w:rsidRPr="00762A72" w:rsidR="002C3A82" w:rsidP="001036A9" w:rsidRDefault="002C3A82" w14:paraId="4CDBFD4F" w14:textId="77777777">
      <w:pPr>
        <w:autoSpaceDE w:val="0"/>
        <w:autoSpaceDN w:val="0"/>
        <w:adjustRightInd w:val="0"/>
        <w:spacing w:after="0" w:line="360" w:lineRule="auto"/>
        <w:rPr>
          <w:rFonts w:eastAsia="Calibri" w:cs="Tahoma"/>
          <w:color w:val="000000"/>
          <w:lang w:eastAsia="es-MX"/>
        </w:rPr>
      </w:pPr>
      <w:r w:rsidRPr="00762A72">
        <w:rPr>
          <w:rFonts w:eastAsia="Calibri" w:cs="Tahoma"/>
          <w:color w:val="000000"/>
          <w:lang w:eastAsia="es-MX"/>
        </w:rPr>
        <w:t xml:space="preserve">En el presente caso, </w:t>
      </w:r>
      <w:r w:rsidRPr="00762A72">
        <w:rPr>
          <w:rFonts w:eastAsia="Calibri" w:cs="Tahoma"/>
          <w:b/>
          <w:color w:val="000000"/>
          <w:lang w:eastAsia="es-MX"/>
        </w:rPr>
        <w:t>no se actualiza ninguna de las causales de improcedencia</w:t>
      </w:r>
      <w:r w:rsidRPr="00762A72">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762A72" w:rsidR="002C3A82" w:rsidP="001036A9" w:rsidRDefault="002C3A82" w14:paraId="2E91993D" w14:textId="77777777">
      <w:pPr>
        <w:spacing w:after="0" w:line="360" w:lineRule="auto"/>
        <w:rPr>
          <w:rFonts w:eastAsia="Times New Roman" w:cs="Tahoma"/>
          <w:b/>
          <w:bCs/>
          <w:color w:val="auto"/>
          <w:lang w:eastAsia="es-ES"/>
        </w:rPr>
      </w:pPr>
    </w:p>
    <w:p w:rsidRPr="00762A72" w:rsidR="002C3A82" w:rsidP="001036A9" w:rsidRDefault="002C3A82" w14:paraId="22B09553" w14:textId="77777777">
      <w:pPr>
        <w:spacing w:after="0" w:line="360" w:lineRule="auto"/>
        <w:rPr>
          <w:rFonts w:eastAsia="Times New Roman" w:cs="Tahoma"/>
          <w:color w:val="auto"/>
          <w:lang w:val="es-ES" w:eastAsia="es-ES"/>
        </w:rPr>
      </w:pPr>
      <w:r w:rsidRPr="00762A72">
        <w:rPr>
          <w:rFonts w:eastAsia="Times New Roman" w:cs="Tahoma"/>
          <w:color w:val="auto"/>
          <w:lang w:eastAsia="es-ES"/>
        </w:rPr>
        <w:t xml:space="preserve">Asimismo, se actualiza la causal de procedencia del Recurso de Revisión señalada en el artículo 179, fracciones V, de la Ley en cita, </w:t>
      </w:r>
      <w:r w:rsidRPr="00762A72">
        <w:rPr>
          <w:rFonts w:eastAsia="Calibri" w:cs="Tahoma"/>
          <w:color w:val="000000"/>
          <w:lang w:eastAsia="es-MX"/>
        </w:rPr>
        <w:t xml:space="preserve">pues la Recurrente se inconformó </w:t>
      </w:r>
      <w:r w:rsidRPr="00762A72">
        <w:rPr>
          <w:rFonts w:eastAsia="Times New Roman" w:cs="Tahoma"/>
          <w:color w:val="auto"/>
          <w:lang w:val="es-ES" w:eastAsia="es-ES"/>
        </w:rPr>
        <w:t>con la entrega de información</w:t>
      </w:r>
      <w:r w:rsidRPr="00762A72">
        <w:rPr>
          <w:rFonts w:eastAsia="Times New Roman" w:cs="Tahoma"/>
          <w:color w:val="auto"/>
          <w:lang w:val="x-none" w:eastAsia="es-ES"/>
        </w:rPr>
        <w:t xml:space="preserve"> incompleta.</w:t>
      </w:r>
    </w:p>
    <w:p w:rsidRPr="00762A72" w:rsidR="002C3A82" w:rsidP="001036A9" w:rsidRDefault="002C3A82" w14:paraId="6B5D54A9" w14:textId="77777777">
      <w:pPr>
        <w:spacing w:after="0" w:line="360" w:lineRule="auto"/>
        <w:rPr>
          <w:rFonts w:eastAsia="Times New Roman" w:cs="Tahoma"/>
          <w:b/>
          <w:bCs/>
          <w:color w:val="auto"/>
          <w:lang w:eastAsia="es-ES"/>
        </w:rPr>
      </w:pPr>
    </w:p>
    <w:p w:rsidRPr="00762A72" w:rsidR="002C3A82" w:rsidP="001036A9" w:rsidRDefault="002C3A82" w14:paraId="7685CA7B" w14:textId="77777777">
      <w:pPr>
        <w:spacing w:after="0" w:line="360" w:lineRule="auto"/>
        <w:rPr>
          <w:rFonts w:eastAsia="Times New Roman" w:cs="Tahoma"/>
          <w:b/>
          <w:bCs/>
          <w:color w:val="auto"/>
          <w:lang w:eastAsia="es-ES"/>
        </w:rPr>
      </w:pPr>
      <w:r w:rsidRPr="00762A72">
        <w:rPr>
          <w:rFonts w:eastAsia="Times New Roman" w:cs="Tahoma"/>
          <w:b/>
          <w:bCs/>
          <w:color w:val="auto"/>
          <w:lang w:eastAsia="es-ES"/>
        </w:rPr>
        <w:t>Causales de sobreseimiento.</w:t>
      </w:r>
    </w:p>
    <w:p w:rsidRPr="00762A72" w:rsidR="002C3A82" w:rsidP="001036A9" w:rsidRDefault="002C3A82" w14:paraId="05B5D0E4" w14:textId="77777777">
      <w:pPr>
        <w:spacing w:after="0" w:line="360" w:lineRule="auto"/>
        <w:rPr>
          <w:rFonts w:eastAsia="Times New Roman" w:cs="Tahoma"/>
          <w:b/>
          <w:bCs/>
          <w:color w:val="auto"/>
          <w:lang w:eastAsia="es-ES"/>
        </w:rPr>
      </w:pPr>
    </w:p>
    <w:p w:rsidRPr="00762A72" w:rsidR="002C3A82" w:rsidP="001036A9" w:rsidRDefault="002C3A82" w14:paraId="2B1B6637" w14:textId="77777777">
      <w:pPr>
        <w:spacing w:after="0" w:line="360" w:lineRule="auto"/>
        <w:rPr>
          <w:rFonts w:eastAsia="Times New Roman" w:cs="Tahoma"/>
          <w:color w:val="auto"/>
          <w:szCs w:val="24"/>
          <w:lang w:eastAsia="es-ES"/>
        </w:rPr>
      </w:pPr>
      <w:r w:rsidRPr="00762A72">
        <w:rPr>
          <w:rFonts w:eastAsia="Times New Roman" w:cs="Tahoma"/>
          <w:color w:val="auto"/>
          <w:szCs w:val="24"/>
          <w:lang w:eastAsia="es-ES"/>
        </w:rPr>
        <w:t>Por ser de previo y especial pronunciamiento, este Instituto analiza si se actualiza alguna causal de sobreseimiento.</w:t>
      </w:r>
    </w:p>
    <w:p w:rsidRPr="00762A72" w:rsidR="002C3A82" w:rsidP="001036A9" w:rsidRDefault="002C3A82" w14:paraId="552D05F9" w14:textId="77777777">
      <w:pPr>
        <w:spacing w:after="0" w:line="360" w:lineRule="auto"/>
        <w:rPr>
          <w:rFonts w:eastAsia="Times New Roman" w:cs="Tahoma"/>
          <w:color w:val="auto"/>
          <w:szCs w:val="24"/>
          <w:lang w:eastAsia="es-ES"/>
        </w:rPr>
      </w:pPr>
    </w:p>
    <w:p w:rsidRPr="00762A72" w:rsidR="002C3A82" w:rsidP="001036A9" w:rsidRDefault="002C3A82" w14:paraId="3B4B11ED" w14:textId="77777777">
      <w:pPr>
        <w:spacing w:after="0" w:line="360" w:lineRule="auto"/>
        <w:rPr>
          <w:rFonts w:eastAsia="Times New Roman" w:cs="Tahoma"/>
          <w:color w:val="auto"/>
          <w:szCs w:val="24"/>
          <w:lang w:eastAsia="es-ES"/>
        </w:rPr>
      </w:pPr>
      <w:r w:rsidRPr="00762A72">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w:t>
      </w:r>
      <w:r w:rsidRPr="00762A72">
        <w:rPr>
          <w:rFonts w:eastAsia="Times New Roman" w:cs="Tahoma"/>
          <w:color w:val="auto"/>
          <w:szCs w:val="24"/>
          <w:lang w:eastAsia="es-ES"/>
        </w:rPr>
        <w:lastRenderedPageBreak/>
        <w:t>expediente en que se actúa, de que el Recurrente se haya desistido del recurso, haya fallecido, sobreviniera alguna causal de improcedencia, que el Sujeto Obligado hubiese modificado o revocado el acto impugnado o bien, haya quedado sin materia.</w:t>
      </w:r>
    </w:p>
    <w:p w:rsidRPr="00762A72" w:rsidR="002C3A82" w:rsidP="001036A9" w:rsidRDefault="002C3A82" w14:paraId="49FB7D39" w14:textId="77777777">
      <w:pPr>
        <w:spacing w:after="0" w:line="360" w:lineRule="auto"/>
        <w:rPr>
          <w:rFonts w:eastAsia="Times New Roman" w:cs="Tahoma"/>
          <w:color w:val="auto"/>
          <w:szCs w:val="24"/>
          <w:lang w:eastAsia="es-ES"/>
        </w:rPr>
      </w:pPr>
    </w:p>
    <w:p w:rsidRPr="00762A72" w:rsidR="002C3A82" w:rsidP="001036A9" w:rsidRDefault="002C3A82" w14:paraId="4FFFE286" w14:textId="77777777">
      <w:pPr>
        <w:spacing w:after="0" w:line="360" w:lineRule="auto"/>
        <w:rPr>
          <w:rFonts w:eastAsia="Times New Roman" w:cs="Tahoma"/>
          <w:color w:val="auto"/>
          <w:szCs w:val="24"/>
          <w:lang w:val="es-ES" w:eastAsia="es-ES"/>
        </w:rPr>
      </w:pPr>
      <w:r w:rsidRPr="00762A72">
        <w:rPr>
          <w:rFonts w:eastAsia="Times New Roman" w:cs="Tahoma"/>
          <w:bCs/>
          <w:color w:val="auto"/>
          <w:szCs w:val="24"/>
          <w:lang w:val="es-ES" w:eastAsia="es-ES"/>
        </w:rPr>
        <w:t xml:space="preserve">Por tales motivos, </w:t>
      </w:r>
      <w:r w:rsidRPr="00762A72">
        <w:rPr>
          <w:rFonts w:eastAsia="Times New Roman" w:cs="Tahoma"/>
          <w:color w:val="auto"/>
          <w:szCs w:val="24"/>
          <w:lang w:val="es-ES" w:eastAsia="es-ES"/>
        </w:rPr>
        <w:t>se considera procedente entrar al fondo del presente asunto.</w:t>
      </w:r>
    </w:p>
    <w:p w:rsidRPr="00762A72" w:rsidR="002C3A82" w:rsidP="001036A9" w:rsidRDefault="002C3A82" w14:paraId="26A22152" w14:textId="77777777">
      <w:pPr>
        <w:spacing w:after="0" w:line="360" w:lineRule="auto"/>
      </w:pPr>
    </w:p>
    <w:p w:rsidR="002C3A82" w:rsidP="001036A9" w:rsidRDefault="002C3A82" w14:paraId="34E51D2F" w14:textId="133400AF">
      <w:pPr>
        <w:spacing w:after="0" w:line="360" w:lineRule="auto"/>
        <w:rPr>
          <w:rFonts w:eastAsia="Times New Roman" w:cs="Tahoma"/>
          <w:b/>
          <w:bCs/>
          <w:iCs/>
          <w:color w:val="auto"/>
          <w:lang w:val="es-ES" w:eastAsia="es-ES"/>
        </w:rPr>
      </w:pPr>
      <w:r w:rsidRPr="00762A72">
        <w:rPr>
          <w:rFonts w:eastAsia="Times New Roman" w:cs="Tahoma"/>
          <w:b/>
          <w:bCs/>
          <w:iCs/>
          <w:color w:val="auto"/>
          <w:lang w:val="es-ES" w:eastAsia="es-ES"/>
        </w:rPr>
        <w:t xml:space="preserve">TERCERO. Determinación de la Controversia. </w:t>
      </w:r>
    </w:p>
    <w:p w:rsidRPr="00762A72" w:rsidR="000260D0" w:rsidP="001036A9" w:rsidRDefault="000260D0" w14:paraId="4D0AFF1B" w14:textId="77777777">
      <w:pPr>
        <w:spacing w:after="0" w:line="360" w:lineRule="auto"/>
        <w:rPr>
          <w:rFonts w:eastAsia="Times New Roman" w:cs="Tahoma"/>
          <w:b/>
          <w:bCs/>
          <w:iCs/>
          <w:color w:val="auto"/>
          <w:lang w:val="es-ES" w:eastAsia="es-ES"/>
        </w:rPr>
      </w:pPr>
    </w:p>
    <w:p w:rsidR="008D6983" w:rsidP="001036A9" w:rsidRDefault="0004616A" w14:paraId="01CE3597" w14:textId="7C854713">
      <w:pPr>
        <w:autoSpaceDE w:val="0"/>
        <w:autoSpaceDN w:val="0"/>
        <w:adjustRightInd w:val="0"/>
        <w:spacing w:after="0" w:line="360" w:lineRule="auto"/>
        <w:rPr>
          <w:rFonts w:eastAsia="Calibri" w:cs="Tahoma"/>
          <w:iCs/>
          <w:color w:val="000000"/>
          <w:szCs w:val="24"/>
          <w:lang w:val="es-ES" w:eastAsia="es-MX"/>
        </w:rPr>
      </w:pPr>
      <w:r w:rsidRPr="00762A72">
        <w:rPr>
          <w:rFonts w:eastAsia="Calibri" w:cs="Tahoma"/>
          <w:iCs/>
          <w:color w:val="000000"/>
          <w:szCs w:val="24"/>
          <w:lang w:val="es-ES" w:eastAsia="es-MX"/>
        </w:rPr>
        <w:t>Una vez realizado el estudio de las constancias que integran el expediente en que se actúa</w:t>
      </w:r>
      <w:r w:rsidRPr="00762A72" w:rsidR="005E01E0">
        <w:rPr>
          <w:rFonts w:eastAsia="Calibri" w:cs="Tahoma"/>
          <w:iCs/>
          <w:color w:val="000000"/>
          <w:szCs w:val="24"/>
          <w:lang w:val="es-ES" w:eastAsia="es-MX"/>
        </w:rPr>
        <w:t xml:space="preserve">, </w:t>
      </w:r>
      <w:r w:rsidR="0046450B">
        <w:rPr>
          <w:rFonts w:eastAsia="Calibri" w:cs="Tahoma"/>
          <w:iCs/>
          <w:color w:val="000000"/>
          <w:szCs w:val="24"/>
          <w:lang w:val="es-ES" w:eastAsia="es-MX"/>
        </w:rPr>
        <w:t>se desprende que el Particular requiere los</w:t>
      </w:r>
      <w:r w:rsidR="0046450B">
        <w:rPr>
          <w:rFonts w:eastAsia="Calibri" w:cs="Tahoma"/>
          <w:iCs/>
          <w:lang w:val="es-ES" w:eastAsia="es-ES_tradnl"/>
        </w:rPr>
        <w:t xml:space="preserve"> convenios celebrados ante la Sala Auxiliar Ecatepec del Tribunal Estatal de Conciliación y Arbitraje, entre el Ayuntamiento de Valle de Chalco Solidaridad y sus ex servidores públicos, para finiquitar la relación laboral, del primero de enero de dos mil </w:t>
      </w:r>
      <w:r w:rsidR="00CB294A">
        <w:rPr>
          <w:rFonts w:eastAsia="Calibri" w:cs="Tahoma"/>
          <w:iCs/>
          <w:lang w:val="es-ES" w:eastAsia="es-ES_tradnl"/>
        </w:rPr>
        <w:t>diecinueve</w:t>
      </w:r>
      <w:r w:rsidR="0046450B">
        <w:rPr>
          <w:rFonts w:eastAsia="Calibri" w:cs="Tahoma"/>
          <w:iCs/>
          <w:lang w:val="es-ES" w:eastAsia="es-ES_tradnl"/>
        </w:rPr>
        <w:t xml:space="preserve"> al veintiocho de octubre de dos mil veintiuno</w:t>
      </w:r>
      <w:r w:rsidR="00CB294A">
        <w:rPr>
          <w:rFonts w:eastAsia="Calibri" w:cs="Tahoma"/>
          <w:iCs/>
          <w:lang w:val="es-ES" w:eastAsia="es-ES_tradnl"/>
        </w:rPr>
        <w:t>.</w:t>
      </w:r>
    </w:p>
    <w:p w:rsidR="008D6983" w:rsidP="001036A9" w:rsidRDefault="008D6983" w14:paraId="68363223" w14:textId="2386FE92">
      <w:pPr>
        <w:autoSpaceDE w:val="0"/>
        <w:autoSpaceDN w:val="0"/>
        <w:adjustRightInd w:val="0"/>
        <w:spacing w:after="0" w:line="360" w:lineRule="auto"/>
        <w:rPr>
          <w:rFonts w:eastAsia="Calibri" w:cs="Tahoma"/>
          <w:iCs/>
          <w:color w:val="000000"/>
          <w:szCs w:val="24"/>
          <w:lang w:val="es-ES" w:eastAsia="es-MX"/>
        </w:rPr>
      </w:pPr>
    </w:p>
    <w:p w:rsidRPr="008C1944" w:rsidR="00CB294A" w:rsidP="001036A9" w:rsidRDefault="00CB294A" w14:paraId="418BADB3" w14:textId="01158B54">
      <w:p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 xml:space="preserve">En respuesta, el Sujeto Obligado precisó que los </w:t>
      </w:r>
      <w:r w:rsidRPr="008C1944">
        <w:rPr>
          <w:rFonts w:eastAsia="Calibri" w:cs="Tahoma"/>
          <w:iCs/>
          <w:color w:val="000000"/>
          <w:szCs w:val="24"/>
          <w:lang w:val="es-ES" w:eastAsia="es-MX"/>
        </w:rPr>
        <w:t xml:space="preserve">expedientes tramitados ante la Sala Auxiliar de Ecatepec del Tribunal Estatal de Conciliación y Arbitraje se </w:t>
      </w:r>
      <w:r w:rsidRPr="008C1944" w:rsidR="008C1944">
        <w:rPr>
          <w:rFonts w:eastAsia="Calibri" w:cs="Tahoma"/>
          <w:iCs/>
          <w:color w:val="000000"/>
          <w:szCs w:val="24"/>
          <w:lang w:val="es-ES" w:eastAsia="es-MX"/>
        </w:rPr>
        <w:t>encontrab</w:t>
      </w:r>
      <w:r w:rsidR="008C1944">
        <w:rPr>
          <w:rFonts w:eastAsia="Calibri" w:cs="Tahoma"/>
          <w:iCs/>
          <w:color w:val="000000"/>
          <w:szCs w:val="24"/>
          <w:lang w:val="es-ES" w:eastAsia="es-MX"/>
        </w:rPr>
        <w:t>an</w:t>
      </w:r>
      <w:r w:rsidRPr="008C1944">
        <w:rPr>
          <w:rFonts w:eastAsia="Calibri" w:cs="Tahoma"/>
          <w:iCs/>
          <w:color w:val="000000"/>
          <w:szCs w:val="24"/>
          <w:lang w:val="es-ES" w:eastAsia="es-MX"/>
        </w:rPr>
        <w:t xml:space="preserve"> reservados en términos de las fracciones VI y VIII del artículo 140 de la Ley de Transparencia y Acceso a la Información Pública del Estado de México y Municipios</w:t>
      </w:r>
      <w:r w:rsidR="008C1944">
        <w:rPr>
          <w:rFonts w:eastAsia="Calibri" w:cs="Tahoma"/>
          <w:iCs/>
          <w:color w:val="000000"/>
          <w:szCs w:val="24"/>
          <w:lang w:val="es-ES" w:eastAsia="es-MX"/>
        </w:rPr>
        <w:t>, para lo alterar los procedimientos en trámite; además indicó el número de convenios llevados a cabo del dos mil diecinueve al dos mil veintiuno y que no podía proporcionarlos al contener datos personales</w:t>
      </w:r>
      <w:r w:rsidRPr="008C1944">
        <w:rPr>
          <w:rFonts w:eastAsia="Calibri" w:cs="Tahoma"/>
          <w:iCs/>
          <w:color w:val="000000"/>
          <w:szCs w:val="24"/>
          <w:lang w:val="es-ES" w:eastAsia="es-MX"/>
        </w:rPr>
        <w:t xml:space="preserve">. </w:t>
      </w:r>
    </w:p>
    <w:p w:rsidR="00CB294A" w:rsidP="001036A9" w:rsidRDefault="00CB294A" w14:paraId="0CE0EB74" w14:textId="2785AF32">
      <w:pPr>
        <w:autoSpaceDE w:val="0"/>
        <w:autoSpaceDN w:val="0"/>
        <w:adjustRightInd w:val="0"/>
        <w:spacing w:after="0" w:line="360" w:lineRule="auto"/>
        <w:rPr>
          <w:rFonts w:eastAsia="Calibri" w:cs="Tahoma"/>
          <w:iCs/>
          <w:color w:val="000000"/>
          <w:szCs w:val="24"/>
          <w:lang w:val="es-ES" w:eastAsia="es-MX"/>
        </w:rPr>
      </w:pPr>
    </w:p>
    <w:p w:rsidR="008C1944" w:rsidP="001036A9" w:rsidRDefault="008C1944" w14:paraId="4E9ECD4B" w14:textId="5B4F5BF6">
      <w:p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Ante tal circunstancia, el ahora Recurrente</w:t>
      </w:r>
      <w:r w:rsidRPr="008C1944">
        <w:rPr>
          <w:rFonts w:eastAsia="Calibri" w:cs="Tahoma"/>
          <w:iCs/>
          <w:color w:val="000000"/>
          <w:szCs w:val="24"/>
          <w:lang w:val="es-ES" w:eastAsia="es-MX"/>
        </w:rPr>
        <w:t xml:space="preserve"> se inconform</w:t>
      </w:r>
      <w:r>
        <w:rPr>
          <w:rFonts w:eastAsia="Calibri" w:cs="Tahoma"/>
          <w:iCs/>
          <w:color w:val="000000"/>
          <w:szCs w:val="24"/>
          <w:lang w:val="es-ES" w:eastAsia="es-MX"/>
        </w:rPr>
        <w:t>ó</w:t>
      </w:r>
      <w:r w:rsidRPr="008C1944">
        <w:rPr>
          <w:rFonts w:eastAsia="Calibri" w:cs="Tahoma"/>
          <w:iCs/>
          <w:color w:val="000000"/>
          <w:szCs w:val="24"/>
          <w:lang w:val="es-ES" w:eastAsia="es-MX"/>
        </w:rPr>
        <w:t xml:space="preserve"> con la entrega de información incompleta, </w:t>
      </w:r>
      <w:r>
        <w:rPr>
          <w:rFonts w:eastAsia="Calibri" w:cs="Tahoma"/>
          <w:iCs/>
          <w:color w:val="000000"/>
          <w:szCs w:val="24"/>
          <w:lang w:val="es-ES" w:eastAsia="es-MX"/>
        </w:rPr>
        <w:t>al señalar que únicamente le entregaban los números de convenios celebrados, sin entregarle las expresiones documentales; así las cosas, una vez admitido y notificado el Recurso de Revisión, el Sujeto Obligado, ratificó la respuesta inicial.</w:t>
      </w:r>
    </w:p>
    <w:p w:rsidRPr="00762A72" w:rsidR="00D80B1D" w:rsidP="001036A9" w:rsidRDefault="00D80B1D" w14:paraId="7A1702A8" w14:textId="1A2D76EC">
      <w:pPr>
        <w:autoSpaceDE w:val="0"/>
        <w:autoSpaceDN w:val="0"/>
        <w:adjustRightInd w:val="0"/>
        <w:spacing w:after="0" w:line="360" w:lineRule="auto"/>
        <w:rPr>
          <w:rFonts w:eastAsia="Calibri" w:cs="Tahoma"/>
          <w:bCs/>
          <w:iCs/>
          <w:color w:val="000000"/>
          <w:szCs w:val="24"/>
          <w:lang w:eastAsia="es-MX"/>
        </w:rPr>
      </w:pPr>
      <w:r w:rsidRPr="00762A72">
        <w:rPr>
          <w:rFonts w:eastAsia="Calibri" w:cs="Tahoma"/>
          <w:bCs/>
          <w:iCs/>
          <w:color w:val="000000"/>
          <w:szCs w:val="24"/>
          <w:lang w:eastAsia="es-MX"/>
        </w:rPr>
        <w:t xml:space="preserve">Posteriormente mediante el desahogo de un requerimiento de información adicional, el </w:t>
      </w:r>
      <w:r w:rsidRPr="00762A72">
        <w:rPr>
          <w:rFonts w:eastAsia="Calibri" w:cs="Tahoma"/>
        </w:rPr>
        <w:t>Tribunal Estatal de Conciliación y Arbitraje</w:t>
      </w:r>
      <w:r w:rsidRPr="00762A72" w:rsidR="004C7BBE">
        <w:rPr>
          <w:rFonts w:eastAsia="Calibri" w:cs="Tahoma"/>
        </w:rPr>
        <w:t xml:space="preserve">, señalo lo siguiente: </w:t>
      </w:r>
    </w:p>
    <w:p w:rsidRPr="00762A72" w:rsidR="00D80B1D" w:rsidP="001036A9" w:rsidRDefault="00D80B1D" w14:paraId="75B1A2A2" w14:textId="77777777">
      <w:pPr>
        <w:autoSpaceDE w:val="0"/>
        <w:autoSpaceDN w:val="0"/>
        <w:adjustRightInd w:val="0"/>
        <w:spacing w:after="0" w:line="360" w:lineRule="auto"/>
        <w:rPr>
          <w:rFonts w:eastAsia="Calibri" w:cs="Tahoma"/>
          <w:bCs/>
          <w:iCs/>
          <w:color w:val="000000"/>
          <w:lang w:eastAsia="es-MX"/>
        </w:rPr>
      </w:pPr>
    </w:p>
    <w:p w:rsidRPr="00762A72" w:rsidR="00D80B1D" w:rsidP="001036A9" w:rsidRDefault="00BB1C2A" w14:paraId="682AEACE" w14:textId="3D2CB282">
      <w:pPr>
        <w:pStyle w:val="Prrafodelista"/>
        <w:numPr>
          <w:ilvl w:val="0"/>
          <w:numId w:val="8"/>
        </w:numPr>
        <w:autoSpaceDE w:val="0"/>
        <w:autoSpaceDN w:val="0"/>
        <w:adjustRightInd w:val="0"/>
        <w:spacing w:line="360" w:lineRule="auto"/>
        <w:rPr>
          <w:rFonts w:eastAsia="Calibri" w:cs="Tahoma"/>
          <w:bCs/>
          <w:iCs/>
          <w:color w:val="000000"/>
          <w:sz w:val="22"/>
          <w:szCs w:val="22"/>
          <w:lang w:eastAsia="es-MX"/>
        </w:rPr>
      </w:pPr>
      <w:r w:rsidRPr="00762A72">
        <w:rPr>
          <w:rFonts w:eastAsia="Calibri" w:cs="Tahoma"/>
          <w:bCs/>
          <w:iCs/>
          <w:color w:val="000000"/>
          <w:sz w:val="22"/>
          <w:szCs w:val="22"/>
          <w:lang w:eastAsia="es-MX"/>
        </w:rPr>
        <w:t xml:space="preserve">Que </w:t>
      </w:r>
      <w:r w:rsidRPr="00762A72" w:rsidR="00CB2D31">
        <w:rPr>
          <w:rFonts w:eastAsia="Calibri" w:cs="Tahoma"/>
          <w:bCs/>
          <w:iCs/>
          <w:color w:val="000000"/>
          <w:sz w:val="22"/>
          <w:szCs w:val="22"/>
          <w:lang w:eastAsia="es-MX"/>
        </w:rPr>
        <w:t xml:space="preserve">los convenios </w:t>
      </w:r>
      <w:r w:rsidR="00BA5DE1">
        <w:rPr>
          <w:rFonts w:eastAsia="Calibri" w:cs="Tahoma"/>
          <w:bCs/>
          <w:iCs/>
          <w:color w:val="000000"/>
          <w:sz w:val="22"/>
          <w:szCs w:val="22"/>
          <w:lang w:eastAsia="es-MX"/>
        </w:rPr>
        <w:t>estaban</w:t>
      </w:r>
      <w:r w:rsidRPr="00762A72" w:rsidR="00756781">
        <w:rPr>
          <w:rFonts w:eastAsia="Calibri" w:cs="Tahoma"/>
          <w:bCs/>
          <w:iCs/>
          <w:color w:val="000000"/>
          <w:sz w:val="22"/>
          <w:szCs w:val="22"/>
          <w:lang w:eastAsia="es-MX"/>
        </w:rPr>
        <w:t xml:space="preserve"> reservados hasta que </w:t>
      </w:r>
      <w:r w:rsidR="00BA5DE1">
        <w:rPr>
          <w:rFonts w:eastAsia="Calibri" w:cs="Tahoma"/>
          <w:bCs/>
          <w:iCs/>
          <w:color w:val="000000"/>
          <w:sz w:val="22"/>
          <w:szCs w:val="22"/>
          <w:lang w:eastAsia="es-MX"/>
        </w:rPr>
        <w:t>estos fueran liquidados,</w:t>
      </w:r>
      <w:r w:rsidRPr="00762A72" w:rsidR="00756781">
        <w:rPr>
          <w:rFonts w:eastAsia="Calibri" w:cs="Tahoma"/>
          <w:bCs/>
          <w:iCs/>
          <w:color w:val="000000"/>
          <w:sz w:val="22"/>
          <w:szCs w:val="22"/>
          <w:lang w:eastAsia="es-MX"/>
        </w:rPr>
        <w:t xml:space="preserve"> en su totalidad </w:t>
      </w:r>
      <w:r w:rsidRPr="00762A72" w:rsidR="00EA40E1">
        <w:rPr>
          <w:rFonts w:eastAsia="Calibri" w:cs="Tahoma"/>
          <w:bCs/>
          <w:iCs/>
          <w:color w:val="000000"/>
          <w:sz w:val="22"/>
          <w:szCs w:val="22"/>
          <w:lang w:eastAsia="es-MX"/>
        </w:rPr>
        <w:t xml:space="preserve">y el expediente </w:t>
      </w:r>
      <w:r w:rsidR="00BA5DE1">
        <w:rPr>
          <w:rFonts w:eastAsia="Calibri" w:cs="Tahoma"/>
          <w:bCs/>
          <w:iCs/>
          <w:color w:val="000000"/>
          <w:sz w:val="22"/>
          <w:szCs w:val="22"/>
          <w:lang w:eastAsia="es-MX"/>
        </w:rPr>
        <w:t xml:space="preserve">se enviara </w:t>
      </w:r>
      <w:r w:rsidRPr="00762A72" w:rsidR="00EA40E1">
        <w:rPr>
          <w:rFonts w:eastAsia="Calibri" w:cs="Tahoma"/>
          <w:bCs/>
          <w:iCs/>
          <w:color w:val="000000"/>
          <w:sz w:val="22"/>
          <w:szCs w:val="22"/>
          <w:lang w:eastAsia="es-MX"/>
        </w:rPr>
        <w:t xml:space="preserve">al archivo definitivo. </w:t>
      </w:r>
    </w:p>
    <w:p w:rsidRPr="00762A72" w:rsidR="00EA40E1" w:rsidP="001036A9" w:rsidRDefault="00EA40E1" w14:paraId="7CF6E489" w14:textId="77777777">
      <w:pPr>
        <w:pStyle w:val="Prrafodelista"/>
        <w:autoSpaceDE w:val="0"/>
        <w:autoSpaceDN w:val="0"/>
        <w:adjustRightInd w:val="0"/>
        <w:spacing w:line="360" w:lineRule="auto"/>
        <w:rPr>
          <w:rFonts w:eastAsia="Calibri" w:cs="Tahoma"/>
          <w:bCs/>
          <w:iCs/>
          <w:color w:val="000000"/>
          <w:sz w:val="22"/>
          <w:szCs w:val="22"/>
          <w:lang w:eastAsia="es-MX"/>
        </w:rPr>
      </w:pPr>
    </w:p>
    <w:p w:rsidRPr="00762A72" w:rsidR="00EA40E1" w:rsidP="001036A9" w:rsidRDefault="00EA40E1" w14:paraId="2923D4D1" w14:textId="18E6789A">
      <w:pPr>
        <w:pStyle w:val="Prrafodelista"/>
        <w:numPr>
          <w:ilvl w:val="0"/>
          <w:numId w:val="8"/>
        </w:numPr>
        <w:autoSpaceDE w:val="0"/>
        <w:autoSpaceDN w:val="0"/>
        <w:adjustRightInd w:val="0"/>
        <w:spacing w:line="360" w:lineRule="auto"/>
        <w:rPr>
          <w:rFonts w:eastAsia="Calibri" w:cs="Tahoma"/>
          <w:bCs/>
          <w:iCs/>
          <w:color w:val="000000"/>
          <w:sz w:val="22"/>
          <w:szCs w:val="22"/>
          <w:lang w:eastAsia="es-MX"/>
        </w:rPr>
      </w:pPr>
      <w:r w:rsidRPr="00762A72">
        <w:rPr>
          <w:rFonts w:eastAsia="Calibri" w:cs="Tahoma"/>
          <w:bCs/>
          <w:iCs/>
          <w:color w:val="000000"/>
          <w:sz w:val="22"/>
          <w:szCs w:val="22"/>
          <w:lang w:eastAsia="es-MX"/>
        </w:rPr>
        <w:t xml:space="preserve">Que los datos personales que </w:t>
      </w:r>
      <w:r w:rsidR="00BA5DE1">
        <w:rPr>
          <w:rFonts w:eastAsia="Calibri" w:cs="Tahoma"/>
          <w:bCs/>
          <w:iCs/>
          <w:color w:val="000000"/>
          <w:sz w:val="22"/>
          <w:szCs w:val="22"/>
          <w:lang w:eastAsia="es-MX"/>
        </w:rPr>
        <w:t>contenían los convenios, eran las</w:t>
      </w:r>
      <w:r w:rsidRPr="00762A72">
        <w:rPr>
          <w:rFonts w:eastAsia="Calibri" w:cs="Tahoma"/>
          <w:bCs/>
          <w:iCs/>
          <w:color w:val="000000"/>
          <w:sz w:val="22"/>
          <w:szCs w:val="22"/>
          <w:lang w:eastAsia="es-MX"/>
        </w:rPr>
        <w:t xml:space="preserve"> credenciales de elector, domicilios y huellas digitales. </w:t>
      </w:r>
    </w:p>
    <w:p w:rsidRPr="00762A72" w:rsidR="002C3A82" w:rsidP="001036A9" w:rsidRDefault="002C3A82" w14:paraId="2F05BE37" w14:textId="77777777">
      <w:pPr>
        <w:autoSpaceDE w:val="0"/>
        <w:autoSpaceDN w:val="0"/>
        <w:adjustRightInd w:val="0"/>
        <w:spacing w:after="0" w:line="360" w:lineRule="auto"/>
        <w:rPr>
          <w:rFonts w:eastAsia="Calibri" w:cs="Tahoma"/>
          <w:iCs/>
          <w:color w:val="auto"/>
          <w:lang w:val="es-ES" w:eastAsia="es-ES_tradnl"/>
        </w:rPr>
      </w:pPr>
    </w:p>
    <w:p w:rsidRPr="00762A72" w:rsidR="002C3A82" w:rsidP="001036A9" w:rsidRDefault="002C3A82" w14:paraId="0A5F1FD9" w14:textId="6D7323A1">
      <w:pPr>
        <w:spacing w:after="0" w:line="360" w:lineRule="auto"/>
      </w:pPr>
      <w:r w:rsidRPr="00762A72">
        <w:t xml:space="preserve">Lo anterior, se desprende de las documentales que obran en el expediente de referencia, materia de la presente Resolución, consistentes en: la solicitud de acceso a la información; la respuesta del Sujeto Obligado; </w:t>
      </w:r>
      <w:r w:rsidRPr="00762A72">
        <w:rPr>
          <w:bCs/>
        </w:rPr>
        <w:t xml:space="preserve">el </w:t>
      </w:r>
      <w:r w:rsidRPr="00762A72">
        <w:t>escrito recursal</w:t>
      </w:r>
      <w:r w:rsidRPr="00762A72" w:rsidR="00425E57">
        <w:t>,</w:t>
      </w:r>
      <w:r w:rsidRPr="00762A72">
        <w:t xml:space="preserve"> el Informe Justificado </w:t>
      </w:r>
      <w:r w:rsidRPr="00762A72" w:rsidR="00C77A61">
        <w:rPr>
          <w:rFonts w:eastAsia="Calibri" w:cs="Tahoma"/>
          <w:bCs/>
          <w:iCs/>
          <w:color w:val="000000"/>
        </w:rPr>
        <w:t>y el desahogo del requerimiento de información adicional</w:t>
      </w:r>
      <w:r w:rsidRPr="00762A72" w:rsidR="00C77A61">
        <w:t xml:space="preserve"> </w:t>
      </w:r>
      <w:r w:rsidRPr="00762A72">
        <w:t>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762A72" w:rsidR="002C3A82" w:rsidP="001036A9" w:rsidRDefault="002C3A82" w14:paraId="7E557AF8" w14:textId="77777777">
      <w:pPr>
        <w:spacing w:after="0" w:line="360" w:lineRule="auto"/>
      </w:pPr>
    </w:p>
    <w:p w:rsidRPr="00762A72" w:rsidR="002C3A82" w:rsidP="001036A9" w:rsidRDefault="002C3A82" w14:paraId="305B67F4" w14:textId="77777777">
      <w:pPr>
        <w:spacing w:after="0" w:line="360" w:lineRule="auto"/>
        <w:rPr>
          <w:rFonts w:eastAsia="Times New Roman" w:cs="Tahoma"/>
          <w:b/>
          <w:bCs/>
          <w:iCs/>
          <w:color w:val="auto"/>
          <w:lang w:eastAsia="es-ES"/>
        </w:rPr>
      </w:pPr>
      <w:r w:rsidRPr="00762A72">
        <w:rPr>
          <w:rFonts w:eastAsia="Times New Roman" w:cs="Tahoma"/>
          <w:b/>
          <w:bCs/>
          <w:iCs/>
          <w:color w:val="auto"/>
          <w:lang w:val="es-ES" w:eastAsia="es-ES"/>
        </w:rPr>
        <w:t xml:space="preserve">CUARTO. </w:t>
      </w:r>
      <w:r w:rsidRPr="00762A72">
        <w:rPr>
          <w:rFonts w:eastAsia="Times New Roman" w:cs="Tahoma"/>
          <w:b/>
          <w:bCs/>
          <w:iCs/>
          <w:color w:val="auto"/>
          <w:lang w:eastAsia="es-ES"/>
        </w:rPr>
        <w:t>Marco normativo aplicable en materia de transparencia y acceso a la información pública.</w:t>
      </w:r>
    </w:p>
    <w:p w:rsidRPr="00762A72" w:rsidR="002C3A82" w:rsidP="001036A9" w:rsidRDefault="002C3A82" w14:paraId="3DAFD46E" w14:textId="77777777">
      <w:pPr>
        <w:spacing w:after="0" w:line="360" w:lineRule="auto"/>
        <w:rPr>
          <w:rFonts w:eastAsia="Times New Roman" w:cs="Tahoma"/>
          <w:b/>
          <w:bCs/>
          <w:iCs/>
          <w:color w:val="auto"/>
          <w:lang w:eastAsia="es-ES"/>
        </w:rPr>
      </w:pPr>
    </w:p>
    <w:p w:rsidRPr="00762A72" w:rsidR="002C3A82" w:rsidP="001036A9" w:rsidRDefault="002C3A82" w14:paraId="1D75632B" w14:textId="77777777">
      <w:pPr>
        <w:spacing w:after="0" w:line="360" w:lineRule="auto"/>
        <w:rPr>
          <w:rFonts w:eastAsia="Times New Roman" w:cs="Tahoma"/>
          <w:bCs/>
          <w:iCs/>
          <w:color w:val="auto"/>
          <w:lang w:eastAsia="es-ES"/>
        </w:rPr>
      </w:pPr>
      <w:r w:rsidRPr="00762A72">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62A72" w:rsidR="002C3A82" w:rsidP="001036A9" w:rsidRDefault="002C3A82" w14:paraId="3B6A2EFB" w14:textId="77777777">
      <w:pPr>
        <w:spacing w:after="0" w:line="360" w:lineRule="auto"/>
        <w:rPr>
          <w:rFonts w:eastAsia="Times New Roman" w:cs="Tahoma"/>
          <w:bCs/>
          <w:iCs/>
          <w:color w:val="auto"/>
          <w:lang w:eastAsia="es-ES"/>
        </w:rPr>
      </w:pPr>
    </w:p>
    <w:p w:rsidRPr="00762A72" w:rsidR="002C3A82" w:rsidP="001036A9" w:rsidRDefault="002C3A82" w14:paraId="73991C29" w14:textId="77777777">
      <w:pPr>
        <w:spacing w:after="0" w:line="360" w:lineRule="auto"/>
        <w:rPr>
          <w:rFonts w:eastAsia="Times New Roman" w:cs="Tahoma"/>
          <w:bCs/>
          <w:iCs/>
          <w:color w:val="auto"/>
          <w:lang w:eastAsia="es-ES"/>
        </w:rPr>
      </w:pPr>
      <w:r w:rsidRPr="00762A72">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762A72" w:rsidR="002C3A82" w:rsidP="001036A9" w:rsidRDefault="002C3A82" w14:paraId="53DA4DF3" w14:textId="77777777">
      <w:pPr>
        <w:spacing w:after="0" w:line="360" w:lineRule="auto"/>
        <w:rPr>
          <w:rFonts w:eastAsia="Times New Roman" w:cs="Tahoma"/>
          <w:bCs/>
          <w:iCs/>
          <w:color w:val="auto"/>
          <w:lang w:eastAsia="es-ES"/>
        </w:rPr>
      </w:pPr>
    </w:p>
    <w:p w:rsidRPr="00762A72" w:rsidR="002C3A82" w:rsidP="001036A9" w:rsidRDefault="002C3A82" w14:paraId="78ED4342" w14:textId="77777777">
      <w:pPr>
        <w:spacing w:after="0" w:line="360" w:lineRule="auto"/>
        <w:rPr>
          <w:rFonts w:eastAsia="Times New Roman" w:cs="Tahoma"/>
          <w:bCs/>
          <w:iCs/>
          <w:color w:val="auto"/>
          <w:lang w:eastAsia="es-ES"/>
        </w:rPr>
      </w:pPr>
      <w:r w:rsidRPr="00762A72">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62A72" w:rsidR="002C3A82" w:rsidP="001036A9" w:rsidRDefault="002C3A82" w14:paraId="413A2EF7" w14:textId="77777777">
      <w:pPr>
        <w:spacing w:after="0" w:line="360" w:lineRule="auto"/>
        <w:rPr>
          <w:rFonts w:eastAsia="Times New Roman" w:cs="Tahoma"/>
          <w:bCs/>
          <w:iCs/>
          <w:color w:val="auto"/>
          <w:lang w:eastAsia="es-ES"/>
        </w:rPr>
      </w:pPr>
    </w:p>
    <w:p w:rsidRPr="00762A72" w:rsidR="002C3A82" w:rsidP="001036A9" w:rsidRDefault="002C3A82" w14:paraId="70289A76" w14:textId="77777777">
      <w:pPr>
        <w:spacing w:after="0" w:line="360" w:lineRule="auto"/>
        <w:rPr>
          <w:rFonts w:eastAsia="Times New Roman" w:cs="Tahoma"/>
          <w:bCs/>
          <w:iCs/>
          <w:color w:val="auto"/>
          <w:lang w:eastAsia="es-ES"/>
        </w:rPr>
      </w:pPr>
      <w:r w:rsidRPr="00762A72">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762A72" w:rsidR="002C3A82" w:rsidP="001036A9" w:rsidRDefault="002C3A82" w14:paraId="60BA8DD0" w14:textId="77777777">
      <w:pPr>
        <w:spacing w:after="0" w:line="360" w:lineRule="auto"/>
        <w:rPr>
          <w:rFonts w:eastAsia="Times New Roman" w:cs="Tahoma"/>
          <w:bCs/>
          <w:iCs/>
          <w:color w:val="auto"/>
          <w:lang w:eastAsia="es-ES"/>
        </w:rPr>
      </w:pPr>
    </w:p>
    <w:p w:rsidRPr="00762A72" w:rsidR="002C3A82" w:rsidP="001036A9" w:rsidRDefault="002C3A82" w14:paraId="6FDF4298" w14:textId="77777777">
      <w:pPr>
        <w:spacing w:after="0" w:line="360" w:lineRule="auto"/>
        <w:rPr>
          <w:rFonts w:eastAsia="Times New Roman" w:cs="Tahoma"/>
          <w:bCs/>
          <w:iCs/>
          <w:color w:val="auto"/>
          <w:lang w:eastAsia="es-ES"/>
        </w:rPr>
      </w:pPr>
      <w:r w:rsidRPr="00762A72">
        <w:rPr>
          <w:rFonts w:eastAsia="Times New Roman" w:cs="Tahoma"/>
          <w:bCs/>
          <w:iCs/>
          <w:color w:val="auto"/>
          <w:lang w:eastAsia="es-ES"/>
        </w:rPr>
        <w:t>El artículo 12, que, quienes generen, recopilen, administren, manejen, procesen, archiven o conserven información pública serán responsables de la misma.</w:t>
      </w:r>
    </w:p>
    <w:p w:rsidRPr="00762A72" w:rsidR="002C3A82" w:rsidP="001036A9" w:rsidRDefault="002C3A82" w14:paraId="630ABFD9" w14:textId="77777777">
      <w:pPr>
        <w:spacing w:after="0" w:line="360" w:lineRule="auto"/>
        <w:rPr>
          <w:rFonts w:eastAsia="Times New Roman" w:cs="Tahoma"/>
          <w:bCs/>
          <w:iCs/>
          <w:color w:val="auto"/>
          <w:lang w:eastAsia="es-ES"/>
        </w:rPr>
      </w:pPr>
    </w:p>
    <w:p w:rsidRPr="00762A72" w:rsidR="002C3A82" w:rsidP="001036A9" w:rsidRDefault="002C3A82" w14:paraId="2E6EC0C6" w14:textId="77777777">
      <w:pPr>
        <w:spacing w:after="0" w:line="360" w:lineRule="auto"/>
        <w:rPr>
          <w:rFonts w:eastAsia="Times New Roman" w:cs="Tahoma"/>
          <w:bCs/>
          <w:iCs/>
          <w:color w:val="auto"/>
          <w:lang w:eastAsia="es-ES"/>
        </w:rPr>
      </w:pPr>
      <w:r w:rsidRPr="00762A72">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762A72" w:rsidR="002C3A82" w:rsidP="001036A9" w:rsidRDefault="002C3A82" w14:paraId="69E636B5" w14:textId="77777777">
      <w:pPr>
        <w:spacing w:after="0" w:line="360" w:lineRule="auto"/>
        <w:rPr>
          <w:rFonts w:eastAsia="Times New Roman" w:cs="Tahoma"/>
          <w:bCs/>
          <w:iCs/>
          <w:color w:val="auto"/>
          <w:lang w:eastAsia="es-ES"/>
        </w:rPr>
      </w:pPr>
    </w:p>
    <w:p w:rsidRPr="00762A72" w:rsidR="002C3A82" w:rsidP="001036A9" w:rsidRDefault="002C3A82" w14:paraId="3FCDA23C" w14:textId="77777777">
      <w:pPr>
        <w:spacing w:after="0" w:line="360" w:lineRule="auto"/>
        <w:rPr>
          <w:rFonts w:eastAsia="Times New Roman" w:cs="Tahoma"/>
          <w:bCs/>
          <w:iCs/>
          <w:color w:val="auto"/>
          <w:lang w:eastAsia="es-ES"/>
        </w:rPr>
      </w:pPr>
      <w:r w:rsidRPr="00762A72">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62A72" w:rsidR="002C3A82" w:rsidP="001036A9" w:rsidRDefault="002C3A82" w14:paraId="1A3C6E5D" w14:textId="77777777">
      <w:pPr>
        <w:spacing w:after="0" w:line="360" w:lineRule="auto"/>
        <w:rPr>
          <w:rFonts w:eastAsia="Times New Roman" w:cs="Tahoma"/>
          <w:b/>
          <w:bCs/>
          <w:iCs/>
          <w:color w:val="auto"/>
          <w:lang w:val="es-ES" w:eastAsia="es-ES"/>
        </w:rPr>
      </w:pPr>
    </w:p>
    <w:p w:rsidRPr="00762A72" w:rsidR="002C3A82" w:rsidP="001036A9" w:rsidRDefault="002C3A82" w14:paraId="1B62B057" w14:textId="77777777">
      <w:pPr>
        <w:spacing w:after="0" w:line="360" w:lineRule="auto"/>
        <w:rPr>
          <w:rFonts w:eastAsia="Times New Roman" w:cs="Tahoma"/>
          <w:b/>
          <w:bCs/>
          <w:iCs/>
          <w:color w:val="auto"/>
          <w:lang w:val="es-ES" w:eastAsia="es-ES"/>
        </w:rPr>
      </w:pPr>
      <w:r w:rsidRPr="00762A72">
        <w:rPr>
          <w:rFonts w:eastAsia="Times New Roman" w:cs="Tahoma"/>
          <w:b/>
          <w:bCs/>
          <w:iCs/>
          <w:color w:val="auto"/>
          <w:lang w:val="es-ES" w:eastAsia="es-ES"/>
        </w:rPr>
        <w:t>Quinto. Estudio de Fondo.</w:t>
      </w:r>
    </w:p>
    <w:p w:rsidRPr="00762A72" w:rsidR="002C3A82" w:rsidP="001036A9" w:rsidRDefault="002C3A82" w14:paraId="3413C92E" w14:textId="77777777">
      <w:pPr>
        <w:spacing w:after="0" w:line="360" w:lineRule="auto"/>
        <w:rPr>
          <w:rFonts w:eastAsia="Times New Roman" w:cs="Tahoma"/>
          <w:iCs/>
          <w:color w:val="auto"/>
          <w:lang w:val="es-ES" w:eastAsia="es-ES"/>
        </w:rPr>
      </w:pPr>
    </w:p>
    <w:p w:rsidRPr="00762A72" w:rsidR="00AD76BB" w:rsidP="001036A9" w:rsidRDefault="007B0502" w14:paraId="306B8FA2" w14:textId="0409670F">
      <w:pPr>
        <w:spacing w:after="0" w:line="360" w:lineRule="auto"/>
        <w:rPr>
          <w:rFonts w:eastAsia="Times New Roman" w:cs="Tahoma"/>
          <w:bCs/>
          <w:iCs/>
          <w:color w:val="auto"/>
          <w:lang w:eastAsia="es-ES"/>
        </w:rPr>
      </w:pPr>
      <w:r w:rsidRPr="00762A72">
        <w:rPr>
          <w:rFonts w:eastAsia="Times New Roman" w:cs="Tahoma"/>
          <w:bCs/>
          <w:iCs/>
          <w:color w:val="auto"/>
          <w:lang w:eastAsia="es-ES"/>
        </w:rPr>
        <w:t xml:space="preserve">Una vez establecido lo anterior, se procede analizar el agravio hecho valer por el ahora Recurrente, referente a la reserva de la información peticionada, </w:t>
      </w:r>
      <w:r w:rsidRPr="00762A72" w:rsidR="00AD76BB">
        <w:rPr>
          <w:rFonts w:eastAsia="Times New Roman" w:cs="Tahoma"/>
          <w:bCs/>
          <w:iCs/>
          <w:color w:val="auto"/>
          <w:lang w:eastAsia="es-ES"/>
        </w:rPr>
        <w:t xml:space="preserve">consistente en los </w:t>
      </w:r>
      <w:r w:rsidRPr="00762A72" w:rsidR="00CF11FA">
        <w:rPr>
          <w:rFonts w:eastAsia="Times New Roman" w:cs="Tahoma"/>
          <w:bCs/>
          <w:iCs/>
          <w:color w:val="auto"/>
          <w:lang w:eastAsia="es-ES"/>
        </w:rPr>
        <w:t xml:space="preserve">convenios realizados entre el </w:t>
      </w:r>
      <w:r w:rsidRPr="00762A72" w:rsidR="00C40A65">
        <w:rPr>
          <w:rFonts w:eastAsia="Times New Roman" w:cs="Tahoma"/>
          <w:bCs/>
          <w:iCs/>
          <w:color w:val="auto"/>
          <w:lang w:eastAsia="es-ES"/>
        </w:rPr>
        <w:t xml:space="preserve">Ayuntamiento de Valle de Chalco Solidaridad y los es servidores públicos </w:t>
      </w:r>
      <w:r w:rsidRPr="00762A72" w:rsidR="00924C9E">
        <w:rPr>
          <w:rFonts w:eastAsia="Times New Roman" w:cs="Tahoma"/>
          <w:bCs/>
          <w:iCs/>
          <w:color w:val="auto"/>
          <w:lang w:eastAsia="es-ES"/>
        </w:rPr>
        <w:t xml:space="preserve">para finiquitar la relación laboral, de enero a octubre de dos mil diecinueve, veinte y veintiuno. </w:t>
      </w:r>
    </w:p>
    <w:p w:rsidRPr="00BA5DE1" w:rsidR="00BA5DE1" w:rsidP="001036A9" w:rsidRDefault="00BA5DE1" w14:paraId="512ACB6E" w14:textId="77777777">
      <w:pPr>
        <w:shd w:val="clear" w:color="auto" w:fill="FFFFFF" w:themeFill="background1"/>
        <w:spacing w:after="0" w:line="360" w:lineRule="auto"/>
        <w:rPr>
          <w:rFonts w:eastAsia="Calibri" w:cs="Tahoma"/>
          <w:bCs/>
          <w:color w:val="auto"/>
        </w:rPr>
      </w:pPr>
      <w:r w:rsidRPr="00BA5DE1">
        <w:rPr>
          <w:rFonts w:eastAsia="Calibri" w:cs="Tahoma"/>
          <w:bCs/>
          <w:color w:val="auto"/>
        </w:rPr>
        <w:lastRenderedPageBreak/>
        <w:t>Una vez establecido lo anterior, es necesario contextualizar la solicitud de información, con el fin de verificar que el Sujeto Obligado tiene competencia para conocer de lo requerido, por lo que, es de recordar el Particular solicitó los convenios realizados entre el Ayuntamiento de Valle de Chalco Solidaridad y sus ex servidores públicos, para finiquitar la relación laboral.</w:t>
      </w:r>
    </w:p>
    <w:p w:rsidRPr="00BA5DE1" w:rsidR="00BA5DE1" w:rsidP="001036A9" w:rsidRDefault="00BA5DE1" w14:paraId="71CB200A" w14:textId="77777777">
      <w:pPr>
        <w:spacing w:after="0" w:line="360" w:lineRule="auto"/>
        <w:rPr>
          <w:rFonts w:eastAsia="Calibri" w:cs="Tahoma"/>
          <w:bCs/>
          <w:color w:val="auto"/>
        </w:rPr>
      </w:pPr>
    </w:p>
    <w:p w:rsidRPr="00BA5DE1" w:rsidR="00BA5DE1" w:rsidP="001036A9" w:rsidRDefault="00BA5DE1" w14:paraId="189911C0" w14:textId="3C9C974A">
      <w:pPr>
        <w:spacing w:after="0" w:line="360" w:lineRule="auto"/>
        <w:ind w:right="-93"/>
        <w:rPr>
          <w:rFonts w:eastAsia="Times New Roman" w:cs="Tahoma"/>
          <w:bCs/>
          <w:color w:val="auto"/>
          <w:lang w:eastAsia="es-ES"/>
        </w:rPr>
      </w:pPr>
      <w:r w:rsidRPr="00BA5DE1">
        <w:rPr>
          <w:rFonts w:eastAsia="Calibri" w:cs="Tahoma"/>
          <w:bCs/>
          <w:color w:val="auto"/>
        </w:rPr>
        <w:t xml:space="preserve">En ese sentido, </w:t>
      </w:r>
      <w:r w:rsidRPr="00BA5DE1">
        <w:rPr>
          <w:rFonts w:eastAsia="Times New Roman" w:cs="Tahoma"/>
          <w:bCs/>
          <w:color w:val="auto"/>
          <w:lang w:eastAsia="es-ES"/>
        </w:rPr>
        <w:t>el artículo 233 de la Ley del Trabajo de los Servidores Públicos del Estado de México y Municipios, establece que, en la etapa conciliatoria del juicio ordinario laboral, llevado a cabo ante el Tribunal Estatal de Conciliación y Arbitraje, será de la siguiente manera:</w:t>
      </w:r>
    </w:p>
    <w:p w:rsidRPr="00BA5DE1" w:rsidR="00BA5DE1" w:rsidP="001036A9" w:rsidRDefault="00BA5DE1" w14:paraId="434ABECD" w14:textId="77777777">
      <w:pPr>
        <w:spacing w:after="0" w:line="360" w:lineRule="auto"/>
        <w:ind w:right="-93"/>
        <w:rPr>
          <w:rFonts w:eastAsia="Times New Roman" w:cs="Tahoma"/>
          <w:bCs/>
          <w:color w:val="auto"/>
          <w:lang w:eastAsia="es-ES"/>
        </w:rPr>
      </w:pPr>
    </w:p>
    <w:p w:rsidRPr="00BA5DE1" w:rsidR="00BA5DE1" w:rsidP="001036A9" w:rsidRDefault="00BA5DE1" w14:paraId="2586A653" w14:textId="77777777">
      <w:pPr>
        <w:numPr>
          <w:ilvl w:val="0"/>
          <w:numId w:val="25"/>
        </w:numPr>
        <w:spacing w:after="0" w:line="360" w:lineRule="auto"/>
        <w:contextualSpacing/>
        <w:jc w:val="left"/>
        <w:rPr>
          <w:rFonts w:eastAsia="Calibri" w:cs="Tahoma"/>
          <w:bCs/>
          <w:color w:val="auto"/>
        </w:rPr>
      </w:pPr>
      <w:r w:rsidRPr="00BA5DE1">
        <w:rPr>
          <w:rFonts w:eastAsia="Calibri" w:cs="Tahoma"/>
          <w:bCs/>
          <w:color w:val="auto"/>
        </w:rPr>
        <w:t>Las partes podrán comparecer ante el Tribunal o Sala personalmente o por medio de su apoderado o representante legal;</w:t>
      </w:r>
    </w:p>
    <w:p w:rsidRPr="00BA5DE1" w:rsidR="00BA5DE1" w:rsidP="001036A9" w:rsidRDefault="00BA5DE1" w14:paraId="39A78E8D" w14:textId="77777777">
      <w:pPr>
        <w:numPr>
          <w:ilvl w:val="0"/>
          <w:numId w:val="25"/>
        </w:numPr>
        <w:spacing w:after="0" w:line="360" w:lineRule="auto"/>
        <w:contextualSpacing/>
        <w:jc w:val="left"/>
        <w:rPr>
          <w:rFonts w:eastAsia="Calibri" w:cs="Tahoma"/>
          <w:bCs/>
          <w:color w:val="auto"/>
        </w:rPr>
      </w:pPr>
      <w:r w:rsidRPr="00BA5DE1">
        <w:rPr>
          <w:rFonts w:eastAsia="Calibri" w:cs="Tahoma"/>
          <w:bCs/>
          <w:color w:val="auto"/>
        </w:rPr>
        <w:t>El Tribunal o la Sala, intervendrán para la celebración de pláticas entre las partes y las exhortarán, para que procuren llegar a un arreglo conciliatorio;</w:t>
      </w:r>
    </w:p>
    <w:p w:rsidRPr="00BA5DE1" w:rsidR="00BA5DE1" w:rsidP="001036A9" w:rsidRDefault="00BA5DE1" w14:paraId="6C148D3D" w14:textId="77777777">
      <w:pPr>
        <w:numPr>
          <w:ilvl w:val="0"/>
          <w:numId w:val="25"/>
        </w:numPr>
        <w:spacing w:after="0" w:line="360" w:lineRule="auto"/>
        <w:contextualSpacing/>
        <w:jc w:val="left"/>
        <w:rPr>
          <w:rFonts w:eastAsia="Calibri" w:cs="Tahoma"/>
          <w:b/>
          <w:color w:val="auto"/>
        </w:rPr>
      </w:pPr>
      <w:r w:rsidRPr="00BA5DE1">
        <w:rPr>
          <w:rFonts w:eastAsia="Calibri" w:cs="Tahoma"/>
          <w:bCs/>
          <w:color w:val="auto"/>
        </w:rPr>
        <w:t xml:space="preserve">Si las partes llegan a un acuerdo, se dará por terminado el conflicto, el cual se verá reflejado en un convenio aprobado por el Tribunal o la Sala, </w:t>
      </w:r>
      <w:r w:rsidRPr="00BA5DE1">
        <w:rPr>
          <w:rFonts w:eastAsia="Calibri" w:cs="Tahoma"/>
          <w:b/>
          <w:color w:val="auto"/>
        </w:rPr>
        <w:t>mismo que producirá todos los efectos jurídicos de un laudo.</w:t>
      </w:r>
    </w:p>
    <w:p w:rsidRPr="00BA5DE1" w:rsidR="00BA5DE1" w:rsidP="001036A9" w:rsidRDefault="00BA5DE1" w14:paraId="6B7B4B14" w14:textId="77777777">
      <w:pPr>
        <w:spacing w:after="0" w:line="360" w:lineRule="auto"/>
        <w:rPr>
          <w:rFonts w:eastAsia="Calibri" w:cs="Tahoma"/>
          <w:bCs/>
          <w:color w:val="auto"/>
        </w:rPr>
      </w:pPr>
    </w:p>
    <w:p w:rsidRPr="00BA5DE1" w:rsidR="00BA5DE1" w:rsidP="001036A9" w:rsidRDefault="00BA5DE1" w14:paraId="73FC2A16" w14:textId="77777777">
      <w:pPr>
        <w:spacing w:after="0" w:line="360" w:lineRule="auto"/>
        <w:rPr>
          <w:rFonts w:eastAsia="Calibri" w:cs="Tahoma"/>
          <w:bCs/>
          <w:color w:val="auto"/>
        </w:rPr>
      </w:pPr>
      <w:r w:rsidRPr="00BA5DE1">
        <w:rPr>
          <w:rFonts w:eastAsia="Calibri" w:cs="Tahoma"/>
          <w:bCs/>
          <w:color w:val="auto"/>
        </w:rPr>
        <w:t>En ese contexto, el Manual de Procedimientos del Tribunal Estatal de Conciliación y Arbitraje, en su apartado IV. Descripción de los Procedimientos, establece en su punto 4.9 y 4.10, los procedimientos de celebración de convenios sin juicio en el Tribunal o Salas Auxiliares, de los cuales, se desprende lo siguiente:</w:t>
      </w:r>
    </w:p>
    <w:p w:rsidRPr="00BA5DE1" w:rsidR="00BA5DE1" w:rsidP="001036A9" w:rsidRDefault="00BA5DE1" w14:paraId="2BE77685" w14:textId="77777777">
      <w:pPr>
        <w:spacing w:after="0" w:line="360" w:lineRule="auto"/>
        <w:rPr>
          <w:rFonts w:eastAsia="Calibri" w:cs="Tahoma"/>
          <w:bCs/>
          <w:color w:val="auto"/>
        </w:rPr>
      </w:pPr>
    </w:p>
    <w:p w:rsidRPr="00BA5DE1" w:rsidR="00BA5DE1" w:rsidP="001036A9" w:rsidRDefault="00BA5DE1" w14:paraId="69BA8EC7" w14:textId="7EC37C94">
      <w:pPr>
        <w:numPr>
          <w:ilvl w:val="0"/>
          <w:numId w:val="26"/>
        </w:numPr>
        <w:spacing w:after="0" w:line="360" w:lineRule="auto"/>
        <w:contextualSpacing/>
        <w:jc w:val="left"/>
        <w:rPr>
          <w:rFonts w:eastAsia="Calibri" w:cs="Tahoma"/>
          <w:bCs/>
          <w:color w:val="auto"/>
        </w:rPr>
      </w:pPr>
      <w:r w:rsidRPr="00BA5DE1">
        <w:rPr>
          <w:rFonts w:eastAsia="Calibri" w:cs="Tahoma"/>
          <w:bCs/>
          <w:color w:val="auto"/>
        </w:rPr>
        <w:t xml:space="preserve">Que el objetivo de estos, es la </w:t>
      </w:r>
      <w:r w:rsidRPr="00BA5DE1">
        <w:rPr>
          <w:rFonts w:eastAsia="Calibri" w:cs="Tahoma"/>
          <w:b/>
          <w:bCs/>
          <w:color w:val="auto"/>
        </w:rPr>
        <w:t>celebración de un convenio –aprobado por el Tribunal o Sala-, entre servidores públicos e instituciones,</w:t>
      </w:r>
      <w:r w:rsidRPr="00BA5DE1">
        <w:rPr>
          <w:rFonts w:eastAsia="Calibri" w:cs="Tahoma"/>
          <w:bCs/>
          <w:color w:val="auto"/>
        </w:rPr>
        <w:t xml:space="preserve"> para formalizar la voluntad de las partes que se encuentren en conflicto, sin que existe la necesidad de resolverlo, a través de un juicio procesal, </w:t>
      </w:r>
      <w:r w:rsidRPr="00BA5DE1">
        <w:rPr>
          <w:rFonts w:eastAsia="Calibri" w:cs="Tahoma"/>
          <w:b/>
          <w:bCs/>
          <w:color w:val="auto"/>
        </w:rPr>
        <w:t>a fin de otorgar a la parte demandante los beneficios estipulados en dicho acuerdo de voluntades.</w:t>
      </w:r>
    </w:p>
    <w:p w:rsidRPr="00BA5DE1" w:rsidR="00BA5DE1" w:rsidP="001036A9" w:rsidRDefault="00BA5DE1" w14:paraId="3504468E" w14:textId="77777777">
      <w:pPr>
        <w:numPr>
          <w:ilvl w:val="0"/>
          <w:numId w:val="26"/>
        </w:numPr>
        <w:spacing w:after="0" w:line="360" w:lineRule="auto"/>
        <w:contextualSpacing/>
        <w:jc w:val="left"/>
        <w:rPr>
          <w:rFonts w:eastAsia="Calibri" w:cs="Tahoma"/>
          <w:bCs/>
          <w:color w:val="auto"/>
        </w:rPr>
      </w:pPr>
      <w:r w:rsidRPr="00BA5DE1">
        <w:rPr>
          <w:rFonts w:eastAsia="Calibri" w:cs="Tahoma"/>
          <w:bCs/>
          <w:color w:val="auto"/>
        </w:rPr>
        <w:lastRenderedPageBreak/>
        <w:t xml:space="preserve">El </w:t>
      </w:r>
      <w:r w:rsidRPr="00BA5DE1">
        <w:rPr>
          <w:rFonts w:eastAsia="Calibri" w:cs="Tahoma"/>
          <w:b/>
          <w:bCs/>
          <w:color w:val="auto"/>
        </w:rPr>
        <w:t xml:space="preserve">convenio sin juicio, </w:t>
      </w:r>
      <w:r w:rsidRPr="00BA5DE1">
        <w:rPr>
          <w:rFonts w:eastAsia="Calibri" w:cs="Tahoma"/>
          <w:bCs/>
          <w:color w:val="auto"/>
        </w:rPr>
        <w:t>es el acuerdo de dos o más personal o Instituciones Públicas para crear, transferir, modificar o extinguir derechos y obligaciones, denunciando ante la Autoridad Laboral para su aprobación.</w:t>
      </w:r>
    </w:p>
    <w:p w:rsidRPr="00BA5DE1" w:rsidR="00BA5DE1" w:rsidP="001036A9" w:rsidRDefault="00BA5DE1" w14:paraId="00137C66" w14:textId="77777777">
      <w:pPr>
        <w:spacing w:after="0" w:line="360" w:lineRule="auto"/>
        <w:rPr>
          <w:rFonts w:eastAsia="Calibri" w:cs="Tahoma"/>
          <w:bCs/>
          <w:color w:val="auto"/>
        </w:rPr>
      </w:pPr>
    </w:p>
    <w:p w:rsidR="00771C52" w:rsidP="001036A9" w:rsidRDefault="00771C52" w14:paraId="788A03B7" w14:textId="1CB338FE">
      <w:pPr>
        <w:spacing w:after="0" w:line="360" w:lineRule="auto"/>
        <w:rPr>
          <w:rFonts w:eastAsia="Calibri" w:cs="Tahoma"/>
          <w:bCs/>
          <w:color w:val="auto"/>
        </w:rPr>
      </w:pPr>
      <w:r>
        <w:rPr>
          <w:rFonts w:eastAsia="Calibri" w:cs="Tahoma"/>
          <w:bCs/>
        </w:rPr>
        <w:t>Como se logra observar, la pretensión del ahora Recurrente es obtener los convenios con juicio o sin juicio, celebrados entre el Ayuntamiento de Valle de Chalco Solidaridad y sus ex servidores públicos, llevados a cabo, ante la Sala Auxiliar de Ecatepec del Tribunal Estatal y Conciliación y Arbitraje.</w:t>
      </w:r>
    </w:p>
    <w:p w:rsidRPr="00BA5DE1" w:rsidR="00BA5DE1" w:rsidP="001036A9" w:rsidRDefault="00BA5DE1" w14:paraId="0F89923B" w14:textId="77777777">
      <w:pPr>
        <w:spacing w:after="0" w:line="360" w:lineRule="auto"/>
        <w:rPr>
          <w:rFonts w:eastAsia="Calibri" w:cs="Tahoma"/>
          <w:bCs/>
          <w:color w:val="auto"/>
        </w:rPr>
      </w:pPr>
    </w:p>
    <w:p w:rsidR="00771C52" w:rsidP="001036A9" w:rsidRDefault="00771C52" w14:paraId="482D6369" w14:textId="20A7C69B">
      <w:pPr>
        <w:spacing w:after="0" w:line="360" w:lineRule="auto"/>
        <w:rPr>
          <w:rFonts w:eastAsia="Times New Roman" w:cs="Tahoma"/>
          <w:bCs/>
          <w:iCs/>
          <w:color w:val="auto"/>
          <w:lang w:eastAsia="es-ES"/>
        </w:rPr>
      </w:pPr>
      <w:r>
        <w:rPr>
          <w:rFonts w:eastAsia="Times New Roman" w:cs="Tahoma"/>
          <w:bCs/>
          <w:iCs/>
          <w:color w:val="auto"/>
          <w:lang w:eastAsia="es-ES"/>
        </w:rPr>
        <w:t>En ese contexto</w:t>
      </w:r>
      <w:r w:rsidRPr="00762A72" w:rsidR="004066D4">
        <w:rPr>
          <w:rFonts w:eastAsia="Times New Roman" w:cs="Tahoma"/>
          <w:bCs/>
          <w:iCs/>
          <w:color w:val="auto"/>
          <w:lang w:eastAsia="es-ES"/>
        </w:rPr>
        <w:t xml:space="preserve">, </w:t>
      </w:r>
      <w:r w:rsidRPr="00762A72" w:rsidR="00566AB2">
        <w:rPr>
          <w:rFonts w:eastAsia="Times New Roman" w:cs="Tahoma"/>
          <w:bCs/>
          <w:iCs/>
          <w:color w:val="auto"/>
          <w:lang w:eastAsia="es-ES"/>
        </w:rPr>
        <w:t xml:space="preserve">es </w:t>
      </w:r>
      <w:r>
        <w:rPr>
          <w:rFonts w:eastAsia="Times New Roman" w:cs="Tahoma"/>
          <w:bCs/>
          <w:iCs/>
          <w:color w:val="auto"/>
          <w:lang w:eastAsia="es-ES"/>
        </w:rPr>
        <w:t>precisar que</w:t>
      </w:r>
      <w:r w:rsidRPr="00762A72" w:rsidR="00566AB2">
        <w:rPr>
          <w:rFonts w:eastAsia="Times New Roman" w:cs="Tahoma"/>
          <w:bCs/>
          <w:iCs/>
          <w:color w:val="auto"/>
          <w:lang w:eastAsia="es-ES"/>
        </w:rPr>
        <w:t xml:space="preserve"> </w:t>
      </w:r>
      <w:r w:rsidRPr="00762A72" w:rsidR="00B646DF">
        <w:rPr>
          <w:rFonts w:eastAsia="Times New Roman" w:cs="Tahoma"/>
          <w:bCs/>
          <w:iCs/>
          <w:color w:val="auto"/>
          <w:lang w:eastAsia="es-ES"/>
        </w:rPr>
        <w:t xml:space="preserve">el Sujeto Obligado </w:t>
      </w:r>
      <w:r w:rsidRPr="00762A72" w:rsidR="00DF6E47">
        <w:rPr>
          <w:rFonts w:eastAsia="Times New Roman" w:cs="Tahoma"/>
          <w:bCs/>
          <w:iCs/>
          <w:color w:val="auto"/>
          <w:lang w:eastAsia="es-ES"/>
        </w:rPr>
        <w:t>tanto en respuesta</w:t>
      </w:r>
      <w:r>
        <w:rPr>
          <w:rFonts w:eastAsia="Times New Roman" w:cs="Tahoma"/>
          <w:bCs/>
          <w:iCs/>
          <w:color w:val="auto"/>
          <w:lang w:eastAsia="es-ES"/>
        </w:rPr>
        <w:t>,</w:t>
      </w:r>
      <w:r w:rsidRPr="00762A72" w:rsidR="00DF6E47">
        <w:rPr>
          <w:rFonts w:eastAsia="Times New Roman" w:cs="Tahoma"/>
          <w:bCs/>
          <w:iCs/>
          <w:color w:val="auto"/>
          <w:lang w:eastAsia="es-ES"/>
        </w:rPr>
        <w:t xml:space="preserve"> como en </w:t>
      </w:r>
      <w:r>
        <w:rPr>
          <w:rFonts w:eastAsia="Times New Roman" w:cs="Tahoma"/>
          <w:bCs/>
          <w:iCs/>
          <w:color w:val="auto"/>
          <w:lang w:eastAsia="es-ES"/>
        </w:rPr>
        <w:t>I</w:t>
      </w:r>
      <w:r w:rsidRPr="00762A72" w:rsidR="00DF6E47">
        <w:rPr>
          <w:rFonts w:eastAsia="Times New Roman" w:cs="Tahoma"/>
          <w:bCs/>
          <w:iCs/>
          <w:color w:val="auto"/>
          <w:lang w:eastAsia="es-ES"/>
        </w:rPr>
        <w:t xml:space="preserve">nforme </w:t>
      </w:r>
      <w:r>
        <w:rPr>
          <w:rFonts w:eastAsia="Times New Roman" w:cs="Tahoma"/>
          <w:bCs/>
          <w:iCs/>
          <w:color w:val="auto"/>
          <w:lang w:eastAsia="es-ES"/>
        </w:rPr>
        <w:t>J</w:t>
      </w:r>
      <w:r w:rsidRPr="00762A72" w:rsidR="00DF6E47">
        <w:rPr>
          <w:rFonts w:eastAsia="Times New Roman" w:cs="Tahoma"/>
          <w:bCs/>
          <w:iCs/>
          <w:color w:val="auto"/>
          <w:lang w:eastAsia="es-ES"/>
        </w:rPr>
        <w:t>ustificado</w:t>
      </w:r>
      <w:r w:rsidRPr="00762A72" w:rsidR="00B646DF">
        <w:rPr>
          <w:rFonts w:eastAsia="Times New Roman" w:cs="Tahoma"/>
          <w:bCs/>
          <w:iCs/>
          <w:color w:val="auto"/>
          <w:lang w:eastAsia="es-ES"/>
        </w:rPr>
        <w:t xml:space="preserve">, </w:t>
      </w:r>
      <w:r>
        <w:rPr>
          <w:rFonts w:eastAsia="Times New Roman" w:cs="Tahoma"/>
          <w:bCs/>
          <w:iCs/>
          <w:color w:val="auto"/>
          <w:lang w:eastAsia="es-ES"/>
        </w:rPr>
        <w:t>proporcionó el número de convenios celebrados</w:t>
      </w:r>
      <w:r w:rsidR="003346A0">
        <w:rPr>
          <w:rFonts w:eastAsia="Times New Roman" w:cs="Tahoma"/>
          <w:bCs/>
          <w:iCs/>
          <w:color w:val="auto"/>
          <w:lang w:eastAsia="es-ES"/>
        </w:rPr>
        <w:t>, tal como se muestra a continuación:</w:t>
      </w:r>
    </w:p>
    <w:p w:rsidR="003346A0" w:rsidP="001036A9" w:rsidRDefault="003346A0" w14:paraId="5F7ADBB5" w14:textId="074B9FD3">
      <w:pPr>
        <w:spacing w:after="0" w:line="360" w:lineRule="auto"/>
        <w:rPr>
          <w:rFonts w:eastAsia="Times New Roman" w:cs="Tahoma"/>
          <w:bCs/>
          <w:iCs/>
          <w:color w:val="auto"/>
          <w:lang w:eastAsia="es-ES"/>
        </w:rPr>
      </w:pPr>
    </w:p>
    <w:tbl>
      <w:tblPr>
        <w:tblStyle w:val="Tablaconcuadrcula"/>
        <w:tblW w:w="0" w:type="auto"/>
        <w:jc w:val="center"/>
        <w:tblLook w:val="04A0" w:firstRow="1" w:lastRow="0" w:firstColumn="1" w:lastColumn="0" w:noHBand="0" w:noVBand="1"/>
      </w:tblPr>
      <w:tblGrid>
        <w:gridCol w:w="1569"/>
        <w:gridCol w:w="2909"/>
        <w:gridCol w:w="2653"/>
      </w:tblGrid>
      <w:tr w:rsidRPr="00762A72" w:rsidR="003346A0" w:rsidTr="003346A0" w14:paraId="3ED97DC3" w14:textId="68C76BD5">
        <w:trPr>
          <w:trHeight w:val="368"/>
          <w:jc w:val="center"/>
        </w:trPr>
        <w:tc>
          <w:tcPr>
            <w:tcW w:w="1569" w:type="dxa"/>
            <w:vMerge w:val="restart"/>
            <w:shd w:val="clear" w:color="auto" w:fill="BFBFBF" w:themeFill="background1" w:themeFillShade="BF"/>
            <w:vAlign w:val="center"/>
          </w:tcPr>
          <w:p w:rsidRPr="00762A72" w:rsidR="003346A0" w:rsidP="001036A9" w:rsidRDefault="003346A0" w14:paraId="53203C03" w14:textId="77777777">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Año</w:t>
            </w:r>
          </w:p>
        </w:tc>
        <w:tc>
          <w:tcPr>
            <w:tcW w:w="5562" w:type="dxa"/>
            <w:gridSpan w:val="2"/>
            <w:shd w:val="clear" w:color="auto" w:fill="BFBFBF" w:themeFill="background1" w:themeFillShade="BF"/>
            <w:vAlign w:val="center"/>
          </w:tcPr>
          <w:p w:rsidRPr="00762A72" w:rsidR="003346A0" w:rsidP="001036A9" w:rsidRDefault="003346A0" w14:paraId="4580A9B0" w14:textId="7822DAE0">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Número de convenios</w:t>
            </w:r>
          </w:p>
        </w:tc>
      </w:tr>
      <w:tr w:rsidRPr="00762A72" w:rsidR="003346A0" w:rsidTr="003346A0" w14:paraId="4B9FB303" w14:textId="73FAA092">
        <w:trPr>
          <w:trHeight w:val="367"/>
          <w:jc w:val="center"/>
        </w:trPr>
        <w:tc>
          <w:tcPr>
            <w:tcW w:w="1569" w:type="dxa"/>
            <w:vMerge/>
            <w:shd w:val="clear" w:color="auto" w:fill="BFBFBF" w:themeFill="background1" w:themeFillShade="BF"/>
            <w:vAlign w:val="center"/>
          </w:tcPr>
          <w:p w:rsidRPr="00762A72" w:rsidR="003346A0" w:rsidP="001036A9" w:rsidRDefault="003346A0" w14:paraId="0F9E8CBB" w14:textId="77777777">
            <w:pPr>
              <w:spacing w:line="360" w:lineRule="auto"/>
              <w:jc w:val="center"/>
              <w:rPr>
                <w:rFonts w:eastAsia="Times New Roman" w:cs="Tahoma"/>
                <w:bCs/>
                <w:iCs/>
                <w:color w:val="auto"/>
                <w:sz w:val="18"/>
                <w:szCs w:val="18"/>
                <w:lang w:eastAsia="es-ES"/>
              </w:rPr>
            </w:pPr>
          </w:p>
        </w:tc>
        <w:tc>
          <w:tcPr>
            <w:tcW w:w="2909" w:type="dxa"/>
            <w:shd w:val="clear" w:color="auto" w:fill="BFBFBF" w:themeFill="background1" w:themeFillShade="BF"/>
            <w:vAlign w:val="center"/>
          </w:tcPr>
          <w:p w:rsidRPr="00762A72" w:rsidR="003346A0" w:rsidP="001036A9" w:rsidRDefault="003346A0" w14:paraId="5089A585" w14:textId="0148E11C">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Respuesta</w:t>
            </w:r>
          </w:p>
        </w:tc>
        <w:tc>
          <w:tcPr>
            <w:tcW w:w="2653" w:type="dxa"/>
            <w:shd w:val="clear" w:color="auto" w:fill="BFBFBF" w:themeFill="background1" w:themeFillShade="BF"/>
          </w:tcPr>
          <w:p w:rsidRPr="00762A72" w:rsidR="003346A0" w:rsidP="001036A9" w:rsidRDefault="003346A0" w14:paraId="70EF06DC" w14:textId="14CA5A4B">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Informe Justificado</w:t>
            </w:r>
          </w:p>
        </w:tc>
      </w:tr>
      <w:tr w:rsidRPr="00762A72" w:rsidR="003346A0" w:rsidTr="003346A0" w14:paraId="587CF5D6" w14:textId="1CE70FA6">
        <w:trPr>
          <w:jc w:val="center"/>
        </w:trPr>
        <w:tc>
          <w:tcPr>
            <w:tcW w:w="1569" w:type="dxa"/>
            <w:vAlign w:val="center"/>
          </w:tcPr>
          <w:p w:rsidRPr="00762A72" w:rsidR="003346A0" w:rsidP="001036A9" w:rsidRDefault="003346A0" w14:paraId="38BA64D4" w14:textId="77777777">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2019</w:t>
            </w:r>
          </w:p>
        </w:tc>
        <w:tc>
          <w:tcPr>
            <w:tcW w:w="2909" w:type="dxa"/>
            <w:vAlign w:val="center"/>
          </w:tcPr>
          <w:p w:rsidRPr="00762A72" w:rsidR="003346A0" w:rsidP="001036A9" w:rsidRDefault="003346A0" w14:paraId="61BADB53" w14:textId="66085338">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391</w:t>
            </w:r>
          </w:p>
        </w:tc>
        <w:tc>
          <w:tcPr>
            <w:tcW w:w="2653" w:type="dxa"/>
          </w:tcPr>
          <w:p w:rsidRPr="00762A72" w:rsidR="003346A0" w:rsidP="001036A9" w:rsidRDefault="003346A0" w14:paraId="6750122B" w14:textId="4CBDD06E">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373</w:t>
            </w:r>
          </w:p>
        </w:tc>
      </w:tr>
      <w:tr w:rsidRPr="00762A72" w:rsidR="003346A0" w:rsidTr="003346A0" w14:paraId="514286A0" w14:textId="05D5E4AD">
        <w:trPr>
          <w:jc w:val="center"/>
        </w:trPr>
        <w:tc>
          <w:tcPr>
            <w:tcW w:w="1569" w:type="dxa"/>
            <w:vAlign w:val="center"/>
          </w:tcPr>
          <w:p w:rsidRPr="00762A72" w:rsidR="003346A0" w:rsidP="001036A9" w:rsidRDefault="003346A0" w14:paraId="4CF00828" w14:textId="77777777">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2020</w:t>
            </w:r>
          </w:p>
        </w:tc>
        <w:tc>
          <w:tcPr>
            <w:tcW w:w="2909" w:type="dxa"/>
            <w:vAlign w:val="center"/>
          </w:tcPr>
          <w:p w:rsidRPr="00762A72" w:rsidR="003346A0" w:rsidP="001036A9" w:rsidRDefault="003346A0" w14:paraId="2F75B236" w14:textId="625B1A17">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231</w:t>
            </w:r>
          </w:p>
        </w:tc>
        <w:tc>
          <w:tcPr>
            <w:tcW w:w="2653" w:type="dxa"/>
          </w:tcPr>
          <w:p w:rsidRPr="00762A72" w:rsidR="003346A0" w:rsidP="001036A9" w:rsidRDefault="003346A0" w14:paraId="79B26748" w14:textId="61774D40">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26</w:t>
            </w:r>
          </w:p>
        </w:tc>
      </w:tr>
      <w:tr w:rsidRPr="00762A72" w:rsidR="003346A0" w:rsidTr="003346A0" w14:paraId="7E7D9484" w14:textId="4C313C54">
        <w:trPr>
          <w:jc w:val="center"/>
        </w:trPr>
        <w:tc>
          <w:tcPr>
            <w:tcW w:w="1569" w:type="dxa"/>
            <w:vAlign w:val="center"/>
          </w:tcPr>
          <w:p w:rsidRPr="00762A72" w:rsidR="003346A0" w:rsidP="001036A9" w:rsidRDefault="003346A0" w14:paraId="00338D22" w14:textId="77777777">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2021</w:t>
            </w:r>
          </w:p>
        </w:tc>
        <w:tc>
          <w:tcPr>
            <w:tcW w:w="2909" w:type="dxa"/>
            <w:vAlign w:val="center"/>
          </w:tcPr>
          <w:p w:rsidRPr="00762A72" w:rsidR="003346A0" w:rsidP="001036A9" w:rsidRDefault="003346A0" w14:paraId="54B9FF22" w14:textId="3E576672">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7</w:t>
            </w:r>
          </w:p>
        </w:tc>
        <w:tc>
          <w:tcPr>
            <w:tcW w:w="2653" w:type="dxa"/>
          </w:tcPr>
          <w:p w:rsidRPr="00762A72" w:rsidR="003346A0" w:rsidP="001036A9" w:rsidRDefault="003346A0" w14:paraId="17E43012" w14:textId="19709E68">
            <w:pPr>
              <w:spacing w:line="360" w:lineRule="auto"/>
              <w:jc w:val="center"/>
              <w:rPr>
                <w:rFonts w:eastAsia="Times New Roman" w:cs="Tahoma"/>
                <w:bCs/>
                <w:iCs/>
                <w:color w:val="auto"/>
                <w:sz w:val="18"/>
                <w:szCs w:val="18"/>
                <w:lang w:eastAsia="es-ES"/>
              </w:rPr>
            </w:pPr>
            <w:r>
              <w:rPr>
                <w:rFonts w:eastAsia="Times New Roman" w:cs="Tahoma"/>
                <w:bCs/>
                <w:iCs/>
                <w:color w:val="auto"/>
                <w:sz w:val="18"/>
                <w:szCs w:val="18"/>
                <w:lang w:eastAsia="es-ES"/>
              </w:rPr>
              <w:t>6</w:t>
            </w:r>
          </w:p>
        </w:tc>
      </w:tr>
    </w:tbl>
    <w:p w:rsidR="003346A0" w:rsidP="001036A9" w:rsidRDefault="003346A0" w14:paraId="7B3F18CC" w14:textId="77777777">
      <w:pPr>
        <w:spacing w:after="0" w:line="360" w:lineRule="auto"/>
        <w:rPr>
          <w:rFonts w:eastAsia="Times New Roman" w:cs="Tahoma"/>
          <w:bCs/>
          <w:iCs/>
          <w:color w:val="auto"/>
          <w:lang w:eastAsia="es-ES"/>
        </w:rPr>
      </w:pPr>
    </w:p>
    <w:p w:rsidR="00771C52" w:rsidP="001036A9" w:rsidRDefault="003346A0" w14:paraId="3E89046A" w14:textId="0E5CF16F">
      <w:pPr>
        <w:spacing w:after="0" w:line="360" w:lineRule="auto"/>
        <w:rPr>
          <w:rFonts w:eastAsia="Times New Roman" w:cs="Tahoma"/>
          <w:bCs/>
          <w:iCs/>
          <w:color w:val="auto"/>
          <w:lang w:eastAsia="es-ES"/>
        </w:rPr>
      </w:pPr>
      <w:r>
        <w:rPr>
          <w:rFonts w:eastAsia="Times New Roman" w:cs="Tahoma"/>
          <w:bCs/>
          <w:iCs/>
          <w:color w:val="auto"/>
          <w:lang w:eastAsia="es-ES"/>
        </w:rPr>
        <w:t xml:space="preserve">Como se logra observar, no existe concordancia entre los convenios señalados en respuesta, y los referidos en Informe Justificado, por lo que, este Instituto, a través de un requerimiento de información adicional, le requirió al Sujeto Obligado que aclarará dicho dato; por lo que, </w:t>
      </w:r>
      <w:r w:rsidR="00600EAA">
        <w:rPr>
          <w:rFonts w:eastAsia="Times New Roman" w:cs="Tahoma"/>
          <w:bCs/>
          <w:iCs/>
          <w:color w:val="auto"/>
          <w:lang w:eastAsia="es-ES"/>
        </w:rPr>
        <w:t>al desahogar dicha diligencia, el Tribunal Estatal de Conciliación y Arbitraje, precisó lo siguiente:</w:t>
      </w:r>
    </w:p>
    <w:p w:rsidR="003346A0" w:rsidP="001036A9" w:rsidRDefault="003346A0" w14:paraId="43FA28C5" w14:textId="6EFAF81D">
      <w:pPr>
        <w:spacing w:after="0" w:line="360" w:lineRule="auto"/>
        <w:rPr>
          <w:rFonts w:eastAsia="Times New Roman" w:cs="Tahoma"/>
          <w:bCs/>
          <w:iCs/>
          <w:color w:val="auto"/>
          <w:lang w:eastAsia="es-ES"/>
        </w:rPr>
      </w:pPr>
    </w:p>
    <w:tbl>
      <w:tblPr>
        <w:tblStyle w:val="Tablaconcuadrcula"/>
        <w:tblW w:w="0" w:type="auto"/>
        <w:tblInd w:w="846" w:type="dxa"/>
        <w:tblLook w:val="04A0" w:firstRow="1" w:lastRow="0" w:firstColumn="1" w:lastColumn="0" w:noHBand="0" w:noVBand="1"/>
      </w:tblPr>
      <w:tblGrid>
        <w:gridCol w:w="3709"/>
        <w:gridCol w:w="3804"/>
      </w:tblGrid>
      <w:tr w:rsidRPr="00762A72" w:rsidR="00EC1FED" w:rsidTr="00EC1FED" w14:paraId="1A612C5D" w14:textId="77777777">
        <w:tc>
          <w:tcPr>
            <w:tcW w:w="3709" w:type="dxa"/>
            <w:shd w:val="clear" w:color="auto" w:fill="BFBFBF" w:themeFill="background1" w:themeFillShade="BF"/>
            <w:vAlign w:val="center"/>
          </w:tcPr>
          <w:p w:rsidRPr="00762A72" w:rsidR="00EC1FED" w:rsidP="001036A9" w:rsidRDefault="00EC1FED" w14:paraId="28CD997C" w14:textId="68F2DC3C">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Año</w:t>
            </w:r>
          </w:p>
        </w:tc>
        <w:tc>
          <w:tcPr>
            <w:tcW w:w="3804" w:type="dxa"/>
            <w:shd w:val="clear" w:color="auto" w:fill="BFBFBF" w:themeFill="background1" w:themeFillShade="BF"/>
            <w:vAlign w:val="center"/>
          </w:tcPr>
          <w:p w:rsidRPr="00762A72" w:rsidR="00EC1FED" w:rsidP="001036A9" w:rsidRDefault="00EC1FED" w14:paraId="72860455" w14:textId="6A13B048">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Número de convenios</w:t>
            </w:r>
          </w:p>
        </w:tc>
      </w:tr>
      <w:tr w:rsidRPr="00762A72" w:rsidR="00EC1FED" w:rsidTr="00EC1FED" w14:paraId="42AC0873" w14:textId="77777777">
        <w:tc>
          <w:tcPr>
            <w:tcW w:w="3709" w:type="dxa"/>
            <w:vAlign w:val="center"/>
          </w:tcPr>
          <w:p w:rsidRPr="00762A72" w:rsidR="00EC1FED" w:rsidP="001036A9" w:rsidRDefault="00EC1FED" w14:paraId="7A259CAB" w14:textId="56049203">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2019</w:t>
            </w:r>
          </w:p>
        </w:tc>
        <w:tc>
          <w:tcPr>
            <w:tcW w:w="3804" w:type="dxa"/>
            <w:vAlign w:val="center"/>
          </w:tcPr>
          <w:p w:rsidRPr="00762A72" w:rsidR="00EC1FED" w:rsidP="001036A9" w:rsidRDefault="00EC1FED" w14:paraId="0FF84642" w14:textId="495C7848">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373</w:t>
            </w:r>
          </w:p>
        </w:tc>
      </w:tr>
      <w:tr w:rsidRPr="00762A72" w:rsidR="00EC1FED" w:rsidTr="00EC1FED" w14:paraId="7A547EF9" w14:textId="77777777">
        <w:tc>
          <w:tcPr>
            <w:tcW w:w="3709" w:type="dxa"/>
            <w:vAlign w:val="center"/>
          </w:tcPr>
          <w:p w:rsidRPr="00762A72" w:rsidR="00EC1FED" w:rsidP="001036A9" w:rsidRDefault="00EC1FED" w14:paraId="5CCCFFA3" w14:textId="32AA6F43">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2020</w:t>
            </w:r>
          </w:p>
        </w:tc>
        <w:tc>
          <w:tcPr>
            <w:tcW w:w="3804" w:type="dxa"/>
            <w:vAlign w:val="center"/>
          </w:tcPr>
          <w:p w:rsidRPr="00762A72" w:rsidR="00EC1FED" w:rsidP="001036A9" w:rsidRDefault="00EC1FED" w14:paraId="3F780494" w14:textId="598F89EE">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26</w:t>
            </w:r>
          </w:p>
        </w:tc>
      </w:tr>
      <w:tr w:rsidRPr="00762A72" w:rsidR="00EC1FED" w:rsidTr="00EC1FED" w14:paraId="7392B69F" w14:textId="77777777">
        <w:tc>
          <w:tcPr>
            <w:tcW w:w="3709" w:type="dxa"/>
            <w:vAlign w:val="center"/>
          </w:tcPr>
          <w:p w:rsidRPr="00762A72" w:rsidR="00EC1FED" w:rsidP="001036A9" w:rsidRDefault="00EC1FED" w14:paraId="1698152A" w14:textId="6F23218B">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2021</w:t>
            </w:r>
          </w:p>
        </w:tc>
        <w:tc>
          <w:tcPr>
            <w:tcW w:w="3804" w:type="dxa"/>
            <w:vAlign w:val="center"/>
          </w:tcPr>
          <w:p w:rsidRPr="00762A72" w:rsidR="00EC1FED" w:rsidP="001036A9" w:rsidRDefault="00EC1FED" w14:paraId="6370A5BA" w14:textId="72AB5AFB">
            <w:pPr>
              <w:spacing w:line="360" w:lineRule="auto"/>
              <w:jc w:val="center"/>
              <w:rPr>
                <w:rFonts w:eastAsia="Times New Roman" w:cs="Tahoma"/>
                <w:bCs/>
                <w:iCs/>
                <w:color w:val="auto"/>
                <w:sz w:val="18"/>
                <w:szCs w:val="18"/>
                <w:lang w:eastAsia="es-ES"/>
              </w:rPr>
            </w:pPr>
            <w:r w:rsidRPr="00762A72">
              <w:rPr>
                <w:rFonts w:eastAsia="Times New Roman" w:cs="Tahoma"/>
                <w:bCs/>
                <w:iCs/>
                <w:color w:val="auto"/>
                <w:sz w:val="18"/>
                <w:szCs w:val="18"/>
                <w:lang w:eastAsia="es-ES"/>
              </w:rPr>
              <w:t>6</w:t>
            </w:r>
          </w:p>
        </w:tc>
      </w:tr>
    </w:tbl>
    <w:p w:rsidRPr="00762A72" w:rsidR="00D71C14" w:rsidP="001036A9" w:rsidRDefault="00D71C14" w14:paraId="5E8855FB" w14:textId="4AAAC434">
      <w:pPr>
        <w:spacing w:after="0" w:line="360" w:lineRule="auto"/>
        <w:rPr>
          <w:rFonts w:eastAsia="Times New Roman" w:cs="Tahoma"/>
          <w:iCs/>
          <w:color w:val="auto"/>
          <w:lang w:val="es-ES" w:eastAsia="es-ES"/>
        </w:rPr>
      </w:pPr>
      <w:r w:rsidRPr="00762A72">
        <w:rPr>
          <w:rFonts w:eastAsia="Times New Roman" w:cs="Tahoma"/>
          <w:iCs/>
          <w:color w:val="auto"/>
          <w:lang w:val="es-ES" w:eastAsia="es-ES"/>
        </w:rPr>
        <w:lastRenderedPageBreak/>
        <w:t xml:space="preserve">Sobre lo anterior, </w:t>
      </w:r>
      <w:r w:rsidRPr="00762A72">
        <w:rPr>
          <w:rFonts w:eastAsia="Times New Roman" w:cs="Tahoma"/>
          <w:bCs/>
          <w:iCs/>
          <w:color w:val="auto"/>
          <w:lang w:eastAsia="es-ES"/>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762A72" w:rsidR="00D71C14" w:rsidP="001036A9" w:rsidRDefault="00D71C14" w14:paraId="2F5763B6" w14:textId="77777777">
      <w:pPr>
        <w:spacing w:after="0" w:line="360" w:lineRule="auto"/>
        <w:rPr>
          <w:rFonts w:eastAsia="Times New Roman" w:cs="Tahoma"/>
          <w:bCs/>
          <w:iCs/>
          <w:color w:val="auto"/>
          <w:lang w:eastAsia="es-ES"/>
        </w:rPr>
      </w:pPr>
    </w:p>
    <w:p w:rsidRPr="00762A72" w:rsidR="00D71C14" w:rsidP="001036A9" w:rsidRDefault="00D71C14" w14:paraId="46991BAD" w14:textId="3890EF93">
      <w:pPr>
        <w:spacing w:after="0" w:line="360" w:lineRule="auto"/>
        <w:ind w:left="567" w:right="567"/>
        <w:rPr>
          <w:rFonts w:eastAsia="Times New Roman" w:cs="Tahoma"/>
          <w:bCs/>
          <w:i/>
          <w:iCs/>
          <w:color w:val="auto"/>
          <w:sz w:val="20"/>
          <w:szCs w:val="20"/>
          <w:lang w:eastAsia="es-ES"/>
        </w:rPr>
      </w:pPr>
      <w:r w:rsidRPr="00762A72">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762A72">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autoridades</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en</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respuesta</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a</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las</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solicitudes</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de</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información</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que</w:t>
      </w:r>
      <w:r w:rsidRPr="00762A72" w:rsidR="00710A43">
        <w:rPr>
          <w:rFonts w:eastAsia="Times New Roman" w:cs="Tahoma"/>
          <w:bCs/>
          <w:i/>
          <w:iCs/>
          <w:color w:val="auto"/>
          <w:sz w:val="20"/>
          <w:szCs w:val="20"/>
          <w:lang w:eastAsia="es-ES"/>
        </w:rPr>
        <w:t xml:space="preserve"> </w:t>
      </w:r>
      <w:r w:rsidRPr="00762A72">
        <w:rPr>
          <w:rFonts w:eastAsia="Times New Roman" w:cs="Tahoma"/>
          <w:bCs/>
          <w:i/>
          <w:iCs/>
          <w:color w:val="auto"/>
          <w:sz w:val="20"/>
          <w:szCs w:val="20"/>
          <w:lang w:eastAsia="es-ES"/>
        </w:rPr>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762A72" w:rsidR="00D71C14" w:rsidP="001036A9" w:rsidRDefault="00D71C14" w14:paraId="7AC79E86" w14:textId="77777777">
      <w:pPr>
        <w:spacing w:after="0" w:line="360" w:lineRule="auto"/>
        <w:rPr>
          <w:rFonts w:eastAsia="Times New Roman" w:cs="Tahoma"/>
          <w:bCs/>
          <w:iCs/>
          <w:color w:val="auto"/>
          <w:lang w:val="es-ES" w:eastAsia="es-ES"/>
        </w:rPr>
      </w:pPr>
    </w:p>
    <w:p w:rsidRPr="00762A72" w:rsidR="00B06A75" w:rsidP="001036A9" w:rsidRDefault="00493D84" w14:paraId="6692364A" w14:textId="1A0081D3">
      <w:pPr>
        <w:spacing w:after="0" w:line="360" w:lineRule="auto"/>
        <w:rPr>
          <w:rFonts w:eastAsia="Times New Roman" w:cs="Tahoma"/>
          <w:iCs/>
          <w:color w:val="auto"/>
          <w:lang w:val="es-ES" w:eastAsia="es-ES"/>
        </w:rPr>
      </w:pPr>
      <w:r w:rsidRPr="00762A72">
        <w:rPr>
          <w:rFonts w:eastAsia="Times New Roman" w:cs="Tahoma"/>
          <w:iCs/>
          <w:color w:val="auto"/>
          <w:lang w:val="es-ES" w:eastAsia="es-ES"/>
        </w:rPr>
        <w:t xml:space="preserve">Así pues, </w:t>
      </w:r>
      <w:r w:rsidRPr="00762A72" w:rsidR="00B06A75">
        <w:rPr>
          <w:rFonts w:eastAsia="Times New Roman" w:cs="Tahoma"/>
          <w:bCs/>
          <w:iCs/>
          <w:color w:val="auto"/>
          <w:lang w:val="es-ES" w:eastAsia="es-ES"/>
        </w:rPr>
        <w:t xml:space="preserve">se logra colegir que la documentación que obra en los archivos del Sujeto Obligado y da cuenta de lo peticionado, </w:t>
      </w:r>
      <w:r w:rsidR="00600EAA">
        <w:rPr>
          <w:rFonts w:eastAsia="Times New Roman" w:cs="Tahoma"/>
          <w:bCs/>
          <w:iCs/>
          <w:color w:val="auto"/>
          <w:lang w:val="es-ES" w:eastAsia="es-ES"/>
        </w:rPr>
        <w:t>son los cuatrocientos cinco Convenios celebrados entre el Ayuntamiento de Valle de Chalco Solidaridad y sus exservidores públicos</w:t>
      </w:r>
      <w:r w:rsidRPr="00762A72" w:rsidR="00B06A75">
        <w:rPr>
          <w:rFonts w:eastAsia="Times New Roman" w:cs="Tahoma"/>
          <w:iCs/>
          <w:color w:val="auto"/>
          <w:lang w:eastAsia="es-ES"/>
        </w:rPr>
        <w:t xml:space="preserve">; </w:t>
      </w:r>
      <w:r w:rsidRPr="00762A72" w:rsidR="00B06A75">
        <w:rPr>
          <w:rFonts w:eastAsia="Times New Roman" w:cs="Tahoma"/>
          <w:bCs/>
          <w:iCs/>
          <w:color w:val="auto"/>
          <w:lang w:eastAsia="es-ES"/>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762A72" w:rsidR="00B06A75" w:rsidP="001036A9" w:rsidRDefault="00B06A75" w14:paraId="123998EA" w14:textId="77777777">
      <w:pPr>
        <w:spacing w:after="0" w:line="360" w:lineRule="auto"/>
        <w:rPr>
          <w:rFonts w:eastAsia="Times New Roman" w:cs="Tahoma"/>
          <w:bCs/>
          <w:iCs/>
          <w:color w:val="auto"/>
          <w:lang w:eastAsia="es-ES"/>
        </w:rPr>
      </w:pPr>
    </w:p>
    <w:p w:rsidRPr="00762A72" w:rsidR="00B06A75" w:rsidP="001036A9" w:rsidRDefault="00B06A75" w14:paraId="46AC0F4A" w14:textId="77777777">
      <w:pPr>
        <w:spacing w:after="0" w:line="360" w:lineRule="auto"/>
        <w:rPr>
          <w:rFonts w:eastAsia="Times New Roman" w:cs="Tahoma"/>
          <w:bCs/>
          <w:i/>
          <w:iCs/>
          <w:color w:val="auto"/>
          <w:lang w:eastAsia="es-ES"/>
        </w:rPr>
      </w:pPr>
      <w:r w:rsidRPr="00762A72">
        <w:rPr>
          <w:rFonts w:eastAsia="Times New Roman" w:cs="Tahoma"/>
          <w:bCs/>
          <w:iCs/>
          <w:color w:val="auto"/>
          <w:lang w:eastAsia="es-ES"/>
        </w:rPr>
        <w:lastRenderedPageBreak/>
        <w:t xml:space="preserve">De esta manera, </w:t>
      </w:r>
      <w:r w:rsidRPr="00762A72">
        <w:rPr>
          <w:rFonts w:eastAsia="Times New Roman" w:cs="Tahoma"/>
          <w:bCs/>
          <w:i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762A72">
        <w:rPr>
          <w:rFonts w:eastAsia="Times New Roman" w:cs="Tahoma"/>
          <w:bCs/>
          <w:i/>
          <w:iCs/>
          <w:color w:val="auto"/>
          <w:lang w:eastAsia="es-ES"/>
        </w:rPr>
        <w:t>ad hoc</w:t>
      </w:r>
      <w:r w:rsidRPr="00762A72">
        <w:rPr>
          <w:rFonts w:eastAsia="Times New Roman" w:cs="Tahoma"/>
          <w:bCs/>
          <w:iCs/>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762A72" w:rsidR="00B06A75" w:rsidP="001036A9" w:rsidRDefault="00B06A75" w14:paraId="51D37242" w14:textId="77777777">
      <w:pPr>
        <w:spacing w:after="0" w:line="360" w:lineRule="auto"/>
        <w:rPr>
          <w:rFonts w:eastAsia="Times New Roman" w:cs="Tahoma"/>
          <w:bCs/>
          <w:iCs/>
          <w:color w:val="auto"/>
          <w:lang w:val="es-ES" w:eastAsia="es-ES"/>
        </w:rPr>
      </w:pPr>
    </w:p>
    <w:p w:rsidR="009D391A" w:rsidP="001036A9" w:rsidRDefault="00B06A75" w14:paraId="0811D53A" w14:textId="541E4445">
      <w:pPr>
        <w:spacing w:after="0" w:line="360" w:lineRule="auto"/>
        <w:rPr>
          <w:rFonts w:eastAsia="Times New Roman" w:cs="Tahoma"/>
          <w:bCs/>
          <w:iCs/>
          <w:color w:val="auto"/>
          <w:lang w:val="es-ES" w:eastAsia="es-ES"/>
        </w:rPr>
      </w:pPr>
      <w:r w:rsidRPr="00762A72">
        <w:rPr>
          <w:rFonts w:eastAsia="Times New Roman" w:cs="Tahoma"/>
          <w:bCs/>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5C3CBC">
        <w:rPr>
          <w:rFonts w:eastAsia="Times New Roman" w:cs="Tahoma"/>
          <w:bCs/>
          <w:iCs/>
          <w:color w:val="auto"/>
          <w:lang w:val="es-ES" w:eastAsia="es-ES"/>
        </w:rPr>
        <w:t>por lo que, en el presente caso, el tribunal debía dar acceso a los cuatrocientos cinco convenios señalados en el desahogo del requerimiento de información adicional.</w:t>
      </w:r>
    </w:p>
    <w:p w:rsidR="00600EAA" w:rsidP="001036A9" w:rsidRDefault="00600EAA" w14:paraId="55CB7AFC" w14:textId="7A39F90C">
      <w:pPr>
        <w:spacing w:after="0" w:line="360" w:lineRule="auto"/>
        <w:rPr>
          <w:rFonts w:eastAsia="Times New Roman" w:cs="Tahoma"/>
          <w:bCs/>
          <w:iCs/>
          <w:color w:val="auto"/>
          <w:lang w:val="es-ES" w:eastAsia="es-ES"/>
        </w:rPr>
      </w:pPr>
    </w:p>
    <w:p w:rsidRPr="005C3CBC" w:rsidR="005C3CBC" w:rsidP="001036A9" w:rsidRDefault="005C3CBC" w14:paraId="31AE82F2" w14:textId="6E4A2229">
      <w:pPr>
        <w:spacing w:after="0" w:line="360" w:lineRule="auto"/>
        <w:rPr>
          <w:rFonts w:eastAsia="Times New Roman" w:cs="Tahoma"/>
          <w:b/>
          <w:color w:val="auto"/>
          <w:lang w:eastAsia="es-MX"/>
        </w:rPr>
      </w:pPr>
      <w:r>
        <w:rPr>
          <w:rFonts w:eastAsia="Batang" w:cs="Tahoma"/>
          <w:bCs/>
          <w:color w:val="auto"/>
          <w:lang w:val="es-ES" w:eastAsia="es-ES"/>
        </w:rPr>
        <w:t xml:space="preserve">Ahora bien, no pasa desapercibido, </w:t>
      </w:r>
      <w:r w:rsidRPr="005C3CBC">
        <w:rPr>
          <w:rFonts w:eastAsia="Batang" w:cs="Tahoma"/>
          <w:bCs/>
          <w:color w:val="auto"/>
          <w:lang w:val="es-ES" w:eastAsia="es-ES"/>
        </w:rPr>
        <w:t>que</w:t>
      </w:r>
      <w:r>
        <w:rPr>
          <w:rFonts w:eastAsia="Batang" w:cs="Tahoma"/>
          <w:bCs/>
          <w:color w:val="auto"/>
          <w:lang w:val="es-ES" w:eastAsia="es-ES"/>
        </w:rPr>
        <w:t xml:space="preserve"> el Sujeto Obligado aludió a que</w:t>
      </w:r>
      <w:r w:rsidRPr="005C3CBC">
        <w:rPr>
          <w:rFonts w:eastAsia="Batang" w:cs="Tahoma"/>
          <w:bCs/>
          <w:color w:val="auto"/>
          <w:lang w:val="es-ES" w:eastAsia="es-ES"/>
        </w:rPr>
        <w:t xml:space="preserve"> no podía entregar los </w:t>
      </w:r>
      <w:r>
        <w:rPr>
          <w:rFonts w:eastAsia="Batang" w:cs="Tahoma"/>
          <w:bCs/>
          <w:color w:val="auto"/>
          <w:lang w:val="es-ES" w:eastAsia="es-ES"/>
        </w:rPr>
        <w:t>Convenios requeridos</w:t>
      </w:r>
      <w:r w:rsidRPr="005C3CBC">
        <w:rPr>
          <w:rFonts w:eastAsia="Batang" w:cs="Tahoma"/>
          <w:bCs/>
          <w:color w:val="auto"/>
          <w:lang w:val="es-ES" w:eastAsia="es-ES"/>
        </w:rPr>
        <w:t xml:space="preserve">, pues contenían datos personales; </w:t>
      </w:r>
      <w:r w:rsidRPr="005C3CBC">
        <w:rPr>
          <w:rFonts w:eastAsia="Times New Roman" w:cs="Tahoma"/>
          <w:color w:val="auto"/>
          <w:lang w:eastAsia="es-MX"/>
        </w:rPr>
        <w:t xml:space="preserve">sobre el tema, el artículo 20 de la Ley de Transparencia y Acceso a la Información Pública del Estado de México y Municipios, establece que, </w:t>
      </w:r>
      <w:r w:rsidRPr="005C3CBC">
        <w:rPr>
          <w:rFonts w:eastAsia="Times New Roman" w:cs="Tahoma"/>
          <w:b/>
          <w:color w:val="auto"/>
          <w:lang w:eastAsia="es-MX"/>
        </w:rPr>
        <w:t>ante la negativa de acceso a la información o su inexistencia, el sujeto obligado deberá demostrar que encuentra en alguna de las excepciones establecidas en la normatividad aplicable.</w:t>
      </w:r>
    </w:p>
    <w:p w:rsidRPr="005C3CBC" w:rsidR="005C3CBC" w:rsidP="001036A9" w:rsidRDefault="005C3CBC" w14:paraId="0EE24CF7" w14:textId="77777777">
      <w:pPr>
        <w:spacing w:after="0" w:line="360" w:lineRule="auto"/>
        <w:rPr>
          <w:rFonts w:eastAsia="Times New Roman" w:cs="Tahoma"/>
          <w:color w:val="auto"/>
          <w:lang w:eastAsia="es-MX"/>
        </w:rPr>
      </w:pPr>
    </w:p>
    <w:p w:rsidRPr="005C3CBC" w:rsidR="005C3CBC" w:rsidP="001036A9" w:rsidRDefault="005C3CBC" w14:paraId="1AAF6B69" w14:textId="77777777">
      <w:pPr>
        <w:spacing w:after="0" w:line="360" w:lineRule="auto"/>
        <w:rPr>
          <w:rFonts w:eastAsia="Times New Roman" w:cs="Arial"/>
          <w:bCs/>
          <w:color w:val="auto"/>
          <w:lang w:eastAsia="es-MX"/>
        </w:rPr>
      </w:pPr>
      <w:r w:rsidRPr="005C3CBC">
        <w:rPr>
          <w:rFonts w:eastAsia="Times New Roman" w:cs="Arial"/>
          <w:bCs/>
          <w:color w:val="auto"/>
          <w:lang w:eastAsia="es-MX"/>
        </w:rPr>
        <w:t xml:space="preserve">En ese sentido, según Trujillo, Humberto (2019), en el “Diccionario de Transparencia y Acceso a la Información Pública” (p. 201), </w:t>
      </w:r>
      <w:r w:rsidRPr="005C3CBC">
        <w:rPr>
          <w:rFonts w:eastAsia="Times New Roman" w:cs="Arial"/>
          <w:b/>
          <w:bCs/>
          <w:color w:val="auto"/>
          <w:lang w:eastAsia="es-MX"/>
        </w:rPr>
        <w:t xml:space="preserve">la negativa de acceso a la información </w:t>
      </w:r>
      <w:r w:rsidRPr="005C3CBC">
        <w:rPr>
          <w:rFonts w:eastAsia="Times New Roman" w:cs="Arial"/>
          <w:bCs/>
          <w:color w:val="auto"/>
          <w:lang w:eastAsia="es-MX"/>
        </w:rPr>
        <w:t xml:space="preserve">ocurre cuanto de manera fundada y motivada, una autoridad la niega o la limita, por alguna de las siguientes razones: </w:t>
      </w:r>
    </w:p>
    <w:p w:rsidRPr="005C3CBC" w:rsidR="005C3CBC" w:rsidP="001036A9" w:rsidRDefault="005C3CBC" w14:paraId="56B86027" w14:textId="77777777">
      <w:pPr>
        <w:spacing w:after="0" w:line="360" w:lineRule="auto"/>
        <w:rPr>
          <w:rFonts w:eastAsia="Times New Roman" w:cs="Arial"/>
          <w:bCs/>
          <w:color w:val="auto"/>
          <w:lang w:eastAsia="es-MX"/>
        </w:rPr>
      </w:pPr>
    </w:p>
    <w:p w:rsidRPr="005C3CBC" w:rsidR="005C3CBC" w:rsidP="001036A9" w:rsidRDefault="005C3CBC" w14:paraId="7A4D9D2B" w14:textId="77777777">
      <w:pPr>
        <w:numPr>
          <w:ilvl w:val="0"/>
          <w:numId w:val="11"/>
        </w:numPr>
        <w:spacing w:after="0" w:line="360" w:lineRule="auto"/>
        <w:contextualSpacing/>
        <w:jc w:val="left"/>
        <w:rPr>
          <w:rFonts w:eastAsia="Times New Roman" w:cs="Arial"/>
          <w:b/>
          <w:bCs/>
          <w:color w:val="auto"/>
          <w:lang w:eastAsia="es-MX"/>
        </w:rPr>
      </w:pPr>
      <w:r w:rsidRPr="005C3CBC">
        <w:rPr>
          <w:rFonts w:eastAsia="Times New Roman" w:cs="Arial"/>
          <w:b/>
          <w:bCs/>
          <w:color w:val="auto"/>
          <w:lang w:eastAsia="es-MX"/>
        </w:rPr>
        <w:t xml:space="preserve">La inexistencia de la información (p. 171): </w:t>
      </w:r>
      <w:r w:rsidRPr="005C3CBC">
        <w:rPr>
          <w:rFonts w:eastAsia="Times New Roman" w:cs="Arial"/>
          <w:bCs/>
          <w:color w:val="auto"/>
          <w:lang w:eastAsia="es-MX"/>
        </w:rPr>
        <w:t>Sucede cuando la información solicitada no se encuentra en los archivos públicos o clasificado de los entes sujetos a las Leyes de Transparencia.</w:t>
      </w:r>
    </w:p>
    <w:p w:rsidRPr="005C3CBC" w:rsidR="005C3CBC" w:rsidP="001036A9" w:rsidRDefault="005C3CBC" w14:paraId="0E937522" w14:textId="77777777">
      <w:pPr>
        <w:spacing w:after="0" w:line="360" w:lineRule="auto"/>
        <w:ind w:left="720"/>
        <w:contextualSpacing/>
        <w:rPr>
          <w:rFonts w:eastAsia="Times New Roman" w:cs="Arial"/>
          <w:b/>
          <w:bCs/>
          <w:color w:val="auto"/>
          <w:lang w:eastAsia="es-MX"/>
        </w:rPr>
      </w:pPr>
    </w:p>
    <w:p w:rsidRPr="005C3CBC" w:rsidR="005C3CBC" w:rsidP="001036A9" w:rsidRDefault="005C3CBC" w14:paraId="4A014C3A" w14:textId="77777777">
      <w:pPr>
        <w:numPr>
          <w:ilvl w:val="0"/>
          <w:numId w:val="11"/>
        </w:numPr>
        <w:spacing w:after="0" w:line="360" w:lineRule="auto"/>
        <w:contextualSpacing/>
        <w:jc w:val="left"/>
        <w:rPr>
          <w:rFonts w:eastAsia="Times New Roman" w:cs="Arial"/>
          <w:b/>
          <w:bCs/>
          <w:color w:val="auto"/>
          <w:lang w:eastAsia="es-MX"/>
        </w:rPr>
      </w:pPr>
      <w:r w:rsidRPr="005C3CBC">
        <w:rPr>
          <w:rFonts w:eastAsia="Times New Roman" w:cs="Arial"/>
          <w:b/>
          <w:bCs/>
          <w:color w:val="auto"/>
          <w:lang w:eastAsia="es-MX"/>
        </w:rPr>
        <w:t xml:space="preserve">La incompetencia del Sujeto Obligado (p. 171): </w:t>
      </w:r>
      <w:r w:rsidRPr="005C3CBC">
        <w:rPr>
          <w:rFonts w:eastAsia="Times New Roman" w:cs="Arial"/>
          <w:bCs/>
          <w:color w:val="auto"/>
          <w:lang w:eastAsia="es-MX"/>
        </w:rPr>
        <w:t>Ocurre cuando el Sujeto Obligado carece de atribuciones para poseer la información peticionada.</w:t>
      </w:r>
    </w:p>
    <w:p w:rsidRPr="005C3CBC" w:rsidR="005C3CBC" w:rsidP="001036A9" w:rsidRDefault="005C3CBC" w14:paraId="2ED633B9" w14:textId="77777777">
      <w:pPr>
        <w:spacing w:after="0" w:line="360" w:lineRule="auto"/>
        <w:ind w:left="720"/>
        <w:contextualSpacing/>
        <w:jc w:val="left"/>
        <w:rPr>
          <w:rFonts w:eastAsia="Times New Roman" w:cs="Arial"/>
          <w:b/>
          <w:bCs/>
          <w:color w:val="auto"/>
          <w:lang w:eastAsia="es-MX"/>
        </w:rPr>
      </w:pPr>
    </w:p>
    <w:p w:rsidRPr="005C3CBC" w:rsidR="005C3CBC" w:rsidP="001036A9" w:rsidRDefault="005C3CBC" w14:paraId="6A8B1433" w14:textId="77777777">
      <w:pPr>
        <w:numPr>
          <w:ilvl w:val="0"/>
          <w:numId w:val="11"/>
        </w:numPr>
        <w:spacing w:after="0" w:line="360" w:lineRule="auto"/>
        <w:contextualSpacing/>
        <w:jc w:val="left"/>
        <w:rPr>
          <w:rFonts w:eastAsia="Times New Roman" w:cs="Arial"/>
          <w:b/>
          <w:bCs/>
          <w:color w:val="auto"/>
          <w:lang w:eastAsia="es-MX"/>
        </w:rPr>
      </w:pPr>
      <w:r w:rsidRPr="005C3CBC">
        <w:rPr>
          <w:rFonts w:eastAsia="Times New Roman" w:cs="Arial"/>
          <w:b/>
          <w:bCs/>
          <w:color w:val="auto"/>
          <w:lang w:eastAsia="es-MX"/>
        </w:rPr>
        <w:t xml:space="preserve">La clasificación de la información (p. 70): </w:t>
      </w:r>
      <w:r w:rsidRPr="005C3CBC">
        <w:rPr>
          <w:rFonts w:eastAsia="Times New Roman" w:cs="Arial"/>
          <w:bCs/>
          <w:color w:val="auto"/>
          <w:lang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rsidRPr="005C3CBC" w:rsidR="005C3CBC" w:rsidP="001036A9" w:rsidRDefault="005C3CBC" w14:paraId="7492DA1E" w14:textId="77777777">
      <w:pPr>
        <w:spacing w:after="0" w:line="360" w:lineRule="auto"/>
        <w:rPr>
          <w:rFonts w:eastAsia="Times New Roman" w:cs="Tahoma"/>
          <w:color w:val="auto"/>
          <w:lang w:eastAsia="es-MX"/>
        </w:rPr>
      </w:pPr>
    </w:p>
    <w:p w:rsidRPr="005C3CBC" w:rsidR="005C3CBC" w:rsidP="001036A9" w:rsidRDefault="005C3CBC" w14:paraId="40C698D3" w14:textId="36CF5A16">
      <w:pPr>
        <w:spacing w:after="0" w:line="360" w:lineRule="auto"/>
        <w:rPr>
          <w:rFonts w:eastAsia="Times New Roman" w:cs="Tahoma"/>
          <w:bCs/>
          <w:iCs/>
          <w:color w:val="auto"/>
          <w:lang w:val="es-ES" w:eastAsia="es-MX"/>
        </w:rPr>
      </w:pPr>
      <w:r w:rsidRPr="005C3CBC">
        <w:rPr>
          <w:rFonts w:eastAsia="Times New Roman" w:cs="Tahoma"/>
          <w:color w:val="auto"/>
          <w:lang w:eastAsia="es-MX"/>
        </w:rPr>
        <w:t>Conforme a lo anterior, es de señalar que l</w:t>
      </w:r>
      <w:r w:rsidRPr="005C3CBC">
        <w:rPr>
          <w:rFonts w:eastAsia="Times New Roman" w:cs="Tahoma"/>
          <w:color w:val="auto"/>
          <w:lang w:val="es-ES" w:eastAsia="es-MX"/>
        </w:rPr>
        <w:t xml:space="preserve">as </w:t>
      </w:r>
      <w:r w:rsidRPr="005C3CBC">
        <w:rPr>
          <w:rFonts w:eastAsia="Times New Roman" w:cs="Tahoma"/>
          <w:bCs/>
          <w:iCs/>
          <w:color w:val="auto"/>
          <w:lang w:val="es-ES" w:eastAsia="es-MX"/>
        </w:rPr>
        <w:t xml:space="preserve">excepciones al derecho de acceso a la información, consisten en que </w:t>
      </w:r>
      <w:r w:rsidRPr="005C3CBC">
        <w:rPr>
          <w:rFonts w:eastAsia="Times New Roman" w:cs="Tahoma"/>
          <w:b/>
          <w:iCs/>
          <w:color w:val="auto"/>
          <w:lang w:val="es-ES" w:eastAsia="es-MX"/>
        </w:rPr>
        <w:t>la documentación sea inexistente, obre en los archivo</w:t>
      </w:r>
      <w:r w:rsidR="00EE0094">
        <w:rPr>
          <w:rFonts w:eastAsia="Times New Roman" w:cs="Tahoma"/>
          <w:b/>
          <w:iCs/>
          <w:color w:val="auto"/>
          <w:lang w:val="es-ES" w:eastAsia="es-MX"/>
        </w:rPr>
        <w:t>s</w:t>
      </w:r>
      <w:r w:rsidRPr="005C3CBC">
        <w:rPr>
          <w:rFonts w:eastAsia="Times New Roman" w:cs="Tahoma"/>
          <w:b/>
          <w:iCs/>
          <w:color w:val="auto"/>
          <w:lang w:val="es-ES" w:eastAsia="es-MX"/>
        </w:rPr>
        <w:t>, pero se encuentre clasificada, o bien, el Sujeto Obligado sea incompetente</w:t>
      </w:r>
      <w:r w:rsidRPr="005C3CBC">
        <w:rPr>
          <w:rFonts w:eastAsia="Times New Roman" w:cs="Tahoma"/>
          <w:bCs/>
          <w:iCs/>
          <w:color w:val="auto"/>
          <w:lang w:val="es-ES" w:eastAsia="es-MX"/>
        </w:rPr>
        <w:t xml:space="preserve"> para contar con esta; esto es, la negativa de acceso a la información, recae cuando la documentación no se encuentre en los archivos del sujeto obligado, o bien exista, pero no pueda proporcionarse por contener datos </w:t>
      </w:r>
      <w:r w:rsidRPr="005C3CBC">
        <w:rPr>
          <w:rFonts w:eastAsia="Times New Roman" w:cs="Tahoma"/>
          <w:b/>
          <w:bCs/>
          <w:iCs/>
          <w:color w:val="auto"/>
          <w:lang w:val="es-ES" w:eastAsia="es-MX"/>
        </w:rPr>
        <w:t>confidenciales o reservados.</w:t>
      </w:r>
    </w:p>
    <w:p w:rsidRPr="005C3CBC" w:rsidR="005C3CBC" w:rsidP="001036A9" w:rsidRDefault="005C3CBC" w14:paraId="1DE1AE19" w14:textId="77777777">
      <w:pPr>
        <w:spacing w:after="0" w:line="360" w:lineRule="auto"/>
        <w:rPr>
          <w:rFonts w:eastAsia="Batang" w:cs="Tahoma"/>
          <w:bCs/>
          <w:color w:val="auto"/>
          <w:lang w:val="es-ES" w:eastAsia="es-ES"/>
        </w:rPr>
      </w:pPr>
    </w:p>
    <w:p w:rsidRPr="005C3CBC" w:rsidR="005C3CBC" w:rsidP="001036A9" w:rsidRDefault="005C3CBC" w14:paraId="75E0A795" w14:textId="77777777">
      <w:pPr>
        <w:spacing w:after="0" w:line="360" w:lineRule="auto"/>
        <w:rPr>
          <w:rFonts w:eastAsia="Times New Roman" w:cs="Tahoma"/>
          <w:color w:val="auto"/>
          <w:lang w:val="es-ES" w:eastAsia="es-MX"/>
        </w:rPr>
      </w:pPr>
      <w:r w:rsidRPr="005C3CBC">
        <w:rPr>
          <w:rFonts w:eastAsia="Batang" w:cs="Tahoma"/>
          <w:bCs/>
          <w:color w:val="auto"/>
          <w:lang w:val="es-ES" w:eastAsia="es-ES"/>
        </w:rPr>
        <w:t xml:space="preserve">En ese contexto, es de referir que la Dirección de Obras Públicas, precisó que la información obraba en sus archivos, pero que no la podía proporcionar, por lo cual, aludió a que la información estaba clasificada; sobre el tema, </w:t>
      </w:r>
      <w:r w:rsidRPr="005C3CBC">
        <w:rPr>
          <w:rFonts w:eastAsia="Times New Roman" w:cs="Tahoma"/>
          <w:color w:val="auto"/>
          <w:lang w:eastAsia="es-MX"/>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5C3CBC">
        <w:rPr>
          <w:rFonts w:eastAsia="Times New Roman" w:cs="Tahoma"/>
          <w:b/>
          <w:color w:val="auto"/>
          <w:lang w:eastAsia="es-MX"/>
        </w:rPr>
        <w:t xml:space="preserve">la clasificación </w:t>
      </w:r>
      <w:r w:rsidRPr="005C3CBC">
        <w:rPr>
          <w:rFonts w:eastAsia="Times New Roman" w:cs="Tahoma"/>
          <w:color w:val="auto"/>
          <w:lang w:eastAsia="es-MX"/>
        </w:rPr>
        <w:t xml:space="preserve">es el proceso mediante el cual los sujetos obligados determinan que la información en su poder, actualiza alguno de los supuestos de reserva o confidencialidad. </w:t>
      </w:r>
      <w:r w:rsidRPr="005C3CBC">
        <w:rPr>
          <w:rFonts w:eastAsia="Times New Roman" w:cs="Tahoma"/>
          <w:color w:val="auto"/>
          <w:lang w:val="es-ES" w:eastAsia="es-MX"/>
        </w:rPr>
        <w:t>Además, que dichos entes deberán aplicar de manera restrictiva y limitada, las excepciones al derecho de acceso a la información, por lo que, tendrán que acreditar la procedencia.</w:t>
      </w:r>
    </w:p>
    <w:p w:rsidRPr="005C3CBC" w:rsidR="005C3CBC" w:rsidP="001036A9" w:rsidRDefault="005C3CBC" w14:paraId="4689E94D" w14:textId="77777777">
      <w:pPr>
        <w:spacing w:after="0" w:line="360" w:lineRule="auto"/>
        <w:rPr>
          <w:rFonts w:eastAsia="Times New Roman" w:cs="Tahoma"/>
          <w:color w:val="auto"/>
          <w:lang w:val="es-ES" w:eastAsia="es-MX"/>
        </w:rPr>
      </w:pPr>
    </w:p>
    <w:p w:rsidRPr="005C3CBC" w:rsidR="005C3CBC" w:rsidP="001036A9" w:rsidRDefault="005C3CBC" w14:paraId="33C817A6" w14:textId="77777777">
      <w:pPr>
        <w:spacing w:after="0" w:line="360" w:lineRule="auto"/>
        <w:rPr>
          <w:rFonts w:eastAsia="Times New Roman" w:cs="Tahoma"/>
          <w:color w:val="auto"/>
          <w:lang w:val="es-ES" w:eastAsia="es-MX"/>
        </w:rPr>
      </w:pPr>
      <w:r w:rsidRPr="005C3CBC">
        <w:rPr>
          <w:rFonts w:eastAsia="Times New Roman" w:cs="Tahoma"/>
          <w:color w:val="auto"/>
          <w:lang w:val="es-ES" w:eastAsia="es-MX"/>
        </w:rPr>
        <w:lastRenderedPageBreak/>
        <w:t xml:space="preserve">Por lo cual, en los casos en que se niegue el acceso a la información, por actualizarse alguno de los supuestos de clasificación, </w:t>
      </w:r>
      <w:r w:rsidRPr="005C3CBC">
        <w:rPr>
          <w:rFonts w:eastAsia="Times New Roman" w:cs="Tahoma"/>
          <w:b/>
          <w:color w:val="auto"/>
          <w:lang w:val="es-ES" w:eastAsia="es-MX"/>
        </w:rPr>
        <w:t xml:space="preserve">el Comité de Transparencia deberá confirmar, modificar o revocar la decisión; </w:t>
      </w:r>
      <w:r w:rsidRPr="005C3CBC">
        <w:rPr>
          <w:rFonts w:eastAsia="Times New Roman" w:cs="Tahoma"/>
          <w:color w:val="auto"/>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5C3CBC" w:rsidR="005C3CBC" w:rsidP="001036A9" w:rsidRDefault="005C3CBC" w14:paraId="1E400BA1" w14:textId="77777777">
      <w:pPr>
        <w:spacing w:after="0" w:line="360" w:lineRule="auto"/>
        <w:rPr>
          <w:rFonts w:eastAsia="Times New Roman" w:cs="Tahoma"/>
          <w:color w:val="auto"/>
          <w:lang w:val="es-ES" w:eastAsia="es-MX"/>
        </w:rPr>
      </w:pPr>
    </w:p>
    <w:p w:rsidRPr="005C3CBC" w:rsidR="005C3CBC" w:rsidP="001036A9" w:rsidRDefault="005C3CBC" w14:paraId="1A0AEE8A" w14:textId="77777777">
      <w:pPr>
        <w:spacing w:after="0" w:line="360" w:lineRule="auto"/>
        <w:rPr>
          <w:rFonts w:eastAsia="Times New Roman" w:cs="Tahoma"/>
          <w:color w:val="auto"/>
          <w:lang w:eastAsia="es-MX"/>
        </w:rPr>
      </w:pPr>
      <w:r w:rsidRPr="005C3CBC">
        <w:rPr>
          <w:rFonts w:eastAsia="Times New Roman" w:cs="Tahoma"/>
          <w:color w:val="auto"/>
          <w:lang w:val="es-ES" w:eastAsia="es-MX"/>
        </w:rPr>
        <w:t xml:space="preserve">En ese contexto, </w:t>
      </w:r>
      <w:r w:rsidRPr="005C3CBC">
        <w:rPr>
          <w:rFonts w:eastAsia="Times New Roman" w:cs="Tahoma"/>
          <w:color w:val="auto"/>
          <w:lang w:eastAsia="es-MX"/>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rsidRPr="005C3CBC" w:rsidR="005C3CBC" w:rsidP="001036A9" w:rsidRDefault="005C3CBC" w14:paraId="306DEFD0" w14:textId="77777777">
      <w:pPr>
        <w:spacing w:after="0" w:line="360" w:lineRule="auto"/>
        <w:rPr>
          <w:rFonts w:eastAsia="Times New Roman" w:cs="Tahoma"/>
          <w:color w:val="auto"/>
          <w:lang w:eastAsia="es-MX"/>
        </w:rPr>
      </w:pPr>
    </w:p>
    <w:p w:rsidRPr="005C3CBC" w:rsidR="005C3CBC" w:rsidP="001036A9" w:rsidRDefault="005C3CBC" w14:paraId="0495C393" w14:textId="77777777">
      <w:pPr>
        <w:spacing w:after="0" w:line="360" w:lineRule="auto"/>
        <w:rPr>
          <w:rFonts w:eastAsia="Times New Roman" w:cs="Tahoma"/>
          <w:b/>
          <w:color w:val="auto"/>
          <w:lang w:eastAsia="es-MX"/>
        </w:rPr>
      </w:pPr>
      <w:r w:rsidRPr="005C3CBC">
        <w:rPr>
          <w:rFonts w:eastAsia="Times New Roman" w:cs="Tahoma"/>
          <w:color w:val="auto"/>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rsidRPr="005C3CBC" w:rsidR="005C3CBC" w:rsidP="001036A9" w:rsidRDefault="005C3CBC" w14:paraId="007C9D0C" w14:textId="77777777">
      <w:pPr>
        <w:spacing w:after="0" w:line="360" w:lineRule="auto"/>
        <w:rPr>
          <w:rFonts w:eastAsia="Times New Roman" w:cs="Tahoma"/>
          <w:color w:val="auto"/>
          <w:lang w:val="es-ES" w:eastAsia="es-MX"/>
        </w:rPr>
      </w:pPr>
    </w:p>
    <w:p w:rsidRPr="005C3CBC" w:rsidR="005C3CBC" w:rsidP="001036A9" w:rsidRDefault="005C3CBC" w14:paraId="47A18324" w14:textId="77777777">
      <w:pPr>
        <w:spacing w:after="0" w:line="360" w:lineRule="auto"/>
        <w:rPr>
          <w:rFonts w:eastAsia="Times New Roman" w:cs="Arial"/>
          <w:b/>
          <w:bCs/>
          <w:color w:val="auto"/>
          <w:lang w:eastAsia="es-MX"/>
        </w:rPr>
      </w:pPr>
      <w:r w:rsidRPr="005C3CBC">
        <w:rPr>
          <w:rFonts w:eastAsia="Times New Roman" w:cs="Tahoma"/>
          <w:color w:val="auto"/>
          <w:lang w:val="es-ES" w:eastAsia="es-MX"/>
        </w:rPr>
        <w:t xml:space="preserve">En ese contexto, </w:t>
      </w:r>
      <w:r w:rsidRPr="005C3CBC">
        <w:rPr>
          <w:rFonts w:eastAsia="Times New Roman" w:cs="Arial"/>
          <w:bCs/>
          <w:color w:val="auto"/>
          <w:lang w:eastAsia="es-MX"/>
        </w:rPr>
        <w:t xml:space="preserve">según Bonifaz, Leticia (2016), en la “Ley General de Transparencia y Acceso a la Información Pública Comentada” (p. 342), la </w:t>
      </w:r>
      <w:r w:rsidRPr="005C3CBC">
        <w:rPr>
          <w:rFonts w:eastAsia="Times New Roman" w:cs="Arial"/>
          <w:b/>
          <w:bCs/>
          <w:color w:val="auto"/>
          <w:lang w:eastAsia="es-MX"/>
        </w:rPr>
        <w:t>clasificación de la información</w:t>
      </w:r>
      <w:r w:rsidRPr="005C3CBC">
        <w:rPr>
          <w:rFonts w:eastAsia="Times New Roman" w:cs="Arial"/>
          <w:bCs/>
          <w:color w:val="auto"/>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5C3CBC">
        <w:rPr>
          <w:rFonts w:eastAsia="Times New Roman" w:cs="Arial"/>
          <w:b/>
          <w:bCs/>
          <w:color w:val="auto"/>
          <w:lang w:eastAsia="es-MX"/>
        </w:rPr>
        <w:t>de manera adecuada la negativa de información.</w:t>
      </w:r>
    </w:p>
    <w:p w:rsidR="005C3CBC" w:rsidP="001036A9" w:rsidRDefault="005C3CBC" w14:paraId="1A30D53F" w14:textId="1FB72487">
      <w:pPr>
        <w:spacing w:after="0" w:line="360" w:lineRule="auto"/>
        <w:rPr>
          <w:rFonts w:eastAsia="Calibri" w:cs="Tahoma"/>
          <w:bCs/>
          <w:color w:val="auto"/>
        </w:rPr>
      </w:pPr>
    </w:p>
    <w:p w:rsidRPr="005C3CBC" w:rsidR="005C3CBC" w:rsidP="001036A9" w:rsidRDefault="005C3CBC" w14:paraId="5E7196AB" w14:textId="77777777">
      <w:pPr>
        <w:spacing w:after="0" w:line="360" w:lineRule="auto"/>
        <w:rPr>
          <w:rFonts w:eastAsia="Times New Roman" w:cs="Tahoma"/>
          <w:b/>
          <w:color w:val="auto"/>
          <w:lang w:eastAsia="es-MX"/>
        </w:rPr>
      </w:pPr>
      <w:r w:rsidRPr="005C3CBC">
        <w:rPr>
          <w:rFonts w:eastAsia="Calibri" w:cs="Tahoma"/>
          <w:bCs/>
          <w:color w:val="auto"/>
        </w:rPr>
        <w:t>Además</w:t>
      </w:r>
      <w:r w:rsidRPr="005C3CBC">
        <w:rPr>
          <w:rFonts w:eastAsia="Times New Roman" w:cs="Tahoma"/>
          <w:color w:val="auto"/>
          <w:lang w:eastAsia="es-MX"/>
        </w:rPr>
        <w:t xml:space="preserve">, conforme al artículo 108, de la Ley General de Transparencia y Acceso a la Información Pública, el 134 de la Ley de Transparencia y Acceso a la Información Pública del Estado de México y Municipios y el Sexto de los </w:t>
      </w:r>
      <w:r w:rsidRPr="005C3CBC">
        <w:rPr>
          <w:rFonts w:eastAsia="Times New Roman" w:cs="Tahoma"/>
          <w:color w:val="auto"/>
          <w:lang w:eastAsia="es-ES"/>
        </w:rPr>
        <w:t xml:space="preserve">Lineamientos Generales en Materia de </w:t>
      </w:r>
      <w:r w:rsidRPr="005C3CBC">
        <w:rPr>
          <w:rFonts w:eastAsia="Times New Roman" w:cs="Tahoma"/>
          <w:color w:val="auto"/>
          <w:lang w:eastAsia="es-ES"/>
        </w:rPr>
        <w:lastRenderedPageBreak/>
        <w:t>Clasificación y Desclasificación de la Información, así como para la Elaboración de Versiones Públicas –Lineamientos Generales-</w:t>
      </w:r>
      <w:r w:rsidRPr="005C3CBC">
        <w:rPr>
          <w:rFonts w:eastAsia="Times New Roman" w:cs="Tahoma"/>
          <w:color w:val="auto"/>
          <w:lang w:eastAsia="es-MX"/>
        </w:rPr>
        <w:t xml:space="preserve">, los sujetos obligados no podrán emitir acuerdos de carácter general que clasifiquen documentos o expedientes; por lo que, la clasificación de información se llevará a cabo mediante un </w:t>
      </w:r>
      <w:r w:rsidRPr="005C3CBC">
        <w:rPr>
          <w:rFonts w:eastAsia="Times New Roman" w:cs="Tahoma"/>
          <w:b/>
          <w:color w:val="auto"/>
          <w:lang w:eastAsia="es-MX"/>
        </w:rPr>
        <w:t>análisis caso por caso.</w:t>
      </w:r>
    </w:p>
    <w:p w:rsidRPr="005C3CBC" w:rsidR="005C3CBC" w:rsidP="001036A9" w:rsidRDefault="005C3CBC" w14:paraId="46AE1495" w14:textId="77777777">
      <w:pPr>
        <w:spacing w:after="0" w:line="360" w:lineRule="auto"/>
        <w:rPr>
          <w:rFonts w:eastAsia="Times New Roman" w:cs="Tahoma"/>
          <w:b/>
          <w:color w:val="auto"/>
          <w:lang w:eastAsia="es-MX"/>
        </w:rPr>
      </w:pPr>
    </w:p>
    <w:p w:rsidRPr="005C3CBC" w:rsidR="005C3CBC" w:rsidP="001036A9" w:rsidRDefault="005C3CBC" w14:paraId="1F5878A4" w14:textId="77777777">
      <w:pPr>
        <w:spacing w:after="0" w:line="360" w:lineRule="auto"/>
        <w:rPr>
          <w:rFonts w:eastAsia="Times New Roman" w:cs="Tahoma"/>
          <w:color w:val="auto"/>
          <w:lang w:eastAsia="es-MX"/>
        </w:rPr>
      </w:pPr>
      <w:r w:rsidRPr="005C3CBC">
        <w:rPr>
          <w:rFonts w:eastAsia="Times New Roman" w:cs="Tahoma"/>
          <w:color w:val="auto"/>
          <w:lang w:eastAsia="es-MX"/>
        </w:rPr>
        <w:t xml:space="preserve">Sobre lo anterior, el artículo 131 de la Ley referida, así como el Quinto de los Lineamientos Generales, establecen que los sujetos obligados </w:t>
      </w:r>
      <w:r w:rsidRPr="005C3CBC">
        <w:rPr>
          <w:rFonts w:eastAsia="Times New Roman" w:cs="Tahoma"/>
          <w:b/>
          <w:color w:val="auto"/>
          <w:lang w:eastAsia="es-MX"/>
        </w:rPr>
        <w:t>deberán fundar y motivar</w:t>
      </w:r>
      <w:r w:rsidRPr="005C3CBC">
        <w:rPr>
          <w:rFonts w:eastAsia="Times New Roman" w:cs="Tahoma"/>
          <w:color w:val="auto"/>
          <w:lang w:eastAsia="es-MX"/>
        </w:rPr>
        <w:t xml:space="preserve"> debidamente la clasificación de la información.</w:t>
      </w:r>
    </w:p>
    <w:p w:rsidRPr="005C3CBC" w:rsidR="005C3CBC" w:rsidP="001036A9" w:rsidRDefault="005C3CBC" w14:paraId="2018DD42" w14:textId="77777777">
      <w:pPr>
        <w:spacing w:after="0" w:line="360" w:lineRule="auto"/>
        <w:rPr>
          <w:rFonts w:eastAsia="Times New Roman" w:cs="Tahoma"/>
          <w:b/>
          <w:color w:val="auto"/>
          <w:lang w:eastAsia="es-MX"/>
        </w:rPr>
      </w:pPr>
    </w:p>
    <w:p w:rsidRPr="005C3CBC" w:rsidR="005C3CBC" w:rsidP="001036A9" w:rsidRDefault="005C3CBC" w14:paraId="74ECF0DC" w14:textId="77777777">
      <w:pPr>
        <w:spacing w:after="0" w:line="360" w:lineRule="auto"/>
        <w:rPr>
          <w:rFonts w:eastAsia="Times New Roman" w:cs="Tahoma"/>
          <w:bCs/>
          <w:iCs/>
          <w:color w:val="auto"/>
          <w:lang w:eastAsia="es-MX"/>
        </w:rPr>
      </w:pPr>
      <w:r w:rsidRPr="005C3CBC">
        <w:rPr>
          <w:rFonts w:eastAsia="Times New Roman" w:cs="Tahoma"/>
          <w:color w:val="auto"/>
          <w:lang w:eastAsia="es-MX"/>
        </w:rPr>
        <w:t>Al respecto, e</w:t>
      </w:r>
      <w:r w:rsidRPr="005C3CBC">
        <w:rPr>
          <w:rFonts w:eastAsia="Times New Roman" w:cs="Tahoma"/>
          <w:bCs/>
          <w:iCs/>
          <w:color w:val="auto"/>
          <w:lang w:eastAsia="es-MX"/>
        </w:rPr>
        <w:t>l Octavo de los Lineamientos Generales, precisa lo siguiente:</w:t>
      </w:r>
    </w:p>
    <w:p w:rsidRPr="005C3CBC" w:rsidR="005C3CBC" w:rsidP="001036A9" w:rsidRDefault="005C3CBC" w14:paraId="40E1177E" w14:textId="77777777">
      <w:pPr>
        <w:spacing w:after="0" w:line="360" w:lineRule="auto"/>
        <w:rPr>
          <w:rFonts w:eastAsia="Times New Roman" w:cs="Tahoma"/>
          <w:bCs/>
          <w:iCs/>
          <w:color w:val="auto"/>
          <w:lang w:eastAsia="es-MX"/>
        </w:rPr>
      </w:pPr>
    </w:p>
    <w:p w:rsidRPr="005C3CBC" w:rsidR="005C3CBC" w:rsidP="001036A9" w:rsidRDefault="005C3CBC" w14:paraId="164F0216" w14:textId="77777777">
      <w:pPr>
        <w:numPr>
          <w:ilvl w:val="0"/>
          <w:numId w:val="27"/>
        </w:numPr>
        <w:spacing w:after="0" w:line="360" w:lineRule="auto"/>
        <w:rPr>
          <w:rFonts w:eastAsia="Times New Roman" w:cs="Tahoma"/>
          <w:bCs/>
          <w:color w:val="auto"/>
          <w:u w:val="single"/>
          <w:lang w:eastAsia="es-MX"/>
        </w:rPr>
      </w:pPr>
      <w:r w:rsidRPr="005C3CBC">
        <w:rPr>
          <w:rFonts w:eastAsia="Times New Roman" w:cs="Tahoma"/>
          <w:b/>
          <w:bCs/>
          <w:color w:val="auto"/>
          <w:lang w:eastAsia="es-MX"/>
        </w:rPr>
        <w:t>Para fundar la clasificación</w:t>
      </w:r>
      <w:r w:rsidRPr="005C3CBC">
        <w:rPr>
          <w:rFonts w:eastAsia="Times New Roman" w:cs="Tahoma"/>
          <w:bCs/>
          <w:color w:val="auto"/>
          <w:lang w:eastAsia="es-MX"/>
        </w:rPr>
        <w:t xml:space="preserve"> de la información se deberán </w:t>
      </w:r>
      <w:r w:rsidRPr="005C3CBC">
        <w:rPr>
          <w:rFonts w:eastAsia="Times New Roman" w:cs="Tahoma"/>
          <w:bCs/>
          <w:color w:val="auto"/>
          <w:u w:val="single"/>
          <w:lang w:eastAsia="es-MX"/>
        </w:rPr>
        <w:t>señalar el artículo, fracción, inciso, párrafo o numeral de la Ley aplicable;</w:t>
      </w:r>
    </w:p>
    <w:p w:rsidRPr="005C3CBC" w:rsidR="005C3CBC" w:rsidP="001036A9" w:rsidRDefault="005C3CBC" w14:paraId="700FBA24" w14:textId="77777777">
      <w:pPr>
        <w:spacing w:after="0" w:line="360" w:lineRule="auto"/>
        <w:rPr>
          <w:rFonts w:eastAsia="Times New Roman" w:cs="Tahoma"/>
          <w:bCs/>
          <w:color w:val="auto"/>
          <w:lang w:eastAsia="es-MX"/>
        </w:rPr>
      </w:pPr>
    </w:p>
    <w:p w:rsidRPr="005C3CBC" w:rsidR="005C3CBC" w:rsidP="001036A9" w:rsidRDefault="005C3CBC" w14:paraId="2664E11B" w14:textId="77777777">
      <w:pPr>
        <w:numPr>
          <w:ilvl w:val="0"/>
          <w:numId w:val="27"/>
        </w:numPr>
        <w:spacing w:after="0" w:line="360" w:lineRule="auto"/>
        <w:rPr>
          <w:rFonts w:eastAsia="Times New Roman" w:cs="Tahoma"/>
          <w:bCs/>
          <w:color w:val="auto"/>
          <w:lang w:eastAsia="es-MX"/>
        </w:rPr>
      </w:pPr>
      <w:r w:rsidRPr="005C3CBC">
        <w:rPr>
          <w:rFonts w:eastAsia="Times New Roman" w:cs="Tahoma"/>
          <w:b/>
          <w:bCs/>
          <w:color w:val="auto"/>
          <w:lang w:eastAsia="es-MX"/>
        </w:rPr>
        <w:t>Para motivar la clasificación</w:t>
      </w:r>
      <w:r w:rsidRPr="005C3CBC">
        <w:rPr>
          <w:rFonts w:eastAsia="Times New Roman" w:cs="Tahoma"/>
          <w:bCs/>
          <w:color w:val="auto"/>
          <w:lang w:eastAsia="es-MX"/>
        </w:rPr>
        <w:t xml:space="preserve"> se deberán </w:t>
      </w:r>
      <w:r w:rsidRPr="005C3CBC">
        <w:rPr>
          <w:rFonts w:eastAsia="Times New Roman" w:cs="Tahoma"/>
          <w:bCs/>
          <w:color w:val="auto"/>
          <w:u w:val="single"/>
          <w:lang w:eastAsia="es-MX"/>
        </w:rPr>
        <w:t>indicar las razones y circunstancias</w:t>
      </w:r>
      <w:r w:rsidRPr="005C3CBC">
        <w:rPr>
          <w:rFonts w:eastAsia="Times New Roman" w:cs="Tahoma"/>
          <w:bCs/>
          <w:color w:val="auto"/>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5C3CBC" w:rsidR="005C3CBC" w:rsidP="001036A9" w:rsidRDefault="005C3CBC" w14:paraId="071C7D30" w14:textId="77777777">
      <w:pPr>
        <w:spacing w:after="0" w:line="360" w:lineRule="auto"/>
        <w:ind w:left="720"/>
        <w:contextualSpacing/>
        <w:jc w:val="left"/>
        <w:rPr>
          <w:rFonts w:eastAsia="Times New Roman" w:cs="Tahoma"/>
          <w:bCs/>
          <w:color w:val="auto"/>
          <w:lang w:eastAsia="es-MX"/>
        </w:rPr>
      </w:pPr>
    </w:p>
    <w:p w:rsidRPr="005C3CBC" w:rsidR="005C3CBC" w:rsidP="001036A9" w:rsidRDefault="005C3CBC" w14:paraId="6AFB4CA3" w14:textId="77777777">
      <w:pPr>
        <w:spacing w:after="0" w:line="360" w:lineRule="auto"/>
        <w:rPr>
          <w:rFonts w:eastAsia="Times New Roman" w:cs="Tahoma"/>
          <w:color w:val="auto"/>
          <w:lang w:eastAsia="es-MX"/>
        </w:rPr>
      </w:pPr>
      <w:r w:rsidRPr="005C3CBC">
        <w:rPr>
          <w:rFonts w:eastAsia="Times New Roman" w:cs="Tahoma"/>
          <w:color w:val="auto"/>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rsidRPr="005C3CBC" w:rsidR="005C3CBC" w:rsidP="001036A9" w:rsidRDefault="005C3CBC" w14:paraId="3E937389" w14:textId="77777777">
      <w:pPr>
        <w:spacing w:after="0" w:line="360" w:lineRule="auto"/>
        <w:ind w:left="567" w:right="567"/>
        <w:rPr>
          <w:rFonts w:eastAsia="Times New Roman" w:cs="Tahoma"/>
          <w:i/>
          <w:color w:val="auto"/>
          <w:sz w:val="20"/>
          <w:szCs w:val="20"/>
          <w:lang w:eastAsia="es-MX"/>
        </w:rPr>
      </w:pPr>
      <w:r w:rsidRPr="005C3CBC">
        <w:rPr>
          <w:rFonts w:eastAsia="Times New Roman" w:cs="Tahoma"/>
          <w:b/>
          <w:i/>
          <w:color w:val="auto"/>
          <w:sz w:val="20"/>
          <w:szCs w:val="20"/>
          <w:lang w:eastAsia="es-MX"/>
        </w:rPr>
        <w:lastRenderedPageBreak/>
        <w:t xml:space="preserve">“FUNDAMENTACION Y MOTIVACION, CONCEPTO DE. </w:t>
      </w:r>
      <w:r w:rsidRPr="005C3CBC">
        <w:rPr>
          <w:rFonts w:eastAsia="Times New Roman" w:cs="Tahoma"/>
          <w:i/>
          <w:color w:val="auto"/>
          <w:sz w:val="20"/>
          <w:szCs w:val="20"/>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5C3CBC" w:rsidR="005C3CBC" w:rsidP="001036A9" w:rsidRDefault="005C3CBC" w14:paraId="39C41D98" w14:textId="77777777">
      <w:pPr>
        <w:spacing w:after="0" w:line="360" w:lineRule="auto"/>
        <w:rPr>
          <w:rFonts w:eastAsia="Times New Roman" w:cs="Tahoma"/>
          <w:color w:val="auto"/>
          <w:lang w:eastAsia="es-MX"/>
        </w:rPr>
      </w:pPr>
    </w:p>
    <w:p w:rsidRPr="005C3CBC" w:rsidR="005C3CBC" w:rsidP="001036A9" w:rsidRDefault="005C3CBC" w14:paraId="33B02D5B" w14:textId="77777777">
      <w:pPr>
        <w:spacing w:after="0" w:line="360" w:lineRule="auto"/>
        <w:rPr>
          <w:rFonts w:eastAsia="Times New Roman" w:cs="Tahoma"/>
          <w:color w:val="auto"/>
          <w:lang w:eastAsia="es-MX"/>
        </w:rPr>
      </w:pPr>
      <w:r w:rsidRPr="005C3CBC">
        <w:rPr>
          <w:rFonts w:eastAsia="Times New Roman" w:cs="Tahoma"/>
          <w:color w:val="auto"/>
          <w:lang w:eastAsia="es-MX"/>
        </w:rPr>
        <w:t>Conforme a lo anterior, se advierte lo siguiente:</w:t>
      </w:r>
    </w:p>
    <w:p w:rsidRPr="005C3CBC" w:rsidR="005C3CBC" w:rsidP="001036A9" w:rsidRDefault="005C3CBC" w14:paraId="08C8CD6F" w14:textId="77777777">
      <w:pPr>
        <w:spacing w:after="0" w:line="360" w:lineRule="auto"/>
        <w:rPr>
          <w:rFonts w:eastAsia="Times New Roman" w:cs="Tahoma"/>
          <w:color w:val="auto"/>
          <w:lang w:eastAsia="es-MX"/>
        </w:rPr>
      </w:pPr>
    </w:p>
    <w:p w:rsidRPr="005C3CBC" w:rsidR="005C3CBC" w:rsidP="001036A9" w:rsidRDefault="005C3CBC" w14:paraId="1A7DD8D8" w14:textId="77777777">
      <w:pPr>
        <w:numPr>
          <w:ilvl w:val="0"/>
          <w:numId w:val="28"/>
        </w:numPr>
        <w:spacing w:after="0" w:line="360" w:lineRule="auto"/>
        <w:jc w:val="left"/>
        <w:rPr>
          <w:rFonts w:eastAsia="Times New Roman" w:cs="Tahoma"/>
          <w:b/>
          <w:color w:val="auto"/>
          <w:lang w:eastAsia="es-MX"/>
        </w:rPr>
      </w:pPr>
      <w:r w:rsidRPr="005C3CBC">
        <w:rPr>
          <w:rFonts w:eastAsia="Times New Roman" w:cs="Tahoma"/>
          <w:b/>
          <w:color w:val="auto"/>
          <w:lang w:eastAsia="es-MX"/>
        </w:rPr>
        <w:t xml:space="preserve">Fundamentación: </w:t>
      </w:r>
      <w:r w:rsidRPr="005C3CBC">
        <w:rPr>
          <w:rFonts w:eastAsia="Times New Roman" w:cs="Tahoma"/>
          <w:color w:val="auto"/>
          <w:lang w:eastAsia="es-MX"/>
        </w:rPr>
        <w:t>Obligación de la autoridad que emite un acto, para citar los preceptos legales, sustantivos y adjetivos, en que se apoye para la determinación tomada.</w:t>
      </w:r>
    </w:p>
    <w:p w:rsidRPr="005C3CBC" w:rsidR="005C3CBC" w:rsidP="001036A9" w:rsidRDefault="005C3CBC" w14:paraId="68F48ED0" w14:textId="77777777">
      <w:pPr>
        <w:spacing w:after="0" w:line="360" w:lineRule="auto"/>
        <w:ind w:left="720"/>
        <w:contextualSpacing/>
        <w:rPr>
          <w:rFonts w:eastAsia="Times New Roman" w:cs="Tahoma"/>
          <w:b/>
          <w:color w:val="auto"/>
          <w:lang w:eastAsia="es-MX"/>
        </w:rPr>
      </w:pPr>
    </w:p>
    <w:p w:rsidRPr="005C3CBC" w:rsidR="005C3CBC" w:rsidP="001036A9" w:rsidRDefault="005C3CBC" w14:paraId="0917B22F" w14:textId="77777777">
      <w:pPr>
        <w:numPr>
          <w:ilvl w:val="0"/>
          <w:numId w:val="28"/>
        </w:numPr>
        <w:spacing w:after="0" w:line="360" w:lineRule="auto"/>
        <w:jc w:val="left"/>
        <w:rPr>
          <w:rFonts w:eastAsia="Times New Roman" w:cs="Tahoma"/>
          <w:b/>
          <w:color w:val="auto"/>
          <w:lang w:eastAsia="es-MX"/>
        </w:rPr>
      </w:pPr>
      <w:r w:rsidRPr="005C3CBC">
        <w:rPr>
          <w:rFonts w:eastAsia="Times New Roman" w:cs="Tahoma"/>
          <w:b/>
          <w:color w:val="auto"/>
          <w:lang w:eastAsia="es-MX"/>
        </w:rPr>
        <w:t xml:space="preserve">Motivación: </w:t>
      </w:r>
      <w:r w:rsidRPr="005C3CBC">
        <w:rPr>
          <w:rFonts w:eastAsia="Times New Roman" w:cs="Tahoma"/>
          <w:color w:val="auto"/>
          <w:lang w:eastAsia="es-MX"/>
        </w:rPr>
        <w:t>Razonamientos lógico-jurídicos sobre porque se consideró en el caso en concreto, que se ajusta a la hipótesis normativa.</w:t>
      </w:r>
    </w:p>
    <w:p w:rsidRPr="005C3CBC" w:rsidR="005C3CBC" w:rsidP="001036A9" w:rsidRDefault="005C3CBC" w14:paraId="6D1B68C6" w14:textId="77777777">
      <w:pPr>
        <w:spacing w:after="0" w:line="360" w:lineRule="auto"/>
        <w:rPr>
          <w:rFonts w:eastAsia="Calibri" w:cs="Tahoma"/>
          <w:color w:val="auto"/>
          <w:lang w:val="es-ES"/>
        </w:rPr>
      </w:pPr>
    </w:p>
    <w:p w:rsidRPr="005C3CBC" w:rsidR="005C3CBC" w:rsidP="001036A9" w:rsidRDefault="005C3CBC" w14:paraId="4F8F5A82" w14:textId="77777777">
      <w:pPr>
        <w:spacing w:after="0" w:line="360" w:lineRule="auto"/>
        <w:rPr>
          <w:rFonts w:eastAsia="Calibri" w:cs="Tahoma"/>
          <w:color w:val="auto"/>
          <w:lang w:val="es-ES"/>
        </w:rPr>
      </w:pPr>
      <w:r w:rsidRPr="005C3CBC">
        <w:rPr>
          <w:rFonts w:eastAsia="Calibri" w:cs="Tahoma"/>
          <w:color w:val="auto"/>
          <w:lang w:val="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rsidRPr="005C3CBC" w:rsidR="005C3CBC" w:rsidP="001036A9" w:rsidRDefault="005C3CBC" w14:paraId="498FFA54" w14:textId="77777777">
      <w:pPr>
        <w:spacing w:after="0" w:line="360" w:lineRule="auto"/>
        <w:rPr>
          <w:rFonts w:eastAsia="Batang" w:cs="Tahoma"/>
          <w:bCs/>
          <w:color w:val="auto"/>
          <w:lang w:val="es-ES" w:eastAsia="es-ES"/>
        </w:rPr>
      </w:pPr>
      <w:r w:rsidRPr="005C3CBC">
        <w:rPr>
          <w:rFonts w:eastAsia="Batang" w:cs="Tahoma"/>
          <w:bCs/>
          <w:color w:val="auto"/>
          <w:lang w:val="es-ES" w:eastAsia="es-ES"/>
        </w:rPr>
        <w:t xml:space="preserve"> </w:t>
      </w:r>
    </w:p>
    <w:p w:rsidRPr="005C3CBC" w:rsidR="005C3CBC" w:rsidP="001036A9" w:rsidRDefault="005C3CBC" w14:paraId="33833ED6" w14:textId="02766008">
      <w:pPr>
        <w:spacing w:after="0" w:line="360" w:lineRule="auto"/>
        <w:rPr>
          <w:rFonts w:eastAsia="Batang" w:cs="Tahoma"/>
          <w:bCs/>
          <w:color w:val="auto"/>
          <w:lang w:val="es-ES" w:eastAsia="es-ES"/>
        </w:rPr>
      </w:pPr>
      <w:r w:rsidRPr="005C3CBC">
        <w:rPr>
          <w:rFonts w:eastAsia="Batang" w:cs="Tahoma"/>
          <w:bCs/>
          <w:color w:val="auto"/>
          <w:lang w:val="es-ES" w:eastAsia="es-ES"/>
        </w:rPr>
        <w:t xml:space="preserve">En ese contexto, es de señalar que </w:t>
      </w:r>
      <w:r>
        <w:rPr>
          <w:rFonts w:eastAsia="Batang" w:cs="Tahoma"/>
          <w:bCs/>
          <w:color w:val="auto"/>
          <w:lang w:val="es-ES" w:eastAsia="es-ES"/>
        </w:rPr>
        <w:t>la Sala Auxiliar de Ecatepec</w:t>
      </w:r>
      <w:r w:rsidRPr="005C3CBC">
        <w:rPr>
          <w:rFonts w:eastAsia="Batang" w:cs="Tahoma"/>
          <w:bCs/>
          <w:color w:val="auto"/>
          <w:lang w:val="es-ES" w:eastAsia="es-ES"/>
        </w:rPr>
        <w:t xml:space="preserve">, no precisó de manera fundada y motivada las razones por las cuales, consideraba que los </w:t>
      </w:r>
      <w:r>
        <w:rPr>
          <w:rFonts w:eastAsia="Batang" w:cs="Tahoma"/>
          <w:bCs/>
          <w:color w:val="auto"/>
          <w:lang w:val="es-ES" w:eastAsia="es-ES"/>
        </w:rPr>
        <w:t>convenios</w:t>
      </w:r>
      <w:r w:rsidRPr="005C3CBC">
        <w:rPr>
          <w:rFonts w:eastAsia="Batang" w:cs="Tahoma"/>
          <w:bCs/>
          <w:color w:val="auto"/>
          <w:lang w:val="es-ES" w:eastAsia="es-ES"/>
        </w:rPr>
        <w:t xml:space="preserve"> estaban clasificados en su totalidad; ni el Comité de Transparencia emitió el acuerdo que confirmará dicha circunstancia.</w:t>
      </w:r>
    </w:p>
    <w:p w:rsidRPr="005C3CBC" w:rsidR="005C3CBC" w:rsidP="001036A9" w:rsidRDefault="005C3CBC" w14:paraId="4D0E54CF" w14:textId="77777777">
      <w:pPr>
        <w:spacing w:after="0" w:line="360" w:lineRule="auto"/>
        <w:rPr>
          <w:rFonts w:eastAsia="Batang" w:cs="Tahoma"/>
          <w:bCs/>
          <w:color w:val="auto"/>
          <w:lang w:val="es-ES" w:eastAsia="es-ES"/>
        </w:rPr>
      </w:pPr>
    </w:p>
    <w:p w:rsidRPr="005C3CBC" w:rsidR="005C3CBC" w:rsidP="001036A9" w:rsidRDefault="005C3CBC" w14:paraId="39D86476" w14:textId="79C50ED1">
      <w:pPr>
        <w:tabs>
          <w:tab w:val="left" w:pos="4962"/>
        </w:tabs>
        <w:spacing w:after="0" w:line="360" w:lineRule="auto"/>
        <w:rPr>
          <w:rFonts w:eastAsia="Calibri" w:cs="Tahoma"/>
          <w:iCs/>
          <w:color w:val="auto"/>
          <w:lang w:val="es-ES" w:eastAsia="es-ES_tradnl"/>
        </w:rPr>
      </w:pPr>
      <w:r w:rsidRPr="005C3CBC">
        <w:rPr>
          <w:rFonts w:eastAsia="Calibri" w:cs="Tahoma"/>
          <w:iCs/>
          <w:color w:val="auto"/>
          <w:lang w:val="es-ES" w:eastAsia="es-ES_tradnl"/>
        </w:rPr>
        <w:lastRenderedPageBreak/>
        <w:t xml:space="preserve">Lo anterior toma relevancia, pues conforme a los artículos 70, fracción </w:t>
      </w:r>
      <w:r>
        <w:rPr>
          <w:rFonts w:eastAsia="Calibri" w:cs="Tahoma"/>
          <w:iCs/>
          <w:color w:val="auto"/>
          <w:lang w:val="es-ES" w:eastAsia="es-ES_tradnl"/>
        </w:rPr>
        <w:t>XXXVI</w:t>
      </w:r>
      <w:r w:rsidRPr="005C3CBC">
        <w:rPr>
          <w:rFonts w:eastAsia="Calibri" w:cs="Tahoma"/>
          <w:iCs/>
          <w:color w:val="auto"/>
          <w:lang w:val="es-ES" w:eastAsia="es-ES_tradnl"/>
        </w:rPr>
        <w:t xml:space="preserve">, de la Ley General de Transparencia y Acceso a la Información Pública, y el 92, fracción </w:t>
      </w:r>
      <w:r>
        <w:rPr>
          <w:rFonts w:eastAsia="Calibri" w:cs="Tahoma"/>
          <w:iCs/>
          <w:color w:val="auto"/>
          <w:lang w:val="es-ES" w:eastAsia="es-ES_tradnl"/>
        </w:rPr>
        <w:t>XL</w:t>
      </w:r>
      <w:r w:rsidRPr="005C3CBC">
        <w:rPr>
          <w:rFonts w:eastAsia="Calibri" w:cs="Tahoma"/>
          <w:iCs/>
          <w:color w:val="auto"/>
          <w:lang w:val="es-ES" w:eastAsia="es-ES_tradnl"/>
        </w:rPr>
        <w:t>, de la Ley de Transparencia y Acceso a la Información Pública del Estado de México y Municipios, precisa</w:t>
      </w:r>
      <w:r>
        <w:rPr>
          <w:rFonts w:eastAsia="Calibri" w:cs="Tahoma"/>
          <w:iCs/>
          <w:color w:val="auto"/>
          <w:lang w:val="es-ES" w:eastAsia="es-ES_tradnl"/>
        </w:rPr>
        <w:t>n</w:t>
      </w:r>
      <w:r w:rsidRPr="005C3CBC">
        <w:rPr>
          <w:rFonts w:eastAsia="Calibri" w:cs="Tahoma"/>
          <w:iCs/>
          <w:color w:val="auto"/>
          <w:lang w:val="es-ES" w:eastAsia="es-ES_tradnl"/>
        </w:rPr>
        <w:t xml:space="preserve"> que será una obligación común de todos los sujetos obligados, publicar </w:t>
      </w:r>
      <w:r>
        <w:rPr>
          <w:rFonts w:eastAsia="Calibri" w:cs="Tahoma"/>
          <w:iCs/>
          <w:color w:val="auto"/>
          <w:lang w:val="es-ES" w:eastAsia="es-ES_tradnl"/>
        </w:rPr>
        <w:t>los laudos y resoluciones que se emitan en proceso o procedimientos seguidos en forma de juicio</w:t>
      </w:r>
      <w:r w:rsidRPr="005C3CBC">
        <w:rPr>
          <w:rFonts w:eastAsia="Calibri" w:cs="Tahoma"/>
          <w:iCs/>
          <w:color w:val="auto"/>
          <w:lang w:val="es-ES" w:eastAsia="es-ES_tradnl"/>
        </w:rPr>
        <w:t>.</w:t>
      </w:r>
    </w:p>
    <w:p w:rsidRPr="005C3CBC" w:rsidR="005C3CBC" w:rsidP="001036A9" w:rsidRDefault="005C3CBC" w14:paraId="3D92E5D9" w14:textId="77777777">
      <w:pPr>
        <w:spacing w:after="0" w:line="360" w:lineRule="auto"/>
        <w:rPr>
          <w:rFonts w:eastAsia="Batang" w:cs="Tahoma"/>
          <w:bCs/>
          <w:color w:val="auto"/>
          <w:lang w:val="es-ES" w:eastAsia="es-ES"/>
        </w:rPr>
      </w:pPr>
    </w:p>
    <w:p w:rsidRPr="005C3CBC" w:rsidR="005C3CBC" w:rsidP="001036A9" w:rsidRDefault="005C3CBC" w14:paraId="47888DA6" w14:textId="37212D4B">
      <w:pPr>
        <w:spacing w:after="0" w:line="360" w:lineRule="auto"/>
        <w:rPr>
          <w:rFonts w:eastAsia="Calibri" w:cs="Tahoma"/>
          <w:iCs/>
          <w:color w:val="auto"/>
          <w:lang w:val="es-ES" w:eastAsia="es-ES_tradnl"/>
        </w:rPr>
      </w:pPr>
      <w:r w:rsidRPr="005C3CBC">
        <w:rPr>
          <w:rFonts w:eastAsia="Batang" w:cs="Tahoma"/>
          <w:bCs/>
          <w:color w:val="auto"/>
          <w:lang w:val="es-ES" w:eastAsia="es-ES"/>
        </w:rPr>
        <w:t xml:space="preserve">Además, es de referir que no resulta un argumento procedente, el hecho de que procede la clasificación total, cuando un documento contenga datos personales, pues </w:t>
      </w:r>
      <w:r w:rsidRPr="005C3CBC">
        <w:rPr>
          <w:rFonts w:eastAsia="Calibri" w:cs="Tahoma"/>
          <w:iCs/>
          <w:color w:val="auto"/>
          <w:lang w:val="es-ES" w:eastAsia="es-ES_tradnl"/>
        </w:rPr>
        <w:t>es de recordar que se pueden generar versiones públicas</w:t>
      </w:r>
      <w:r w:rsidR="00EE0094">
        <w:rPr>
          <w:rFonts w:eastAsia="Calibri" w:cs="Tahoma"/>
          <w:iCs/>
          <w:color w:val="auto"/>
          <w:lang w:val="es-ES" w:eastAsia="es-ES_tradnl"/>
        </w:rPr>
        <w:t>.</w:t>
      </w:r>
    </w:p>
    <w:p w:rsidRPr="005C3CBC" w:rsidR="005C3CBC" w:rsidP="001036A9" w:rsidRDefault="005C3CBC" w14:paraId="5CAEEEA6" w14:textId="77777777">
      <w:pPr>
        <w:tabs>
          <w:tab w:val="left" w:pos="4962"/>
        </w:tabs>
        <w:spacing w:after="0" w:line="360" w:lineRule="auto"/>
        <w:rPr>
          <w:rFonts w:eastAsia="Calibri" w:cs="Tahoma"/>
          <w:iCs/>
          <w:color w:val="auto"/>
          <w:lang w:val="es-ES" w:eastAsia="es-ES_tradnl"/>
        </w:rPr>
      </w:pPr>
    </w:p>
    <w:p w:rsidRPr="005C3CBC" w:rsidR="005C3CBC" w:rsidP="001036A9" w:rsidRDefault="005C3CBC" w14:paraId="3E062BE0" w14:textId="77777777">
      <w:pPr>
        <w:spacing w:after="0" w:line="360" w:lineRule="auto"/>
        <w:rPr>
          <w:rFonts w:eastAsia="Batang" w:cs="Tahoma"/>
          <w:bCs/>
          <w:color w:val="auto"/>
          <w:lang w:val="es-ES" w:eastAsia="es-ES"/>
        </w:rPr>
      </w:pPr>
      <w:r w:rsidRPr="005C3CBC">
        <w:rPr>
          <w:rFonts w:eastAsia="Batang" w:cs="Tahoma"/>
          <w:bCs/>
          <w:color w:val="auto"/>
          <w:lang w:val="es-ES" w:eastAsia="es-ES"/>
        </w:rPr>
        <w:t>Sobre esta situación, los artículos 111 de la Ley General de Transparencia y Acceso a la Información Pública y el 137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5C3CBC" w:rsidR="005C3CBC" w:rsidP="001036A9" w:rsidRDefault="005C3CBC" w14:paraId="0DCDF47D" w14:textId="77777777">
      <w:pPr>
        <w:spacing w:after="0" w:line="360" w:lineRule="auto"/>
        <w:rPr>
          <w:rFonts w:eastAsia="Calibri" w:cs="Tahoma"/>
          <w:iCs/>
          <w:color w:val="auto"/>
          <w:lang w:val="es-ES" w:eastAsia="es-ES_tradnl"/>
        </w:rPr>
      </w:pPr>
    </w:p>
    <w:p w:rsidRPr="005C3CBC" w:rsidR="005C3CBC" w:rsidP="001036A9" w:rsidRDefault="005C3CBC" w14:paraId="31291728" w14:textId="77777777">
      <w:pPr>
        <w:spacing w:after="0" w:line="360" w:lineRule="auto"/>
        <w:rPr>
          <w:rFonts w:eastAsia="Calibri" w:cs="Tahoma"/>
          <w:color w:val="auto"/>
          <w:lang w:val="es-ES"/>
        </w:rPr>
      </w:pPr>
      <w:r w:rsidRPr="005C3CBC">
        <w:rPr>
          <w:rFonts w:eastAsia="Calibri" w:cs="Tahoma"/>
          <w:iCs/>
          <w:color w:val="auto"/>
          <w:lang w:val="es-ES" w:eastAsia="es-ES_tradnl"/>
        </w:rPr>
        <w:t xml:space="preserve">Sobre lo anterior, </w:t>
      </w:r>
      <w:r w:rsidRPr="005C3CBC">
        <w:rPr>
          <w:rFonts w:eastAsia="Calibri" w:cs="Times New Roman"/>
          <w:color w:val="auto"/>
          <w:lang w:val="es-ES"/>
        </w:rPr>
        <w:t xml:space="preserve">según Moreno, Jimena </w:t>
      </w:r>
      <w:r w:rsidRPr="005C3CBC">
        <w:rPr>
          <w:rFonts w:eastAsia="Calibri" w:cs="Tahoma"/>
          <w:color w:val="auto"/>
          <w:lang w:val="es-ES"/>
        </w:rPr>
        <w:t>(2019), en el “Diccionario de Transparencia y Acceso a la Información Pública” (pp. 377 y 378), una versión pública es el documento que contiene secciones testadas, que se ocultan por contener datos personales, información reservada o aquella que no deba, ni pueda ser entregada en función de su naturaleza de la información.</w:t>
      </w:r>
    </w:p>
    <w:p w:rsidRPr="005C3CBC" w:rsidR="005C3CBC" w:rsidP="001036A9" w:rsidRDefault="005C3CBC" w14:paraId="106A38C5" w14:textId="77777777">
      <w:pPr>
        <w:spacing w:after="0" w:line="360" w:lineRule="auto"/>
        <w:rPr>
          <w:rFonts w:eastAsia="Calibri" w:cs="Tahoma"/>
          <w:color w:val="auto"/>
          <w:lang w:val="es-ES"/>
        </w:rPr>
      </w:pPr>
    </w:p>
    <w:p w:rsidRPr="005C3CBC" w:rsidR="005C3CBC" w:rsidP="001036A9" w:rsidRDefault="005C3CBC" w14:paraId="56108BDF" w14:textId="77777777">
      <w:pPr>
        <w:spacing w:after="0" w:line="360" w:lineRule="auto"/>
        <w:rPr>
          <w:rFonts w:eastAsia="Calibri" w:cs="Tahoma"/>
          <w:iCs/>
          <w:color w:val="auto"/>
          <w:lang w:val="es-ES" w:eastAsia="es-ES_tradnl"/>
        </w:rPr>
      </w:pPr>
      <w:r w:rsidRPr="005C3CBC">
        <w:rPr>
          <w:rFonts w:eastAsia="Calibri" w:cs="Tahoma"/>
          <w:color w:val="auto"/>
          <w:lang w:val="es-ES"/>
        </w:rPr>
        <w:t xml:space="preserve">De la misma manera, el artículo 3°, fracción XXI, de la Ley General de Transparencia y Acceso a la Información Pública, el 3°, fracción XLV, de la Ley de Transparencia y Acceso a la Información Pública del Estado de México y Municipios y el Quincuagésimo Sexto, de los Lineamientos generales en materia de clasificación y desclasificación de la información, así </w:t>
      </w:r>
      <w:r w:rsidRPr="005C3CBC">
        <w:rPr>
          <w:rFonts w:eastAsia="Calibri" w:cs="Tahoma"/>
          <w:color w:val="auto"/>
          <w:lang w:val="es-ES"/>
        </w:rPr>
        <w:lastRenderedPageBreak/>
        <w:t>como para la elaboración de versiones públicas, establecen que la versión pública es un documento o expediente que contiene partes o secciones reservadas o confidenciales; c</w:t>
      </w:r>
      <w:r w:rsidRPr="005C3CBC">
        <w:rPr>
          <w:rFonts w:eastAsia="Calibri" w:cs="Tahoma"/>
          <w:iCs/>
          <w:color w:val="auto"/>
          <w:lang w:val="es-ES" w:eastAsia="es-ES_tradnl"/>
        </w:rPr>
        <w:t xml:space="preserve">omo se puede observar, los Sujeto Obligados están constreñidos a elaborar la versión pública de los documentos de naturaleza pública contengan información clasificada y conceder su acceso. </w:t>
      </w:r>
    </w:p>
    <w:p w:rsidR="00600EAA" w:rsidP="001036A9" w:rsidRDefault="00600EAA" w14:paraId="1D1449F5" w14:textId="0ED36FF0">
      <w:pPr>
        <w:spacing w:after="0" w:line="360" w:lineRule="auto"/>
        <w:rPr>
          <w:rFonts w:eastAsia="Times New Roman" w:cs="Tahoma"/>
          <w:iCs/>
          <w:color w:val="auto"/>
          <w:lang w:val="es-ES" w:eastAsia="es-ES"/>
        </w:rPr>
      </w:pPr>
    </w:p>
    <w:p w:rsidR="00EE0094" w:rsidP="001036A9" w:rsidRDefault="00ED5CD4" w14:paraId="607A0DEC" w14:textId="5120BACF">
      <w:pPr>
        <w:spacing w:after="0" w:line="360" w:lineRule="auto"/>
        <w:rPr>
          <w:rFonts w:eastAsia="Times New Roman" w:cs="Tahoma"/>
          <w:iCs/>
          <w:color w:val="auto"/>
          <w:lang w:val="es-ES" w:eastAsia="es-ES"/>
        </w:rPr>
      </w:pPr>
      <w:r>
        <w:rPr>
          <w:rFonts w:eastAsia="Times New Roman" w:cs="Tahoma"/>
          <w:iCs/>
          <w:color w:val="auto"/>
          <w:lang w:val="es-ES" w:eastAsia="es-ES"/>
        </w:rPr>
        <w:t>Conforme a lo anterior, se logra vislumbrar que el Sujeto Obligado, no atendió de manera correcta la solicitud de información, pues estaba en posibilidades</w:t>
      </w:r>
      <w:r w:rsidR="00943515">
        <w:rPr>
          <w:rFonts w:eastAsia="Times New Roman" w:cs="Tahoma"/>
          <w:iCs/>
          <w:color w:val="auto"/>
          <w:lang w:val="es-ES" w:eastAsia="es-ES"/>
        </w:rPr>
        <w:t xml:space="preserve"> de proporcionar los convenios solicitados, en versión pública, clasificando los datos confidenciales, tal como se analizará en párrafos posteriores.</w:t>
      </w:r>
    </w:p>
    <w:p w:rsidR="00EE0094" w:rsidP="001036A9" w:rsidRDefault="00EE0094" w14:paraId="3368FBA0" w14:textId="5D89FBEB">
      <w:pPr>
        <w:spacing w:after="0" w:line="360" w:lineRule="auto"/>
        <w:rPr>
          <w:rFonts w:eastAsia="Times New Roman" w:cs="Tahoma"/>
          <w:iCs/>
          <w:color w:val="auto"/>
          <w:lang w:val="es-ES" w:eastAsia="es-ES"/>
        </w:rPr>
      </w:pPr>
    </w:p>
    <w:p w:rsidRPr="00762A72" w:rsidR="001276BD" w:rsidP="001036A9" w:rsidRDefault="00943515" w14:paraId="5654454A" w14:textId="61862DB2">
      <w:pPr>
        <w:spacing w:after="0" w:line="360" w:lineRule="auto"/>
        <w:rPr>
          <w:rFonts w:eastAsia="Times New Roman" w:cs="Tahoma"/>
          <w:iCs/>
          <w:color w:val="auto"/>
          <w:lang w:eastAsia="es-ES"/>
        </w:rPr>
      </w:pPr>
      <w:r>
        <w:rPr>
          <w:rFonts w:eastAsia="Times New Roman" w:cs="Tahoma"/>
          <w:iCs/>
          <w:color w:val="auto"/>
          <w:lang w:eastAsia="es-ES"/>
        </w:rPr>
        <w:t>Ahora bien, por exhaustividad, es necesario señalar que la Sala Auxiliar señaló que sus expedientes estaban reservados, al actualizar la causal del artículo 140, fracciones VI y VIII, de la Ley de la materia; sobre esta situación</w:t>
      </w:r>
      <w:r w:rsidRPr="00762A72" w:rsidR="003B31C7">
        <w:rPr>
          <w:rFonts w:eastAsia="Times New Roman" w:cs="Tahoma"/>
          <w:iCs/>
          <w:color w:val="auto"/>
          <w:lang w:val="es-ES" w:eastAsia="es-ES"/>
        </w:rPr>
        <w:t xml:space="preserve">, </w:t>
      </w:r>
      <w:r w:rsidRPr="00762A72" w:rsidR="001276BD">
        <w:rPr>
          <w:rFonts w:eastAsia="Times New Roman" w:cs="Tahoma"/>
          <w:iCs/>
          <w:color w:val="auto"/>
          <w:lang w:eastAsia="es-ES"/>
        </w:rPr>
        <w:t>el Trigésimo tercero de los Lineamientos Generales, establece la forma en que se debe fundamentar y motivar la reserva de la información, es decir, a través de los siguientes pasos:</w:t>
      </w:r>
    </w:p>
    <w:p w:rsidRPr="00762A72" w:rsidR="001276BD" w:rsidP="001036A9" w:rsidRDefault="001276BD" w14:paraId="79F2FA27" w14:textId="77777777">
      <w:pPr>
        <w:spacing w:after="0" w:line="360" w:lineRule="auto"/>
        <w:rPr>
          <w:rFonts w:eastAsia="Times New Roman" w:cs="Tahoma"/>
          <w:iCs/>
          <w:color w:val="auto"/>
          <w:lang w:eastAsia="es-ES"/>
        </w:rPr>
      </w:pPr>
    </w:p>
    <w:p w:rsidRPr="00762A72" w:rsidR="00FC1269" w:rsidP="001036A9" w:rsidRDefault="001276BD" w14:paraId="6DF11F8D" w14:textId="77777777">
      <w:pPr>
        <w:pStyle w:val="Prrafodelista"/>
        <w:numPr>
          <w:ilvl w:val="0"/>
          <w:numId w:val="14"/>
        </w:numPr>
        <w:spacing w:line="360" w:lineRule="auto"/>
        <w:rPr>
          <w:rFonts w:cs="Tahoma"/>
          <w:iCs/>
          <w:color w:val="auto"/>
          <w:sz w:val="22"/>
          <w:szCs w:val="22"/>
        </w:rPr>
      </w:pPr>
      <w:r w:rsidRPr="00762A72">
        <w:rPr>
          <w:rFonts w:cs="Tahoma"/>
          <w:iCs/>
          <w:color w:val="auto"/>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762A72" w:rsidR="00DF732A" w:rsidP="001036A9" w:rsidRDefault="00DF732A" w14:paraId="738557BB" w14:textId="77777777">
      <w:pPr>
        <w:pStyle w:val="Prrafodelista"/>
        <w:spacing w:line="360" w:lineRule="auto"/>
        <w:rPr>
          <w:rFonts w:cs="Tahoma"/>
          <w:iCs/>
          <w:color w:val="auto"/>
          <w:sz w:val="22"/>
          <w:szCs w:val="22"/>
        </w:rPr>
      </w:pPr>
    </w:p>
    <w:p w:rsidRPr="00762A72" w:rsidR="00DF732A" w:rsidP="001036A9" w:rsidRDefault="001276BD" w14:paraId="246BC1FC" w14:textId="6B11506A">
      <w:pPr>
        <w:pStyle w:val="Prrafodelista"/>
        <w:numPr>
          <w:ilvl w:val="0"/>
          <w:numId w:val="14"/>
        </w:numPr>
        <w:spacing w:line="360" w:lineRule="auto"/>
        <w:rPr>
          <w:rFonts w:cs="Tahoma"/>
          <w:iCs/>
          <w:color w:val="auto"/>
          <w:sz w:val="22"/>
          <w:szCs w:val="22"/>
        </w:rPr>
      </w:pPr>
      <w:r w:rsidRPr="00762A72">
        <w:rPr>
          <w:rFonts w:cs="Tahoma"/>
          <w:iCs/>
          <w:color w:val="auto"/>
          <w:sz w:val="22"/>
          <w:szCs w:val="22"/>
        </w:rPr>
        <w:t>Se deberá demostrar que la publicidad de la información generaría un riesgo de perjuicio, que rebasa el interés público;</w:t>
      </w:r>
    </w:p>
    <w:p w:rsidRPr="00762A72" w:rsidR="00DF732A" w:rsidP="001036A9" w:rsidRDefault="00DF732A" w14:paraId="4C383C3D" w14:textId="77777777">
      <w:pPr>
        <w:pStyle w:val="Prrafodelista"/>
        <w:spacing w:line="360" w:lineRule="auto"/>
        <w:rPr>
          <w:rFonts w:cs="Tahoma"/>
          <w:iCs/>
          <w:color w:val="auto"/>
          <w:sz w:val="22"/>
          <w:szCs w:val="22"/>
        </w:rPr>
      </w:pPr>
    </w:p>
    <w:p w:rsidRPr="00762A72" w:rsidR="00DF732A" w:rsidP="001036A9" w:rsidRDefault="001276BD" w14:paraId="428753BB" w14:textId="6F260AB5">
      <w:pPr>
        <w:pStyle w:val="Prrafodelista"/>
        <w:numPr>
          <w:ilvl w:val="0"/>
          <w:numId w:val="14"/>
        </w:numPr>
        <w:spacing w:line="360" w:lineRule="auto"/>
        <w:rPr>
          <w:rFonts w:cs="Tahoma"/>
          <w:iCs/>
          <w:color w:val="auto"/>
          <w:sz w:val="22"/>
          <w:szCs w:val="22"/>
        </w:rPr>
      </w:pPr>
      <w:r w:rsidRPr="00762A72">
        <w:rPr>
          <w:rFonts w:cs="Tahoma"/>
          <w:iCs/>
          <w:color w:val="auto"/>
          <w:sz w:val="22"/>
          <w:szCs w:val="22"/>
        </w:rPr>
        <w:t>Se acreditará el vínculo entre la difusión de la información y la afectación del interés jurídico tutelado;</w:t>
      </w:r>
    </w:p>
    <w:p w:rsidRPr="00762A72" w:rsidR="00DF732A" w:rsidP="001036A9" w:rsidRDefault="00DF732A" w14:paraId="3E6D9C71" w14:textId="77777777">
      <w:pPr>
        <w:spacing w:after="0" w:line="360" w:lineRule="auto"/>
        <w:rPr>
          <w:rFonts w:cs="Tahoma"/>
          <w:iCs/>
          <w:color w:val="auto"/>
        </w:rPr>
      </w:pPr>
    </w:p>
    <w:p w:rsidRPr="00762A72" w:rsidR="00DF732A" w:rsidP="001036A9" w:rsidRDefault="001276BD" w14:paraId="4D0FA05A" w14:textId="22BF1A57">
      <w:pPr>
        <w:pStyle w:val="Prrafodelista"/>
        <w:numPr>
          <w:ilvl w:val="0"/>
          <w:numId w:val="14"/>
        </w:numPr>
        <w:spacing w:line="360" w:lineRule="auto"/>
        <w:rPr>
          <w:rFonts w:cs="Tahoma"/>
          <w:iCs/>
          <w:color w:val="auto"/>
          <w:sz w:val="22"/>
          <w:szCs w:val="22"/>
        </w:rPr>
      </w:pPr>
      <w:r w:rsidRPr="00762A72">
        <w:rPr>
          <w:rFonts w:cs="Tahoma"/>
          <w:iCs/>
          <w:color w:val="auto"/>
          <w:sz w:val="22"/>
          <w:szCs w:val="22"/>
        </w:rPr>
        <w:lastRenderedPageBreak/>
        <w:t>Se precisará las razones objetivas por las que la apertura de la información generaría una afectación, por medio del riesgo real, demostrable e identificable;</w:t>
      </w:r>
    </w:p>
    <w:p w:rsidRPr="00762A72" w:rsidR="00DF732A" w:rsidP="001036A9" w:rsidRDefault="00DF732A" w14:paraId="3B086B78" w14:textId="77777777">
      <w:pPr>
        <w:pStyle w:val="Prrafodelista"/>
        <w:spacing w:line="360" w:lineRule="auto"/>
        <w:rPr>
          <w:rFonts w:cs="Tahoma"/>
          <w:iCs/>
          <w:color w:val="auto"/>
          <w:sz w:val="22"/>
          <w:szCs w:val="22"/>
        </w:rPr>
      </w:pPr>
    </w:p>
    <w:p w:rsidRPr="00762A72" w:rsidR="00DF732A" w:rsidP="001036A9" w:rsidRDefault="001276BD" w14:paraId="7FFF1FBD" w14:textId="53BFC9DC">
      <w:pPr>
        <w:pStyle w:val="Prrafodelista"/>
        <w:numPr>
          <w:ilvl w:val="0"/>
          <w:numId w:val="14"/>
        </w:numPr>
        <w:spacing w:line="360" w:lineRule="auto"/>
        <w:rPr>
          <w:rFonts w:cs="Tahoma"/>
          <w:iCs/>
          <w:color w:val="auto"/>
          <w:sz w:val="22"/>
          <w:szCs w:val="22"/>
        </w:rPr>
      </w:pPr>
      <w:r w:rsidRPr="00762A72">
        <w:rPr>
          <w:rFonts w:cs="Tahoma"/>
          <w:iCs/>
          <w:color w:val="auto"/>
          <w:sz w:val="22"/>
          <w:szCs w:val="22"/>
        </w:rPr>
        <w:t>Se deberán señalar las circunstancias de modo, tiempo y lugar del daño, y</w:t>
      </w:r>
    </w:p>
    <w:p w:rsidRPr="00762A72" w:rsidR="00DF732A" w:rsidP="001036A9" w:rsidRDefault="00DF732A" w14:paraId="34CB8D79" w14:textId="77777777">
      <w:pPr>
        <w:pStyle w:val="Prrafodelista"/>
        <w:spacing w:line="360" w:lineRule="auto"/>
        <w:rPr>
          <w:rFonts w:cs="Tahoma"/>
          <w:iCs/>
          <w:color w:val="auto"/>
          <w:sz w:val="22"/>
          <w:szCs w:val="22"/>
        </w:rPr>
      </w:pPr>
    </w:p>
    <w:p w:rsidRPr="00762A72" w:rsidR="001276BD" w:rsidP="001036A9" w:rsidRDefault="001276BD" w14:paraId="3CF40FD1" w14:textId="4CDA69D1">
      <w:pPr>
        <w:pStyle w:val="Prrafodelista"/>
        <w:numPr>
          <w:ilvl w:val="0"/>
          <w:numId w:val="14"/>
        </w:numPr>
        <w:spacing w:line="360" w:lineRule="auto"/>
        <w:rPr>
          <w:rFonts w:cs="Tahoma"/>
          <w:iCs/>
          <w:color w:val="auto"/>
        </w:rPr>
      </w:pPr>
      <w:r w:rsidRPr="00762A72">
        <w:rPr>
          <w:rFonts w:cs="Tahoma"/>
          <w:iCs/>
          <w:color w:val="auto"/>
          <w:sz w:val="22"/>
          <w:szCs w:val="22"/>
        </w:rPr>
        <w:t>Se elegirá la opción de excepción al acceso a la información que menos restrinja, la cual será adecuada y proporcional para la protección del interés público</w:t>
      </w:r>
      <w:r w:rsidRPr="00762A72">
        <w:rPr>
          <w:rFonts w:cs="Tahoma"/>
          <w:iCs/>
          <w:color w:val="auto"/>
        </w:rPr>
        <w:t>.</w:t>
      </w:r>
    </w:p>
    <w:p w:rsidR="001276BD" w:rsidP="001036A9" w:rsidRDefault="001276BD" w14:paraId="7A0F9B51" w14:textId="399E65F7">
      <w:pPr>
        <w:spacing w:after="0" w:line="360" w:lineRule="auto"/>
        <w:rPr>
          <w:rFonts w:eastAsia="Times New Roman" w:cs="Tahoma"/>
          <w:iCs/>
          <w:color w:val="auto"/>
          <w:lang w:eastAsia="es-ES"/>
        </w:rPr>
      </w:pPr>
    </w:p>
    <w:p w:rsidR="00EC1855" w:rsidP="001036A9" w:rsidRDefault="00EC1855" w14:paraId="71B7E035" w14:textId="566674E6">
      <w:pPr>
        <w:spacing w:after="0" w:line="360" w:lineRule="auto"/>
        <w:rPr>
          <w:rFonts w:eastAsia="Calibri" w:cs="Tahoma"/>
          <w:bCs/>
          <w:color w:val="0D0D0D" w:themeColor="text1" w:themeTint="F2"/>
        </w:rPr>
      </w:pPr>
      <w:r>
        <w:rPr>
          <w:rFonts w:eastAsia="Calibri" w:cs="Tahoma"/>
          <w:bCs/>
          <w:color w:val="0D0D0D" w:themeColor="text1" w:themeTint="F2"/>
        </w:rPr>
        <w:t>Ahora bien, de la revisión de las constancias que obran en el expediente, se logra advertir que el Sujeto Obligado, no fundamentó y motivó la reserva, pues no realizó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aunado a que tampoco proporcionó el Acuerdo emitido por el Comité de Transparencia.</w:t>
      </w:r>
    </w:p>
    <w:p w:rsidR="001036A9" w:rsidP="001036A9" w:rsidRDefault="001036A9" w14:paraId="339F8475" w14:textId="77777777">
      <w:pPr>
        <w:spacing w:after="0" w:line="360" w:lineRule="auto"/>
        <w:rPr>
          <w:rFonts w:eastAsia="Calibri" w:cs="Tahoma"/>
          <w:b/>
          <w:color w:val="0D0D0D" w:themeColor="text1" w:themeTint="F2"/>
        </w:rPr>
      </w:pPr>
    </w:p>
    <w:p w:rsidR="001036A9" w:rsidP="001036A9" w:rsidRDefault="001036A9" w14:paraId="7DACD050" w14:textId="50ED82A0">
      <w:pPr>
        <w:spacing w:after="0" w:line="360" w:lineRule="auto"/>
        <w:rPr>
          <w:rFonts w:eastAsia="Times New Roman" w:cs="Tahoma"/>
          <w:color w:val="0D0D0D" w:themeColor="text1" w:themeTint="F2"/>
          <w:lang w:val="es-ES"/>
        </w:rPr>
      </w:pPr>
      <w:r>
        <w:rPr>
          <w:rFonts w:eastAsia="Calibri" w:cs="Tahoma"/>
          <w:bCs/>
          <w:color w:val="0D0D0D" w:themeColor="text1" w:themeTint="F2"/>
        </w:rPr>
        <w:t xml:space="preserve">Sin menoscabar lo anterior, </w:t>
      </w:r>
      <w:r>
        <w:rPr>
          <w:rFonts w:cs="Tahoma"/>
          <w:color w:val="0D0D0D" w:themeColor="text1" w:themeTint="F2"/>
          <w:lang w:val="es-ES"/>
        </w:rPr>
        <w:t>se procede a analizar si los cuatrocientos cinco convenios, actualizan la causal de clasificación establecida en el artículo 140, fracciones VI y VIII, de la Ley de Transparencia y Acceso a la Información Pública del Estado de México y Municipios (homólogo al 113, fracción XI, de la Ley General de Transparencia y Acceso a la Información Pública), mismo que establece que será información reservada, aquella que vulnere la conducción de los expedientes judiciales o de los procedimientos administrativos seguidos en forma de juicio, en tanto no hayan causado estado.</w:t>
      </w:r>
    </w:p>
    <w:p w:rsidR="001036A9" w:rsidP="001036A9" w:rsidRDefault="001036A9" w14:paraId="69C09940" w14:textId="77777777">
      <w:pPr>
        <w:spacing w:after="0" w:line="360" w:lineRule="auto"/>
        <w:rPr>
          <w:rFonts w:cs="Tahoma"/>
          <w:color w:val="0D0D0D" w:themeColor="text1" w:themeTint="F2"/>
          <w:lang w:val="es-ES"/>
        </w:rPr>
      </w:pPr>
    </w:p>
    <w:p w:rsidR="001036A9" w:rsidP="001036A9" w:rsidRDefault="001036A9" w14:paraId="1CC426C3" w14:textId="77777777">
      <w:pPr>
        <w:spacing w:after="0" w:line="360" w:lineRule="auto"/>
        <w:rPr>
          <w:rFonts w:cs="Tahoma"/>
          <w:color w:val="0D0D0D" w:themeColor="text1" w:themeTint="F2"/>
          <w:lang w:val="es-ES"/>
        </w:rPr>
      </w:pPr>
      <w:r>
        <w:rPr>
          <w:rFonts w:cs="Tahoma"/>
          <w:color w:val="0D0D0D" w:themeColor="text1" w:themeTint="F2"/>
          <w:lang w:val="es-ES"/>
        </w:rPr>
        <w:t>En ese sentido, los Lineamientos Generales prevén lo siguiente:</w:t>
      </w:r>
    </w:p>
    <w:p w:rsidR="001036A9" w:rsidP="001036A9" w:rsidRDefault="001036A9" w14:paraId="2C0FB9A5" w14:textId="77777777">
      <w:pPr>
        <w:spacing w:after="0" w:line="360" w:lineRule="auto"/>
        <w:rPr>
          <w:rFonts w:cs="Tahoma"/>
          <w:color w:val="0D0D0D" w:themeColor="text1" w:themeTint="F2"/>
          <w:lang w:val="es-ES"/>
        </w:rPr>
      </w:pPr>
    </w:p>
    <w:p w:rsidRPr="001036A9" w:rsidR="001036A9" w:rsidP="001036A9" w:rsidRDefault="001036A9" w14:paraId="7251A842" w14:textId="77777777">
      <w:pPr>
        <w:spacing w:after="0" w:line="360" w:lineRule="auto"/>
        <w:ind w:left="567" w:right="567"/>
        <w:rPr>
          <w:rFonts w:cs="Arial"/>
          <w:i/>
          <w:iCs/>
          <w:color w:val="0D0D0D" w:themeColor="text1" w:themeTint="F2"/>
          <w:sz w:val="20"/>
          <w:szCs w:val="20"/>
          <w:lang w:val="es-ES"/>
        </w:rPr>
      </w:pPr>
      <w:r w:rsidRPr="001036A9">
        <w:rPr>
          <w:rFonts w:cs="Arial"/>
          <w:b/>
          <w:i/>
          <w:iCs/>
          <w:color w:val="0D0D0D" w:themeColor="text1" w:themeTint="F2"/>
          <w:sz w:val="20"/>
          <w:szCs w:val="20"/>
          <w:lang w:val="es-ES"/>
        </w:rPr>
        <w:t>“Trigésimo.</w:t>
      </w:r>
      <w:r w:rsidRPr="001036A9">
        <w:rPr>
          <w:rFonts w:cs="Arial"/>
          <w:i/>
          <w:iCs/>
          <w:color w:val="0D0D0D" w:themeColor="text1" w:themeTint="F2"/>
          <w:sz w:val="20"/>
          <w:szCs w:val="20"/>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Pr="001036A9" w:rsidR="001036A9" w:rsidP="001036A9" w:rsidRDefault="001036A9" w14:paraId="41B0EA75" w14:textId="77777777">
      <w:pPr>
        <w:spacing w:after="0" w:line="360" w:lineRule="auto"/>
        <w:ind w:left="567" w:right="567"/>
        <w:rPr>
          <w:rFonts w:cs="Arial"/>
          <w:i/>
          <w:iCs/>
          <w:color w:val="0D0D0D" w:themeColor="text1" w:themeTint="F2"/>
          <w:sz w:val="20"/>
          <w:szCs w:val="20"/>
          <w:lang w:val="es-ES"/>
        </w:rPr>
      </w:pPr>
    </w:p>
    <w:p w:rsidRPr="001036A9" w:rsidR="001036A9" w:rsidP="001036A9" w:rsidRDefault="001036A9" w14:paraId="3B1F555C" w14:textId="77777777">
      <w:pPr>
        <w:spacing w:after="0" w:line="360" w:lineRule="auto"/>
        <w:ind w:left="567" w:right="567"/>
        <w:rPr>
          <w:rFonts w:cs="Arial"/>
          <w:i/>
          <w:iCs/>
          <w:color w:val="0D0D0D" w:themeColor="text1" w:themeTint="F2"/>
          <w:sz w:val="20"/>
          <w:szCs w:val="20"/>
          <w:lang w:val="es-ES"/>
        </w:rPr>
      </w:pPr>
      <w:r w:rsidRPr="001036A9">
        <w:rPr>
          <w:rFonts w:cs="Arial"/>
          <w:b/>
          <w:i/>
          <w:iCs/>
          <w:color w:val="0D0D0D" w:themeColor="text1" w:themeTint="F2"/>
          <w:sz w:val="20"/>
          <w:szCs w:val="20"/>
          <w:lang w:val="es-ES"/>
        </w:rPr>
        <w:t>I.</w:t>
      </w:r>
      <w:r w:rsidRPr="001036A9">
        <w:rPr>
          <w:rFonts w:cs="Arial"/>
          <w:i/>
          <w:iCs/>
          <w:color w:val="0D0D0D" w:themeColor="text1" w:themeTint="F2"/>
          <w:sz w:val="20"/>
          <w:szCs w:val="20"/>
          <w:lang w:val="es-ES"/>
        </w:rPr>
        <w:t xml:space="preserve"> La existencia de un juicio o procedimiento administrativo materialmente jurisdiccional, que se encuentre en trámite, y </w:t>
      </w:r>
    </w:p>
    <w:p w:rsidRPr="001036A9" w:rsidR="001036A9" w:rsidP="001036A9" w:rsidRDefault="001036A9" w14:paraId="3C1A6F82" w14:textId="77777777">
      <w:pPr>
        <w:spacing w:after="0" w:line="360" w:lineRule="auto"/>
        <w:ind w:left="567" w:right="567"/>
        <w:rPr>
          <w:rFonts w:cs="Arial"/>
          <w:i/>
          <w:iCs/>
          <w:color w:val="0D0D0D" w:themeColor="text1" w:themeTint="F2"/>
          <w:sz w:val="20"/>
          <w:szCs w:val="20"/>
          <w:lang w:val="es-ES"/>
        </w:rPr>
      </w:pPr>
    </w:p>
    <w:p w:rsidRPr="001036A9" w:rsidR="001036A9" w:rsidP="001036A9" w:rsidRDefault="001036A9" w14:paraId="5D3493D5" w14:textId="77777777">
      <w:pPr>
        <w:spacing w:after="0" w:line="360" w:lineRule="auto"/>
        <w:ind w:left="567" w:right="567"/>
        <w:rPr>
          <w:rFonts w:cs="Arial"/>
          <w:i/>
          <w:iCs/>
          <w:color w:val="0D0D0D" w:themeColor="text1" w:themeTint="F2"/>
          <w:sz w:val="20"/>
          <w:szCs w:val="20"/>
          <w:lang w:val="es-ES"/>
        </w:rPr>
      </w:pPr>
      <w:r w:rsidRPr="001036A9">
        <w:rPr>
          <w:rFonts w:cs="Arial"/>
          <w:b/>
          <w:i/>
          <w:iCs/>
          <w:color w:val="0D0D0D" w:themeColor="text1" w:themeTint="F2"/>
          <w:sz w:val="20"/>
          <w:szCs w:val="20"/>
          <w:lang w:val="es-ES"/>
        </w:rPr>
        <w:t>II.</w:t>
      </w:r>
      <w:r w:rsidRPr="001036A9">
        <w:rPr>
          <w:rFonts w:cs="Arial"/>
          <w:i/>
          <w:iCs/>
          <w:color w:val="0D0D0D" w:themeColor="text1" w:themeTint="F2"/>
          <w:sz w:val="20"/>
          <w:szCs w:val="20"/>
          <w:lang w:val="es-ES"/>
        </w:rPr>
        <w:t xml:space="preserve"> Que la información solicitada se refiera a actuaciones, diligencias o constancias propias del procedimiento. </w:t>
      </w:r>
    </w:p>
    <w:p w:rsidRPr="001036A9" w:rsidR="001036A9" w:rsidP="001036A9" w:rsidRDefault="001036A9" w14:paraId="033B7802" w14:textId="3AFACFC5">
      <w:pPr>
        <w:spacing w:after="0" w:line="360" w:lineRule="auto"/>
        <w:ind w:left="567" w:right="567"/>
        <w:rPr>
          <w:rFonts w:cs="Arial"/>
          <w:i/>
          <w:iCs/>
          <w:color w:val="0D0D0D" w:themeColor="text1" w:themeTint="F2"/>
          <w:sz w:val="20"/>
          <w:szCs w:val="20"/>
          <w:lang w:val="es-ES"/>
        </w:rPr>
      </w:pPr>
      <w:r>
        <w:rPr>
          <w:rFonts w:cs="Arial"/>
          <w:i/>
          <w:iCs/>
          <w:color w:val="0D0D0D" w:themeColor="text1" w:themeTint="F2"/>
          <w:sz w:val="20"/>
          <w:szCs w:val="20"/>
          <w:lang w:val="es-ES"/>
        </w:rPr>
        <w:t>…</w:t>
      </w:r>
    </w:p>
    <w:p w:rsidRPr="001036A9" w:rsidR="001036A9" w:rsidP="001036A9" w:rsidRDefault="001036A9" w14:paraId="5616D490" w14:textId="77777777">
      <w:pPr>
        <w:spacing w:after="0" w:line="360" w:lineRule="auto"/>
        <w:ind w:left="567" w:right="567"/>
        <w:rPr>
          <w:rFonts w:cs="Arial"/>
          <w:i/>
          <w:iCs/>
          <w:color w:val="0D0D0D" w:themeColor="text1" w:themeTint="F2"/>
          <w:sz w:val="20"/>
          <w:szCs w:val="20"/>
          <w:lang w:val="es-ES"/>
        </w:rPr>
      </w:pPr>
      <w:r w:rsidRPr="001036A9">
        <w:rPr>
          <w:rFonts w:cs="Arial"/>
          <w:i/>
          <w:iCs/>
          <w:color w:val="0D0D0D" w:themeColor="text1" w:themeTint="F2"/>
          <w:sz w:val="20"/>
          <w:szCs w:val="20"/>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1036A9" w:rsidP="001036A9" w:rsidRDefault="001036A9" w14:paraId="44E588B4" w14:textId="77777777">
      <w:pPr>
        <w:spacing w:after="0" w:line="360" w:lineRule="auto"/>
        <w:rPr>
          <w:rFonts w:cs="Tahoma"/>
          <w:color w:val="0D0D0D" w:themeColor="text1" w:themeTint="F2"/>
          <w:lang w:val="es-ES"/>
        </w:rPr>
      </w:pPr>
    </w:p>
    <w:p w:rsidR="001036A9" w:rsidP="001036A9" w:rsidRDefault="001036A9" w14:paraId="56B81223" w14:textId="594662E6">
      <w:pPr>
        <w:spacing w:after="0" w:line="360" w:lineRule="auto"/>
        <w:rPr>
          <w:rFonts w:cs="Tahoma"/>
          <w:color w:val="0D0D0D" w:themeColor="text1" w:themeTint="F2"/>
          <w:lang w:val="es-ES"/>
        </w:rPr>
      </w:pPr>
      <w:r>
        <w:rPr>
          <w:rFonts w:cs="Tahoma"/>
          <w:color w:val="0D0D0D" w:themeColor="text1" w:themeTint="F2"/>
          <w:lang w:val="es-ES"/>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sin embargo, establece una excepción, referente a que las resoluciones definitivas con las cuales se concluya un procedimiento, deberán entregarse en versión pública y no serán objeto de reserva.</w:t>
      </w:r>
    </w:p>
    <w:p w:rsidR="00EC1855" w:rsidP="001036A9" w:rsidRDefault="00EC1855" w14:paraId="0CBA7A7E" w14:textId="7C4CEB04">
      <w:pPr>
        <w:spacing w:after="0" w:line="360" w:lineRule="auto"/>
        <w:rPr>
          <w:rFonts w:eastAsia="Times New Roman" w:cs="Tahoma"/>
          <w:iCs/>
          <w:color w:val="auto"/>
          <w:lang w:eastAsia="es-ES"/>
        </w:rPr>
      </w:pPr>
    </w:p>
    <w:p w:rsidR="001036A9" w:rsidP="001036A9" w:rsidRDefault="00391A32" w14:paraId="2DE0F403" w14:textId="0F2769D0">
      <w:pPr>
        <w:spacing w:after="0" w:line="360" w:lineRule="auto"/>
        <w:rPr>
          <w:rFonts w:eastAsia="Times New Roman" w:cs="Tahoma"/>
          <w:iCs/>
          <w:color w:val="auto"/>
          <w:lang w:eastAsia="es-ES"/>
        </w:rPr>
      </w:pPr>
      <w:r>
        <w:rPr>
          <w:rFonts w:eastAsia="Times New Roman" w:cs="Tahoma"/>
          <w:iCs/>
          <w:color w:val="auto"/>
          <w:lang w:eastAsia="es-ES"/>
        </w:rPr>
        <w:t>En ese contexto, cabe recordar que el artículo 233 de la Ley del Trabajo de los Servidores Públicos del Estado de México y Municipios, establece que los Convenios aprobados por sus Salas Auxiliares producirán los efectos jurídicos de un laudo.</w:t>
      </w:r>
    </w:p>
    <w:p w:rsidR="00391A32" w:rsidP="001036A9" w:rsidRDefault="00391A32" w14:paraId="761313EC" w14:textId="54F029E3">
      <w:pPr>
        <w:spacing w:after="0" w:line="360" w:lineRule="auto"/>
        <w:rPr>
          <w:rFonts w:eastAsia="Times New Roman" w:cs="Tahoma"/>
          <w:iCs/>
          <w:color w:val="auto"/>
          <w:lang w:eastAsia="es-ES"/>
        </w:rPr>
      </w:pPr>
    </w:p>
    <w:p w:rsidRPr="00762A72" w:rsidR="00337A96" w:rsidP="001036A9" w:rsidRDefault="00391A32" w14:paraId="3CACDE85" w14:textId="790875C7">
      <w:pPr>
        <w:spacing w:after="0" w:line="360" w:lineRule="auto"/>
        <w:rPr>
          <w:rFonts w:eastAsia="Times New Roman" w:cs="Tahoma"/>
          <w:bCs/>
          <w:iCs/>
          <w:color w:val="auto"/>
          <w:lang w:eastAsia="es-ES"/>
        </w:rPr>
      </w:pPr>
      <w:r>
        <w:rPr>
          <w:rFonts w:eastAsia="Times New Roman" w:cs="Tahoma"/>
          <w:iCs/>
          <w:color w:val="auto"/>
          <w:lang w:eastAsia="es-ES"/>
        </w:rPr>
        <w:lastRenderedPageBreak/>
        <w:t xml:space="preserve">En ese orden de ideas, </w:t>
      </w:r>
      <w:r w:rsidRPr="00762A72" w:rsidR="00337A96">
        <w:rPr>
          <w:rFonts w:eastAsia="Times New Roman" w:cs="Tahoma"/>
          <w:bCs/>
          <w:iCs/>
          <w:color w:val="auto"/>
          <w:lang w:eastAsia="es-ES"/>
        </w:rPr>
        <w:t>el Manual de Procedimientos del Tribunal Estatal de Conciliación y Arbitraje, en su apartado IV. Descripción de los Procedimientos, establece en su punto 4.</w:t>
      </w:r>
      <w:r>
        <w:rPr>
          <w:rFonts w:eastAsia="Times New Roman" w:cs="Tahoma"/>
          <w:bCs/>
          <w:iCs/>
          <w:color w:val="auto"/>
          <w:lang w:eastAsia="es-ES"/>
        </w:rPr>
        <w:t>5, establece que un Laudo, es la resolución tomada por el Ente Recurrido, acerca de los conflictos laborales que se dan entre las dependencias públicas y sus trabajadores, el cual tendrá un valor obligatorio de sentencia.</w:t>
      </w:r>
    </w:p>
    <w:p w:rsidR="007902DD" w:rsidP="001036A9" w:rsidRDefault="007902DD" w14:paraId="7904CE55" w14:textId="486C9195">
      <w:pPr>
        <w:spacing w:after="0" w:line="360" w:lineRule="auto"/>
        <w:rPr>
          <w:rFonts w:eastAsia="Times New Roman" w:cs="Tahoma"/>
          <w:bCs/>
          <w:iCs/>
          <w:color w:val="auto"/>
          <w:lang w:eastAsia="es-ES"/>
        </w:rPr>
      </w:pPr>
    </w:p>
    <w:p w:rsidR="007902DD" w:rsidP="001036A9" w:rsidRDefault="007902DD" w14:paraId="0819E0F7" w14:textId="758A8779">
      <w:pPr>
        <w:spacing w:after="0" w:line="360" w:lineRule="auto"/>
        <w:rPr>
          <w:rFonts w:eastAsia="Times New Roman" w:cs="Tahoma"/>
          <w:bCs/>
          <w:iCs/>
          <w:color w:val="auto"/>
          <w:lang w:eastAsia="es-ES"/>
        </w:rPr>
      </w:pPr>
      <w:r>
        <w:rPr>
          <w:rFonts w:eastAsia="Times New Roman" w:cs="Tahoma"/>
          <w:bCs/>
          <w:iCs/>
          <w:color w:val="auto"/>
          <w:lang w:eastAsia="es-ES"/>
        </w:rPr>
        <w:t xml:space="preserve">Conforme a lo anterior, se puede establecer que los Convenios, al tener los mismos efectos jurídicos de un laudo, son documentos que dan por concluidos de manera definitiva, un conflicto laboral y, por lo tanto, estos actualizan </w:t>
      </w:r>
      <w:r w:rsidR="000F1342">
        <w:rPr>
          <w:rFonts w:eastAsia="Times New Roman" w:cs="Tahoma"/>
          <w:bCs/>
          <w:iCs/>
          <w:color w:val="auto"/>
          <w:lang w:eastAsia="es-ES"/>
        </w:rPr>
        <w:t>la</w:t>
      </w:r>
      <w:r>
        <w:rPr>
          <w:rFonts w:eastAsia="Times New Roman" w:cs="Tahoma"/>
          <w:bCs/>
          <w:iCs/>
          <w:color w:val="auto"/>
          <w:lang w:eastAsia="es-ES"/>
        </w:rPr>
        <w:t xml:space="preserve"> excepción establecida en el Trigésimo de los Lineamientos Generales; situación que guarda relevancia, </w:t>
      </w:r>
      <w:r w:rsidR="000F1342">
        <w:rPr>
          <w:rFonts w:eastAsia="Times New Roman" w:cs="Tahoma"/>
          <w:bCs/>
          <w:iCs/>
          <w:color w:val="auto"/>
          <w:lang w:eastAsia="es-ES"/>
        </w:rPr>
        <w:t>pues,</w:t>
      </w:r>
      <w:r>
        <w:rPr>
          <w:rFonts w:eastAsia="Times New Roman" w:cs="Tahoma"/>
          <w:bCs/>
          <w:iCs/>
          <w:color w:val="auto"/>
          <w:lang w:eastAsia="es-ES"/>
        </w:rPr>
        <w:t xml:space="preserve"> aunque dichos Convenios estén en proceso de ejecución, no afecta en nada su publicidad, pues </w:t>
      </w:r>
      <w:r w:rsidR="000F1342">
        <w:rPr>
          <w:rFonts w:eastAsia="Times New Roman" w:cs="Tahoma"/>
          <w:bCs/>
          <w:iCs/>
          <w:color w:val="auto"/>
          <w:lang w:eastAsia="es-ES"/>
        </w:rPr>
        <w:t>la determinación tomada en estos, no se verá afectada.</w:t>
      </w:r>
    </w:p>
    <w:p w:rsidR="007902DD" w:rsidP="001036A9" w:rsidRDefault="007902DD" w14:paraId="75D3A8D8" w14:textId="77777777">
      <w:pPr>
        <w:spacing w:after="0" w:line="360" w:lineRule="auto"/>
        <w:rPr>
          <w:rFonts w:eastAsia="Times New Roman" w:cs="Tahoma"/>
          <w:bCs/>
          <w:iCs/>
          <w:color w:val="auto"/>
          <w:lang w:eastAsia="es-ES"/>
        </w:rPr>
      </w:pPr>
    </w:p>
    <w:p w:rsidRPr="000F61C5" w:rsidR="000F61C5" w:rsidP="001036A9" w:rsidRDefault="000F1342" w14:paraId="400AB821" w14:textId="0510F820">
      <w:pPr>
        <w:spacing w:after="0" w:line="360" w:lineRule="auto"/>
        <w:rPr>
          <w:rFonts w:eastAsia="Times New Roman" w:cs="Tahoma"/>
          <w:bCs/>
          <w:iCs/>
          <w:color w:val="auto"/>
          <w:lang w:eastAsia="es-ES"/>
        </w:rPr>
      </w:pPr>
      <w:r>
        <w:rPr>
          <w:rFonts w:eastAsia="Times New Roman" w:cs="Tahoma"/>
          <w:bCs/>
          <w:iCs/>
          <w:color w:val="auto"/>
          <w:lang w:eastAsia="es-ES"/>
        </w:rPr>
        <w:t xml:space="preserve">Además, que existe </w:t>
      </w:r>
      <w:r w:rsidRPr="00762A72" w:rsidR="00D228D3">
        <w:rPr>
          <w:rFonts w:eastAsia="Times New Roman" w:cs="Tahoma"/>
          <w:bCs/>
          <w:iCs/>
          <w:color w:val="auto"/>
          <w:lang w:eastAsia="es-ES"/>
        </w:rPr>
        <w:t xml:space="preserve">un interés público en dar a conocer los </w:t>
      </w:r>
      <w:r>
        <w:rPr>
          <w:rFonts w:eastAsia="Times New Roman" w:cs="Tahoma"/>
          <w:bCs/>
          <w:iCs/>
          <w:color w:val="auto"/>
          <w:lang w:eastAsia="es-ES"/>
        </w:rPr>
        <w:t>C</w:t>
      </w:r>
      <w:r w:rsidRPr="00762A72" w:rsidR="00D228D3">
        <w:rPr>
          <w:rFonts w:eastAsia="Times New Roman" w:cs="Tahoma"/>
          <w:bCs/>
          <w:iCs/>
          <w:color w:val="auto"/>
          <w:lang w:eastAsia="es-ES"/>
        </w:rPr>
        <w:t xml:space="preserve">onvenios celebrados </w:t>
      </w:r>
      <w:r w:rsidRPr="00762A72" w:rsidR="00D228D3">
        <w:t xml:space="preserve">entre el </w:t>
      </w:r>
      <w:r w:rsidRPr="00762A72" w:rsidR="00D228D3">
        <w:rPr>
          <w:rFonts w:eastAsia="Times New Roman" w:cs="Tahoma"/>
          <w:bCs/>
          <w:iCs/>
          <w:color w:val="auto"/>
          <w:lang w:eastAsia="es-ES"/>
        </w:rPr>
        <w:t xml:space="preserve">Ayuntamiento de Valle de Chalco Solidaridad y sus es servidores públicos para finiquitar la relación laboral, </w:t>
      </w:r>
      <w:r>
        <w:rPr>
          <w:rFonts w:eastAsia="Times New Roman" w:cs="Tahoma"/>
          <w:bCs/>
          <w:iCs/>
          <w:color w:val="auto"/>
          <w:lang w:eastAsia="es-ES"/>
        </w:rPr>
        <w:t xml:space="preserve">pues conforme </w:t>
      </w:r>
      <w:r w:rsidRPr="005C3CBC">
        <w:rPr>
          <w:rFonts w:eastAsia="Calibri" w:cs="Tahoma"/>
          <w:iCs/>
          <w:color w:val="auto"/>
          <w:lang w:val="es-ES" w:eastAsia="es-ES_tradnl"/>
        </w:rPr>
        <w:t xml:space="preserve">a los artículos 70, fracción </w:t>
      </w:r>
      <w:r>
        <w:rPr>
          <w:rFonts w:eastAsia="Calibri" w:cs="Tahoma"/>
          <w:iCs/>
          <w:color w:val="auto"/>
          <w:lang w:val="es-ES" w:eastAsia="es-ES_tradnl"/>
        </w:rPr>
        <w:t>XXXVI</w:t>
      </w:r>
      <w:r w:rsidRPr="005C3CBC">
        <w:rPr>
          <w:rFonts w:eastAsia="Calibri" w:cs="Tahoma"/>
          <w:iCs/>
          <w:color w:val="auto"/>
          <w:lang w:val="es-ES" w:eastAsia="es-ES_tradnl"/>
        </w:rPr>
        <w:t xml:space="preserve">, de la Ley General de Transparencia y Acceso a la Información Pública, y el 92, fracción </w:t>
      </w:r>
      <w:r>
        <w:rPr>
          <w:rFonts w:eastAsia="Calibri" w:cs="Tahoma"/>
          <w:iCs/>
          <w:color w:val="auto"/>
          <w:lang w:val="es-ES" w:eastAsia="es-ES_tradnl"/>
        </w:rPr>
        <w:t>XL</w:t>
      </w:r>
      <w:r w:rsidRPr="005C3CBC">
        <w:rPr>
          <w:rFonts w:eastAsia="Calibri" w:cs="Tahoma"/>
          <w:iCs/>
          <w:color w:val="auto"/>
          <w:lang w:val="es-ES" w:eastAsia="es-ES_tradnl"/>
        </w:rPr>
        <w:t>, de la Ley de Transparencia y Acceso a la Información Pública del Estado de México y Municipios</w:t>
      </w:r>
      <w:r>
        <w:rPr>
          <w:rFonts w:eastAsia="Calibri" w:cs="Tahoma"/>
          <w:iCs/>
          <w:color w:val="auto"/>
          <w:lang w:val="es-ES" w:eastAsia="es-ES_tradnl"/>
        </w:rPr>
        <w:t>, dichos convenios guardar la naturaleza de públicos y, por lo tanto, no se actualiza la causal de reserva establecida en el artículo 140, fracciones VI y VIII de la Ley de Transparencia y Acceso a la Información Pública del Estado de México y Municipios</w:t>
      </w:r>
      <w:r w:rsidR="007E467A">
        <w:rPr>
          <w:rFonts w:eastAsia="Calibri" w:cs="Tahoma"/>
          <w:iCs/>
          <w:color w:val="auto"/>
          <w:lang w:val="es-ES" w:eastAsia="es-ES_tradnl"/>
        </w:rPr>
        <w:t xml:space="preserve"> y resulta procedente la entrega de los cuatrocientos cinco convenios señalados en el desahogo del requerimiento de información adicional.</w:t>
      </w:r>
    </w:p>
    <w:p w:rsidRPr="00762A72" w:rsidR="00513C19" w:rsidP="001036A9" w:rsidRDefault="00513C19" w14:paraId="350A24F9" w14:textId="6846374F">
      <w:pPr>
        <w:spacing w:after="0" w:line="360" w:lineRule="auto"/>
        <w:rPr>
          <w:rFonts w:eastAsia="Times New Roman" w:cs="Tahoma"/>
          <w:bCs/>
          <w:iCs/>
          <w:color w:val="auto"/>
          <w:lang w:val="es-ES" w:eastAsia="es-ES"/>
        </w:rPr>
      </w:pPr>
      <w:r w:rsidRPr="00762A72">
        <w:rPr>
          <w:rFonts w:eastAsia="Times New Roman" w:cs="Tahoma"/>
          <w:bCs/>
          <w:iCs/>
          <w:color w:val="auto"/>
          <w:lang w:val="es-ES" w:eastAsia="es-ES"/>
        </w:rPr>
        <w:t xml:space="preserve">Finalmente, en el presente caso, </w:t>
      </w:r>
      <w:r w:rsidRPr="00762A72" w:rsidR="000B1A9B">
        <w:rPr>
          <w:rFonts w:eastAsia="Times New Roman" w:cs="Tahoma"/>
          <w:bCs/>
          <w:iCs/>
          <w:color w:val="auto"/>
          <w:lang w:val="es-ES" w:eastAsia="es-ES"/>
        </w:rPr>
        <w:t xml:space="preserve">es de recordar que el Sujeto Obligado señalo que los documentos que dan cuenta de lo peticionado contenían los siguientes datos personales: </w:t>
      </w:r>
    </w:p>
    <w:p w:rsidRPr="00513C19" w:rsidR="00513C19" w:rsidP="001036A9" w:rsidRDefault="00513C19" w14:paraId="6C095BED" w14:textId="77777777">
      <w:pPr>
        <w:spacing w:after="0" w:line="360" w:lineRule="auto"/>
        <w:rPr>
          <w:rFonts w:eastAsia="Times New Roman" w:cs="Tahoma"/>
          <w:bCs/>
          <w:iCs/>
          <w:color w:val="auto"/>
          <w:lang w:val="es-ES" w:eastAsia="es-ES"/>
        </w:rPr>
      </w:pPr>
    </w:p>
    <w:p w:rsidRPr="00762A72" w:rsidR="001A7F52" w:rsidP="001036A9" w:rsidRDefault="007E467A" w14:paraId="561B4420" w14:textId="1263CB06">
      <w:pPr>
        <w:pStyle w:val="Prrafodelista"/>
        <w:numPr>
          <w:ilvl w:val="0"/>
          <w:numId w:val="19"/>
        </w:numPr>
        <w:spacing w:line="360" w:lineRule="auto"/>
        <w:rPr>
          <w:rFonts w:cs="Tahoma"/>
          <w:bCs/>
          <w:iCs/>
          <w:color w:val="auto"/>
          <w:sz w:val="22"/>
          <w:szCs w:val="22"/>
          <w:lang w:val="es-ES"/>
        </w:rPr>
      </w:pPr>
      <w:r>
        <w:rPr>
          <w:rFonts w:cs="Tahoma"/>
          <w:bCs/>
          <w:iCs/>
          <w:color w:val="auto"/>
          <w:sz w:val="22"/>
          <w:szCs w:val="22"/>
          <w:lang w:val="es-ES"/>
        </w:rPr>
        <w:t>Clave de registro o elector;</w:t>
      </w:r>
      <w:r w:rsidRPr="00762A72" w:rsidR="006544A0">
        <w:rPr>
          <w:rFonts w:cs="Tahoma"/>
          <w:bCs/>
          <w:iCs/>
          <w:color w:val="auto"/>
          <w:sz w:val="22"/>
          <w:szCs w:val="22"/>
          <w:lang w:val="es-ES"/>
        </w:rPr>
        <w:t xml:space="preserve"> </w:t>
      </w:r>
    </w:p>
    <w:p w:rsidRPr="00762A72" w:rsidR="006544A0" w:rsidP="001036A9" w:rsidRDefault="006544A0" w14:paraId="24AAF63B" w14:textId="7898BCE9">
      <w:pPr>
        <w:pStyle w:val="Prrafodelista"/>
        <w:numPr>
          <w:ilvl w:val="0"/>
          <w:numId w:val="19"/>
        </w:numPr>
        <w:spacing w:line="360" w:lineRule="auto"/>
        <w:rPr>
          <w:rFonts w:cs="Tahoma"/>
          <w:bCs/>
          <w:iCs/>
          <w:color w:val="auto"/>
          <w:sz w:val="22"/>
          <w:szCs w:val="22"/>
          <w:lang w:val="es-ES"/>
        </w:rPr>
      </w:pPr>
      <w:r w:rsidRPr="00762A72">
        <w:rPr>
          <w:rFonts w:cs="Tahoma"/>
          <w:bCs/>
          <w:iCs/>
          <w:color w:val="auto"/>
          <w:sz w:val="22"/>
          <w:szCs w:val="22"/>
          <w:lang w:val="es-ES"/>
        </w:rPr>
        <w:lastRenderedPageBreak/>
        <w:t>Domicilio particular</w:t>
      </w:r>
      <w:r w:rsidR="007E467A">
        <w:rPr>
          <w:rFonts w:cs="Tahoma"/>
          <w:bCs/>
          <w:iCs/>
          <w:color w:val="auto"/>
          <w:sz w:val="22"/>
          <w:szCs w:val="22"/>
          <w:lang w:val="es-ES"/>
        </w:rPr>
        <w:t>, y</w:t>
      </w:r>
    </w:p>
    <w:p w:rsidRPr="00762A72" w:rsidR="006544A0" w:rsidP="001036A9" w:rsidRDefault="006544A0" w14:paraId="73E4DDCF" w14:textId="0A2C0972">
      <w:pPr>
        <w:pStyle w:val="Prrafodelista"/>
        <w:numPr>
          <w:ilvl w:val="0"/>
          <w:numId w:val="19"/>
        </w:numPr>
        <w:spacing w:line="360" w:lineRule="auto"/>
        <w:rPr>
          <w:rFonts w:cs="Tahoma"/>
          <w:bCs/>
          <w:iCs/>
          <w:color w:val="auto"/>
          <w:sz w:val="22"/>
          <w:szCs w:val="22"/>
          <w:lang w:val="es-ES"/>
        </w:rPr>
      </w:pPr>
      <w:r w:rsidRPr="00762A72">
        <w:rPr>
          <w:rFonts w:cs="Tahoma"/>
          <w:bCs/>
          <w:iCs/>
          <w:color w:val="auto"/>
          <w:sz w:val="22"/>
          <w:szCs w:val="22"/>
          <w:lang w:val="es-ES"/>
        </w:rPr>
        <w:t xml:space="preserve">Huella </w:t>
      </w:r>
      <w:r w:rsidRPr="00762A72" w:rsidR="00D337FC">
        <w:rPr>
          <w:rFonts w:cs="Tahoma"/>
          <w:bCs/>
          <w:iCs/>
          <w:color w:val="auto"/>
          <w:sz w:val="22"/>
          <w:szCs w:val="22"/>
          <w:lang w:val="es-ES"/>
        </w:rPr>
        <w:t xml:space="preserve">dactilar. </w:t>
      </w:r>
    </w:p>
    <w:p w:rsidRPr="00762A72" w:rsidR="002C3A82" w:rsidP="001036A9" w:rsidRDefault="002C3A82" w14:paraId="71D4CC7F" w14:textId="77777777">
      <w:pPr>
        <w:spacing w:after="0" w:line="360" w:lineRule="auto"/>
        <w:contextualSpacing/>
        <w:rPr>
          <w:rFonts w:eastAsia="Calibri" w:cs="Tahoma"/>
          <w:color w:val="000000"/>
          <w:szCs w:val="24"/>
          <w:lang w:eastAsia="es-MX"/>
        </w:rPr>
      </w:pPr>
    </w:p>
    <w:p w:rsidRPr="00762A72" w:rsidR="002C3A82" w:rsidP="001036A9" w:rsidRDefault="002C3A82" w14:paraId="0BB61B0C" w14:textId="77777777">
      <w:pPr>
        <w:spacing w:after="0" w:line="360" w:lineRule="auto"/>
        <w:rPr>
          <w:rFonts w:eastAsia="Calibri" w:cs="Tahoma"/>
          <w:bCs/>
        </w:rPr>
      </w:pPr>
      <w:r w:rsidRPr="00762A72">
        <w:rPr>
          <w:rFonts w:eastAsia="Calibri" w:cs="Tahoma"/>
          <w:bC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762A72" w:rsidR="002C3A82" w:rsidP="001036A9" w:rsidRDefault="002C3A82" w14:paraId="643845D8" w14:textId="77777777">
      <w:pPr>
        <w:spacing w:after="0" w:line="360" w:lineRule="auto"/>
        <w:rPr>
          <w:rFonts w:eastAsia="Calibri" w:cs="Tahoma"/>
          <w:bCs/>
          <w:color w:val="auto"/>
        </w:rPr>
      </w:pPr>
    </w:p>
    <w:p w:rsidRPr="00762A72" w:rsidR="002C3A82" w:rsidP="001036A9" w:rsidRDefault="002C3A82" w14:paraId="5DDC48EE" w14:textId="77777777">
      <w:pPr>
        <w:spacing w:after="0" w:line="360" w:lineRule="auto"/>
        <w:rPr>
          <w:rFonts w:eastAsia="Calibri" w:cs="Tahoma"/>
          <w:bCs/>
          <w:color w:val="auto"/>
        </w:rPr>
      </w:pPr>
      <w:r w:rsidRPr="00762A72">
        <w:rPr>
          <w:rFonts w:eastAsia="Calibri" w:cs="Tahoma"/>
          <w:b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w:t>
      </w:r>
      <w:r w:rsidRPr="00762A72">
        <w:rPr>
          <w:rFonts w:eastAsia="Calibri" w:cs="Tahoma"/>
          <w:bCs/>
          <w:color w:val="auto"/>
          <w:lang w:val="x-none"/>
        </w:rPr>
        <w:t>ácter.</w:t>
      </w:r>
    </w:p>
    <w:p w:rsidRPr="00762A72" w:rsidR="002C3A82" w:rsidP="001036A9" w:rsidRDefault="002C3A82" w14:paraId="66E6CE04" w14:textId="77777777">
      <w:pPr>
        <w:spacing w:after="0" w:line="360" w:lineRule="auto"/>
        <w:rPr>
          <w:rFonts w:eastAsia="Calibri" w:cs="Tahoma"/>
          <w:bCs/>
          <w:color w:val="auto"/>
        </w:rPr>
      </w:pPr>
    </w:p>
    <w:p w:rsidRPr="00762A72" w:rsidR="002C3A82" w:rsidP="001036A9" w:rsidRDefault="002C3A82" w14:paraId="3F7A5D73" w14:textId="77777777">
      <w:pPr>
        <w:spacing w:after="0" w:line="360" w:lineRule="auto"/>
        <w:rPr>
          <w:rFonts w:eastAsia="Calibri" w:cs="Tahoma"/>
          <w:bCs/>
          <w:color w:val="auto"/>
        </w:rPr>
      </w:pPr>
      <w:r w:rsidRPr="00762A72">
        <w:rPr>
          <w:rFonts w:eastAsia="Calibri"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762A72" w:rsidR="002C3A82" w:rsidP="001036A9" w:rsidRDefault="002C3A82" w14:paraId="545FD121" w14:textId="77777777">
      <w:pPr>
        <w:spacing w:after="0" w:line="360" w:lineRule="auto"/>
        <w:rPr>
          <w:rFonts w:eastAsia="Calibri" w:cs="Tahoma"/>
          <w:bCs/>
          <w:color w:val="auto"/>
        </w:rPr>
      </w:pPr>
    </w:p>
    <w:p w:rsidRPr="00762A72" w:rsidR="002C3A82" w:rsidP="001036A9" w:rsidRDefault="002C3A82" w14:paraId="7AE6BC58" w14:textId="77777777">
      <w:pPr>
        <w:spacing w:after="0" w:line="360" w:lineRule="auto"/>
        <w:rPr>
          <w:rFonts w:eastAsia="Calibri" w:cs="Tahoma"/>
          <w:bCs/>
          <w:color w:val="auto"/>
        </w:rPr>
      </w:pPr>
      <w:r w:rsidRPr="00762A72">
        <w:rPr>
          <w:rFonts w:eastAsia="Calibri" w:cs="Tahoma"/>
          <w:bCs/>
          <w:color w:val="auto"/>
        </w:rPr>
        <w:t xml:space="preserve">Por su parte, el artículo 24, fracción VI, de la Ley de Transparencia y Acceso a la Información Pública del Estado de México y Municipios, precisa que los Sujetos Obligados serán los </w:t>
      </w:r>
      <w:r w:rsidRPr="00762A72">
        <w:rPr>
          <w:rFonts w:eastAsia="Calibri" w:cs="Tahoma"/>
          <w:bCs/>
          <w:color w:val="auto"/>
        </w:rPr>
        <w:lastRenderedPageBreak/>
        <w:t>responsables de proteger y resguardar la información clasificada como reservada o confidencial.</w:t>
      </w:r>
    </w:p>
    <w:p w:rsidRPr="00762A72" w:rsidR="002C3A82" w:rsidP="001036A9" w:rsidRDefault="002C3A82" w14:paraId="00D4889D" w14:textId="77777777">
      <w:pPr>
        <w:spacing w:after="0" w:line="360" w:lineRule="auto"/>
        <w:rPr>
          <w:rFonts w:eastAsia="Calibri" w:cs="Tahoma"/>
          <w:bCs/>
          <w:color w:val="auto"/>
        </w:rPr>
      </w:pPr>
    </w:p>
    <w:p w:rsidRPr="00762A72" w:rsidR="002C3A82" w:rsidP="001036A9" w:rsidRDefault="002C3A82" w14:paraId="7489A043" w14:textId="77777777">
      <w:pPr>
        <w:spacing w:after="0" w:line="360" w:lineRule="auto"/>
        <w:rPr>
          <w:rFonts w:eastAsia="Calibri" w:cs="Tahoma"/>
          <w:bCs/>
          <w:color w:val="auto"/>
        </w:rPr>
      </w:pPr>
      <w:r w:rsidRPr="00762A72">
        <w:rPr>
          <w:rFonts w:eastAsia="Calibri" w:cs="Tahoma"/>
          <w:bCs/>
          <w:color w:val="auto"/>
        </w:rPr>
        <w:t>En concordancia con lo previo, el artículo 143, fracciones I y III, de la Ley previamente citada, establece que la información privada y los datos personales, concernientes a una persona física o jurídica colectiva identificada o identificables, son confidenciales; as</w:t>
      </w:r>
      <w:r w:rsidRPr="00762A72">
        <w:rPr>
          <w:rFonts w:eastAsia="Calibri" w:cs="Tahoma"/>
          <w:bCs/>
          <w:color w:val="auto"/>
          <w:lang w:val="x-none"/>
        </w:rPr>
        <w:t>í como, aquella presentada por los particulares con dicho carácter.</w:t>
      </w:r>
    </w:p>
    <w:p w:rsidRPr="00762A72" w:rsidR="002C3A82" w:rsidP="001036A9" w:rsidRDefault="002C3A82" w14:paraId="5ED61124" w14:textId="77777777">
      <w:pPr>
        <w:spacing w:after="0" w:line="360" w:lineRule="auto"/>
        <w:rPr>
          <w:rFonts w:eastAsia="Calibri" w:cs="Tahoma"/>
          <w:bCs/>
          <w:color w:val="auto"/>
        </w:rPr>
      </w:pPr>
    </w:p>
    <w:p w:rsidRPr="00762A72" w:rsidR="002C3A82" w:rsidP="001036A9" w:rsidRDefault="002C3A82" w14:paraId="555C7F8C" w14:textId="77777777">
      <w:pPr>
        <w:spacing w:after="0" w:line="360" w:lineRule="auto"/>
        <w:rPr>
          <w:rFonts w:eastAsia="Calibri" w:cs="Tahoma"/>
          <w:bCs/>
          <w:color w:val="auto"/>
        </w:rPr>
      </w:pPr>
      <w:r w:rsidRPr="00762A72">
        <w:rPr>
          <w:rFonts w:eastAsia="Calibri" w:cs="Tahoma"/>
          <w:b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762A72" w:rsidR="002C3A82" w:rsidP="001036A9" w:rsidRDefault="002C3A82" w14:paraId="58960629" w14:textId="77777777">
      <w:pPr>
        <w:spacing w:after="0" w:line="360" w:lineRule="auto"/>
        <w:rPr>
          <w:rFonts w:eastAsia="Calibri" w:cs="Tahoma"/>
          <w:bCs/>
          <w:color w:val="auto"/>
        </w:rPr>
      </w:pPr>
    </w:p>
    <w:p w:rsidRPr="00762A72" w:rsidR="002C3A82" w:rsidP="001036A9" w:rsidRDefault="002C3A82" w14:paraId="0E7726BE" w14:textId="77777777">
      <w:pPr>
        <w:spacing w:after="0" w:line="360" w:lineRule="auto"/>
        <w:rPr>
          <w:rFonts w:eastAsia="Calibri" w:cs="Tahoma"/>
          <w:bCs/>
          <w:color w:val="auto"/>
        </w:rPr>
      </w:pPr>
      <w:r w:rsidRPr="00762A72">
        <w:rPr>
          <w:rFonts w:eastAsia="Calibri" w:cs="Tahoma"/>
          <w:bCs/>
          <w:color w:val="auto"/>
        </w:rPr>
        <w:t>En términos de lo expuesto, la documentación y aquellos datos que se consideren confidenciales, serán una limitante del derecho de acceso a la información, siempre y cuando:</w:t>
      </w:r>
    </w:p>
    <w:p w:rsidRPr="00762A72" w:rsidR="002C3A82" w:rsidP="001036A9" w:rsidRDefault="002C3A82" w14:paraId="0C160451" w14:textId="77777777">
      <w:pPr>
        <w:spacing w:after="0" w:line="360" w:lineRule="auto"/>
        <w:rPr>
          <w:rFonts w:eastAsia="Calibri" w:cs="Tahoma"/>
          <w:bCs/>
          <w:color w:val="auto"/>
        </w:rPr>
      </w:pPr>
    </w:p>
    <w:p w:rsidRPr="00762A72" w:rsidR="002C3A82" w:rsidP="001036A9" w:rsidRDefault="002C3A82" w14:paraId="43B0613B" w14:textId="77777777">
      <w:pPr>
        <w:numPr>
          <w:ilvl w:val="0"/>
          <w:numId w:val="1"/>
        </w:numPr>
        <w:spacing w:after="0" w:line="360" w:lineRule="auto"/>
        <w:contextualSpacing/>
        <w:rPr>
          <w:rFonts w:eastAsia="Calibri" w:cs="Tahoma"/>
          <w:bCs/>
          <w:color w:val="auto"/>
        </w:rPr>
      </w:pPr>
      <w:r w:rsidRPr="00762A72">
        <w:rPr>
          <w:rFonts w:eastAsia="Calibri" w:cs="Tahoma"/>
          <w:bCs/>
          <w:color w:val="auto"/>
        </w:rPr>
        <w:t xml:space="preserve">Se trate de datos personales o información privada; esto es, información concerniente a una persona física o jurídico colectiva y que esta sea identificada o identificable. </w:t>
      </w:r>
    </w:p>
    <w:p w:rsidRPr="00762A72" w:rsidR="002C3A82" w:rsidP="001036A9" w:rsidRDefault="002C3A82" w14:paraId="608EEB0D" w14:textId="77777777">
      <w:pPr>
        <w:spacing w:after="0" w:line="360" w:lineRule="auto"/>
        <w:ind w:left="720"/>
        <w:contextualSpacing/>
        <w:rPr>
          <w:rFonts w:eastAsia="Calibri" w:cs="Tahoma"/>
          <w:bCs/>
          <w:color w:val="auto"/>
        </w:rPr>
      </w:pPr>
    </w:p>
    <w:p w:rsidRPr="00762A72" w:rsidR="002C3A82" w:rsidP="001036A9" w:rsidRDefault="002C3A82" w14:paraId="65DC2AA9" w14:textId="77777777">
      <w:pPr>
        <w:numPr>
          <w:ilvl w:val="0"/>
          <w:numId w:val="1"/>
        </w:numPr>
        <w:spacing w:after="0" w:line="360" w:lineRule="auto"/>
        <w:contextualSpacing/>
        <w:rPr>
          <w:rFonts w:eastAsia="Calibri" w:cs="Tahoma"/>
          <w:bCs/>
          <w:color w:val="auto"/>
        </w:rPr>
      </w:pPr>
      <w:r w:rsidRPr="00762A72">
        <w:rPr>
          <w:rFonts w:eastAsia="Calibri" w:cs="Tahoma"/>
          <w:bCs/>
          <w:color w:val="auto"/>
        </w:rPr>
        <w:t xml:space="preserve">Para la difusión de los datos, se requiera el consentimiento del titular. </w:t>
      </w:r>
    </w:p>
    <w:p w:rsidRPr="00762A72" w:rsidR="002C3A82" w:rsidP="001036A9" w:rsidRDefault="002C3A82" w14:paraId="4A5D8689" w14:textId="77777777">
      <w:pPr>
        <w:spacing w:after="0" w:line="360" w:lineRule="auto"/>
        <w:rPr>
          <w:rFonts w:eastAsia="Calibri" w:cs="Tahoma"/>
          <w:bCs/>
          <w:color w:val="auto"/>
        </w:rPr>
      </w:pPr>
    </w:p>
    <w:p w:rsidRPr="00762A72" w:rsidR="002C3A82" w:rsidP="001036A9" w:rsidRDefault="002C3A82" w14:paraId="00FF1A41" w14:textId="77777777">
      <w:pPr>
        <w:spacing w:after="0" w:line="360" w:lineRule="auto"/>
        <w:rPr>
          <w:rFonts w:eastAsia="Calibri" w:cs="Tahoma"/>
          <w:bCs/>
          <w:color w:val="auto"/>
        </w:rPr>
      </w:pPr>
      <w:r w:rsidRPr="00762A72">
        <w:rPr>
          <w:rFonts w:eastAsia="Calibri" w:cs="Tahoma"/>
          <w:bCs/>
          <w:color w:val="auto"/>
        </w:rPr>
        <w:t xml:space="preserve">En ese orden de ideas, de conformidad con el artículo 3°, fracción IX, de la Ley de Transparencia y Acceso a la Información Pública del Estado de México y Municipios, con relación el diverso </w:t>
      </w:r>
      <w:r w:rsidRPr="00762A72">
        <w:rPr>
          <w:rFonts w:eastAsia="Calibri" w:cs="Tahoma"/>
          <w:bCs/>
          <w:color w:val="auto"/>
        </w:rPr>
        <w:lastRenderedPageBreak/>
        <w:t xml:space="preserve">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762A72" w:rsidR="002C3A82" w:rsidP="001036A9" w:rsidRDefault="002C3A82" w14:paraId="559ED2FA" w14:textId="77777777">
      <w:pPr>
        <w:spacing w:after="0" w:line="360" w:lineRule="auto"/>
        <w:rPr>
          <w:rFonts w:eastAsia="Calibri" w:cs="Tahoma"/>
          <w:bCs/>
          <w:color w:val="auto"/>
        </w:rPr>
      </w:pPr>
    </w:p>
    <w:p w:rsidRPr="00762A72" w:rsidR="002C3A82" w:rsidP="001036A9" w:rsidRDefault="002C3A82" w14:paraId="4910B6D5" w14:textId="77777777">
      <w:pPr>
        <w:spacing w:after="0" w:line="360" w:lineRule="auto"/>
        <w:rPr>
          <w:rFonts w:eastAsia="Calibri" w:cs="Tahoma"/>
          <w:bCs/>
          <w:color w:val="auto"/>
        </w:rPr>
      </w:pPr>
      <w:r w:rsidRPr="00762A72">
        <w:rPr>
          <w:rFonts w:eastAsia="Calibri" w:cs="Tahoma"/>
          <w:bCs/>
          <w:color w:val="auto"/>
        </w:rPr>
        <w:t>Además, en el artículo 5° de dicho ordenamiento jurídico, establece que es la Ley aplicable para todo tratamiento de datos personales.</w:t>
      </w:r>
    </w:p>
    <w:p w:rsidRPr="00762A72" w:rsidR="002C3A82" w:rsidP="001036A9" w:rsidRDefault="002C3A82" w14:paraId="2142F1E8" w14:textId="77777777">
      <w:pPr>
        <w:spacing w:after="0" w:line="360" w:lineRule="auto"/>
        <w:rPr>
          <w:rFonts w:eastAsia="Calibri" w:cs="Tahoma"/>
          <w:bCs/>
          <w:color w:val="auto"/>
        </w:rPr>
      </w:pPr>
    </w:p>
    <w:p w:rsidRPr="00762A72" w:rsidR="002C3A82" w:rsidP="001036A9" w:rsidRDefault="002C3A82" w14:paraId="204713AC" w14:textId="77777777">
      <w:pPr>
        <w:spacing w:after="0" w:line="360" w:lineRule="auto"/>
        <w:rPr>
          <w:rFonts w:eastAsia="Calibri" w:cs="Tahoma"/>
          <w:bCs/>
          <w:color w:val="auto"/>
        </w:rPr>
      </w:pPr>
      <w:r w:rsidRPr="00762A72">
        <w:rPr>
          <w:rFonts w:eastAsia="Calibri" w:cs="Tahoma"/>
          <w:bCs/>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762A72" w:rsidR="002C3A82" w:rsidP="001036A9" w:rsidRDefault="002C3A82" w14:paraId="61CA5E69" w14:textId="77777777">
      <w:pPr>
        <w:spacing w:after="0" w:line="360" w:lineRule="auto"/>
        <w:rPr>
          <w:rFonts w:eastAsia="Calibri" w:cs="Tahoma"/>
          <w:bCs/>
          <w:color w:val="auto"/>
        </w:rPr>
      </w:pPr>
    </w:p>
    <w:p w:rsidRPr="00762A72" w:rsidR="002C3A82" w:rsidP="001036A9" w:rsidRDefault="002C3A82" w14:paraId="2B94D370" w14:textId="77777777">
      <w:pPr>
        <w:spacing w:after="0" w:line="360" w:lineRule="auto"/>
        <w:rPr>
          <w:rFonts w:eastAsia="Calibri" w:cs="Tahoma"/>
          <w:bCs/>
          <w:color w:val="auto"/>
        </w:rPr>
      </w:pPr>
      <w:r w:rsidRPr="00762A72">
        <w:rPr>
          <w:rFonts w:eastAsia="Calibri" w:cs="Tahoma"/>
          <w:bCs/>
          <w:color w:val="auto"/>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762A72" w:rsidR="002C3A82" w:rsidP="001036A9" w:rsidRDefault="002C3A82" w14:paraId="07803BBE" w14:textId="77777777">
      <w:pPr>
        <w:spacing w:after="0" w:line="360" w:lineRule="auto"/>
        <w:rPr>
          <w:rFonts w:eastAsia="Calibri" w:cs="Tahoma"/>
          <w:bCs/>
          <w:color w:val="auto"/>
        </w:rPr>
      </w:pPr>
    </w:p>
    <w:p w:rsidRPr="00762A72" w:rsidR="002C3A82" w:rsidP="001036A9" w:rsidRDefault="002C3A82" w14:paraId="5D80A982" w14:textId="77777777">
      <w:pPr>
        <w:spacing w:after="0" w:line="360" w:lineRule="auto"/>
        <w:rPr>
          <w:rFonts w:eastAsia="Calibri" w:cs="Tahoma"/>
          <w:bCs/>
          <w:color w:val="auto"/>
        </w:rPr>
      </w:pPr>
      <w:r w:rsidRPr="00762A72">
        <w:rPr>
          <w:rFonts w:eastAsia="Calibri" w:cs="Tahoma"/>
          <w:bCs/>
          <w:color w:val="auto"/>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w:t>
      </w:r>
      <w:r w:rsidRPr="00762A72">
        <w:rPr>
          <w:rFonts w:eastAsia="Calibri" w:cs="Tahoma"/>
          <w:bCs/>
          <w:color w:val="auto"/>
        </w:rPr>
        <w:lastRenderedPageBreak/>
        <w:t>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762A72" w:rsidR="002C3A82" w:rsidP="001036A9" w:rsidRDefault="002C3A82" w14:paraId="2BF3D6FD" w14:textId="77777777">
      <w:pPr>
        <w:spacing w:after="0" w:line="360" w:lineRule="auto"/>
        <w:rPr>
          <w:rFonts w:eastAsia="Calibri" w:cs="Tahoma"/>
          <w:bCs/>
          <w:color w:val="auto"/>
        </w:rPr>
      </w:pPr>
    </w:p>
    <w:p w:rsidRPr="00762A72" w:rsidR="002C3A82" w:rsidP="001036A9" w:rsidRDefault="002C3A82" w14:paraId="448B7DEE" w14:textId="77777777">
      <w:pPr>
        <w:spacing w:after="0" w:line="360" w:lineRule="auto"/>
        <w:rPr>
          <w:rFonts w:eastAsia="Calibri" w:cs="Tahoma"/>
          <w:bCs/>
          <w:color w:val="auto"/>
        </w:rPr>
      </w:pPr>
      <w:r w:rsidRPr="00762A72">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rsidRPr="00762A72" w:rsidR="002C3A82" w:rsidP="001036A9" w:rsidRDefault="002C3A82" w14:paraId="366ADB05" w14:textId="77777777">
      <w:pPr>
        <w:spacing w:after="0" w:line="360" w:lineRule="auto"/>
        <w:rPr>
          <w:rFonts w:eastAsia="Calibri" w:cs="Tahoma"/>
          <w:bCs/>
          <w:color w:val="auto"/>
        </w:rPr>
      </w:pPr>
    </w:p>
    <w:p w:rsidRPr="00762A72" w:rsidR="002C3A82" w:rsidP="001036A9" w:rsidRDefault="002C3A82" w14:paraId="3C611433" w14:textId="77777777">
      <w:pPr>
        <w:spacing w:after="0" w:line="360" w:lineRule="auto"/>
        <w:rPr>
          <w:rFonts w:eastAsia="Calibri" w:cs="Tahoma"/>
          <w:bCs/>
          <w:color w:val="auto"/>
        </w:rPr>
      </w:pPr>
      <w:r w:rsidRPr="00762A72">
        <w:rPr>
          <w:rFonts w:eastAsia="Calibri" w:cs="Tahoma"/>
          <w:bCs/>
          <w:color w:val="auto"/>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762A72" w:rsidR="002C3A82" w:rsidP="001036A9" w:rsidRDefault="002C3A82" w14:paraId="7350CA02" w14:textId="77777777">
      <w:pPr>
        <w:spacing w:after="0" w:line="360" w:lineRule="auto"/>
        <w:rPr>
          <w:rFonts w:eastAsia="Calibri" w:cs="Tahoma"/>
          <w:bCs/>
          <w:color w:val="auto"/>
        </w:rPr>
      </w:pPr>
    </w:p>
    <w:p w:rsidRPr="00762A72" w:rsidR="002C3A82" w:rsidP="001036A9" w:rsidRDefault="002C3A82" w14:paraId="7D6294A0" w14:textId="77777777">
      <w:pPr>
        <w:spacing w:after="0" w:line="360" w:lineRule="auto"/>
        <w:rPr>
          <w:rFonts w:eastAsia="Calibri" w:cs="Tahoma"/>
          <w:bCs/>
          <w:color w:val="auto"/>
        </w:rPr>
      </w:pPr>
      <w:r w:rsidRPr="00762A72">
        <w:rPr>
          <w:rFonts w:eastAsia="Calibri" w:cs="Tahoma"/>
          <w:bCs/>
          <w:color w:val="auto"/>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762A72" w:rsidR="002C3A82" w:rsidP="001036A9" w:rsidRDefault="002C3A82" w14:paraId="1A7C6C32" w14:textId="77777777">
      <w:pPr>
        <w:spacing w:after="0" w:line="360" w:lineRule="auto"/>
        <w:rPr>
          <w:rFonts w:eastAsia="Calibri" w:cs="Tahoma"/>
          <w:bCs/>
          <w:color w:val="auto"/>
        </w:rPr>
      </w:pPr>
      <w:r w:rsidRPr="00762A72">
        <w:rPr>
          <w:rFonts w:eastAsia="Calibri" w:cs="Tahoma"/>
          <w:bCs/>
          <w:color w:val="auto"/>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762A72" w:rsidR="00A04AC7" w:rsidP="001036A9" w:rsidRDefault="00A04AC7" w14:paraId="19805209" w14:textId="77777777">
      <w:pPr>
        <w:spacing w:after="0" w:line="360" w:lineRule="auto"/>
        <w:rPr>
          <w:rFonts w:eastAsia="Calibri" w:cs="Tahoma"/>
          <w:bCs/>
          <w:color w:val="auto"/>
        </w:rPr>
      </w:pPr>
    </w:p>
    <w:p w:rsidRPr="00762A72" w:rsidR="00361E6B" w:rsidP="001036A9" w:rsidRDefault="00361E6B" w14:paraId="424AB062" w14:textId="3CBD9443">
      <w:pPr>
        <w:spacing w:after="0" w:line="360" w:lineRule="auto"/>
        <w:rPr>
          <w:rFonts w:eastAsia="Times New Roman" w:cs="Tahoma"/>
          <w:color w:val="auto"/>
          <w:lang w:eastAsia="es-ES"/>
        </w:rPr>
      </w:pPr>
      <w:r w:rsidRPr="00762A72">
        <w:rPr>
          <w:rFonts w:eastAsia="Times New Roman" w:cs="Tahoma"/>
          <w:color w:val="auto"/>
          <w:lang w:eastAsia="es-ES"/>
        </w:rPr>
        <w:t xml:space="preserve">Bajo ese contexto, se analizarán </w:t>
      </w:r>
      <w:r w:rsidRPr="00762A72">
        <w:rPr>
          <w:rFonts w:eastAsia="Times New Roman" w:cs="Tahoma"/>
          <w:b/>
          <w:bCs/>
          <w:color w:val="auto"/>
          <w:lang w:eastAsia="es-ES"/>
        </w:rPr>
        <w:t xml:space="preserve">si </w:t>
      </w:r>
      <w:r w:rsidRPr="00762A72" w:rsidR="00C558A5">
        <w:rPr>
          <w:rFonts w:eastAsia="Times New Roman" w:cs="Tahoma"/>
          <w:b/>
          <w:bCs/>
          <w:color w:val="auto"/>
          <w:lang w:eastAsia="es-ES"/>
        </w:rPr>
        <w:t xml:space="preserve">la </w:t>
      </w:r>
      <w:r w:rsidRPr="00762A72" w:rsidR="00441BB3">
        <w:rPr>
          <w:rFonts w:cs="Tahoma"/>
          <w:b/>
          <w:bCs/>
          <w:iCs/>
          <w:color w:val="auto"/>
          <w:lang w:val="es-ES"/>
        </w:rPr>
        <w:t>c</w:t>
      </w:r>
      <w:r w:rsidRPr="00762A72" w:rsidR="00C558A5">
        <w:rPr>
          <w:rFonts w:cs="Tahoma"/>
          <w:b/>
          <w:bCs/>
          <w:iCs/>
          <w:color w:val="auto"/>
          <w:lang w:val="es-ES"/>
        </w:rPr>
        <w:t>redencial para votar</w:t>
      </w:r>
      <w:r w:rsidRPr="00762A72" w:rsidR="00441BB3">
        <w:rPr>
          <w:rFonts w:cs="Tahoma"/>
          <w:b/>
          <w:bCs/>
          <w:iCs/>
          <w:color w:val="auto"/>
          <w:lang w:val="es-ES"/>
        </w:rPr>
        <w:t>, el d</w:t>
      </w:r>
      <w:r w:rsidRPr="00762A72" w:rsidR="00C558A5">
        <w:rPr>
          <w:rFonts w:cs="Tahoma"/>
          <w:b/>
          <w:bCs/>
          <w:iCs/>
          <w:color w:val="auto"/>
          <w:lang w:val="es-ES"/>
        </w:rPr>
        <w:t>omicilio particular</w:t>
      </w:r>
      <w:r w:rsidRPr="00762A72" w:rsidR="00441BB3">
        <w:rPr>
          <w:rFonts w:cs="Tahoma"/>
          <w:b/>
          <w:bCs/>
          <w:iCs/>
          <w:color w:val="auto"/>
          <w:lang w:val="es-ES"/>
        </w:rPr>
        <w:t xml:space="preserve"> y la </w:t>
      </w:r>
      <w:r w:rsidRPr="00762A72" w:rsidR="00441BB3">
        <w:rPr>
          <w:rFonts w:eastAsia="Times New Roman" w:cs="Tahoma"/>
          <w:b/>
          <w:bCs/>
          <w:color w:val="auto"/>
          <w:lang w:eastAsia="es-ES"/>
        </w:rPr>
        <w:t>h</w:t>
      </w:r>
      <w:r w:rsidRPr="00762A72" w:rsidR="00C558A5">
        <w:rPr>
          <w:rFonts w:cs="Tahoma"/>
          <w:b/>
          <w:bCs/>
          <w:iCs/>
          <w:color w:val="auto"/>
          <w:lang w:val="es-ES"/>
        </w:rPr>
        <w:t>uella dactilar</w:t>
      </w:r>
      <w:r w:rsidRPr="00762A72" w:rsidR="00441BB3">
        <w:rPr>
          <w:rFonts w:cs="Tahoma"/>
          <w:bCs/>
          <w:iCs/>
          <w:color w:val="auto"/>
          <w:lang w:val="es-ES"/>
        </w:rPr>
        <w:t xml:space="preserve">, </w:t>
      </w:r>
      <w:r w:rsidRPr="00762A72" w:rsidR="00443FED">
        <w:rPr>
          <w:rFonts w:cs="Tahoma"/>
          <w:bCs/>
          <w:iCs/>
          <w:color w:val="auto"/>
          <w:lang w:val="es-ES"/>
        </w:rPr>
        <w:t xml:space="preserve">referidos por el Sujeto Obligado, </w:t>
      </w:r>
      <w:r w:rsidRPr="00762A72">
        <w:rPr>
          <w:rFonts w:eastAsia="Times New Roman" w:cs="Tahoma"/>
          <w:color w:val="auto"/>
          <w:lang w:eastAsia="es-ES"/>
        </w:rPr>
        <w:t>son de naturaleza pública o privada; esto, es verificar si actualizan la causal de clasificación, establecida en el artículo 143, fracción I, de la Ley de Transparencia y Acceso a la Información Pública del Estado de México y Municipios.</w:t>
      </w:r>
    </w:p>
    <w:p w:rsidRPr="00762A72" w:rsidR="00361E6B" w:rsidP="001036A9" w:rsidRDefault="00361E6B" w14:paraId="4F1B335A" w14:textId="77777777">
      <w:pPr>
        <w:spacing w:after="0" w:line="360" w:lineRule="auto"/>
        <w:rPr>
          <w:rFonts w:eastAsia="Calibri" w:cs="Tahoma"/>
          <w:bCs/>
          <w:color w:val="auto"/>
        </w:rPr>
      </w:pPr>
    </w:p>
    <w:p w:rsidRPr="007E467A" w:rsidR="007E467A" w:rsidP="007E467A" w:rsidRDefault="007E467A" w14:paraId="19B62240" w14:textId="77777777">
      <w:pPr>
        <w:pStyle w:val="Prrafodelista"/>
        <w:numPr>
          <w:ilvl w:val="0"/>
          <w:numId w:val="20"/>
        </w:numPr>
        <w:spacing w:line="360" w:lineRule="auto"/>
        <w:ind w:left="567"/>
        <w:jc w:val="left"/>
        <w:rPr>
          <w:rFonts w:eastAsia="Calibri" w:cs="Tahoma"/>
          <w:b/>
          <w:bCs/>
          <w:color w:val="auto"/>
          <w:sz w:val="22"/>
          <w:szCs w:val="22"/>
        </w:rPr>
      </w:pPr>
      <w:r w:rsidRPr="007E467A">
        <w:rPr>
          <w:rFonts w:eastAsia="Calibri" w:cs="Tahoma"/>
          <w:b/>
          <w:bCs/>
          <w:color w:val="auto"/>
          <w:sz w:val="22"/>
          <w:szCs w:val="22"/>
        </w:rPr>
        <w:t>Clave de registro o elector</w:t>
      </w:r>
    </w:p>
    <w:p w:rsidRPr="007E467A" w:rsidR="007E467A" w:rsidP="007E467A" w:rsidRDefault="007E467A" w14:paraId="7B4CAB3E" w14:textId="77777777">
      <w:pPr>
        <w:spacing w:after="0" w:line="360" w:lineRule="auto"/>
        <w:ind w:right="-93"/>
        <w:rPr>
          <w:rFonts w:eastAsia="Times New Roman" w:cs="Tahoma"/>
          <w:color w:val="auto"/>
          <w:lang w:val="es-ES" w:eastAsia="es-ES"/>
        </w:rPr>
      </w:pPr>
    </w:p>
    <w:p w:rsidRPr="007E467A" w:rsidR="007E467A" w:rsidP="007E467A" w:rsidRDefault="007E467A" w14:paraId="475259FE" w14:textId="77777777">
      <w:pPr>
        <w:spacing w:after="0" w:line="360" w:lineRule="auto"/>
        <w:ind w:right="-93"/>
        <w:rPr>
          <w:rFonts w:eastAsia="Times New Roman" w:cs="Tahoma"/>
          <w:color w:val="auto"/>
          <w:lang w:val="es-ES" w:eastAsia="es-ES"/>
        </w:rPr>
      </w:pPr>
      <w:r w:rsidRPr="007E467A">
        <w:rPr>
          <w:rFonts w:eastAsia="Times New Roman" w:cs="Tahoma"/>
          <w:color w:val="auto"/>
          <w:lang w:val="es-ES" w:eastAsia="es-ES"/>
        </w:rPr>
        <w:t>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homoclave compuesta de tres dígitos, dando un total de 18 caracteres.</w:t>
      </w:r>
    </w:p>
    <w:p w:rsidRPr="007E467A" w:rsidR="007E467A" w:rsidP="007E467A" w:rsidRDefault="007E467A" w14:paraId="3D53317A" w14:textId="77777777">
      <w:pPr>
        <w:shd w:val="clear" w:color="auto" w:fill="FFFFFF" w:themeFill="background1"/>
        <w:spacing w:after="0" w:line="360" w:lineRule="auto"/>
        <w:rPr>
          <w:rFonts w:eastAsia="Calibri" w:cs="Tahoma"/>
          <w:bCs/>
          <w:iCs/>
          <w:color w:val="auto"/>
        </w:rPr>
      </w:pPr>
    </w:p>
    <w:p w:rsidRPr="007E467A" w:rsidR="007E467A" w:rsidP="007E467A" w:rsidRDefault="007E467A" w14:paraId="3B9DE4BF" w14:textId="4EBBAD02">
      <w:pPr>
        <w:spacing w:after="0" w:line="360" w:lineRule="auto"/>
        <w:ind w:right="-93"/>
        <w:rPr>
          <w:rFonts w:eastAsia="Times New Roman" w:cs="Tahoma"/>
          <w:color w:val="auto"/>
          <w:lang w:val="es-ES" w:eastAsia="es-ES"/>
        </w:rPr>
      </w:pPr>
      <w:r w:rsidRPr="007E467A">
        <w:rPr>
          <w:rFonts w:eastAsia="Times New Roman" w:cs="Tahoma"/>
          <w:color w:val="auto"/>
          <w:lang w:val="es-ES" w:eastAsia="es-ES"/>
        </w:rPr>
        <w:t>Conforme a lo anterior, se puede advertir que</w:t>
      </w:r>
      <w:r>
        <w:rPr>
          <w:rFonts w:eastAsia="Times New Roman" w:cs="Tahoma"/>
          <w:color w:val="auto"/>
          <w:lang w:val="es-ES" w:eastAsia="es-ES"/>
        </w:rPr>
        <w:t>,</w:t>
      </w:r>
      <w:r w:rsidRPr="007E467A">
        <w:rPr>
          <w:rFonts w:eastAsia="Times New Roman" w:cs="Tahoma"/>
          <w:color w:val="auto"/>
          <w:lang w:val="es-ES" w:eastAsia="es-ES"/>
        </w:rPr>
        <w:t xml:space="preserve"> con la clave de elector, se podrían obtener indicios o datos completos de una persona, que la podría ser identificada e identificable, pues </w:t>
      </w:r>
      <w:r w:rsidRPr="007E467A">
        <w:rPr>
          <w:rFonts w:eastAsia="Times New Roman" w:cs="Tahoma"/>
          <w:color w:val="auto"/>
          <w:lang w:val="es-ES" w:eastAsia="es-ES"/>
        </w:rPr>
        <w:lastRenderedPageBreak/>
        <w:t>se podría inferir el nombre de la persona, así como, su fecha y entidad de nacimiento, los cuales son considerados de su vida privada.</w:t>
      </w:r>
    </w:p>
    <w:p w:rsidRPr="007E467A" w:rsidR="007E467A" w:rsidP="007E467A" w:rsidRDefault="007E467A" w14:paraId="335D3B8B" w14:textId="77777777">
      <w:pPr>
        <w:spacing w:after="0" w:line="360" w:lineRule="auto"/>
        <w:ind w:right="-93"/>
        <w:rPr>
          <w:rFonts w:eastAsia="Times New Roman" w:cs="Tahoma"/>
          <w:color w:val="auto"/>
          <w:lang w:val="es-ES" w:eastAsia="es-ES"/>
        </w:rPr>
      </w:pPr>
    </w:p>
    <w:p w:rsidRPr="007E467A" w:rsidR="007E467A" w:rsidP="007E467A" w:rsidRDefault="007E467A" w14:paraId="1AC21A44" w14:textId="77777777">
      <w:pPr>
        <w:spacing w:after="0" w:line="360" w:lineRule="auto"/>
        <w:ind w:right="-93"/>
        <w:rPr>
          <w:rFonts w:eastAsia="Times New Roman" w:cs="Tahoma"/>
          <w:color w:val="auto"/>
          <w:lang w:val="es-ES" w:eastAsia="es-ES"/>
        </w:rPr>
      </w:pPr>
      <w:r w:rsidRPr="007E467A">
        <w:rPr>
          <w:rFonts w:eastAsia="Times New Roman" w:cs="Tahoma"/>
          <w:color w:val="auto"/>
          <w:lang w:val="es-ES" w:eastAsia="es-ES"/>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rsidRPr="00762A72" w:rsidR="002C3A82" w:rsidP="001036A9" w:rsidRDefault="002C3A82" w14:paraId="2D365EB7" w14:textId="77777777">
      <w:pPr>
        <w:spacing w:after="0" w:line="360" w:lineRule="auto"/>
        <w:rPr>
          <w:rFonts w:eastAsia="Calibri" w:cs="Tahoma"/>
          <w:bCs/>
          <w:color w:val="auto"/>
        </w:rPr>
      </w:pPr>
    </w:p>
    <w:p w:rsidRPr="00762A72" w:rsidR="002C3A82" w:rsidP="007E467A" w:rsidRDefault="002C3A82" w14:paraId="19DC5671" w14:textId="5117C7D0">
      <w:pPr>
        <w:pStyle w:val="Prrafodelista"/>
        <w:numPr>
          <w:ilvl w:val="0"/>
          <w:numId w:val="20"/>
        </w:numPr>
        <w:spacing w:line="360" w:lineRule="auto"/>
        <w:ind w:left="567"/>
        <w:jc w:val="left"/>
        <w:rPr>
          <w:rFonts w:eastAsia="Calibri" w:cs="Tahoma"/>
          <w:b/>
          <w:bCs/>
          <w:color w:val="auto"/>
          <w:sz w:val="22"/>
          <w:szCs w:val="22"/>
        </w:rPr>
      </w:pPr>
      <w:r w:rsidRPr="00762A72">
        <w:rPr>
          <w:rFonts w:eastAsia="Calibri" w:cs="Tahoma"/>
          <w:b/>
          <w:bCs/>
          <w:color w:val="auto"/>
          <w:sz w:val="22"/>
          <w:szCs w:val="22"/>
        </w:rPr>
        <w:t>Domicilio</w:t>
      </w:r>
      <w:r w:rsidRPr="00762A72" w:rsidR="008542BB">
        <w:rPr>
          <w:rFonts w:eastAsia="Calibri" w:cs="Tahoma"/>
          <w:b/>
          <w:bCs/>
          <w:color w:val="auto"/>
          <w:sz w:val="22"/>
          <w:szCs w:val="22"/>
        </w:rPr>
        <w:t xml:space="preserve"> Particular</w:t>
      </w:r>
      <w:r w:rsidRPr="00762A72" w:rsidR="00CA6CD1">
        <w:rPr>
          <w:rFonts w:eastAsia="Calibri" w:cs="Tahoma"/>
          <w:b/>
          <w:bCs/>
          <w:color w:val="auto"/>
          <w:sz w:val="22"/>
          <w:szCs w:val="22"/>
        </w:rPr>
        <w:t>.</w:t>
      </w:r>
    </w:p>
    <w:p w:rsidRPr="00762A72" w:rsidR="002C3A82" w:rsidP="001036A9" w:rsidRDefault="002C3A82" w14:paraId="34ECFD3A" w14:textId="77777777">
      <w:pPr>
        <w:spacing w:after="0" w:line="360" w:lineRule="auto"/>
        <w:contextualSpacing/>
        <w:jc w:val="left"/>
        <w:rPr>
          <w:rFonts w:eastAsia="Calibri" w:cs="Tahoma"/>
          <w:b/>
          <w:bCs/>
          <w:color w:val="auto"/>
        </w:rPr>
      </w:pPr>
    </w:p>
    <w:p w:rsidRPr="00762A72" w:rsidR="002C3A82" w:rsidP="001036A9" w:rsidRDefault="002C3A82" w14:paraId="02BB5B30" w14:textId="77777777">
      <w:pPr>
        <w:spacing w:after="0" w:line="360" w:lineRule="auto"/>
        <w:ind w:right="-93"/>
        <w:rPr>
          <w:rFonts w:eastAsia="Times New Roman" w:cs="Tahoma"/>
          <w:color w:val="auto"/>
          <w:lang w:val="es-ES" w:eastAsia="es-ES"/>
        </w:rPr>
      </w:pPr>
      <w:r w:rsidRPr="00762A72">
        <w:rPr>
          <w:rFonts w:eastAsia="Times New Roman" w:cs="Tahoma"/>
          <w:color w:val="auto"/>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762A72" w:rsidR="002C3A82" w:rsidP="001036A9" w:rsidRDefault="002C3A82" w14:paraId="68A5EDFE" w14:textId="77777777">
      <w:pPr>
        <w:spacing w:after="0" w:line="360" w:lineRule="auto"/>
        <w:ind w:right="-93"/>
        <w:rPr>
          <w:rFonts w:eastAsia="Times New Roman" w:cs="Tahoma"/>
          <w:color w:val="auto"/>
          <w:lang w:val="es-ES" w:eastAsia="es-ES"/>
        </w:rPr>
      </w:pPr>
    </w:p>
    <w:p w:rsidRPr="00762A72" w:rsidR="002C3A82" w:rsidP="001036A9" w:rsidRDefault="002C3A82" w14:paraId="40A813E6" w14:textId="77777777">
      <w:pPr>
        <w:spacing w:after="0" w:line="360" w:lineRule="auto"/>
        <w:ind w:right="-93"/>
        <w:rPr>
          <w:rFonts w:eastAsia="Times New Roman" w:cs="Tahoma"/>
          <w:b/>
          <w:color w:val="auto"/>
          <w:lang w:val="es-ES" w:eastAsia="es-ES"/>
        </w:rPr>
      </w:pPr>
      <w:r w:rsidRPr="00762A72">
        <w:rPr>
          <w:rFonts w:eastAsia="Times New Roman" w:cs="Tahoma"/>
          <w:color w:val="auto"/>
          <w:lang w:val="es-ES" w:eastAsia="es-ES"/>
        </w:rPr>
        <w:t>De la misma manera, lo establece el artículo 29 del Código Civil Federal, al precisar que el domicilio de personas físicas</w:t>
      </w:r>
      <w:r w:rsidRPr="00762A72">
        <w:rPr>
          <w:rFonts w:eastAsia="Times New Roman" w:cs="Tahoma"/>
          <w:b/>
          <w:color w:val="auto"/>
          <w:lang w:val="es-ES" w:eastAsia="es-ES"/>
        </w:rPr>
        <w:t>, es el lugar donde residen habitualmente, el lugar del centro principal de sus negocios, donde residan o el lugar donde se encuentren.</w:t>
      </w:r>
    </w:p>
    <w:p w:rsidRPr="00762A72" w:rsidR="002C3A82" w:rsidP="001036A9" w:rsidRDefault="002C3A82" w14:paraId="0B103B3F" w14:textId="77777777">
      <w:pPr>
        <w:spacing w:after="0" w:line="360" w:lineRule="auto"/>
        <w:rPr>
          <w:rFonts w:eastAsia="Calibri" w:cs="Tahoma"/>
          <w:b/>
          <w:bCs/>
          <w:color w:val="auto"/>
          <w:sz w:val="20"/>
        </w:rPr>
      </w:pPr>
    </w:p>
    <w:p w:rsidRPr="00762A72" w:rsidR="002C3A82" w:rsidP="001036A9" w:rsidRDefault="002C3A82" w14:paraId="08BD8774" w14:textId="77777777">
      <w:pPr>
        <w:spacing w:after="0" w:line="360" w:lineRule="auto"/>
        <w:ind w:right="-93"/>
        <w:rPr>
          <w:rFonts w:eastAsia="Times New Roman" w:cs="Tahoma"/>
          <w:color w:val="auto"/>
          <w:lang w:val="es-ES" w:eastAsia="es-ES"/>
        </w:rPr>
      </w:pPr>
      <w:r w:rsidRPr="00762A72">
        <w:rPr>
          <w:rFonts w:eastAsia="Times New Roman" w:cs="Tahoma"/>
          <w:color w:val="auto"/>
          <w:lang w:val="es-ES" w:eastAsia="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Pr="00762A72" w:rsidR="002C3A82" w:rsidP="001036A9" w:rsidRDefault="002C3A82" w14:paraId="6A021D04" w14:textId="77777777">
      <w:pPr>
        <w:spacing w:after="0" w:line="360" w:lineRule="auto"/>
        <w:rPr>
          <w:rFonts w:eastAsia="Calibri" w:cs="Tahoma"/>
          <w:bCs/>
          <w:color w:val="auto"/>
        </w:rPr>
      </w:pPr>
    </w:p>
    <w:p w:rsidRPr="00762A72" w:rsidR="00DA5034" w:rsidP="001036A9" w:rsidRDefault="00DA5034" w14:paraId="29B62A3E" w14:textId="77777777">
      <w:pPr>
        <w:pStyle w:val="Prrafodelista"/>
        <w:numPr>
          <w:ilvl w:val="0"/>
          <w:numId w:val="20"/>
        </w:numPr>
        <w:spacing w:line="360" w:lineRule="auto"/>
        <w:rPr>
          <w:rFonts w:eastAsia="Calibri" w:cs="Tahoma"/>
          <w:b/>
          <w:bCs/>
          <w:color w:val="auto"/>
          <w:sz w:val="22"/>
          <w:szCs w:val="22"/>
        </w:rPr>
      </w:pPr>
      <w:r w:rsidRPr="00762A72">
        <w:rPr>
          <w:rFonts w:eastAsia="Calibri" w:cs="Tahoma"/>
          <w:b/>
          <w:bCs/>
          <w:color w:val="auto"/>
          <w:sz w:val="22"/>
          <w:szCs w:val="22"/>
        </w:rPr>
        <w:t>Huella dactilar.</w:t>
      </w:r>
    </w:p>
    <w:p w:rsidRPr="00DA5034" w:rsidR="00DA5034" w:rsidP="001036A9" w:rsidRDefault="00DA5034" w14:paraId="4C7F4A7D" w14:textId="77777777">
      <w:pPr>
        <w:spacing w:after="0" w:line="360" w:lineRule="auto"/>
        <w:rPr>
          <w:rFonts w:eastAsia="Calibri" w:cs="Tahoma"/>
          <w:b/>
          <w:bCs/>
          <w:color w:val="auto"/>
        </w:rPr>
      </w:pPr>
    </w:p>
    <w:p w:rsidRPr="00DA5034" w:rsidR="00DA5034" w:rsidP="001036A9" w:rsidRDefault="00DA5034" w14:paraId="4C6557FD" w14:textId="390B0957">
      <w:pPr>
        <w:spacing w:after="0" w:line="360" w:lineRule="auto"/>
        <w:rPr>
          <w:rFonts w:eastAsia="Calibri" w:cs="Tahoma"/>
          <w:bCs/>
          <w:color w:val="auto"/>
        </w:rPr>
      </w:pPr>
      <w:r w:rsidRPr="00DA5034">
        <w:rPr>
          <w:rFonts w:eastAsia="Calibri" w:cs="Tahoma"/>
          <w:bCs/>
          <w:color w:val="auto"/>
        </w:rPr>
        <w:t xml:space="preserve">Al respecto, la huella dactilar es la impresión visible o moldeada que produce el contacto de las crestas papilares de un dedo de la mano sobre una superficie.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w:history="1" r:id="rId8">
        <w:r w:rsidRPr="00DA5034">
          <w:rPr>
            <w:rStyle w:val="Hipervnculo"/>
            <w:rFonts w:eastAsia="Calibri" w:cs="Tahoma"/>
            <w:bCs/>
          </w:rPr>
          <w:t>https://docplayer.es/5455342-Nuevas-tecnologias-biometricas-instituto-nacional-de-ciencias-penales-procuraduria-general-de-la-republica-version-1-0.html</w:t>
        </w:r>
      </w:hyperlink>
      <w:r w:rsidRPr="00DA5034">
        <w:rPr>
          <w:rFonts w:eastAsia="Calibri" w:cs="Tahoma"/>
          <w:bCs/>
          <w:color w:val="auto"/>
        </w:rPr>
        <w:t xml:space="preserve">, se indica que existen tres principios fundamentales para la identificación de las huellas dactilares, a saber: </w:t>
      </w:r>
    </w:p>
    <w:p w:rsidRPr="00DA5034" w:rsidR="00DA5034" w:rsidP="001036A9" w:rsidRDefault="00DA5034" w14:paraId="66ED565B" w14:textId="77777777">
      <w:pPr>
        <w:spacing w:after="0" w:line="360" w:lineRule="auto"/>
        <w:rPr>
          <w:rFonts w:eastAsia="Calibri" w:cs="Tahoma"/>
          <w:bCs/>
          <w:color w:val="auto"/>
        </w:rPr>
      </w:pPr>
    </w:p>
    <w:p w:rsidRPr="00DA5034" w:rsidR="00DA5034" w:rsidP="001036A9" w:rsidRDefault="00DA5034" w14:paraId="3A16CBE8" w14:textId="77777777">
      <w:pPr>
        <w:numPr>
          <w:ilvl w:val="0"/>
          <w:numId w:val="24"/>
        </w:numPr>
        <w:spacing w:after="0" w:line="360" w:lineRule="auto"/>
        <w:rPr>
          <w:rFonts w:eastAsia="Calibri" w:cs="Tahoma"/>
          <w:bCs/>
          <w:color w:val="auto"/>
        </w:rPr>
      </w:pPr>
      <w:r w:rsidRPr="00DA5034">
        <w:rPr>
          <w:rFonts w:eastAsia="Calibri" w:cs="Tahoma"/>
          <w:bCs/>
          <w:color w:val="auto"/>
        </w:rPr>
        <w:t xml:space="preserve">Primer principio. La huella es una característica individual. No hay dos huellas con características en las crestas que sean idénticas. </w:t>
      </w:r>
    </w:p>
    <w:p w:rsidRPr="00DA5034" w:rsidR="00DA5034" w:rsidP="001036A9" w:rsidRDefault="00DA5034" w14:paraId="71B2FEA3" w14:textId="77777777">
      <w:pPr>
        <w:numPr>
          <w:ilvl w:val="0"/>
          <w:numId w:val="24"/>
        </w:numPr>
        <w:spacing w:after="0" w:line="360" w:lineRule="auto"/>
        <w:rPr>
          <w:rFonts w:eastAsia="Calibri" w:cs="Tahoma"/>
          <w:bCs/>
          <w:color w:val="auto"/>
        </w:rPr>
      </w:pPr>
      <w:r w:rsidRPr="00DA5034">
        <w:rPr>
          <w:rFonts w:eastAsia="Calibri" w:cs="Tahoma"/>
          <w:bCs/>
          <w:color w:val="auto"/>
        </w:rPr>
        <w:t xml:space="preserve">Segundo principio. Una huella permanece sin cambios durante toda la vida de un individuo (sin embargo, puede adquirir cicatrices o cualquier otra deformación que impida su identificación clara). </w:t>
      </w:r>
    </w:p>
    <w:p w:rsidRPr="00DA5034" w:rsidR="00DA5034" w:rsidP="001036A9" w:rsidRDefault="00DA5034" w14:paraId="7274674E" w14:textId="77777777">
      <w:pPr>
        <w:numPr>
          <w:ilvl w:val="0"/>
          <w:numId w:val="24"/>
        </w:numPr>
        <w:spacing w:after="0" w:line="360" w:lineRule="auto"/>
        <w:rPr>
          <w:rFonts w:eastAsia="Calibri" w:cs="Tahoma"/>
          <w:bCs/>
          <w:color w:val="auto"/>
        </w:rPr>
      </w:pPr>
      <w:r w:rsidRPr="00DA5034">
        <w:rPr>
          <w:rFonts w:eastAsia="Calibri" w:cs="Tahoma"/>
          <w:bCs/>
          <w:color w:val="auto"/>
        </w:rPr>
        <w:t xml:space="preserve">Tercer principio. Las huellas tienen patrones que se forman con sus crestas, lo que hace posible clasificarlas sistemáticamente para agilizar las búsquedas. </w:t>
      </w:r>
    </w:p>
    <w:p w:rsidRPr="00DA5034" w:rsidR="00DA5034" w:rsidP="001036A9" w:rsidRDefault="00DA5034" w14:paraId="76AC17A4" w14:textId="77777777">
      <w:pPr>
        <w:spacing w:after="0" w:line="360" w:lineRule="auto"/>
        <w:rPr>
          <w:rFonts w:eastAsia="Calibri" w:cs="Tahoma"/>
          <w:bCs/>
          <w:color w:val="auto"/>
        </w:rPr>
      </w:pPr>
    </w:p>
    <w:p w:rsidRPr="00DA5034" w:rsidR="00DA5034" w:rsidP="001036A9" w:rsidRDefault="00DA5034" w14:paraId="4313D59B" w14:textId="77777777">
      <w:pPr>
        <w:spacing w:after="0" w:line="360" w:lineRule="auto"/>
        <w:rPr>
          <w:rFonts w:eastAsia="Calibri" w:cs="Tahoma"/>
          <w:bCs/>
          <w:color w:val="auto"/>
        </w:rPr>
      </w:pPr>
      <w:r w:rsidRPr="00DA5034">
        <w:rPr>
          <w:rFonts w:eastAsia="Calibri" w:cs="Tahoma"/>
          <w:bCs/>
          <w:color w:val="auto"/>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rsidRPr="00DA5034" w:rsidR="00DA5034" w:rsidP="001036A9" w:rsidRDefault="00DA5034" w14:paraId="6AF66BDB" w14:textId="77777777">
      <w:pPr>
        <w:spacing w:after="0" w:line="360" w:lineRule="auto"/>
        <w:rPr>
          <w:rFonts w:eastAsia="Calibri" w:cs="Tahoma"/>
          <w:bCs/>
          <w:color w:val="auto"/>
        </w:rPr>
      </w:pPr>
    </w:p>
    <w:p w:rsidRPr="00DA5034" w:rsidR="00DA5034" w:rsidP="001036A9" w:rsidRDefault="00DA5034" w14:paraId="0A949484" w14:textId="77777777">
      <w:pPr>
        <w:spacing w:after="0" w:line="360" w:lineRule="auto"/>
        <w:rPr>
          <w:rFonts w:eastAsia="Calibri" w:cs="Tahoma"/>
          <w:bCs/>
          <w:color w:val="auto"/>
        </w:rPr>
      </w:pPr>
      <w:r w:rsidRPr="00DA5034">
        <w:rPr>
          <w:rFonts w:eastAsia="Calibri" w:cs="Tahoma"/>
          <w:bCs/>
          <w:color w:val="auto"/>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rsidRPr="00DA5034" w:rsidR="00DA5034" w:rsidP="001036A9" w:rsidRDefault="00DA5034" w14:paraId="01124B6C" w14:textId="77777777">
      <w:pPr>
        <w:spacing w:after="0" w:line="360" w:lineRule="auto"/>
        <w:rPr>
          <w:rFonts w:eastAsia="Calibri" w:cs="Tahoma"/>
          <w:bCs/>
          <w:color w:val="auto"/>
        </w:rPr>
      </w:pPr>
    </w:p>
    <w:p w:rsidRPr="00DA5034" w:rsidR="00DA5034" w:rsidP="001036A9" w:rsidRDefault="00DA5034" w14:paraId="35E41BF1" w14:textId="77777777">
      <w:pPr>
        <w:spacing w:after="0" w:line="360" w:lineRule="auto"/>
        <w:ind w:left="567" w:right="567"/>
        <w:rPr>
          <w:rFonts w:eastAsia="Calibri" w:cs="Tahoma"/>
          <w:bCs/>
          <w:i/>
          <w:iCs/>
          <w:color w:val="auto"/>
          <w:sz w:val="20"/>
          <w:szCs w:val="20"/>
        </w:rPr>
      </w:pPr>
      <w:r w:rsidRPr="00DA5034">
        <w:rPr>
          <w:rFonts w:eastAsia="Calibri" w:cs="Tahoma"/>
          <w:b/>
          <w:bCs/>
          <w:i/>
          <w:iCs/>
          <w:color w:val="auto"/>
          <w:sz w:val="20"/>
          <w:szCs w:val="20"/>
        </w:rPr>
        <w:t>“HUELLA DACTILAR. ES APTA PARA ACREDITAR EL CONSENTIMIENTO EN LA CELEBRACIÓN DE UN CONTRATO</w:t>
      </w:r>
      <w:r w:rsidRPr="00DA5034">
        <w:rPr>
          <w:rFonts w:eastAsia="Calibri" w:cs="Tahoma"/>
          <w:bCs/>
          <w:i/>
          <w:iCs/>
          <w:color w:val="auto"/>
          <w:sz w:val="20"/>
          <w:szCs w:val="20"/>
        </w:rPr>
        <w:t xml:space="preserve">. </w:t>
      </w:r>
      <w:r w:rsidRPr="00DA5034">
        <w:rPr>
          <w:rFonts w:eastAsia="Calibri" w:cs="Tahoma"/>
          <w:b/>
          <w:bCs/>
          <w:i/>
          <w:iCs/>
          <w:color w:val="auto"/>
          <w:sz w:val="20"/>
          <w:szCs w:val="20"/>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DA5034">
        <w:rPr>
          <w:rFonts w:eastAsia="Calibri" w:cs="Tahoma"/>
          <w:bCs/>
          <w:i/>
          <w:iCs/>
          <w:color w:val="auto"/>
          <w:sz w:val="20"/>
          <w:szCs w:val="20"/>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w:t>
      </w:r>
      <w:r w:rsidRPr="00DA5034">
        <w:rPr>
          <w:rFonts w:eastAsia="Calibri" w:cs="Tahoma"/>
          <w:bCs/>
          <w:i/>
          <w:iCs/>
          <w:color w:val="auto"/>
          <w:sz w:val="20"/>
          <w:szCs w:val="20"/>
        </w:rPr>
        <w:lastRenderedPageBreak/>
        <w:t>las firmas correspondientes, más aún cuando el autor no negó expresamente haber estampado sus huellas en el contrato.”</w:t>
      </w:r>
    </w:p>
    <w:p w:rsidRPr="00DA5034" w:rsidR="00DA5034" w:rsidP="001036A9" w:rsidRDefault="00DA5034" w14:paraId="0B10BEC0" w14:textId="77777777">
      <w:pPr>
        <w:spacing w:after="0" w:line="360" w:lineRule="auto"/>
        <w:rPr>
          <w:rFonts w:eastAsia="Calibri" w:cs="Tahoma"/>
          <w:bCs/>
          <w:color w:val="auto"/>
        </w:rPr>
      </w:pPr>
    </w:p>
    <w:p w:rsidRPr="00DA5034" w:rsidR="00DA5034" w:rsidP="001036A9" w:rsidRDefault="00DA5034" w14:paraId="1C7294A8" w14:textId="77777777">
      <w:pPr>
        <w:spacing w:after="0" w:line="360" w:lineRule="auto"/>
        <w:rPr>
          <w:rFonts w:eastAsia="Calibri" w:cs="Tahoma"/>
          <w:bCs/>
          <w:color w:val="auto"/>
        </w:rPr>
      </w:pPr>
      <w:r w:rsidRPr="00DA5034">
        <w:rPr>
          <w:rFonts w:eastAsia="Calibri" w:cs="Tahoma"/>
          <w:bCs/>
          <w:color w:val="auto"/>
        </w:rPr>
        <w:t xml:space="preserve"> En la actualidad existen sistemas denominados AFIS por sus siglas en inglés </w:t>
      </w:r>
      <w:r w:rsidRPr="00DA5034">
        <w:rPr>
          <w:rFonts w:eastAsia="Calibri" w:cs="Tahoma"/>
          <w:bCs/>
          <w:i/>
          <w:color w:val="auto"/>
        </w:rPr>
        <w:t>Automated Fingerprint Identification System</w:t>
      </w:r>
      <w:r w:rsidRPr="00DA5034">
        <w:rPr>
          <w:rFonts w:eastAsia="Calibri" w:cs="Tahoma"/>
          <w:bCs/>
          <w:color w:val="auto"/>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rsidRPr="00DA5034" w:rsidR="00DA5034" w:rsidP="001036A9" w:rsidRDefault="00DA5034" w14:paraId="72BDC0C1" w14:textId="77777777">
      <w:pPr>
        <w:spacing w:after="0" w:line="360" w:lineRule="auto"/>
        <w:rPr>
          <w:rFonts w:eastAsia="Calibri" w:cs="Tahoma"/>
          <w:bCs/>
          <w:color w:val="auto"/>
        </w:rPr>
      </w:pPr>
    </w:p>
    <w:p w:rsidRPr="00DA5034" w:rsidR="00DA5034" w:rsidP="001036A9" w:rsidRDefault="00DA5034" w14:paraId="74989024" w14:textId="77777777">
      <w:pPr>
        <w:spacing w:after="0" w:line="360" w:lineRule="auto"/>
        <w:rPr>
          <w:rFonts w:eastAsia="Calibri" w:cs="Tahoma"/>
          <w:bCs/>
          <w:color w:val="auto"/>
        </w:rPr>
      </w:pPr>
      <w:r w:rsidRPr="00DA5034">
        <w:rPr>
          <w:rFonts w:eastAsia="Calibri" w:cs="Tahoma"/>
          <w:bCs/>
          <w:color w:val="auto"/>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rsidRPr="00DA5034" w:rsidR="00DA5034" w:rsidP="001036A9" w:rsidRDefault="00DA5034" w14:paraId="1BDEA1CD" w14:textId="77777777">
      <w:pPr>
        <w:spacing w:after="0" w:line="360" w:lineRule="auto"/>
        <w:rPr>
          <w:rFonts w:eastAsia="Calibri" w:cs="Tahoma"/>
          <w:bCs/>
          <w:color w:val="auto"/>
        </w:rPr>
      </w:pPr>
    </w:p>
    <w:p w:rsidRPr="00DA5034" w:rsidR="00DA5034" w:rsidP="001036A9" w:rsidRDefault="00DA5034" w14:paraId="46F1FE87" w14:textId="77777777">
      <w:pPr>
        <w:spacing w:after="0" w:line="360" w:lineRule="auto"/>
        <w:rPr>
          <w:rFonts w:eastAsia="Calibri" w:cs="Tahoma"/>
          <w:bCs/>
          <w:color w:val="auto"/>
        </w:rPr>
      </w:pPr>
      <w:r w:rsidRPr="00DA5034">
        <w:rPr>
          <w:rFonts w:eastAsia="Calibri" w:cs="Tahoma"/>
          <w:bCs/>
          <w:color w:val="auto"/>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rsidRPr="00DA5034" w:rsidR="00DA5034" w:rsidP="001036A9" w:rsidRDefault="00DA5034" w14:paraId="4CBE5EB4" w14:textId="77777777">
      <w:pPr>
        <w:spacing w:after="0" w:line="360" w:lineRule="auto"/>
        <w:rPr>
          <w:rFonts w:eastAsia="Calibri" w:cs="Tahoma"/>
          <w:bCs/>
          <w:color w:val="auto"/>
        </w:rPr>
      </w:pPr>
    </w:p>
    <w:p w:rsidRPr="00DA5034" w:rsidR="00DA5034" w:rsidP="001036A9" w:rsidRDefault="00DA5034" w14:paraId="3E43FB2E" w14:textId="77777777">
      <w:pPr>
        <w:spacing w:after="0" w:line="360" w:lineRule="auto"/>
        <w:rPr>
          <w:rFonts w:eastAsia="Calibri" w:cs="Tahoma"/>
          <w:b/>
          <w:color w:val="auto"/>
        </w:rPr>
      </w:pPr>
      <w:r w:rsidRPr="00DA5034">
        <w:rPr>
          <w:rFonts w:eastAsia="Calibri" w:cs="Tahoma"/>
          <w:bCs/>
          <w:color w:val="auto"/>
        </w:rPr>
        <w:lastRenderedPageBreak/>
        <w:t xml:space="preserve">Por lo anterior, la huella dactilar no sólo constituye un dato personal confidencial de carácter biométrico, sino que su tratamiento debe llevarse a cabo a través de medidas de seguridad que garanticen su adecuado tratamiento, por lo que </w:t>
      </w:r>
      <w:r w:rsidRPr="00DA5034">
        <w:rPr>
          <w:rFonts w:eastAsia="Calibri" w:cs="Tahoma"/>
          <w:b/>
          <w:color w:val="auto"/>
        </w:rPr>
        <w:t>debe ser clasificado como confidencial en términos del artículo 143, fracción I, de la Ley de Transparencia y Acceso a la Información Pública del Estado de México y Municipios.</w:t>
      </w:r>
    </w:p>
    <w:p w:rsidRPr="00762A72" w:rsidR="002C3A82" w:rsidP="001036A9" w:rsidRDefault="002C3A82" w14:paraId="155628FF" w14:textId="77777777">
      <w:pPr>
        <w:spacing w:after="0" w:line="360" w:lineRule="auto"/>
        <w:rPr>
          <w:rFonts w:eastAsia="Times New Roman" w:cs="Tahoma"/>
          <w:bCs/>
          <w:iCs/>
          <w:color w:val="auto"/>
          <w:lang w:val="es-ES" w:eastAsia="es-ES"/>
        </w:rPr>
      </w:pPr>
    </w:p>
    <w:p w:rsidRPr="007E467A" w:rsidR="007E467A" w:rsidP="007E467A" w:rsidRDefault="007E467A" w14:paraId="3EFA11C4" w14:textId="38C5C168">
      <w:pPr>
        <w:spacing w:after="0" w:line="360" w:lineRule="auto"/>
        <w:rPr>
          <w:rFonts w:eastAsia="Times New Roman" w:cs="Tahoma"/>
          <w:color w:val="auto"/>
          <w:lang w:val="es-ES" w:eastAsia="es-ES"/>
        </w:rPr>
      </w:pPr>
      <w:r w:rsidRPr="007E467A">
        <w:rPr>
          <w:rFonts w:eastAsia="Times New Roman" w:cs="Tahoma"/>
          <w:color w:val="auto"/>
          <w:lang w:val="es-ES_tradnl" w:eastAsia="es-ES"/>
        </w:rPr>
        <w:t xml:space="preserve">En ese contexto, se considera </w:t>
      </w:r>
      <w:r w:rsidRPr="007E467A" w:rsidR="00D66718">
        <w:rPr>
          <w:rFonts w:eastAsia="Times New Roman" w:cs="Tahoma"/>
          <w:color w:val="auto"/>
          <w:lang w:val="es-ES_tradnl" w:eastAsia="es-ES"/>
        </w:rPr>
        <w:t>que,</w:t>
      </w:r>
      <w:r w:rsidRPr="007E467A">
        <w:rPr>
          <w:rFonts w:eastAsia="Times New Roman" w:cs="Tahoma"/>
          <w:color w:val="auto"/>
          <w:lang w:val="es-ES_tradnl" w:eastAsia="es-ES"/>
        </w:rPr>
        <w:t xml:space="preserve"> para dar atención al requerimiento informativo, el Tribunal Estatal de Conciliación y Arbitraje, deberá entregar </w:t>
      </w:r>
      <w:r>
        <w:rPr>
          <w:rFonts w:eastAsia="Times New Roman" w:cs="Tahoma"/>
          <w:color w:val="auto"/>
          <w:lang w:val="es-ES_tradnl" w:eastAsia="es-ES"/>
        </w:rPr>
        <w:t>los cuatrocientos cinco Convenios</w:t>
      </w:r>
      <w:r w:rsidRPr="007E467A">
        <w:rPr>
          <w:rFonts w:eastAsia="Times New Roman" w:cs="Tahoma"/>
          <w:color w:val="auto"/>
          <w:lang w:val="es-ES_tradnl" w:eastAsia="es-ES"/>
        </w:rPr>
        <w:t>, en versión pública, en donde podrá clasificar como confidencial, la clave de elector</w:t>
      </w:r>
      <w:r>
        <w:rPr>
          <w:rFonts w:eastAsia="Times New Roman" w:cs="Tahoma"/>
          <w:color w:val="auto"/>
          <w:lang w:val="es-ES_tradnl" w:eastAsia="es-ES"/>
        </w:rPr>
        <w:t>, domicilio particular y huella dactilar</w:t>
      </w:r>
      <w:r w:rsidRPr="007E467A">
        <w:rPr>
          <w:rFonts w:eastAsia="Times New Roman" w:cs="Tahoma"/>
          <w:color w:val="auto"/>
          <w:lang w:val="es-ES_tradnl" w:eastAsia="es-ES"/>
        </w:rPr>
        <w:t xml:space="preserve">, en términos </w:t>
      </w:r>
      <w:r w:rsidRPr="007E467A">
        <w:rPr>
          <w:rFonts w:eastAsia="Times New Roman" w:cs="Tahoma"/>
          <w:color w:val="auto"/>
          <w:lang w:val="es-ES" w:eastAsia="es-ES"/>
        </w:rPr>
        <w:t>del artículo 143, fracción I de la Ley de Transparencia y Acceso a la Información Pública del Estado de México y Municipios.</w:t>
      </w:r>
    </w:p>
    <w:p w:rsidRPr="007E467A" w:rsidR="007E467A" w:rsidP="007E467A" w:rsidRDefault="007E467A" w14:paraId="1A884F31" w14:textId="77777777">
      <w:pPr>
        <w:spacing w:after="0" w:line="360" w:lineRule="auto"/>
        <w:rPr>
          <w:rFonts w:eastAsia="Times New Roman" w:cs="Tahoma"/>
          <w:color w:val="auto"/>
          <w:lang w:val="es-ES" w:eastAsia="es-ES"/>
        </w:rPr>
      </w:pPr>
    </w:p>
    <w:p w:rsidRPr="007E467A" w:rsidR="007E467A" w:rsidP="007E467A" w:rsidRDefault="007E467A" w14:paraId="7A52CD1C" w14:textId="77777777">
      <w:pPr>
        <w:spacing w:after="0" w:line="360" w:lineRule="auto"/>
        <w:rPr>
          <w:rFonts w:eastAsia="Times New Roman" w:cs="Tahoma"/>
          <w:color w:val="auto"/>
          <w:lang w:eastAsia="es-ES"/>
        </w:rPr>
      </w:pPr>
      <w:r w:rsidRPr="007E467A">
        <w:rPr>
          <w:rFonts w:eastAsia="Times New Roman" w:cs="Tahoma"/>
          <w:color w:val="auto"/>
          <w:lang w:eastAsia="es-ES"/>
        </w:rPr>
        <w:t>Lo anterior, toma sustento, en el artículo 3°, fracción XLV, relacionado con el 137, ambos de la Ley de Transparencia y Acceso a la Información Pública del Estado de México y Municipios, que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7E467A" w:rsidR="007E467A" w:rsidP="007E467A" w:rsidRDefault="007E467A" w14:paraId="5593A1DB" w14:textId="77777777">
      <w:pPr>
        <w:spacing w:after="0" w:line="360" w:lineRule="auto"/>
        <w:rPr>
          <w:rFonts w:eastAsia="Times New Roman" w:cs="Tahoma"/>
          <w:color w:val="auto"/>
          <w:lang w:eastAsia="es-ES"/>
        </w:rPr>
      </w:pPr>
      <w:r w:rsidRPr="007E467A">
        <w:rPr>
          <w:rFonts w:eastAsia="Times New Roman" w:cs="Tahoma"/>
          <w:color w:val="auto"/>
          <w:lang w:eastAsia="es-ES"/>
        </w:rPr>
        <w:tab/>
      </w:r>
    </w:p>
    <w:p w:rsidRPr="007E467A" w:rsidR="007E467A" w:rsidP="007E467A" w:rsidRDefault="007E467A" w14:paraId="1BB543F9" w14:textId="77777777">
      <w:pPr>
        <w:spacing w:after="0" w:line="360" w:lineRule="auto"/>
        <w:rPr>
          <w:rFonts w:eastAsia="Times New Roman" w:cs="Tahoma"/>
          <w:color w:val="auto"/>
          <w:lang w:eastAsia="es-ES"/>
        </w:rPr>
      </w:pPr>
      <w:r w:rsidRPr="007E467A">
        <w:rPr>
          <w:rFonts w:eastAsia="Times New Roman" w:cs="Tahoma"/>
          <w:color w:val="auto"/>
          <w:lang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2C3A82" w:rsidP="001036A9" w:rsidRDefault="002C3A82" w14:paraId="18DCFA77" w14:textId="0A08A02F">
      <w:pPr>
        <w:spacing w:after="0" w:line="360" w:lineRule="auto"/>
      </w:pPr>
    </w:p>
    <w:p w:rsidRPr="00937F8F" w:rsidR="00937F8F" w:rsidP="001036A9" w:rsidRDefault="00937F8F" w14:paraId="07F5E7FF" w14:textId="68E15B7F">
      <w:pPr>
        <w:spacing w:after="0" w:line="360" w:lineRule="auto"/>
        <w:rPr>
          <w:b/>
          <w:bCs/>
        </w:rPr>
      </w:pPr>
      <w:r>
        <w:t xml:space="preserve">Así, toda vez que el Sujeto Obligado no proporcionó los Convenios solicitados, al clasificarlos de manera infundada y motivada, es que el agravio resunta </w:t>
      </w:r>
      <w:r>
        <w:rPr>
          <w:b/>
          <w:bCs/>
        </w:rPr>
        <w:t>FUNDADO.</w:t>
      </w:r>
    </w:p>
    <w:p w:rsidRPr="00762A72" w:rsidR="002C3A82" w:rsidP="001036A9" w:rsidRDefault="002C3A82" w14:paraId="708165DE" w14:textId="77777777">
      <w:pPr>
        <w:spacing w:after="0" w:line="360" w:lineRule="auto"/>
        <w:rPr>
          <w:rFonts w:cs="Tahoma"/>
          <w:b/>
        </w:rPr>
      </w:pPr>
      <w:r w:rsidRPr="00762A72">
        <w:rPr>
          <w:rFonts w:cs="Tahoma"/>
          <w:b/>
        </w:rPr>
        <w:lastRenderedPageBreak/>
        <w:t xml:space="preserve">SEXTO. Decisión. </w:t>
      </w:r>
    </w:p>
    <w:p w:rsidRPr="00762A72" w:rsidR="002C3A82" w:rsidP="001036A9" w:rsidRDefault="002C3A82" w14:paraId="2F2DF028" w14:textId="77777777">
      <w:pPr>
        <w:spacing w:after="0" w:line="360" w:lineRule="auto"/>
        <w:rPr>
          <w:rFonts w:cs="Tahoma"/>
          <w:b/>
        </w:rPr>
      </w:pPr>
    </w:p>
    <w:p w:rsidRPr="00937F8F" w:rsidR="00937F8F" w:rsidP="00937F8F" w:rsidRDefault="002C3A82" w14:paraId="1070ED20" w14:textId="495734CE">
      <w:pPr>
        <w:widowControl w:val="0"/>
        <w:spacing w:after="0" w:line="360" w:lineRule="auto"/>
        <w:rPr>
          <w:rFonts w:cs="Tahoma"/>
          <w:szCs w:val="28"/>
        </w:rPr>
      </w:pPr>
      <w:r w:rsidRPr="00762A72">
        <w:rPr>
          <w:rFonts w:cs="Tahoma"/>
        </w:rPr>
        <w:t xml:space="preserve">Con fundamento en el artículo 186, fracción III, de la Ley de Transparencia y Acceso a la Información Pública del Estado de México y Municipios, este Instituto considera procedente </w:t>
      </w:r>
      <w:r w:rsidRPr="00762A72" w:rsidR="002371EB">
        <w:rPr>
          <w:rFonts w:cs="Tahoma"/>
          <w:b/>
        </w:rPr>
        <w:t>REVOCAR</w:t>
      </w:r>
      <w:r w:rsidRPr="00762A72">
        <w:rPr>
          <w:rFonts w:cs="Tahoma"/>
          <w:b/>
        </w:rPr>
        <w:t xml:space="preserve"> </w:t>
      </w:r>
      <w:r w:rsidRPr="00762A72">
        <w:rPr>
          <w:rFonts w:cs="Tahoma"/>
          <w:bCs/>
        </w:rPr>
        <w:t>la</w:t>
      </w:r>
      <w:r w:rsidRPr="00762A72">
        <w:rPr>
          <w:rFonts w:cs="Tahoma"/>
        </w:rPr>
        <w:t xml:space="preserve"> respuesta otorgada por el </w:t>
      </w:r>
      <w:r w:rsidRPr="00762A72">
        <w:rPr>
          <w:rFonts w:eastAsia="Calibri" w:cs="Tahoma"/>
        </w:rPr>
        <w:t xml:space="preserve">Tribunal Estatal de Conciliación y Arbitraje, </w:t>
      </w:r>
      <w:r w:rsidRPr="00762A72">
        <w:rPr>
          <w:rFonts w:cs="Tahoma"/>
        </w:rPr>
        <w:t>a efecto de que</w:t>
      </w:r>
      <w:r w:rsidR="00937F8F">
        <w:rPr>
          <w:rFonts w:cs="Tahoma"/>
        </w:rPr>
        <w:t>,</w:t>
      </w:r>
      <w:r w:rsidRPr="00762A72">
        <w:rPr>
          <w:rFonts w:cs="Tahoma"/>
        </w:rPr>
        <w:t xml:space="preserve"> entregue, </w:t>
      </w:r>
      <w:r w:rsidRPr="00762A72">
        <w:rPr>
          <w:rFonts w:eastAsia="Calibri" w:cs="Tahoma"/>
          <w:iCs/>
          <w:lang w:eastAsia="es-ES_tradnl"/>
        </w:rPr>
        <w:t>a través del Sistema de Acceso a la Información Mexiquense (SAIMEX)</w:t>
      </w:r>
      <w:r w:rsidRPr="00762A72" w:rsidR="00941067">
        <w:rPr>
          <w:rFonts w:eastAsia="Calibri" w:cs="Tahoma"/>
          <w:iCs/>
          <w:lang w:eastAsia="es-ES_tradnl"/>
        </w:rPr>
        <w:t xml:space="preserve">, </w:t>
      </w:r>
      <w:r w:rsidR="00937F8F">
        <w:rPr>
          <w:rFonts w:eastAsia="Calibri" w:cs="Tahoma"/>
          <w:iCs/>
          <w:lang w:eastAsia="es-ES_tradnl"/>
        </w:rPr>
        <w:t>en versión pública, l</w:t>
      </w:r>
      <w:r w:rsidRPr="00937F8F" w:rsidR="00937F8F">
        <w:rPr>
          <w:rFonts w:cs="Tahoma"/>
          <w:szCs w:val="28"/>
        </w:rPr>
        <w:t xml:space="preserve">os </w:t>
      </w:r>
      <w:r w:rsidR="00937F8F">
        <w:rPr>
          <w:rFonts w:cs="Tahoma"/>
          <w:szCs w:val="28"/>
        </w:rPr>
        <w:t>C</w:t>
      </w:r>
      <w:r w:rsidRPr="00937F8F" w:rsidR="00937F8F">
        <w:rPr>
          <w:rFonts w:cs="Tahoma"/>
          <w:szCs w:val="28"/>
        </w:rPr>
        <w:t>onvenios con juicio o sin juicio, celebrados entre el Ayuntamiento de Valle de Chalco Solidaridad y sus ex servidores públicos, llevados a cabo, ante la Sala Auxiliar de Ecatepec del Tribunal Estatal y Conciliación y Arbitraje</w:t>
      </w:r>
      <w:r w:rsidR="00937F8F">
        <w:rPr>
          <w:rFonts w:cs="Tahoma"/>
          <w:szCs w:val="28"/>
        </w:rPr>
        <w:t xml:space="preserve"> (referidos en el desahogo del requerimiento de información adicional)</w:t>
      </w:r>
      <w:r w:rsidRPr="00937F8F" w:rsidR="00937F8F">
        <w:rPr>
          <w:rFonts w:cs="Tahoma"/>
          <w:szCs w:val="28"/>
        </w:rPr>
        <w:t>.</w:t>
      </w:r>
    </w:p>
    <w:p w:rsidRPr="00762A72" w:rsidR="00937F8F" w:rsidP="001036A9" w:rsidRDefault="00937F8F" w14:paraId="268990DB" w14:textId="77777777">
      <w:pPr>
        <w:widowControl w:val="0"/>
        <w:spacing w:after="0" w:line="360" w:lineRule="auto"/>
        <w:rPr>
          <w:rFonts w:eastAsia="Calibri" w:cs="Tahoma"/>
          <w:iCs/>
          <w:lang w:eastAsia="es-ES_tradnl"/>
        </w:rPr>
      </w:pPr>
    </w:p>
    <w:p w:rsidRPr="00762A72" w:rsidR="002C3A82" w:rsidP="001036A9" w:rsidRDefault="002C3A82" w14:paraId="7871F356" w14:textId="77777777">
      <w:pPr>
        <w:tabs>
          <w:tab w:val="left" w:pos="4962"/>
        </w:tabs>
        <w:spacing w:after="0" w:line="360" w:lineRule="auto"/>
        <w:rPr>
          <w:rFonts w:eastAsia="Calibri" w:cs="Tahoma"/>
          <w:bCs/>
          <w:iCs/>
          <w:color w:val="auto"/>
          <w:lang w:val="es-ES"/>
        </w:rPr>
      </w:pPr>
      <w:r w:rsidRPr="00762A72">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762A72" w:rsidR="002C3A82" w:rsidP="001036A9" w:rsidRDefault="002C3A82" w14:paraId="46911BD5" w14:textId="77777777">
      <w:pPr>
        <w:spacing w:after="0" w:line="360" w:lineRule="auto"/>
      </w:pPr>
    </w:p>
    <w:p w:rsidRPr="00762A72" w:rsidR="002C3A82" w:rsidP="001036A9" w:rsidRDefault="002C3A82" w14:paraId="47E5A24E" w14:textId="77777777">
      <w:pPr>
        <w:spacing w:after="0" w:line="360" w:lineRule="auto"/>
        <w:rPr>
          <w:b/>
          <w:bCs/>
        </w:rPr>
      </w:pPr>
      <w:r w:rsidRPr="00762A72">
        <w:rPr>
          <w:b/>
          <w:bCs/>
        </w:rPr>
        <w:t>Términos de la Resolución.</w:t>
      </w:r>
    </w:p>
    <w:p w:rsidRPr="00762A72" w:rsidR="00E709E2" w:rsidP="001036A9" w:rsidRDefault="00E709E2" w14:paraId="7F1BB3EE" w14:textId="77777777">
      <w:pPr>
        <w:spacing w:after="0" w:line="360" w:lineRule="auto"/>
      </w:pPr>
    </w:p>
    <w:p w:rsidRPr="00E709E2" w:rsidR="00E709E2" w:rsidP="001036A9" w:rsidRDefault="00E709E2" w14:paraId="4B703E3C" w14:textId="51B4CFBA">
      <w:pPr>
        <w:spacing w:after="0" w:line="360" w:lineRule="auto"/>
        <w:rPr>
          <w:bCs/>
          <w:iCs/>
        </w:rPr>
      </w:pPr>
      <w:r w:rsidRPr="00E709E2">
        <w:rPr>
          <w:bCs/>
        </w:rPr>
        <w:t>Se le hace del conocimiento al Particular, que, en el presente caso, se le da la razón, pues el Sujeto Obligado no fundamentó, ni motivó de manera correcta la clasificación de información; aunado a que, en el presente caso, se trata de información</w:t>
      </w:r>
      <w:r w:rsidRPr="00762A72" w:rsidR="00632E39">
        <w:rPr>
          <w:bCs/>
        </w:rPr>
        <w:t xml:space="preserve"> susceptible de ser entrega</w:t>
      </w:r>
      <w:r w:rsidR="00937F8F">
        <w:rPr>
          <w:bCs/>
        </w:rPr>
        <w:t>da,</w:t>
      </w:r>
      <w:r w:rsidRPr="00762A72" w:rsidR="00632E39">
        <w:rPr>
          <w:bCs/>
        </w:rPr>
        <w:t xml:space="preserve"> en versión pública</w:t>
      </w:r>
      <w:r w:rsidR="00937F8F">
        <w:rPr>
          <w:bCs/>
        </w:rPr>
        <w:t>; es importante</w:t>
      </w:r>
      <w:r w:rsidRPr="00E709E2">
        <w:rPr>
          <w:bCs/>
        </w:rPr>
        <w:t xml:space="preserve"> hacerle saber que, en caso de que los documentos que le entreguen contengan partes o secciones tachadas o eliminadas, estas corresponden a una versión pública, en donde se protegieron datos personales</w:t>
      </w:r>
      <w:r w:rsidRPr="00762A72" w:rsidR="00AC1585">
        <w:rPr>
          <w:bCs/>
        </w:rPr>
        <w:t xml:space="preserve">. </w:t>
      </w:r>
      <w:r w:rsidRPr="00E709E2">
        <w:rPr>
          <w:bCs/>
          <w:iCs/>
        </w:rPr>
        <w:t>Finalmente, la labor de este Instituto, es apoyar a la población a acceder a la información pública y garantizar la protección de los datos personales.</w:t>
      </w:r>
    </w:p>
    <w:p w:rsidRPr="00762A72" w:rsidR="00E709E2" w:rsidP="001036A9" w:rsidRDefault="00E709E2" w14:paraId="30F7C774" w14:textId="77777777">
      <w:pPr>
        <w:spacing w:after="0" w:line="360" w:lineRule="auto"/>
      </w:pPr>
    </w:p>
    <w:p w:rsidRPr="00762A72" w:rsidR="002C3A82" w:rsidP="001036A9" w:rsidRDefault="002C3A82" w14:paraId="3E011EE7" w14:textId="77777777">
      <w:pPr>
        <w:spacing w:after="0" w:line="360" w:lineRule="auto"/>
        <w:rPr>
          <w:rFonts w:eastAsia="Calibri" w:cs="Tahoma"/>
          <w:bCs/>
          <w:color w:val="auto"/>
        </w:rPr>
      </w:pPr>
      <w:r w:rsidRPr="00762A72">
        <w:lastRenderedPageBreak/>
        <w:t>Por</w:t>
      </w:r>
      <w:r w:rsidRPr="00762A72">
        <w:rPr>
          <w:rFonts w:eastAsia="Calibri" w:cs="Tahoma"/>
          <w:bCs/>
          <w:color w:val="auto"/>
        </w:rPr>
        <w:t xml:space="preserve"> lo expuesto y fundado, este Pleno:</w:t>
      </w:r>
    </w:p>
    <w:p w:rsidRPr="00762A72" w:rsidR="002C3A82" w:rsidP="001036A9" w:rsidRDefault="002C3A82" w14:paraId="4C0B5B49" w14:textId="77777777">
      <w:pPr>
        <w:spacing w:after="0" w:line="360" w:lineRule="auto"/>
        <w:ind w:right="-28"/>
        <w:rPr>
          <w:rFonts w:eastAsia="Calibri" w:cs="Tahoma"/>
          <w:bCs/>
          <w:color w:val="auto"/>
        </w:rPr>
      </w:pPr>
    </w:p>
    <w:p w:rsidRPr="00762A72" w:rsidR="002C3A82" w:rsidP="001036A9" w:rsidRDefault="002C3A82" w14:paraId="6AB9D16A" w14:textId="77777777">
      <w:pPr>
        <w:spacing w:after="0" w:line="360" w:lineRule="auto"/>
        <w:ind w:right="-28"/>
        <w:jc w:val="center"/>
        <w:rPr>
          <w:rFonts w:eastAsia="Calibri" w:cs="Tahoma"/>
          <w:b/>
          <w:bCs/>
          <w:color w:val="auto"/>
        </w:rPr>
      </w:pPr>
      <w:r w:rsidRPr="00762A72">
        <w:rPr>
          <w:rFonts w:eastAsia="Calibri" w:cs="Tahoma"/>
          <w:b/>
          <w:bCs/>
          <w:color w:val="auto"/>
        </w:rPr>
        <w:t>R E S U E L V E:</w:t>
      </w:r>
    </w:p>
    <w:p w:rsidRPr="00762A72" w:rsidR="002C3A82" w:rsidP="001036A9" w:rsidRDefault="002C3A82" w14:paraId="75A3BDCD" w14:textId="77777777">
      <w:pPr>
        <w:spacing w:after="0" w:line="360" w:lineRule="auto"/>
        <w:rPr>
          <w:lang w:val="es-ES" w:eastAsia="es-ES_tradnl"/>
        </w:rPr>
      </w:pPr>
    </w:p>
    <w:p w:rsidRPr="00762A72" w:rsidR="002C3A82" w:rsidP="001036A9" w:rsidRDefault="002C3A82" w14:paraId="25B549B3" w14:textId="0BA604D0">
      <w:pPr>
        <w:spacing w:after="0" w:line="360" w:lineRule="auto"/>
        <w:contextualSpacing/>
        <w:rPr>
          <w:rFonts w:eastAsia="Calibri" w:cs="Tahoma"/>
          <w:bCs/>
        </w:rPr>
      </w:pPr>
      <w:r w:rsidRPr="00762A72">
        <w:rPr>
          <w:rFonts w:cs="Tahoma"/>
          <w:b/>
          <w:bCs/>
        </w:rPr>
        <w:t xml:space="preserve">PRIMERO. </w:t>
      </w:r>
      <w:r w:rsidRPr="00762A72">
        <w:rPr>
          <w:rFonts w:cs="Tahoma"/>
          <w:bCs/>
        </w:rPr>
        <w:t xml:space="preserve">Se </w:t>
      </w:r>
      <w:r w:rsidRPr="00762A72" w:rsidR="003E3FB9">
        <w:rPr>
          <w:rFonts w:cs="Tahoma"/>
          <w:b/>
          <w:bCs/>
        </w:rPr>
        <w:t>REVOCA</w:t>
      </w:r>
      <w:r w:rsidRPr="00762A72">
        <w:rPr>
          <w:rFonts w:cs="Tahoma"/>
          <w:bCs/>
        </w:rPr>
        <w:t xml:space="preserve"> la respuesta entregada por el </w:t>
      </w:r>
      <w:r w:rsidRPr="00762A72">
        <w:rPr>
          <w:rFonts w:eastAsia="Calibri" w:cs="Tahoma"/>
        </w:rPr>
        <w:t>Tribunal Estatal de Conciliación y Arbitraje</w:t>
      </w:r>
      <w:r w:rsidRPr="00762A72">
        <w:rPr>
          <w:rFonts w:cs="Tahoma"/>
          <w:bCs/>
        </w:rPr>
        <w:t xml:space="preserve"> a la solicitud de </w:t>
      </w:r>
      <w:r w:rsidRPr="00762A72">
        <w:rPr>
          <w:rFonts w:eastAsia="Calibri" w:cs="Tahoma"/>
        </w:rPr>
        <w:t xml:space="preserve">información </w:t>
      </w:r>
      <w:r w:rsidRPr="00762A72" w:rsidR="0035560C">
        <w:rPr>
          <w:rFonts w:eastAsia="Calibri" w:cs="Tahoma"/>
          <w:b/>
          <w:bCs/>
        </w:rPr>
        <w:t>00085/TRIECA/IP/2021</w:t>
      </w:r>
      <w:r w:rsidRPr="00762A72">
        <w:t xml:space="preserve"> por resultar </w:t>
      </w:r>
      <w:r w:rsidRPr="00762A72">
        <w:rPr>
          <w:b/>
        </w:rPr>
        <w:t>FUNDADAS</w:t>
      </w:r>
      <w:r w:rsidRPr="00762A72">
        <w:rPr>
          <w:rFonts w:cs="Tahoma"/>
        </w:rPr>
        <w:t xml:space="preserve"> </w:t>
      </w:r>
      <w:r w:rsidRPr="00762A72">
        <w:rPr>
          <w:rFonts w:eastAsia="Calibri" w:cs="Tahoma"/>
        </w:rPr>
        <w:t>las razones o motivos de inconformidad hechos valer por el Particular, en</w:t>
      </w:r>
      <w:r w:rsidRPr="00762A72">
        <w:rPr>
          <w:rFonts w:eastAsia="Calibri" w:cs="Tahoma"/>
          <w:bCs/>
        </w:rPr>
        <w:t xml:space="preserve"> términos de los considerandos </w:t>
      </w:r>
      <w:r w:rsidRPr="00762A72">
        <w:rPr>
          <w:rFonts w:eastAsia="Calibri" w:cs="Tahoma"/>
          <w:b/>
          <w:bCs/>
        </w:rPr>
        <w:t xml:space="preserve">QUINTO </w:t>
      </w:r>
      <w:r w:rsidRPr="00762A72">
        <w:rPr>
          <w:rFonts w:eastAsia="Calibri" w:cs="Tahoma"/>
        </w:rPr>
        <w:t xml:space="preserve">y </w:t>
      </w:r>
      <w:r w:rsidRPr="00762A72">
        <w:rPr>
          <w:rFonts w:eastAsia="Calibri" w:cs="Tahoma"/>
          <w:b/>
          <w:bCs/>
        </w:rPr>
        <w:t>SEXTO</w:t>
      </w:r>
      <w:r w:rsidRPr="00762A72">
        <w:rPr>
          <w:rFonts w:eastAsia="Calibri" w:cs="Tahoma"/>
          <w:bCs/>
        </w:rPr>
        <w:t xml:space="preserve"> de la presente Resolución.</w:t>
      </w:r>
    </w:p>
    <w:p w:rsidRPr="00762A72" w:rsidR="002C3A82" w:rsidP="001036A9" w:rsidRDefault="002C3A82" w14:paraId="36D924FB" w14:textId="77777777">
      <w:pPr>
        <w:spacing w:after="0" w:line="360" w:lineRule="auto"/>
        <w:contextualSpacing/>
        <w:rPr>
          <w:rFonts w:eastAsia="Calibri" w:cs="Tahoma"/>
          <w:bCs/>
        </w:rPr>
      </w:pPr>
    </w:p>
    <w:p w:rsidRPr="00762A72" w:rsidR="002C3A82" w:rsidP="001036A9" w:rsidRDefault="002C3A82" w14:paraId="436C7990" w14:textId="1682CBAA">
      <w:pPr>
        <w:spacing w:after="0" w:line="360" w:lineRule="auto"/>
        <w:contextualSpacing/>
        <w:rPr>
          <w:rFonts w:cs="Tahoma"/>
        </w:rPr>
      </w:pPr>
      <w:r w:rsidRPr="00762A72">
        <w:rPr>
          <w:rFonts w:cs="Tahoma"/>
          <w:b/>
          <w:bCs/>
        </w:rPr>
        <w:t xml:space="preserve">SEGUNDO. </w:t>
      </w:r>
      <w:r w:rsidRPr="00762A72">
        <w:rPr>
          <w:rFonts w:cs="Tahoma"/>
        </w:rPr>
        <w:t xml:space="preserve">Se </w:t>
      </w:r>
      <w:r w:rsidRPr="00762A72">
        <w:rPr>
          <w:rFonts w:cs="Tahoma"/>
          <w:b/>
        </w:rPr>
        <w:t xml:space="preserve">ORDENA </w:t>
      </w:r>
      <w:r w:rsidRPr="00762A72">
        <w:rPr>
          <w:rFonts w:cs="Tahoma"/>
          <w:bCs/>
        </w:rPr>
        <w:t xml:space="preserve">al </w:t>
      </w:r>
      <w:r w:rsidRPr="00762A72">
        <w:rPr>
          <w:rFonts w:cs="Tahoma"/>
        </w:rPr>
        <w:t>Ente Recurrido, a efecto de</w:t>
      </w:r>
      <w:r w:rsidRPr="00762A72">
        <w:rPr>
          <w:rFonts w:eastAsia="Calibri" w:cs="Tahoma"/>
          <w:lang w:eastAsia="es-MX"/>
        </w:rPr>
        <w:t xml:space="preserve"> que</w:t>
      </w:r>
      <w:r w:rsidR="00937F8F">
        <w:rPr>
          <w:rFonts w:eastAsia="Calibri" w:cs="Tahoma"/>
          <w:lang w:eastAsia="es-MX"/>
        </w:rPr>
        <w:t>,</w:t>
      </w:r>
      <w:r w:rsidRPr="00762A72">
        <w:rPr>
          <w:rFonts w:eastAsia="Calibri" w:cs="Tahoma"/>
          <w:lang w:eastAsia="es-MX"/>
        </w:rPr>
        <w:t xml:space="preserve"> entregue</w:t>
      </w:r>
      <w:r w:rsidRPr="00762A72">
        <w:rPr>
          <w:rFonts w:cs="Tahoma"/>
        </w:rPr>
        <w:t xml:space="preserve">, a través del Sistema de Acceso a la Información Mexiquense (SAIMEX), </w:t>
      </w:r>
      <w:r w:rsidR="00937F8F">
        <w:rPr>
          <w:rFonts w:cs="Tahoma"/>
        </w:rPr>
        <w:t xml:space="preserve">en versión pública, </w:t>
      </w:r>
      <w:r w:rsidRPr="00762A72">
        <w:rPr>
          <w:rFonts w:cs="Tahoma"/>
        </w:rPr>
        <w:t>lo siguiente:</w:t>
      </w:r>
    </w:p>
    <w:p w:rsidR="002C3A82" w:rsidP="001036A9" w:rsidRDefault="002C3A82" w14:paraId="338074FC" w14:textId="242D0986">
      <w:pPr>
        <w:spacing w:after="0" w:line="360" w:lineRule="auto"/>
        <w:contextualSpacing/>
        <w:rPr>
          <w:rFonts w:cs="Tahoma"/>
        </w:rPr>
      </w:pPr>
    </w:p>
    <w:p w:rsidRPr="00937F8F" w:rsidR="00937F8F" w:rsidP="00937F8F" w:rsidRDefault="00937F8F" w14:paraId="4CBE3498" w14:textId="340912C5">
      <w:pPr>
        <w:pStyle w:val="Prrafodelista"/>
        <w:widowControl w:val="0"/>
        <w:numPr>
          <w:ilvl w:val="0"/>
          <w:numId w:val="31"/>
        </w:numPr>
        <w:spacing w:line="360" w:lineRule="auto"/>
        <w:rPr>
          <w:rFonts w:cs="Tahoma" w:eastAsiaTheme="minorHAnsi"/>
          <w:sz w:val="22"/>
          <w:szCs w:val="28"/>
          <w:lang w:eastAsia="en-US"/>
        </w:rPr>
      </w:pPr>
      <w:r>
        <w:rPr>
          <w:rFonts w:cs="Tahoma" w:eastAsiaTheme="minorHAnsi"/>
          <w:sz w:val="22"/>
          <w:szCs w:val="28"/>
        </w:rPr>
        <w:t>L</w:t>
      </w:r>
      <w:r w:rsidRPr="00937F8F">
        <w:rPr>
          <w:rFonts w:cs="Tahoma" w:eastAsiaTheme="minorHAnsi"/>
          <w:sz w:val="22"/>
          <w:szCs w:val="28"/>
        </w:rPr>
        <w:t xml:space="preserve">os </w:t>
      </w:r>
      <w:r>
        <w:rPr>
          <w:rFonts w:cs="Tahoma" w:eastAsiaTheme="minorHAnsi"/>
          <w:sz w:val="22"/>
          <w:szCs w:val="28"/>
        </w:rPr>
        <w:t>C</w:t>
      </w:r>
      <w:r w:rsidRPr="00937F8F">
        <w:rPr>
          <w:rFonts w:cs="Tahoma" w:eastAsiaTheme="minorHAnsi"/>
          <w:sz w:val="22"/>
          <w:szCs w:val="28"/>
        </w:rPr>
        <w:t>onvenios con juicio o sin juicio, celebrados entre el Ayuntamiento de Valle de Chalco Solidaridad y sus ex servidores públicos, llevados a cabo, ante la Sala Auxiliar de Ecatepec del Tribunal Estatal y Conciliación y Arbitraje</w:t>
      </w:r>
      <w:r w:rsidRPr="00D66718" w:rsidR="00D66718">
        <w:rPr>
          <w:rFonts w:cs="Tahoma" w:eastAsiaTheme="minorHAnsi"/>
          <w:sz w:val="22"/>
          <w:szCs w:val="28"/>
        </w:rPr>
        <w:t>, para por terminada la relación laboral</w:t>
      </w:r>
      <w:r>
        <w:rPr>
          <w:rFonts w:cs="Tahoma" w:eastAsiaTheme="minorHAnsi"/>
          <w:sz w:val="22"/>
          <w:szCs w:val="28"/>
        </w:rPr>
        <w:t xml:space="preserve"> (referidos en el desahogo del requerimiento de información adicional)</w:t>
      </w:r>
      <w:r w:rsidRPr="00937F8F">
        <w:rPr>
          <w:rFonts w:cs="Tahoma" w:eastAsiaTheme="minorHAnsi"/>
          <w:sz w:val="22"/>
          <w:szCs w:val="28"/>
        </w:rPr>
        <w:t>.</w:t>
      </w:r>
    </w:p>
    <w:p w:rsidRPr="00762A72" w:rsidR="00937F8F" w:rsidP="001036A9" w:rsidRDefault="00937F8F" w14:paraId="78360DD9" w14:textId="77777777">
      <w:pPr>
        <w:spacing w:after="0" w:line="360" w:lineRule="auto"/>
        <w:contextualSpacing/>
        <w:rPr>
          <w:rFonts w:cs="Tahoma"/>
        </w:rPr>
      </w:pPr>
    </w:p>
    <w:p w:rsidRPr="00762A72" w:rsidR="002C3A82" w:rsidP="001036A9" w:rsidRDefault="002C3A82" w14:paraId="433D339F" w14:textId="77777777">
      <w:pPr>
        <w:tabs>
          <w:tab w:val="left" w:pos="4962"/>
        </w:tabs>
        <w:spacing w:after="0" w:line="360" w:lineRule="auto"/>
        <w:rPr>
          <w:rFonts w:eastAsia="Calibri" w:cs="Tahoma"/>
          <w:bCs/>
          <w:iCs/>
          <w:color w:val="auto"/>
          <w:lang w:val="es-ES"/>
        </w:rPr>
      </w:pPr>
      <w:r w:rsidRPr="00762A72">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762A72" w:rsidR="002C3A82" w:rsidP="001036A9" w:rsidRDefault="002C3A82" w14:paraId="1DF22C5C" w14:textId="77777777">
      <w:pPr>
        <w:spacing w:after="0" w:line="360" w:lineRule="auto"/>
        <w:rPr>
          <w:rFonts w:eastAsia="Times New Roman" w:cs="Tahoma"/>
          <w:bCs/>
          <w:color w:val="auto"/>
          <w:lang w:eastAsia="es-ES"/>
        </w:rPr>
      </w:pPr>
    </w:p>
    <w:p w:rsidRPr="00762A72" w:rsidR="002C3A82" w:rsidP="001036A9" w:rsidRDefault="002C3A82" w14:paraId="6E9C97D7" w14:textId="77777777">
      <w:pPr>
        <w:spacing w:after="0" w:line="360" w:lineRule="auto"/>
        <w:rPr>
          <w:rFonts w:cs="Tahoma"/>
        </w:rPr>
      </w:pPr>
      <w:r w:rsidRPr="00762A72">
        <w:rPr>
          <w:rFonts w:cs="Arial"/>
          <w:b/>
          <w:lang w:val="es-ES_tradnl"/>
        </w:rPr>
        <w:t>TERCERO.</w:t>
      </w:r>
      <w:r w:rsidRPr="00762A72">
        <w:rPr>
          <w:rFonts w:cs="Tahoma"/>
          <w:b/>
        </w:rPr>
        <w:t xml:space="preserve"> NOTIFÍQUESE </w:t>
      </w:r>
      <w:r w:rsidRPr="00762A72">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762A72">
        <w:rPr>
          <w:rFonts w:cs="Tahoma"/>
        </w:rPr>
        <w:lastRenderedPageBreak/>
        <w:t>este Instituto en un plazo de tres días hábiles siguientes sobre el cumplimiento dado a la presente.</w:t>
      </w:r>
    </w:p>
    <w:p w:rsidRPr="00762A72" w:rsidR="002C3A82" w:rsidP="001036A9" w:rsidRDefault="002C3A82" w14:paraId="087A0BD2" w14:textId="77777777">
      <w:pPr>
        <w:spacing w:after="0" w:line="360" w:lineRule="auto"/>
        <w:rPr>
          <w:rFonts w:cs="Tahoma"/>
        </w:rPr>
      </w:pPr>
    </w:p>
    <w:p w:rsidRPr="00762A72" w:rsidR="002C3A82" w:rsidP="001036A9" w:rsidRDefault="002C3A82" w14:paraId="4D241C61" w14:textId="77777777">
      <w:pPr>
        <w:spacing w:after="0" w:line="360" w:lineRule="auto"/>
        <w:contextualSpacing/>
        <w:rPr>
          <w:rFonts w:eastAsia="Calibri" w:cs="Tahoma"/>
          <w:iCs/>
        </w:rPr>
      </w:pPr>
      <w:bookmarkStart w:name="_Hlk61509110" w:id="0"/>
      <w:r w:rsidRPr="00762A72">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762A72" w:rsidR="002C3A82" w:rsidP="001036A9" w:rsidRDefault="002C3A82" w14:paraId="7D618BB4" w14:textId="77777777">
      <w:pPr>
        <w:spacing w:after="0" w:line="360" w:lineRule="auto"/>
        <w:rPr>
          <w:rFonts w:cs="Tahoma"/>
        </w:rPr>
      </w:pPr>
    </w:p>
    <w:p w:rsidRPr="00762A72" w:rsidR="002C3A82" w:rsidP="001036A9" w:rsidRDefault="002C3A82" w14:paraId="223969C2" w14:textId="77777777">
      <w:pPr>
        <w:spacing w:after="0" w:line="360" w:lineRule="auto"/>
        <w:rPr>
          <w:rFonts w:cs="Tahoma"/>
        </w:rPr>
      </w:pPr>
      <w:r w:rsidRPr="00762A72">
        <w:rPr>
          <w:rFonts w:cs="Tahoma"/>
          <w:b/>
        </w:rPr>
        <w:t>CUARTO. NOTIFÍQUESE</w:t>
      </w:r>
      <w:r w:rsidRPr="00762A72">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62A72" w:rsidR="002C3A82" w:rsidP="001036A9" w:rsidRDefault="002C3A82" w14:paraId="0F9B0A93" w14:textId="77777777">
      <w:pPr>
        <w:spacing w:after="0" w:line="360" w:lineRule="auto"/>
        <w:rPr>
          <w:rFonts w:eastAsia="Calibri" w:cs="Tahoma"/>
          <w:bCs/>
          <w:lang w:val="es-ES"/>
        </w:rPr>
      </w:pPr>
    </w:p>
    <w:p w:rsidR="002C3A82" w:rsidP="001036A9" w:rsidRDefault="00E26C96" w14:paraId="49F16DBD" w14:textId="7F431CC3">
      <w:pPr>
        <w:spacing w:after="0" w:line="360" w:lineRule="auto"/>
        <w:rPr>
          <w:rFonts w:eastAsia="Calibri" w:cs="Tahoma"/>
          <w:bCs/>
        </w:rPr>
      </w:pPr>
      <w:r w:rsidRPr="00762A72">
        <w:rPr>
          <w:rFonts w:eastAsia="Calibri" w:cs="Tahoma"/>
          <w:bCs/>
        </w:rPr>
        <w:t xml:space="preserve">ASÍ LO RESUELVE, POR </w:t>
      </w:r>
      <w:r w:rsidRPr="00762A72">
        <w:rPr>
          <w:rFonts w:eastAsia="Calibri" w:cs="Tahoma"/>
          <w:b/>
        </w:rPr>
        <w:t>UNANIMIDAD</w:t>
      </w:r>
      <w:r w:rsidRPr="00762A72">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DE FEBRERO DE DOS MIL VEINTIDÓS, ANTE EL SECRETARIO TÉCNICO DEL PLENO, ALEXIS TAPIA RAMÍREZ.</w:t>
      </w:r>
    </w:p>
    <w:p w:rsidR="002C3A82" w:rsidP="001036A9" w:rsidRDefault="0035560C" w14:paraId="4E0BB850" w14:textId="1494B35B">
      <w:pPr>
        <w:spacing w:after="0" w:line="360" w:lineRule="auto"/>
        <w:jc w:val="left"/>
        <w:rPr>
          <w:rFonts w:eastAsia="Calibri" w:cs="Tahoma"/>
          <w:b/>
          <w:bCs/>
        </w:rPr>
      </w:pPr>
      <w:r>
        <w:rPr>
          <w:rFonts w:eastAsia="Calibri" w:cs="Tahoma"/>
          <w:b/>
          <w:bCs/>
        </w:rPr>
        <w:br w:type="page"/>
      </w:r>
    </w:p>
    <w:p w:rsidR="002C3A82" w:rsidP="001036A9" w:rsidRDefault="002C3A82" w14:paraId="32AAA7EF" w14:textId="77777777">
      <w:pPr>
        <w:spacing w:after="0" w:line="360" w:lineRule="auto"/>
      </w:pPr>
    </w:p>
    <w:p w:rsidR="000404AA" w:rsidP="001036A9" w:rsidRDefault="000404AA" w14:paraId="66B8328A" w14:textId="77777777">
      <w:pPr>
        <w:spacing w:after="0" w:line="360" w:lineRule="auto"/>
      </w:pPr>
    </w:p>
    <w:sectPr w:rsidR="000404AA" w:rsidSect="002C59A0">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1462" w:rsidP="002C3A82" w:rsidRDefault="00011462" w14:paraId="0FFF3853" w14:textId="77777777">
      <w:pPr>
        <w:spacing w:after="0" w:line="240" w:lineRule="auto"/>
      </w:pPr>
      <w:r>
        <w:separator/>
      </w:r>
    </w:p>
  </w:endnote>
  <w:endnote w:type="continuationSeparator" w:id="0">
    <w:p w:rsidR="00011462" w:rsidP="002C3A82" w:rsidRDefault="00011462" w14:paraId="7119ED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2C59A0" w:rsidRDefault="00182F34" w14:paraId="4A48B21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2C59A0" w:rsidRDefault="00011462" w14:paraId="61E3EC7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182F34" w14:paraId="6A5403D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p w:rsidR="002C59A0" w:rsidRDefault="00011462" w14:paraId="34242BA5"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2C59A0" w:rsidRDefault="00182F34" w14:paraId="1641EF7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sdtContent>
      </w:sdt>
    </w:sdtContent>
  </w:sdt>
  <w:p w:rsidR="002C59A0" w:rsidRDefault="00011462" w14:paraId="7A8CE0C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1462" w:rsidP="002C3A82" w:rsidRDefault="00011462" w14:paraId="16C78945" w14:textId="77777777">
      <w:pPr>
        <w:spacing w:after="0" w:line="240" w:lineRule="auto"/>
      </w:pPr>
      <w:r>
        <w:separator/>
      </w:r>
    </w:p>
  </w:footnote>
  <w:footnote w:type="continuationSeparator" w:id="0">
    <w:p w:rsidR="00011462" w:rsidP="002C3A82" w:rsidRDefault="00011462" w14:paraId="49F6A0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0C78AC96" w14:textId="77777777">
      <w:trPr>
        <w:trHeight w:val="141"/>
      </w:trPr>
      <w:tc>
        <w:tcPr>
          <w:tcW w:w="2404" w:type="dxa"/>
        </w:tcPr>
        <w:p w:rsidRPr="001B5FB6" w:rsidR="002C59A0" w:rsidP="002C59A0" w:rsidRDefault="00182F34" w14:paraId="06A16BF6"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182F34" w14:paraId="79B76A5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7E7F85FE" w14:textId="77777777">
      <w:trPr>
        <w:trHeight w:val="276"/>
      </w:trPr>
      <w:tc>
        <w:tcPr>
          <w:tcW w:w="2404" w:type="dxa"/>
        </w:tcPr>
        <w:p w:rsidRPr="001B5FB6" w:rsidR="002C59A0" w:rsidP="002C59A0" w:rsidRDefault="00182F34" w14:paraId="0C81A387"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182F34" w14:paraId="646B2BE3"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5673B576" w14:textId="77777777">
      <w:trPr>
        <w:trHeight w:val="276"/>
      </w:trPr>
      <w:tc>
        <w:tcPr>
          <w:tcW w:w="2404" w:type="dxa"/>
        </w:tcPr>
        <w:p w:rsidRPr="001B5FB6" w:rsidR="002C59A0" w:rsidP="002C59A0" w:rsidRDefault="00182F34" w14:paraId="7D445C01"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182F34" w14:paraId="428A8095"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011462" w14:paraId="300547D6" w14:textId="77777777">
    <w:pPr>
      <w:pStyle w:val="Encabezado"/>
    </w:pPr>
    <w:r>
      <w:rPr>
        <w:noProof/>
      </w:rPr>
      <w:pict w14:anchorId="1E5D0FA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011462" w14:paraId="3390B5B9"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682222" w14:paraId="306B94E9" w14:textId="77777777">
      <w:trPr>
        <w:trHeight w:val="141"/>
      </w:trPr>
      <w:tc>
        <w:tcPr>
          <w:tcW w:w="2404" w:type="dxa"/>
        </w:tcPr>
        <w:p w:rsidRPr="001B5FB6" w:rsidR="002C59A0" w:rsidP="00682222" w:rsidRDefault="00182F34" w14:paraId="51983F11"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2C3A82" w:rsidR="002C59A0" w:rsidP="00682222" w:rsidRDefault="002C3A82" w14:paraId="58B8463E" w14:textId="506F689B">
          <w:pPr>
            <w:tabs>
              <w:tab w:val="right" w:pos="8838"/>
            </w:tabs>
            <w:ind w:left="-28" w:right="454"/>
            <w:rPr>
              <w:rFonts w:eastAsia="Calibri" w:cs="Tahoma"/>
            </w:rPr>
          </w:pPr>
          <w:r w:rsidRPr="002C3A82">
            <w:rPr>
              <w:rFonts w:eastAsia="Calibri" w:cs="Tahoma"/>
              <w:lang w:val="es-MX"/>
            </w:rPr>
            <w:t>05791/INFOEM/IP/RR/2021</w:t>
          </w:r>
        </w:p>
      </w:tc>
    </w:tr>
    <w:tr w:rsidR="002C59A0" w:rsidTr="00682222" w14:paraId="41696650" w14:textId="77777777">
      <w:trPr>
        <w:trHeight w:val="276"/>
      </w:trPr>
      <w:tc>
        <w:tcPr>
          <w:tcW w:w="2404" w:type="dxa"/>
        </w:tcPr>
        <w:p w:rsidRPr="001B5FB6" w:rsidR="002C59A0" w:rsidP="002C59A0" w:rsidRDefault="00182F34" w14:paraId="2A3C8710"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2C3A82" w:rsidR="002C59A0" w:rsidP="00682222" w:rsidRDefault="002C3A82" w14:paraId="6F16312C" w14:textId="1FB9851E">
          <w:pPr>
            <w:tabs>
              <w:tab w:val="right" w:pos="8838"/>
            </w:tabs>
            <w:ind w:right="454"/>
            <w:rPr>
              <w:rFonts w:eastAsia="Calibri" w:cs="Tahoma"/>
              <w:lang w:val="es-MX"/>
            </w:rPr>
          </w:pPr>
          <w:r w:rsidRPr="002C3A82">
            <w:rPr>
              <w:rFonts w:eastAsia="Calibri" w:cs="Tahoma"/>
              <w:lang w:val="es-MX"/>
            </w:rPr>
            <w:t>Tribunal Estatal de Conciliación y Arbitraje</w:t>
          </w:r>
        </w:p>
      </w:tc>
    </w:tr>
    <w:tr w:rsidR="002C59A0" w:rsidTr="00682222" w14:paraId="28DF3C5D" w14:textId="77777777">
      <w:trPr>
        <w:trHeight w:val="276"/>
      </w:trPr>
      <w:tc>
        <w:tcPr>
          <w:tcW w:w="2404" w:type="dxa"/>
        </w:tcPr>
        <w:p w:rsidRPr="001B5FB6" w:rsidR="002C59A0" w:rsidP="002C59A0" w:rsidRDefault="00182F34" w14:paraId="0386D253"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182F34" w14:paraId="663F63A9"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011462" w14:paraId="171B79D4" w14:textId="77777777">
    <w:pPr>
      <w:pStyle w:val="Encabezado"/>
    </w:pPr>
    <w:r>
      <w:rPr>
        <w:noProof/>
      </w:rPr>
      <w:pict w14:anchorId="732E3AE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127"/>
      <w:gridCol w:w="7371"/>
    </w:tblGrid>
    <w:tr w:rsidRPr="005C106F" w:rsidR="002C59A0" w:rsidTr="37FFCB88" w14:paraId="0408C017" w14:textId="77777777">
      <w:trPr>
        <w:trHeight w:val="1546"/>
      </w:trPr>
      <w:tc>
        <w:tcPr>
          <w:tcW w:w="2127" w:type="dxa"/>
          <w:shd w:val="clear" w:color="auto" w:fill="auto"/>
          <w:tcMar/>
        </w:tcPr>
        <w:p w:rsidRPr="005C106F" w:rsidR="002C59A0" w:rsidP="002C59A0" w:rsidRDefault="00011462" w14:paraId="40E840F2" w14:textId="77777777">
          <w:pPr>
            <w:tabs>
              <w:tab w:val="right" w:pos="4273"/>
            </w:tabs>
            <w:rPr>
              <w:rFonts w:ascii="Garamond" w:hAnsi="Garamond" w:eastAsia="Calibri"/>
              <w:sz w:val="16"/>
              <w:szCs w:val="16"/>
            </w:rPr>
          </w:pPr>
        </w:p>
      </w:tc>
      <w:tc>
        <w:tcPr>
          <w:tcW w:w="7371" w:type="dxa"/>
          <w:shd w:val="clear" w:color="auto" w:fill="auto"/>
          <w:tcMar/>
        </w:tcPr>
        <w:tbl>
          <w:tblPr>
            <w:tblStyle w:val="Tablaconcuadrcula"/>
            <w:tblW w:w="6095" w:type="dxa"/>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91"/>
          </w:tblGrid>
          <w:tr w:rsidR="002C59A0" w:rsidTr="37FFCB88" w14:paraId="1144AD98" w14:textId="77777777">
            <w:trPr>
              <w:trHeight w:val="141"/>
            </w:trPr>
            <w:tc>
              <w:tcPr>
                <w:tcW w:w="2404" w:type="dxa"/>
                <w:tcMar/>
                <w:vAlign w:val="bottom"/>
              </w:tcPr>
              <w:p w:rsidRPr="001B5FB6" w:rsidR="002C59A0" w:rsidP="002C59A0" w:rsidRDefault="00182F34" w14:paraId="29105FA1" w14:textId="77777777">
                <w:pPr>
                  <w:tabs>
                    <w:tab w:val="right" w:pos="8838"/>
                  </w:tabs>
                  <w:ind w:right="-105"/>
                  <w:rPr>
                    <w:rFonts w:eastAsia="Calibri" w:cs="Tahoma"/>
                    <w:b/>
                    <w:lang w:val="es-MX"/>
                  </w:rPr>
                </w:pPr>
                <w:r w:rsidRPr="001B5FB6">
                  <w:rPr>
                    <w:rFonts w:eastAsia="Calibri" w:cs="Tahoma"/>
                    <w:b/>
                    <w:lang w:val="es-MX"/>
                  </w:rPr>
                  <w:t>Recurso de Revisión:</w:t>
                </w:r>
              </w:p>
            </w:tc>
            <w:tc>
              <w:tcPr>
                <w:tcW w:w="3691" w:type="dxa"/>
                <w:tcMar/>
              </w:tcPr>
              <w:p w:rsidR="002C59A0" w:rsidP="002C59A0" w:rsidRDefault="00011462" w14:paraId="7431638D" w14:textId="77777777">
                <w:pPr>
                  <w:tabs>
                    <w:tab w:val="right" w:pos="8838"/>
                  </w:tabs>
                  <w:ind w:left="-28" w:right="-107"/>
                  <w:rPr>
                    <w:rFonts w:eastAsia="Calibri" w:cs="Tahoma"/>
                    <w:lang w:val="es-MX"/>
                  </w:rPr>
                </w:pPr>
              </w:p>
              <w:p w:rsidRPr="002C3A82" w:rsidR="002C59A0" w:rsidP="002C59A0" w:rsidRDefault="002C3A82" w14:paraId="25C4FDAD" w14:textId="722BF4F2">
                <w:pPr>
                  <w:tabs>
                    <w:tab w:val="right" w:pos="8838"/>
                  </w:tabs>
                  <w:ind w:left="-28" w:right="-107"/>
                  <w:rPr>
                    <w:rFonts w:eastAsia="Calibri" w:cs="Tahoma"/>
                  </w:rPr>
                </w:pPr>
                <w:r w:rsidRPr="002C3A82">
                  <w:rPr>
                    <w:rFonts w:eastAsia="Calibri" w:cs="Tahoma"/>
                    <w:lang w:val="es-MX"/>
                  </w:rPr>
                  <w:t>05791/INFOEM/IP/RR/2021</w:t>
                </w:r>
              </w:p>
            </w:tc>
          </w:tr>
          <w:tr w:rsidR="002C59A0" w:rsidTr="37FFCB88" w14:paraId="077D645D" w14:textId="77777777">
            <w:trPr>
              <w:trHeight w:val="141"/>
            </w:trPr>
            <w:tc>
              <w:tcPr>
                <w:tcW w:w="2404" w:type="dxa"/>
                <w:tcMar/>
              </w:tcPr>
              <w:p w:rsidRPr="001B5FB6" w:rsidR="002C59A0" w:rsidP="002C59A0" w:rsidRDefault="00182F34" w14:paraId="12C4483C" w14:textId="77777777">
                <w:pPr>
                  <w:tabs>
                    <w:tab w:val="right" w:pos="8838"/>
                  </w:tabs>
                  <w:ind w:right="-105"/>
                  <w:rPr>
                    <w:rFonts w:eastAsia="Calibri" w:cs="Tahoma"/>
                    <w:b/>
                    <w:lang w:val="es-MX"/>
                  </w:rPr>
                </w:pPr>
                <w:r w:rsidRPr="001B5FB6">
                  <w:rPr>
                    <w:rFonts w:eastAsia="Calibri" w:cs="Tahoma"/>
                    <w:b/>
                    <w:lang w:val="es-MX"/>
                  </w:rPr>
                  <w:t>Recurrente:</w:t>
                </w:r>
              </w:p>
            </w:tc>
            <w:tc>
              <w:tcPr>
                <w:tcW w:w="3691" w:type="dxa"/>
                <w:tcMar/>
              </w:tcPr>
              <w:p w:rsidRPr="003405AF" w:rsidR="002C59A0" w:rsidP="37FFCB88" w:rsidRDefault="002C3A82" w14:paraId="0F13D920" w14:textId="7CB26B47">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lang w:val="es-MX"/>
                  </w:rPr>
                </w:pPr>
                <w:r w:rsidRPr="37FFCB88" w:rsidR="37FFCB88">
                  <w:rPr>
                    <w:rFonts w:eastAsia="Calibri" w:cs="Tahoma"/>
                    <w:highlight w:val="black"/>
                    <w:lang w:val="es-MX"/>
                  </w:rPr>
                  <w:t>XXXXXXXXXXXXXXXXXXXX</w:t>
                </w:r>
              </w:p>
            </w:tc>
          </w:tr>
          <w:tr w:rsidR="002C59A0" w:rsidTr="37FFCB88" w14:paraId="3A722C42" w14:textId="77777777">
            <w:trPr>
              <w:trHeight w:val="276"/>
            </w:trPr>
            <w:tc>
              <w:tcPr>
                <w:tcW w:w="2404" w:type="dxa"/>
                <w:tcMar/>
              </w:tcPr>
              <w:p w:rsidRPr="001B5FB6" w:rsidR="002C59A0" w:rsidP="002C59A0" w:rsidRDefault="00182F34" w14:paraId="707FFF0D" w14:textId="77777777">
                <w:pPr>
                  <w:tabs>
                    <w:tab w:val="right" w:pos="8838"/>
                  </w:tabs>
                  <w:ind w:right="-105"/>
                  <w:rPr>
                    <w:rFonts w:eastAsia="Calibri" w:cs="Tahoma"/>
                    <w:b/>
                    <w:lang w:val="es-MX"/>
                  </w:rPr>
                </w:pPr>
                <w:r w:rsidRPr="001B5FB6">
                  <w:rPr>
                    <w:rFonts w:eastAsia="Calibri" w:cs="Tahoma"/>
                    <w:b/>
                    <w:lang w:val="es-MX"/>
                  </w:rPr>
                  <w:t>Sujeto Obligado:</w:t>
                </w:r>
              </w:p>
            </w:tc>
            <w:tc>
              <w:tcPr>
                <w:tcW w:w="3691" w:type="dxa"/>
                <w:tcMar/>
              </w:tcPr>
              <w:p w:rsidRPr="002C3A82" w:rsidR="002C59A0" w:rsidP="002C59A0" w:rsidRDefault="002C3A82" w14:paraId="7968898F" w14:textId="5FBD164D">
                <w:pPr>
                  <w:tabs>
                    <w:tab w:val="right" w:pos="8838"/>
                  </w:tabs>
                  <w:ind w:right="-107"/>
                  <w:rPr>
                    <w:rFonts w:eastAsia="Calibri" w:cs="Tahoma"/>
                    <w:lang w:val="es-MX"/>
                  </w:rPr>
                </w:pPr>
                <w:r w:rsidRPr="002C3A82">
                  <w:rPr>
                    <w:rFonts w:eastAsia="Calibri" w:cs="Tahoma"/>
                    <w:lang w:val="es-MX"/>
                  </w:rPr>
                  <w:t>Tribunal Estatal de Conciliación y Arbitraje</w:t>
                </w:r>
              </w:p>
            </w:tc>
          </w:tr>
          <w:tr w:rsidR="002C59A0" w:rsidTr="37FFCB88" w14:paraId="6E5D4A98" w14:textId="77777777">
            <w:trPr>
              <w:trHeight w:val="276"/>
            </w:trPr>
            <w:tc>
              <w:tcPr>
                <w:tcW w:w="2404" w:type="dxa"/>
                <w:tcMar/>
              </w:tcPr>
              <w:p w:rsidRPr="001B5FB6" w:rsidR="002C59A0" w:rsidP="002C59A0" w:rsidRDefault="00182F34" w14:paraId="4918BCD0" w14:textId="77777777">
                <w:pPr>
                  <w:tabs>
                    <w:tab w:val="right" w:pos="8838"/>
                  </w:tabs>
                  <w:ind w:right="-105"/>
                  <w:rPr>
                    <w:rFonts w:eastAsia="Calibri" w:cs="Tahoma"/>
                    <w:b/>
                    <w:lang w:val="es-MX"/>
                  </w:rPr>
                </w:pPr>
                <w:r w:rsidRPr="001B5FB6">
                  <w:rPr>
                    <w:rFonts w:eastAsia="Calibri" w:cs="Tahoma"/>
                    <w:b/>
                    <w:lang w:val="es-MX"/>
                  </w:rPr>
                  <w:t>Comisionado Ponente:</w:t>
                </w:r>
              </w:p>
            </w:tc>
            <w:tc>
              <w:tcPr>
                <w:tcW w:w="3691" w:type="dxa"/>
                <w:tcMar/>
              </w:tcPr>
              <w:p w:rsidRPr="00A8173F" w:rsidR="002C59A0" w:rsidP="002C59A0" w:rsidRDefault="00182F34" w14:paraId="5510536C"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011462" w14:paraId="0C03ACCC" w14:textId="77777777">
          <w:pPr>
            <w:tabs>
              <w:tab w:val="right" w:pos="8838"/>
            </w:tabs>
            <w:ind w:left="-28"/>
            <w:rPr>
              <w:rFonts w:ascii="Arial" w:hAnsi="Arial" w:eastAsia="Calibri" w:cs="Arial"/>
              <w:b/>
            </w:rPr>
          </w:pPr>
        </w:p>
      </w:tc>
    </w:tr>
  </w:tbl>
  <w:p w:rsidR="002C59A0" w:rsidRDefault="00011462" w14:paraId="5EBDEBC0" w14:textId="77777777">
    <w:pPr>
      <w:pStyle w:val="Encabezado"/>
    </w:pPr>
    <w:r>
      <w:rPr>
        <w:noProof/>
      </w:rPr>
      <w:pict w14:anchorId="4F979E5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28C"/>
    <w:multiLevelType w:val="hybridMultilevel"/>
    <w:tmpl w:val="DF36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377FEE"/>
    <w:multiLevelType w:val="hybridMultilevel"/>
    <w:tmpl w:val="324E22E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7306E5"/>
    <w:multiLevelType w:val="hybridMultilevel"/>
    <w:tmpl w:val="4CCCAE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967832"/>
    <w:multiLevelType w:val="hybridMultilevel"/>
    <w:tmpl w:val="C9AA158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EA764A"/>
    <w:multiLevelType w:val="hybridMultilevel"/>
    <w:tmpl w:val="9B988D4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8521AD"/>
    <w:multiLevelType w:val="hybridMultilevel"/>
    <w:tmpl w:val="1FAC59C2"/>
    <w:lvl w:ilvl="0" w:tplc="080A000F">
      <w:start w:val="1"/>
      <w:numFmt w:val="decimal"/>
      <w:lvlText w:val="%1."/>
      <w:lvlJc w:val="left"/>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B535FB"/>
    <w:multiLevelType w:val="hybridMultilevel"/>
    <w:tmpl w:val="138660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23B03A4"/>
    <w:multiLevelType w:val="hybridMultilevel"/>
    <w:tmpl w:val="C660D46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7A13722"/>
    <w:multiLevelType w:val="hybridMultilevel"/>
    <w:tmpl w:val="BA409D2A"/>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8425745"/>
    <w:multiLevelType w:val="hybridMultilevel"/>
    <w:tmpl w:val="8042E3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1F80367D"/>
    <w:multiLevelType w:val="hybridMultilevel"/>
    <w:tmpl w:val="54443A6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F81216D"/>
    <w:multiLevelType w:val="hybridMultilevel"/>
    <w:tmpl w:val="315AD08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2BE7398"/>
    <w:multiLevelType w:val="hybridMultilevel"/>
    <w:tmpl w:val="BBD0C45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4C10480B"/>
    <w:multiLevelType w:val="hybridMultilevel"/>
    <w:tmpl w:val="B3487930"/>
    <w:lvl w:ilvl="0" w:tplc="7AA0B6C0">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1A749B0"/>
    <w:multiLevelType w:val="hybridMultilevel"/>
    <w:tmpl w:val="4BA67E7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4EA4FC4"/>
    <w:multiLevelType w:val="hybridMultilevel"/>
    <w:tmpl w:val="FF7CC5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AC1F43"/>
    <w:multiLevelType w:val="hybridMultilevel"/>
    <w:tmpl w:val="0180DA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5BC35E0"/>
    <w:multiLevelType w:val="hybridMultilevel"/>
    <w:tmpl w:val="52667D98"/>
    <w:lvl w:ilvl="0" w:tplc="7AA0B6C0">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960199C"/>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hint="default" w:ascii="Courier New" w:hAnsi="Courier New" w:cs="Courier New"/>
      </w:rPr>
    </w:lvl>
    <w:lvl w:ilvl="2" w:tplc="080A0005">
      <w:numFmt w:val="decimal"/>
      <w:lvlText w:val=""/>
      <w:lvlJc w:val="left"/>
      <w:pPr>
        <w:ind w:left="2160" w:hanging="360"/>
      </w:pPr>
      <w:rPr>
        <w:rFonts w:hint="default" w:ascii="Wingdings" w:hAnsi="Wingdings"/>
      </w:rPr>
    </w:lvl>
    <w:lvl w:ilvl="3" w:tplc="080A0001">
      <w:numFmt w:val="decimal"/>
      <w:lvlText w:val=""/>
      <w:lvlJc w:val="left"/>
      <w:pPr>
        <w:ind w:left="2880" w:hanging="360"/>
      </w:pPr>
      <w:rPr>
        <w:rFonts w:hint="default" w:ascii="Symbol" w:hAnsi="Symbol"/>
      </w:rPr>
    </w:lvl>
    <w:lvl w:ilvl="4" w:tplc="080A0003">
      <w:numFmt w:val="decimal"/>
      <w:lvlText w:val="o"/>
      <w:lvlJc w:val="left"/>
      <w:pPr>
        <w:ind w:left="3600" w:hanging="360"/>
      </w:pPr>
      <w:rPr>
        <w:rFonts w:hint="default" w:ascii="Courier New" w:hAnsi="Courier New" w:cs="Courier New"/>
      </w:rPr>
    </w:lvl>
    <w:lvl w:ilvl="5" w:tplc="080A0005">
      <w:numFmt w:val="decimal"/>
      <w:lvlText w:val=""/>
      <w:lvlJc w:val="left"/>
      <w:pPr>
        <w:ind w:left="4320" w:hanging="360"/>
      </w:pPr>
      <w:rPr>
        <w:rFonts w:hint="default" w:ascii="Wingdings" w:hAnsi="Wingdings"/>
      </w:rPr>
    </w:lvl>
    <w:lvl w:ilvl="6" w:tplc="080A0001">
      <w:numFmt w:val="decimal"/>
      <w:lvlText w:val=""/>
      <w:lvlJc w:val="left"/>
      <w:pPr>
        <w:ind w:left="5040" w:hanging="360"/>
      </w:pPr>
      <w:rPr>
        <w:rFonts w:hint="default" w:ascii="Symbol" w:hAnsi="Symbol"/>
      </w:rPr>
    </w:lvl>
    <w:lvl w:ilvl="7" w:tplc="080A0003">
      <w:numFmt w:val="decimal"/>
      <w:lvlText w:val="o"/>
      <w:lvlJc w:val="left"/>
      <w:pPr>
        <w:ind w:left="5760" w:hanging="360"/>
      </w:pPr>
      <w:rPr>
        <w:rFonts w:hint="default" w:ascii="Courier New" w:hAnsi="Courier New" w:cs="Courier New"/>
      </w:rPr>
    </w:lvl>
    <w:lvl w:ilvl="8" w:tplc="080A0005">
      <w:numFmt w:val="decimal"/>
      <w:lvlText w:val=""/>
      <w:lvlJc w:val="left"/>
      <w:pPr>
        <w:ind w:left="6480" w:hanging="360"/>
      </w:pPr>
      <w:rPr>
        <w:rFonts w:hint="default" w:ascii="Wingdings" w:hAnsi="Wingdings"/>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6"/>
  </w:num>
  <w:num w:numId="4">
    <w:abstractNumId w:val="25"/>
  </w:num>
  <w:num w:numId="5">
    <w:abstractNumId w:val="17"/>
  </w:num>
  <w:num w:numId="6">
    <w:abstractNumId w:val="8"/>
  </w:num>
  <w:num w:numId="7">
    <w:abstractNumId w:val="24"/>
  </w:num>
  <w:num w:numId="8">
    <w:abstractNumId w:val="3"/>
  </w:num>
  <w:num w:numId="9">
    <w:abstractNumId w:val="1"/>
  </w:num>
  <w:num w:numId="10">
    <w:abstractNumId w:val="15"/>
  </w:num>
  <w:num w:numId="11">
    <w:abstractNumId w:val="11"/>
  </w:num>
  <w:num w:numId="12">
    <w:abstractNumId w:val="7"/>
  </w:num>
  <w:num w:numId="13">
    <w:abstractNumId w:val="20"/>
  </w:num>
  <w:num w:numId="14">
    <w:abstractNumId w:val="16"/>
  </w:num>
  <w:num w:numId="15">
    <w:abstractNumId w:val="13"/>
  </w:num>
  <w:num w:numId="16">
    <w:abstractNumId w:val="18"/>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5"/>
  </w:num>
  <w:num w:numId="19">
    <w:abstractNumId w:val="4"/>
  </w:num>
  <w:num w:numId="20">
    <w:abstractNumId w:val="19"/>
  </w:num>
  <w:num w:numId="21">
    <w:abstractNumId w:val="22"/>
  </w:num>
  <w:num w:numId="22">
    <w:abstractNumId w:val="10"/>
  </w:num>
  <w:num w:numId="23">
    <w:abstractNumId w:val="21"/>
  </w:num>
  <w:num w:numId="24">
    <w:abstractNumId w:val="23"/>
  </w:num>
  <w:num w:numId="25">
    <w:abstractNumId w:val="2"/>
  </w:num>
  <w:num w:numId="26">
    <w:abstractNumId w:val="9"/>
  </w:num>
  <w:num w:numId="27">
    <w:abstractNumId w:val="28"/>
  </w:num>
  <w:num w:numId="28">
    <w:abstractNumId w:val="12"/>
  </w:num>
  <w:num w:numId="29">
    <w:abstractNumId w:val="27"/>
  </w:num>
  <w:num w:numId="30">
    <w:abstractNumId w:val="0"/>
  </w:num>
  <w:num w:numId="3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82"/>
    <w:rsid w:val="000006D4"/>
    <w:rsid w:val="00000FC3"/>
    <w:rsid w:val="0000330A"/>
    <w:rsid w:val="00004B3F"/>
    <w:rsid w:val="000111E6"/>
    <w:rsid w:val="00011462"/>
    <w:rsid w:val="00024348"/>
    <w:rsid w:val="000260D0"/>
    <w:rsid w:val="00027850"/>
    <w:rsid w:val="00031A00"/>
    <w:rsid w:val="00034C76"/>
    <w:rsid w:val="000377B4"/>
    <w:rsid w:val="000404AA"/>
    <w:rsid w:val="0004120B"/>
    <w:rsid w:val="0004616A"/>
    <w:rsid w:val="00050668"/>
    <w:rsid w:val="00053859"/>
    <w:rsid w:val="0005768F"/>
    <w:rsid w:val="00073942"/>
    <w:rsid w:val="00085401"/>
    <w:rsid w:val="00090ADD"/>
    <w:rsid w:val="000B1A9B"/>
    <w:rsid w:val="000C1ACC"/>
    <w:rsid w:val="000D5157"/>
    <w:rsid w:val="000E2972"/>
    <w:rsid w:val="000E6BEB"/>
    <w:rsid w:val="000E7145"/>
    <w:rsid w:val="000F1342"/>
    <w:rsid w:val="000F61C5"/>
    <w:rsid w:val="000F6722"/>
    <w:rsid w:val="00101019"/>
    <w:rsid w:val="001036A9"/>
    <w:rsid w:val="00104BE1"/>
    <w:rsid w:val="00114A71"/>
    <w:rsid w:val="0012231F"/>
    <w:rsid w:val="00123E9A"/>
    <w:rsid w:val="001276BD"/>
    <w:rsid w:val="00132B8F"/>
    <w:rsid w:val="00134405"/>
    <w:rsid w:val="0014274C"/>
    <w:rsid w:val="00175EE4"/>
    <w:rsid w:val="00182F34"/>
    <w:rsid w:val="0019047F"/>
    <w:rsid w:val="00191979"/>
    <w:rsid w:val="001A2AC1"/>
    <w:rsid w:val="001A4869"/>
    <w:rsid w:val="001A7F52"/>
    <w:rsid w:val="001B4CB1"/>
    <w:rsid w:val="001C2B4A"/>
    <w:rsid w:val="001C3E62"/>
    <w:rsid w:val="001D15B8"/>
    <w:rsid w:val="001D608E"/>
    <w:rsid w:val="001D6A7F"/>
    <w:rsid w:val="001F1C37"/>
    <w:rsid w:val="001F1F68"/>
    <w:rsid w:val="001F63BE"/>
    <w:rsid w:val="00222CB3"/>
    <w:rsid w:val="00223024"/>
    <w:rsid w:val="002371EB"/>
    <w:rsid w:val="00241EEF"/>
    <w:rsid w:val="002621A2"/>
    <w:rsid w:val="002905F2"/>
    <w:rsid w:val="002921C2"/>
    <w:rsid w:val="002A4FB9"/>
    <w:rsid w:val="002B59FB"/>
    <w:rsid w:val="002B6B2F"/>
    <w:rsid w:val="002B6E5B"/>
    <w:rsid w:val="002C1335"/>
    <w:rsid w:val="002C1ABB"/>
    <w:rsid w:val="002C3A82"/>
    <w:rsid w:val="002C54D9"/>
    <w:rsid w:val="002C659B"/>
    <w:rsid w:val="002D6CC7"/>
    <w:rsid w:val="002D767C"/>
    <w:rsid w:val="002E3EC2"/>
    <w:rsid w:val="002E607E"/>
    <w:rsid w:val="002E7A7D"/>
    <w:rsid w:val="002E7DDA"/>
    <w:rsid w:val="00301DBC"/>
    <w:rsid w:val="00303975"/>
    <w:rsid w:val="003055CE"/>
    <w:rsid w:val="0031092E"/>
    <w:rsid w:val="00311690"/>
    <w:rsid w:val="003346A0"/>
    <w:rsid w:val="00337A96"/>
    <w:rsid w:val="0034211C"/>
    <w:rsid w:val="00342C59"/>
    <w:rsid w:val="003531BA"/>
    <w:rsid w:val="00354E17"/>
    <w:rsid w:val="0035560C"/>
    <w:rsid w:val="00360653"/>
    <w:rsid w:val="00361E6B"/>
    <w:rsid w:val="003700B4"/>
    <w:rsid w:val="00376289"/>
    <w:rsid w:val="00377338"/>
    <w:rsid w:val="003905E4"/>
    <w:rsid w:val="00391A32"/>
    <w:rsid w:val="003A3931"/>
    <w:rsid w:val="003A4BB3"/>
    <w:rsid w:val="003A7F9B"/>
    <w:rsid w:val="003B13BC"/>
    <w:rsid w:val="003B31C7"/>
    <w:rsid w:val="003B384F"/>
    <w:rsid w:val="003B6171"/>
    <w:rsid w:val="003C0C77"/>
    <w:rsid w:val="003C2500"/>
    <w:rsid w:val="003E3FB9"/>
    <w:rsid w:val="003E6FB6"/>
    <w:rsid w:val="003F7A52"/>
    <w:rsid w:val="00405F01"/>
    <w:rsid w:val="004066D4"/>
    <w:rsid w:val="00412137"/>
    <w:rsid w:val="00416B9B"/>
    <w:rsid w:val="00421B51"/>
    <w:rsid w:val="00421F87"/>
    <w:rsid w:val="00425E57"/>
    <w:rsid w:val="00430917"/>
    <w:rsid w:val="004341A9"/>
    <w:rsid w:val="00441BB3"/>
    <w:rsid w:val="00443FED"/>
    <w:rsid w:val="004466B2"/>
    <w:rsid w:val="00451D83"/>
    <w:rsid w:val="00452FB9"/>
    <w:rsid w:val="004565A4"/>
    <w:rsid w:val="0046450B"/>
    <w:rsid w:val="004646B4"/>
    <w:rsid w:val="00464F9A"/>
    <w:rsid w:val="00471A77"/>
    <w:rsid w:val="004746FA"/>
    <w:rsid w:val="00482A16"/>
    <w:rsid w:val="00491009"/>
    <w:rsid w:val="00493D84"/>
    <w:rsid w:val="00494149"/>
    <w:rsid w:val="004B5331"/>
    <w:rsid w:val="004B7431"/>
    <w:rsid w:val="004C0E2A"/>
    <w:rsid w:val="004C7BBE"/>
    <w:rsid w:val="004D3961"/>
    <w:rsid w:val="004D6FFD"/>
    <w:rsid w:val="004E14B9"/>
    <w:rsid w:val="004E1590"/>
    <w:rsid w:val="004E2F6C"/>
    <w:rsid w:val="004F65F4"/>
    <w:rsid w:val="004F7FE1"/>
    <w:rsid w:val="005056DE"/>
    <w:rsid w:val="00510C41"/>
    <w:rsid w:val="00512E4B"/>
    <w:rsid w:val="00513C19"/>
    <w:rsid w:val="00517A34"/>
    <w:rsid w:val="00526FC5"/>
    <w:rsid w:val="00527B15"/>
    <w:rsid w:val="00536766"/>
    <w:rsid w:val="00536A4A"/>
    <w:rsid w:val="005459C4"/>
    <w:rsid w:val="00551450"/>
    <w:rsid w:val="00553C0C"/>
    <w:rsid w:val="00565162"/>
    <w:rsid w:val="00566AB2"/>
    <w:rsid w:val="005A28A8"/>
    <w:rsid w:val="005B23CB"/>
    <w:rsid w:val="005B386C"/>
    <w:rsid w:val="005C2813"/>
    <w:rsid w:val="005C3CBC"/>
    <w:rsid w:val="005E01E0"/>
    <w:rsid w:val="005F11B0"/>
    <w:rsid w:val="005F1C39"/>
    <w:rsid w:val="006002AF"/>
    <w:rsid w:val="00600EAA"/>
    <w:rsid w:val="0060150E"/>
    <w:rsid w:val="00603562"/>
    <w:rsid w:val="0060393E"/>
    <w:rsid w:val="00606EFD"/>
    <w:rsid w:val="0061084D"/>
    <w:rsid w:val="00613702"/>
    <w:rsid w:val="00614C95"/>
    <w:rsid w:val="00615B95"/>
    <w:rsid w:val="00622050"/>
    <w:rsid w:val="00627736"/>
    <w:rsid w:val="00632E39"/>
    <w:rsid w:val="006344CA"/>
    <w:rsid w:val="00637A80"/>
    <w:rsid w:val="00641FB4"/>
    <w:rsid w:val="006450D7"/>
    <w:rsid w:val="006460B6"/>
    <w:rsid w:val="006544A0"/>
    <w:rsid w:val="006636C7"/>
    <w:rsid w:val="00666984"/>
    <w:rsid w:val="00671E63"/>
    <w:rsid w:val="00680954"/>
    <w:rsid w:val="00680BB8"/>
    <w:rsid w:val="0068474C"/>
    <w:rsid w:val="00685C4E"/>
    <w:rsid w:val="00687ED2"/>
    <w:rsid w:val="00692D2A"/>
    <w:rsid w:val="00694206"/>
    <w:rsid w:val="006A592F"/>
    <w:rsid w:val="006B6257"/>
    <w:rsid w:val="006C1068"/>
    <w:rsid w:val="006C678F"/>
    <w:rsid w:val="006C793F"/>
    <w:rsid w:val="006D1556"/>
    <w:rsid w:val="006D65AB"/>
    <w:rsid w:val="006D6795"/>
    <w:rsid w:val="006E6F6A"/>
    <w:rsid w:val="006E7551"/>
    <w:rsid w:val="006F3F1A"/>
    <w:rsid w:val="007003DF"/>
    <w:rsid w:val="007012CE"/>
    <w:rsid w:val="0070151C"/>
    <w:rsid w:val="00707D4E"/>
    <w:rsid w:val="00707DF3"/>
    <w:rsid w:val="00710A43"/>
    <w:rsid w:val="00722CF9"/>
    <w:rsid w:val="0074685C"/>
    <w:rsid w:val="00746EBB"/>
    <w:rsid w:val="00756781"/>
    <w:rsid w:val="00762A72"/>
    <w:rsid w:val="00766FD5"/>
    <w:rsid w:val="00771C52"/>
    <w:rsid w:val="00772B93"/>
    <w:rsid w:val="00781B2E"/>
    <w:rsid w:val="007858C5"/>
    <w:rsid w:val="007902DD"/>
    <w:rsid w:val="007968A2"/>
    <w:rsid w:val="007A776C"/>
    <w:rsid w:val="007B00F7"/>
    <w:rsid w:val="007B0502"/>
    <w:rsid w:val="007C38D8"/>
    <w:rsid w:val="007C506F"/>
    <w:rsid w:val="007C6206"/>
    <w:rsid w:val="007D36DA"/>
    <w:rsid w:val="007E15DA"/>
    <w:rsid w:val="007E31F7"/>
    <w:rsid w:val="007E467A"/>
    <w:rsid w:val="007F6BC1"/>
    <w:rsid w:val="007F7B66"/>
    <w:rsid w:val="008068ED"/>
    <w:rsid w:val="0080744E"/>
    <w:rsid w:val="00810268"/>
    <w:rsid w:val="0082736B"/>
    <w:rsid w:val="008336A0"/>
    <w:rsid w:val="00842E1F"/>
    <w:rsid w:val="00851E6F"/>
    <w:rsid w:val="008542BB"/>
    <w:rsid w:val="00857394"/>
    <w:rsid w:val="008673B9"/>
    <w:rsid w:val="00867AA6"/>
    <w:rsid w:val="008719C4"/>
    <w:rsid w:val="0088038F"/>
    <w:rsid w:val="0089340D"/>
    <w:rsid w:val="0089584F"/>
    <w:rsid w:val="00896012"/>
    <w:rsid w:val="008A0686"/>
    <w:rsid w:val="008B0E26"/>
    <w:rsid w:val="008C1944"/>
    <w:rsid w:val="008D20B0"/>
    <w:rsid w:val="008D277B"/>
    <w:rsid w:val="008D6983"/>
    <w:rsid w:val="008E0262"/>
    <w:rsid w:val="009062AF"/>
    <w:rsid w:val="00906A11"/>
    <w:rsid w:val="00924C9E"/>
    <w:rsid w:val="00937F8F"/>
    <w:rsid w:val="00941067"/>
    <w:rsid w:val="00943515"/>
    <w:rsid w:val="00945540"/>
    <w:rsid w:val="00947ABE"/>
    <w:rsid w:val="0095088E"/>
    <w:rsid w:val="009572D3"/>
    <w:rsid w:val="009631DF"/>
    <w:rsid w:val="00963D57"/>
    <w:rsid w:val="00975724"/>
    <w:rsid w:val="00982F47"/>
    <w:rsid w:val="009874D7"/>
    <w:rsid w:val="00990A06"/>
    <w:rsid w:val="00994757"/>
    <w:rsid w:val="009A31AF"/>
    <w:rsid w:val="009A5774"/>
    <w:rsid w:val="009B13BF"/>
    <w:rsid w:val="009B5BDF"/>
    <w:rsid w:val="009C139C"/>
    <w:rsid w:val="009C240C"/>
    <w:rsid w:val="009C4AEE"/>
    <w:rsid w:val="009C6708"/>
    <w:rsid w:val="009D391A"/>
    <w:rsid w:val="009E0DEA"/>
    <w:rsid w:val="009F0697"/>
    <w:rsid w:val="009F299C"/>
    <w:rsid w:val="009F4BE0"/>
    <w:rsid w:val="00A01CBD"/>
    <w:rsid w:val="00A04AC7"/>
    <w:rsid w:val="00A06A04"/>
    <w:rsid w:val="00A11279"/>
    <w:rsid w:val="00A200DF"/>
    <w:rsid w:val="00A26673"/>
    <w:rsid w:val="00A32C74"/>
    <w:rsid w:val="00A41402"/>
    <w:rsid w:val="00A5296C"/>
    <w:rsid w:val="00A56593"/>
    <w:rsid w:val="00A5685E"/>
    <w:rsid w:val="00A569A5"/>
    <w:rsid w:val="00A723DB"/>
    <w:rsid w:val="00A94066"/>
    <w:rsid w:val="00A94F0D"/>
    <w:rsid w:val="00AC1585"/>
    <w:rsid w:val="00AD106A"/>
    <w:rsid w:val="00AD3279"/>
    <w:rsid w:val="00AD76BB"/>
    <w:rsid w:val="00AE487D"/>
    <w:rsid w:val="00AF4275"/>
    <w:rsid w:val="00B03EF6"/>
    <w:rsid w:val="00B06A75"/>
    <w:rsid w:val="00B11B93"/>
    <w:rsid w:val="00B24747"/>
    <w:rsid w:val="00B31C95"/>
    <w:rsid w:val="00B33BDB"/>
    <w:rsid w:val="00B34DEA"/>
    <w:rsid w:val="00B45A84"/>
    <w:rsid w:val="00B55D2E"/>
    <w:rsid w:val="00B646DF"/>
    <w:rsid w:val="00B6658D"/>
    <w:rsid w:val="00B712F6"/>
    <w:rsid w:val="00B87093"/>
    <w:rsid w:val="00B94284"/>
    <w:rsid w:val="00BA0001"/>
    <w:rsid w:val="00BA5DE1"/>
    <w:rsid w:val="00BA6E0E"/>
    <w:rsid w:val="00BB01EA"/>
    <w:rsid w:val="00BB1C2A"/>
    <w:rsid w:val="00BB768F"/>
    <w:rsid w:val="00BC5A8B"/>
    <w:rsid w:val="00BD078C"/>
    <w:rsid w:val="00BD1145"/>
    <w:rsid w:val="00BD4C38"/>
    <w:rsid w:val="00BF02BE"/>
    <w:rsid w:val="00BF050E"/>
    <w:rsid w:val="00BF7A0D"/>
    <w:rsid w:val="00C027B0"/>
    <w:rsid w:val="00C0458E"/>
    <w:rsid w:val="00C05997"/>
    <w:rsid w:val="00C2419D"/>
    <w:rsid w:val="00C40A65"/>
    <w:rsid w:val="00C51A09"/>
    <w:rsid w:val="00C558A5"/>
    <w:rsid w:val="00C62666"/>
    <w:rsid w:val="00C77A61"/>
    <w:rsid w:val="00C824A9"/>
    <w:rsid w:val="00CA0049"/>
    <w:rsid w:val="00CA0F30"/>
    <w:rsid w:val="00CA2162"/>
    <w:rsid w:val="00CA6CD1"/>
    <w:rsid w:val="00CB17E5"/>
    <w:rsid w:val="00CB294A"/>
    <w:rsid w:val="00CB2D31"/>
    <w:rsid w:val="00CB39D1"/>
    <w:rsid w:val="00CB71E3"/>
    <w:rsid w:val="00CC32CE"/>
    <w:rsid w:val="00CD1EC7"/>
    <w:rsid w:val="00CE2B1A"/>
    <w:rsid w:val="00CE4F87"/>
    <w:rsid w:val="00CF11FA"/>
    <w:rsid w:val="00CF15DE"/>
    <w:rsid w:val="00D0139C"/>
    <w:rsid w:val="00D028D7"/>
    <w:rsid w:val="00D063DA"/>
    <w:rsid w:val="00D07D47"/>
    <w:rsid w:val="00D150B3"/>
    <w:rsid w:val="00D203D0"/>
    <w:rsid w:val="00D228D3"/>
    <w:rsid w:val="00D22A06"/>
    <w:rsid w:val="00D253F7"/>
    <w:rsid w:val="00D337FC"/>
    <w:rsid w:val="00D52D23"/>
    <w:rsid w:val="00D56105"/>
    <w:rsid w:val="00D568CC"/>
    <w:rsid w:val="00D64C19"/>
    <w:rsid w:val="00D66718"/>
    <w:rsid w:val="00D71C14"/>
    <w:rsid w:val="00D72ADB"/>
    <w:rsid w:val="00D747A6"/>
    <w:rsid w:val="00D8028E"/>
    <w:rsid w:val="00D80B1D"/>
    <w:rsid w:val="00D82E5B"/>
    <w:rsid w:val="00DA5034"/>
    <w:rsid w:val="00DB7749"/>
    <w:rsid w:val="00DD52A6"/>
    <w:rsid w:val="00DD53D6"/>
    <w:rsid w:val="00DE649C"/>
    <w:rsid w:val="00DE70CD"/>
    <w:rsid w:val="00DF6E47"/>
    <w:rsid w:val="00DF732A"/>
    <w:rsid w:val="00E25272"/>
    <w:rsid w:val="00E26C96"/>
    <w:rsid w:val="00E27369"/>
    <w:rsid w:val="00E514DF"/>
    <w:rsid w:val="00E527C8"/>
    <w:rsid w:val="00E66A0F"/>
    <w:rsid w:val="00E709E2"/>
    <w:rsid w:val="00E95BB3"/>
    <w:rsid w:val="00EA40E1"/>
    <w:rsid w:val="00EA695B"/>
    <w:rsid w:val="00EA71DD"/>
    <w:rsid w:val="00EB5F65"/>
    <w:rsid w:val="00EB76BE"/>
    <w:rsid w:val="00EC04E4"/>
    <w:rsid w:val="00EC1855"/>
    <w:rsid w:val="00EC1FED"/>
    <w:rsid w:val="00ED13A6"/>
    <w:rsid w:val="00ED5928"/>
    <w:rsid w:val="00ED5CD4"/>
    <w:rsid w:val="00EE0094"/>
    <w:rsid w:val="00EE5DF0"/>
    <w:rsid w:val="00EF5C8B"/>
    <w:rsid w:val="00F00729"/>
    <w:rsid w:val="00F0642C"/>
    <w:rsid w:val="00F10F39"/>
    <w:rsid w:val="00F177DB"/>
    <w:rsid w:val="00F30B28"/>
    <w:rsid w:val="00F46315"/>
    <w:rsid w:val="00F47438"/>
    <w:rsid w:val="00F67027"/>
    <w:rsid w:val="00F73949"/>
    <w:rsid w:val="00F80EC6"/>
    <w:rsid w:val="00F81AAA"/>
    <w:rsid w:val="00F87FCC"/>
    <w:rsid w:val="00F92040"/>
    <w:rsid w:val="00FB5E85"/>
    <w:rsid w:val="00FB7086"/>
    <w:rsid w:val="00FC1269"/>
    <w:rsid w:val="00FD1D3B"/>
    <w:rsid w:val="00FD5760"/>
    <w:rsid w:val="00FD6968"/>
    <w:rsid w:val="00FE1B03"/>
    <w:rsid w:val="00FE68E1"/>
    <w:rsid w:val="37FFCB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90DC3"/>
  <w15:chartTrackingRefBased/>
  <w15:docId w15:val="{4672F585-7F49-4D91-BF96-FFDDB51C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7F8F"/>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2C3A8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C3A82"/>
    <w:rPr>
      <w:rFonts w:ascii="Palatino Linotype" w:hAnsi="Palatino Linotype"/>
      <w:color w:val="000000" w:themeColor="text1"/>
    </w:rPr>
  </w:style>
  <w:style w:type="paragraph" w:styleId="Piedepgina">
    <w:name w:val="footer"/>
    <w:basedOn w:val="Normal"/>
    <w:link w:val="PiedepginaCar"/>
    <w:uiPriority w:val="99"/>
    <w:unhideWhenUsed/>
    <w:rsid w:val="002C3A8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C3A82"/>
    <w:rPr>
      <w:rFonts w:ascii="Palatino Linotype" w:hAnsi="Palatino Linotype"/>
      <w:color w:val="000000" w:themeColor="text1"/>
    </w:rPr>
  </w:style>
  <w:style w:type="table" w:styleId="Tablaconcuadrcula">
    <w:name w:val="Table Grid"/>
    <w:basedOn w:val="Tablanormal"/>
    <w:uiPriority w:val="39"/>
    <w:rsid w:val="002C3A8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2C3A8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874D7"/>
    <w:rPr>
      <w:rFonts w:ascii="Palatino Linotype" w:hAnsi="Palatino Linotype" w:eastAsia="Times New Roman" w:cs="Times New Roman"/>
      <w:color w:val="000000" w:themeColor="text1"/>
      <w:sz w:val="20"/>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74D7"/>
    <w:pPr>
      <w:spacing w:after="0" w:line="240" w:lineRule="auto"/>
      <w:ind w:left="720"/>
      <w:contextualSpacing/>
    </w:pPr>
    <w:rPr>
      <w:rFonts w:eastAsia="Times New Roman" w:cs="Times New Roman"/>
      <w:sz w:val="20"/>
      <w:szCs w:val="24"/>
      <w:lang w:eastAsia="es-ES"/>
    </w:rPr>
  </w:style>
  <w:style w:type="character" w:styleId="Mencinsinresolver">
    <w:name w:val="Unresolved Mention"/>
    <w:basedOn w:val="Fuentedeprrafopredeter"/>
    <w:uiPriority w:val="99"/>
    <w:semiHidden/>
    <w:unhideWhenUsed/>
    <w:rsid w:val="002C3A82"/>
    <w:rPr>
      <w:color w:val="605E5C"/>
      <w:shd w:val="clear" w:color="auto" w:fill="E1DFDD"/>
    </w:rPr>
  </w:style>
  <w:style w:type="character" w:styleId="Hipervnculovisitado">
    <w:name w:val="FollowedHyperlink"/>
    <w:basedOn w:val="Fuentedeprrafopredeter"/>
    <w:uiPriority w:val="99"/>
    <w:semiHidden/>
    <w:unhideWhenUsed/>
    <w:rsid w:val="002C3A82"/>
    <w:rPr>
      <w:color w:val="954F72" w:themeColor="followedHyperlink"/>
      <w:u w:val="single"/>
    </w:rPr>
  </w:style>
  <w:style w:type="character" w:styleId="dp6" w:customStyle="1">
    <w:name w:val="dp6"/>
    <w:basedOn w:val="Fuentedeprrafopredeter"/>
    <w:rsid w:val="002C3A82"/>
  </w:style>
  <w:style w:type="paragraph" w:styleId="Textosinformato">
    <w:name w:val="Plain Text"/>
    <w:basedOn w:val="Normal"/>
    <w:link w:val="TextosinformatoCar"/>
    <w:rsid w:val="002C3A82"/>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C3A82"/>
    <w:rPr>
      <w:rFonts w:ascii="Courier New" w:hAnsi="Courier New" w:eastAsia="Times New Roman" w:cs="Times New Roman"/>
      <w:sz w:val="20"/>
      <w:szCs w:val="20"/>
      <w:lang w:val="x-none" w:eastAsia="es-ES"/>
    </w:rPr>
  </w:style>
  <w:style w:type="paragraph" w:styleId="Texto" w:customStyle="1">
    <w:name w:val="Texto"/>
    <w:basedOn w:val="Normal"/>
    <w:link w:val="TextoCar"/>
    <w:rsid w:val="002C3A82"/>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C3A82"/>
    <w:rPr>
      <w:rFonts w:ascii="Arial" w:hAnsi="Arial" w:eastAsia="Times New Roman" w:cs="Times New Roman"/>
      <w:sz w:val="18"/>
      <w:szCs w:val="18"/>
      <w:lang w:val="es-ES" w:eastAsia="es-ES"/>
    </w:rPr>
  </w:style>
  <w:style w:type="character" w:styleId="markedcontent" w:customStyle="1">
    <w:name w:val="markedcontent"/>
    <w:basedOn w:val="Fuentedeprrafopredeter"/>
    <w:rsid w:val="002C3A82"/>
  </w:style>
  <w:style w:type="paragraph" w:styleId="NormalWeb">
    <w:name w:val="Normal (Web)"/>
    <w:basedOn w:val="Normal"/>
    <w:uiPriority w:val="99"/>
    <w:semiHidden/>
    <w:unhideWhenUsed/>
    <w:rsid w:val="002C3A8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2C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3958">
      <w:bodyDiv w:val="1"/>
      <w:marLeft w:val="0"/>
      <w:marRight w:val="0"/>
      <w:marTop w:val="0"/>
      <w:marBottom w:val="0"/>
      <w:divBdr>
        <w:top w:val="none" w:sz="0" w:space="0" w:color="auto"/>
        <w:left w:val="none" w:sz="0" w:space="0" w:color="auto"/>
        <w:bottom w:val="none" w:sz="0" w:space="0" w:color="auto"/>
        <w:right w:val="none" w:sz="0" w:space="0" w:color="auto"/>
      </w:divBdr>
    </w:div>
    <w:div w:id="600574441">
      <w:bodyDiv w:val="1"/>
      <w:marLeft w:val="0"/>
      <w:marRight w:val="0"/>
      <w:marTop w:val="0"/>
      <w:marBottom w:val="0"/>
      <w:divBdr>
        <w:top w:val="none" w:sz="0" w:space="0" w:color="auto"/>
        <w:left w:val="none" w:sz="0" w:space="0" w:color="auto"/>
        <w:bottom w:val="none" w:sz="0" w:space="0" w:color="auto"/>
        <w:right w:val="none" w:sz="0" w:space="0" w:color="auto"/>
      </w:divBdr>
    </w:div>
    <w:div w:id="1425149443">
      <w:bodyDiv w:val="1"/>
      <w:marLeft w:val="0"/>
      <w:marRight w:val="0"/>
      <w:marTop w:val="0"/>
      <w:marBottom w:val="0"/>
      <w:divBdr>
        <w:top w:val="none" w:sz="0" w:space="0" w:color="auto"/>
        <w:left w:val="none" w:sz="0" w:space="0" w:color="auto"/>
        <w:bottom w:val="none" w:sz="0" w:space="0" w:color="auto"/>
        <w:right w:val="none" w:sz="0" w:space="0" w:color="auto"/>
      </w:divBdr>
    </w:div>
    <w:div w:id="1738749079">
      <w:bodyDiv w:val="1"/>
      <w:marLeft w:val="0"/>
      <w:marRight w:val="0"/>
      <w:marTop w:val="0"/>
      <w:marBottom w:val="0"/>
      <w:divBdr>
        <w:top w:val="none" w:sz="0" w:space="0" w:color="auto"/>
        <w:left w:val="none" w:sz="0" w:space="0" w:color="auto"/>
        <w:bottom w:val="none" w:sz="0" w:space="0" w:color="auto"/>
        <w:right w:val="none" w:sz="0" w:space="0" w:color="auto"/>
      </w:divBdr>
    </w:div>
    <w:div w:id="1843011313">
      <w:bodyDiv w:val="1"/>
      <w:marLeft w:val="0"/>
      <w:marRight w:val="0"/>
      <w:marTop w:val="0"/>
      <w:marBottom w:val="0"/>
      <w:divBdr>
        <w:top w:val="none" w:sz="0" w:space="0" w:color="auto"/>
        <w:left w:val="none" w:sz="0" w:space="0" w:color="auto"/>
        <w:bottom w:val="none" w:sz="0" w:space="0" w:color="auto"/>
        <w:right w:val="none" w:sz="0" w:space="0" w:color="auto"/>
      </w:divBdr>
    </w:div>
    <w:div w:id="1859081513">
      <w:bodyDiv w:val="1"/>
      <w:marLeft w:val="0"/>
      <w:marRight w:val="0"/>
      <w:marTop w:val="0"/>
      <w:marBottom w:val="0"/>
      <w:divBdr>
        <w:top w:val="none" w:sz="0" w:space="0" w:color="auto"/>
        <w:left w:val="none" w:sz="0" w:space="0" w:color="auto"/>
        <w:bottom w:val="none" w:sz="0" w:space="0" w:color="auto"/>
        <w:right w:val="none" w:sz="0" w:space="0" w:color="auto"/>
      </w:divBdr>
    </w:div>
    <w:div w:id="1953392093">
      <w:bodyDiv w:val="1"/>
      <w:marLeft w:val="0"/>
      <w:marRight w:val="0"/>
      <w:marTop w:val="0"/>
      <w:marBottom w:val="0"/>
      <w:divBdr>
        <w:top w:val="none" w:sz="0" w:space="0" w:color="auto"/>
        <w:left w:val="none" w:sz="0" w:space="0" w:color="auto"/>
        <w:bottom w:val="none" w:sz="0" w:space="0" w:color="auto"/>
        <w:right w:val="none" w:sz="0" w:space="0" w:color="auto"/>
      </w:divBdr>
    </w:div>
    <w:div w:id="20823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ocplayer.es/5455342-Nuevas-tecnologias-biometricas-instituto-nacional-de-ciencias-penales-procuraduria-general-de-la-republica-version-1-0.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4335e303e63e442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582beab-0113-4467-8650-276f04cf4224}"/>
      </w:docPartPr>
      <w:docPartBody>
        <w:p w14:paraId="1F03FB4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8666-BFE8-4109-A0C2-8996250D32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5</revision>
  <dcterms:created xsi:type="dcterms:W3CDTF">2022-02-03T19:39:00.0000000Z</dcterms:created>
  <dcterms:modified xsi:type="dcterms:W3CDTF">2022-02-11T18:43:46.6859946Z</dcterms:modified>
</coreProperties>
</file>