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F8E67" w14:textId="776635DE" w:rsidR="00D34057" w:rsidRPr="00B319C6" w:rsidRDefault="00D34057" w:rsidP="00E91EE4">
      <w:pPr>
        <w:shd w:val="clear" w:color="auto" w:fill="FFFFFF"/>
        <w:spacing w:before="240" w:line="360" w:lineRule="auto"/>
        <w:jc w:val="both"/>
        <w:rPr>
          <w:rFonts w:ascii="Palatino Linotype" w:hAnsi="Palatino Linotype" w:cs="Arial"/>
          <w:color w:val="000000"/>
          <w:lang w:eastAsia="es-MX"/>
        </w:rPr>
      </w:pPr>
      <w:r w:rsidRPr="00B319C6">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w:t>
      </w:r>
      <w:r w:rsidR="00D536F1" w:rsidRPr="00B319C6">
        <w:rPr>
          <w:rFonts w:ascii="Palatino Linotype" w:hAnsi="Palatino Linotype" w:cs="Arial"/>
          <w:color w:val="000000"/>
          <w:lang w:eastAsia="es-MX"/>
        </w:rPr>
        <w:t xml:space="preserve"> </w:t>
      </w:r>
      <w:r w:rsidR="00CE14AE" w:rsidRPr="00B319C6">
        <w:rPr>
          <w:rFonts w:ascii="Palatino Linotype" w:hAnsi="Palatino Linotype" w:cs="Arial"/>
          <w:color w:val="000000"/>
          <w:lang w:eastAsia="es-MX"/>
        </w:rPr>
        <w:t>dieciséis de noviembre</w:t>
      </w:r>
      <w:r w:rsidR="00620A1D" w:rsidRPr="00B319C6">
        <w:rPr>
          <w:rFonts w:ascii="Palatino Linotype" w:hAnsi="Palatino Linotype" w:cs="Arial"/>
          <w:color w:val="000000"/>
          <w:lang w:eastAsia="es-MX"/>
        </w:rPr>
        <w:t xml:space="preserve"> de dos mil veintidós</w:t>
      </w:r>
      <w:r w:rsidRPr="00B319C6">
        <w:rPr>
          <w:rFonts w:ascii="Palatino Linotype" w:hAnsi="Palatino Linotype" w:cs="Arial"/>
          <w:color w:val="000000"/>
          <w:lang w:eastAsia="es-MX"/>
        </w:rPr>
        <w:t>.</w:t>
      </w:r>
    </w:p>
    <w:p w14:paraId="1816EBEC" w14:textId="77777777" w:rsidR="00D34057" w:rsidRPr="00B319C6" w:rsidRDefault="00D34057" w:rsidP="00FF74F5">
      <w:pPr>
        <w:pStyle w:val="Sinespaciado"/>
        <w:rPr>
          <w:sz w:val="18"/>
        </w:rPr>
      </w:pPr>
    </w:p>
    <w:p w14:paraId="426582CB" w14:textId="1B0BFCB1" w:rsidR="00D34057" w:rsidRPr="00B319C6" w:rsidRDefault="00D34057" w:rsidP="00E91EE4">
      <w:pPr>
        <w:tabs>
          <w:tab w:val="left" w:pos="1701"/>
        </w:tabs>
        <w:spacing w:before="240" w:line="360" w:lineRule="auto"/>
        <w:jc w:val="both"/>
        <w:rPr>
          <w:rFonts w:ascii="Palatino Linotype" w:hAnsi="Palatino Linotype" w:cs="Arial"/>
        </w:rPr>
      </w:pPr>
      <w:r w:rsidRPr="00B319C6">
        <w:rPr>
          <w:rFonts w:ascii="Palatino Linotype" w:hAnsi="Palatino Linotype" w:cs="Arial"/>
          <w:b/>
        </w:rPr>
        <w:t>VISTO</w:t>
      </w:r>
      <w:r w:rsidRPr="00B319C6">
        <w:rPr>
          <w:rFonts w:ascii="Palatino Linotype" w:hAnsi="Palatino Linotype" w:cs="Arial"/>
        </w:rPr>
        <w:t xml:space="preserve"> el expediente electrónico formado con motivo del recurso de revisión número </w:t>
      </w:r>
      <w:bookmarkStart w:id="0" w:name="_GoBack"/>
      <w:r w:rsidR="00CE14AE" w:rsidRPr="00B319C6">
        <w:rPr>
          <w:rFonts w:ascii="Palatino Linotype" w:hAnsi="Palatino Linotype" w:cs="Arial"/>
          <w:b/>
          <w:bCs/>
          <w:lang w:eastAsia="es-MX"/>
        </w:rPr>
        <w:t>11950/INFOEM/IP/RR/2022</w:t>
      </w:r>
      <w:bookmarkEnd w:id="0"/>
      <w:r w:rsidR="000D4CB2" w:rsidRPr="00B319C6">
        <w:rPr>
          <w:rFonts w:ascii="Palatino Linotype" w:hAnsi="Palatino Linotype" w:cs="Arial"/>
        </w:rPr>
        <w:t xml:space="preserve">, </w:t>
      </w:r>
      <w:r w:rsidR="00A1656C" w:rsidRPr="00B319C6">
        <w:rPr>
          <w:rFonts w:ascii="Palatino Linotype" w:eastAsia="Calibri" w:hAnsi="Palatino Linotype" w:cs="Arial"/>
          <w:sz w:val="22"/>
          <w:szCs w:val="22"/>
          <w:lang w:eastAsia="en-US"/>
        </w:rPr>
        <w:t xml:space="preserve">interpuestos por </w:t>
      </w:r>
      <w:r w:rsidR="00CE14AE" w:rsidRPr="00B319C6">
        <w:rPr>
          <w:rFonts w:ascii="Palatino Linotype" w:eastAsia="Calibri" w:hAnsi="Palatino Linotype" w:cs="Arial"/>
          <w:sz w:val="22"/>
          <w:szCs w:val="22"/>
          <w:lang w:eastAsia="en-US"/>
        </w:rPr>
        <w:t xml:space="preserve">el C. </w:t>
      </w:r>
      <w:r w:rsidR="00A14FD1">
        <w:rPr>
          <w:rFonts w:ascii="Palatino Linotype" w:eastAsia="Calibri" w:hAnsi="Palatino Linotype" w:cs="Arial"/>
          <w:b/>
          <w:sz w:val="22"/>
          <w:szCs w:val="22"/>
          <w:lang w:eastAsia="en-US"/>
        </w:rPr>
        <w:t>XXXXXXXXXXXX</w:t>
      </w:r>
      <w:r w:rsidR="00A1656C" w:rsidRPr="00B319C6">
        <w:rPr>
          <w:rFonts w:ascii="Palatino Linotype" w:eastAsia="Calibri" w:hAnsi="Palatino Linotype" w:cs="Arial"/>
          <w:sz w:val="22"/>
          <w:szCs w:val="22"/>
          <w:lang w:eastAsia="en-US"/>
        </w:rPr>
        <w:t xml:space="preserve">, en lo sucesivo se le denominará el </w:t>
      </w:r>
      <w:r w:rsidR="00A1656C" w:rsidRPr="00B319C6">
        <w:rPr>
          <w:rFonts w:ascii="Palatino Linotype" w:eastAsia="Calibri" w:hAnsi="Palatino Linotype" w:cs="Arial"/>
          <w:b/>
          <w:bCs/>
          <w:sz w:val="22"/>
          <w:szCs w:val="22"/>
          <w:lang w:eastAsia="en-US"/>
        </w:rPr>
        <w:t>Recurrente</w:t>
      </w:r>
      <w:r w:rsidRPr="00B319C6">
        <w:rPr>
          <w:rFonts w:ascii="Palatino Linotype" w:hAnsi="Palatino Linotype" w:cs="Arial"/>
        </w:rPr>
        <w:t xml:space="preserve">, en contra de la respuesta </w:t>
      </w:r>
      <w:r w:rsidR="000D4CB2" w:rsidRPr="00B319C6">
        <w:rPr>
          <w:rFonts w:ascii="Palatino Linotype" w:hAnsi="Palatino Linotype" w:cs="Arial"/>
        </w:rPr>
        <w:t>de</w:t>
      </w:r>
      <w:r w:rsidR="001A7EEE" w:rsidRPr="00B319C6">
        <w:rPr>
          <w:rFonts w:ascii="Palatino Linotype" w:hAnsi="Palatino Linotype" w:cs="Arial"/>
        </w:rPr>
        <w:t>l</w:t>
      </w:r>
      <w:r w:rsidRPr="00B319C6">
        <w:rPr>
          <w:rFonts w:ascii="Palatino Linotype" w:hAnsi="Palatino Linotype" w:cs="Arial"/>
        </w:rPr>
        <w:t xml:space="preserve"> </w:t>
      </w:r>
      <w:r w:rsidR="00CE14AE" w:rsidRPr="00B319C6">
        <w:rPr>
          <w:rFonts w:ascii="Palatino Linotype" w:hAnsi="Palatino Linotype" w:cs="Arial"/>
          <w:b/>
        </w:rPr>
        <w:t>Ayuntamiento de Nezahualcóyotl</w:t>
      </w:r>
      <w:r w:rsidRPr="00B319C6">
        <w:rPr>
          <w:rFonts w:ascii="Palatino Linotype" w:hAnsi="Palatino Linotype" w:cs="Arial"/>
          <w:sz w:val="28"/>
        </w:rPr>
        <w:t xml:space="preserve">, </w:t>
      </w:r>
      <w:r w:rsidRPr="00B319C6">
        <w:rPr>
          <w:rFonts w:ascii="Palatino Linotype" w:hAnsi="Palatino Linotype" w:cs="Arial"/>
        </w:rPr>
        <w:t>en lo subsecuente</w:t>
      </w:r>
      <w:r w:rsidRPr="00B319C6">
        <w:rPr>
          <w:rFonts w:ascii="Palatino Linotype" w:hAnsi="Palatino Linotype" w:cs="Arial"/>
          <w:b/>
        </w:rPr>
        <w:t xml:space="preserve"> El Sujeto Obligado, </w:t>
      </w:r>
      <w:r w:rsidRPr="00B319C6">
        <w:rPr>
          <w:rFonts w:ascii="Palatino Linotype" w:hAnsi="Palatino Linotype" w:cs="Arial"/>
        </w:rPr>
        <w:t>se procede a dictar la presente resolución.</w:t>
      </w:r>
    </w:p>
    <w:p w14:paraId="2051844B" w14:textId="77777777" w:rsidR="00CC6F3C" w:rsidRPr="00B319C6"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B319C6" w:rsidRDefault="00D34057" w:rsidP="00FF74F5">
      <w:pPr>
        <w:pStyle w:val="Sinespaciado"/>
        <w:rPr>
          <w:sz w:val="8"/>
        </w:rPr>
      </w:pPr>
    </w:p>
    <w:p w14:paraId="75D21A27" w14:textId="77777777" w:rsidR="00D34057" w:rsidRPr="00B319C6" w:rsidRDefault="00D34057" w:rsidP="00E91EE4">
      <w:pPr>
        <w:spacing w:before="240" w:after="240" w:line="360" w:lineRule="auto"/>
        <w:jc w:val="center"/>
        <w:rPr>
          <w:rFonts w:ascii="Palatino Linotype" w:hAnsi="Palatino Linotype"/>
          <w:b/>
          <w:sz w:val="28"/>
        </w:rPr>
      </w:pPr>
      <w:r w:rsidRPr="00B319C6">
        <w:rPr>
          <w:rFonts w:ascii="Palatino Linotype" w:hAnsi="Palatino Linotype"/>
          <w:b/>
          <w:sz w:val="28"/>
        </w:rPr>
        <w:t>A N T E C E D E N T E S   D E L   A S U N T O</w:t>
      </w:r>
    </w:p>
    <w:p w14:paraId="18424EF2" w14:textId="77777777" w:rsidR="00972636" w:rsidRPr="00B319C6" w:rsidRDefault="00972636" w:rsidP="00FF74F5">
      <w:pPr>
        <w:pStyle w:val="Sinespaciado"/>
        <w:rPr>
          <w:sz w:val="14"/>
        </w:rPr>
      </w:pPr>
    </w:p>
    <w:p w14:paraId="729E5B4C" w14:textId="77777777" w:rsidR="008D6D96" w:rsidRPr="00B319C6" w:rsidRDefault="008D6D96" w:rsidP="008D6D96">
      <w:pPr>
        <w:spacing w:before="240" w:after="240" w:line="360" w:lineRule="auto"/>
        <w:jc w:val="both"/>
        <w:rPr>
          <w:rFonts w:ascii="Palatino Linotype" w:hAnsi="Palatino Linotype"/>
        </w:rPr>
      </w:pPr>
      <w:r w:rsidRPr="00B319C6">
        <w:rPr>
          <w:rFonts w:ascii="Palatino Linotype" w:hAnsi="Palatino Linotype" w:cs="Arial"/>
          <w:b/>
          <w:sz w:val="28"/>
        </w:rPr>
        <w:t>PRIMERO.</w:t>
      </w:r>
      <w:r w:rsidRPr="00B319C6">
        <w:rPr>
          <w:rFonts w:ascii="Palatino Linotype" w:hAnsi="Palatino Linotype" w:cs="Arial"/>
        </w:rPr>
        <w:t xml:space="preserve"> </w:t>
      </w:r>
      <w:r w:rsidRPr="00B319C6">
        <w:rPr>
          <w:rFonts w:ascii="Palatino Linotype" w:hAnsi="Palatino Linotype"/>
          <w:b/>
          <w:sz w:val="28"/>
          <w:szCs w:val="28"/>
        </w:rPr>
        <w:t>De la Solicitud de Información.</w:t>
      </w:r>
    </w:p>
    <w:p w14:paraId="40216673" w14:textId="01A50806" w:rsidR="008D6D96" w:rsidRPr="00B319C6" w:rsidRDefault="008D6D96" w:rsidP="00ED72E2">
      <w:pPr>
        <w:spacing w:line="360" w:lineRule="auto"/>
        <w:jc w:val="both"/>
        <w:rPr>
          <w:rFonts w:ascii="Palatino Linotype" w:hAnsi="Palatino Linotype" w:cs="Arial"/>
        </w:rPr>
      </w:pPr>
      <w:r w:rsidRPr="00B319C6">
        <w:rPr>
          <w:rFonts w:ascii="Palatino Linotype" w:hAnsi="Palatino Linotype" w:cs="Arial"/>
        </w:rPr>
        <w:t xml:space="preserve">Con fecha </w:t>
      </w:r>
      <w:r w:rsidR="00CE14AE" w:rsidRPr="00B319C6">
        <w:rPr>
          <w:rFonts w:ascii="Palatino Linotype" w:hAnsi="Palatino Linotype" w:cs="Arial"/>
        </w:rPr>
        <w:t>treinta de mayo</w:t>
      </w:r>
      <w:r w:rsidR="00620A1D" w:rsidRPr="00B319C6">
        <w:rPr>
          <w:rFonts w:ascii="Palatino Linotype" w:hAnsi="Palatino Linotype" w:cs="Arial"/>
        </w:rPr>
        <w:t xml:space="preserve"> de dos mil veintidós</w:t>
      </w:r>
      <w:r w:rsidRPr="00B319C6">
        <w:rPr>
          <w:rFonts w:ascii="Palatino Linotype" w:hAnsi="Palatino Linotype" w:cs="Arial"/>
        </w:rPr>
        <w:t xml:space="preserve">, </w:t>
      </w:r>
      <w:r w:rsidR="00A1656C" w:rsidRPr="00B319C6">
        <w:rPr>
          <w:rFonts w:ascii="Palatino Linotype" w:hAnsi="Palatino Linotype" w:cs="Arial"/>
          <w:b/>
        </w:rPr>
        <w:t>el</w:t>
      </w:r>
      <w:r w:rsidRPr="00B319C6">
        <w:rPr>
          <w:rFonts w:ascii="Palatino Linotype" w:hAnsi="Palatino Linotype" w:cs="Arial"/>
          <w:b/>
        </w:rPr>
        <w:t xml:space="preserve"> Recurrente</w:t>
      </w:r>
      <w:r w:rsidRPr="00B319C6">
        <w:rPr>
          <w:rFonts w:ascii="Palatino Linotype" w:hAnsi="Palatino Linotype" w:cs="Arial"/>
        </w:rPr>
        <w:t xml:space="preserve">, </w:t>
      </w:r>
      <w:r w:rsidR="001A7EEE" w:rsidRPr="00B319C6">
        <w:rPr>
          <w:rFonts w:ascii="Palatino Linotype" w:hAnsi="Palatino Linotype"/>
        </w:rPr>
        <w:t>presentó a través del Sistema de Acceso a la Información Mexiquense (</w:t>
      </w:r>
      <w:r w:rsidR="001A7EEE" w:rsidRPr="00B319C6">
        <w:rPr>
          <w:rFonts w:ascii="Palatino Linotype" w:hAnsi="Palatino Linotype"/>
          <w:b/>
        </w:rPr>
        <w:t>SAIMEX)</w:t>
      </w:r>
      <w:r w:rsidR="001A7EEE" w:rsidRPr="00B319C6">
        <w:rPr>
          <w:rFonts w:ascii="Palatino Linotype" w:hAnsi="Palatino Linotype"/>
        </w:rPr>
        <w:t xml:space="preserve"> ante el </w:t>
      </w:r>
      <w:r w:rsidR="001A7EEE" w:rsidRPr="00B319C6">
        <w:rPr>
          <w:rFonts w:ascii="Palatino Linotype" w:hAnsi="Palatino Linotype"/>
          <w:b/>
        </w:rPr>
        <w:t>Sujeto Obligado</w:t>
      </w:r>
      <w:r w:rsidR="001A7EEE" w:rsidRPr="00B319C6">
        <w:rPr>
          <w:rFonts w:ascii="Palatino Linotype" w:hAnsi="Palatino Linotype"/>
        </w:rPr>
        <w:t>, solicitud de acceso a la información pública, registrada bajo el número de expediente</w:t>
      </w:r>
      <w:r w:rsidR="001A7EEE" w:rsidRPr="00B319C6">
        <w:rPr>
          <w:rFonts w:ascii="Palatino Linotype" w:hAnsi="Palatino Linotype"/>
          <w:b/>
        </w:rPr>
        <w:t xml:space="preserve"> </w:t>
      </w:r>
      <w:r w:rsidR="00CE14AE" w:rsidRPr="00B319C6">
        <w:rPr>
          <w:rFonts w:ascii="Palatino Linotype" w:hAnsi="Palatino Linotype" w:cs="Arial"/>
          <w:b/>
        </w:rPr>
        <w:t>00317/NEZA/IP/2022</w:t>
      </w:r>
      <w:r w:rsidRPr="00B319C6">
        <w:rPr>
          <w:rFonts w:ascii="Palatino Linotype" w:hAnsi="Palatino Linotype" w:cs="Arial"/>
          <w:lang w:eastAsia="es-MX"/>
        </w:rPr>
        <w:t>,</w:t>
      </w:r>
      <w:r w:rsidRPr="00B319C6">
        <w:rPr>
          <w:rFonts w:ascii="Palatino Linotype" w:hAnsi="Palatino Linotype" w:cs="Arial"/>
          <w:b/>
          <w:lang w:eastAsia="es-MX"/>
        </w:rPr>
        <w:t xml:space="preserve"> </w:t>
      </w:r>
      <w:r w:rsidRPr="00B319C6">
        <w:rPr>
          <w:rFonts w:ascii="Palatino Linotype" w:hAnsi="Palatino Linotype" w:cs="Arial"/>
        </w:rPr>
        <w:t>mediante la cual solicitó información en el tenor siguiente:</w:t>
      </w:r>
    </w:p>
    <w:p w14:paraId="2F1F351C" w14:textId="77777777" w:rsidR="00134DCA" w:rsidRPr="00B319C6" w:rsidRDefault="00134DCA" w:rsidP="00ED72E2">
      <w:pPr>
        <w:spacing w:line="360" w:lineRule="auto"/>
        <w:jc w:val="both"/>
        <w:rPr>
          <w:rFonts w:ascii="Palatino Linotype" w:hAnsi="Palatino Linotype" w:cs="Arial"/>
        </w:rPr>
      </w:pPr>
    </w:p>
    <w:p w14:paraId="5C641CB9" w14:textId="76B74FA6" w:rsidR="008D6D96" w:rsidRPr="00B319C6" w:rsidRDefault="008D6D96" w:rsidP="00ED72E2">
      <w:pPr>
        <w:ind w:left="851" w:right="851"/>
        <w:jc w:val="both"/>
        <w:rPr>
          <w:rFonts w:ascii="Palatino Linotype" w:hAnsi="Palatino Linotype"/>
          <w:i/>
          <w:lang w:val="es-ES_tradnl"/>
        </w:rPr>
      </w:pPr>
      <w:r w:rsidRPr="00B319C6">
        <w:rPr>
          <w:rFonts w:ascii="Palatino Linotype" w:hAnsi="Palatino Linotype"/>
          <w:i/>
          <w:lang w:val="es-ES_tradnl"/>
        </w:rPr>
        <w:t>“</w:t>
      </w:r>
      <w:r w:rsidR="00CE14AE" w:rsidRPr="00B319C6">
        <w:rPr>
          <w:rFonts w:ascii="Palatino Linotype" w:hAnsi="Palatino Linotype"/>
          <w:i/>
          <w:lang w:val="es-ES_tradnl"/>
        </w:rPr>
        <w:t xml:space="preserve">Con fundamento en el artículo 6 de la CONSTITUCIÓN POLÍTICA DE LOS ESTADOS UNIDOS MEXICANOS, atentamente requiero que en función de los principios constitucionales de máxima publicidad, transparencia, rendición de cuentas y gratuidad, me entregue a través de un medio gratuito derivado de los avances tecnológicos y en formato de </w:t>
      </w:r>
      <w:r w:rsidR="00CE14AE" w:rsidRPr="00B319C6">
        <w:rPr>
          <w:rFonts w:ascii="Palatino Linotype" w:hAnsi="Palatino Linotype"/>
          <w:i/>
          <w:lang w:val="es-ES_tradnl"/>
        </w:rPr>
        <w:lastRenderedPageBreak/>
        <w:t xml:space="preserve">documento portátil (PDF) comprimido o en diverso de naturaleza similar, la siguiente información pública documentada en el ejercicio de las facultades, competencias y funciones previstas en las normas jurídicas aplicables. </w:t>
      </w:r>
      <w:r w:rsidR="00CE14AE" w:rsidRPr="00B319C6">
        <w:rPr>
          <w:rFonts w:ascii="Palatino Linotype" w:hAnsi="Palatino Linotype"/>
          <w:b/>
          <w:i/>
          <w:u w:val="single"/>
          <w:lang w:val="es-ES_tradnl"/>
        </w:rPr>
        <w:t>1.-Desde el año 2018 hasta la fecha, la versión publica de la nomina municipal.</w:t>
      </w:r>
      <w:r w:rsidRPr="00B319C6">
        <w:rPr>
          <w:rFonts w:ascii="Palatino Linotype" w:hAnsi="Palatino Linotype"/>
          <w:b/>
          <w:i/>
          <w:u w:val="single"/>
          <w:lang w:val="es-ES_tradnl"/>
        </w:rPr>
        <w:t>”</w:t>
      </w:r>
      <w:r w:rsidRPr="00B319C6">
        <w:rPr>
          <w:rFonts w:ascii="Palatino Linotype" w:hAnsi="Palatino Linotype"/>
          <w:lang w:val="es-ES_tradnl"/>
        </w:rPr>
        <w:t xml:space="preserve"> [Sic]</w:t>
      </w:r>
    </w:p>
    <w:p w14:paraId="07AEC1F9" w14:textId="77777777" w:rsidR="008D6D96" w:rsidRPr="00B319C6" w:rsidRDefault="008D6D96" w:rsidP="008D6D96">
      <w:pPr>
        <w:spacing w:line="360" w:lineRule="auto"/>
        <w:ind w:right="851"/>
        <w:jc w:val="both"/>
        <w:rPr>
          <w:rFonts w:ascii="Palatino Linotype" w:hAnsi="Palatino Linotype"/>
          <w:lang w:val="es-ES_tradnl"/>
        </w:rPr>
      </w:pPr>
    </w:p>
    <w:p w14:paraId="61689946" w14:textId="77777777" w:rsidR="00AE61AD" w:rsidRPr="00B319C6" w:rsidRDefault="00AE61AD" w:rsidP="001A7EEE">
      <w:pPr>
        <w:spacing w:line="360" w:lineRule="auto"/>
        <w:jc w:val="both"/>
        <w:rPr>
          <w:rFonts w:ascii="Palatino Linotype" w:hAnsi="Palatino Linotype"/>
          <w:lang w:val="es-ES_tradnl"/>
        </w:rPr>
      </w:pPr>
    </w:p>
    <w:p w14:paraId="7793FDA5" w14:textId="3EC3322C" w:rsidR="001770BD" w:rsidRPr="00B319C6" w:rsidRDefault="001A7EEE" w:rsidP="001A7EEE">
      <w:pPr>
        <w:spacing w:line="360" w:lineRule="auto"/>
        <w:jc w:val="both"/>
        <w:rPr>
          <w:rFonts w:ascii="Palatino Linotype" w:hAnsi="Palatino Linotype"/>
          <w:lang w:val="es-ES_tradnl"/>
        </w:rPr>
      </w:pPr>
      <w:r w:rsidRPr="00B319C6">
        <w:rPr>
          <w:rFonts w:ascii="Palatino Linotype" w:hAnsi="Palatino Linotype"/>
          <w:lang w:val="es-ES_tradnl"/>
        </w:rPr>
        <w:t xml:space="preserve">Modalidad de entrega: </w:t>
      </w:r>
      <w:r w:rsidRPr="00B319C6">
        <w:rPr>
          <w:rFonts w:ascii="Palatino Linotype" w:hAnsi="Palatino Linotype"/>
          <w:b/>
          <w:lang w:val="es-ES_tradnl"/>
        </w:rPr>
        <w:t>A través del SAIMEX.</w:t>
      </w:r>
    </w:p>
    <w:p w14:paraId="5D68C8B1" w14:textId="77777777" w:rsidR="001A7EEE" w:rsidRPr="00B319C6" w:rsidRDefault="001A7EEE" w:rsidP="001A7EEE">
      <w:pPr>
        <w:spacing w:line="360" w:lineRule="auto"/>
        <w:jc w:val="both"/>
        <w:rPr>
          <w:rFonts w:ascii="Palatino Linotype" w:hAnsi="Palatino Linotype"/>
          <w:lang w:val="es-ES_tradnl"/>
        </w:rPr>
      </w:pPr>
    </w:p>
    <w:p w14:paraId="095C8EBF" w14:textId="77777777" w:rsidR="008D6D96" w:rsidRPr="00B319C6" w:rsidRDefault="008D6D96" w:rsidP="008D6D96">
      <w:pPr>
        <w:spacing w:before="240" w:line="360" w:lineRule="auto"/>
        <w:jc w:val="both"/>
        <w:rPr>
          <w:rFonts w:ascii="Palatino Linotype" w:hAnsi="Palatino Linotype" w:cs="Arial"/>
          <w:b/>
          <w:sz w:val="28"/>
        </w:rPr>
      </w:pPr>
      <w:r w:rsidRPr="00B319C6">
        <w:rPr>
          <w:rFonts w:ascii="Palatino Linotype" w:hAnsi="Palatino Linotype" w:cs="Arial"/>
          <w:b/>
          <w:sz w:val="28"/>
        </w:rPr>
        <w:t xml:space="preserve">SEGUNDO. </w:t>
      </w:r>
      <w:r w:rsidRPr="00B319C6">
        <w:rPr>
          <w:rFonts w:ascii="Palatino Linotype" w:hAnsi="Palatino Linotype" w:cs="Arial"/>
          <w:b/>
          <w:sz w:val="28"/>
          <w:szCs w:val="20"/>
        </w:rPr>
        <w:t>De la respuesta del Sujeto Obligado.</w:t>
      </w:r>
    </w:p>
    <w:p w14:paraId="3EDCEAF6" w14:textId="72B3F6D0" w:rsidR="008D6D96" w:rsidRPr="00B319C6" w:rsidRDefault="008D6D96" w:rsidP="008D6D96">
      <w:pPr>
        <w:spacing w:before="240" w:line="360" w:lineRule="auto"/>
        <w:jc w:val="both"/>
        <w:rPr>
          <w:rFonts w:ascii="Palatino Linotype" w:hAnsi="Palatino Linotype" w:cs="Arial"/>
        </w:rPr>
      </w:pPr>
      <w:r w:rsidRPr="00B319C6">
        <w:rPr>
          <w:rFonts w:ascii="Palatino Linotype" w:hAnsi="Palatino Linotype" w:cs="Arial"/>
        </w:rPr>
        <w:t xml:space="preserve">En el expediente electrónico formado en el sistema </w:t>
      </w:r>
      <w:r w:rsidRPr="00B319C6">
        <w:rPr>
          <w:rFonts w:ascii="Palatino Linotype" w:hAnsi="Palatino Linotype" w:cs="Arial"/>
          <w:b/>
        </w:rPr>
        <w:t>SAIMEX</w:t>
      </w:r>
      <w:r w:rsidRPr="00B319C6">
        <w:rPr>
          <w:rFonts w:ascii="Palatino Linotype" w:hAnsi="Palatino Linotype" w:cs="Arial"/>
        </w:rPr>
        <w:t xml:space="preserve">, se aprecia </w:t>
      </w:r>
      <w:r w:rsidRPr="00B319C6">
        <w:rPr>
          <w:rFonts w:ascii="Palatino Linotype" w:hAnsi="Palatino Linotype" w:cs="Arial"/>
          <w:b/>
        </w:rPr>
        <w:t>El Sujeto Obligado</w:t>
      </w:r>
      <w:r w:rsidRPr="00B319C6">
        <w:rPr>
          <w:rFonts w:ascii="Palatino Linotype" w:hAnsi="Palatino Linotype" w:cs="Arial"/>
        </w:rPr>
        <w:t xml:space="preserve"> emitió su respuesta a la solicitud de información, en fecha </w:t>
      </w:r>
      <w:r w:rsidR="00CE14AE" w:rsidRPr="00B319C6">
        <w:rPr>
          <w:rFonts w:ascii="Palatino Linotype" w:hAnsi="Palatino Linotype" w:cs="Arial"/>
        </w:rPr>
        <w:t>veinte de junio</w:t>
      </w:r>
      <w:r w:rsidR="001B0A88" w:rsidRPr="00B319C6">
        <w:rPr>
          <w:rFonts w:ascii="Palatino Linotype" w:hAnsi="Palatino Linotype" w:cs="Arial"/>
        </w:rPr>
        <w:t xml:space="preserve"> de dos mil veintidós</w:t>
      </w:r>
      <w:r w:rsidRPr="00B319C6">
        <w:rPr>
          <w:rFonts w:ascii="Palatino Linotype" w:hAnsi="Palatino Linotype" w:cs="Arial"/>
        </w:rPr>
        <w:t>, en los términos siguientes:</w:t>
      </w:r>
    </w:p>
    <w:p w14:paraId="2B55D7C0" w14:textId="77777777" w:rsidR="00134DCA" w:rsidRPr="00B319C6" w:rsidRDefault="00134DCA" w:rsidP="00134DCA">
      <w:pPr>
        <w:spacing w:line="360" w:lineRule="auto"/>
        <w:jc w:val="both"/>
        <w:rPr>
          <w:rFonts w:ascii="Palatino Linotype" w:hAnsi="Palatino Linotype" w:cs="Arial"/>
        </w:rPr>
      </w:pPr>
    </w:p>
    <w:p w14:paraId="3B3FA1CE" w14:textId="77777777" w:rsidR="00CE14AE" w:rsidRPr="00B319C6" w:rsidRDefault="008D6D96" w:rsidP="00CE14AE">
      <w:pPr>
        <w:ind w:left="851" w:right="851"/>
        <w:jc w:val="right"/>
        <w:rPr>
          <w:rFonts w:ascii="Palatino Linotype" w:hAnsi="Palatino Linotype" w:cs="Arial"/>
          <w:i/>
        </w:rPr>
      </w:pPr>
      <w:r w:rsidRPr="00B319C6">
        <w:rPr>
          <w:rFonts w:ascii="Palatino Linotype" w:hAnsi="Palatino Linotype" w:cs="Arial"/>
          <w:i/>
        </w:rPr>
        <w:t xml:space="preserve"> “</w:t>
      </w:r>
      <w:r w:rsidR="00CE14AE" w:rsidRPr="00B319C6">
        <w:rPr>
          <w:rFonts w:ascii="Palatino Linotype" w:hAnsi="Palatino Linotype" w:cs="Arial"/>
          <w:i/>
        </w:rPr>
        <w:t xml:space="preserve">Folio de la solicitud: </w:t>
      </w:r>
      <w:r w:rsidR="00CE14AE" w:rsidRPr="00B319C6">
        <w:rPr>
          <w:rFonts w:ascii="Palatino Linotype" w:hAnsi="Palatino Linotype" w:cs="Arial"/>
          <w:b/>
          <w:i/>
          <w:u w:val="single"/>
        </w:rPr>
        <w:t>00317/NEZA/IP/2022</w:t>
      </w:r>
    </w:p>
    <w:p w14:paraId="4DAC20C4" w14:textId="77777777" w:rsidR="00CE14AE" w:rsidRPr="00B319C6" w:rsidRDefault="00CE14AE" w:rsidP="00CE14AE">
      <w:pPr>
        <w:ind w:left="851" w:right="851"/>
        <w:jc w:val="both"/>
        <w:rPr>
          <w:rFonts w:ascii="Palatino Linotype" w:hAnsi="Palatino Linotype" w:cs="Arial"/>
          <w:i/>
        </w:rPr>
      </w:pPr>
    </w:p>
    <w:p w14:paraId="132F3228" w14:textId="77777777" w:rsidR="00CE14AE" w:rsidRPr="00B319C6" w:rsidRDefault="00CE14AE" w:rsidP="00CE14AE">
      <w:pPr>
        <w:ind w:left="851" w:right="851"/>
        <w:jc w:val="both"/>
        <w:rPr>
          <w:rFonts w:ascii="Palatino Linotype" w:hAnsi="Palatino Linotype" w:cs="Arial"/>
          <w:i/>
        </w:rPr>
      </w:pPr>
      <w:r w:rsidRPr="00B319C6">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F71E0C2" w14:textId="77777777" w:rsidR="00CE14AE" w:rsidRPr="00B319C6" w:rsidRDefault="00CE14AE" w:rsidP="00CE14AE">
      <w:pPr>
        <w:ind w:left="851" w:right="851"/>
        <w:jc w:val="both"/>
        <w:rPr>
          <w:rFonts w:ascii="Palatino Linotype" w:hAnsi="Palatino Linotype" w:cs="Arial"/>
          <w:i/>
        </w:rPr>
      </w:pPr>
    </w:p>
    <w:p w14:paraId="14A3F111" w14:textId="77777777" w:rsidR="00CE14AE" w:rsidRPr="00B319C6" w:rsidRDefault="00CE14AE" w:rsidP="00CE14AE">
      <w:pPr>
        <w:ind w:left="851" w:right="851"/>
        <w:jc w:val="both"/>
        <w:rPr>
          <w:rFonts w:ascii="Palatino Linotype" w:hAnsi="Palatino Linotype" w:cs="Arial"/>
          <w:i/>
        </w:rPr>
      </w:pPr>
      <w:r w:rsidRPr="00B319C6">
        <w:rPr>
          <w:rFonts w:ascii="Palatino Linotype" w:hAnsi="Palatino Linotype" w:cs="Arial"/>
          <w:i/>
        </w:rPr>
        <w:t xml:space="preserve">Nezahualcóyotl, Estado de México a 20 de junio de 2022 ESTIMADO SOLICITANTE P R E S E N T E: Por este medio y en atención a la solicitud de información pública, identificada con número de folio 00317/NEZA/IP/2022, me permito remitir a usted, el oficio de superior conocimiento emitido al Presidente Municipal, mediante el oficio NEZ/867/UTAIPM/2022, así como, el exhorto para dar cumplimiento al Servidor Público Habilitado de la Dirección de Administración, emitido por la Secretaria Particular de Presidencia, mediante el oficio </w:t>
      </w:r>
      <w:r w:rsidRPr="00B319C6">
        <w:rPr>
          <w:rFonts w:ascii="Palatino Linotype" w:hAnsi="Palatino Linotype" w:cs="Arial"/>
          <w:i/>
        </w:rPr>
        <w:lastRenderedPageBreak/>
        <w:t>SP/NEZA/03434/2022, generada bajo su más estricta responsabilidad, mismo que se anexa a la presente.</w:t>
      </w:r>
    </w:p>
    <w:p w14:paraId="2EC85F59" w14:textId="77777777" w:rsidR="00CE14AE" w:rsidRPr="00B319C6" w:rsidRDefault="00CE14AE" w:rsidP="00CE14AE">
      <w:pPr>
        <w:ind w:left="851" w:right="851"/>
        <w:jc w:val="both"/>
        <w:rPr>
          <w:rFonts w:ascii="Palatino Linotype" w:hAnsi="Palatino Linotype" w:cs="Arial"/>
          <w:i/>
        </w:rPr>
      </w:pPr>
    </w:p>
    <w:p w14:paraId="7063C60E" w14:textId="77777777" w:rsidR="00CE14AE" w:rsidRPr="00B319C6" w:rsidRDefault="00CE14AE" w:rsidP="00CE14AE">
      <w:pPr>
        <w:ind w:left="851" w:right="851"/>
        <w:jc w:val="both"/>
        <w:rPr>
          <w:rFonts w:ascii="Palatino Linotype" w:hAnsi="Palatino Linotype" w:cs="Arial"/>
          <w:i/>
        </w:rPr>
      </w:pPr>
      <w:r w:rsidRPr="00B319C6">
        <w:rPr>
          <w:rFonts w:ascii="Palatino Linotype" w:hAnsi="Palatino Linotype" w:cs="Arial"/>
          <w:i/>
        </w:rPr>
        <w:t>ATENTAMENTE</w:t>
      </w:r>
    </w:p>
    <w:p w14:paraId="3D71D1C1" w14:textId="3EB1FFB9" w:rsidR="008D6D96" w:rsidRPr="00B319C6" w:rsidRDefault="00CE14AE" w:rsidP="00CE14AE">
      <w:pPr>
        <w:ind w:left="851" w:right="851"/>
        <w:jc w:val="both"/>
        <w:rPr>
          <w:rFonts w:ascii="Palatino Linotype" w:hAnsi="Palatino Linotype" w:cs="Arial"/>
          <w:i/>
        </w:rPr>
      </w:pPr>
      <w:r w:rsidRPr="00B319C6">
        <w:rPr>
          <w:rFonts w:ascii="Palatino Linotype" w:hAnsi="Palatino Linotype" w:cs="Arial"/>
          <w:i/>
        </w:rPr>
        <w:t>C. MARIA GUADALUPE PÉREZ HERNÁNDEZ</w:t>
      </w:r>
      <w:r w:rsidR="008D6D96" w:rsidRPr="00B319C6">
        <w:rPr>
          <w:rFonts w:ascii="Palatino Linotype" w:hAnsi="Palatino Linotype" w:cs="Arial"/>
          <w:i/>
        </w:rPr>
        <w:t>”</w:t>
      </w:r>
    </w:p>
    <w:p w14:paraId="1D09219D" w14:textId="51C291DF" w:rsidR="00FD1200" w:rsidRPr="00B319C6" w:rsidRDefault="00FD1200" w:rsidP="003D0754">
      <w:pPr>
        <w:pStyle w:val="Sinespaciado"/>
      </w:pPr>
    </w:p>
    <w:p w14:paraId="30630136" w14:textId="5B5485BB" w:rsidR="00F46230" w:rsidRPr="00B319C6" w:rsidRDefault="003046C4" w:rsidP="003046C4">
      <w:pPr>
        <w:spacing w:before="240" w:line="360" w:lineRule="auto"/>
        <w:jc w:val="both"/>
        <w:rPr>
          <w:rFonts w:ascii="Palatino Linotype" w:hAnsi="Palatino Linotype"/>
          <w:color w:val="000000"/>
        </w:rPr>
      </w:pPr>
      <w:r w:rsidRPr="00B319C6">
        <w:rPr>
          <w:rFonts w:ascii="Palatino Linotype" w:hAnsi="Palatino Linotype"/>
          <w:color w:val="000000"/>
        </w:rPr>
        <w:t xml:space="preserve">Para tal efecto, </w:t>
      </w:r>
      <w:r w:rsidRPr="00B319C6">
        <w:rPr>
          <w:rFonts w:ascii="Palatino Linotype" w:hAnsi="Palatino Linotype"/>
          <w:b/>
          <w:color w:val="000000"/>
        </w:rPr>
        <w:t>el Sujeto Obligado</w:t>
      </w:r>
      <w:r w:rsidRPr="00B319C6">
        <w:rPr>
          <w:rFonts w:ascii="Palatino Linotype" w:hAnsi="Palatino Linotype"/>
          <w:color w:val="000000"/>
        </w:rPr>
        <w:t xml:space="preserve"> adjuntó el archivo electrónico denominado </w:t>
      </w:r>
      <w:bookmarkStart w:id="1" w:name="_Hlk99652498"/>
      <w:r w:rsidRPr="00B319C6">
        <w:rPr>
          <w:rFonts w:ascii="Palatino Linotype" w:hAnsi="Palatino Linotype"/>
          <w:b/>
          <w:bCs/>
          <w:i/>
          <w:iCs/>
          <w:color w:val="000000"/>
        </w:rPr>
        <w:t>“</w:t>
      </w:r>
      <w:bookmarkEnd w:id="1"/>
      <w:r w:rsidRPr="00B319C6">
        <w:rPr>
          <w:rFonts w:ascii="Palatino Linotype" w:hAnsi="Palatino Linotype"/>
          <w:b/>
          <w:bCs/>
          <w:i/>
          <w:iCs/>
          <w:color w:val="000000"/>
        </w:rPr>
        <w:t>SUPERIOR CONOCIMIENTO.pdf</w:t>
      </w:r>
      <w:r w:rsidRPr="00B319C6">
        <w:rPr>
          <w:rFonts w:ascii="Palatino Linotype" w:hAnsi="Palatino Linotype"/>
          <w:color w:val="000000"/>
        </w:rPr>
        <w:t>; mismo que no se inserta en el presente apartado por ser del conocimiento de las partes, sin embargo, habrá de hacerse el análisis y estudio correspondiente en párrafos posteriores.</w:t>
      </w:r>
    </w:p>
    <w:p w14:paraId="4C0FF363" w14:textId="77777777" w:rsidR="003046C4" w:rsidRPr="00B319C6" w:rsidRDefault="003046C4" w:rsidP="003D0754">
      <w:pPr>
        <w:pStyle w:val="Sinespaciado"/>
      </w:pPr>
    </w:p>
    <w:p w14:paraId="1AF90185" w14:textId="77777777" w:rsidR="003046C4" w:rsidRPr="00B319C6" w:rsidRDefault="003046C4" w:rsidP="003D0754">
      <w:pPr>
        <w:pStyle w:val="Sinespaciado"/>
      </w:pPr>
    </w:p>
    <w:p w14:paraId="2B85071E" w14:textId="77777777" w:rsidR="00D34057" w:rsidRPr="00B319C6" w:rsidRDefault="00D34057" w:rsidP="003D0754">
      <w:pPr>
        <w:spacing w:line="360" w:lineRule="auto"/>
        <w:jc w:val="both"/>
        <w:rPr>
          <w:rFonts w:ascii="Palatino Linotype" w:hAnsi="Palatino Linotype" w:cs="Arial"/>
          <w:b/>
          <w:sz w:val="28"/>
        </w:rPr>
      </w:pPr>
      <w:r w:rsidRPr="00B319C6">
        <w:rPr>
          <w:rFonts w:ascii="Palatino Linotype" w:hAnsi="Palatino Linotype" w:cs="Arial"/>
          <w:b/>
          <w:sz w:val="28"/>
        </w:rPr>
        <w:t xml:space="preserve">TERCERO. </w:t>
      </w:r>
      <w:r w:rsidRPr="00B319C6">
        <w:rPr>
          <w:rFonts w:ascii="Palatino Linotype" w:hAnsi="Palatino Linotype"/>
          <w:b/>
          <w:sz w:val="28"/>
        </w:rPr>
        <w:t>Del recurso de revisión.</w:t>
      </w:r>
    </w:p>
    <w:p w14:paraId="296EDA60" w14:textId="7A35457E" w:rsidR="00BD28E3" w:rsidRPr="00B319C6" w:rsidRDefault="00D34057" w:rsidP="003D0754">
      <w:pPr>
        <w:spacing w:line="360" w:lineRule="auto"/>
        <w:jc w:val="both"/>
        <w:rPr>
          <w:rFonts w:ascii="Palatino Linotype" w:hAnsi="Palatino Linotype" w:cs="Arial"/>
        </w:rPr>
      </w:pPr>
      <w:r w:rsidRPr="00B319C6">
        <w:rPr>
          <w:rFonts w:ascii="Palatino Linotype" w:hAnsi="Palatino Linotype" w:cs="Arial"/>
        </w:rPr>
        <w:t xml:space="preserve">Inconforme con la respuesta del </w:t>
      </w:r>
      <w:r w:rsidR="003D002D" w:rsidRPr="00B319C6">
        <w:rPr>
          <w:rFonts w:ascii="Palatino Linotype" w:hAnsi="Palatino Linotype" w:cs="Arial"/>
          <w:b/>
        </w:rPr>
        <w:t>Sujeto Obligado</w:t>
      </w:r>
      <w:r w:rsidRPr="00B319C6">
        <w:rPr>
          <w:rFonts w:ascii="Palatino Linotype" w:hAnsi="Palatino Linotype" w:cs="Arial"/>
        </w:rPr>
        <w:t xml:space="preserve">, </w:t>
      </w:r>
      <w:r w:rsidR="00A1656C" w:rsidRPr="00B319C6">
        <w:rPr>
          <w:rFonts w:ascii="Palatino Linotype" w:hAnsi="Palatino Linotype" w:cs="Arial"/>
          <w:b/>
        </w:rPr>
        <w:t>el</w:t>
      </w:r>
      <w:r w:rsidRPr="00B319C6">
        <w:rPr>
          <w:rFonts w:ascii="Palatino Linotype" w:hAnsi="Palatino Linotype" w:cs="Arial"/>
          <w:b/>
        </w:rPr>
        <w:t xml:space="preserve"> Recurrente </w:t>
      </w:r>
      <w:r w:rsidRPr="00B319C6">
        <w:rPr>
          <w:rFonts w:ascii="Palatino Linotype" w:hAnsi="Palatino Linotype" w:cs="Arial"/>
        </w:rPr>
        <w:t xml:space="preserve">interpuso el recurso de revisión, en fecha </w:t>
      </w:r>
      <w:r w:rsidR="003B2ABB" w:rsidRPr="00B319C6">
        <w:rPr>
          <w:rFonts w:ascii="Palatino Linotype" w:hAnsi="Palatino Linotype" w:cs="Arial"/>
        </w:rPr>
        <w:t>veintid</w:t>
      </w:r>
      <w:r w:rsidR="00931265" w:rsidRPr="00B319C6">
        <w:rPr>
          <w:rFonts w:ascii="Palatino Linotype" w:hAnsi="Palatino Linotype" w:cs="Arial"/>
        </w:rPr>
        <w:t>ós</w:t>
      </w:r>
      <w:r w:rsidR="001B0A88" w:rsidRPr="00B319C6">
        <w:rPr>
          <w:rFonts w:ascii="Palatino Linotype" w:hAnsi="Palatino Linotype" w:cs="Arial"/>
        </w:rPr>
        <w:t xml:space="preserve"> de </w:t>
      </w:r>
      <w:r w:rsidR="00931265" w:rsidRPr="00B319C6">
        <w:rPr>
          <w:rFonts w:ascii="Palatino Linotype" w:hAnsi="Palatino Linotype" w:cs="Arial"/>
        </w:rPr>
        <w:t xml:space="preserve">junio </w:t>
      </w:r>
      <w:r w:rsidR="001B0A88" w:rsidRPr="00B319C6">
        <w:rPr>
          <w:rFonts w:ascii="Palatino Linotype" w:hAnsi="Palatino Linotype" w:cs="Arial"/>
        </w:rPr>
        <w:t>dos mil veintidós</w:t>
      </w:r>
      <w:r w:rsidRPr="00B319C6">
        <w:rPr>
          <w:rFonts w:ascii="Palatino Linotype" w:hAnsi="Palatino Linotype" w:cs="Arial"/>
        </w:rPr>
        <w:t xml:space="preserve">, </w:t>
      </w:r>
      <w:r w:rsidR="001B0A88" w:rsidRPr="00B319C6">
        <w:rPr>
          <w:rFonts w:ascii="Palatino Linotype" w:hAnsi="Palatino Linotype" w:cs="Arial"/>
        </w:rPr>
        <w:t>quedando</w:t>
      </w:r>
      <w:r w:rsidRPr="00B319C6">
        <w:rPr>
          <w:rFonts w:ascii="Palatino Linotype" w:hAnsi="Palatino Linotype" w:cs="Arial"/>
        </w:rPr>
        <w:t xml:space="preserve"> registrado</w:t>
      </w:r>
      <w:r w:rsidRPr="00B319C6">
        <w:rPr>
          <w:rFonts w:ascii="Palatino Linotype" w:hAnsi="Palatino Linotype" w:cs="Arial"/>
          <w:b/>
        </w:rPr>
        <w:t xml:space="preserve"> </w:t>
      </w:r>
      <w:r w:rsidRPr="00B319C6">
        <w:rPr>
          <w:rFonts w:ascii="Palatino Linotype" w:hAnsi="Palatino Linotype" w:cs="Arial"/>
        </w:rPr>
        <w:t>en el sistema electrónico con el expediente número</w:t>
      </w:r>
      <w:r w:rsidR="00ED72E2" w:rsidRPr="00B319C6">
        <w:t xml:space="preserve"> </w:t>
      </w:r>
      <w:r w:rsidR="00931265" w:rsidRPr="00B319C6">
        <w:rPr>
          <w:rFonts w:ascii="Palatino Linotype" w:hAnsi="Palatino Linotype" w:cs="Arial"/>
          <w:b/>
          <w:bCs/>
          <w:lang w:eastAsia="es-MX"/>
        </w:rPr>
        <w:t>11950/INFOEM/IP/RR/2022</w:t>
      </w:r>
      <w:r w:rsidRPr="00B319C6">
        <w:rPr>
          <w:rFonts w:ascii="Palatino Linotype" w:hAnsi="Palatino Linotype" w:cs="Arial"/>
        </w:rPr>
        <w:t>, en el cual arguye, las siguientes manifestaciones:</w:t>
      </w:r>
    </w:p>
    <w:p w14:paraId="1CBC4B80" w14:textId="77777777" w:rsidR="003708E1" w:rsidRPr="00B319C6" w:rsidRDefault="003708E1" w:rsidP="003D0754">
      <w:pPr>
        <w:pStyle w:val="Sinespaciado"/>
      </w:pPr>
    </w:p>
    <w:p w14:paraId="7EA930EF" w14:textId="77777777" w:rsidR="00BD28E3" w:rsidRPr="00B319C6" w:rsidRDefault="00D34057" w:rsidP="00E91EE4">
      <w:pPr>
        <w:pStyle w:val="Prrafodelista"/>
        <w:numPr>
          <w:ilvl w:val="0"/>
          <w:numId w:val="3"/>
        </w:numPr>
        <w:spacing w:before="240" w:line="360" w:lineRule="auto"/>
        <w:jc w:val="both"/>
        <w:rPr>
          <w:rFonts w:ascii="Palatino Linotype" w:hAnsi="Palatino Linotype" w:cs="Arial"/>
          <w:b/>
        </w:rPr>
      </w:pPr>
      <w:r w:rsidRPr="00B319C6">
        <w:rPr>
          <w:rFonts w:ascii="Palatino Linotype" w:hAnsi="Palatino Linotype" w:cs="Arial"/>
          <w:b/>
        </w:rPr>
        <w:t>Acto Impugnado:</w:t>
      </w:r>
    </w:p>
    <w:p w14:paraId="3BC72CF2" w14:textId="1F2E5725" w:rsidR="00D34057" w:rsidRPr="00B319C6" w:rsidRDefault="00BB0BEB" w:rsidP="007D7483">
      <w:pPr>
        <w:ind w:left="851" w:right="850"/>
        <w:jc w:val="both"/>
        <w:rPr>
          <w:rFonts w:ascii="Palatino Linotype" w:hAnsi="Palatino Linotype" w:cs="Arial"/>
          <w:i/>
        </w:rPr>
      </w:pPr>
      <w:r w:rsidRPr="00B319C6">
        <w:rPr>
          <w:rFonts w:ascii="Palatino Linotype" w:hAnsi="Palatino Linotype" w:cs="Arial"/>
          <w:i/>
        </w:rPr>
        <w:t>“</w:t>
      </w:r>
      <w:r w:rsidR="00931265" w:rsidRPr="00B319C6">
        <w:rPr>
          <w:rFonts w:ascii="Palatino Linotype" w:hAnsi="Palatino Linotype" w:cs="Arial"/>
          <w:bCs/>
          <w:i/>
        </w:rPr>
        <w:t>Información detallada en archivo PDF anexo.</w:t>
      </w:r>
      <w:r w:rsidR="00D34057" w:rsidRPr="00B319C6">
        <w:rPr>
          <w:rFonts w:ascii="Palatino Linotype" w:hAnsi="Palatino Linotype" w:cs="Arial"/>
          <w:i/>
        </w:rPr>
        <w:t>”</w:t>
      </w:r>
      <w:r w:rsidR="00CF70A0" w:rsidRPr="00B319C6">
        <w:rPr>
          <w:rFonts w:ascii="Palatino Linotype" w:hAnsi="Palatino Linotype" w:cs="Arial"/>
          <w:i/>
        </w:rPr>
        <w:t xml:space="preserve"> </w:t>
      </w:r>
      <w:r w:rsidR="00D34057" w:rsidRPr="00B319C6">
        <w:rPr>
          <w:rFonts w:ascii="Palatino Linotype" w:hAnsi="Palatino Linotype" w:cs="Arial"/>
          <w:i/>
        </w:rPr>
        <w:t>[sic]</w:t>
      </w:r>
    </w:p>
    <w:p w14:paraId="63141DF2" w14:textId="77777777" w:rsidR="00BD28E3" w:rsidRPr="00B319C6" w:rsidRDefault="00BD28E3" w:rsidP="003D0754">
      <w:pPr>
        <w:pStyle w:val="Sinespaciado"/>
        <w:rPr>
          <w:sz w:val="2"/>
        </w:rPr>
      </w:pPr>
    </w:p>
    <w:p w14:paraId="15CDCB8C" w14:textId="77777777" w:rsidR="00D34057" w:rsidRPr="00B319C6" w:rsidRDefault="00D34057" w:rsidP="00E91EE4">
      <w:pPr>
        <w:pStyle w:val="Prrafodelista"/>
        <w:numPr>
          <w:ilvl w:val="0"/>
          <w:numId w:val="3"/>
        </w:numPr>
        <w:spacing w:before="240" w:line="360" w:lineRule="auto"/>
        <w:jc w:val="both"/>
        <w:rPr>
          <w:rFonts w:ascii="Palatino Linotype" w:hAnsi="Palatino Linotype" w:cs="Arial"/>
        </w:rPr>
      </w:pPr>
      <w:r w:rsidRPr="00B319C6">
        <w:rPr>
          <w:rFonts w:ascii="Palatino Linotype" w:hAnsi="Palatino Linotype" w:cs="Arial"/>
          <w:b/>
        </w:rPr>
        <w:t>Razones o Motivos de Inconformidad</w:t>
      </w:r>
      <w:r w:rsidRPr="00B319C6">
        <w:rPr>
          <w:rFonts w:ascii="Palatino Linotype" w:hAnsi="Palatino Linotype" w:cs="Arial"/>
        </w:rPr>
        <w:t xml:space="preserve">: </w:t>
      </w:r>
    </w:p>
    <w:p w14:paraId="505D7334" w14:textId="6F93770D" w:rsidR="00E36016" w:rsidRPr="00B319C6" w:rsidRDefault="00BB0BEB" w:rsidP="001B0A88">
      <w:pPr>
        <w:ind w:left="851" w:right="850"/>
        <w:jc w:val="both"/>
        <w:rPr>
          <w:rFonts w:ascii="Palatino Linotype" w:hAnsi="Palatino Linotype" w:cs="Arial"/>
          <w:i/>
        </w:rPr>
      </w:pPr>
      <w:r w:rsidRPr="00B319C6">
        <w:rPr>
          <w:rFonts w:ascii="Palatino Linotype" w:hAnsi="Palatino Linotype" w:cs="Arial"/>
          <w:i/>
        </w:rPr>
        <w:t>“</w:t>
      </w:r>
      <w:r w:rsidR="00931265" w:rsidRPr="00B319C6">
        <w:rPr>
          <w:rFonts w:ascii="Palatino Linotype" w:hAnsi="Palatino Linotype" w:cs="Arial"/>
          <w:bCs/>
          <w:i/>
        </w:rPr>
        <w:t>Información detallada en archivo PDF anexo.</w:t>
      </w:r>
      <w:r w:rsidR="00D34057" w:rsidRPr="00B319C6">
        <w:rPr>
          <w:rFonts w:ascii="Palatino Linotype" w:hAnsi="Palatino Linotype" w:cs="Arial"/>
          <w:i/>
        </w:rPr>
        <w:t>” [sic]</w:t>
      </w:r>
    </w:p>
    <w:p w14:paraId="78750FB9" w14:textId="77777777" w:rsidR="003708E1" w:rsidRPr="00B319C6" w:rsidRDefault="003708E1" w:rsidP="00E91EE4">
      <w:pPr>
        <w:spacing w:before="240" w:line="360" w:lineRule="auto"/>
        <w:ind w:right="851"/>
        <w:jc w:val="both"/>
        <w:rPr>
          <w:rFonts w:ascii="Palatino Linotype" w:hAnsi="Palatino Linotype"/>
          <w:color w:val="000000"/>
          <w:sz w:val="18"/>
        </w:rPr>
      </w:pPr>
    </w:p>
    <w:p w14:paraId="6A336E95" w14:textId="2DF1D438" w:rsidR="00931265" w:rsidRPr="00B319C6" w:rsidRDefault="00931265" w:rsidP="00931265">
      <w:pPr>
        <w:spacing w:before="240" w:line="360" w:lineRule="auto"/>
        <w:jc w:val="both"/>
        <w:rPr>
          <w:rFonts w:ascii="Palatino Linotype" w:hAnsi="Palatino Linotype"/>
          <w:color w:val="000000"/>
        </w:rPr>
      </w:pPr>
      <w:r w:rsidRPr="00B319C6">
        <w:rPr>
          <w:rFonts w:ascii="Palatino Linotype" w:hAnsi="Palatino Linotype"/>
          <w:color w:val="000000"/>
        </w:rPr>
        <w:t>El ahora recurrente adjunto a su medio de impugnación el archivo electrónico denominado “REC-REV-317-2022.pdf” de que se desprende el contenido siguiente:</w:t>
      </w:r>
    </w:p>
    <w:p w14:paraId="7F09E637" w14:textId="77777777" w:rsidR="00931265" w:rsidRPr="00B319C6" w:rsidRDefault="00931265" w:rsidP="00BE7AC1">
      <w:pPr>
        <w:spacing w:before="240" w:line="360" w:lineRule="auto"/>
        <w:ind w:left="851" w:right="851"/>
        <w:jc w:val="right"/>
        <w:rPr>
          <w:b/>
          <w:i/>
          <w:iCs/>
          <w:u w:val="single"/>
        </w:rPr>
      </w:pPr>
      <w:r w:rsidRPr="00B319C6">
        <w:rPr>
          <w:b/>
          <w:i/>
          <w:iCs/>
          <w:u w:val="single"/>
        </w:rPr>
        <w:lastRenderedPageBreak/>
        <w:t xml:space="preserve">RECURSO DE REVISIÓN </w:t>
      </w:r>
    </w:p>
    <w:p w14:paraId="400EBEC5" w14:textId="77777777" w:rsidR="00931265" w:rsidRPr="00B319C6" w:rsidRDefault="00931265" w:rsidP="00BE7AC1">
      <w:pPr>
        <w:spacing w:before="240" w:line="360" w:lineRule="auto"/>
        <w:ind w:left="851" w:right="851"/>
        <w:jc w:val="right"/>
        <w:rPr>
          <w:b/>
          <w:i/>
          <w:iCs/>
        </w:rPr>
      </w:pPr>
      <w:r w:rsidRPr="00B319C6">
        <w:rPr>
          <w:b/>
          <w:i/>
          <w:iCs/>
        </w:rPr>
        <w:t xml:space="preserve">NUMERO DE SOLICITUD: 317-2022 </w:t>
      </w:r>
    </w:p>
    <w:p w14:paraId="3417F115" w14:textId="77777777" w:rsidR="00931265" w:rsidRPr="00B319C6" w:rsidRDefault="00931265" w:rsidP="00BE7AC1">
      <w:pPr>
        <w:spacing w:before="240" w:line="360" w:lineRule="auto"/>
        <w:ind w:left="851" w:right="851"/>
        <w:jc w:val="both"/>
        <w:rPr>
          <w:b/>
          <w:i/>
          <w:iCs/>
        </w:rPr>
      </w:pPr>
      <w:r w:rsidRPr="00B319C6">
        <w:rPr>
          <w:b/>
          <w:i/>
          <w:iCs/>
        </w:rPr>
        <w:t xml:space="preserve">INSTITUTO DE TRANSPARENCIA, ACCESO A LA INFORMACIÓN PÚBLICA Y PROTECCIÓN DE DATOS PERSONALES DEL ESTADO DE MÉXICO Y MUNICIPIOS. </w:t>
      </w:r>
    </w:p>
    <w:p w14:paraId="157A9980" w14:textId="77777777" w:rsidR="00931265" w:rsidRPr="00B319C6" w:rsidRDefault="00931265" w:rsidP="00BE7AC1">
      <w:pPr>
        <w:spacing w:before="240" w:line="360" w:lineRule="auto"/>
        <w:ind w:left="851" w:right="851"/>
        <w:jc w:val="both"/>
        <w:rPr>
          <w:i/>
          <w:iCs/>
        </w:rPr>
      </w:pPr>
      <w:r w:rsidRPr="00B319C6">
        <w:rPr>
          <w:i/>
          <w:iCs/>
        </w:rPr>
        <w:t xml:space="preserve">Por medio del presente escrito, señalando como medio alternativo para recibir notificaciones la dirección de correo electrónico focalizada@mail.ru; con fundamento en los artículos 6°, apartado A fracción IV, de la CONSTITUCIÓN POLÍTICA DE LOS ESTADOS UNIDOS MEXICANOS, 5° de la CONSTITUCIÓN POLÍTICA DEL ESTADO LIBRE Y SOBERANO DE MÉXICO, 142, 143, 144, 146 párrafo 2° y demás relativos de la LEY GENERAL DE TRANSPARENCIA Y ACCESO A LA INFORMACIÓN PÚBLICA (en lo subsecuente referida como Ley General), 176, 178, 179, 180, 181 párrafo 4° y demás relativos de la LEY DE TRANSPARENCIA Y ACCESO A LA INFORMACIÓN PÚBLICA DEL ESTADO DE MÉXICO Y MUNICIPIOS (en lo subsecuente referida como Ley Local), interpongo el recurso de revisión en contra de la entrega de información que no corresponde con lo solicitado, efectuada por el MUNICIPIO DE NEZAHUALCÓYOTL en respuesta a la solicitud de acceso a la información pública con número de 317-2022. </w:t>
      </w:r>
    </w:p>
    <w:p w14:paraId="37676A3A" w14:textId="10A31E79" w:rsidR="00931265" w:rsidRPr="00B319C6" w:rsidRDefault="00931265" w:rsidP="00BE7AC1">
      <w:pPr>
        <w:spacing w:before="240" w:line="360" w:lineRule="auto"/>
        <w:ind w:left="851" w:right="851"/>
        <w:jc w:val="center"/>
        <w:rPr>
          <w:b/>
          <w:i/>
          <w:iCs/>
        </w:rPr>
      </w:pPr>
      <w:r w:rsidRPr="00B319C6">
        <w:rPr>
          <w:b/>
          <w:i/>
          <w:iCs/>
        </w:rPr>
        <w:t>RAZONES Y MOTIVOS DE INCONFORMIDAD</w:t>
      </w:r>
    </w:p>
    <w:p w14:paraId="5CD4AF11" w14:textId="77777777" w:rsidR="00931265" w:rsidRPr="00B319C6" w:rsidRDefault="00931265" w:rsidP="00BE7AC1">
      <w:pPr>
        <w:spacing w:before="240" w:line="360" w:lineRule="auto"/>
        <w:ind w:left="851" w:right="851"/>
        <w:jc w:val="both"/>
        <w:rPr>
          <w:i/>
          <w:iCs/>
        </w:rPr>
      </w:pPr>
      <w:r w:rsidRPr="00B319C6">
        <w:rPr>
          <w:b/>
          <w:i/>
          <w:iCs/>
        </w:rPr>
        <w:t>AGRAVIO PRIMERO.- Contravención a los principios de máxima publicidad, exhaustividad y congruencia.</w:t>
      </w:r>
      <w:r w:rsidRPr="00B319C6">
        <w:rPr>
          <w:i/>
          <w:iCs/>
        </w:rPr>
        <w:t xml:space="preserve"> </w:t>
      </w:r>
    </w:p>
    <w:p w14:paraId="36AB6A11" w14:textId="77777777" w:rsidR="00931265" w:rsidRPr="00B319C6" w:rsidRDefault="00931265" w:rsidP="00BE7AC1">
      <w:pPr>
        <w:spacing w:before="240" w:line="360" w:lineRule="auto"/>
        <w:ind w:left="851" w:right="851"/>
        <w:jc w:val="both"/>
        <w:rPr>
          <w:i/>
          <w:iCs/>
        </w:rPr>
      </w:pPr>
      <w:r w:rsidRPr="00B319C6">
        <w:rPr>
          <w:b/>
          <w:i/>
          <w:iCs/>
        </w:rPr>
        <w:t>ARTÍCULOS TRANSGREDIDOS</w:t>
      </w:r>
      <w:r w:rsidRPr="00B319C6">
        <w:rPr>
          <w:i/>
          <w:iCs/>
        </w:rPr>
        <w:t xml:space="preserve">: 1°, 4, 11 Y 12, DE LA LEY GENERAL DE TRANSPARENCIA Y ACCESO A LA INFORMACIÓN PÚBLICA, 1°, 4, </w:t>
      </w:r>
      <w:r w:rsidRPr="00B319C6">
        <w:rPr>
          <w:i/>
          <w:iCs/>
        </w:rPr>
        <w:lastRenderedPageBreak/>
        <w:t xml:space="preserve">7, 8, 10 y 11, LEY DE TRANSPARENCIA Y ACCESO A LA INFORMACIÓN PÚBLICA DEL ESTADO DE MÉXICO Y MUNICIPIOS. </w:t>
      </w:r>
    </w:p>
    <w:p w14:paraId="49202D6F" w14:textId="77777777" w:rsidR="00931265" w:rsidRPr="00B319C6" w:rsidRDefault="00931265" w:rsidP="00BE7AC1">
      <w:pPr>
        <w:spacing w:before="240" w:line="360" w:lineRule="auto"/>
        <w:ind w:left="851" w:right="851"/>
        <w:jc w:val="both"/>
        <w:rPr>
          <w:i/>
          <w:iCs/>
        </w:rPr>
      </w:pPr>
      <w:r w:rsidRPr="00B319C6">
        <w:rPr>
          <w:i/>
          <w:iCs/>
        </w:rPr>
        <w:t xml:space="preserve">De conformidad con el principio de máxima publicidad previsto en los artículos 11 y 12 de la Ley General, todo sujeto obligado debe permitir el acceso y entregar todo tipo información que se encuentre bajo su posesión, ya sea que la haya generado, obtenido, adquirido o transformado; con exclusión de aquella que por disposición de Ley actualiza algún supuesto de excepcionalidad. </w:t>
      </w:r>
    </w:p>
    <w:p w14:paraId="152EAC9A" w14:textId="77777777" w:rsidR="00931265" w:rsidRPr="00B319C6" w:rsidRDefault="00931265" w:rsidP="00BE7AC1">
      <w:pPr>
        <w:spacing w:before="240" w:line="360" w:lineRule="auto"/>
        <w:ind w:left="851" w:right="851"/>
        <w:jc w:val="both"/>
        <w:rPr>
          <w:i/>
          <w:iCs/>
        </w:rPr>
      </w:pPr>
      <w:r w:rsidRPr="00B319C6">
        <w:rPr>
          <w:i/>
          <w:iCs/>
        </w:rPr>
        <w:t xml:space="preserve">Asimismo, de acuerdo con el criterio interpretativo 02/17 pronunciado por el INSTITUTO NACIONAL DE TRANSPARENCIA, ACCESO A LA INFORMACIÓN Y PROTECCIÓN DE DATOS PERSONALES, el principio de exhaustividad tiene como principal objetivo garantizar a los solicitantes de información que los sujetos obligados se refieran expresamente a cada uno de los puntos señalados en la solicitud; mientras que el principio de congruencia tiende a garantizar que los sujetos obligados emitan respuestas en concordancia a lo requerido. </w:t>
      </w:r>
    </w:p>
    <w:p w14:paraId="428161E4" w14:textId="77777777" w:rsidR="00931265" w:rsidRPr="00B319C6" w:rsidRDefault="00931265" w:rsidP="00BE7AC1">
      <w:pPr>
        <w:spacing w:before="240" w:line="360" w:lineRule="auto"/>
        <w:ind w:left="851" w:right="851"/>
        <w:jc w:val="both"/>
        <w:rPr>
          <w:i/>
          <w:iCs/>
        </w:rPr>
      </w:pPr>
      <w:r w:rsidRPr="00B319C6">
        <w:rPr>
          <w:i/>
          <w:iCs/>
        </w:rPr>
        <w:t xml:space="preserve">Segunda Época </w:t>
      </w:r>
    </w:p>
    <w:p w14:paraId="0E0E30F0" w14:textId="77777777" w:rsidR="00931265" w:rsidRPr="00B319C6" w:rsidRDefault="00931265" w:rsidP="00BE7AC1">
      <w:pPr>
        <w:spacing w:before="240" w:line="360" w:lineRule="auto"/>
        <w:ind w:left="851" w:right="851"/>
        <w:jc w:val="both"/>
        <w:rPr>
          <w:i/>
          <w:iCs/>
        </w:rPr>
      </w:pPr>
      <w:r w:rsidRPr="00B319C6">
        <w:rPr>
          <w:i/>
          <w:iCs/>
        </w:rPr>
        <w:t xml:space="preserve">Criterio 02/17 </w:t>
      </w:r>
    </w:p>
    <w:p w14:paraId="09A92628" w14:textId="77777777" w:rsidR="00931265" w:rsidRPr="00B319C6" w:rsidRDefault="00931265" w:rsidP="00BE7AC1">
      <w:pPr>
        <w:spacing w:before="240" w:line="360" w:lineRule="auto"/>
        <w:ind w:left="851" w:right="851"/>
        <w:jc w:val="both"/>
        <w:rPr>
          <w:i/>
          <w:iCs/>
        </w:rPr>
      </w:pPr>
      <w:r w:rsidRPr="00B319C6">
        <w:rPr>
          <w:i/>
          <w:iCs/>
        </w:rPr>
        <w:t xml:space="preserve">CONGRUENCIA Y EXHAUSTIVIDAD. SUS ALCANCES PARA GARANTIZAR EL DERECHO DE ACCESO A LA INFORMACIÓN. </w:t>
      </w:r>
    </w:p>
    <w:p w14:paraId="0620F56C" w14:textId="77777777" w:rsidR="00931265" w:rsidRPr="00B319C6" w:rsidRDefault="00931265" w:rsidP="00BE7AC1">
      <w:pPr>
        <w:spacing w:before="240" w:line="360" w:lineRule="auto"/>
        <w:ind w:left="851" w:right="851"/>
        <w:jc w:val="both"/>
        <w:rPr>
          <w:i/>
          <w:iCs/>
        </w:rPr>
      </w:pPr>
      <w:r w:rsidRPr="00B319C6">
        <w:rPr>
          <w:i/>
          <w:iC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w:t>
      </w:r>
      <w:r w:rsidRPr="00B319C6">
        <w:rPr>
          <w:i/>
          <w:iCs/>
        </w:rPr>
        <w:lastRenderedPageBreak/>
        <w:t xml:space="preserve">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w:t>
      </w:r>
    </w:p>
    <w:p w14:paraId="1320DEA7" w14:textId="77777777" w:rsidR="00931265" w:rsidRPr="00B319C6" w:rsidRDefault="00931265" w:rsidP="00BE7AC1">
      <w:pPr>
        <w:spacing w:before="240" w:line="360" w:lineRule="auto"/>
        <w:ind w:left="851" w:right="851"/>
        <w:jc w:val="both"/>
        <w:rPr>
          <w:i/>
          <w:iCs/>
        </w:rPr>
      </w:pPr>
      <w:r w:rsidRPr="00B319C6">
        <w:rPr>
          <w:i/>
          <w:iCs/>
        </w:rPr>
        <w:t xml:space="preserve">Ahora bien, en contravención a estos principios garantes del derecho fundamental de acceso a la información reconocido constitucional y convencionalmente en favor de mi persona, el sujeto obligado con máxima opacidad entrega información que no corresponde con lo peticionado. Lo anterior toda vez que no se requiere las gestiones realizadas por la Unidad de Transparencia, sino las respectivas versiones publicas de la nomina municipal. </w:t>
      </w:r>
    </w:p>
    <w:p w14:paraId="7D7E8CF2" w14:textId="77777777" w:rsidR="00931265" w:rsidRPr="00B319C6" w:rsidRDefault="00931265" w:rsidP="00BE7AC1">
      <w:pPr>
        <w:spacing w:before="240" w:line="360" w:lineRule="auto"/>
        <w:ind w:left="851" w:right="851"/>
        <w:jc w:val="both"/>
        <w:rPr>
          <w:i/>
          <w:iCs/>
        </w:rPr>
      </w:pPr>
    </w:p>
    <w:p w14:paraId="7AF20F54" w14:textId="2E6E22DE" w:rsidR="00931265" w:rsidRPr="00B319C6" w:rsidRDefault="00931265" w:rsidP="00BE7AC1">
      <w:pPr>
        <w:spacing w:before="240" w:line="360" w:lineRule="auto"/>
        <w:ind w:left="851" w:right="851"/>
        <w:jc w:val="center"/>
        <w:rPr>
          <w:b/>
          <w:i/>
          <w:iCs/>
        </w:rPr>
      </w:pPr>
      <w:r w:rsidRPr="00B319C6">
        <w:rPr>
          <w:b/>
          <w:i/>
          <w:iCs/>
        </w:rPr>
        <w:t>PRUEBAS</w:t>
      </w:r>
    </w:p>
    <w:p w14:paraId="523C6887" w14:textId="77777777" w:rsidR="00931265" w:rsidRPr="00B319C6" w:rsidRDefault="00931265" w:rsidP="00BE7AC1">
      <w:pPr>
        <w:spacing w:before="240" w:line="360" w:lineRule="auto"/>
        <w:ind w:left="851" w:right="851"/>
        <w:jc w:val="both"/>
        <w:rPr>
          <w:i/>
          <w:iCs/>
        </w:rPr>
      </w:pPr>
      <w:r w:rsidRPr="00B319C6">
        <w:rPr>
          <w:i/>
          <w:iCs/>
        </w:rPr>
        <w:t xml:space="preserve">A. La instrumental de actuaciones y la presuncional en su doble aspecto, en todo lo que me favorezca. </w:t>
      </w:r>
    </w:p>
    <w:p w14:paraId="7FFA35D6" w14:textId="77777777" w:rsidR="00931265" w:rsidRPr="00B319C6" w:rsidRDefault="00931265" w:rsidP="00BE7AC1">
      <w:pPr>
        <w:spacing w:before="240" w:line="360" w:lineRule="auto"/>
        <w:ind w:left="851" w:right="851"/>
        <w:jc w:val="both"/>
        <w:rPr>
          <w:i/>
          <w:iCs/>
        </w:rPr>
      </w:pPr>
    </w:p>
    <w:p w14:paraId="3CF04E73" w14:textId="5FD26550" w:rsidR="00931265" w:rsidRPr="00B319C6" w:rsidRDefault="00931265" w:rsidP="00BE7AC1">
      <w:pPr>
        <w:spacing w:before="240" w:line="360" w:lineRule="auto"/>
        <w:ind w:left="851" w:right="851"/>
        <w:jc w:val="center"/>
        <w:rPr>
          <w:b/>
          <w:i/>
          <w:iCs/>
        </w:rPr>
      </w:pPr>
      <w:r w:rsidRPr="00B319C6">
        <w:rPr>
          <w:b/>
          <w:i/>
          <w:iCs/>
        </w:rPr>
        <w:t>PUNTOS PETITORIOS</w:t>
      </w:r>
    </w:p>
    <w:p w14:paraId="2585880E" w14:textId="77777777" w:rsidR="00931265" w:rsidRPr="00B319C6" w:rsidRDefault="00931265" w:rsidP="00BE7AC1">
      <w:pPr>
        <w:spacing w:before="240" w:line="360" w:lineRule="auto"/>
        <w:ind w:left="851" w:right="851"/>
        <w:jc w:val="both"/>
        <w:rPr>
          <w:i/>
          <w:iCs/>
        </w:rPr>
      </w:pPr>
      <w:r w:rsidRPr="00B319C6">
        <w:rPr>
          <w:i/>
          <w:iCs/>
        </w:rPr>
        <w:t xml:space="preserve">Por lo antes expuesto y fundado atentamente solicito: </w:t>
      </w:r>
    </w:p>
    <w:p w14:paraId="25E7A007" w14:textId="77777777" w:rsidR="00931265" w:rsidRPr="00B319C6" w:rsidRDefault="00931265" w:rsidP="00BE7AC1">
      <w:pPr>
        <w:spacing w:before="240" w:line="360" w:lineRule="auto"/>
        <w:ind w:left="851" w:right="851"/>
        <w:jc w:val="both"/>
        <w:rPr>
          <w:i/>
          <w:iCs/>
        </w:rPr>
      </w:pPr>
      <w:r w:rsidRPr="00B319C6">
        <w:rPr>
          <w:i/>
          <w:iCs/>
        </w:rPr>
        <w:lastRenderedPageBreak/>
        <w:t xml:space="preserve">PRIMERO.- Admitir a tramite el presente recurso, teniéndome por señalado como medio alternativo para recibir notificaciones la dirección de correo electrónico antes mencionada. </w:t>
      </w:r>
    </w:p>
    <w:p w14:paraId="21A7E207" w14:textId="77777777" w:rsidR="00931265" w:rsidRPr="00B319C6" w:rsidRDefault="00931265" w:rsidP="00BE7AC1">
      <w:pPr>
        <w:spacing w:before="240" w:line="360" w:lineRule="auto"/>
        <w:ind w:left="851" w:right="851"/>
        <w:jc w:val="both"/>
        <w:rPr>
          <w:i/>
          <w:iCs/>
        </w:rPr>
      </w:pPr>
      <w:r w:rsidRPr="00B319C6">
        <w:rPr>
          <w:i/>
          <w:iCs/>
        </w:rPr>
        <w:t xml:space="preserve">SEGUNDO.- Tenerme por ofrecidas, admitidas y desahogadas, conforme a las reglas procesales aplicables, las pruebas y elementos antes señalados. </w:t>
      </w:r>
    </w:p>
    <w:p w14:paraId="31672304" w14:textId="4096EFAC" w:rsidR="00931265" w:rsidRPr="00B319C6" w:rsidRDefault="00931265" w:rsidP="00BE7AC1">
      <w:pPr>
        <w:spacing w:before="240" w:line="360" w:lineRule="auto"/>
        <w:ind w:left="851" w:right="851"/>
        <w:jc w:val="both"/>
        <w:rPr>
          <w:i/>
          <w:iCs/>
        </w:rPr>
      </w:pPr>
      <w:r w:rsidRPr="00B319C6">
        <w:rPr>
          <w:i/>
          <w:iCs/>
        </w:rPr>
        <w:t>TERCERO.- Previo estudio en función del principio de máxima publicidad, supliendo ademas las deficiencias del presente recurso; revocar o en su caso modificar la respuesta del sujeto obligado con la finalidad de que se me entregue la información pública solicitada, conforme a los términos y criterios precisados originalmente; y en el supuesto de no poderse entregar bajo la modalidad de entrega elegida, manifiesto conformidad para que la entrega se realice vía correo electrónico señalado en la presente o en su defecto en los servicios gratuitos de almacenamiento en la nube denominados: YANDEX.Disk (https://disk.yandex.com) y CloudMail.RU (https://cloud.mail.ru).</w:t>
      </w:r>
    </w:p>
    <w:p w14:paraId="074B2E14" w14:textId="77777777" w:rsidR="00931265" w:rsidRPr="00B319C6" w:rsidRDefault="00931265" w:rsidP="00E91EE4">
      <w:pPr>
        <w:spacing w:before="240" w:line="360" w:lineRule="auto"/>
        <w:ind w:right="851"/>
        <w:jc w:val="both"/>
        <w:rPr>
          <w:rFonts w:ascii="Palatino Linotype" w:hAnsi="Palatino Linotype"/>
          <w:color w:val="000000"/>
          <w:sz w:val="18"/>
        </w:rPr>
      </w:pPr>
    </w:p>
    <w:p w14:paraId="3DE918EE" w14:textId="77777777" w:rsidR="00D34057" w:rsidRPr="00B319C6" w:rsidRDefault="00D34057" w:rsidP="003D0754">
      <w:pPr>
        <w:spacing w:line="360" w:lineRule="auto"/>
        <w:jc w:val="both"/>
        <w:rPr>
          <w:rFonts w:ascii="Palatino Linotype" w:hAnsi="Palatino Linotype" w:cs="Arial"/>
          <w:b/>
        </w:rPr>
      </w:pPr>
      <w:r w:rsidRPr="00B319C6">
        <w:rPr>
          <w:rFonts w:ascii="Palatino Linotype" w:hAnsi="Palatino Linotype" w:cs="Arial"/>
          <w:b/>
          <w:sz w:val="28"/>
        </w:rPr>
        <w:t>CUARTO</w:t>
      </w:r>
      <w:r w:rsidRPr="00B319C6">
        <w:rPr>
          <w:rFonts w:ascii="Palatino Linotype" w:hAnsi="Palatino Linotype" w:cs="Arial"/>
          <w:b/>
        </w:rPr>
        <w:t xml:space="preserve">. </w:t>
      </w:r>
      <w:r w:rsidRPr="00B319C6">
        <w:rPr>
          <w:rFonts w:ascii="Palatino Linotype" w:hAnsi="Palatino Linotype" w:cs="Arial"/>
          <w:b/>
          <w:sz w:val="28"/>
          <w:szCs w:val="28"/>
        </w:rPr>
        <w:t>Del turno del recurso de revisión.</w:t>
      </w:r>
    </w:p>
    <w:p w14:paraId="250281DA" w14:textId="4D470AF4" w:rsidR="009F3DA1" w:rsidRPr="00B319C6" w:rsidRDefault="001B0A88" w:rsidP="003D0754">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 xml:space="preserve">Medio de impugnación que le fue turnado al </w:t>
      </w:r>
      <w:r w:rsidRPr="00B319C6">
        <w:rPr>
          <w:rFonts w:ascii="Palatino Linotype" w:eastAsiaTheme="minorHAnsi" w:hAnsi="Palatino Linotype" w:cs="Arial"/>
          <w:b/>
          <w:bCs/>
          <w:lang w:val="es-MX" w:eastAsia="en-US"/>
        </w:rPr>
        <w:t>Comisionado</w:t>
      </w:r>
      <w:r w:rsidR="009F3DA1" w:rsidRPr="00B319C6">
        <w:rPr>
          <w:rFonts w:ascii="Palatino Linotype" w:eastAsiaTheme="minorHAnsi" w:hAnsi="Palatino Linotype" w:cs="Arial"/>
          <w:b/>
          <w:bCs/>
          <w:lang w:val="es-MX" w:eastAsia="en-US"/>
        </w:rPr>
        <w:t xml:space="preserve"> Presidente</w:t>
      </w:r>
      <w:r w:rsidRPr="00B319C6">
        <w:rPr>
          <w:rFonts w:ascii="Palatino Linotype" w:eastAsiaTheme="minorHAnsi" w:hAnsi="Palatino Linotype" w:cs="Arial"/>
          <w:b/>
          <w:bCs/>
          <w:lang w:val="es-MX" w:eastAsia="en-US"/>
        </w:rPr>
        <w:t xml:space="preserve"> José Martínez Vilchis</w:t>
      </w:r>
      <w:r w:rsidRPr="00B319C6">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B843EC" w:rsidRPr="00B319C6">
        <w:rPr>
          <w:rFonts w:ascii="Palatino Linotype" w:eastAsiaTheme="minorHAnsi" w:hAnsi="Palatino Linotype" w:cs="Arial"/>
        </w:rPr>
        <w:t>veintidós de junio</w:t>
      </w:r>
      <w:r w:rsidRPr="00B319C6">
        <w:rPr>
          <w:rFonts w:ascii="Palatino Linotype" w:eastAsiaTheme="minorHAnsi" w:hAnsi="Palatino Linotype" w:cs="Arial"/>
          <w:lang w:val="es-MX" w:eastAsia="en-US"/>
        </w:rPr>
        <w:t xml:space="preserve"> de dos mil veintidós, determinándose en él, un plazo de siete días para que las partes manifestaran lo que a su derecho corresponda en términos del numeral ya citado.</w:t>
      </w:r>
    </w:p>
    <w:p w14:paraId="5EAFFCCF" w14:textId="77777777" w:rsidR="009F3DA1" w:rsidRPr="00B319C6" w:rsidRDefault="009F3DA1" w:rsidP="003D0754">
      <w:pPr>
        <w:spacing w:line="360" w:lineRule="auto"/>
        <w:jc w:val="both"/>
        <w:rPr>
          <w:rFonts w:ascii="Palatino Linotype" w:hAnsi="Palatino Linotype" w:cs="Arial"/>
          <w:b/>
          <w:sz w:val="28"/>
        </w:rPr>
      </w:pPr>
    </w:p>
    <w:p w14:paraId="0FA2E2F8" w14:textId="77777777" w:rsidR="00BE7AC1" w:rsidRPr="00B319C6" w:rsidRDefault="00BE7AC1" w:rsidP="003D0754">
      <w:pPr>
        <w:spacing w:line="360" w:lineRule="auto"/>
        <w:jc w:val="both"/>
        <w:rPr>
          <w:rFonts w:ascii="Palatino Linotype" w:hAnsi="Palatino Linotype" w:cs="Arial"/>
          <w:b/>
          <w:sz w:val="28"/>
        </w:rPr>
      </w:pPr>
    </w:p>
    <w:p w14:paraId="51BD16D2" w14:textId="0B106943" w:rsidR="00D34057" w:rsidRPr="00B319C6" w:rsidRDefault="00D34057" w:rsidP="003D0754">
      <w:pPr>
        <w:spacing w:line="360" w:lineRule="auto"/>
        <w:jc w:val="both"/>
        <w:rPr>
          <w:rFonts w:ascii="Palatino Linotype" w:hAnsi="Palatino Linotype" w:cs="Arial"/>
          <w:b/>
        </w:rPr>
      </w:pPr>
      <w:r w:rsidRPr="00B319C6">
        <w:rPr>
          <w:rFonts w:ascii="Palatino Linotype" w:hAnsi="Palatino Linotype" w:cs="Arial"/>
          <w:b/>
          <w:sz w:val="28"/>
        </w:rPr>
        <w:lastRenderedPageBreak/>
        <w:t>QUINTO</w:t>
      </w:r>
      <w:r w:rsidRPr="00B319C6">
        <w:rPr>
          <w:rFonts w:ascii="Palatino Linotype" w:hAnsi="Palatino Linotype" w:cs="Arial"/>
          <w:b/>
        </w:rPr>
        <w:t xml:space="preserve">. </w:t>
      </w:r>
      <w:r w:rsidRPr="00B319C6">
        <w:rPr>
          <w:rFonts w:ascii="Palatino Linotype" w:hAnsi="Palatino Linotype" w:cs="Arial"/>
          <w:b/>
          <w:sz w:val="28"/>
          <w:szCs w:val="28"/>
        </w:rPr>
        <w:t>De la etapa de instrucción.</w:t>
      </w:r>
    </w:p>
    <w:p w14:paraId="71171DED" w14:textId="65BFC6DF" w:rsidR="00145E75" w:rsidRPr="00B319C6" w:rsidRDefault="00145E75" w:rsidP="00145E75">
      <w:pPr>
        <w:spacing w:line="360" w:lineRule="auto"/>
        <w:jc w:val="both"/>
        <w:rPr>
          <w:rFonts w:ascii="Palatino Linotype" w:hAnsi="Palatino Linotype" w:cs="Arial"/>
        </w:rPr>
      </w:pPr>
      <w:r w:rsidRPr="00B319C6">
        <w:rPr>
          <w:rFonts w:ascii="Palatino Linotype" w:hAnsi="Palatino Linotype" w:cs="Arial"/>
        </w:rPr>
        <w:t xml:space="preserve">Así, una vez abierta la etapa de instrucción, </w:t>
      </w:r>
      <w:r w:rsidR="00BE7AC1" w:rsidRPr="00B319C6">
        <w:rPr>
          <w:rFonts w:ascii="Palatino Linotype" w:hAnsi="Palatino Linotype" w:cs="Arial"/>
        </w:rPr>
        <w:t xml:space="preserve">de las constancias del expediente electrónico </w:t>
      </w:r>
      <w:r w:rsidRPr="00B319C6">
        <w:rPr>
          <w:rFonts w:ascii="Palatino Linotype" w:hAnsi="Palatino Linotype" w:cs="Arial"/>
        </w:rPr>
        <w:t xml:space="preserve">se observa que El Sujeto Obligado en fecha </w:t>
      </w:r>
      <w:r w:rsidR="00B843EC" w:rsidRPr="00B319C6">
        <w:rPr>
          <w:rFonts w:ascii="Palatino Linotype" w:hAnsi="Palatino Linotype" w:cs="Arial"/>
        </w:rPr>
        <w:t>cuatro de julio</w:t>
      </w:r>
      <w:r w:rsidRPr="00B319C6">
        <w:rPr>
          <w:rFonts w:ascii="Palatino Linotype" w:hAnsi="Palatino Linotype" w:cs="Arial"/>
        </w:rPr>
        <w:t xml:space="preserve"> de dos mil veintidós, </w:t>
      </w:r>
      <w:r w:rsidR="00B843EC" w:rsidRPr="00B319C6">
        <w:rPr>
          <w:rFonts w:ascii="Palatino Linotype" w:hAnsi="Palatino Linotype" w:cs="Arial"/>
        </w:rPr>
        <w:t>presentó su informe justificado</w:t>
      </w:r>
      <w:r w:rsidRPr="00B319C6">
        <w:rPr>
          <w:rFonts w:ascii="Palatino Linotype" w:hAnsi="Palatino Linotype" w:cs="Arial"/>
        </w:rPr>
        <w:t xml:space="preserve"> </w:t>
      </w:r>
      <w:bookmarkStart w:id="2" w:name="_Hlk96701949"/>
      <w:r w:rsidR="00B843EC" w:rsidRPr="00B319C6">
        <w:rPr>
          <w:rFonts w:ascii="Palatino Linotype" w:hAnsi="Palatino Linotype" w:cs="Arial"/>
        </w:rPr>
        <w:t xml:space="preserve">mediante tres archivos electrónicos, de los cuales, dos de ellos </w:t>
      </w:r>
      <w:r w:rsidRPr="00B319C6">
        <w:rPr>
          <w:rFonts w:ascii="Palatino Linotype" w:hAnsi="Palatino Linotype" w:cs="Arial"/>
        </w:rPr>
        <w:t>presenta</w:t>
      </w:r>
      <w:r w:rsidR="00B843EC" w:rsidRPr="00B319C6">
        <w:rPr>
          <w:rFonts w:ascii="Palatino Linotype" w:hAnsi="Palatino Linotype" w:cs="Arial"/>
        </w:rPr>
        <w:t>n</w:t>
      </w:r>
      <w:r w:rsidRPr="00B319C6">
        <w:rPr>
          <w:rFonts w:ascii="Palatino Linotype" w:hAnsi="Palatino Linotype" w:cs="Arial"/>
        </w:rPr>
        <w:t xml:space="preserve"> datos que pueden considerarse </w:t>
      </w:r>
      <w:r w:rsidR="005874D3" w:rsidRPr="00B319C6">
        <w:rPr>
          <w:rFonts w:ascii="Palatino Linotype" w:hAnsi="Palatino Linotype" w:cs="Arial"/>
        </w:rPr>
        <w:t>información reservada (nombre de los elementos de seguridad pública), ello atendiendo a que pone  en riesgo la vida e integridad física con motivo de sus funciones,</w:t>
      </w:r>
      <w:r w:rsidRPr="00B319C6">
        <w:rPr>
          <w:rFonts w:ascii="Palatino Linotype" w:hAnsi="Palatino Linotype" w:cs="Arial"/>
        </w:rPr>
        <w:t xml:space="preserve"> por lo que </w:t>
      </w:r>
      <w:r w:rsidR="00B843EC" w:rsidRPr="00B319C6">
        <w:rPr>
          <w:rFonts w:ascii="Palatino Linotype" w:hAnsi="Palatino Linotype" w:cs="Arial"/>
        </w:rPr>
        <w:t xml:space="preserve">únicamente se </w:t>
      </w:r>
      <w:r w:rsidRPr="00B319C6">
        <w:rPr>
          <w:rFonts w:ascii="Palatino Linotype" w:hAnsi="Palatino Linotype" w:cs="Arial"/>
        </w:rPr>
        <w:t xml:space="preserve"> puesto a la vista del Recurrente</w:t>
      </w:r>
      <w:bookmarkEnd w:id="2"/>
      <w:r w:rsidR="00B843EC" w:rsidRPr="00B319C6">
        <w:rPr>
          <w:rFonts w:ascii="Palatino Linotype" w:hAnsi="Palatino Linotype" w:cs="Arial"/>
        </w:rPr>
        <w:t xml:space="preserve"> el archivo electrónico denominado “</w:t>
      </w:r>
      <w:r w:rsidR="00B843EC" w:rsidRPr="00B319C6">
        <w:rPr>
          <w:rFonts w:ascii="Palatino Linotype" w:hAnsi="Palatino Linotype" w:cs="Arial"/>
          <w:i/>
        </w:rPr>
        <w:t>11950-INFOEM-IP-RR-2022.pdf</w:t>
      </w:r>
      <w:r w:rsidR="00B843EC" w:rsidRPr="00B319C6">
        <w:rPr>
          <w:rFonts w:ascii="Palatino Linotype" w:hAnsi="Palatino Linotype" w:cs="Arial"/>
        </w:rPr>
        <w:t>”. A</w:t>
      </w:r>
      <w:r w:rsidRPr="00B319C6">
        <w:rPr>
          <w:rFonts w:ascii="Palatino Linotype" w:hAnsi="Palatino Linotype" w:cs="Arial"/>
        </w:rPr>
        <w:t>simismo, se hace constar que el Recurrente fue omiso en presentar manifestación alguna</w:t>
      </w:r>
      <w:r w:rsidR="00BE7AC1" w:rsidRPr="00B319C6">
        <w:rPr>
          <w:rFonts w:ascii="Palatino Linotype" w:hAnsi="Palatino Linotype" w:cs="Arial"/>
        </w:rPr>
        <w:t>.</w:t>
      </w:r>
      <w:r w:rsidRPr="00B319C6">
        <w:rPr>
          <w:rFonts w:ascii="Palatino Linotype" w:hAnsi="Palatino Linotype" w:cs="Arial"/>
        </w:rPr>
        <w:t xml:space="preserve"> </w:t>
      </w:r>
      <w:r w:rsidR="00BE7AC1" w:rsidRPr="00B319C6">
        <w:rPr>
          <w:rFonts w:ascii="Palatino Linotype" w:hAnsi="Palatino Linotype" w:cs="Arial"/>
        </w:rPr>
        <w:t>F</w:t>
      </w:r>
      <w:r w:rsidRPr="00B319C6">
        <w:rPr>
          <w:rFonts w:ascii="Palatino Linotype" w:hAnsi="Palatino Linotype" w:cs="Arial"/>
        </w:rPr>
        <w:t>inalmente se advierte de las constancias que integran el presente expediente, que no existe prueba alguna que deba desahogarse.</w:t>
      </w:r>
    </w:p>
    <w:p w14:paraId="3D2D09C3" w14:textId="77777777" w:rsidR="00B843EC" w:rsidRPr="00B319C6" w:rsidRDefault="00B843EC" w:rsidP="00145E75">
      <w:pPr>
        <w:spacing w:line="360" w:lineRule="auto"/>
        <w:jc w:val="both"/>
        <w:rPr>
          <w:rFonts w:ascii="Palatino Linotype" w:hAnsi="Palatino Linotype"/>
          <w:lang w:val="es-MX"/>
        </w:rPr>
      </w:pPr>
    </w:p>
    <w:p w14:paraId="1C65A440" w14:textId="77777777" w:rsidR="00E01F39" w:rsidRPr="00B319C6" w:rsidRDefault="00E01F39" w:rsidP="00D27E5B">
      <w:pPr>
        <w:spacing w:line="360" w:lineRule="auto"/>
        <w:jc w:val="both"/>
        <w:rPr>
          <w:rFonts w:ascii="Palatino Linotype" w:hAnsi="Palatino Linotype"/>
        </w:rPr>
      </w:pPr>
    </w:p>
    <w:p w14:paraId="6878CCBD" w14:textId="77777777" w:rsidR="00D27E5B" w:rsidRPr="00B319C6" w:rsidRDefault="00D27E5B" w:rsidP="00D27E5B">
      <w:pPr>
        <w:spacing w:line="360" w:lineRule="auto"/>
        <w:jc w:val="both"/>
        <w:rPr>
          <w:rFonts w:ascii="Palatino Linotype" w:hAnsi="Palatino Linotype"/>
          <w:b/>
          <w:sz w:val="28"/>
          <w:szCs w:val="28"/>
        </w:rPr>
      </w:pPr>
      <w:r w:rsidRPr="00B319C6">
        <w:rPr>
          <w:rFonts w:ascii="Palatino Linotype" w:hAnsi="Palatino Linotype"/>
          <w:b/>
          <w:sz w:val="28"/>
          <w:szCs w:val="28"/>
        </w:rPr>
        <w:t>SEXTO. Del cierre de instrucción.</w:t>
      </w:r>
      <w:r w:rsidRPr="00B319C6">
        <w:rPr>
          <w:rFonts w:ascii="Palatino Linotype" w:hAnsi="Palatino Linotype"/>
          <w:b/>
          <w:sz w:val="28"/>
          <w:szCs w:val="28"/>
        </w:rPr>
        <w:tab/>
      </w:r>
    </w:p>
    <w:p w14:paraId="7D5351C9" w14:textId="4F7D0DAE" w:rsidR="00D27E5B" w:rsidRPr="00B319C6" w:rsidRDefault="009F3DA1" w:rsidP="00D27E5B">
      <w:pPr>
        <w:spacing w:line="360" w:lineRule="auto"/>
        <w:jc w:val="both"/>
        <w:rPr>
          <w:rFonts w:ascii="Palatino Linotype" w:hAnsi="Palatino Linotype"/>
        </w:rPr>
      </w:pPr>
      <w:r w:rsidRPr="00B319C6">
        <w:rPr>
          <w:rFonts w:ascii="Palatino Linotype" w:hAnsi="Palatino Linotype"/>
        </w:rPr>
        <w:t>U</w:t>
      </w:r>
      <w:r w:rsidR="00D27E5B" w:rsidRPr="00B319C6">
        <w:rPr>
          <w:rFonts w:ascii="Palatino Linotype" w:hAnsi="Palatino Linotype"/>
        </w:rPr>
        <w:t xml:space="preserve">na vez transcurrido el término legal, se decretó el cierre de instrucción en fecha </w:t>
      </w:r>
      <w:r w:rsidR="00B843EC" w:rsidRPr="00B319C6">
        <w:rPr>
          <w:rFonts w:ascii="Palatino Linotype" w:hAnsi="Palatino Linotype"/>
        </w:rPr>
        <w:t>veintiocho de octubre</w:t>
      </w:r>
      <w:r w:rsidR="001B0A88" w:rsidRPr="00B319C6">
        <w:rPr>
          <w:rFonts w:ascii="Palatino Linotype" w:hAnsi="Palatino Linotype"/>
        </w:rPr>
        <w:t xml:space="preserve"> de dos mil veintidós</w:t>
      </w:r>
      <w:r w:rsidR="00D27E5B" w:rsidRPr="00B319C6">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60FD9D45" w14:textId="7C873AA7" w:rsidR="005874D3" w:rsidRPr="00B319C6" w:rsidRDefault="005874D3" w:rsidP="00D27E5B">
      <w:pPr>
        <w:spacing w:line="360" w:lineRule="auto"/>
        <w:jc w:val="both"/>
        <w:rPr>
          <w:rFonts w:ascii="Palatino Linotype" w:hAnsi="Palatino Linotype"/>
        </w:rPr>
      </w:pPr>
    </w:p>
    <w:p w14:paraId="248AB90E" w14:textId="77777777" w:rsidR="005874D3" w:rsidRPr="00B319C6" w:rsidRDefault="005874D3" w:rsidP="005874D3">
      <w:pPr>
        <w:spacing w:line="360" w:lineRule="auto"/>
        <w:rPr>
          <w:rFonts w:ascii="Palatino Linotype" w:hAnsi="Palatino Linotype"/>
          <w:b/>
          <w:sz w:val="28"/>
          <w:szCs w:val="28"/>
          <w:lang w:val="es-ES_tradnl"/>
        </w:rPr>
      </w:pPr>
      <w:r w:rsidRPr="00B319C6">
        <w:rPr>
          <w:rFonts w:ascii="Palatino Linotype" w:hAnsi="Palatino Linotype"/>
          <w:b/>
          <w:sz w:val="28"/>
          <w:szCs w:val="28"/>
        </w:rPr>
        <w:t>SÉPTIMO. De la ampliación del término para resolver.</w:t>
      </w:r>
    </w:p>
    <w:p w14:paraId="3565023D" w14:textId="20494A7B" w:rsidR="00B843EC" w:rsidRPr="00B319C6" w:rsidRDefault="00B843EC" w:rsidP="00B843EC">
      <w:pPr>
        <w:spacing w:line="360" w:lineRule="auto"/>
        <w:jc w:val="both"/>
        <w:rPr>
          <w:rFonts w:ascii="Palatino Linotype" w:hAnsi="Palatino Linotype"/>
        </w:rPr>
      </w:pPr>
      <w:r w:rsidRPr="00B319C6">
        <w:rPr>
          <w:rFonts w:ascii="Palatino Linotype" w:hAnsi="Palatino Linotype"/>
        </w:rPr>
        <w:t>En fecha siete de septiembre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7F13B67F" w14:textId="77777777" w:rsidR="00B843EC" w:rsidRPr="00B319C6" w:rsidRDefault="00B843EC" w:rsidP="00B843EC">
      <w:pPr>
        <w:spacing w:line="360" w:lineRule="auto"/>
        <w:jc w:val="both"/>
        <w:rPr>
          <w:rFonts w:ascii="Palatino Linotype" w:hAnsi="Palatino Linotype"/>
        </w:rPr>
      </w:pPr>
    </w:p>
    <w:p w14:paraId="324D2C42" w14:textId="77777777" w:rsidR="00B843EC" w:rsidRPr="00B319C6" w:rsidRDefault="00B843EC" w:rsidP="00B843EC">
      <w:pPr>
        <w:spacing w:line="360" w:lineRule="auto"/>
        <w:jc w:val="both"/>
        <w:rPr>
          <w:rFonts w:ascii="Palatino Linotype" w:hAnsi="Palatino Linotype" w:cstheme="majorHAnsi"/>
        </w:rPr>
      </w:pPr>
      <w:r w:rsidRPr="00B319C6">
        <w:rPr>
          <w:rFonts w:ascii="Palatino Linotype" w:hAnsi="Palatino Linotype" w:cstheme="majorHAnsi"/>
        </w:rPr>
        <w:t xml:space="preserve">Este organismo garante no pasa por alto justificar, </w:t>
      </w:r>
      <w:r w:rsidRPr="00B319C6">
        <w:rPr>
          <w:rFonts w:ascii="Palatino Linotype" w:hAnsi="Palatino Linotype" w:cstheme="majorHAnsi"/>
          <w:bCs/>
        </w:rPr>
        <w:t xml:space="preserve">que el plazo para emitir resolución en el presente asunto </w:t>
      </w:r>
      <w:r w:rsidRPr="00B319C6">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5A7BF36" w14:textId="77777777" w:rsidR="00B843EC" w:rsidRPr="00B319C6" w:rsidRDefault="00B843EC" w:rsidP="00B843EC">
      <w:pPr>
        <w:spacing w:line="360" w:lineRule="auto"/>
        <w:jc w:val="both"/>
        <w:rPr>
          <w:rFonts w:ascii="Palatino Linotype" w:hAnsi="Palatino Linotype" w:cstheme="majorHAnsi"/>
        </w:rPr>
      </w:pPr>
      <w:r w:rsidRPr="00B319C6">
        <w:rPr>
          <w:rFonts w:ascii="Palatino Linotype" w:hAnsi="Palatino Linotype" w:cstheme="majorHAnsi"/>
        </w:rPr>
        <w:t xml:space="preserve"> </w:t>
      </w:r>
    </w:p>
    <w:p w14:paraId="1F5F4F4A" w14:textId="77777777" w:rsidR="00B843EC" w:rsidRPr="00B319C6" w:rsidRDefault="00B843EC" w:rsidP="00B843EC">
      <w:pPr>
        <w:spacing w:line="360" w:lineRule="auto"/>
        <w:jc w:val="both"/>
        <w:rPr>
          <w:rFonts w:ascii="Palatino Linotype" w:hAnsi="Palatino Linotype" w:cstheme="majorHAnsi"/>
        </w:rPr>
      </w:pPr>
      <w:r w:rsidRPr="00B319C6">
        <w:rPr>
          <w:rFonts w:ascii="Palatino Linotype" w:hAnsi="Palatino Linotype" w:cstheme="majorHAnsi"/>
        </w:rPr>
        <w:t xml:space="preserve">Por ello, es menester precisar que si bien se ha excedido el plazo para resolver el presente medio de impugnación, de conformidad con la ley de la materia, </w:t>
      </w:r>
      <w:r w:rsidRPr="00B319C6">
        <w:rPr>
          <w:rFonts w:ascii="Palatino Linotype" w:hAnsi="Palatino Linotype" w:cstheme="majorHAnsi"/>
          <w:bCs/>
        </w:rPr>
        <w:t>el plazo para emitir resolución</w:t>
      </w:r>
      <w:r w:rsidRPr="00B319C6">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671871A" w14:textId="77777777" w:rsidR="00B843EC" w:rsidRPr="00B319C6" w:rsidRDefault="00B843EC" w:rsidP="00B843EC">
      <w:pPr>
        <w:spacing w:line="360" w:lineRule="auto"/>
        <w:jc w:val="both"/>
        <w:rPr>
          <w:rFonts w:ascii="Palatino Linotype" w:hAnsi="Palatino Linotype" w:cstheme="majorHAnsi"/>
        </w:rPr>
      </w:pPr>
      <w:r w:rsidRPr="00B319C6">
        <w:rPr>
          <w:rFonts w:ascii="Palatino Linotype" w:hAnsi="Palatino Linotype" w:cstheme="majorHAnsi"/>
        </w:rPr>
        <w:t xml:space="preserve"> </w:t>
      </w:r>
    </w:p>
    <w:p w14:paraId="6C58B347" w14:textId="77777777" w:rsidR="00B843EC" w:rsidRPr="00B319C6" w:rsidRDefault="00B843EC" w:rsidP="00B843EC">
      <w:pPr>
        <w:spacing w:line="360" w:lineRule="auto"/>
        <w:jc w:val="both"/>
        <w:rPr>
          <w:rFonts w:ascii="Palatino Linotype" w:hAnsi="Palatino Linotype" w:cstheme="majorHAnsi"/>
        </w:rPr>
      </w:pPr>
      <w:r w:rsidRPr="00B319C6">
        <w:rPr>
          <w:rFonts w:ascii="Palatino Linotype" w:hAnsi="Palatino Linotype" w:cstheme="majorHAnsi"/>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1E2ABE6" w14:textId="77777777" w:rsidR="00B843EC" w:rsidRPr="00B319C6" w:rsidRDefault="00B843EC" w:rsidP="00B843EC">
      <w:pPr>
        <w:spacing w:line="360" w:lineRule="auto"/>
        <w:jc w:val="both"/>
        <w:rPr>
          <w:rFonts w:ascii="Palatino Linotype" w:hAnsi="Palatino Linotype" w:cstheme="majorHAnsi"/>
        </w:rPr>
      </w:pPr>
      <w:r w:rsidRPr="00B319C6">
        <w:rPr>
          <w:rFonts w:ascii="Palatino Linotype" w:hAnsi="Palatino Linotype" w:cstheme="majorHAnsi"/>
        </w:rPr>
        <w:t xml:space="preserve"> </w:t>
      </w:r>
    </w:p>
    <w:p w14:paraId="0FE948D6" w14:textId="77777777" w:rsidR="00B843EC" w:rsidRPr="00B319C6" w:rsidRDefault="00B843EC" w:rsidP="00B843EC">
      <w:pPr>
        <w:spacing w:line="360" w:lineRule="auto"/>
        <w:jc w:val="both"/>
        <w:rPr>
          <w:rFonts w:ascii="Palatino Linotype" w:hAnsi="Palatino Linotype" w:cstheme="majorHAnsi"/>
        </w:rPr>
      </w:pPr>
      <w:r w:rsidRPr="00B319C6">
        <w:rPr>
          <w:rFonts w:ascii="Palatino Linotype" w:hAnsi="Palatino Linotype" w:cstheme="majorHAnsi"/>
        </w:rPr>
        <w:t xml:space="preserve">En ese sentido, el legislador fijó los términos procesales en las leyes, de manera general, sin que pudiera prever la variada gama de casos que son resueltos por los órganos </w:t>
      </w:r>
      <w:r w:rsidRPr="00B319C6">
        <w:rPr>
          <w:rFonts w:ascii="Palatino Linotype" w:hAnsi="Palatino Linotype" w:cstheme="majorHAnsi"/>
        </w:rPr>
        <w:lastRenderedPageBreak/>
        <w:t>jurisdiccionales o cuasi jurisdiccionales, tanto por la complejidad de los hechos, como por el número de casos que conocen.</w:t>
      </w:r>
    </w:p>
    <w:p w14:paraId="039BE8A7" w14:textId="77777777" w:rsidR="00B843EC" w:rsidRPr="00B319C6" w:rsidRDefault="00B843EC" w:rsidP="00B843EC">
      <w:pPr>
        <w:spacing w:line="360" w:lineRule="auto"/>
        <w:jc w:val="both"/>
        <w:rPr>
          <w:rFonts w:ascii="Palatino Linotype" w:hAnsi="Palatino Linotype" w:cstheme="majorHAnsi"/>
        </w:rPr>
      </w:pPr>
      <w:r w:rsidRPr="00B319C6">
        <w:rPr>
          <w:rFonts w:ascii="Palatino Linotype" w:hAnsi="Palatino Linotype" w:cstheme="majorHAnsi"/>
        </w:rPr>
        <w:t xml:space="preserve"> </w:t>
      </w:r>
    </w:p>
    <w:p w14:paraId="0F38F6E8" w14:textId="77777777" w:rsidR="00B843EC" w:rsidRPr="00B319C6" w:rsidRDefault="00B843EC" w:rsidP="00B843EC">
      <w:pPr>
        <w:spacing w:line="360" w:lineRule="auto"/>
        <w:jc w:val="both"/>
        <w:rPr>
          <w:rFonts w:ascii="Palatino Linotype" w:hAnsi="Palatino Linotype" w:cstheme="majorHAnsi"/>
        </w:rPr>
      </w:pPr>
      <w:r w:rsidRPr="00B319C6">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1764EA84" w14:textId="77777777" w:rsidR="00B843EC" w:rsidRPr="00B319C6" w:rsidRDefault="00B843EC" w:rsidP="00B843EC">
      <w:pPr>
        <w:spacing w:line="360" w:lineRule="auto"/>
        <w:jc w:val="both"/>
        <w:rPr>
          <w:rFonts w:ascii="Palatino Linotype" w:hAnsi="Palatino Linotype" w:cstheme="majorHAnsi"/>
        </w:rPr>
      </w:pPr>
      <w:r w:rsidRPr="00B319C6">
        <w:rPr>
          <w:rFonts w:ascii="Palatino Linotype" w:hAnsi="Palatino Linotype" w:cstheme="majorHAnsi"/>
        </w:rPr>
        <w:t xml:space="preserve"> </w:t>
      </w:r>
    </w:p>
    <w:p w14:paraId="15858154" w14:textId="77777777" w:rsidR="00B843EC" w:rsidRPr="00B319C6" w:rsidRDefault="00B843EC" w:rsidP="00B843EC">
      <w:pPr>
        <w:spacing w:after="240" w:line="276" w:lineRule="auto"/>
        <w:ind w:left="708"/>
        <w:jc w:val="both"/>
        <w:rPr>
          <w:rFonts w:ascii="Palatino Linotype" w:hAnsi="Palatino Linotype" w:cstheme="majorHAnsi"/>
        </w:rPr>
      </w:pPr>
      <w:r w:rsidRPr="00B319C6">
        <w:rPr>
          <w:rFonts w:ascii="Palatino Linotype" w:hAnsi="Palatino Linotype" w:cstheme="majorHAnsi"/>
        </w:rPr>
        <w:t>a)      Complejidad del asunto: La complejidad de la prueba, la pluralidad de sujetos procesales, el tiempo transcurrido, las características y contexto del recurso.</w:t>
      </w:r>
    </w:p>
    <w:p w14:paraId="3DBF2FE9" w14:textId="77777777" w:rsidR="00B843EC" w:rsidRPr="00B319C6" w:rsidRDefault="00B843EC" w:rsidP="00B843EC">
      <w:pPr>
        <w:spacing w:after="240" w:line="276" w:lineRule="auto"/>
        <w:ind w:firstLine="708"/>
        <w:jc w:val="both"/>
        <w:rPr>
          <w:rFonts w:ascii="Palatino Linotype" w:hAnsi="Palatino Linotype" w:cstheme="majorHAnsi"/>
        </w:rPr>
      </w:pPr>
      <w:r w:rsidRPr="00B319C6">
        <w:rPr>
          <w:rFonts w:ascii="Palatino Linotype" w:hAnsi="Palatino Linotype" w:cstheme="majorHAnsi"/>
        </w:rPr>
        <w:t>b)     Actividad Procesal del interesado: Acciones u omisiones del interesado.</w:t>
      </w:r>
    </w:p>
    <w:p w14:paraId="6A9DC08E" w14:textId="77777777" w:rsidR="00B843EC" w:rsidRPr="00B319C6" w:rsidRDefault="00B843EC" w:rsidP="00B843EC">
      <w:pPr>
        <w:spacing w:after="240" w:line="276" w:lineRule="auto"/>
        <w:ind w:left="708"/>
        <w:jc w:val="both"/>
        <w:rPr>
          <w:rFonts w:ascii="Palatino Linotype" w:hAnsi="Palatino Linotype" w:cstheme="majorHAnsi"/>
        </w:rPr>
      </w:pPr>
      <w:r w:rsidRPr="00B319C6">
        <w:rPr>
          <w:rFonts w:ascii="Palatino Linotype" w:hAnsi="Palatino Linotype" w:cstheme="majorHAnsi"/>
        </w:rPr>
        <w:t>c)      Conducta de la Autoridad: Las Acciones u omisiones realizadas en el procedimiento. Así como si la autoridad actuó con la debida diligencia.</w:t>
      </w:r>
    </w:p>
    <w:p w14:paraId="40F0E94B" w14:textId="77777777" w:rsidR="00B843EC" w:rsidRPr="00B319C6" w:rsidRDefault="00B843EC" w:rsidP="00B843EC">
      <w:pPr>
        <w:spacing w:after="240" w:line="276" w:lineRule="auto"/>
        <w:ind w:left="708"/>
        <w:jc w:val="both"/>
        <w:rPr>
          <w:rFonts w:ascii="Palatino Linotype" w:hAnsi="Palatino Linotype" w:cstheme="majorHAnsi"/>
        </w:rPr>
      </w:pPr>
      <w:r w:rsidRPr="00B319C6">
        <w:rPr>
          <w:rFonts w:ascii="Palatino Linotype" w:hAnsi="Palatino Linotype" w:cstheme="majorHAnsi"/>
        </w:rPr>
        <w:t>d) La afectación generada en la situación jurídica de la persona involucrada en el proceso: Violación a sus derechos humanos.</w:t>
      </w:r>
    </w:p>
    <w:p w14:paraId="7532B6B0" w14:textId="77777777" w:rsidR="00B843EC" w:rsidRPr="00B319C6" w:rsidRDefault="00B843EC" w:rsidP="00B843EC">
      <w:pPr>
        <w:spacing w:line="360" w:lineRule="auto"/>
        <w:jc w:val="both"/>
        <w:rPr>
          <w:rFonts w:ascii="Palatino Linotype" w:hAnsi="Palatino Linotype" w:cstheme="majorHAnsi"/>
        </w:rPr>
      </w:pPr>
    </w:p>
    <w:p w14:paraId="359772FA" w14:textId="77777777" w:rsidR="00B843EC" w:rsidRPr="00B319C6" w:rsidRDefault="00B843EC" w:rsidP="00B843EC">
      <w:pPr>
        <w:spacing w:line="360" w:lineRule="auto"/>
        <w:jc w:val="both"/>
        <w:rPr>
          <w:rFonts w:ascii="Palatino Linotype" w:hAnsi="Palatino Linotype" w:cstheme="majorHAnsi"/>
        </w:rPr>
      </w:pPr>
      <w:r w:rsidRPr="00B319C6">
        <w:rPr>
          <w:rFonts w:ascii="Palatino Linotype" w:hAnsi="Palatino Linotype" w:cstheme="majorHAnsi"/>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E22B02C" w14:textId="77777777" w:rsidR="00B843EC" w:rsidRPr="00B319C6" w:rsidRDefault="00B843EC" w:rsidP="00B843EC">
      <w:pPr>
        <w:spacing w:line="360" w:lineRule="auto"/>
        <w:jc w:val="both"/>
        <w:rPr>
          <w:rFonts w:ascii="Palatino Linotype" w:hAnsi="Palatino Linotype" w:cstheme="majorHAnsi"/>
        </w:rPr>
      </w:pPr>
      <w:r w:rsidRPr="00B319C6">
        <w:rPr>
          <w:rFonts w:ascii="Palatino Linotype" w:hAnsi="Palatino Linotype" w:cstheme="majorHAnsi"/>
        </w:rPr>
        <w:t xml:space="preserve"> </w:t>
      </w:r>
    </w:p>
    <w:p w14:paraId="63CD492C" w14:textId="77777777" w:rsidR="00B843EC" w:rsidRPr="00B319C6" w:rsidRDefault="00B843EC" w:rsidP="00B843EC">
      <w:pPr>
        <w:spacing w:line="360" w:lineRule="auto"/>
        <w:jc w:val="both"/>
        <w:rPr>
          <w:rFonts w:ascii="Palatino Linotype" w:hAnsi="Palatino Linotype" w:cstheme="majorHAnsi"/>
        </w:rPr>
      </w:pPr>
      <w:r w:rsidRPr="00B319C6">
        <w:rPr>
          <w:rFonts w:ascii="Palatino Linotype" w:hAnsi="Palatino Linotype" w:cstheme="majorHAnsi"/>
        </w:rPr>
        <w:t xml:space="preserve">Argumento que encuentra sustento en la jurisprudencia P./J. 32/92 emitida por el Pleno de la Suprema Corte de Justicia de la Nación de rubro “TÉRMINOS PROCESALES. </w:t>
      </w:r>
      <w:r w:rsidRPr="00B319C6">
        <w:rPr>
          <w:rFonts w:ascii="Palatino Linotype" w:hAnsi="Palatino Linotype" w:cstheme="majorHAnsi"/>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57CF7DF" w14:textId="77777777" w:rsidR="00B843EC" w:rsidRPr="00B319C6" w:rsidRDefault="00B843EC" w:rsidP="00B843EC">
      <w:pPr>
        <w:spacing w:line="360" w:lineRule="auto"/>
        <w:jc w:val="both"/>
        <w:rPr>
          <w:rFonts w:ascii="Palatino Linotype" w:hAnsi="Palatino Linotype" w:cstheme="majorHAnsi"/>
        </w:rPr>
      </w:pPr>
      <w:r w:rsidRPr="00B319C6">
        <w:rPr>
          <w:rFonts w:ascii="Palatino Linotype" w:hAnsi="Palatino Linotype" w:cstheme="majorHAnsi"/>
        </w:rPr>
        <w:t xml:space="preserve"> </w:t>
      </w:r>
    </w:p>
    <w:p w14:paraId="363E0C84" w14:textId="77777777" w:rsidR="00B843EC" w:rsidRPr="00B319C6" w:rsidRDefault="00B843EC" w:rsidP="00B843EC">
      <w:pPr>
        <w:spacing w:line="360" w:lineRule="auto"/>
        <w:jc w:val="both"/>
        <w:rPr>
          <w:rFonts w:ascii="Palatino Linotype" w:hAnsi="Palatino Linotype" w:cstheme="majorHAnsi"/>
        </w:rPr>
      </w:pPr>
      <w:r w:rsidRPr="00B319C6">
        <w:rPr>
          <w:rFonts w:ascii="Palatino Linotype" w:hAnsi="Palatino Linotype" w:cstheme="majorHAnsi"/>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572EA04" w14:textId="77777777" w:rsidR="00B843EC" w:rsidRPr="00B319C6" w:rsidRDefault="00B843EC" w:rsidP="00B843EC">
      <w:pPr>
        <w:spacing w:line="360" w:lineRule="auto"/>
        <w:jc w:val="both"/>
        <w:rPr>
          <w:rFonts w:ascii="Palatino Linotype" w:hAnsi="Palatino Linotype" w:cstheme="majorHAnsi"/>
        </w:rPr>
      </w:pPr>
    </w:p>
    <w:p w14:paraId="24884890" w14:textId="77777777" w:rsidR="00B843EC" w:rsidRPr="00B319C6" w:rsidRDefault="00B843EC" w:rsidP="00B843EC">
      <w:pPr>
        <w:spacing w:line="360" w:lineRule="auto"/>
        <w:jc w:val="both"/>
        <w:rPr>
          <w:rFonts w:ascii="Palatino Linotype" w:hAnsi="Palatino Linotype" w:cstheme="majorHAnsi"/>
        </w:rPr>
      </w:pPr>
      <w:r w:rsidRPr="00B319C6">
        <w:rPr>
          <w:rFonts w:ascii="Palatino Linotype" w:hAnsi="Palatino Linotype" w:cstheme="majorHAnsi"/>
        </w:rPr>
        <w:t>Al respecto, también son de considerar los criterios sostenidos por el Cuarto Tribunal Colegiado en Materia Administrativa del Primer Circuito, cuyos rubros y datos de identificación son los siguientes:</w:t>
      </w:r>
    </w:p>
    <w:p w14:paraId="1B547D21" w14:textId="77777777" w:rsidR="00B843EC" w:rsidRPr="00B319C6" w:rsidRDefault="00B843EC" w:rsidP="00B843EC">
      <w:pPr>
        <w:spacing w:line="360" w:lineRule="auto"/>
        <w:jc w:val="both"/>
        <w:rPr>
          <w:rFonts w:ascii="Palatino Linotype" w:hAnsi="Palatino Linotype" w:cstheme="majorHAnsi"/>
        </w:rPr>
      </w:pPr>
      <w:r w:rsidRPr="00B319C6">
        <w:rPr>
          <w:rFonts w:ascii="Palatino Linotype" w:hAnsi="Palatino Linotype" w:cstheme="majorHAnsi"/>
        </w:rPr>
        <w:t xml:space="preserve"> </w:t>
      </w:r>
    </w:p>
    <w:p w14:paraId="1351130A" w14:textId="77777777" w:rsidR="00B843EC" w:rsidRPr="00B319C6" w:rsidRDefault="00B843EC" w:rsidP="00B843EC">
      <w:pPr>
        <w:spacing w:line="360" w:lineRule="auto"/>
        <w:jc w:val="both"/>
        <w:rPr>
          <w:rFonts w:ascii="Palatino Linotype" w:hAnsi="Palatino Linotype" w:cstheme="majorHAnsi"/>
        </w:rPr>
      </w:pPr>
      <w:r w:rsidRPr="00B319C6">
        <w:rPr>
          <w:rFonts w:ascii="Palatino Linotype" w:hAnsi="Palatino Linotype" w:cstheme="majorHAnsi"/>
        </w:rPr>
        <w:t xml:space="preserve"> “PLAZO RAZONABLE PARA RESOLVER. DIMENSIÓN Y EFECTOS DE ESTE CONCEPTO CUANDO SE ADUCE EXCESIVA CARGA DE TRABAJO.” consultable en el Seminario Judicial de la Federación y su gaceta, con el registro digital 2002351.</w:t>
      </w:r>
    </w:p>
    <w:p w14:paraId="28541504" w14:textId="77777777" w:rsidR="00B843EC" w:rsidRPr="00B319C6" w:rsidRDefault="00B843EC" w:rsidP="00B843EC">
      <w:pPr>
        <w:spacing w:line="360" w:lineRule="auto"/>
        <w:jc w:val="both"/>
        <w:rPr>
          <w:rFonts w:ascii="Palatino Linotype" w:hAnsi="Palatino Linotype" w:cstheme="majorHAnsi"/>
        </w:rPr>
      </w:pPr>
      <w:r w:rsidRPr="00B319C6">
        <w:rPr>
          <w:rFonts w:ascii="Palatino Linotype" w:hAnsi="Palatino Linotype" w:cstheme="majorHAnsi"/>
        </w:rPr>
        <w:lastRenderedPageBreak/>
        <w:t xml:space="preserve"> </w:t>
      </w:r>
    </w:p>
    <w:p w14:paraId="3CB6FEA3" w14:textId="77777777" w:rsidR="00B843EC" w:rsidRPr="00B319C6" w:rsidRDefault="00B843EC" w:rsidP="00B843EC">
      <w:pPr>
        <w:spacing w:line="360" w:lineRule="auto"/>
        <w:jc w:val="both"/>
        <w:rPr>
          <w:rFonts w:ascii="Palatino Linotype" w:hAnsi="Palatino Linotype" w:cstheme="majorHAnsi"/>
        </w:rPr>
      </w:pPr>
      <w:r w:rsidRPr="00B319C6">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5353984B" w14:textId="77777777" w:rsidR="00B843EC" w:rsidRPr="00B319C6" w:rsidRDefault="00B843EC" w:rsidP="00B843EC">
      <w:pPr>
        <w:spacing w:line="360" w:lineRule="auto"/>
        <w:jc w:val="both"/>
        <w:rPr>
          <w:rFonts w:ascii="Palatino Linotype" w:hAnsi="Palatino Linotype" w:cstheme="majorHAnsi"/>
        </w:rPr>
      </w:pPr>
    </w:p>
    <w:p w14:paraId="4906505C" w14:textId="77777777" w:rsidR="00B843EC" w:rsidRPr="00B319C6" w:rsidRDefault="00B843EC" w:rsidP="00B843EC">
      <w:pPr>
        <w:spacing w:line="360" w:lineRule="auto"/>
        <w:jc w:val="both"/>
        <w:rPr>
          <w:rFonts w:ascii="Palatino Linotype" w:hAnsi="Palatino Linotype" w:cstheme="majorHAnsi"/>
          <w:bCs/>
        </w:rPr>
      </w:pPr>
      <w:r w:rsidRPr="00B319C6">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p>
    <w:p w14:paraId="28B35C15" w14:textId="77777777" w:rsidR="0045589A" w:rsidRPr="00B319C6" w:rsidRDefault="0045589A" w:rsidP="005874D3">
      <w:pPr>
        <w:spacing w:before="240" w:line="360" w:lineRule="auto"/>
        <w:rPr>
          <w:rFonts w:ascii="Palatino Linotype" w:hAnsi="Palatino Linotype" w:cs="Arial"/>
          <w:b/>
          <w:sz w:val="28"/>
        </w:rPr>
      </w:pPr>
    </w:p>
    <w:p w14:paraId="20BB9624" w14:textId="77777777" w:rsidR="00D34057" w:rsidRPr="00B319C6" w:rsidRDefault="00D34057" w:rsidP="00E91EE4">
      <w:pPr>
        <w:spacing w:before="240" w:line="360" w:lineRule="auto"/>
        <w:jc w:val="center"/>
        <w:rPr>
          <w:rFonts w:ascii="Palatino Linotype" w:hAnsi="Palatino Linotype" w:cs="Arial"/>
          <w:b/>
          <w:sz w:val="28"/>
        </w:rPr>
      </w:pPr>
      <w:r w:rsidRPr="00B319C6">
        <w:rPr>
          <w:rFonts w:ascii="Palatino Linotype" w:hAnsi="Palatino Linotype" w:cs="Arial"/>
          <w:b/>
          <w:sz w:val="28"/>
        </w:rPr>
        <w:t xml:space="preserve">C O N S I D E R A N D O </w:t>
      </w:r>
    </w:p>
    <w:p w14:paraId="03E052D2" w14:textId="77777777" w:rsidR="0045589A" w:rsidRPr="00B319C6" w:rsidRDefault="0045589A" w:rsidP="007B1512">
      <w:pPr>
        <w:spacing w:line="360" w:lineRule="auto"/>
        <w:jc w:val="both"/>
        <w:rPr>
          <w:rFonts w:ascii="Palatino Linotype" w:hAnsi="Palatino Linotype" w:cs="Arial"/>
          <w:b/>
          <w:sz w:val="28"/>
        </w:rPr>
      </w:pPr>
    </w:p>
    <w:p w14:paraId="577B93C8" w14:textId="77777777" w:rsidR="00D34057" w:rsidRPr="00B319C6" w:rsidRDefault="00D34057" w:rsidP="007B1512">
      <w:pPr>
        <w:spacing w:line="360" w:lineRule="auto"/>
        <w:jc w:val="both"/>
        <w:rPr>
          <w:rFonts w:ascii="Palatino Linotype" w:hAnsi="Palatino Linotype" w:cs="Arial"/>
        </w:rPr>
      </w:pPr>
      <w:r w:rsidRPr="00B319C6">
        <w:rPr>
          <w:rFonts w:ascii="Palatino Linotype" w:hAnsi="Palatino Linotype" w:cs="Arial"/>
          <w:b/>
          <w:sz w:val="28"/>
        </w:rPr>
        <w:t>PRIMERO.</w:t>
      </w:r>
      <w:r w:rsidRPr="00B319C6">
        <w:rPr>
          <w:rFonts w:ascii="Palatino Linotype" w:hAnsi="Palatino Linotype" w:cs="Arial"/>
          <w:b/>
        </w:rPr>
        <w:t xml:space="preserve"> </w:t>
      </w:r>
      <w:r w:rsidRPr="00B319C6">
        <w:rPr>
          <w:rFonts w:ascii="Palatino Linotype" w:hAnsi="Palatino Linotype" w:cs="Arial"/>
          <w:b/>
          <w:sz w:val="28"/>
          <w:szCs w:val="28"/>
        </w:rPr>
        <w:t>De la competencia</w:t>
      </w:r>
      <w:r w:rsidRPr="00B319C6">
        <w:rPr>
          <w:rFonts w:ascii="Palatino Linotype" w:hAnsi="Palatino Linotype" w:cs="Arial"/>
          <w:sz w:val="28"/>
          <w:szCs w:val="28"/>
        </w:rPr>
        <w:t>.</w:t>
      </w:r>
    </w:p>
    <w:p w14:paraId="6DC94A69" w14:textId="514C6FCD" w:rsidR="003708E1" w:rsidRPr="00B319C6" w:rsidRDefault="001B0A88" w:rsidP="000D7B51">
      <w:pPr>
        <w:spacing w:line="360" w:lineRule="auto"/>
        <w:jc w:val="both"/>
        <w:rPr>
          <w:rFonts w:ascii="Palatino Linotype" w:hAnsi="Palatino Linotype"/>
          <w:lang w:val="es-MX"/>
        </w:rPr>
      </w:pPr>
      <w:r w:rsidRPr="00B319C6">
        <w:rPr>
          <w:rFonts w:ascii="Palatino Linotype" w:hAnsi="Palatino Linotype"/>
          <w:lang w:val="es-MX"/>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w:t>
      </w:r>
      <w:r w:rsidRPr="00B319C6">
        <w:rPr>
          <w:rFonts w:ascii="Palatino Linotype" w:hAnsi="Palatino Linotype"/>
          <w:lang w:val="es-MX"/>
        </w:rPr>
        <w:lastRenderedPageBreak/>
        <w:t>Transparencia, Acceso a la Información Pública y Protección de Datos Personales del Estado de México y Municipios.</w:t>
      </w:r>
    </w:p>
    <w:p w14:paraId="0DA7CBC5" w14:textId="77777777" w:rsidR="00FF39C1" w:rsidRPr="00B319C6" w:rsidRDefault="00FF39C1" w:rsidP="007B1512">
      <w:pPr>
        <w:pStyle w:val="Prrafodelista"/>
        <w:autoSpaceDE w:val="0"/>
        <w:autoSpaceDN w:val="0"/>
        <w:adjustRightInd w:val="0"/>
        <w:spacing w:line="360" w:lineRule="auto"/>
        <w:ind w:left="0"/>
        <w:jc w:val="both"/>
        <w:rPr>
          <w:rFonts w:ascii="Palatino Linotype" w:hAnsi="Palatino Linotype" w:cs="Arial"/>
          <w:b/>
          <w:sz w:val="28"/>
        </w:rPr>
      </w:pPr>
    </w:p>
    <w:p w14:paraId="5E3884DF" w14:textId="6547C6F0" w:rsidR="00D34057" w:rsidRPr="00B319C6"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B319C6">
        <w:rPr>
          <w:rFonts w:ascii="Palatino Linotype" w:hAnsi="Palatino Linotype" w:cs="Arial"/>
          <w:b/>
          <w:sz w:val="28"/>
        </w:rPr>
        <w:t>SEGUNDO</w:t>
      </w:r>
      <w:r w:rsidRPr="00B319C6">
        <w:rPr>
          <w:rFonts w:ascii="Palatino Linotype" w:hAnsi="Palatino Linotype" w:cs="Arial"/>
          <w:b/>
        </w:rPr>
        <w:t xml:space="preserve">. </w:t>
      </w:r>
      <w:r w:rsidRPr="00B319C6">
        <w:rPr>
          <w:rFonts w:ascii="Palatino Linotype" w:hAnsi="Palatino Linotype" w:cs="Arial"/>
          <w:b/>
          <w:sz w:val="28"/>
          <w:szCs w:val="28"/>
        </w:rPr>
        <w:t>Sobre los alcances del recurso de revisión.</w:t>
      </w:r>
      <w:r w:rsidRPr="00B319C6">
        <w:rPr>
          <w:rFonts w:ascii="Palatino Linotype" w:hAnsi="Palatino Linotype" w:cs="Arial"/>
          <w:b/>
        </w:rPr>
        <w:t xml:space="preserve"> </w:t>
      </w:r>
    </w:p>
    <w:p w14:paraId="394E3A0D" w14:textId="77777777" w:rsidR="00A47E40" w:rsidRPr="00B319C6" w:rsidRDefault="00D34057" w:rsidP="007B1512">
      <w:pPr>
        <w:pStyle w:val="Prrafodelista"/>
        <w:autoSpaceDE w:val="0"/>
        <w:autoSpaceDN w:val="0"/>
        <w:adjustRightInd w:val="0"/>
        <w:spacing w:line="360" w:lineRule="auto"/>
        <w:ind w:left="0"/>
        <w:jc w:val="both"/>
        <w:rPr>
          <w:rFonts w:ascii="Palatino Linotype" w:hAnsi="Palatino Linotype" w:cs="Arial"/>
        </w:rPr>
      </w:pPr>
      <w:r w:rsidRPr="00B319C6">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915D2CD" w14:textId="77777777" w:rsidR="003708E1" w:rsidRPr="00B319C6" w:rsidRDefault="003708E1" w:rsidP="00E91EE4">
      <w:pPr>
        <w:pStyle w:val="Prrafodelista"/>
        <w:autoSpaceDE w:val="0"/>
        <w:autoSpaceDN w:val="0"/>
        <w:adjustRightInd w:val="0"/>
        <w:spacing w:before="240" w:after="160" w:line="360" w:lineRule="auto"/>
        <w:ind w:left="0"/>
        <w:jc w:val="both"/>
        <w:rPr>
          <w:rFonts w:ascii="Palatino Linotype" w:hAnsi="Palatino Linotype" w:cs="Arial"/>
          <w:sz w:val="10"/>
        </w:rPr>
      </w:pPr>
    </w:p>
    <w:p w14:paraId="361C0705" w14:textId="16C4860B" w:rsidR="00912A21" w:rsidRPr="00B319C6" w:rsidRDefault="008056E6" w:rsidP="00912A21">
      <w:pPr>
        <w:pStyle w:val="Prrafodelista"/>
        <w:autoSpaceDE w:val="0"/>
        <w:autoSpaceDN w:val="0"/>
        <w:adjustRightInd w:val="0"/>
        <w:spacing w:before="240" w:after="160" w:line="360" w:lineRule="auto"/>
        <w:ind w:left="0"/>
        <w:jc w:val="both"/>
        <w:rPr>
          <w:rFonts w:ascii="Palatino Linotype" w:hAnsi="Palatino Linotype" w:cs="Arial"/>
          <w:b/>
          <w:sz w:val="28"/>
        </w:rPr>
      </w:pPr>
      <w:r w:rsidRPr="00B319C6">
        <w:rPr>
          <w:rFonts w:ascii="Palatino Linotype" w:hAnsi="Palatino Linotype" w:cs="Arial"/>
          <w:b/>
          <w:sz w:val="28"/>
        </w:rPr>
        <w:t>TERCERO</w:t>
      </w:r>
      <w:r w:rsidR="00912A21" w:rsidRPr="00B319C6">
        <w:rPr>
          <w:rFonts w:ascii="Palatino Linotype" w:hAnsi="Palatino Linotype" w:cs="Arial"/>
          <w:b/>
        </w:rPr>
        <w:t xml:space="preserve">. </w:t>
      </w:r>
      <w:r w:rsidR="00912A21" w:rsidRPr="00B319C6">
        <w:rPr>
          <w:rFonts w:ascii="Palatino Linotype" w:hAnsi="Palatino Linotype" w:cs="Arial"/>
          <w:b/>
          <w:sz w:val="28"/>
          <w:szCs w:val="28"/>
        </w:rPr>
        <w:t>De las causas de improcedencia.</w:t>
      </w:r>
    </w:p>
    <w:p w14:paraId="6C462DB8" w14:textId="77777777" w:rsidR="00912A21" w:rsidRPr="00B319C6" w:rsidRDefault="00912A21" w:rsidP="00912A21">
      <w:pPr>
        <w:pStyle w:val="Prrafodelista"/>
        <w:autoSpaceDE w:val="0"/>
        <w:autoSpaceDN w:val="0"/>
        <w:adjustRightInd w:val="0"/>
        <w:spacing w:line="360" w:lineRule="auto"/>
        <w:ind w:left="0"/>
        <w:jc w:val="both"/>
        <w:rPr>
          <w:rFonts w:ascii="Palatino Linotype" w:hAnsi="Palatino Linotype" w:cs="Arial"/>
        </w:rPr>
      </w:pPr>
      <w:r w:rsidRPr="00B319C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54E30E" w14:textId="77777777" w:rsidR="00912A21" w:rsidRPr="00B319C6"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Pr="00B319C6" w:rsidRDefault="00912A21" w:rsidP="00912A21">
      <w:pPr>
        <w:pStyle w:val="Prrafodelista"/>
        <w:autoSpaceDE w:val="0"/>
        <w:autoSpaceDN w:val="0"/>
        <w:adjustRightInd w:val="0"/>
        <w:spacing w:line="360" w:lineRule="auto"/>
        <w:ind w:left="0"/>
        <w:jc w:val="both"/>
        <w:rPr>
          <w:rFonts w:ascii="Palatino Linotype" w:hAnsi="Palatino Linotype" w:cs="Arial"/>
        </w:rPr>
      </w:pPr>
      <w:r w:rsidRPr="00B319C6">
        <w:rPr>
          <w:rFonts w:ascii="Palatino Linotype" w:hAnsi="Palatino Linotype" w:cs="Arial"/>
        </w:rPr>
        <w:t xml:space="preserve">De lo anterior, el estudio de las causas de improcedencia que se hagan valer por las partes o que se advierta de oficio por este Resolutor debe ser objeto de análisis previo </w:t>
      </w:r>
      <w:r w:rsidRPr="00B319C6">
        <w:rPr>
          <w:rFonts w:ascii="Palatino Linotype" w:hAnsi="Palatino Linotype" w:cs="Arial"/>
        </w:rPr>
        <w:lastRenderedPageBreak/>
        <w:t>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B319C6">
        <w:rPr>
          <w:rStyle w:val="Refdenotaalpie"/>
          <w:rFonts w:ascii="Palatino Linotype" w:hAnsi="Palatino Linotype" w:cs="Arial"/>
        </w:rPr>
        <w:footnoteReference w:id="1"/>
      </w:r>
      <w:r w:rsidRPr="00B319C6">
        <w:rPr>
          <w:rFonts w:ascii="Palatino Linotype" w:hAnsi="Palatino Linotype" w:cs="Arial"/>
        </w:rPr>
        <w:t>.</w:t>
      </w:r>
    </w:p>
    <w:p w14:paraId="65BBFB49" w14:textId="77777777" w:rsidR="00912A21" w:rsidRPr="00B319C6"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Pr="00B319C6" w:rsidRDefault="00912A21" w:rsidP="000A5A65">
      <w:pPr>
        <w:pStyle w:val="Prrafodelista"/>
        <w:autoSpaceDE w:val="0"/>
        <w:autoSpaceDN w:val="0"/>
        <w:adjustRightInd w:val="0"/>
        <w:spacing w:line="360" w:lineRule="auto"/>
        <w:ind w:left="0"/>
        <w:jc w:val="both"/>
        <w:rPr>
          <w:rFonts w:ascii="Palatino Linotype" w:hAnsi="Palatino Linotype" w:cs="Arial"/>
        </w:rPr>
      </w:pPr>
      <w:r w:rsidRPr="00B319C6">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24DDA225" w14:textId="77777777" w:rsidR="000A5A65" w:rsidRPr="00B319C6"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117B927E" w:rsidR="00912A21" w:rsidRPr="00B319C6" w:rsidRDefault="008056E6"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B319C6">
        <w:rPr>
          <w:rFonts w:ascii="Palatino Linotype" w:hAnsi="Palatino Linotype" w:cs="Arial"/>
          <w:b/>
          <w:sz w:val="28"/>
        </w:rPr>
        <w:lastRenderedPageBreak/>
        <w:t>CUARTO</w:t>
      </w:r>
      <w:r w:rsidR="00912A21" w:rsidRPr="00B319C6">
        <w:rPr>
          <w:rFonts w:ascii="Palatino Linotype" w:hAnsi="Palatino Linotype" w:cs="Arial"/>
          <w:b/>
          <w:sz w:val="28"/>
          <w:szCs w:val="28"/>
        </w:rPr>
        <w:t>.</w:t>
      </w:r>
      <w:r w:rsidR="00912A21" w:rsidRPr="00B319C6">
        <w:rPr>
          <w:rFonts w:ascii="Palatino Linotype" w:hAnsi="Palatino Linotype" w:cs="Arial"/>
          <w:sz w:val="28"/>
          <w:szCs w:val="28"/>
        </w:rPr>
        <w:t xml:space="preserve"> </w:t>
      </w:r>
      <w:r w:rsidR="00912A21" w:rsidRPr="00B319C6">
        <w:rPr>
          <w:rFonts w:ascii="Palatino Linotype" w:hAnsi="Palatino Linotype" w:cs="Arial"/>
          <w:b/>
          <w:sz w:val="28"/>
        </w:rPr>
        <w:t>Estudio y resolución del asunto</w:t>
      </w:r>
      <w:r w:rsidR="00912A21" w:rsidRPr="00B319C6">
        <w:rPr>
          <w:rFonts w:ascii="Palatino Linotype" w:hAnsi="Palatino Linotype" w:cs="Arial"/>
          <w:b/>
        </w:rPr>
        <w:t>.</w:t>
      </w:r>
    </w:p>
    <w:p w14:paraId="5FD005DD" w14:textId="77777777" w:rsidR="00912A21" w:rsidRPr="00B319C6" w:rsidRDefault="00912A21" w:rsidP="00912A21">
      <w:pPr>
        <w:pStyle w:val="Prrafodelista"/>
        <w:autoSpaceDE w:val="0"/>
        <w:autoSpaceDN w:val="0"/>
        <w:adjustRightInd w:val="0"/>
        <w:spacing w:line="360" w:lineRule="auto"/>
        <w:ind w:left="0"/>
        <w:jc w:val="both"/>
        <w:rPr>
          <w:rFonts w:ascii="Palatino Linotype" w:hAnsi="Palatino Linotype" w:cs="Arial"/>
        </w:rPr>
      </w:pPr>
      <w:r w:rsidRPr="00B319C6">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FC5BFEC" w14:textId="77777777" w:rsidR="00FF39C1" w:rsidRPr="00B319C6" w:rsidRDefault="00FF39C1" w:rsidP="00FF39C1">
      <w:pPr>
        <w:autoSpaceDE w:val="0"/>
        <w:autoSpaceDN w:val="0"/>
        <w:adjustRightInd w:val="0"/>
        <w:spacing w:line="360" w:lineRule="auto"/>
        <w:jc w:val="both"/>
        <w:rPr>
          <w:rFonts w:ascii="Palatino Linotype" w:eastAsiaTheme="minorHAnsi" w:hAnsi="Palatino Linotype" w:cs="Arial"/>
          <w:lang w:val="es-MX" w:eastAsia="en-US"/>
        </w:rPr>
      </w:pPr>
    </w:p>
    <w:p w14:paraId="6060CDF9" w14:textId="1A58B0D7" w:rsidR="00FF39C1" w:rsidRPr="00B319C6" w:rsidRDefault="00FF39C1" w:rsidP="00FF39C1">
      <w:pPr>
        <w:autoSpaceDE w:val="0"/>
        <w:autoSpaceDN w:val="0"/>
        <w:adjustRightInd w:val="0"/>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 xml:space="preserve">Señalado lo anterior es necesario hacer alusión a la solicitud de información ya que de ella deriva por un lado al procedimiento de acceso a la información ante </w:t>
      </w:r>
      <w:r w:rsidRPr="00B319C6">
        <w:rPr>
          <w:rFonts w:ascii="Palatino Linotype" w:eastAsiaTheme="minorHAnsi" w:hAnsi="Palatino Linotype" w:cs="Arial"/>
          <w:b/>
          <w:lang w:val="es-MX" w:eastAsia="en-US"/>
        </w:rPr>
        <w:t>el Sujeto Obligado</w:t>
      </w:r>
      <w:r w:rsidRPr="00B319C6">
        <w:rPr>
          <w:rFonts w:ascii="Palatino Linotype" w:eastAsiaTheme="minorHAnsi" w:hAnsi="Palatino Linotype" w:cs="Arial"/>
          <w:lang w:val="es-MX" w:eastAsia="en-US"/>
        </w:rPr>
        <w:t xml:space="preserve">,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w:t>
      </w:r>
      <w:r w:rsidR="00601557" w:rsidRPr="00B319C6">
        <w:rPr>
          <w:rFonts w:ascii="Palatino Linotype" w:eastAsiaTheme="minorHAnsi" w:hAnsi="Palatino Linotype" w:cs="Arial"/>
          <w:lang w:val="es-MX" w:eastAsia="en-US"/>
        </w:rPr>
        <w:t>la</w:t>
      </w:r>
      <w:r w:rsidRPr="00B319C6">
        <w:rPr>
          <w:rFonts w:ascii="Palatino Linotype" w:eastAsiaTheme="minorHAnsi" w:hAnsi="Palatino Linotype" w:cs="Arial"/>
          <w:lang w:val="es-MX" w:eastAsia="en-US"/>
        </w:rPr>
        <w:t xml:space="preserve"> particular objetivamente requiere.</w:t>
      </w:r>
    </w:p>
    <w:p w14:paraId="77AC4EBA" w14:textId="77777777" w:rsidR="009D7D7B" w:rsidRPr="00B319C6" w:rsidRDefault="009D7D7B" w:rsidP="009D7D7B">
      <w:pPr>
        <w:autoSpaceDE w:val="0"/>
        <w:autoSpaceDN w:val="0"/>
        <w:adjustRightInd w:val="0"/>
        <w:spacing w:line="360" w:lineRule="auto"/>
        <w:jc w:val="both"/>
        <w:rPr>
          <w:rFonts w:ascii="Palatino Linotype" w:hAnsi="Palatino Linotype" w:cs="Arial"/>
        </w:rPr>
      </w:pPr>
    </w:p>
    <w:p w14:paraId="28551A5A" w14:textId="1C5347D3" w:rsidR="009D7D7B" w:rsidRPr="00B319C6" w:rsidRDefault="009D7D7B" w:rsidP="00AA0796">
      <w:pPr>
        <w:pStyle w:val="Prrafodelista"/>
        <w:autoSpaceDE w:val="0"/>
        <w:autoSpaceDN w:val="0"/>
        <w:adjustRightInd w:val="0"/>
        <w:spacing w:line="360" w:lineRule="auto"/>
        <w:ind w:left="0"/>
        <w:jc w:val="both"/>
        <w:rPr>
          <w:rFonts w:ascii="Palatino Linotype" w:hAnsi="Palatino Linotype" w:cs="Arial"/>
        </w:rPr>
      </w:pPr>
      <w:r w:rsidRPr="00B319C6">
        <w:rPr>
          <w:rFonts w:ascii="Palatino Linotype" w:hAnsi="Palatino Linotype" w:cs="Arial"/>
        </w:rPr>
        <w:lastRenderedPageBreak/>
        <w:t xml:space="preserve">Ya que el planteamiento del problema es de toral importancia, a efecto de determinar la intención o voluntad del </w:t>
      </w:r>
      <w:r w:rsidR="002D66D5" w:rsidRPr="00B319C6">
        <w:rPr>
          <w:rFonts w:ascii="Palatino Linotype" w:hAnsi="Palatino Linotype" w:cs="Arial"/>
        </w:rPr>
        <w:t>R</w:t>
      </w:r>
      <w:r w:rsidRPr="00B319C6">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1EBD54ED" w14:textId="77777777" w:rsidR="007B1512" w:rsidRPr="00B319C6" w:rsidRDefault="007B1512" w:rsidP="00E91EE4">
      <w:pPr>
        <w:tabs>
          <w:tab w:val="left" w:pos="709"/>
        </w:tabs>
        <w:spacing w:line="360" w:lineRule="auto"/>
        <w:jc w:val="both"/>
        <w:rPr>
          <w:rFonts w:ascii="Palatino Linotype" w:hAnsi="Palatino Linotype" w:cs="Arial"/>
          <w:sz w:val="10"/>
        </w:rPr>
      </w:pPr>
    </w:p>
    <w:p w14:paraId="606FC9F3" w14:textId="37FA03D9" w:rsidR="00751C25" w:rsidRPr="00B319C6" w:rsidRDefault="00847043" w:rsidP="00E91EE4">
      <w:pPr>
        <w:pStyle w:val="Prrafodelista"/>
        <w:autoSpaceDE w:val="0"/>
        <w:autoSpaceDN w:val="0"/>
        <w:adjustRightInd w:val="0"/>
        <w:spacing w:before="240" w:after="160" w:line="360" w:lineRule="auto"/>
        <w:ind w:left="0"/>
        <w:jc w:val="both"/>
        <w:rPr>
          <w:rFonts w:ascii="Palatino Linotype" w:hAnsi="Palatino Linotype" w:cs="Arial"/>
        </w:rPr>
      </w:pPr>
      <w:r w:rsidRPr="00B319C6">
        <w:rPr>
          <w:rFonts w:ascii="Palatino Linotype" w:hAnsi="Palatino Linotype" w:cs="Arial"/>
        </w:rPr>
        <w:t xml:space="preserve">Así, tenemos en un primer plano de estudio el texto de la solicitud de información, plasmada por </w:t>
      </w:r>
      <w:r w:rsidR="00C526F3" w:rsidRPr="00B319C6">
        <w:rPr>
          <w:rFonts w:ascii="Palatino Linotype" w:hAnsi="Palatino Linotype" w:cs="Arial"/>
        </w:rPr>
        <w:t>el</w:t>
      </w:r>
      <w:r w:rsidRPr="00B319C6">
        <w:rPr>
          <w:rFonts w:ascii="Palatino Linotype" w:hAnsi="Palatino Linotype" w:cs="Arial"/>
        </w:rPr>
        <w:t xml:space="preserve"> Recurrente, ello a efecto de poder determinar la materia de la solicitud de información que nos ocupa, así el particular requiere lo siguiente</w:t>
      </w:r>
      <w:r w:rsidR="00B35972" w:rsidRPr="00B319C6">
        <w:rPr>
          <w:rFonts w:ascii="Palatino Linotype" w:hAnsi="Palatino Linotype" w:cs="Arial"/>
        </w:rPr>
        <w:t>:</w:t>
      </w:r>
    </w:p>
    <w:p w14:paraId="7DF47142" w14:textId="51373497" w:rsidR="00847043" w:rsidRPr="00B319C6" w:rsidRDefault="00A74EA8" w:rsidP="00814736">
      <w:pPr>
        <w:tabs>
          <w:tab w:val="left" w:pos="709"/>
        </w:tabs>
        <w:ind w:left="709" w:right="476"/>
        <w:jc w:val="both"/>
        <w:rPr>
          <w:rFonts w:ascii="Palatino Linotype" w:hAnsi="Palatino Linotype" w:cs="Arial"/>
          <w:i/>
          <w:lang w:eastAsia="es-MX"/>
        </w:rPr>
      </w:pPr>
      <w:r w:rsidRPr="00B319C6">
        <w:rPr>
          <w:rFonts w:ascii="Palatino Linotype" w:hAnsi="Palatino Linotype" w:cs="Arial"/>
          <w:i/>
          <w:lang w:eastAsia="es-MX"/>
        </w:rPr>
        <w:t>“</w:t>
      </w:r>
      <w:r w:rsidR="007C0A36" w:rsidRPr="00B319C6">
        <w:rPr>
          <w:rFonts w:ascii="Palatino Linotype" w:hAnsi="Palatino Linotype" w:cs="Arial"/>
          <w:i/>
          <w:lang w:eastAsia="es-MX"/>
        </w:rPr>
        <w:t xml:space="preserve">Con fundamento en el artículo 6 de la CONSTITUCIÓN POLÍTICA DE LOS ESTADOS UNIDOS MEXICANOS, atentamente requiero que en función de los principios constitucionales de máxima publicidad, transparencia, rendición de cuentas y gratuidad, me entregue a través de un medio gratuito derivado de los avances tecnológicos y en formato de documento portátil (PDF) comprimido o en diverso de naturaleza similar, la siguiente información pública documentada en el ejercicio de las facultades, competencias y funciones previstas en las normas jurídicas aplicables. 1.-Desde el año 2018 hasta la fecha, la versión publica de la nomina municipal. </w:t>
      </w:r>
      <w:r w:rsidR="00847043" w:rsidRPr="00B319C6">
        <w:rPr>
          <w:rFonts w:ascii="Palatino Linotype" w:hAnsi="Palatino Linotype" w:cs="Arial"/>
          <w:i/>
          <w:lang w:eastAsia="es-MX"/>
        </w:rPr>
        <w:t>“(sic)</w:t>
      </w:r>
    </w:p>
    <w:p w14:paraId="53638A77" w14:textId="77777777" w:rsidR="00847043" w:rsidRPr="00B319C6" w:rsidRDefault="00847043" w:rsidP="00B12105">
      <w:pPr>
        <w:spacing w:line="360" w:lineRule="auto"/>
        <w:jc w:val="both"/>
        <w:rPr>
          <w:rFonts w:ascii="Palatino Linotype" w:hAnsi="Palatino Linotype" w:cs="Arial"/>
        </w:rPr>
      </w:pPr>
    </w:p>
    <w:p w14:paraId="55DEB2AB" w14:textId="3349A548" w:rsidR="009232E7" w:rsidRPr="00B319C6" w:rsidRDefault="009232E7" w:rsidP="009232E7">
      <w:pPr>
        <w:spacing w:after="240" w:line="360" w:lineRule="auto"/>
        <w:jc w:val="both"/>
        <w:rPr>
          <w:rFonts w:ascii="Palatino Linotype" w:hAnsi="Palatino Linotype"/>
        </w:rPr>
      </w:pPr>
      <w:r w:rsidRPr="00B319C6">
        <w:rPr>
          <w:rFonts w:ascii="Palatino Linotype" w:hAnsi="Palatino Linotype"/>
        </w:rPr>
        <w:t>Una vez analizada la solicitud de información, podemos determinar que objetivamente el Recurrente peticiona</w:t>
      </w:r>
      <w:r w:rsidR="00A57ED7" w:rsidRPr="00B319C6">
        <w:rPr>
          <w:rFonts w:ascii="Palatino Linotype" w:hAnsi="Palatino Linotype"/>
        </w:rPr>
        <w:t xml:space="preserve">, </w:t>
      </w:r>
      <w:r w:rsidR="00760FCC" w:rsidRPr="00B319C6">
        <w:rPr>
          <w:rFonts w:ascii="Palatino Linotype" w:hAnsi="Palatino Linotype"/>
        </w:rPr>
        <w:t>el o los documentos en donde conste,</w:t>
      </w:r>
      <w:r w:rsidR="00293EFD" w:rsidRPr="00B319C6">
        <w:rPr>
          <w:rFonts w:ascii="Palatino Linotype" w:hAnsi="Palatino Linotype"/>
        </w:rPr>
        <w:t xml:space="preserve"> </w:t>
      </w:r>
      <w:r w:rsidRPr="00B319C6">
        <w:rPr>
          <w:rFonts w:ascii="Palatino Linotype" w:hAnsi="Palatino Linotype"/>
        </w:rPr>
        <w:t>lo siguiente:</w:t>
      </w:r>
    </w:p>
    <w:p w14:paraId="5B791C17" w14:textId="65F757B9" w:rsidR="009232E7" w:rsidRPr="00B319C6" w:rsidRDefault="007C0A36" w:rsidP="008F2868">
      <w:pPr>
        <w:pStyle w:val="Prrafodelista"/>
        <w:numPr>
          <w:ilvl w:val="0"/>
          <w:numId w:val="17"/>
        </w:numPr>
        <w:spacing w:line="360" w:lineRule="auto"/>
        <w:ind w:left="714" w:hanging="357"/>
        <w:jc w:val="both"/>
        <w:rPr>
          <w:rFonts w:ascii="Palatino Linotype" w:hAnsi="Palatino Linotype"/>
        </w:rPr>
      </w:pPr>
      <w:bookmarkStart w:id="3" w:name="_Hlk99657083"/>
      <w:r w:rsidRPr="00B319C6">
        <w:rPr>
          <w:rFonts w:ascii="Palatino Linotype" w:hAnsi="Palatino Linotype"/>
        </w:rPr>
        <w:t xml:space="preserve">Nómina </w:t>
      </w:r>
      <w:r w:rsidR="0029757B" w:rsidRPr="00B319C6">
        <w:rPr>
          <w:rFonts w:ascii="Palatino Linotype" w:hAnsi="Palatino Linotype"/>
        </w:rPr>
        <w:t>del personal adscrito al Sujeto Obligado</w:t>
      </w:r>
      <w:r w:rsidRPr="00B319C6">
        <w:rPr>
          <w:rFonts w:ascii="Palatino Linotype" w:hAnsi="Palatino Linotype"/>
        </w:rPr>
        <w:t xml:space="preserve"> emitida en el periodo que comprende del 01 de enero de 2018 al 30 de mayo de 2022.</w:t>
      </w:r>
    </w:p>
    <w:bookmarkEnd w:id="3"/>
    <w:p w14:paraId="4DFF4AA0" w14:textId="77777777" w:rsidR="009232E7" w:rsidRPr="00B319C6" w:rsidRDefault="009232E7" w:rsidP="00FF14FE">
      <w:pPr>
        <w:pStyle w:val="Prrafodelista"/>
        <w:spacing w:line="360" w:lineRule="auto"/>
        <w:ind w:left="0"/>
        <w:contextualSpacing/>
        <w:jc w:val="both"/>
        <w:rPr>
          <w:rFonts w:ascii="Palatino Linotype" w:hAnsi="Palatino Linotype"/>
          <w:color w:val="000000"/>
          <w:lang w:val="es-ES_tradnl"/>
        </w:rPr>
      </w:pPr>
    </w:p>
    <w:p w14:paraId="53F20F7A" w14:textId="2D819C27" w:rsidR="00437943" w:rsidRPr="00B319C6" w:rsidRDefault="000F5CBE" w:rsidP="00642DC5">
      <w:pPr>
        <w:pStyle w:val="Prrafodelista"/>
        <w:spacing w:line="360" w:lineRule="auto"/>
        <w:ind w:left="0"/>
        <w:contextualSpacing/>
        <w:jc w:val="both"/>
        <w:rPr>
          <w:rFonts w:ascii="Palatino Linotype" w:hAnsi="Palatino Linotype"/>
          <w:bCs/>
          <w:color w:val="000000"/>
          <w:lang w:val="es-ES_tradnl"/>
        </w:rPr>
      </w:pPr>
      <w:r w:rsidRPr="00B319C6">
        <w:rPr>
          <w:rFonts w:ascii="Palatino Linotype" w:hAnsi="Palatino Linotype"/>
          <w:color w:val="000000"/>
          <w:lang w:val="es-ES_tradnl"/>
        </w:rPr>
        <w:lastRenderedPageBreak/>
        <w:t xml:space="preserve">Ahora bien, en respuesta a los requerimientos formulados por </w:t>
      </w:r>
      <w:r w:rsidR="000117D1" w:rsidRPr="00B319C6">
        <w:rPr>
          <w:rFonts w:ascii="Palatino Linotype" w:hAnsi="Palatino Linotype"/>
          <w:color w:val="000000"/>
          <w:lang w:val="es-ES_tradnl"/>
        </w:rPr>
        <w:t>el</w:t>
      </w:r>
      <w:r w:rsidRPr="00B319C6">
        <w:rPr>
          <w:rFonts w:ascii="Palatino Linotype" w:hAnsi="Palatino Linotype"/>
          <w:color w:val="000000"/>
          <w:lang w:val="es-ES_tradnl"/>
        </w:rPr>
        <w:t xml:space="preserve"> particular, el </w:t>
      </w:r>
      <w:r w:rsidR="0025394E" w:rsidRPr="00B319C6">
        <w:rPr>
          <w:rFonts w:ascii="Palatino Linotype" w:hAnsi="Palatino Linotype"/>
          <w:b/>
          <w:color w:val="000000"/>
          <w:lang w:val="es-ES_tradnl"/>
        </w:rPr>
        <w:t>S</w:t>
      </w:r>
      <w:r w:rsidRPr="00B319C6">
        <w:rPr>
          <w:rFonts w:ascii="Palatino Linotype" w:hAnsi="Palatino Linotype"/>
          <w:b/>
          <w:color w:val="000000"/>
          <w:lang w:val="es-ES_tradnl"/>
        </w:rPr>
        <w:t xml:space="preserve">ujeto </w:t>
      </w:r>
      <w:r w:rsidR="0025394E" w:rsidRPr="00B319C6">
        <w:rPr>
          <w:rFonts w:ascii="Palatino Linotype" w:hAnsi="Palatino Linotype"/>
          <w:b/>
          <w:color w:val="000000"/>
          <w:lang w:val="es-ES_tradnl"/>
        </w:rPr>
        <w:t>O</w:t>
      </w:r>
      <w:r w:rsidRPr="00B319C6">
        <w:rPr>
          <w:rFonts w:ascii="Palatino Linotype" w:hAnsi="Palatino Linotype"/>
          <w:b/>
          <w:color w:val="000000"/>
          <w:lang w:val="es-ES_tradnl"/>
        </w:rPr>
        <w:t xml:space="preserve">bligado </w:t>
      </w:r>
      <w:r w:rsidR="008F2868" w:rsidRPr="00B319C6">
        <w:rPr>
          <w:rFonts w:ascii="Palatino Linotype" w:hAnsi="Palatino Linotype"/>
          <w:bCs/>
          <w:color w:val="000000"/>
          <w:lang w:val="es-ES_tradnl"/>
        </w:rPr>
        <w:t xml:space="preserve">turnó la solicitud </w:t>
      </w:r>
      <w:r w:rsidR="00BE7AC1" w:rsidRPr="00B319C6">
        <w:rPr>
          <w:rFonts w:ascii="Palatino Linotype" w:hAnsi="Palatino Linotype"/>
          <w:bCs/>
          <w:color w:val="000000"/>
          <w:lang w:val="es-ES_tradnl"/>
        </w:rPr>
        <w:t xml:space="preserve">de información </w:t>
      </w:r>
      <w:r w:rsidR="008F2868" w:rsidRPr="00B319C6">
        <w:rPr>
          <w:rFonts w:ascii="Palatino Linotype" w:hAnsi="Palatino Linotype"/>
          <w:bCs/>
          <w:color w:val="000000"/>
          <w:lang w:val="es-ES_tradnl"/>
        </w:rPr>
        <w:t>a la</w:t>
      </w:r>
      <w:r w:rsidR="00382978" w:rsidRPr="00B319C6">
        <w:rPr>
          <w:rFonts w:ascii="Palatino Linotype" w:hAnsi="Palatino Linotype"/>
          <w:bCs/>
          <w:color w:val="000000"/>
          <w:lang w:val="es-ES_tradnl"/>
        </w:rPr>
        <w:t>s</w:t>
      </w:r>
      <w:r w:rsidR="008F2868" w:rsidRPr="00B319C6">
        <w:rPr>
          <w:rFonts w:ascii="Palatino Linotype" w:hAnsi="Palatino Linotype"/>
          <w:bCs/>
          <w:color w:val="000000"/>
          <w:lang w:val="es-ES_tradnl"/>
        </w:rPr>
        <w:t xml:space="preserve"> unidad</w:t>
      </w:r>
      <w:r w:rsidR="00382978" w:rsidRPr="00B319C6">
        <w:rPr>
          <w:rFonts w:ascii="Palatino Linotype" w:hAnsi="Palatino Linotype"/>
          <w:bCs/>
          <w:color w:val="000000"/>
          <w:lang w:val="es-ES_tradnl"/>
        </w:rPr>
        <w:t>es</w:t>
      </w:r>
      <w:r w:rsidR="008F2868" w:rsidRPr="00B319C6">
        <w:rPr>
          <w:rFonts w:ascii="Palatino Linotype" w:hAnsi="Palatino Linotype"/>
          <w:bCs/>
          <w:color w:val="000000"/>
          <w:lang w:val="es-ES_tradnl"/>
        </w:rPr>
        <w:t xml:space="preserve"> administrativa</w:t>
      </w:r>
      <w:r w:rsidR="00382978" w:rsidRPr="00B319C6">
        <w:rPr>
          <w:rFonts w:ascii="Palatino Linotype" w:hAnsi="Palatino Linotype"/>
          <w:bCs/>
          <w:color w:val="000000"/>
          <w:lang w:val="es-ES_tradnl"/>
        </w:rPr>
        <w:t>s</w:t>
      </w:r>
      <w:r w:rsidR="008F2868" w:rsidRPr="00B319C6">
        <w:rPr>
          <w:rFonts w:ascii="Palatino Linotype" w:hAnsi="Palatino Linotype"/>
          <w:bCs/>
          <w:color w:val="000000"/>
          <w:lang w:val="es-ES_tradnl"/>
        </w:rPr>
        <w:t xml:space="preserve"> que consideró competente</w:t>
      </w:r>
      <w:r w:rsidR="00382978" w:rsidRPr="00B319C6">
        <w:rPr>
          <w:rFonts w:ascii="Palatino Linotype" w:hAnsi="Palatino Linotype"/>
          <w:bCs/>
          <w:color w:val="000000"/>
          <w:lang w:val="es-ES_tradnl"/>
        </w:rPr>
        <w:t>s</w:t>
      </w:r>
      <w:r w:rsidR="008F2868" w:rsidRPr="00B319C6">
        <w:rPr>
          <w:rFonts w:ascii="Palatino Linotype" w:hAnsi="Palatino Linotype"/>
          <w:bCs/>
          <w:color w:val="000000"/>
          <w:lang w:val="es-ES_tradnl"/>
        </w:rPr>
        <w:t xml:space="preserve"> y emitió su respuesta</w:t>
      </w:r>
      <w:r w:rsidR="0025394E" w:rsidRPr="00B319C6">
        <w:rPr>
          <w:rFonts w:ascii="Palatino Linotype" w:hAnsi="Palatino Linotype"/>
          <w:bCs/>
          <w:color w:val="000000"/>
          <w:lang w:val="es-ES_tradnl"/>
        </w:rPr>
        <w:t>,</w:t>
      </w:r>
      <w:r w:rsidR="00EC13EF" w:rsidRPr="00B319C6">
        <w:rPr>
          <w:rFonts w:ascii="Palatino Linotype" w:hAnsi="Palatino Linotype"/>
          <w:bCs/>
          <w:color w:val="000000"/>
          <w:lang w:val="es-ES_tradnl"/>
        </w:rPr>
        <w:t xml:space="preserve"> </w:t>
      </w:r>
      <w:r w:rsidR="00BE7AC1" w:rsidRPr="00B319C6">
        <w:rPr>
          <w:rFonts w:ascii="Palatino Linotype" w:hAnsi="Palatino Linotype"/>
          <w:bCs/>
          <w:color w:val="000000"/>
          <w:lang w:val="es-ES_tradnl"/>
        </w:rPr>
        <w:t xml:space="preserve">en la cual remitió </w:t>
      </w:r>
      <w:r w:rsidR="00EC13EF" w:rsidRPr="00B319C6">
        <w:rPr>
          <w:rFonts w:ascii="Palatino Linotype" w:hAnsi="Palatino Linotype"/>
          <w:bCs/>
          <w:color w:val="000000"/>
          <w:lang w:val="es-ES_tradnl"/>
        </w:rPr>
        <w:t>únicamente</w:t>
      </w:r>
      <w:r w:rsidR="008F2868" w:rsidRPr="00B319C6">
        <w:rPr>
          <w:rFonts w:ascii="Palatino Linotype" w:hAnsi="Palatino Linotype"/>
          <w:bCs/>
          <w:color w:val="000000"/>
          <w:lang w:val="es-ES_tradnl"/>
        </w:rPr>
        <w:t xml:space="preserve"> </w:t>
      </w:r>
      <w:r w:rsidR="00EC13EF" w:rsidRPr="00B319C6">
        <w:rPr>
          <w:rFonts w:ascii="Palatino Linotype" w:hAnsi="Palatino Linotype"/>
          <w:bCs/>
          <w:color w:val="000000"/>
          <w:lang w:val="es-ES_tradnl"/>
        </w:rPr>
        <w:t>el oficio</w:t>
      </w:r>
      <w:r w:rsidR="00BE7AC1" w:rsidRPr="00B319C6">
        <w:rPr>
          <w:rFonts w:ascii="Palatino Linotype" w:hAnsi="Palatino Linotype"/>
          <w:bCs/>
          <w:color w:val="000000"/>
          <w:lang w:val="es-ES_tradnl"/>
        </w:rPr>
        <w:t xml:space="preserve"> número </w:t>
      </w:r>
      <w:r w:rsidR="00EC13EF" w:rsidRPr="00B319C6">
        <w:rPr>
          <w:rFonts w:ascii="Palatino Linotype" w:hAnsi="Palatino Linotype"/>
          <w:bCs/>
          <w:color w:val="000000"/>
          <w:lang w:val="es-ES_tradnl"/>
        </w:rPr>
        <w:t xml:space="preserve"> NEZ/867/UTAIPM/2022 mediante el cual hace del conocimiento al Presidente Municipal que la Dirección de Administración no ha emitido respuesta a la solicitud de información turnada, así como, el exhorto para dar cumplimiento al Servidor Público Habilitado de la Dirección de Administración, emitido por la Secretaria Particular de Presidencia, mediante el oficio </w:t>
      </w:r>
      <w:r w:rsidR="00BE7AC1" w:rsidRPr="00B319C6">
        <w:rPr>
          <w:rFonts w:ascii="Palatino Linotype" w:hAnsi="Palatino Linotype"/>
          <w:bCs/>
          <w:color w:val="000000"/>
          <w:lang w:val="es-ES_tradnl"/>
        </w:rPr>
        <w:t xml:space="preserve">número </w:t>
      </w:r>
      <w:r w:rsidR="00EC13EF" w:rsidRPr="00B319C6">
        <w:rPr>
          <w:rFonts w:ascii="Palatino Linotype" w:hAnsi="Palatino Linotype"/>
          <w:bCs/>
          <w:color w:val="000000"/>
          <w:lang w:val="es-ES_tradnl"/>
        </w:rPr>
        <w:t>SP/NEZA/03434/2022.</w:t>
      </w:r>
    </w:p>
    <w:p w14:paraId="67188ED4" w14:textId="77777777" w:rsidR="00437943" w:rsidRPr="00B319C6" w:rsidRDefault="00437943" w:rsidP="00642DC5">
      <w:pPr>
        <w:pStyle w:val="Prrafodelista"/>
        <w:spacing w:line="360" w:lineRule="auto"/>
        <w:ind w:left="0"/>
        <w:contextualSpacing/>
        <w:jc w:val="both"/>
        <w:rPr>
          <w:rFonts w:ascii="Palatino Linotype" w:hAnsi="Palatino Linotype"/>
          <w:bCs/>
          <w:color w:val="000000"/>
          <w:lang w:val="es-ES_tradnl"/>
        </w:rPr>
      </w:pPr>
    </w:p>
    <w:p w14:paraId="426234A2" w14:textId="09F41C53" w:rsidR="002D1630" w:rsidRPr="00B319C6" w:rsidRDefault="00BF390A" w:rsidP="00EC13EF">
      <w:pPr>
        <w:spacing w:before="120" w:after="120" w:line="360" w:lineRule="auto"/>
        <w:jc w:val="both"/>
        <w:rPr>
          <w:rFonts w:ascii="Palatino Linotype" w:hAnsi="Palatino Linotype" w:cs="Arial"/>
        </w:rPr>
      </w:pPr>
      <w:r w:rsidRPr="00B319C6">
        <w:rPr>
          <w:rFonts w:ascii="Palatino Linotype" w:hAnsi="Palatino Linotype" w:cs="Arial"/>
        </w:rPr>
        <w:t>Ante la respuesta emitida</w:t>
      </w:r>
      <w:r w:rsidR="00BE7AC1" w:rsidRPr="00B319C6">
        <w:rPr>
          <w:rFonts w:ascii="Palatino Linotype" w:hAnsi="Palatino Linotype" w:cs="Arial"/>
        </w:rPr>
        <w:t xml:space="preserve"> por el Sujeto Obligado</w:t>
      </w:r>
      <w:r w:rsidRPr="00B319C6">
        <w:rPr>
          <w:rFonts w:ascii="Palatino Linotype" w:hAnsi="Palatino Linotype" w:cs="Arial"/>
        </w:rPr>
        <w:t xml:space="preserve">, el particular interpuso el presente recurso de revisión </w:t>
      </w:r>
      <w:r w:rsidR="00FE343A" w:rsidRPr="00B319C6">
        <w:rPr>
          <w:rFonts w:ascii="Palatino Linotype" w:hAnsi="Palatino Linotype" w:cs="Arial"/>
        </w:rPr>
        <w:t>manifestando</w:t>
      </w:r>
      <w:r w:rsidR="002D7107" w:rsidRPr="00B319C6">
        <w:rPr>
          <w:rFonts w:ascii="Palatino Linotype" w:hAnsi="Palatino Linotype" w:cs="Arial"/>
        </w:rPr>
        <w:t xml:space="preserve"> </w:t>
      </w:r>
      <w:r w:rsidRPr="00B319C6">
        <w:rPr>
          <w:rFonts w:ascii="Palatino Linotype" w:hAnsi="Palatino Linotype" w:cs="Arial"/>
        </w:rPr>
        <w:t xml:space="preserve">como </w:t>
      </w:r>
      <w:r w:rsidR="00EC13EF" w:rsidRPr="00B319C6">
        <w:rPr>
          <w:rFonts w:ascii="Palatino Linotype" w:hAnsi="Palatino Linotype" w:cs="Arial"/>
        </w:rPr>
        <w:t>razones o motivos de inconformidad,</w:t>
      </w:r>
      <w:r w:rsidR="000E269D" w:rsidRPr="00B319C6">
        <w:rPr>
          <w:rFonts w:ascii="Palatino Linotype" w:hAnsi="Palatino Linotype" w:cs="Arial"/>
        </w:rPr>
        <w:t xml:space="preserve"> </w:t>
      </w:r>
      <w:r w:rsidR="00EC13EF" w:rsidRPr="00B319C6">
        <w:rPr>
          <w:rFonts w:ascii="Palatino Linotype" w:hAnsi="Palatino Linotype" w:cs="Arial"/>
        </w:rPr>
        <w:t xml:space="preserve">medularmente </w:t>
      </w:r>
      <w:r w:rsidR="000E269D" w:rsidRPr="00B319C6">
        <w:rPr>
          <w:rFonts w:ascii="Palatino Linotype" w:hAnsi="Palatino Linotype" w:cs="Arial"/>
        </w:rPr>
        <w:t>que “</w:t>
      </w:r>
      <w:r w:rsidR="00EC13EF" w:rsidRPr="00B319C6">
        <w:rPr>
          <w:rFonts w:ascii="Palatino Linotype" w:hAnsi="Palatino Linotype" w:cs="Arial"/>
          <w:i/>
          <w:iCs/>
        </w:rPr>
        <w:t>el sujeto obligado con máxima opacidad entrega información que no corresponde con lo peticionado. Lo anterior toda vez que no se requiere las gestiones realizadas por la Unidad de Transparencia, sino las respectivas versiones publicas de la nomina municipal.</w:t>
      </w:r>
      <w:r w:rsidR="00311AA7" w:rsidRPr="00B319C6">
        <w:rPr>
          <w:rFonts w:ascii="Palatino Linotype" w:hAnsi="Palatino Linotype" w:cs="Arial"/>
        </w:rPr>
        <w:t>”</w:t>
      </w:r>
      <w:r w:rsidR="00893D32" w:rsidRPr="00B319C6">
        <w:rPr>
          <w:rFonts w:ascii="Palatino Linotype" w:hAnsi="Palatino Linotype" w:cs="Arial"/>
        </w:rPr>
        <w:t xml:space="preserve"> </w:t>
      </w:r>
      <w:r w:rsidR="00893D32" w:rsidRPr="00B319C6">
        <w:rPr>
          <w:rFonts w:ascii="Palatino Linotype" w:hAnsi="Palatino Linotype" w:cs="Arial"/>
          <w:i/>
          <w:iCs/>
        </w:rPr>
        <w:t>(Sic)</w:t>
      </w:r>
      <w:r w:rsidR="00311AA7" w:rsidRPr="00B319C6">
        <w:rPr>
          <w:rFonts w:ascii="Palatino Linotype" w:hAnsi="Palatino Linotype" w:cs="Arial"/>
          <w:i/>
          <w:iCs/>
        </w:rPr>
        <w:t>.</w:t>
      </w:r>
    </w:p>
    <w:p w14:paraId="5B490D8B" w14:textId="77777777" w:rsidR="00AE3751" w:rsidRPr="00B319C6" w:rsidRDefault="00AE3751" w:rsidP="0040778F">
      <w:pPr>
        <w:tabs>
          <w:tab w:val="left" w:pos="709"/>
        </w:tabs>
        <w:spacing w:line="360" w:lineRule="auto"/>
        <w:ind w:right="51"/>
        <w:jc w:val="both"/>
        <w:rPr>
          <w:rFonts w:ascii="Palatino Linotype" w:hAnsi="Palatino Linotype" w:cs="Arial"/>
        </w:rPr>
      </w:pPr>
    </w:p>
    <w:p w14:paraId="64425BF3" w14:textId="0992AED0" w:rsidR="00303385" w:rsidRPr="00B319C6" w:rsidRDefault="00303385" w:rsidP="0040778F">
      <w:pPr>
        <w:tabs>
          <w:tab w:val="left" w:pos="709"/>
        </w:tabs>
        <w:spacing w:line="360" w:lineRule="auto"/>
        <w:ind w:right="51"/>
        <w:jc w:val="both"/>
        <w:rPr>
          <w:rFonts w:ascii="Palatino Linotype" w:hAnsi="Palatino Linotype" w:cs="Arial"/>
        </w:rPr>
      </w:pPr>
      <w:r w:rsidRPr="00B319C6">
        <w:rPr>
          <w:rFonts w:ascii="Palatino Linotype" w:hAnsi="Palatino Linotype" w:cs="Arial"/>
        </w:rPr>
        <w:t xml:space="preserve">Bajo las premisas anteriores, se concluye que en la especie será motivo de análisis si efectivamente, la respuesta otorgada por parte del </w:t>
      </w:r>
      <w:r w:rsidRPr="00B319C6">
        <w:rPr>
          <w:rFonts w:ascii="Palatino Linotype" w:hAnsi="Palatino Linotype" w:cs="Arial"/>
          <w:b/>
        </w:rPr>
        <w:t>Sujeto Obligado</w:t>
      </w:r>
      <w:r w:rsidRPr="00B319C6">
        <w:rPr>
          <w:rFonts w:ascii="Palatino Linotype" w:hAnsi="Palatino Linotype" w:cs="Arial"/>
        </w:rPr>
        <w:t xml:space="preserve"> satisface los requisitos establecidos por la Ley de la materia.</w:t>
      </w:r>
    </w:p>
    <w:p w14:paraId="49FFC52D" w14:textId="77777777" w:rsidR="0040778F" w:rsidRPr="00B319C6" w:rsidRDefault="0040778F" w:rsidP="0040778F">
      <w:pPr>
        <w:tabs>
          <w:tab w:val="left" w:pos="709"/>
        </w:tabs>
        <w:spacing w:line="360" w:lineRule="auto"/>
        <w:ind w:right="51"/>
        <w:jc w:val="both"/>
        <w:rPr>
          <w:rFonts w:ascii="Palatino Linotype" w:hAnsi="Palatino Linotype" w:cs="Arial"/>
        </w:rPr>
      </w:pPr>
    </w:p>
    <w:p w14:paraId="571DB8BD" w14:textId="6B0F3F6B" w:rsidR="00303385" w:rsidRPr="00B319C6" w:rsidRDefault="00303385" w:rsidP="00303385">
      <w:pPr>
        <w:autoSpaceDE w:val="0"/>
        <w:autoSpaceDN w:val="0"/>
        <w:adjustRightInd w:val="0"/>
        <w:spacing w:after="240" w:line="360" w:lineRule="auto"/>
        <w:ind w:right="-91"/>
        <w:jc w:val="both"/>
        <w:rPr>
          <w:rFonts w:ascii="Palatino Linotype" w:hAnsi="Palatino Linotype" w:cs="Arial"/>
          <w:color w:val="000000"/>
        </w:rPr>
      </w:pPr>
      <w:r w:rsidRPr="00B319C6">
        <w:rPr>
          <w:rFonts w:ascii="Palatino Linotype" w:hAnsi="Palatino Linotype" w:cs="Arial"/>
          <w:color w:val="000000"/>
        </w:rPr>
        <w:t xml:space="preserve">Ahora bien, 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w:t>
      </w:r>
      <w:r w:rsidRPr="00B319C6">
        <w:rPr>
          <w:rFonts w:ascii="Palatino Linotype" w:hAnsi="Palatino Linotype" w:cs="Arial"/>
          <w:color w:val="000000"/>
        </w:rPr>
        <w:lastRenderedPageBreak/>
        <w:t>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A45077F" w14:textId="77777777" w:rsidR="00303385" w:rsidRPr="00B319C6" w:rsidRDefault="00303385" w:rsidP="00303385">
      <w:pPr>
        <w:spacing w:after="240"/>
        <w:ind w:left="851" w:right="851"/>
        <w:jc w:val="both"/>
        <w:rPr>
          <w:rFonts w:ascii="Palatino Linotype" w:hAnsi="Palatino Linotype" w:cs="Arial"/>
          <w:bCs/>
          <w:i/>
        </w:rPr>
      </w:pPr>
      <w:r w:rsidRPr="00B319C6">
        <w:rPr>
          <w:rFonts w:ascii="Palatino Linotype" w:hAnsi="Palatino Linotype" w:cs="Arial"/>
          <w:bCs/>
          <w:i/>
        </w:rPr>
        <w:t>“</w:t>
      </w:r>
      <w:r w:rsidRPr="00B319C6">
        <w:rPr>
          <w:rFonts w:ascii="Palatino Linotype" w:hAnsi="Palatino Linotype" w:cs="Arial"/>
          <w:b/>
          <w:bCs/>
          <w:i/>
        </w:rPr>
        <w:t>Artículo 6</w:t>
      </w:r>
    </w:p>
    <w:p w14:paraId="353D6F00" w14:textId="77777777" w:rsidR="00303385" w:rsidRPr="00B319C6" w:rsidRDefault="00303385" w:rsidP="00303385">
      <w:pPr>
        <w:ind w:left="851" w:right="851"/>
        <w:jc w:val="both"/>
        <w:rPr>
          <w:rFonts w:ascii="Palatino Linotype" w:hAnsi="Palatino Linotype" w:cs="Arial"/>
          <w:bCs/>
          <w:i/>
        </w:rPr>
      </w:pPr>
      <w:r w:rsidRPr="00B319C6">
        <w:rPr>
          <w:rFonts w:ascii="Palatino Linotype" w:hAnsi="Palatino Linotype" w:cs="Arial"/>
          <w:bCs/>
          <w:i/>
        </w:rPr>
        <w:t>…</w:t>
      </w:r>
    </w:p>
    <w:p w14:paraId="10D82101" w14:textId="77777777" w:rsidR="00303385" w:rsidRPr="00B319C6" w:rsidRDefault="00303385" w:rsidP="00303385">
      <w:pPr>
        <w:ind w:left="851" w:right="851"/>
        <w:jc w:val="both"/>
        <w:rPr>
          <w:rFonts w:ascii="Palatino Linotype" w:hAnsi="Palatino Linotype" w:cs="Arial"/>
          <w:bCs/>
          <w:i/>
        </w:rPr>
      </w:pPr>
      <w:r w:rsidRPr="00B319C6">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4E76DA36" w14:textId="77777777" w:rsidR="00303385" w:rsidRPr="00B319C6" w:rsidRDefault="00303385" w:rsidP="00303385">
      <w:pPr>
        <w:ind w:left="851" w:right="851"/>
        <w:jc w:val="both"/>
        <w:rPr>
          <w:rFonts w:ascii="Palatino Linotype" w:hAnsi="Palatino Linotype" w:cs="Arial"/>
          <w:bCs/>
          <w:i/>
        </w:rPr>
      </w:pPr>
    </w:p>
    <w:p w14:paraId="409E21F5" w14:textId="77777777" w:rsidR="00303385" w:rsidRPr="00B319C6" w:rsidRDefault="00303385" w:rsidP="00303385">
      <w:pPr>
        <w:tabs>
          <w:tab w:val="left" w:pos="709"/>
        </w:tabs>
        <w:ind w:left="851" w:right="851"/>
        <w:jc w:val="both"/>
        <w:rPr>
          <w:rFonts w:ascii="Palatino Linotype" w:hAnsi="Palatino Linotype" w:cs="Arial"/>
          <w:bCs/>
          <w:i/>
        </w:rPr>
      </w:pPr>
      <w:r w:rsidRPr="00B319C6">
        <w:rPr>
          <w:rFonts w:ascii="Palatino Linotype" w:hAnsi="Palatino Linotype" w:cs="Arial"/>
          <w:bCs/>
          <w:i/>
        </w:rPr>
        <w:t xml:space="preserve">I. </w:t>
      </w:r>
      <w:r w:rsidRPr="00B319C6">
        <w:rPr>
          <w:rFonts w:ascii="Palatino Linotype" w:hAnsi="Palatino Linotype" w:cs="Arial"/>
          <w:bCs/>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8993C4" w14:textId="77777777" w:rsidR="00303385" w:rsidRPr="00B319C6" w:rsidRDefault="00303385" w:rsidP="00303385">
      <w:pPr>
        <w:tabs>
          <w:tab w:val="left" w:pos="709"/>
        </w:tabs>
        <w:spacing w:line="480" w:lineRule="auto"/>
        <w:jc w:val="both"/>
        <w:rPr>
          <w:rFonts w:ascii="Palatino Linotype" w:hAnsi="Palatino Linotype" w:cs="Arial"/>
        </w:rPr>
      </w:pPr>
    </w:p>
    <w:p w14:paraId="71F67EEC" w14:textId="77777777" w:rsidR="00303385" w:rsidRPr="00B319C6" w:rsidRDefault="00303385" w:rsidP="00303385">
      <w:pPr>
        <w:tabs>
          <w:tab w:val="left" w:pos="709"/>
        </w:tabs>
        <w:spacing w:line="360" w:lineRule="auto"/>
        <w:jc w:val="both"/>
        <w:rPr>
          <w:rFonts w:ascii="Palatino Linotype" w:hAnsi="Palatino Linotype" w:cs="Arial"/>
        </w:rPr>
      </w:pPr>
      <w:r w:rsidRPr="00B319C6">
        <w:rPr>
          <w:rFonts w:ascii="Palatino Linotype" w:hAnsi="Palatino Linotype" w:cs="Arial"/>
        </w:rPr>
        <w:t xml:space="preserve">Ahora bien, en atención a lo dispuesto por los artículos 3, fracción XI y 12 </w:t>
      </w:r>
      <w:r w:rsidRPr="00B319C6">
        <w:rPr>
          <w:rFonts w:ascii="Palatino Linotype" w:hAnsi="Palatino Linotype" w:cs="Arial"/>
          <w:bCs/>
        </w:rPr>
        <w:t>de la Ley de Transparencia y Acceso a la Información Pública del Estado de México y Municipios</w:t>
      </w:r>
      <w:r w:rsidRPr="00B319C6">
        <w:rPr>
          <w:rFonts w:ascii="Palatino Linotype" w:hAnsi="Palatino Linotype" w:cs="Arial"/>
        </w:rPr>
        <w:t>, los cuales son del tenor literal siguiente:</w:t>
      </w:r>
    </w:p>
    <w:p w14:paraId="187010D5" w14:textId="77777777" w:rsidR="00303385" w:rsidRPr="00B319C6" w:rsidRDefault="00303385" w:rsidP="00303385">
      <w:pPr>
        <w:tabs>
          <w:tab w:val="left" w:pos="709"/>
        </w:tabs>
        <w:spacing w:line="360" w:lineRule="auto"/>
        <w:jc w:val="both"/>
        <w:rPr>
          <w:rFonts w:ascii="Palatino Linotype" w:hAnsi="Palatino Linotype" w:cs="Arial"/>
        </w:rPr>
      </w:pPr>
    </w:p>
    <w:p w14:paraId="1E4280D7" w14:textId="77777777" w:rsidR="00303385" w:rsidRPr="00B319C6" w:rsidRDefault="00303385" w:rsidP="00303385">
      <w:pPr>
        <w:ind w:left="851" w:right="851"/>
        <w:jc w:val="both"/>
        <w:rPr>
          <w:rFonts w:ascii="Palatino Linotype" w:hAnsi="Palatino Linotype" w:cs="Arial"/>
          <w:i/>
        </w:rPr>
      </w:pPr>
      <w:r w:rsidRPr="00B319C6">
        <w:rPr>
          <w:rFonts w:ascii="Palatino Linotype" w:hAnsi="Palatino Linotype" w:cs="Arial"/>
          <w:b/>
          <w:bCs/>
          <w:i/>
        </w:rPr>
        <w:t xml:space="preserve">“Artículo 3.- </w:t>
      </w:r>
      <w:r w:rsidRPr="00B319C6">
        <w:rPr>
          <w:rFonts w:ascii="Palatino Linotype" w:hAnsi="Palatino Linotype" w:cs="Arial"/>
          <w:i/>
        </w:rPr>
        <w:t>Para los efectos de la presente Ley se entenderá por:</w:t>
      </w:r>
    </w:p>
    <w:p w14:paraId="78557A30" w14:textId="77777777" w:rsidR="00303385" w:rsidRPr="00B319C6" w:rsidRDefault="00303385" w:rsidP="00303385">
      <w:pPr>
        <w:ind w:left="851" w:right="851"/>
        <w:jc w:val="both"/>
        <w:rPr>
          <w:rFonts w:ascii="Palatino Linotype" w:hAnsi="Palatino Linotype" w:cs="Arial"/>
          <w:i/>
        </w:rPr>
      </w:pPr>
      <w:r w:rsidRPr="00B319C6">
        <w:rPr>
          <w:rFonts w:ascii="Palatino Linotype" w:hAnsi="Palatino Linotype" w:cs="Arial"/>
          <w:i/>
        </w:rPr>
        <w:lastRenderedPageBreak/>
        <w:t>…</w:t>
      </w:r>
    </w:p>
    <w:p w14:paraId="023D8B96" w14:textId="77777777" w:rsidR="00303385" w:rsidRPr="00B319C6" w:rsidRDefault="00303385" w:rsidP="00303385">
      <w:pPr>
        <w:ind w:left="851" w:right="851"/>
        <w:jc w:val="both"/>
        <w:rPr>
          <w:rFonts w:ascii="Palatino Linotype" w:hAnsi="Palatino Linotype" w:cs="Arial"/>
          <w:i/>
        </w:rPr>
      </w:pPr>
      <w:r w:rsidRPr="00B319C6">
        <w:rPr>
          <w:rFonts w:ascii="Palatino Linotype" w:hAnsi="Palatino Linotype" w:cs="Arial"/>
          <w:b/>
          <w:i/>
        </w:rPr>
        <w:t>XI.</w:t>
      </w:r>
      <w:r w:rsidRPr="00B319C6">
        <w:rPr>
          <w:rFonts w:ascii="Palatino Linotype" w:hAnsi="Palatino Linotype" w:cs="Arial"/>
          <w:i/>
        </w:rPr>
        <w:t xml:space="preserve"> </w:t>
      </w:r>
      <w:r w:rsidRPr="00B319C6">
        <w:rPr>
          <w:rFonts w:ascii="Palatino Linotype" w:hAnsi="Palatino Linotype" w:cs="Arial"/>
          <w:b/>
          <w:i/>
        </w:rPr>
        <w:t>Documento:</w:t>
      </w:r>
      <w:r w:rsidRPr="00B319C6">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B319C6">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B319C6">
        <w:rPr>
          <w:rFonts w:ascii="Palatino Linotype" w:hAnsi="Palatino Linotype" w:cs="Arial"/>
          <w:i/>
        </w:rPr>
        <w:t xml:space="preserve"> Los documentos podrán estar en cualquier medio, sea escrito, impreso, sonoro, visual, electrónico, informático u holográfico;</w:t>
      </w:r>
    </w:p>
    <w:p w14:paraId="0E20AE9F" w14:textId="77777777" w:rsidR="00303385" w:rsidRPr="00B319C6" w:rsidRDefault="00303385" w:rsidP="00303385">
      <w:pPr>
        <w:ind w:left="851" w:right="851"/>
        <w:jc w:val="both"/>
        <w:rPr>
          <w:rFonts w:ascii="Palatino Linotype" w:hAnsi="Palatino Linotype" w:cs="Arial"/>
          <w:i/>
        </w:rPr>
      </w:pPr>
    </w:p>
    <w:p w14:paraId="16D7B4ED" w14:textId="77777777" w:rsidR="00303385" w:rsidRPr="00B319C6" w:rsidRDefault="00303385" w:rsidP="00303385">
      <w:pPr>
        <w:autoSpaceDE w:val="0"/>
        <w:autoSpaceDN w:val="0"/>
        <w:adjustRightInd w:val="0"/>
        <w:ind w:left="851" w:right="851"/>
        <w:jc w:val="both"/>
        <w:rPr>
          <w:rFonts w:ascii="Palatino Linotype" w:hAnsi="Palatino Linotype" w:cs="Arial"/>
          <w:bCs/>
          <w:i/>
        </w:rPr>
      </w:pPr>
      <w:r w:rsidRPr="00B319C6">
        <w:rPr>
          <w:rFonts w:ascii="Palatino Linotype" w:hAnsi="Palatino Linotype" w:cs="Arial"/>
          <w:b/>
          <w:bCs/>
          <w:i/>
        </w:rPr>
        <w:t>Artículo 4.</w:t>
      </w:r>
      <w:r w:rsidRPr="00B319C6">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44A430" w14:textId="77777777" w:rsidR="00303385" w:rsidRPr="00B319C6" w:rsidRDefault="00303385" w:rsidP="00303385">
      <w:pPr>
        <w:autoSpaceDE w:val="0"/>
        <w:autoSpaceDN w:val="0"/>
        <w:adjustRightInd w:val="0"/>
        <w:ind w:left="851" w:right="851"/>
        <w:jc w:val="both"/>
        <w:rPr>
          <w:rFonts w:ascii="Palatino Linotype" w:hAnsi="Palatino Linotype" w:cs="Arial"/>
          <w:bCs/>
          <w:i/>
        </w:rPr>
      </w:pPr>
      <w:r w:rsidRPr="00B319C6">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B319C6">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5BB934" w14:textId="77777777" w:rsidR="00303385" w:rsidRPr="00B319C6" w:rsidRDefault="00303385" w:rsidP="00303385">
      <w:pPr>
        <w:autoSpaceDE w:val="0"/>
        <w:autoSpaceDN w:val="0"/>
        <w:adjustRightInd w:val="0"/>
        <w:ind w:left="851" w:right="851"/>
        <w:jc w:val="both"/>
        <w:rPr>
          <w:rFonts w:ascii="Palatino Linotype" w:hAnsi="Palatino Linotype" w:cs="Arial"/>
          <w:bCs/>
          <w:i/>
        </w:rPr>
      </w:pPr>
      <w:r w:rsidRPr="00B319C6">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79DCCBCA" w14:textId="77777777" w:rsidR="00303385" w:rsidRPr="00B319C6" w:rsidRDefault="00303385" w:rsidP="00303385">
      <w:pPr>
        <w:ind w:left="851" w:right="851"/>
        <w:jc w:val="both"/>
        <w:rPr>
          <w:rFonts w:ascii="Palatino Linotype" w:hAnsi="Palatino Linotype" w:cs="Arial"/>
          <w:i/>
        </w:rPr>
      </w:pPr>
    </w:p>
    <w:p w14:paraId="268304A9" w14:textId="77777777" w:rsidR="00303385" w:rsidRPr="00B319C6" w:rsidRDefault="00303385" w:rsidP="00303385">
      <w:pPr>
        <w:ind w:left="851" w:right="851"/>
        <w:jc w:val="both"/>
        <w:rPr>
          <w:rFonts w:ascii="Palatino Linotype" w:hAnsi="Palatino Linotype" w:cs="Arial"/>
          <w:i/>
        </w:rPr>
      </w:pPr>
      <w:r w:rsidRPr="00B319C6">
        <w:rPr>
          <w:rFonts w:ascii="Palatino Linotype" w:hAnsi="Palatino Linotype" w:cs="Arial"/>
          <w:b/>
          <w:i/>
        </w:rPr>
        <w:t>Artículo 12.</w:t>
      </w:r>
      <w:r w:rsidRPr="00B319C6">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B56A00A" w14:textId="77777777" w:rsidR="00303385" w:rsidRPr="00B319C6" w:rsidRDefault="00303385" w:rsidP="00303385">
      <w:pPr>
        <w:ind w:left="851" w:right="851"/>
        <w:jc w:val="both"/>
        <w:rPr>
          <w:rFonts w:ascii="Palatino Linotype" w:hAnsi="Palatino Linotype" w:cs="Arial"/>
          <w:i/>
        </w:rPr>
      </w:pPr>
    </w:p>
    <w:p w14:paraId="15464E8A" w14:textId="77777777" w:rsidR="00303385" w:rsidRPr="00B319C6" w:rsidRDefault="00303385" w:rsidP="00303385">
      <w:pPr>
        <w:ind w:left="851" w:right="851"/>
        <w:jc w:val="both"/>
        <w:rPr>
          <w:rFonts w:ascii="Palatino Linotype" w:hAnsi="Palatino Linotype" w:cs="Arial"/>
          <w:i/>
          <w:u w:val="single"/>
        </w:rPr>
      </w:pPr>
      <w:r w:rsidRPr="00B319C6">
        <w:rPr>
          <w:rFonts w:ascii="Palatino Linotype" w:hAnsi="Palatino Linotype" w:cs="Arial"/>
          <w:b/>
          <w:i/>
          <w:u w:val="single"/>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w:t>
      </w:r>
      <w:r w:rsidRPr="00B319C6">
        <w:rPr>
          <w:rFonts w:ascii="Palatino Linotype" w:hAnsi="Palatino Linotype" w:cs="Arial"/>
          <w:b/>
          <w:i/>
          <w:u w:val="single"/>
        </w:rPr>
        <w:lastRenderedPageBreak/>
        <w:t>solicitante; no estarán obligados a generarla, resumirla, efectuar cálculos o practicar investigaciones</w:t>
      </w:r>
      <w:r w:rsidRPr="00B319C6">
        <w:rPr>
          <w:rFonts w:ascii="Palatino Linotype" w:hAnsi="Palatino Linotype" w:cs="Arial"/>
          <w:i/>
        </w:rPr>
        <w:t>.”</w:t>
      </w:r>
    </w:p>
    <w:p w14:paraId="453FD2BC" w14:textId="77777777" w:rsidR="00303385" w:rsidRPr="00B319C6" w:rsidRDefault="00303385" w:rsidP="00303385">
      <w:pPr>
        <w:ind w:left="851" w:right="851"/>
        <w:jc w:val="right"/>
        <w:rPr>
          <w:rFonts w:ascii="Palatino Linotype" w:hAnsi="Palatino Linotype" w:cs="Arial"/>
        </w:rPr>
      </w:pPr>
    </w:p>
    <w:p w14:paraId="3C843E87" w14:textId="77777777" w:rsidR="00303385" w:rsidRPr="00B319C6" w:rsidRDefault="00303385" w:rsidP="00303385">
      <w:pPr>
        <w:ind w:left="851" w:right="851"/>
        <w:jc w:val="right"/>
        <w:rPr>
          <w:rFonts w:ascii="Palatino Linotype" w:hAnsi="Palatino Linotype" w:cs="Arial"/>
        </w:rPr>
      </w:pPr>
      <w:r w:rsidRPr="00B319C6">
        <w:rPr>
          <w:rFonts w:ascii="Palatino Linotype" w:hAnsi="Palatino Linotype" w:cs="Arial"/>
        </w:rPr>
        <w:t>[Énfasis añadido]</w:t>
      </w:r>
    </w:p>
    <w:p w14:paraId="385F9EC7" w14:textId="77777777" w:rsidR="00303385" w:rsidRPr="00B319C6" w:rsidRDefault="00303385" w:rsidP="00303385">
      <w:pPr>
        <w:ind w:left="851" w:right="851"/>
        <w:jc w:val="right"/>
        <w:rPr>
          <w:rFonts w:ascii="Palatino Linotype" w:hAnsi="Palatino Linotype" w:cs="Arial"/>
        </w:rPr>
      </w:pPr>
    </w:p>
    <w:p w14:paraId="6A9B2013" w14:textId="69AC8F7D" w:rsidR="00303385" w:rsidRPr="00B319C6" w:rsidRDefault="00303385" w:rsidP="00303385">
      <w:pPr>
        <w:spacing w:line="360" w:lineRule="auto"/>
        <w:jc w:val="both"/>
        <w:rPr>
          <w:rFonts w:ascii="Palatino Linotype" w:hAnsi="Palatino Linotype" w:cs="Arial"/>
        </w:rPr>
      </w:pPr>
      <w:r w:rsidRPr="00B319C6">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EC003F0" w14:textId="0763F4D8" w:rsidR="004041CE" w:rsidRPr="00B319C6" w:rsidRDefault="004041CE" w:rsidP="00303385">
      <w:pPr>
        <w:spacing w:line="360" w:lineRule="auto"/>
        <w:jc w:val="both"/>
        <w:rPr>
          <w:rFonts w:ascii="Palatino Linotype" w:eastAsia="Calibri" w:hAnsi="Palatino Linotype"/>
          <w:lang w:val="es-MX" w:eastAsia="en-US"/>
        </w:rPr>
      </w:pPr>
    </w:p>
    <w:p w14:paraId="0D1F3A63" w14:textId="77777777" w:rsidR="00905A21" w:rsidRPr="00B319C6" w:rsidRDefault="00905A21" w:rsidP="00905A21">
      <w:pPr>
        <w:tabs>
          <w:tab w:val="left" w:pos="709"/>
        </w:tabs>
        <w:spacing w:line="360" w:lineRule="auto"/>
        <w:ind w:right="51"/>
        <w:jc w:val="both"/>
        <w:rPr>
          <w:rFonts w:ascii="Palatino Linotype" w:hAnsi="Palatino Linotype" w:cs="Arial"/>
        </w:rPr>
      </w:pPr>
      <w:r w:rsidRPr="00B319C6">
        <w:rPr>
          <w:rFonts w:ascii="Palatino Linotype" w:hAnsi="Palatino Linotype" w:cs="Arial"/>
        </w:rPr>
        <w:t xml:space="preserve">Bajo las premisas anteriores, se concluye que en la especie será motivo de análisis si efectivamente, la respuesta otorgada por parte del </w:t>
      </w:r>
      <w:r w:rsidRPr="00B319C6">
        <w:rPr>
          <w:rFonts w:ascii="Palatino Linotype" w:hAnsi="Palatino Linotype" w:cs="Arial"/>
          <w:b/>
        </w:rPr>
        <w:t>Sujeto Obligado</w:t>
      </w:r>
      <w:r w:rsidRPr="00B319C6">
        <w:rPr>
          <w:rFonts w:ascii="Palatino Linotype" w:hAnsi="Palatino Linotype" w:cs="Arial"/>
        </w:rPr>
        <w:t xml:space="preserve"> satisface los requisitos establecidos por la Ley de la materia.</w:t>
      </w:r>
    </w:p>
    <w:p w14:paraId="38AE2C12" w14:textId="77777777" w:rsidR="00A27E33" w:rsidRPr="00B319C6" w:rsidRDefault="00A27E33" w:rsidP="00A27E33">
      <w:pPr>
        <w:spacing w:line="360" w:lineRule="auto"/>
        <w:jc w:val="both"/>
        <w:rPr>
          <w:rFonts w:ascii="Palatino Linotype" w:eastAsia="Calibri" w:hAnsi="Palatino Linotype"/>
          <w:lang w:val="es-MX" w:eastAsia="es-MX"/>
        </w:rPr>
      </w:pPr>
    </w:p>
    <w:p w14:paraId="0CDD7DE4" w14:textId="1ECE22A2" w:rsidR="00A27E33" w:rsidRPr="00B319C6" w:rsidRDefault="00A27E33" w:rsidP="00A27E33">
      <w:pPr>
        <w:spacing w:line="360" w:lineRule="auto"/>
        <w:jc w:val="both"/>
        <w:rPr>
          <w:rFonts w:ascii="Palatino Linotype" w:eastAsia="Calibri" w:hAnsi="Palatino Linotype" w:cs="Arial"/>
          <w:lang w:val="es-MX" w:eastAsia="en-US"/>
        </w:rPr>
      </w:pPr>
      <w:r w:rsidRPr="00B319C6">
        <w:rPr>
          <w:rFonts w:ascii="Palatino Linotype" w:eastAsia="Calibri" w:hAnsi="Palatino Linotype" w:cs="Arial"/>
          <w:lang w:val="es-MX" w:eastAsia="en-US"/>
        </w:rPr>
        <w:t>Ahora bien, respecto a los requerimientos formulados en la solicitud de información, correspondientes a la entrega de los documentos en donde con</w:t>
      </w:r>
      <w:r w:rsidR="0032099F" w:rsidRPr="00B319C6">
        <w:rPr>
          <w:rFonts w:ascii="Palatino Linotype" w:eastAsia="Calibri" w:hAnsi="Palatino Linotype" w:cs="Arial"/>
          <w:lang w:val="es-MX" w:eastAsia="en-US"/>
        </w:rPr>
        <w:t xml:space="preserve">ste </w:t>
      </w:r>
      <w:r w:rsidR="0060774F" w:rsidRPr="00B319C6">
        <w:rPr>
          <w:rFonts w:ascii="Palatino Linotype" w:eastAsia="Calibri" w:hAnsi="Palatino Linotype" w:cs="Arial"/>
          <w:lang w:val="es-MX" w:eastAsia="en-US"/>
        </w:rPr>
        <w:t>la nómina del personal adscrito al Sujeto Obligado emitida en el periodo que comprende del 01 de enero de 2018 al 30 de mayo de 2022;</w:t>
      </w:r>
      <w:r w:rsidRPr="00B319C6">
        <w:rPr>
          <w:rFonts w:ascii="Palatino Linotype" w:eastAsia="Calibri" w:hAnsi="Palatino Linotype" w:cs="Arial"/>
          <w:lang w:val="es-MX" w:eastAsia="en-US"/>
        </w:rPr>
        <w:t xml:space="preserve"> </w:t>
      </w:r>
      <w:r w:rsidRPr="00B319C6">
        <w:rPr>
          <w:rFonts w:ascii="Palatino Linotype" w:eastAsia="Calibri" w:hAnsi="Palatino Linotype"/>
          <w:lang w:val="es-MX" w:eastAsia="es-MX"/>
        </w:rPr>
        <w:t>debemos destacar que el Sujeto Obligado no negó la existencia de dicho documento</w:t>
      </w:r>
      <w:r w:rsidRPr="00B319C6">
        <w:rPr>
          <w:rFonts w:ascii="Palatino Linotype" w:eastAsia="Calibri" w:hAnsi="Palatino Linotype" w:cs="Arial"/>
          <w:lang w:val="es-MX" w:eastAsia="en-US"/>
        </w:rPr>
        <w:t xml:space="preserve">, es decir, </w:t>
      </w:r>
      <w:r w:rsidRPr="00B319C6">
        <w:rPr>
          <w:rFonts w:ascii="Palatino Linotype" w:eastAsia="Calibri" w:hAnsi="Palatino Linotype" w:cs="Arial"/>
          <w:b/>
          <w:lang w:val="es-MX" w:eastAsia="en-US"/>
        </w:rPr>
        <w:t>el Sujeto Obligado</w:t>
      </w:r>
      <w:r w:rsidRPr="00B319C6">
        <w:rPr>
          <w:rFonts w:ascii="Palatino Linotype" w:eastAsia="Calibri" w:hAnsi="Palatino Linotype" w:cs="Arial"/>
          <w:lang w:val="es-MX" w:eastAsia="en-US"/>
        </w:rPr>
        <w:t xml:space="preserve"> remitió</w:t>
      </w:r>
      <w:r w:rsidR="0060774F" w:rsidRPr="00B319C6">
        <w:rPr>
          <w:rFonts w:ascii="Palatino Linotype" w:eastAsia="Calibri" w:hAnsi="Palatino Linotype" w:cs="Arial"/>
          <w:lang w:val="es-MX" w:eastAsia="en-US"/>
        </w:rPr>
        <w:t>, mediante informe</w:t>
      </w:r>
      <w:r w:rsidR="0032099F" w:rsidRPr="00B319C6">
        <w:rPr>
          <w:rFonts w:ascii="Palatino Linotype" w:eastAsia="Calibri" w:hAnsi="Palatino Linotype" w:cs="Arial"/>
          <w:lang w:val="es-MX" w:eastAsia="en-US"/>
        </w:rPr>
        <w:t xml:space="preserve"> justificado,</w:t>
      </w:r>
      <w:r w:rsidRPr="00B319C6">
        <w:rPr>
          <w:rFonts w:ascii="Palatino Linotype" w:eastAsia="Calibri" w:hAnsi="Palatino Linotype" w:cs="Arial"/>
          <w:lang w:val="es-MX" w:eastAsia="en-US"/>
        </w:rPr>
        <w:t xml:space="preserve"> dicho soporte documental con las formalidades idóneas para colmar la pretensión del Recurrente</w:t>
      </w:r>
      <w:r w:rsidR="00BE7AC1" w:rsidRPr="00B319C6">
        <w:rPr>
          <w:rFonts w:ascii="Palatino Linotype" w:eastAsia="Calibri" w:hAnsi="Palatino Linotype" w:cs="Arial"/>
          <w:lang w:val="es-MX" w:eastAsia="en-US"/>
        </w:rPr>
        <w:t>;</w:t>
      </w:r>
      <w:r w:rsidRPr="00B319C6">
        <w:rPr>
          <w:rFonts w:ascii="Palatino Linotype" w:eastAsia="Calibri" w:hAnsi="Palatino Linotype" w:cs="Arial"/>
          <w:lang w:val="es-MX" w:eastAsia="en-US"/>
        </w:rPr>
        <w:t xml:space="preserve"> sin embargo, estos fueron remitidos </w:t>
      </w:r>
      <w:r w:rsidR="0032099F" w:rsidRPr="00B319C6">
        <w:rPr>
          <w:rFonts w:ascii="Palatino Linotype" w:eastAsia="Calibri" w:hAnsi="Palatino Linotype" w:cs="Arial"/>
          <w:lang w:val="es-MX" w:eastAsia="en-US"/>
        </w:rPr>
        <w:t xml:space="preserve">de forma íntegra, </w:t>
      </w:r>
      <w:r w:rsidR="008D7CEE" w:rsidRPr="00B319C6">
        <w:rPr>
          <w:rFonts w:ascii="Palatino Linotype" w:eastAsia="Calibri" w:hAnsi="Palatino Linotype" w:cs="Arial"/>
          <w:lang w:val="es-MX" w:eastAsia="en-US"/>
        </w:rPr>
        <w:t xml:space="preserve">sin proteger los </w:t>
      </w:r>
      <w:r w:rsidR="0032099F" w:rsidRPr="00B319C6">
        <w:rPr>
          <w:rFonts w:ascii="Palatino Linotype" w:eastAsia="Calibri" w:hAnsi="Palatino Linotype" w:cs="Arial"/>
          <w:lang w:val="es-MX" w:eastAsia="en-US"/>
        </w:rPr>
        <w:t xml:space="preserve">datos que pueden considerarse información reservada (nombre de los elementos de seguridad pública), ello atendiendo a que </w:t>
      </w:r>
      <w:r w:rsidR="008D7CEE" w:rsidRPr="00B319C6">
        <w:rPr>
          <w:rFonts w:ascii="Palatino Linotype" w:eastAsia="Calibri" w:hAnsi="Palatino Linotype" w:cs="Arial"/>
          <w:lang w:val="es-MX" w:eastAsia="en-US"/>
        </w:rPr>
        <w:t xml:space="preserve">la </w:t>
      </w:r>
      <w:r w:rsidR="0032099F" w:rsidRPr="00B319C6">
        <w:rPr>
          <w:rFonts w:ascii="Palatino Linotype" w:eastAsia="Calibri" w:hAnsi="Palatino Linotype" w:cs="Arial"/>
          <w:lang w:val="es-MX" w:eastAsia="en-US"/>
        </w:rPr>
        <w:t xml:space="preserve">información relativa al nombre de los servidores públicos que ocupan un cargo en las dependencias </w:t>
      </w:r>
      <w:r w:rsidR="0032099F" w:rsidRPr="00B319C6">
        <w:rPr>
          <w:rFonts w:ascii="Palatino Linotype" w:eastAsia="Calibri" w:hAnsi="Palatino Linotype" w:cs="Arial"/>
          <w:lang w:val="es-MX" w:eastAsia="en-US"/>
        </w:rPr>
        <w:lastRenderedPageBreak/>
        <w:t>de gobierno encargadas de la seguridad pública, debe ser objeto de un proceso de reserva de la información, para no hacer identificable al titular de tal dato personal</w:t>
      </w:r>
      <w:r w:rsidRPr="00B319C6">
        <w:rPr>
          <w:rFonts w:ascii="Palatino Linotype" w:eastAsia="Calibri" w:hAnsi="Palatino Linotype" w:cs="Arial"/>
          <w:lang w:val="es-MX" w:eastAsia="en-US"/>
        </w:rPr>
        <w:t xml:space="preserve">, </w:t>
      </w:r>
    </w:p>
    <w:p w14:paraId="727BE2D7" w14:textId="77777777" w:rsidR="00E11A51" w:rsidRPr="00B319C6" w:rsidRDefault="00E11A51" w:rsidP="00F21E11">
      <w:pPr>
        <w:spacing w:line="360" w:lineRule="auto"/>
        <w:jc w:val="both"/>
        <w:rPr>
          <w:rFonts w:ascii="Palatino Linotype" w:eastAsia="Calibri" w:hAnsi="Palatino Linotype" w:cs="Arial"/>
          <w:lang w:val="es-MX"/>
        </w:rPr>
      </w:pPr>
    </w:p>
    <w:p w14:paraId="34603040" w14:textId="027681C1" w:rsidR="00F21E11" w:rsidRPr="00B319C6" w:rsidRDefault="00E11A51" w:rsidP="00F21E11">
      <w:pPr>
        <w:spacing w:line="360" w:lineRule="auto"/>
        <w:jc w:val="both"/>
        <w:rPr>
          <w:rFonts w:ascii="Palatino Linotype" w:eastAsia="MS Mincho" w:hAnsi="Palatino Linotype"/>
          <w:lang w:val="es-ES_tradnl"/>
        </w:rPr>
      </w:pPr>
      <w:r w:rsidRPr="00B319C6">
        <w:rPr>
          <w:rFonts w:ascii="Palatino Linotype" w:eastAsia="Calibri" w:hAnsi="Palatino Linotype" w:cs="Arial"/>
          <w:noProof/>
          <w:lang w:val="es-MX" w:eastAsia="es-MX"/>
        </w:rPr>
        <mc:AlternateContent>
          <mc:Choice Requires="wps">
            <w:drawing>
              <wp:anchor distT="0" distB="0" distL="114300" distR="114300" simplePos="0" relativeHeight="251661312" behindDoc="0" locked="0" layoutInCell="1" allowOverlap="1" wp14:anchorId="175C7E2A" wp14:editId="5403DC15">
                <wp:simplePos x="0" y="0"/>
                <wp:positionH relativeFrom="column">
                  <wp:posOffset>72390</wp:posOffset>
                </wp:positionH>
                <wp:positionV relativeFrom="paragraph">
                  <wp:posOffset>4103370</wp:posOffset>
                </wp:positionV>
                <wp:extent cx="5791200" cy="2514600"/>
                <wp:effectExtent l="0" t="0" r="76200" b="57150"/>
                <wp:wrapNone/>
                <wp:docPr id="2" name="Conector recto de flecha 2"/>
                <wp:cNvGraphicFramePr/>
                <a:graphic xmlns:a="http://schemas.openxmlformats.org/drawingml/2006/main">
                  <a:graphicData uri="http://schemas.microsoft.com/office/word/2010/wordprocessingShape">
                    <wps:wsp>
                      <wps:cNvCnPr/>
                      <wps:spPr>
                        <a:xfrm>
                          <a:off x="0" y="0"/>
                          <a:ext cx="5791200" cy="2514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0F2255B" id="_x0000_t32" coordsize="21600,21600" o:spt="32" o:oned="t" path="m,l21600,21600e" filled="f">
                <v:path arrowok="t" fillok="f" o:connecttype="none"/>
                <o:lock v:ext="edit" shapetype="t"/>
              </v:shapetype>
              <v:shape id="Conector recto de flecha 2" o:spid="_x0000_s1026" type="#_x0000_t32" style="position:absolute;margin-left:5.7pt;margin-top:323.1pt;width:456pt;height:19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" strokecolor="#5b9bd5 [3204]" strokeweight=".5pt">
                <v:stroke endarrow="block" joinstyle="miter"/>
              </v:shape>
            </w:pict>
          </mc:Fallback>
        </mc:AlternateContent>
      </w:r>
      <w:r w:rsidR="00F21E11" w:rsidRPr="00B319C6">
        <w:rPr>
          <w:rFonts w:ascii="Palatino Linotype" w:eastAsia="Calibri" w:hAnsi="Palatino Linotype" w:cs="Arial"/>
          <w:lang w:val="es-MX"/>
        </w:rPr>
        <w:t xml:space="preserve">Aunado a lo anterior, este Órgano Garante advierte que la información solicitada en relación a los ejercicios fiscales 2018, 2019 y 2020, forma parte de las documentales remitidas al Órgano Superior de Fiscalización del Estado de México, ello de acuerdo </w:t>
      </w:r>
      <w:r w:rsidR="00F21E11" w:rsidRPr="00B319C6">
        <w:rPr>
          <w:rFonts w:ascii="Palatino Linotype" w:hAnsi="Palatino Linotype" w:cs="Arial"/>
          <w:lang w:val="es-MX"/>
        </w:rPr>
        <w:t xml:space="preserve">los </w:t>
      </w:r>
      <w:r w:rsidR="00F21E11" w:rsidRPr="00B319C6">
        <w:rPr>
          <w:rFonts w:ascii="Palatino Linotype" w:eastAsia="MS Mincho" w:hAnsi="Palatino Linotype"/>
        </w:rPr>
        <w:t>Lineamientos para la Elaboración y Presentación del Informe Mensual Municipal</w:t>
      </w:r>
      <w:r w:rsidR="00F21E11" w:rsidRPr="00B319C6">
        <w:rPr>
          <w:rFonts w:ascii="Palatino Linotype" w:eastAsia="MS Mincho" w:hAnsi="Palatino Linotype"/>
          <w:lang w:val="es-ES_tradnl"/>
        </w:rPr>
        <w:t xml:space="preserve"> 2019, emitidos por el Órgano Superior de Fiscalización del Estado de México, contienen los formatos e información que debe ser proporcionada para la integración de los informes mensuales que se entregan a éste, los cuales están conformados por 6 discos que se deberán entregar dentro de los veinte días hábiles siguientes terminado cada mes, siendo parte de la información, la relativa a la nómina general, misma que se encuentra contenida dentro del Disco 4, consecutivo 6 y 7, de tal manera que, dichos formatos constituyen un soporte documental de que la información solicitada por la hoy </w:t>
      </w:r>
      <w:r w:rsidR="00F21E11" w:rsidRPr="00B319C6">
        <w:rPr>
          <w:rFonts w:ascii="Palatino Linotype" w:eastAsia="MS Mincho" w:hAnsi="Palatino Linotype"/>
          <w:b/>
          <w:lang w:val="es-ES_tradnl"/>
        </w:rPr>
        <w:t>Recurrente</w:t>
      </w:r>
      <w:r w:rsidR="00F21E11" w:rsidRPr="00B319C6">
        <w:rPr>
          <w:rFonts w:ascii="Palatino Linotype" w:eastAsia="MS Mincho" w:hAnsi="Palatino Linotype"/>
          <w:lang w:val="es-ES_tradnl"/>
        </w:rPr>
        <w:t xml:space="preserve"> obra en los archivos del </w:t>
      </w:r>
      <w:r w:rsidR="00F21E11" w:rsidRPr="00B319C6">
        <w:rPr>
          <w:rFonts w:ascii="Palatino Linotype" w:eastAsia="MS Mincho" w:hAnsi="Palatino Linotype"/>
          <w:b/>
          <w:lang w:val="es-ES_tradnl"/>
        </w:rPr>
        <w:t>Sujeto Obligado</w:t>
      </w:r>
      <w:r w:rsidR="00F21E11" w:rsidRPr="00B319C6">
        <w:rPr>
          <w:rFonts w:ascii="Palatino Linotype" w:eastAsia="MS Mincho" w:hAnsi="Palatino Linotype"/>
          <w:lang w:val="es-ES_tradnl"/>
        </w:rPr>
        <w:t>, como se advierte a continuación:</w:t>
      </w:r>
    </w:p>
    <w:p w14:paraId="6927E67B" w14:textId="77777777" w:rsidR="00F21E11" w:rsidRPr="00B319C6" w:rsidRDefault="00F21E11" w:rsidP="00F21E11">
      <w:pPr>
        <w:spacing w:before="240" w:after="240" w:line="360" w:lineRule="auto"/>
        <w:jc w:val="center"/>
        <w:rPr>
          <w:rFonts w:ascii="Palatino Linotype" w:eastAsia="Calibri" w:hAnsi="Palatino Linotype"/>
          <w:i/>
        </w:rPr>
      </w:pPr>
      <w:r w:rsidRPr="00B319C6">
        <w:rPr>
          <w:rFonts w:ascii="Calibri" w:eastAsia="Calibri" w:hAnsi="Calibri"/>
          <w:noProof/>
          <w:lang w:val="es-MX" w:eastAsia="es-MX"/>
        </w:rPr>
        <w:lastRenderedPageBreak/>
        <mc:AlternateContent>
          <mc:Choice Requires="wps">
            <w:drawing>
              <wp:anchor distT="0" distB="0" distL="114300" distR="114300" simplePos="0" relativeHeight="251660288" behindDoc="0" locked="0" layoutInCell="1" allowOverlap="1" wp14:anchorId="390FE60B" wp14:editId="644EB40A">
                <wp:simplePos x="0" y="0"/>
                <wp:positionH relativeFrom="column">
                  <wp:posOffset>615314</wp:posOffset>
                </wp:positionH>
                <wp:positionV relativeFrom="paragraph">
                  <wp:posOffset>713740</wp:posOffset>
                </wp:positionV>
                <wp:extent cx="4576445" cy="523875"/>
                <wp:effectExtent l="19050" t="19050" r="14605" b="28575"/>
                <wp:wrapNone/>
                <wp:docPr id="39" name="Rectángulo 39"/>
                <wp:cNvGraphicFramePr/>
                <a:graphic xmlns:a="http://schemas.openxmlformats.org/drawingml/2006/main">
                  <a:graphicData uri="http://schemas.microsoft.com/office/word/2010/wordprocessingShape">
                    <wps:wsp>
                      <wps:cNvSpPr/>
                      <wps:spPr>
                        <a:xfrm>
                          <a:off x="0" y="0"/>
                          <a:ext cx="4576445" cy="523875"/>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C47C1F0" id="Rectángulo 39" o:spid="_x0000_s1026" style="position:absolute;margin-left:48.45pt;margin-top:56.2pt;width:360.3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" filled="f" strokecolor="#c00000" strokeweight="2.25pt"/>
            </w:pict>
          </mc:Fallback>
        </mc:AlternateContent>
      </w:r>
      <w:r w:rsidRPr="00B319C6">
        <w:rPr>
          <w:rFonts w:ascii="Calibri" w:eastAsia="Calibri" w:hAnsi="Calibri"/>
          <w:noProof/>
          <w:lang w:val="es-MX" w:eastAsia="es-MX"/>
        </w:rPr>
        <w:drawing>
          <wp:inline distT="0" distB="0" distL="0" distR="0" wp14:anchorId="3A63BE9D" wp14:editId="373718E0">
            <wp:extent cx="4624200" cy="3324225"/>
            <wp:effectExtent l="0" t="0" r="5080" b="0"/>
            <wp:docPr id="6"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8">
                      <a:extLst>
                        <a:ext uri="{28A0092B-C50C-407E-A947-70E740481C1C}">
                          <a14:useLocalDpi xmlns:a14="http://schemas.microsoft.com/office/drawing/2010/main" val="0"/>
                        </a:ext>
                      </a:extLst>
                    </a:blip>
                    <a:srcRect l="28770" t="12051" r="31216" b="36803"/>
                    <a:stretch>
                      <a:fillRect/>
                    </a:stretch>
                  </pic:blipFill>
                  <pic:spPr bwMode="auto">
                    <a:xfrm>
                      <a:off x="0" y="0"/>
                      <a:ext cx="4636515" cy="3333078"/>
                    </a:xfrm>
                    <a:prstGeom prst="rect">
                      <a:avLst/>
                    </a:prstGeom>
                    <a:noFill/>
                    <a:ln>
                      <a:noFill/>
                    </a:ln>
                  </pic:spPr>
                </pic:pic>
              </a:graphicData>
            </a:graphic>
          </wp:inline>
        </w:drawing>
      </w:r>
    </w:p>
    <w:p w14:paraId="3AC1F7B7" w14:textId="6837C737" w:rsidR="00F21E11" w:rsidRPr="00B319C6" w:rsidRDefault="00F21E11" w:rsidP="00F21E11">
      <w:pPr>
        <w:spacing w:line="360" w:lineRule="auto"/>
        <w:jc w:val="both"/>
        <w:rPr>
          <w:rFonts w:ascii="Palatino Linotype" w:eastAsia="MS Mincho" w:hAnsi="Palatino Linotype"/>
          <w:lang w:val="es-ES_tradnl"/>
        </w:rPr>
      </w:pPr>
      <w:r w:rsidRPr="00B319C6">
        <w:rPr>
          <w:rFonts w:ascii="Palatino Linotype" w:eastAsia="MS Mincho" w:hAnsi="Palatino Linotype"/>
          <w:lang w:val="es-ES_tradnl"/>
        </w:rPr>
        <w:t xml:space="preserve">De la imagen antes referida, podemos advertir que el </w:t>
      </w:r>
      <w:r w:rsidRPr="00B319C6">
        <w:rPr>
          <w:rFonts w:ascii="Palatino Linotype" w:eastAsia="MS Mincho" w:hAnsi="Palatino Linotype"/>
          <w:b/>
          <w:bCs/>
          <w:lang w:val="es-ES_tradnl"/>
        </w:rPr>
        <w:t>Sujeto Obligado</w:t>
      </w:r>
      <w:r w:rsidRPr="00B319C6">
        <w:rPr>
          <w:rFonts w:ascii="Palatino Linotype" w:eastAsia="MS Mincho" w:hAnsi="Palatino Linotype"/>
          <w:lang w:val="es-ES_tradnl"/>
        </w:rPr>
        <w:t xml:space="preserve"> tiene la obligación de entregar al Órgano Superior de Fiscalización del Estado de México, informes mensuales, en los cuales se incluye la nómina general, es por ello que resulta dable ordenar al Sujeto Obligado dicha información, </w:t>
      </w:r>
    </w:p>
    <w:p w14:paraId="3EE27F98" w14:textId="1245B24E" w:rsidR="00F21E11" w:rsidRPr="00B319C6" w:rsidRDefault="00F21E11" w:rsidP="00F21E11">
      <w:pPr>
        <w:spacing w:line="360" w:lineRule="auto"/>
        <w:jc w:val="both"/>
        <w:rPr>
          <w:rFonts w:ascii="Palatino Linotype" w:eastAsia="MS Mincho" w:hAnsi="Palatino Linotype"/>
          <w:lang w:val="es-ES_tradnl"/>
        </w:rPr>
      </w:pPr>
    </w:p>
    <w:p w14:paraId="2B5B8791" w14:textId="6C3B58BE" w:rsidR="00F21E11" w:rsidRPr="00B319C6" w:rsidRDefault="00F21E11" w:rsidP="00F21E11">
      <w:pPr>
        <w:autoSpaceDE w:val="0"/>
        <w:autoSpaceDN w:val="0"/>
        <w:adjustRightInd w:val="0"/>
        <w:spacing w:line="360" w:lineRule="auto"/>
        <w:jc w:val="both"/>
        <w:rPr>
          <w:rFonts w:ascii="Palatino Linotype" w:eastAsia="Calibri" w:hAnsi="Palatino Linotype" w:cs="Arial"/>
        </w:rPr>
      </w:pPr>
      <w:r w:rsidRPr="00B319C6">
        <w:rPr>
          <w:rFonts w:ascii="Palatino Linotype" w:eastAsia="Calibri" w:hAnsi="Palatino Linotype" w:cs="Arial"/>
        </w:rPr>
        <w:t xml:space="preserve">Además de lo anterior, en relación a la información solicitada correspondiente a los ejercicios fiscales 2021 y 2022, conviene mencionar que de acuerdo a los Lineamientos para la Integración del Informe Trimestral de los Sujetos de Fiscalización MUNICIPALES para el Ejercicio 2021, emitidos por el Auditor Superior de Fiscalización del Estado de México, visibles en la página oficial de dicho Órgano en el sitio de internet </w:t>
      </w:r>
      <w:r w:rsidRPr="00B319C6">
        <w:rPr>
          <w:rFonts w:ascii="Palatino Linotype" w:eastAsia="Calibri" w:hAnsi="Palatino Linotype" w:cs="Arial"/>
          <w:i/>
          <w:color w:val="0563C1"/>
          <w:u w:val="single"/>
        </w:rPr>
        <w:t>https://www.osfem.gob.mx/04_Iconografia/Ent_Fisc/Doc_Apoy/Doc_Apoy.html</w:t>
      </w:r>
      <w:r w:rsidRPr="00B319C6">
        <w:rPr>
          <w:rFonts w:ascii="Palatino Linotype" w:eastAsia="Calibri" w:hAnsi="Palatino Linotype" w:cs="Arial"/>
        </w:rPr>
        <w:t xml:space="preserve">, contienen </w:t>
      </w:r>
      <w:r w:rsidRPr="00B319C6">
        <w:rPr>
          <w:rFonts w:ascii="Palatino Linotype" w:eastAsia="Calibri" w:hAnsi="Palatino Linotype" w:cs="Arial"/>
        </w:rPr>
        <w:lastRenderedPageBreak/>
        <w:t>los formatos e información que debe ser proporcionada para la integración de los informes mensuales que se entregan a éste de forma digitalizada, encontrándose el formato denominado “</w:t>
      </w:r>
      <w:r w:rsidRPr="00B319C6">
        <w:rPr>
          <w:rFonts w:ascii="Palatino Linotype" w:eastAsia="Calibri" w:hAnsi="Palatino Linotype" w:cs="Arial"/>
          <w:b/>
          <w:bCs/>
        </w:rPr>
        <w:t>Conciliación de Nómina Mensual</w:t>
      </w:r>
      <w:r w:rsidRPr="00B319C6">
        <w:rPr>
          <w:rFonts w:ascii="Palatino Linotype" w:eastAsia="Calibri" w:hAnsi="Palatino Linotype" w:cs="Arial"/>
        </w:rPr>
        <w:t xml:space="preserve">, correspondiente a un periodo determinado; de tal manera, dichos formatos constituyen un soporte documental de que la información solicitada por la recurrente obra en los archivos del </w:t>
      </w:r>
      <w:r w:rsidRPr="00B319C6">
        <w:rPr>
          <w:rFonts w:ascii="Palatino Linotype" w:eastAsia="Calibri" w:hAnsi="Palatino Linotype" w:cs="Arial"/>
          <w:b/>
        </w:rPr>
        <w:t>sujeto obligado</w:t>
      </w:r>
      <w:r w:rsidRPr="00B319C6">
        <w:rPr>
          <w:rFonts w:ascii="Palatino Linotype" w:eastAsia="Calibri" w:hAnsi="Palatino Linotype" w:cs="Arial"/>
        </w:rPr>
        <w:t>, como se advierte a continuación:</w:t>
      </w:r>
    </w:p>
    <w:p w14:paraId="716C87D6" w14:textId="77777777" w:rsidR="00F21E11" w:rsidRPr="00B319C6" w:rsidRDefault="00F21E11" w:rsidP="00F21E11">
      <w:pPr>
        <w:autoSpaceDE w:val="0"/>
        <w:autoSpaceDN w:val="0"/>
        <w:adjustRightInd w:val="0"/>
        <w:spacing w:line="360" w:lineRule="auto"/>
        <w:jc w:val="both"/>
        <w:rPr>
          <w:rFonts w:ascii="Palatino Linotype" w:eastAsia="Calibri" w:hAnsi="Palatino Linotype" w:cs="Arial"/>
        </w:rPr>
      </w:pPr>
    </w:p>
    <w:p w14:paraId="6BA4057D" w14:textId="77777777" w:rsidR="00F21E11" w:rsidRPr="00B319C6" w:rsidRDefault="00F21E11" w:rsidP="00F21E11">
      <w:pPr>
        <w:autoSpaceDE w:val="0"/>
        <w:autoSpaceDN w:val="0"/>
        <w:adjustRightInd w:val="0"/>
        <w:spacing w:line="360" w:lineRule="auto"/>
        <w:jc w:val="both"/>
        <w:rPr>
          <w:rFonts w:ascii="Palatino Linotype" w:eastAsia="Calibri" w:hAnsi="Palatino Linotype" w:cs="Arial"/>
        </w:rPr>
      </w:pPr>
      <w:r w:rsidRPr="00B319C6">
        <w:rPr>
          <w:rFonts w:ascii="Palatino Linotype" w:eastAsia="Calibri" w:hAnsi="Palatino Linotype" w:cs="Arial"/>
          <w:noProof/>
          <w:lang w:val="es-MX" w:eastAsia="es-MX"/>
        </w:rPr>
        <w:drawing>
          <wp:inline distT="0" distB="0" distL="0" distR="0" wp14:anchorId="0E738A38" wp14:editId="018A38ED">
            <wp:extent cx="5791200" cy="666750"/>
            <wp:effectExtent l="0" t="0" r="0" b="0"/>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91200" cy="666750"/>
                    </a:xfrm>
                    <a:prstGeom prst="rect">
                      <a:avLst/>
                    </a:prstGeom>
                    <a:noFill/>
                    <a:ln>
                      <a:noFill/>
                    </a:ln>
                  </pic:spPr>
                </pic:pic>
              </a:graphicData>
            </a:graphic>
          </wp:inline>
        </w:drawing>
      </w:r>
    </w:p>
    <w:p w14:paraId="3E490B10" w14:textId="77777777" w:rsidR="00F21E11" w:rsidRPr="00B319C6" w:rsidRDefault="00F21E11" w:rsidP="00F21E11">
      <w:pPr>
        <w:spacing w:line="360" w:lineRule="auto"/>
        <w:jc w:val="both"/>
        <w:rPr>
          <w:rFonts w:ascii="Palatino Linotype" w:eastAsiaTheme="minorHAnsi" w:hAnsi="Palatino Linotype" w:cs="Arial"/>
          <w:lang w:eastAsia="en-US"/>
        </w:rPr>
      </w:pPr>
    </w:p>
    <w:p w14:paraId="133A27A7" w14:textId="3103D305" w:rsidR="00F21E11" w:rsidRPr="00B319C6" w:rsidRDefault="00F21E11" w:rsidP="00F21E11">
      <w:pPr>
        <w:spacing w:line="360" w:lineRule="auto"/>
        <w:jc w:val="both"/>
        <w:rPr>
          <w:rFonts w:ascii="Palatino Linotype" w:eastAsiaTheme="minorHAnsi" w:hAnsi="Palatino Linotype" w:cs="Arial"/>
          <w:b/>
          <w:lang w:eastAsia="en-US"/>
        </w:rPr>
      </w:pPr>
      <w:r w:rsidRPr="00B319C6">
        <w:rPr>
          <w:rFonts w:ascii="Palatino Linotype" w:eastAsiaTheme="minorHAnsi" w:hAnsi="Palatino Linotype" w:cstheme="minorBidi"/>
          <w:i/>
          <w:noProof/>
          <w:lang w:val="es-MX" w:eastAsia="es-MX"/>
        </w:rPr>
        <mc:AlternateContent>
          <mc:Choice Requires="wps">
            <w:drawing>
              <wp:anchor distT="0" distB="0" distL="114300" distR="114300" simplePos="0" relativeHeight="251659264" behindDoc="0" locked="0" layoutInCell="1" allowOverlap="1" wp14:anchorId="1A2A5D56" wp14:editId="664B6722">
                <wp:simplePos x="0" y="0"/>
                <wp:positionH relativeFrom="column">
                  <wp:posOffset>316865</wp:posOffset>
                </wp:positionH>
                <wp:positionV relativeFrom="paragraph">
                  <wp:posOffset>8944610</wp:posOffset>
                </wp:positionV>
                <wp:extent cx="4724400" cy="2762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EBDCBCF" id="Rectángulo 16" o:spid="_x0000_s1026" style="position:absolute;margin-left:24.95pt;margin-top:704.3pt;width:372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" filled="f" strokecolor="red" strokeweight="1.5pt"/>
            </w:pict>
          </mc:Fallback>
        </mc:AlternateContent>
      </w:r>
      <w:r w:rsidRPr="00B319C6">
        <w:rPr>
          <w:rFonts w:ascii="Palatino Linotype" w:eastAsiaTheme="minorHAnsi" w:hAnsi="Palatino Linotype" w:cs="Arial"/>
          <w:lang w:eastAsia="en-US"/>
        </w:rPr>
        <w:t xml:space="preserve">Atento a lo anterior, resulta claro que existe la obligación por parte del </w:t>
      </w:r>
      <w:r w:rsidRPr="00B319C6">
        <w:rPr>
          <w:rFonts w:ascii="Palatino Linotype" w:eastAsiaTheme="minorHAnsi" w:hAnsi="Palatino Linotype" w:cs="Arial"/>
          <w:b/>
          <w:lang w:eastAsia="en-US"/>
        </w:rPr>
        <w:t>Sujeto Obligado</w:t>
      </w:r>
      <w:r w:rsidRPr="00B319C6">
        <w:rPr>
          <w:rFonts w:ascii="Palatino Linotype" w:eastAsiaTheme="minorHAnsi" w:hAnsi="Palatino Linotype" w:cs="Arial"/>
          <w:lang w:eastAsia="en-US"/>
        </w:rPr>
        <w:t xml:space="preserve">, de entregar los informes mensuales al Órgano Superior de Fiscalización del Estado de México de conformidad con el artículo 32 de la Ley de Fiscalización Superior del Estado de México, en los cuales se incluye lo referente a </w:t>
      </w:r>
      <w:r w:rsidRPr="00B319C6">
        <w:rPr>
          <w:rFonts w:ascii="Palatino Linotype" w:eastAsiaTheme="minorHAnsi" w:hAnsi="Palatino Linotype" w:cs="Arial"/>
          <w:b/>
          <w:bCs/>
          <w:lang w:eastAsia="en-US"/>
        </w:rPr>
        <w:t>la nómina general y</w:t>
      </w:r>
      <w:r w:rsidRPr="00B319C6">
        <w:rPr>
          <w:b/>
          <w:bCs/>
        </w:rPr>
        <w:t xml:space="preserve"> a la </w:t>
      </w:r>
      <w:r w:rsidRPr="00B319C6">
        <w:rPr>
          <w:rFonts w:ascii="Palatino Linotype" w:eastAsiaTheme="minorHAnsi" w:hAnsi="Palatino Linotype" w:cs="Arial"/>
          <w:b/>
          <w:bCs/>
          <w:lang w:eastAsia="en-US"/>
        </w:rPr>
        <w:t>Conciliación de Nómina Mensual</w:t>
      </w:r>
      <w:r w:rsidRPr="00B319C6">
        <w:rPr>
          <w:rFonts w:ascii="Palatino Linotype" w:eastAsiaTheme="minorHAnsi" w:hAnsi="Palatino Linotype" w:cs="Arial"/>
          <w:lang w:eastAsia="en-US"/>
        </w:rPr>
        <w:t xml:space="preserve">, en consecuencia, la información solicitada debe de obrar en los archivos del </w:t>
      </w:r>
      <w:r w:rsidRPr="00B319C6">
        <w:rPr>
          <w:rFonts w:ascii="Palatino Linotype" w:eastAsiaTheme="minorHAnsi" w:hAnsi="Palatino Linotype" w:cs="Arial"/>
          <w:b/>
          <w:lang w:eastAsia="en-US"/>
        </w:rPr>
        <w:t xml:space="preserve">Sujeto Obligado. </w:t>
      </w:r>
    </w:p>
    <w:p w14:paraId="28335504" w14:textId="77777777" w:rsidR="00A27E33" w:rsidRPr="00B319C6" w:rsidRDefault="00A27E33" w:rsidP="00A27E33">
      <w:pPr>
        <w:spacing w:line="360" w:lineRule="auto"/>
        <w:jc w:val="both"/>
        <w:rPr>
          <w:rFonts w:ascii="Palatino Linotype" w:eastAsia="Calibri" w:hAnsi="Palatino Linotype" w:cs="Arial"/>
          <w:lang w:val="es-MX" w:eastAsia="en-US"/>
        </w:rPr>
      </w:pPr>
    </w:p>
    <w:p w14:paraId="54515557" w14:textId="6513602A" w:rsidR="00A27E33" w:rsidRPr="00B319C6" w:rsidRDefault="00A27E33" w:rsidP="00A27E33">
      <w:pPr>
        <w:spacing w:line="360" w:lineRule="auto"/>
        <w:jc w:val="both"/>
        <w:rPr>
          <w:rFonts w:ascii="Palatino Linotype" w:eastAsia="Calibri" w:hAnsi="Palatino Linotype" w:cs="Arial"/>
          <w:lang w:val="es-MX" w:eastAsia="en-US"/>
        </w:rPr>
      </w:pPr>
      <w:r w:rsidRPr="00B319C6">
        <w:rPr>
          <w:rFonts w:ascii="Palatino Linotype" w:eastAsia="Calibri" w:hAnsi="Palatino Linotype" w:cs="Arial"/>
          <w:lang w:val="es-MX" w:eastAsia="en-US"/>
        </w:rPr>
        <w:t xml:space="preserve">En virtud de lo anterior, toda vez que el Sujeto obligado posee dicha información y la misma es considerada pública, este Órgano Garante considera que será viable ordenar al Sujeto Obligado, la entrega de los documentos en donde conste </w:t>
      </w:r>
      <w:r w:rsidR="0060774F" w:rsidRPr="00B319C6">
        <w:rPr>
          <w:rFonts w:ascii="Palatino Linotype" w:eastAsia="Calibri" w:hAnsi="Palatino Linotype" w:cs="Arial"/>
          <w:lang w:val="es-MX" w:eastAsia="en-US"/>
        </w:rPr>
        <w:t>la nómina del personal adscrito al Sujeto Obligado emitida en el periodo que comprende del 01 de enero de 2018 al 30 de mayo de 2022</w:t>
      </w:r>
      <w:r w:rsidRPr="00B319C6">
        <w:rPr>
          <w:rFonts w:ascii="Palatino Linotype" w:eastAsia="Calibri" w:hAnsi="Palatino Linotype" w:cs="Arial"/>
          <w:lang w:val="es-MX" w:eastAsia="en-US"/>
        </w:rPr>
        <w:t>, en la modalidad elegida por el particular, es decir mediante el SAIMEX, en versión pública, acompañado de Acuerdo de clasificación que sustente su elaboración.</w:t>
      </w:r>
    </w:p>
    <w:p w14:paraId="707E69F3" w14:textId="77777777" w:rsidR="00A16B84" w:rsidRPr="00B319C6" w:rsidRDefault="00A16B84" w:rsidP="00A16B84">
      <w:pPr>
        <w:spacing w:line="360" w:lineRule="auto"/>
        <w:jc w:val="both"/>
        <w:rPr>
          <w:rFonts w:ascii="Palatino Linotype" w:eastAsiaTheme="minorHAnsi" w:hAnsi="Palatino Linotype" w:cs="Arial"/>
          <w:b/>
          <w:lang w:eastAsia="en-US"/>
        </w:rPr>
      </w:pPr>
    </w:p>
    <w:p w14:paraId="625B78C9" w14:textId="3BE6AF5E" w:rsidR="00A16B84" w:rsidRPr="00B319C6" w:rsidRDefault="00A16B84" w:rsidP="00A16B84">
      <w:pPr>
        <w:spacing w:line="360" w:lineRule="auto"/>
        <w:jc w:val="both"/>
        <w:rPr>
          <w:rFonts w:ascii="Palatino Linotype" w:eastAsiaTheme="minorHAnsi" w:hAnsi="Palatino Linotype" w:cs="Arial"/>
          <w:bCs/>
          <w:lang w:eastAsia="en-US"/>
        </w:rPr>
      </w:pPr>
      <w:r w:rsidRPr="00B319C6">
        <w:rPr>
          <w:rFonts w:ascii="Palatino Linotype" w:eastAsiaTheme="minorHAnsi" w:hAnsi="Palatino Linotype" w:cs="Arial"/>
          <w:lang w:eastAsia="en-US"/>
        </w:rPr>
        <w:t>En este sentido, de acuerdo a la naturaleza de la información solicitada se concluye que ésta es de</w:t>
      </w:r>
      <w:r w:rsidRPr="00B319C6">
        <w:rPr>
          <w:rFonts w:ascii="Palatino Linotype" w:eastAsiaTheme="minorHAnsi" w:hAnsi="Palatino Linotype" w:cs="Arial"/>
          <w:bCs/>
          <w:lang w:eastAsia="en-US"/>
        </w:rPr>
        <w:t xml:space="preserve"> interés general y de alcance público, puesto que la ciudadanía tiene derecho a saber cuánto es el gasto ejercido para el pago de remuneraciones por servicios personales al realizar las funciones públicas, esto es, su acceso</w:t>
      </w:r>
      <w:r w:rsidRPr="00B319C6">
        <w:rPr>
          <w:rFonts w:ascii="Palatino Linotype" w:eastAsiaTheme="minorHAnsi" w:hAnsi="Palatino Linotype" w:cs="Arial"/>
          <w:lang w:eastAsia="en-US"/>
        </w:rPr>
        <w:t xml:space="preserve"> </w:t>
      </w:r>
      <w:r w:rsidRPr="00B319C6">
        <w:rPr>
          <w:rFonts w:ascii="Palatino Linotype" w:eastAsiaTheme="minorHAnsi" w:hAnsi="Palatino Linotype" w:cs="Arial"/>
          <w:bCs/>
          <w:lang w:eastAsia="en-U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1BE28BE8" w14:textId="77777777" w:rsidR="00B73FCF" w:rsidRPr="00B319C6" w:rsidRDefault="00B73FCF" w:rsidP="00A16B84">
      <w:pPr>
        <w:spacing w:line="360" w:lineRule="auto"/>
        <w:jc w:val="both"/>
        <w:rPr>
          <w:rFonts w:ascii="Palatino Linotype" w:eastAsiaTheme="minorHAnsi" w:hAnsi="Palatino Linotype" w:cs="Arial"/>
          <w:bCs/>
          <w:lang w:eastAsia="en-US"/>
        </w:rPr>
      </w:pPr>
    </w:p>
    <w:p w14:paraId="6A35B51F" w14:textId="77777777" w:rsidR="00A16B84" w:rsidRPr="00B319C6" w:rsidRDefault="00A16B84" w:rsidP="00B73FCF">
      <w:pPr>
        <w:ind w:left="851" w:right="851"/>
        <w:jc w:val="both"/>
        <w:rPr>
          <w:rFonts w:ascii="Palatino Linotype" w:eastAsiaTheme="minorHAnsi" w:hAnsi="Palatino Linotype" w:cs="Arial"/>
          <w:bCs/>
          <w:i/>
          <w:sz w:val="22"/>
          <w:szCs w:val="22"/>
          <w:lang w:eastAsia="en-US"/>
        </w:rPr>
      </w:pPr>
      <w:r w:rsidRPr="00B319C6">
        <w:rPr>
          <w:rFonts w:ascii="Palatino Linotype" w:eastAsiaTheme="minorHAnsi" w:hAnsi="Palatino Linotype" w:cs="Arial"/>
          <w:bCs/>
          <w:i/>
          <w:sz w:val="22"/>
          <w:szCs w:val="22"/>
          <w:lang w:eastAsia="en-US"/>
        </w:rPr>
        <w:t>“</w:t>
      </w:r>
      <w:r w:rsidRPr="00B319C6">
        <w:rPr>
          <w:rFonts w:ascii="Palatino Linotype" w:eastAsiaTheme="minorHAnsi" w:hAnsi="Palatino Linotype" w:cs="Arial"/>
          <w:b/>
          <w:bCs/>
          <w:i/>
          <w:sz w:val="22"/>
          <w:szCs w:val="22"/>
          <w:lang w:eastAsia="en-US"/>
        </w:rPr>
        <w:t>Artículo 23</w:t>
      </w:r>
      <w:r w:rsidRPr="00B319C6">
        <w:rPr>
          <w:rFonts w:ascii="Palatino Linotype" w:eastAsiaTheme="minorHAnsi" w:hAnsi="Palatino Linotype" w:cs="Arial"/>
          <w:bCs/>
          <w:i/>
          <w:sz w:val="22"/>
          <w:szCs w:val="22"/>
          <w:lang w:eastAsia="en-US"/>
        </w:rPr>
        <w:t xml:space="preserve"> Son </w:t>
      </w:r>
      <w:r w:rsidRPr="00B319C6">
        <w:rPr>
          <w:rFonts w:ascii="Palatino Linotype" w:eastAsia="MS Mincho" w:hAnsi="Palatino Linotype" w:cs="Arial"/>
          <w:i/>
          <w:sz w:val="22"/>
          <w:szCs w:val="22"/>
          <w:lang w:eastAsia="en-US"/>
        </w:rPr>
        <w:t>sujetos</w:t>
      </w:r>
      <w:r w:rsidRPr="00B319C6">
        <w:rPr>
          <w:rFonts w:ascii="Palatino Linotype" w:eastAsiaTheme="minorHAnsi" w:hAnsi="Palatino Linotype" w:cs="Arial"/>
          <w:bCs/>
          <w:i/>
          <w:sz w:val="22"/>
          <w:szCs w:val="22"/>
          <w:lang w:eastAsia="en-US"/>
        </w:rPr>
        <w:t xml:space="preserve"> obligados a transparentar y permitir el acceso a su información y proteger los datos personales que obren en su poder:</w:t>
      </w:r>
    </w:p>
    <w:p w14:paraId="29725B00" w14:textId="6C6542D3" w:rsidR="00A16B84" w:rsidRPr="00B319C6" w:rsidRDefault="00A16B84" w:rsidP="00B73FCF">
      <w:pPr>
        <w:ind w:left="851" w:right="851"/>
        <w:jc w:val="both"/>
        <w:rPr>
          <w:rFonts w:ascii="Palatino Linotype" w:eastAsiaTheme="minorHAnsi" w:hAnsi="Palatino Linotype" w:cs="Arial"/>
          <w:b/>
          <w:bCs/>
          <w:i/>
          <w:sz w:val="22"/>
          <w:szCs w:val="22"/>
          <w:u w:val="single"/>
          <w:lang w:eastAsia="en-US"/>
        </w:rPr>
      </w:pPr>
      <w:r w:rsidRPr="00B319C6">
        <w:rPr>
          <w:rFonts w:ascii="Palatino Linotype" w:eastAsiaTheme="minorHAnsi" w:hAnsi="Palatino Linotype" w:cs="Arial"/>
          <w:b/>
          <w:bCs/>
          <w:i/>
          <w:sz w:val="22"/>
          <w:szCs w:val="22"/>
          <w:lang w:eastAsia="en-US"/>
        </w:rPr>
        <w:t>IV.</w:t>
      </w:r>
      <w:r w:rsidRPr="00B319C6">
        <w:rPr>
          <w:rFonts w:ascii="Palatino Linotype" w:eastAsiaTheme="minorHAnsi" w:hAnsi="Palatino Linotype" w:cs="Arial"/>
          <w:bCs/>
          <w:i/>
          <w:sz w:val="22"/>
          <w:szCs w:val="22"/>
          <w:lang w:eastAsia="en-US"/>
        </w:rPr>
        <w:t xml:space="preserve"> Los ayuntamientos </w:t>
      </w:r>
      <w:r w:rsidRPr="00B319C6">
        <w:rPr>
          <w:rFonts w:ascii="Palatino Linotype" w:eastAsiaTheme="minorHAnsi" w:hAnsi="Palatino Linotype" w:cs="Arial"/>
          <w:b/>
          <w:bCs/>
          <w:i/>
          <w:sz w:val="22"/>
          <w:szCs w:val="22"/>
          <w:u w:val="single"/>
          <w:lang w:eastAsia="en-US"/>
        </w:rPr>
        <w:t>y las dependencias, organismos, órganos y entidades de la administración municipal;</w:t>
      </w:r>
    </w:p>
    <w:p w14:paraId="03C18501" w14:textId="77777777" w:rsidR="00B73FCF" w:rsidRPr="00B319C6" w:rsidRDefault="00B73FCF" w:rsidP="00B73FCF">
      <w:pPr>
        <w:ind w:left="851" w:right="851"/>
        <w:jc w:val="both"/>
        <w:rPr>
          <w:rFonts w:ascii="Palatino Linotype" w:eastAsiaTheme="minorHAnsi" w:hAnsi="Palatino Linotype" w:cs="Arial"/>
          <w:bCs/>
          <w:i/>
          <w:sz w:val="22"/>
          <w:szCs w:val="22"/>
          <w:lang w:eastAsia="en-US"/>
        </w:rPr>
      </w:pPr>
    </w:p>
    <w:p w14:paraId="2319E8B1" w14:textId="77777777" w:rsidR="00A16B84" w:rsidRPr="00B319C6" w:rsidRDefault="00A16B84" w:rsidP="00B73FCF">
      <w:pPr>
        <w:ind w:left="851" w:right="851"/>
        <w:jc w:val="both"/>
        <w:rPr>
          <w:rFonts w:ascii="Palatino Linotype" w:eastAsiaTheme="minorHAnsi" w:hAnsi="Palatino Linotype" w:cs="Arial"/>
          <w:b/>
          <w:bCs/>
          <w:i/>
          <w:sz w:val="22"/>
          <w:szCs w:val="22"/>
          <w:lang w:eastAsia="en-US"/>
        </w:rPr>
      </w:pPr>
      <w:r w:rsidRPr="00B319C6">
        <w:rPr>
          <w:rFonts w:ascii="Palatino Linotype" w:eastAsiaTheme="minorHAnsi" w:hAnsi="Palatino Linotype" w:cs="Arial"/>
          <w:bCs/>
          <w:i/>
          <w:sz w:val="22"/>
          <w:szCs w:val="22"/>
          <w:lang w:eastAsia="en-US"/>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r w:rsidRPr="00B319C6">
        <w:rPr>
          <w:rFonts w:ascii="Palatino Linotype" w:eastAsiaTheme="minorHAnsi" w:hAnsi="Palatino Linotype" w:cs="Arial"/>
          <w:b/>
          <w:bCs/>
          <w:i/>
          <w:sz w:val="22"/>
          <w:szCs w:val="22"/>
          <w:lang w:eastAsia="en-US"/>
        </w:rPr>
        <w:t>[Sic]</w:t>
      </w:r>
    </w:p>
    <w:p w14:paraId="34009209" w14:textId="77777777" w:rsidR="00A16B84" w:rsidRPr="00B319C6" w:rsidRDefault="00A16B84" w:rsidP="00A16B84">
      <w:pPr>
        <w:spacing w:line="360" w:lineRule="auto"/>
        <w:jc w:val="both"/>
        <w:rPr>
          <w:rFonts w:ascii="Palatino Linotype" w:eastAsiaTheme="minorHAnsi" w:hAnsi="Palatino Linotype" w:cs="Arial"/>
          <w:lang w:eastAsia="en-US"/>
        </w:rPr>
      </w:pPr>
    </w:p>
    <w:p w14:paraId="269557CC" w14:textId="58A5202B" w:rsidR="00B73FCF" w:rsidRPr="00B319C6" w:rsidRDefault="00A16B84" w:rsidP="008D7CEE">
      <w:pPr>
        <w:spacing w:line="360" w:lineRule="auto"/>
        <w:jc w:val="both"/>
        <w:rPr>
          <w:rFonts w:ascii="Palatino Linotype" w:eastAsiaTheme="minorHAnsi" w:hAnsi="Palatino Linotype" w:cs="Arial"/>
          <w:lang w:eastAsia="en-US"/>
        </w:rPr>
      </w:pPr>
      <w:r w:rsidRPr="00B319C6">
        <w:rPr>
          <w:rFonts w:ascii="Palatino Linotype" w:eastAsiaTheme="minorHAnsi" w:hAnsi="Palatino Linotype" w:cs="Arial"/>
          <w:lang w:eastAsia="en-US"/>
        </w:rPr>
        <w:t xml:space="preserve">Sirve de sustento por analogía, para justificar la publicidad sobre los datos relativos a los montos por concepto de pago de las remuneraciones, los criterios </w:t>
      </w:r>
      <w:r w:rsidRPr="00B319C6">
        <w:rPr>
          <w:rFonts w:ascii="Palatino Linotype" w:eastAsiaTheme="minorHAnsi" w:hAnsi="Palatino Linotype" w:cs="Arial"/>
          <w:b/>
          <w:lang w:eastAsia="en-US"/>
        </w:rPr>
        <w:t>01/2003</w:t>
      </w:r>
      <w:r w:rsidRPr="00B319C6">
        <w:rPr>
          <w:rFonts w:ascii="Palatino Linotype" w:eastAsiaTheme="minorHAnsi" w:hAnsi="Palatino Linotype" w:cs="Arial"/>
          <w:lang w:eastAsia="en-US"/>
        </w:rPr>
        <w:t xml:space="preserve"> y </w:t>
      </w:r>
      <w:r w:rsidRPr="00B319C6">
        <w:rPr>
          <w:rFonts w:ascii="Palatino Linotype" w:eastAsiaTheme="minorHAnsi" w:hAnsi="Palatino Linotype" w:cs="Arial"/>
          <w:b/>
          <w:lang w:eastAsia="en-US"/>
        </w:rPr>
        <w:t>02/2003</w:t>
      </w:r>
      <w:r w:rsidRPr="00B319C6">
        <w:rPr>
          <w:rFonts w:ascii="Palatino Linotype" w:eastAsiaTheme="minorHAnsi" w:hAnsi="Palatino Linotype" w:cs="Arial"/>
          <w:lang w:eastAsia="en-US"/>
        </w:rPr>
        <w:t xml:space="preserve"> emitidos por el Comité de Acceso a la Información Pública y Protección de Datos Personales de la Suprema Corte de Justicia de la Nación que a continuación se citan: </w:t>
      </w:r>
    </w:p>
    <w:p w14:paraId="5C5C033D" w14:textId="77777777" w:rsidR="00B73FCF" w:rsidRPr="00B319C6" w:rsidRDefault="00B73FCF" w:rsidP="00A16B84">
      <w:pPr>
        <w:spacing w:line="360" w:lineRule="auto"/>
        <w:ind w:left="851" w:right="851"/>
        <w:jc w:val="center"/>
        <w:rPr>
          <w:rFonts w:ascii="Palatino Linotype" w:eastAsiaTheme="minorHAnsi" w:hAnsi="Palatino Linotype" w:cs="Arial"/>
          <w:b/>
          <w:i/>
          <w:sz w:val="22"/>
          <w:szCs w:val="22"/>
          <w:lang w:eastAsia="en-US"/>
        </w:rPr>
      </w:pPr>
    </w:p>
    <w:p w14:paraId="3A331F65" w14:textId="4A55E5C1" w:rsidR="00A16B84" w:rsidRPr="00B319C6" w:rsidRDefault="00A16B84" w:rsidP="00A16B84">
      <w:pPr>
        <w:spacing w:line="360" w:lineRule="auto"/>
        <w:ind w:left="851" w:right="851"/>
        <w:jc w:val="center"/>
        <w:rPr>
          <w:rFonts w:ascii="Palatino Linotype" w:eastAsiaTheme="minorHAnsi" w:hAnsi="Palatino Linotype" w:cs="Arial"/>
          <w:b/>
          <w:i/>
          <w:sz w:val="22"/>
          <w:szCs w:val="22"/>
          <w:lang w:eastAsia="en-US"/>
        </w:rPr>
      </w:pPr>
      <w:r w:rsidRPr="00B319C6">
        <w:rPr>
          <w:rFonts w:ascii="Palatino Linotype" w:eastAsiaTheme="minorHAnsi" w:hAnsi="Palatino Linotype" w:cs="Arial"/>
          <w:b/>
          <w:i/>
          <w:sz w:val="22"/>
          <w:szCs w:val="22"/>
          <w:lang w:eastAsia="en-US"/>
        </w:rPr>
        <w:t>Criterio 01/2003.</w:t>
      </w:r>
    </w:p>
    <w:p w14:paraId="5648387C" w14:textId="77777777" w:rsidR="00A16B84" w:rsidRPr="00B319C6" w:rsidRDefault="00A16B84" w:rsidP="00B73FCF">
      <w:pPr>
        <w:ind w:left="851" w:right="851"/>
        <w:jc w:val="both"/>
        <w:rPr>
          <w:rFonts w:ascii="Palatino Linotype" w:eastAsiaTheme="minorHAnsi" w:hAnsi="Palatino Linotype" w:cs="Arial"/>
          <w:b/>
          <w:bCs/>
          <w:i/>
          <w:sz w:val="22"/>
          <w:szCs w:val="22"/>
          <w:lang w:eastAsia="en-US"/>
        </w:rPr>
      </w:pPr>
      <w:r w:rsidRPr="00B319C6">
        <w:rPr>
          <w:rFonts w:ascii="Palatino Linotype" w:eastAsiaTheme="minorHAnsi" w:hAnsi="Palatino Linotype" w:cs="Arial"/>
          <w:b/>
          <w:i/>
          <w:sz w:val="22"/>
          <w:szCs w:val="22"/>
          <w:lang w:eastAsia="en-US"/>
        </w:rPr>
        <w:t>“INGRESOS DE LOS SERVIDORES PÚBLICOS. CONSTITUYEN INFORMACIÓN PÚBLICA AÚN Y CUANDO SU DIFUSIÓN PUEDE AFECTAR LA VIDA O LA SEGURIDAD DE AQUELLOS.</w:t>
      </w:r>
      <w:r w:rsidRPr="00B319C6">
        <w:rPr>
          <w:rFonts w:ascii="Palatino Linotype" w:eastAsiaTheme="minorHAnsi" w:hAnsi="Palatino Linotype" w:cs="Arial"/>
          <w:i/>
          <w:sz w:val="22"/>
          <w:szCs w:val="22"/>
          <w:lang w:eastAsia="en-U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B319C6">
        <w:rPr>
          <w:rFonts w:ascii="Palatino Linotype" w:eastAsiaTheme="minorHAnsi" w:hAnsi="Palatino Linotype" w:cs="Arial"/>
          <w:b/>
          <w:i/>
          <w:sz w:val="22"/>
          <w:szCs w:val="22"/>
          <w:u w:val="single"/>
          <w:lang w:eastAsia="en-U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B319C6">
        <w:rPr>
          <w:rFonts w:ascii="Palatino Linotype" w:eastAsiaTheme="minorHAnsi" w:hAnsi="Palatino Linotype" w:cs="Arial"/>
          <w:i/>
          <w:sz w:val="22"/>
          <w:szCs w:val="22"/>
          <w:u w:val="single"/>
          <w:lang w:eastAsia="en-US"/>
        </w:rPr>
        <w:t>…”</w:t>
      </w:r>
      <w:r w:rsidRPr="00B319C6">
        <w:rPr>
          <w:rFonts w:ascii="Palatino Linotype" w:eastAsiaTheme="minorHAnsi" w:hAnsi="Palatino Linotype" w:cs="Arial"/>
          <w:i/>
          <w:sz w:val="22"/>
          <w:szCs w:val="22"/>
          <w:lang w:eastAsia="en-US"/>
        </w:rPr>
        <w:t xml:space="preserve"> </w:t>
      </w:r>
      <w:r w:rsidRPr="00B319C6">
        <w:rPr>
          <w:rFonts w:ascii="Palatino Linotype" w:eastAsiaTheme="minorHAnsi" w:hAnsi="Palatino Linotype" w:cs="Arial"/>
          <w:b/>
          <w:bCs/>
          <w:i/>
          <w:sz w:val="22"/>
          <w:szCs w:val="22"/>
          <w:lang w:eastAsia="en-US"/>
        </w:rPr>
        <w:t>[Sic]</w:t>
      </w:r>
    </w:p>
    <w:p w14:paraId="2BABE23C" w14:textId="77777777" w:rsidR="00A16B84" w:rsidRPr="00B319C6" w:rsidRDefault="00A16B84" w:rsidP="00B73FCF">
      <w:pPr>
        <w:ind w:left="851" w:right="851"/>
        <w:jc w:val="both"/>
        <w:rPr>
          <w:rFonts w:ascii="Palatino Linotype" w:eastAsiaTheme="minorHAnsi" w:hAnsi="Palatino Linotype" w:cs="Arial"/>
          <w:i/>
          <w:sz w:val="22"/>
          <w:szCs w:val="22"/>
          <w:lang w:eastAsia="en-US"/>
        </w:rPr>
      </w:pPr>
    </w:p>
    <w:p w14:paraId="7C12F4EE" w14:textId="77777777" w:rsidR="00A16B84" w:rsidRPr="00B319C6" w:rsidRDefault="00A16B84" w:rsidP="00B73FCF">
      <w:pPr>
        <w:ind w:left="851" w:right="851"/>
        <w:jc w:val="center"/>
        <w:rPr>
          <w:rFonts w:ascii="Palatino Linotype" w:eastAsiaTheme="minorHAnsi" w:hAnsi="Palatino Linotype" w:cs="Arial"/>
          <w:b/>
          <w:i/>
          <w:sz w:val="22"/>
          <w:szCs w:val="22"/>
          <w:lang w:eastAsia="en-US"/>
        </w:rPr>
      </w:pPr>
      <w:r w:rsidRPr="00B319C6">
        <w:rPr>
          <w:rFonts w:ascii="Palatino Linotype" w:eastAsiaTheme="minorHAnsi" w:hAnsi="Palatino Linotype" w:cs="Arial"/>
          <w:b/>
          <w:i/>
          <w:sz w:val="22"/>
          <w:szCs w:val="22"/>
          <w:lang w:eastAsia="en-US"/>
        </w:rPr>
        <w:t>Criterio 02/2003.</w:t>
      </w:r>
    </w:p>
    <w:p w14:paraId="7E4B4631" w14:textId="77777777" w:rsidR="00A16B84" w:rsidRPr="00B319C6" w:rsidRDefault="00A16B84" w:rsidP="00B73FCF">
      <w:pPr>
        <w:ind w:left="851" w:right="851"/>
        <w:jc w:val="both"/>
        <w:rPr>
          <w:rFonts w:ascii="Palatino Linotype" w:eastAsiaTheme="minorHAnsi" w:hAnsi="Palatino Linotype" w:cs="Arial"/>
          <w:b/>
          <w:i/>
          <w:sz w:val="22"/>
          <w:szCs w:val="22"/>
          <w:lang w:eastAsia="en-US"/>
        </w:rPr>
      </w:pPr>
      <w:r w:rsidRPr="00B319C6">
        <w:rPr>
          <w:rFonts w:ascii="Palatino Linotype" w:eastAsiaTheme="minorHAnsi" w:hAnsi="Palatino Linotype" w:cs="Arial"/>
          <w:b/>
          <w:i/>
          <w:sz w:val="22"/>
          <w:szCs w:val="22"/>
          <w:lang w:eastAsia="en-US"/>
        </w:rPr>
        <w:t>“INGRESOS DE LOS SERVIDORES PÚBLICOS, SON INFORMACIÓN PÚBLICA AÚN Y CUANDO CONSTITUYEN DATOS PERSONALES QUE SE REFIEREN AL PATRIMONIO DE AQUÉLLOS.</w:t>
      </w:r>
      <w:r w:rsidRPr="00B319C6">
        <w:rPr>
          <w:rFonts w:ascii="Palatino Linotype" w:eastAsiaTheme="minorHAnsi" w:hAnsi="Palatino Linotype" w:cs="Arial"/>
          <w:i/>
          <w:sz w:val="22"/>
          <w:szCs w:val="22"/>
          <w:lang w:eastAsia="en-U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B319C6">
        <w:rPr>
          <w:rFonts w:ascii="Palatino Linotype" w:eastAsiaTheme="minorHAnsi" w:hAnsi="Palatino Linotype" w:cs="Arial"/>
          <w:b/>
          <w:i/>
          <w:sz w:val="22"/>
          <w:szCs w:val="22"/>
          <w:u w:val="single"/>
          <w:lang w:eastAsia="en-U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B319C6">
        <w:rPr>
          <w:rFonts w:ascii="Palatino Linotype" w:eastAsiaTheme="minorHAnsi" w:hAnsi="Palatino Linotype" w:cs="Arial"/>
          <w:i/>
          <w:sz w:val="22"/>
          <w:szCs w:val="22"/>
          <w:lang w:eastAsia="en-US"/>
        </w:rPr>
        <w:t xml:space="preserve"> el sistema de compensación…” </w:t>
      </w:r>
      <w:r w:rsidRPr="00B319C6">
        <w:rPr>
          <w:rFonts w:ascii="Palatino Linotype" w:eastAsiaTheme="minorHAnsi" w:hAnsi="Palatino Linotype" w:cs="Arial"/>
          <w:b/>
          <w:i/>
          <w:sz w:val="22"/>
          <w:szCs w:val="22"/>
          <w:lang w:eastAsia="en-US"/>
        </w:rPr>
        <w:t>[Sic]</w:t>
      </w:r>
    </w:p>
    <w:p w14:paraId="28D0D032" w14:textId="77777777" w:rsidR="00A16B84" w:rsidRPr="00B319C6" w:rsidRDefault="00A16B84" w:rsidP="00A16B84">
      <w:pPr>
        <w:spacing w:line="360" w:lineRule="auto"/>
        <w:jc w:val="both"/>
        <w:rPr>
          <w:rFonts w:ascii="Palatino Linotype" w:eastAsiaTheme="minorHAnsi" w:hAnsi="Palatino Linotype" w:cs="Arial"/>
          <w:lang w:eastAsia="en-US"/>
        </w:rPr>
      </w:pPr>
    </w:p>
    <w:p w14:paraId="6DCFD485" w14:textId="1F17B849" w:rsidR="00A16B84" w:rsidRPr="00B319C6" w:rsidRDefault="00A16B84" w:rsidP="00A16B84">
      <w:pPr>
        <w:spacing w:line="360" w:lineRule="auto"/>
        <w:jc w:val="both"/>
        <w:rPr>
          <w:rFonts w:ascii="Palatino Linotype" w:eastAsiaTheme="minorHAnsi" w:hAnsi="Palatino Linotype" w:cs="Arial"/>
          <w:lang w:eastAsia="en-US"/>
        </w:rPr>
      </w:pPr>
      <w:r w:rsidRPr="00B319C6">
        <w:rPr>
          <w:rFonts w:ascii="Palatino Linotype" w:eastAsiaTheme="minorHAnsi" w:hAnsi="Palatino Linotype" w:cs="Arial"/>
          <w:lang w:eastAsia="en-US"/>
        </w:rPr>
        <w:lastRenderedPageBreak/>
        <w:t xml:space="preserve">En este sentido, </w:t>
      </w:r>
      <w:r w:rsidRPr="00B319C6">
        <w:rPr>
          <w:rFonts w:ascii="Palatino Linotype" w:eastAsiaTheme="minorHAnsi" w:hAnsi="Palatino Linotype" w:cs="Arial"/>
          <w:b/>
          <w:lang w:eastAsia="en-US"/>
        </w:rPr>
        <w:t>El Sujeto Obligado</w:t>
      </w:r>
      <w:r w:rsidRPr="00B319C6">
        <w:rPr>
          <w:rFonts w:ascii="Palatino Linotype" w:eastAsiaTheme="minorHAnsi" w:hAnsi="Palatino Linotype" w:cs="Arial"/>
          <w:lang w:eastAsia="en-US"/>
        </w:rPr>
        <w:t xml:space="preserve"> se encuentra constreñido a entregar la información solicitada por </w:t>
      </w:r>
      <w:r w:rsidRPr="00B319C6">
        <w:rPr>
          <w:rFonts w:ascii="Palatino Linotype" w:eastAsiaTheme="minorHAnsi" w:hAnsi="Palatino Linotype" w:cs="Arial"/>
          <w:b/>
          <w:color w:val="000000"/>
          <w:lang w:eastAsia="es-MX"/>
        </w:rPr>
        <w:t>El</w:t>
      </w:r>
      <w:r w:rsidRPr="00B319C6">
        <w:rPr>
          <w:rFonts w:ascii="Palatino Linotype" w:eastAsiaTheme="minorHAnsi" w:hAnsi="Palatino Linotype" w:cs="Arial"/>
          <w:b/>
          <w:color w:val="000000"/>
          <w:lang w:val="es-MX" w:eastAsia="es-MX"/>
        </w:rPr>
        <w:t xml:space="preserve"> Recurrente</w:t>
      </w:r>
      <w:r w:rsidRPr="00B319C6">
        <w:rPr>
          <w:rFonts w:ascii="Palatino Linotype" w:eastAsiaTheme="minorHAnsi" w:hAnsi="Palatino Linotype" w:cs="Arial"/>
          <w:lang w:eastAsia="en-US"/>
        </w:rPr>
        <w:t xml:space="preserve">, de acuerdo a lo dispuesto por los artículos 3, fracción XI y 12 </w:t>
      </w:r>
      <w:r w:rsidRPr="00B319C6">
        <w:rPr>
          <w:rFonts w:ascii="Palatino Linotype" w:eastAsiaTheme="minorHAnsi" w:hAnsi="Palatino Linotype" w:cs="Arial"/>
          <w:bCs/>
          <w:lang w:eastAsia="en-US"/>
        </w:rPr>
        <w:t>de la Ley de Transparencia y Acceso a la Información Pública del Estado de México y Municipios</w:t>
      </w:r>
      <w:r w:rsidRPr="00B319C6">
        <w:rPr>
          <w:rFonts w:ascii="Palatino Linotype" w:eastAsiaTheme="minorHAnsi" w:hAnsi="Palatino Linotype" w:cs="Arial"/>
          <w:lang w:eastAsia="en-US"/>
        </w:rPr>
        <w:t>, de los cuales se desprende que es información pública la contenida en los documentos que los Sujetos Obligados generen, administren o se encuentre en su posesión en ejercicio de sus atribuciones.</w:t>
      </w:r>
    </w:p>
    <w:p w14:paraId="6C058283" w14:textId="77777777" w:rsidR="00B73FCF" w:rsidRPr="00B319C6" w:rsidRDefault="00B73FCF" w:rsidP="00A16B84">
      <w:pPr>
        <w:spacing w:line="360" w:lineRule="auto"/>
        <w:jc w:val="both"/>
        <w:rPr>
          <w:rFonts w:ascii="Palatino Linotype" w:eastAsiaTheme="minorHAnsi" w:hAnsi="Palatino Linotype" w:cs="Arial"/>
          <w:lang w:eastAsia="en-US"/>
        </w:rPr>
      </w:pPr>
    </w:p>
    <w:p w14:paraId="5918E1A9" w14:textId="77777777" w:rsidR="00A16B84" w:rsidRPr="00B319C6" w:rsidRDefault="00A16B84" w:rsidP="00A16B84">
      <w:pPr>
        <w:autoSpaceDE w:val="0"/>
        <w:autoSpaceDN w:val="0"/>
        <w:adjustRightInd w:val="0"/>
        <w:spacing w:line="360" w:lineRule="auto"/>
        <w:jc w:val="both"/>
        <w:rPr>
          <w:rFonts w:ascii="Palatino Linotype" w:eastAsiaTheme="minorHAnsi" w:hAnsi="Palatino Linotype" w:cs="Arial"/>
          <w:lang w:eastAsia="en-US"/>
        </w:rPr>
      </w:pPr>
      <w:r w:rsidRPr="00B319C6">
        <w:rPr>
          <w:rFonts w:ascii="Palatino Linotype" w:eastAsiaTheme="minorHAnsi" w:hAnsi="Palatino Linotype" w:cs="Arial"/>
          <w:lang w:eastAsia="en-US"/>
        </w:rPr>
        <w:t xml:space="preserve">Siendo aplicable, el criterio </w:t>
      </w:r>
      <w:r w:rsidRPr="00B319C6">
        <w:rPr>
          <w:rFonts w:ascii="Palatino Linotype" w:eastAsiaTheme="minorHAnsi" w:hAnsi="Palatino Linotype" w:cs="Arial"/>
          <w:bCs/>
          <w:lang w:eastAsia="en-U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319C6">
        <w:rPr>
          <w:rFonts w:ascii="Palatino Linotype" w:eastAsiaTheme="minorHAnsi" w:hAnsi="Palatino Linotype" w:cs="Arial"/>
          <w:lang w:eastAsia="en-US"/>
        </w:rPr>
        <w:t>cuyo rubro y texto dispone:</w:t>
      </w:r>
    </w:p>
    <w:p w14:paraId="2A95E73D" w14:textId="77777777" w:rsidR="00A16B84" w:rsidRPr="00B319C6" w:rsidRDefault="00A16B84" w:rsidP="00B73FCF">
      <w:pPr>
        <w:ind w:left="851" w:right="851"/>
        <w:jc w:val="center"/>
        <w:rPr>
          <w:rFonts w:ascii="Palatino Linotype" w:eastAsiaTheme="minorHAnsi" w:hAnsi="Palatino Linotype" w:cs="Arial"/>
          <w:b/>
          <w:i/>
          <w:sz w:val="22"/>
          <w:szCs w:val="22"/>
          <w:lang w:eastAsia="en-US"/>
        </w:rPr>
      </w:pPr>
      <w:r w:rsidRPr="00B319C6">
        <w:rPr>
          <w:rFonts w:ascii="Palatino Linotype" w:eastAsiaTheme="minorHAnsi" w:hAnsi="Palatino Linotype" w:cs="Arial"/>
          <w:b/>
          <w:i/>
          <w:sz w:val="22"/>
          <w:szCs w:val="22"/>
          <w:lang w:eastAsia="en-US"/>
        </w:rPr>
        <w:t>CRITERIO 0002-11</w:t>
      </w:r>
    </w:p>
    <w:p w14:paraId="53D4D6A4" w14:textId="77777777" w:rsidR="00A16B84" w:rsidRPr="00B319C6" w:rsidRDefault="00A16B84" w:rsidP="00B73FCF">
      <w:pPr>
        <w:ind w:left="851" w:right="851"/>
        <w:jc w:val="both"/>
        <w:rPr>
          <w:rFonts w:ascii="Palatino Linotype" w:eastAsiaTheme="minorHAnsi" w:hAnsi="Palatino Linotype" w:cs="Arial"/>
          <w:i/>
          <w:sz w:val="22"/>
          <w:szCs w:val="22"/>
          <w:lang w:eastAsia="en-US"/>
        </w:rPr>
      </w:pPr>
      <w:r w:rsidRPr="00B319C6">
        <w:rPr>
          <w:rFonts w:ascii="Palatino Linotype" w:eastAsiaTheme="minorHAnsi" w:hAnsi="Palatino Linotype" w:cs="Arial"/>
          <w:b/>
          <w:i/>
          <w:sz w:val="22"/>
          <w:szCs w:val="22"/>
          <w:lang w:eastAsia="en-US"/>
        </w:rPr>
        <w:t xml:space="preserve">“INFORMACIÓN PÚBLICA, CONCEPTO DE, EN MATERIA DE TRANSPARENCIA. INTERPRETACIÓN TEMÁTICA DE LOS ARTÍCULOS 2 2, FRACCIÓN </w:t>
      </w:r>
      <w:r w:rsidRPr="00B319C6">
        <w:rPr>
          <w:rFonts w:ascii="Palatino Linotype" w:eastAsiaTheme="minorHAnsi" w:hAnsi="Palatino Linotype" w:cs="Arial"/>
          <w:b/>
          <w:bCs/>
          <w:i/>
          <w:sz w:val="22"/>
          <w:szCs w:val="22"/>
          <w:lang w:eastAsia="en-US"/>
        </w:rPr>
        <w:t xml:space="preserve">V, XV, Y XVI, </w:t>
      </w:r>
      <w:r w:rsidRPr="00B319C6">
        <w:rPr>
          <w:rFonts w:ascii="Palatino Linotype" w:eastAsiaTheme="minorHAnsi" w:hAnsi="Palatino Linotype" w:cs="Arial"/>
          <w:b/>
          <w:i/>
          <w:sz w:val="22"/>
          <w:szCs w:val="22"/>
          <w:lang w:eastAsia="en-US"/>
        </w:rPr>
        <w:t>32, 4,11 Y 41.</w:t>
      </w:r>
      <w:r w:rsidRPr="00B319C6">
        <w:rPr>
          <w:rFonts w:ascii="Palatino Linotype" w:eastAsiaTheme="minorHAnsi" w:hAnsi="Palatino Linotype" w:cs="Arial"/>
          <w:i/>
          <w:sz w:val="22"/>
          <w:szCs w:val="22"/>
          <w:lang w:eastAsia="en-U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73B365C" w14:textId="77777777" w:rsidR="00A16B84" w:rsidRPr="00B319C6" w:rsidRDefault="00A16B84" w:rsidP="00B73FCF">
      <w:pPr>
        <w:ind w:left="851" w:right="851"/>
        <w:jc w:val="both"/>
        <w:rPr>
          <w:rFonts w:ascii="Palatino Linotype" w:eastAsiaTheme="minorHAnsi" w:hAnsi="Palatino Linotype" w:cs="Arial"/>
          <w:i/>
          <w:sz w:val="22"/>
          <w:szCs w:val="22"/>
          <w:lang w:eastAsia="en-US"/>
        </w:rPr>
      </w:pPr>
      <w:r w:rsidRPr="00B319C6">
        <w:rPr>
          <w:rFonts w:ascii="Palatino Linotype" w:eastAsiaTheme="minorHAnsi" w:hAnsi="Palatino Linotype" w:cs="Arial"/>
          <w:i/>
          <w:sz w:val="22"/>
          <w:szCs w:val="22"/>
          <w:lang w:eastAsia="en-US"/>
        </w:rPr>
        <w:t>En consecuencia el acceso a la información se refiere a que se cumplan cualquiera de los siguientes tres supuestos:</w:t>
      </w:r>
    </w:p>
    <w:p w14:paraId="25A126AA" w14:textId="77777777" w:rsidR="00A16B84" w:rsidRPr="00B319C6" w:rsidRDefault="00A16B84" w:rsidP="00B73FCF">
      <w:pPr>
        <w:ind w:left="851" w:right="851"/>
        <w:jc w:val="both"/>
        <w:rPr>
          <w:rFonts w:ascii="Palatino Linotype" w:eastAsiaTheme="minorHAnsi" w:hAnsi="Palatino Linotype" w:cs="Arial"/>
          <w:b/>
          <w:i/>
          <w:sz w:val="22"/>
          <w:szCs w:val="22"/>
          <w:u w:val="single"/>
          <w:lang w:eastAsia="en-US"/>
        </w:rPr>
      </w:pPr>
      <w:r w:rsidRPr="00B319C6">
        <w:rPr>
          <w:rFonts w:ascii="Palatino Linotype" w:eastAsiaTheme="minorHAnsi" w:hAnsi="Palatino Linotype" w:cs="Arial"/>
          <w:b/>
          <w:i/>
          <w:sz w:val="22"/>
          <w:szCs w:val="22"/>
          <w:u w:val="single"/>
          <w:lang w:eastAsia="en-US"/>
        </w:rPr>
        <w:t>1) Que se trate de información registrada en cualquier soporte documental, que en ejercicio de las atribuciones conferidas, sea generada por los Sujetos Obligados;</w:t>
      </w:r>
    </w:p>
    <w:p w14:paraId="325506EC" w14:textId="77777777" w:rsidR="00A16B84" w:rsidRPr="00B319C6" w:rsidRDefault="00A16B84" w:rsidP="00B73FCF">
      <w:pPr>
        <w:ind w:left="851" w:right="851"/>
        <w:jc w:val="both"/>
        <w:rPr>
          <w:rFonts w:ascii="Palatino Linotype" w:eastAsiaTheme="minorHAnsi" w:hAnsi="Palatino Linotype" w:cs="Arial"/>
          <w:i/>
          <w:sz w:val="22"/>
          <w:szCs w:val="22"/>
          <w:lang w:eastAsia="en-US"/>
        </w:rPr>
      </w:pPr>
      <w:r w:rsidRPr="00B319C6">
        <w:rPr>
          <w:rFonts w:ascii="Palatino Linotype" w:eastAsiaTheme="minorHAnsi" w:hAnsi="Palatino Linotype" w:cs="Arial"/>
          <w:i/>
          <w:sz w:val="22"/>
          <w:szCs w:val="22"/>
          <w:lang w:eastAsia="en-US"/>
        </w:rPr>
        <w:t>2) Que se trate de información registrada en cualquier soporte documental, que en ejercicio de las atribuciones conferidas, sea administrada por los Sujetos Obligados, y</w:t>
      </w:r>
    </w:p>
    <w:p w14:paraId="02F76A4C" w14:textId="77777777" w:rsidR="00A16B84" w:rsidRPr="00B319C6" w:rsidRDefault="00A16B84" w:rsidP="00B73FCF">
      <w:pPr>
        <w:ind w:left="851" w:right="851"/>
        <w:jc w:val="both"/>
        <w:rPr>
          <w:rFonts w:ascii="Palatino Linotype" w:eastAsiaTheme="minorHAnsi" w:hAnsi="Palatino Linotype" w:cs="Arial"/>
          <w:b/>
          <w:i/>
          <w:sz w:val="22"/>
          <w:szCs w:val="22"/>
          <w:lang w:eastAsia="en-US"/>
        </w:rPr>
      </w:pPr>
      <w:r w:rsidRPr="00B319C6">
        <w:rPr>
          <w:rFonts w:ascii="Palatino Linotype" w:eastAsiaTheme="minorHAnsi" w:hAnsi="Palatino Linotype" w:cs="Arial"/>
          <w:i/>
          <w:sz w:val="22"/>
          <w:szCs w:val="22"/>
          <w:lang w:eastAsia="en-US"/>
        </w:rPr>
        <w:lastRenderedPageBreak/>
        <w:t xml:space="preserve">3) Que se trate de información registrada en cualquier soporte documental, que en ejercicio de las atribuciones conferidas, se encuentre en posesión de los Sujetos Obligados.” </w:t>
      </w:r>
      <w:r w:rsidRPr="00B319C6">
        <w:rPr>
          <w:rFonts w:ascii="Palatino Linotype" w:eastAsiaTheme="minorHAnsi" w:hAnsi="Palatino Linotype" w:cs="Arial"/>
          <w:b/>
          <w:i/>
          <w:sz w:val="22"/>
          <w:szCs w:val="22"/>
          <w:lang w:eastAsia="en-US"/>
        </w:rPr>
        <w:t>[Sic]</w:t>
      </w:r>
    </w:p>
    <w:p w14:paraId="68B5A1ED" w14:textId="77777777" w:rsidR="00A16B84" w:rsidRPr="00B319C6" w:rsidRDefault="00A16B84" w:rsidP="00A16B84">
      <w:pPr>
        <w:autoSpaceDE w:val="0"/>
        <w:autoSpaceDN w:val="0"/>
        <w:adjustRightInd w:val="0"/>
        <w:spacing w:line="360" w:lineRule="auto"/>
        <w:jc w:val="both"/>
        <w:rPr>
          <w:rFonts w:ascii="Palatino Linotype" w:eastAsiaTheme="minorHAnsi" w:hAnsi="Palatino Linotype" w:cs="Arial"/>
          <w:lang w:val="es-MX" w:eastAsia="en-US"/>
        </w:rPr>
      </w:pPr>
    </w:p>
    <w:p w14:paraId="1B11E369" w14:textId="4FE9207C" w:rsidR="00A16B84" w:rsidRPr="00B319C6" w:rsidRDefault="00A16B84" w:rsidP="00A16B84">
      <w:pPr>
        <w:autoSpaceDE w:val="0"/>
        <w:autoSpaceDN w:val="0"/>
        <w:adjustRightInd w:val="0"/>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3D901149" w14:textId="77777777" w:rsidR="00B73FCF" w:rsidRPr="00B319C6" w:rsidRDefault="00B73FCF" w:rsidP="00A16B84">
      <w:pPr>
        <w:autoSpaceDE w:val="0"/>
        <w:autoSpaceDN w:val="0"/>
        <w:adjustRightInd w:val="0"/>
        <w:spacing w:line="360" w:lineRule="auto"/>
        <w:jc w:val="both"/>
        <w:rPr>
          <w:rFonts w:ascii="Palatino Linotype" w:eastAsiaTheme="minorHAnsi" w:hAnsi="Palatino Linotype" w:cs="Arial"/>
          <w:lang w:val="es-MX" w:eastAsia="en-US"/>
        </w:rPr>
      </w:pPr>
    </w:p>
    <w:p w14:paraId="184DE340" w14:textId="77777777" w:rsidR="00A16B84" w:rsidRPr="00B319C6" w:rsidRDefault="00A16B84" w:rsidP="00B73FCF">
      <w:pPr>
        <w:autoSpaceDE w:val="0"/>
        <w:autoSpaceDN w:val="0"/>
        <w:adjustRightInd w:val="0"/>
        <w:ind w:left="851" w:right="851"/>
        <w:jc w:val="both"/>
        <w:rPr>
          <w:rFonts w:ascii="Palatino Linotype" w:eastAsiaTheme="minorHAnsi" w:hAnsi="Palatino Linotype" w:cs="Arial"/>
          <w:b/>
          <w:bCs/>
          <w:i/>
          <w:color w:val="000000"/>
          <w:sz w:val="22"/>
          <w:szCs w:val="22"/>
          <w:lang w:val="es-MX" w:eastAsia="en-US"/>
        </w:rPr>
      </w:pPr>
      <w:r w:rsidRPr="00B319C6">
        <w:rPr>
          <w:rFonts w:ascii="Palatino Linotype" w:eastAsiaTheme="minorHAnsi" w:hAnsi="Palatino Linotype" w:cs="Arial"/>
          <w:b/>
          <w:bCs/>
          <w:i/>
          <w:color w:val="000000"/>
          <w:sz w:val="22"/>
          <w:szCs w:val="22"/>
          <w:lang w:val="es-MX" w:eastAsia="en-US"/>
        </w:rPr>
        <w:t xml:space="preserve">“Artículo 24. </w:t>
      </w:r>
      <w:r w:rsidRPr="00B319C6">
        <w:rPr>
          <w:rFonts w:ascii="Palatino Linotype" w:eastAsiaTheme="minorHAnsi" w:hAnsi="Palatino Linotype" w:cs="Arial"/>
          <w:i/>
          <w:color w:val="000000"/>
          <w:sz w:val="22"/>
          <w:szCs w:val="22"/>
          <w:lang w:val="es-MX" w:eastAsia="en-US"/>
        </w:rPr>
        <w:t>Para el cumplimiento de los objetivos de esta Ley, los sujetos obligados deberán cumplir con las siguientes obligaciones, según corresponda, de acuerdo a su naturaleza:</w:t>
      </w:r>
    </w:p>
    <w:p w14:paraId="7F13D940" w14:textId="77777777" w:rsidR="00A16B84" w:rsidRPr="00B319C6" w:rsidRDefault="00A16B84" w:rsidP="00B73FCF">
      <w:pPr>
        <w:autoSpaceDE w:val="0"/>
        <w:autoSpaceDN w:val="0"/>
        <w:adjustRightInd w:val="0"/>
        <w:ind w:left="851" w:right="851"/>
        <w:jc w:val="both"/>
        <w:rPr>
          <w:rFonts w:ascii="Palatino Linotype" w:eastAsiaTheme="minorHAnsi" w:hAnsi="Palatino Linotype" w:cs="Arial"/>
          <w:b/>
          <w:bCs/>
          <w:i/>
          <w:color w:val="000000"/>
          <w:sz w:val="22"/>
          <w:szCs w:val="22"/>
          <w:lang w:val="es-MX" w:eastAsia="en-US"/>
        </w:rPr>
      </w:pPr>
      <w:r w:rsidRPr="00B319C6">
        <w:rPr>
          <w:rFonts w:ascii="Palatino Linotype" w:eastAsiaTheme="minorHAnsi" w:hAnsi="Palatino Linotype" w:cs="Arial"/>
          <w:b/>
          <w:bCs/>
          <w:i/>
          <w:color w:val="000000"/>
          <w:sz w:val="22"/>
          <w:szCs w:val="22"/>
          <w:lang w:val="es-MX" w:eastAsia="en-US"/>
        </w:rPr>
        <w:t xml:space="preserve">XII. </w:t>
      </w:r>
      <w:r w:rsidRPr="00B319C6">
        <w:rPr>
          <w:rFonts w:ascii="Palatino Linotype" w:eastAsiaTheme="minorHAnsi" w:hAnsi="Palatino Linotype" w:cs="Arial"/>
          <w:b/>
          <w:i/>
          <w:color w:val="000000"/>
          <w:sz w:val="22"/>
          <w:szCs w:val="22"/>
          <w:u w:val="single"/>
          <w:lang w:val="es-MX" w:eastAsia="en-US"/>
        </w:rPr>
        <w:t>Publicar y mantener actualizada la información relativa a las obligaciones generales de transparencia</w:t>
      </w:r>
      <w:r w:rsidRPr="00B319C6">
        <w:rPr>
          <w:rFonts w:ascii="Palatino Linotype" w:eastAsiaTheme="minorHAnsi" w:hAnsi="Palatino Linotype" w:cs="Arial"/>
          <w:i/>
          <w:color w:val="000000"/>
          <w:sz w:val="22"/>
          <w:szCs w:val="22"/>
          <w:lang w:val="es-MX" w:eastAsia="en-US"/>
        </w:rPr>
        <w:t xml:space="preserve"> previstas en la presente Ley o determinadas así por el Instituto, y en general aquella que sea de interés público;</w:t>
      </w:r>
    </w:p>
    <w:p w14:paraId="378265A2" w14:textId="77777777" w:rsidR="00A16B84" w:rsidRPr="00B319C6" w:rsidRDefault="00A16B84" w:rsidP="00B73FCF">
      <w:pPr>
        <w:autoSpaceDE w:val="0"/>
        <w:autoSpaceDN w:val="0"/>
        <w:adjustRightInd w:val="0"/>
        <w:ind w:left="851" w:right="851"/>
        <w:jc w:val="both"/>
        <w:rPr>
          <w:rFonts w:ascii="Palatino Linotype" w:eastAsiaTheme="minorHAnsi" w:hAnsi="Palatino Linotype" w:cs="Arial"/>
          <w:i/>
          <w:color w:val="000000"/>
          <w:sz w:val="22"/>
          <w:szCs w:val="22"/>
          <w:lang w:val="es-MX" w:eastAsia="en-US"/>
        </w:rPr>
      </w:pPr>
      <w:r w:rsidRPr="00B319C6">
        <w:rPr>
          <w:rFonts w:ascii="Palatino Linotype" w:eastAsiaTheme="minorHAnsi" w:hAnsi="Palatino Linotype" w:cs="Arial"/>
          <w:b/>
          <w:bCs/>
          <w:i/>
          <w:color w:val="000000"/>
          <w:sz w:val="22"/>
          <w:szCs w:val="22"/>
          <w:lang w:val="es-MX" w:eastAsia="en-US"/>
        </w:rPr>
        <w:t xml:space="preserve">Artículo 92. </w:t>
      </w:r>
      <w:r w:rsidRPr="00B319C6">
        <w:rPr>
          <w:rFonts w:ascii="Palatino Linotype" w:eastAsiaTheme="minorHAnsi" w:hAnsi="Palatino Linotype" w:cs="Arial"/>
          <w:i/>
          <w:color w:val="000000"/>
          <w:sz w:val="22"/>
          <w:szCs w:val="22"/>
          <w:lang w:val="es-MX" w:eastAsia="en-US"/>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2081DB95" w14:textId="77777777" w:rsidR="00A16B84" w:rsidRPr="00B319C6" w:rsidRDefault="00A16B84" w:rsidP="00B73FCF">
      <w:pPr>
        <w:autoSpaceDE w:val="0"/>
        <w:autoSpaceDN w:val="0"/>
        <w:adjustRightInd w:val="0"/>
        <w:ind w:left="851" w:right="851"/>
        <w:jc w:val="both"/>
        <w:rPr>
          <w:rFonts w:ascii="Palatino Linotype" w:eastAsiaTheme="minorHAnsi" w:hAnsi="Palatino Linotype" w:cs="Arial"/>
          <w:i/>
          <w:color w:val="000000"/>
          <w:sz w:val="22"/>
          <w:szCs w:val="22"/>
          <w:lang w:val="es-MX" w:eastAsia="en-US"/>
        </w:rPr>
      </w:pPr>
      <w:r w:rsidRPr="00B319C6">
        <w:rPr>
          <w:rFonts w:ascii="Palatino Linotype" w:eastAsiaTheme="minorHAnsi" w:hAnsi="Palatino Linotype" w:cs="Arial"/>
          <w:b/>
          <w:bCs/>
          <w:i/>
          <w:color w:val="000000"/>
          <w:sz w:val="22"/>
          <w:szCs w:val="22"/>
          <w:lang w:val="es-MX" w:eastAsia="en-US"/>
        </w:rPr>
        <w:t>(…</w:t>
      </w:r>
      <w:r w:rsidRPr="00B319C6">
        <w:rPr>
          <w:rFonts w:ascii="Palatino Linotype" w:eastAsiaTheme="minorHAnsi" w:hAnsi="Palatino Linotype" w:cs="Arial"/>
          <w:i/>
          <w:color w:val="000000"/>
          <w:sz w:val="22"/>
          <w:szCs w:val="22"/>
          <w:lang w:val="es-MX" w:eastAsia="en-US"/>
        </w:rPr>
        <w:t>)</w:t>
      </w:r>
    </w:p>
    <w:p w14:paraId="30D1B3E7" w14:textId="77777777" w:rsidR="00A16B84" w:rsidRPr="00B319C6" w:rsidRDefault="00A16B84" w:rsidP="00B73FCF">
      <w:pPr>
        <w:autoSpaceDE w:val="0"/>
        <w:autoSpaceDN w:val="0"/>
        <w:adjustRightInd w:val="0"/>
        <w:ind w:left="851" w:right="851"/>
        <w:jc w:val="both"/>
        <w:rPr>
          <w:rFonts w:ascii="Palatino Linotype" w:eastAsiaTheme="minorHAnsi" w:hAnsi="Palatino Linotype" w:cstheme="minorBidi"/>
          <w:b/>
          <w:i/>
          <w:sz w:val="22"/>
          <w:szCs w:val="22"/>
          <w:u w:val="single"/>
          <w:lang w:val="es-MX" w:eastAsia="en-US"/>
        </w:rPr>
      </w:pPr>
      <w:r w:rsidRPr="00B319C6">
        <w:rPr>
          <w:rFonts w:ascii="Palatino Linotype" w:eastAsiaTheme="minorHAnsi" w:hAnsi="Palatino Linotype" w:cstheme="minorBidi"/>
          <w:b/>
          <w:bCs/>
          <w:i/>
          <w:sz w:val="22"/>
          <w:szCs w:val="22"/>
          <w:u w:val="single"/>
          <w:lang w:val="es-MX" w:eastAsia="en-US"/>
        </w:rPr>
        <w:t xml:space="preserve">VIII. </w:t>
      </w:r>
      <w:r w:rsidRPr="00B319C6">
        <w:rPr>
          <w:rFonts w:ascii="Palatino Linotype" w:eastAsiaTheme="minorHAnsi" w:hAnsi="Palatino Linotype" w:cstheme="minorBidi"/>
          <w:b/>
          <w:i/>
          <w:sz w:val="22"/>
          <w:szCs w:val="22"/>
          <w:u w:val="single"/>
          <w:lang w:val="es-MX" w:eastAsia="en-US"/>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7EF7769" w14:textId="77777777" w:rsidR="00A16B84" w:rsidRPr="00B319C6" w:rsidRDefault="00A16B84" w:rsidP="00B73FCF">
      <w:pPr>
        <w:autoSpaceDE w:val="0"/>
        <w:autoSpaceDN w:val="0"/>
        <w:adjustRightInd w:val="0"/>
        <w:ind w:left="851" w:right="851"/>
        <w:jc w:val="both"/>
        <w:rPr>
          <w:rFonts w:ascii="Palatino Linotype" w:eastAsiaTheme="minorHAnsi" w:hAnsi="Palatino Linotype" w:cstheme="minorBidi"/>
          <w:b/>
          <w:i/>
          <w:sz w:val="22"/>
          <w:szCs w:val="22"/>
          <w:u w:val="single"/>
          <w:lang w:val="es-MX" w:eastAsia="en-US"/>
        </w:rPr>
      </w:pPr>
      <w:r w:rsidRPr="00B319C6">
        <w:rPr>
          <w:rFonts w:ascii="Palatino Linotype" w:eastAsiaTheme="minorHAnsi" w:hAnsi="Palatino Linotype" w:cstheme="minorBidi"/>
          <w:b/>
          <w:i/>
          <w:sz w:val="22"/>
          <w:szCs w:val="22"/>
          <w:u w:val="single"/>
          <w:lang w:val="es-MX" w:eastAsia="en-US"/>
        </w:rPr>
        <w:t>(…)”</w:t>
      </w:r>
      <w:r w:rsidRPr="00B319C6">
        <w:rPr>
          <w:rFonts w:ascii="Palatino Linotype" w:eastAsiaTheme="minorHAnsi" w:hAnsi="Palatino Linotype" w:cstheme="minorBidi"/>
          <w:i/>
          <w:sz w:val="22"/>
          <w:szCs w:val="22"/>
          <w:u w:val="single"/>
          <w:lang w:val="es-MX" w:eastAsia="en-US"/>
        </w:rPr>
        <w:t xml:space="preserve"> </w:t>
      </w:r>
      <w:r w:rsidRPr="00B319C6">
        <w:rPr>
          <w:rFonts w:ascii="Palatino Linotype" w:eastAsiaTheme="minorHAnsi" w:hAnsi="Palatino Linotype" w:cstheme="minorBidi"/>
          <w:b/>
          <w:i/>
          <w:sz w:val="22"/>
          <w:szCs w:val="22"/>
          <w:u w:val="single"/>
          <w:lang w:val="es-MX" w:eastAsia="en-US"/>
        </w:rPr>
        <w:t>[Sic]</w:t>
      </w:r>
    </w:p>
    <w:p w14:paraId="38C4F6D3" w14:textId="77777777" w:rsidR="00A16B84" w:rsidRPr="00B319C6" w:rsidRDefault="00A16B84" w:rsidP="00A16B84">
      <w:pPr>
        <w:autoSpaceDE w:val="0"/>
        <w:autoSpaceDN w:val="0"/>
        <w:adjustRightInd w:val="0"/>
        <w:spacing w:line="360" w:lineRule="auto"/>
        <w:ind w:right="851"/>
        <w:jc w:val="both"/>
        <w:rPr>
          <w:rFonts w:ascii="Palatino Linotype" w:eastAsiaTheme="minorHAnsi" w:hAnsi="Palatino Linotype" w:cstheme="minorBidi"/>
          <w:b/>
          <w:i/>
          <w:sz w:val="22"/>
          <w:szCs w:val="22"/>
          <w:lang w:val="es-MX" w:eastAsia="en-US"/>
        </w:rPr>
      </w:pPr>
    </w:p>
    <w:p w14:paraId="773DC3E8" w14:textId="77777777" w:rsidR="00A16B84" w:rsidRPr="00B319C6" w:rsidRDefault="00A16B84" w:rsidP="00A16B84">
      <w:pPr>
        <w:spacing w:line="360" w:lineRule="auto"/>
        <w:contextualSpacing/>
        <w:jc w:val="both"/>
        <w:rPr>
          <w:rFonts w:ascii="Palatino Linotype" w:eastAsia="MS Mincho" w:hAnsi="Palatino Linotype"/>
          <w:lang w:val="es-MX" w:eastAsia="en-US"/>
        </w:rPr>
      </w:pPr>
      <w:r w:rsidRPr="00B319C6">
        <w:rPr>
          <w:rFonts w:ascii="Palatino Linotype" w:eastAsia="MS Mincho" w:hAnsi="Palatino Linotype" w:cs="Tahoma"/>
          <w:lang w:val="es-MX" w:eastAsia="en-US"/>
        </w:rPr>
        <w:t xml:space="preserve">Así, la Ley de Transparencia y Acceso a la Información Pública del Estado de México y Municipios </w:t>
      </w:r>
      <w:r w:rsidRPr="00B319C6">
        <w:rPr>
          <w:rFonts w:ascii="Palatino Linotype" w:eastAsia="Arial Unicode MS" w:hAnsi="Palatino Linotype" w:cs="Arial"/>
          <w:lang w:val="es-MX" w:eastAsia="en-US"/>
        </w:rPr>
        <w:t xml:space="preserve">en el artículo 92 </w:t>
      </w:r>
      <w:r w:rsidRPr="00B319C6">
        <w:rPr>
          <w:rFonts w:ascii="Palatino Linotype" w:eastAsia="Arial Unicode MS" w:hAnsi="Palatino Linotype"/>
          <w:lang w:val="es-MX" w:eastAsia="en-US"/>
        </w:rPr>
        <w:t>fracción VIII, señala que</w:t>
      </w:r>
      <w:r w:rsidRPr="00B319C6">
        <w:rPr>
          <w:rFonts w:ascii="Palatino Linotype" w:eastAsia="MS Mincho" w:hAnsi="Palatino Linotype" w:cs="Tahoma"/>
          <w:lang w:val="es-MX" w:eastAsia="en-US"/>
        </w:rPr>
        <w:t xml:space="preserve"> la </w:t>
      </w:r>
      <w:r w:rsidRPr="00B319C6">
        <w:rPr>
          <w:rFonts w:ascii="Palatino Linotype" w:hAnsi="Palatino Linotype" w:cs="Arial"/>
          <w:lang w:val="es-MX" w:eastAsia="en-US"/>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w:t>
      </w:r>
      <w:r w:rsidRPr="00B319C6">
        <w:rPr>
          <w:rFonts w:ascii="Palatino Linotype" w:hAnsi="Palatino Linotype" w:cs="Arial"/>
          <w:lang w:val="es-MX" w:eastAsia="en-US"/>
        </w:rPr>
        <w:lastRenderedPageBreak/>
        <w:t xml:space="preserve">señalando la periodicidad de dicha remuneración, </w:t>
      </w:r>
      <w:r w:rsidRPr="00B319C6">
        <w:rPr>
          <w:rFonts w:ascii="Palatino Linotype" w:eastAsia="Arial Unicode MS" w:hAnsi="Palatino Linotype" w:cs="Arial"/>
          <w:lang w:val="es-MX" w:eastAsia="en-US"/>
        </w:rPr>
        <w:t xml:space="preserve">se trata de las obligaciones de transparencia comunes, esto es, información que por su naturaleza es pública y que los </w:t>
      </w:r>
      <w:r w:rsidRPr="00B319C6">
        <w:rPr>
          <w:rFonts w:ascii="Palatino Linotype" w:eastAsia="MS Mincho" w:hAnsi="Palatino Linotype"/>
          <w:lang w:val="es-MX" w:eastAsia="en-US"/>
        </w:rPr>
        <w:t xml:space="preserve">sujetos obligados deben poner a disposición del público de manera permanente y por tanto deberán mantenerla actualizada, en los respectivos medios electrónicos, de acuerdo con sus facultades, atribuciones, funciones u objeto social. </w:t>
      </w:r>
    </w:p>
    <w:p w14:paraId="17919185" w14:textId="77777777" w:rsidR="00A16B84" w:rsidRPr="00B319C6" w:rsidRDefault="00A16B84" w:rsidP="00A16B84">
      <w:pPr>
        <w:spacing w:line="360" w:lineRule="auto"/>
        <w:contextualSpacing/>
        <w:jc w:val="both"/>
        <w:rPr>
          <w:rFonts w:ascii="Palatino Linotype" w:eastAsia="MS Mincho" w:hAnsi="Palatino Linotype"/>
          <w:lang w:val="es-MX" w:eastAsia="en-US"/>
        </w:rPr>
      </w:pPr>
    </w:p>
    <w:p w14:paraId="46886712" w14:textId="361A84AA" w:rsidR="00A16B84" w:rsidRPr="00B319C6" w:rsidRDefault="00A16B84" w:rsidP="00A16B84">
      <w:pPr>
        <w:spacing w:line="360" w:lineRule="auto"/>
        <w:jc w:val="both"/>
        <w:rPr>
          <w:rFonts w:ascii="Palatino Linotype" w:eastAsiaTheme="minorHAnsi" w:hAnsi="Palatino Linotype" w:cs="Arial"/>
          <w:b/>
          <w:lang w:val="es-MX" w:eastAsia="en-US"/>
        </w:rPr>
      </w:pPr>
      <w:r w:rsidRPr="00B319C6">
        <w:rPr>
          <w:rFonts w:ascii="Palatino Linotype" w:eastAsiaTheme="minorHAnsi" w:hAnsi="Palatino Linotype" w:cs="Arial"/>
          <w:lang w:val="es-MX" w:eastAsia="en-US"/>
        </w:rPr>
        <w:t xml:space="preserve">Atento a lo anterior, resulta claro que existe la obligación del </w:t>
      </w:r>
      <w:r w:rsidRPr="00B319C6">
        <w:rPr>
          <w:rFonts w:ascii="Palatino Linotype" w:eastAsiaTheme="minorHAnsi" w:hAnsi="Palatino Linotype" w:cs="Arial"/>
          <w:b/>
          <w:lang w:val="es-MX" w:eastAsia="en-US"/>
        </w:rPr>
        <w:t>Sujeto Obligado</w:t>
      </w:r>
      <w:r w:rsidRPr="00B319C6">
        <w:rPr>
          <w:rFonts w:ascii="Palatino Linotype" w:eastAsiaTheme="minorHAnsi" w:hAnsi="Palatino Linotype" w:cs="Arial"/>
          <w:lang w:val="es-MX" w:eastAsia="en-US"/>
        </w:rPr>
        <w:t xml:space="preserve">, de </w:t>
      </w:r>
      <w:r w:rsidR="008D7CEE" w:rsidRPr="00B319C6">
        <w:rPr>
          <w:rFonts w:ascii="Palatino Linotype" w:eastAsiaTheme="minorHAnsi" w:hAnsi="Palatino Linotype" w:cs="Arial"/>
          <w:lang w:val="es-MX" w:eastAsia="en-US"/>
        </w:rPr>
        <w:t>generar</w:t>
      </w:r>
      <w:r w:rsidRPr="00B319C6">
        <w:rPr>
          <w:rFonts w:ascii="Palatino Linotype" w:eastAsiaTheme="minorHAnsi" w:hAnsi="Palatino Linotype" w:cs="Arial"/>
          <w:lang w:val="es-MX" w:eastAsia="en-US"/>
        </w:rPr>
        <w:t xml:space="preserve"> </w:t>
      </w:r>
      <w:r w:rsidR="008D7CEE" w:rsidRPr="00B319C6">
        <w:rPr>
          <w:rFonts w:ascii="Palatino Linotype" w:eastAsiaTheme="minorHAnsi" w:hAnsi="Palatino Linotype" w:cs="Arial"/>
          <w:lang w:val="es-MX" w:eastAsia="en-US"/>
        </w:rPr>
        <w:t>la nómina del personal adscrito al Sujeto Obligado</w:t>
      </w:r>
      <w:r w:rsidRPr="00B319C6">
        <w:rPr>
          <w:rFonts w:ascii="Palatino Linotype" w:eastAsiaTheme="minorHAnsi" w:hAnsi="Palatino Linotype" w:cs="Arial"/>
          <w:lang w:val="es-MX" w:eastAsia="en-US"/>
        </w:rPr>
        <w:t xml:space="preserve">; en </w:t>
      </w:r>
      <w:r w:rsidR="00B73FCF" w:rsidRPr="00B319C6">
        <w:rPr>
          <w:rFonts w:ascii="Palatino Linotype" w:eastAsiaTheme="minorHAnsi" w:hAnsi="Palatino Linotype" w:cs="Arial"/>
          <w:lang w:val="es-MX" w:eastAsia="en-US"/>
        </w:rPr>
        <w:t>consecuencia,</w:t>
      </w:r>
      <w:r w:rsidRPr="00B319C6">
        <w:rPr>
          <w:rFonts w:ascii="Palatino Linotype" w:eastAsiaTheme="minorHAnsi" w:hAnsi="Palatino Linotype" w:cs="Arial"/>
          <w:lang w:val="es-MX" w:eastAsia="en-US"/>
        </w:rPr>
        <w:t xml:space="preserve"> la información solicitada por </w:t>
      </w:r>
      <w:r w:rsidR="00B73FCF" w:rsidRPr="00B319C6">
        <w:rPr>
          <w:rFonts w:ascii="Palatino Linotype" w:eastAsiaTheme="minorHAnsi" w:hAnsi="Palatino Linotype" w:cs="Arial"/>
          <w:b/>
          <w:lang w:val="es-MX" w:eastAsia="en-US"/>
        </w:rPr>
        <w:t>el</w:t>
      </w:r>
      <w:r w:rsidRPr="00B319C6">
        <w:rPr>
          <w:rFonts w:ascii="Palatino Linotype" w:eastAsiaTheme="minorHAnsi" w:hAnsi="Palatino Linotype" w:cs="Arial"/>
          <w:b/>
          <w:lang w:val="es-MX" w:eastAsia="en-US"/>
        </w:rPr>
        <w:t xml:space="preserve"> Recurrente </w:t>
      </w:r>
      <w:r w:rsidRPr="00B319C6">
        <w:rPr>
          <w:rFonts w:ascii="Palatino Linotype" w:eastAsiaTheme="minorHAnsi" w:hAnsi="Palatino Linotype" w:cs="Arial"/>
          <w:lang w:val="es-MX" w:eastAsia="en-US"/>
        </w:rPr>
        <w:t xml:space="preserve">debe obrar en los archivos del </w:t>
      </w:r>
      <w:r w:rsidRPr="00B319C6">
        <w:rPr>
          <w:rFonts w:ascii="Palatino Linotype" w:eastAsiaTheme="minorHAnsi" w:hAnsi="Palatino Linotype" w:cs="Arial"/>
          <w:b/>
          <w:lang w:val="es-MX" w:eastAsia="en-US"/>
        </w:rPr>
        <w:t xml:space="preserve">Sujeto Obligado. </w:t>
      </w:r>
    </w:p>
    <w:p w14:paraId="039A8FD2" w14:textId="798131BC" w:rsidR="00B73FCF" w:rsidRPr="00B319C6" w:rsidRDefault="00B73FCF" w:rsidP="00A16B84">
      <w:pPr>
        <w:spacing w:line="360" w:lineRule="auto"/>
        <w:jc w:val="both"/>
        <w:rPr>
          <w:rFonts w:ascii="Palatino Linotype" w:eastAsiaTheme="minorHAnsi" w:hAnsi="Palatino Linotype" w:cs="Arial"/>
          <w:lang w:val="es-MX" w:eastAsia="en-US"/>
        </w:rPr>
      </w:pPr>
    </w:p>
    <w:p w14:paraId="0F7D5EC4" w14:textId="63C50147" w:rsidR="008D7CEE" w:rsidRPr="00B319C6" w:rsidRDefault="008D7CEE" w:rsidP="0060774F">
      <w:pPr>
        <w:spacing w:line="360" w:lineRule="auto"/>
        <w:ind w:right="51"/>
        <w:jc w:val="both"/>
        <w:rPr>
          <w:rFonts w:ascii="Palatino Linotype" w:hAnsi="Palatino Linotype" w:cs="Arial"/>
        </w:rPr>
      </w:pPr>
      <w:r w:rsidRPr="00B319C6">
        <w:rPr>
          <w:rFonts w:ascii="Palatino Linotype" w:hAnsi="Palatino Linotype" w:cs="Arial"/>
        </w:rPr>
        <w:t xml:space="preserve">En esa tesitura, es dable ordenar la entrega en versión pública, de </w:t>
      </w:r>
      <w:bookmarkStart w:id="4" w:name="_Hlk70023623"/>
      <w:r w:rsidRPr="00B319C6">
        <w:rPr>
          <w:rFonts w:ascii="Palatino Linotype" w:hAnsi="Palatino Linotype" w:cs="Arial"/>
        </w:rPr>
        <w:t xml:space="preserve">los documentos en donde conste </w:t>
      </w:r>
      <w:bookmarkEnd w:id="4"/>
      <w:r w:rsidR="0060774F" w:rsidRPr="00B319C6">
        <w:rPr>
          <w:rFonts w:ascii="Palatino Linotype" w:hAnsi="Palatino Linotype" w:cs="Arial"/>
        </w:rPr>
        <w:t>la nómina</w:t>
      </w:r>
      <w:r w:rsidRPr="00B319C6">
        <w:rPr>
          <w:rFonts w:ascii="Palatino Linotype" w:hAnsi="Palatino Linotype" w:cs="Arial"/>
        </w:rPr>
        <w:t xml:space="preserve"> del personal adscrito al Sujeto Obligado</w:t>
      </w:r>
      <w:r w:rsidR="0060774F" w:rsidRPr="00B319C6">
        <w:rPr>
          <w:rFonts w:ascii="Palatino Linotype" w:hAnsi="Palatino Linotype" w:cs="Arial"/>
        </w:rPr>
        <w:t xml:space="preserve"> emitida en el periodo que comprende del 01 de enero de 2018 al 30 de mayo de 2022</w:t>
      </w:r>
      <w:r w:rsidRPr="00B319C6">
        <w:rPr>
          <w:rFonts w:ascii="Palatino Linotype" w:hAnsi="Palatino Linotype" w:cs="Arial"/>
        </w:rPr>
        <w:t>.</w:t>
      </w:r>
    </w:p>
    <w:p w14:paraId="6C5DE0EC" w14:textId="77777777" w:rsidR="008D7CEE" w:rsidRPr="00B319C6" w:rsidRDefault="008D7CEE" w:rsidP="00A16B84">
      <w:pPr>
        <w:spacing w:line="360" w:lineRule="auto"/>
        <w:jc w:val="both"/>
        <w:rPr>
          <w:rFonts w:ascii="Palatino Linotype" w:eastAsiaTheme="minorHAnsi" w:hAnsi="Palatino Linotype" w:cs="Arial"/>
          <w:lang w:val="es-MX" w:eastAsia="en-US"/>
        </w:rPr>
      </w:pPr>
    </w:p>
    <w:p w14:paraId="7255BF3C" w14:textId="766401FC" w:rsidR="0060774F" w:rsidRPr="00B319C6" w:rsidRDefault="00A16B84" w:rsidP="00C87CEB">
      <w:pPr>
        <w:spacing w:line="360" w:lineRule="auto"/>
        <w:jc w:val="both"/>
        <w:rPr>
          <w:rFonts w:ascii="Palatino Linotype" w:eastAsiaTheme="minorHAnsi" w:hAnsi="Palatino Linotype" w:cs="Arial"/>
          <w:szCs w:val="22"/>
          <w:lang w:eastAsia="en-US"/>
        </w:rPr>
      </w:pPr>
      <w:r w:rsidRPr="00B319C6">
        <w:rPr>
          <w:rFonts w:ascii="Palatino Linotype" w:eastAsiaTheme="minorHAnsi" w:hAnsi="Palatino Linotype" w:cstheme="minorBidi"/>
          <w:bCs/>
          <w:lang w:val="es-MX" w:eastAsia="en-US"/>
        </w:rPr>
        <w:t xml:space="preserve">En virtud de lo anterior, es de destacar que la información requerida es susceptible de ser generada, poseída y administrada por </w:t>
      </w:r>
      <w:r w:rsidRPr="00B319C6">
        <w:rPr>
          <w:rFonts w:ascii="Palatino Linotype" w:eastAsiaTheme="minorHAnsi" w:hAnsi="Palatino Linotype" w:cstheme="minorBidi"/>
          <w:b/>
          <w:bCs/>
          <w:lang w:val="es-MX" w:eastAsia="en-US"/>
        </w:rPr>
        <w:t>El Sujeto Obligado</w:t>
      </w:r>
      <w:r w:rsidR="00BE7AC1" w:rsidRPr="00B319C6">
        <w:rPr>
          <w:rFonts w:ascii="Palatino Linotype" w:eastAsiaTheme="minorHAnsi" w:hAnsi="Palatino Linotype" w:cstheme="minorBidi"/>
          <w:b/>
          <w:bCs/>
          <w:lang w:val="es-MX" w:eastAsia="en-US"/>
        </w:rPr>
        <w:t>;</w:t>
      </w:r>
      <w:r w:rsidR="00B73FCF" w:rsidRPr="00B319C6">
        <w:rPr>
          <w:rFonts w:ascii="Palatino Linotype" w:eastAsiaTheme="minorHAnsi" w:hAnsi="Palatino Linotype" w:cstheme="minorBidi"/>
          <w:b/>
          <w:bCs/>
          <w:lang w:val="es-MX" w:eastAsia="en-US"/>
        </w:rPr>
        <w:t xml:space="preserve"> </w:t>
      </w:r>
      <w:r w:rsidR="00B73FCF" w:rsidRPr="00B319C6">
        <w:rPr>
          <w:rFonts w:ascii="Palatino Linotype" w:eastAsiaTheme="minorHAnsi" w:hAnsi="Palatino Linotype" w:cstheme="minorBidi"/>
          <w:lang w:val="es-MX" w:eastAsia="en-US"/>
        </w:rPr>
        <w:t xml:space="preserve">sin </w:t>
      </w:r>
      <w:r w:rsidR="00C87CEB" w:rsidRPr="00B319C6">
        <w:rPr>
          <w:rFonts w:ascii="Palatino Linotype" w:eastAsiaTheme="minorHAnsi" w:hAnsi="Palatino Linotype" w:cstheme="minorBidi"/>
          <w:lang w:val="es-MX" w:eastAsia="en-US"/>
        </w:rPr>
        <w:t>embargo,</w:t>
      </w:r>
      <w:r w:rsidRPr="00B319C6">
        <w:rPr>
          <w:rFonts w:ascii="Palatino Linotype" w:eastAsiaTheme="minorHAnsi" w:hAnsi="Palatino Linotype" w:cstheme="minorBidi"/>
          <w:lang w:val="es-MX" w:eastAsia="en-US"/>
        </w:rPr>
        <w:t xml:space="preserve"> </w:t>
      </w:r>
      <w:r w:rsidR="00B73FCF" w:rsidRPr="00B319C6">
        <w:rPr>
          <w:rFonts w:ascii="Palatino Linotype" w:eastAsiaTheme="minorHAnsi" w:hAnsi="Palatino Linotype" w:cstheme="minorBidi"/>
          <w:lang w:val="es-MX" w:eastAsia="en-US"/>
        </w:rPr>
        <w:t xml:space="preserve">se destaca que a criterio de este Instituto </w:t>
      </w:r>
      <w:r w:rsidR="00B73FCF" w:rsidRPr="00B319C6">
        <w:rPr>
          <w:rFonts w:ascii="Palatino Linotype" w:eastAsiaTheme="minorHAnsi" w:hAnsi="Palatino Linotype" w:cstheme="minorBidi"/>
          <w:b/>
          <w:bCs/>
          <w:lang w:val="es-MX" w:eastAsia="en-US"/>
        </w:rPr>
        <w:t>la información relativa al nombre de los servidores públicos que ocupan un cargo en las dependencias de gobierno encargadas de la seguridad pública, debe ser objeto de un proceso de reserva de la información, para no hacer identificable al titular de tal dato personal</w:t>
      </w:r>
      <w:r w:rsidR="00C87CEB" w:rsidRPr="00B319C6">
        <w:rPr>
          <w:rFonts w:ascii="Palatino Linotype" w:eastAsiaTheme="minorHAnsi" w:hAnsi="Palatino Linotype" w:cstheme="minorBidi"/>
          <w:b/>
          <w:bCs/>
          <w:lang w:val="es-MX" w:eastAsia="en-US"/>
        </w:rPr>
        <w:t xml:space="preserve">, </w:t>
      </w:r>
      <w:r w:rsidR="00C87CEB" w:rsidRPr="00B319C6">
        <w:rPr>
          <w:rFonts w:ascii="Palatino Linotype" w:eastAsiaTheme="minorHAnsi" w:hAnsi="Palatino Linotype" w:cstheme="minorBidi"/>
          <w:lang w:val="es-MX" w:eastAsia="en-US"/>
        </w:rPr>
        <w:t>ante ello, si bien es cierto resulta</w:t>
      </w:r>
      <w:r w:rsidR="00C87CEB" w:rsidRPr="00B319C6">
        <w:rPr>
          <w:rFonts w:ascii="Palatino Linotype" w:eastAsiaTheme="minorHAnsi" w:hAnsi="Palatino Linotype" w:cstheme="minorBidi"/>
          <w:b/>
          <w:bCs/>
          <w:lang w:val="es-MX" w:eastAsia="en-US"/>
        </w:rPr>
        <w:t xml:space="preserve"> </w:t>
      </w:r>
      <w:r w:rsidR="00C87CEB" w:rsidRPr="00B319C6">
        <w:rPr>
          <w:rFonts w:ascii="Palatino Linotype" w:hAnsi="Palatino Linotype" w:cs="Arial"/>
        </w:rPr>
        <w:t xml:space="preserve">dable ordenar su entrega, se debe observar la tutela de los datos de carácter sensible y confidencial, en términos de la </w:t>
      </w:r>
      <w:r w:rsidR="00C87CEB" w:rsidRPr="00B319C6">
        <w:rPr>
          <w:rFonts w:ascii="Palatino Linotype" w:eastAsiaTheme="minorHAnsi" w:hAnsi="Palatino Linotype" w:cs="Arial"/>
          <w:szCs w:val="22"/>
          <w:lang w:eastAsia="en-US"/>
        </w:rPr>
        <w:t xml:space="preserve">en términos de la Ley de Protección de Datos Personales </w:t>
      </w:r>
      <w:r w:rsidR="00C87CEB" w:rsidRPr="00B319C6">
        <w:rPr>
          <w:rFonts w:ascii="Palatino Linotype" w:eastAsiaTheme="minorHAnsi" w:hAnsi="Palatino Linotype" w:cs="Arial"/>
          <w:szCs w:val="22"/>
          <w:lang w:eastAsia="en-US"/>
        </w:rPr>
        <w:lastRenderedPageBreak/>
        <w:t>en Posesión de Sujetos Obligados del Estado de México y Municipios</w:t>
      </w:r>
      <w:r w:rsidR="00C31533" w:rsidRPr="00B319C6">
        <w:rPr>
          <w:rFonts w:ascii="Palatino Linotype" w:eastAsiaTheme="minorHAnsi" w:hAnsi="Palatino Linotype" w:cs="Arial"/>
          <w:szCs w:val="22"/>
          <w:lang w:eastAsia="en-US"/>
        </w:rPr>
        <w:t>, conforme a lo siguiente.</w:t>
      </w:r>
    </w:p>
    <w:p w14:paraId="3B29B493" w14:textId="77777777" w:rsidR="00C87CEB" w:rsidRPr="00B319C6" w:rsidRDefault="00C87CEB" w:rsidP="00C87CEB">
      <w:pPr>
        <w:spacing w:line="360" w:lineRule="auto"/>
        <w:jc w:val="both"/>
        <w:rPr>
          <w:rFonts w:ascii="Palatino Linotype" w:eastAsiaTheme="minorHAnsi" w:hAnsi="Palatino Linotype" w:cs="Arial"/>
          <w:szCs w:val="22"/>
          <w:lang w:eastAsia="en-US"/>
        </w:rPr>
      </w:pPr>
    </w:p>
    <w:p w14:paraId="4A014B76" w14:textId="77777777" w:rsidR="00C87CEB" w:rsidRPr="00B319C6" w:rsidRDefault="00C87CEB" w:rsidP="00C87CEB">
      <w:pPr>
        <w:numPr>
          <w:ilvl w:val="0"/>
          <w:numId w:val="34"/>
        </w:numPr>
        <w:autoSpaceDE w:val="0"/>
        <w:autoSpaceDN w:val="0"/>
        <w:adjustRightInd w:val="0"/>
        <w:spacing w:after="160" w:line="360" w:lineRule="auto"/>
        <w:contextualSpacing/>
        <w:jc w:val="both"/>
        <w:rPr>
          <w:rFonts w:ascii="Palatino Linotype" w:hAnsi="Palatino Linotype" w:cs="Arial"/>
          <w:b/>
          <w:i/>
          <w:sz w:val="28"/>
        </w:rPr>
      </w:pPr>
      <w:r w:rsidRPr="00B319C6">
        <w:rPr>
          <w:rFonts w:ascii="Palatino Linotype" w:hAnsi="Palatino Linotype" w:cs="Arial"/>
          <w:b/>
          <w:i/>
          <w:sz w:val="28"/>
        </w:rPr>
        <w:t>De la versión pública</w:t>
      </w:r>
    </w:p>
    <w:p w14:paraId="2EB8C276" w14:textId="77777777" w:rsidR="00C87CEB" w:rsidRPr="00B319C6" w:rsidRDefault="00C87CEB" w:rsidP="00C87CEB">
      <w:pPr>
        <w:tabs>
          <w:tab w:val="left" w:pos="8647"/>
        </w:tabs>
        <w:spacing w:line="360" w:lineRule="auto"/>
        <w:ind w:right="51"/>
        <w:jc w:val="both"/>
        <w:rPr>
          <w:rFonts w:ascii="Palatino Linotype" w:eastAsiaTheme="minorHAnsi" w:hAnsi="Palatino Linotype" w:cs="Arial"/>
          <w:lang w:val="es-MX" w:eastAsia="en-US"/>
        </w:rPr>
      </w:pPr>
    </w:p>
    <w:p w14:paraId="0109057C" w14:textId="77777777"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 xml:space="preserve">Toda vez que los documentos referidos anteriormente son elaborados por quincenas y atendiendo al requerimiento del ciudadano, este Órgano Garante determina ordenar que la entrega de la información al </w:t>
      </w:r>
      <w:r w:rsidRPr="00B319C6">
        <w:rPr>
          <w:rFonts w:ascii="Palatino Linotype" w:eastAsiaTheme="minorHAnsi" w:hAnsi="Palatino Linotype" w:cs="Arial"/>
          <w:b/>
          <w:lang w:val="es-MX" w:eastAsia="en-US"/>
        </w:rPr>
        <w:t>Recurrente</w:t>
      </w:r>
      <w:r w:rsidRPr="00B319C6">
        <w:rPr>
          <w:rFonts w:ascii="Palatino Linotype" w:eastAsiaTheme="minorHAnsi" w:hAnsi="Palatino Linotype" w:cs="Arial"/>
          <w:lang w:val="es-MX" w:eastAsia="en-US"/>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522406A4"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4B1F9BF1" w14:textId="77777777"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A este respecto, los artículos 3, fracciones IX, XX, XXI y XLV; 51 y 52, de la Ley de Transparencia y Acceso a la Información Pública del Estado de México y Municipios establecen:</w:t>
      </w:r>
    </w:p>
    <w:p w14:paraId="16AE541B"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38DD4456"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i/>
          <w:sz w:val="22"/>
          <w:lang w:val="es-MX" w:eastAsia="en-US"/>
        </w:rPr>
        <w:t>“</w:t>
      </w:r>
      <w:r w:rsidRPr="00B319C6">
        <w:rPr>
          <w:rFonts w:ascii="Palatino Linotype" w:eastAsiaTheme="minorHAnsi" w:hAnsi="Palatino Linotype" w:cs="Arial"/>
          <w:b/>
          <w:i/>
          <w:sz w:val="22"/>
          <w:lang w:val="es-MX" w:eastAsia="en-US"/>
        </w:rPr>
        <w:t>Artículo 3.</w:t>
      </w:r>
      <w:r w:rsidRPr="00B319C6">
        <w:rPr>
          <w:rFonts w:ascii="Palatino Linotype" w:eastAsiaTheme="minorHAnsi" w:hAnsi="Palatino Linotype" w:cs="Arial"/>
          <w:i/>
          <w:sz w:val="22"/>
          <w:lang w:val="es-MX" w:eastAsia="en-US"/>
        </w:rPr>
        <w:t xml:space="preserve"> Para los efectos de la presente Ley se entenderá por: </w:t>
      </w:r>
    </w:p>
    <w:p w14:paraId="1B935762"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i/>
          <w:sz w:val="22"/>
          <w:lang w:val="es-MX" w:eastAsia="en-US"/>
        </w:rPr>
        <w:t>…</w:t>
      </w:r>
    </w:p>
    <w:p w14:paraId="7E8C10A8"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b/>
          <w:i/>
          <w:sz w:val="22"/>
          <w:lang w:val="es-MX" w:eastAsia="en-US"/>
        </w:rPr>
        <w:t>IX</w:t>
      </w:r>
      <w:r w:rsidRPr="00B319C6">
        <w:rPr>
          <w:rFonts w:ascii="Palatino Linotype" w:eastAsiaTheme="minorHAnsi" w:hAnsi="Palatino Linotype" w:cs="Arial"/>
          <w:i/>
          <w:sz w:val="22"/>
          <w:lang w:val="es-MX" w:eastAsia="en-US"/>
        </w:rPr>
        <w:t xml:space="preserve">. </w:t>
      </w:r>
      <w:r w:rsidRPr="00B319C6">
        <w:rPr>
          <w:rFonts w:ascii="Palatino Linotype" w:eastAsiaTheme="minorHAnsi" w:hAnsi="Palatino Linotype" w:cs="Arial"/>
          <w:b/>
          <w:i/>
          <w:sz w:val="22"/>
          <w:lang w:val="es-MX" w:eastAsia="en-US"/>
        </w:rPr>
        <w:t>Datos personales:</w:t>
      </w:r>
      <w:r w:rsidRPr="00B319C6">
        <w:rPr>
          <w:rFonts w:ascii="Palatino Linotype" w:eastAsiaTheme="minorHAnsi" w:hAnsi="Palatino Linotype" w:cs="Arial"/>
          <w:i/>
          <w:sz w:val="22"/>
          <w:lang w:val="es-MX" w:eastAsia="en-US"/>
        </w:rPr>
        <w:t xml:space="preserve"> La información concerniente a una persona, identificada o identificable según lo dispuesto por la Ley de Protección de Datos Personales del Estado de México; </w:t>
      </w:r>
    </w:p>
    <w:p w14:paraId="5E67F6DD" w14:textId="77777777" w:rsidR="00C87CEB" w:rsidRPr="00B319C6" w:rsidRDefault="00C87CEB" w:rsidP="00C87CEB">
      <w:pPr>
        <w:ind w:left="567" w:right="567"/>
        <w:jc w:val="both"/>
        <w:rPr>
          <w:rFonts w:ascii="Palatino Linotype" w:eastAsiaTheme="minorHAnsi" w:hAnsi="Palatino Linotype" w:cs="Arial"/>
          <w:i/>
          <w:sz w:val="22"/>
          <w:lang w:val="es-MX" w:eastAsia="en-US"/>
        </w:rPr>
      </w:pPr>
    </w:p>
    <w:p w14:paraId="5576639C"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b/>
          <w:i/>
          <w:sz w:val="22"/>
          <w:lang w:val="es-MX" w:eastAsia="en-US"/>
        </w:rPr>
        <w:t>XX. Información clasificada:</w:t>
      </w:r>
      <w:r w:rsidRPr="00B319C6">
        <w:rPr>
          <w:rFonts w:ascii="Palatino Linotype" w:eastAsiaTheme="minorHAnsi" w:hAnsi="Palatino Linotype" w:cs="Arial"/>
          <w:i/>
          <w:sz w:val="22"/>
          <w:lang w:val="es-MX" w:eastAsia="en-US"/>
        </w:rPr>
        <w:t xml:space="preserve"> Aquella considerada por la presente Ley como reservada o confidencial; </w:t>
      </w:r>
    </w:p>
    <w:p w14:paraId="39D84405" w14:textId="77777777" w:rsidR="00C87CEB" w:rsidRPr="00B319C6" w:rsidRDefault="00C87CEB" w:rsidP="00C87CEB">
      <w:pPr>
        <w:ind w:left="567" w:right="567"/>
        <w:jc w:val="both"/>
        <w:rPr>
          <w:rFonts w:ascii="Palatino Linotype" w:eastAsiaTheme="minorHAnsi" w:hAnsi="Palatino Linotype" w:cs="Arial"/>
          <w:i/>
          <w:sz w:val="22"/>
          <w:lang w:val="es-MX" w:eastAsia="en-US"/>
        </w:rPr>
      </w:pPr>
    </w:p>
    <w:p w14:paraId="38B64052"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b/>
          <w:i/>
          <w:sz w:val="22"/>
          <w:lang w:val="es-MX" w:eastAsia="en-US"/>
        </w:rPr>
        <w:t>XXI. Información confidencial:</w:t>
      </w:r>
      <w:r w:rsidRPr="00B319C6">
        <w:rPr>
          <w:rFonts w:ascii="Palatino Linotype" w:eastAsiaTheme="minorHAnsi" w:hAnsi="Palatino Linotype" w:cs="Arial"/>
          <w:i/>
          <w:sz w:val="22"/>
          <w:lang w:val="es-MX" w:eastAsia="en-U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2CE4EB9" w14:textId="77777777" w:rsidR="00C87CEB" w:rsidRPr="00B319C6" w:rsidRDefault="00C87CEB" w:rsidP="00C87CEB">
      <w:pPr>
        <w:ind w:left="567" w:right="567"/>
        <w:jc w:val="both"/>
        <w:rPr>
          <w:rFonts w:ascii="Palatino Linotype" w:eastAsiaTheme="minorHAnsi" w:hAnsi="Palatino Linotype" w:cs="Arial"/>
          <w:i/>
          <w:sz w:val="22"/>
          <w:lang w:val="es-MX" w:eastAsia="en-US"/>
        </w:rPr>
      </w:pPr>
    </w:p>
    <w:p w14:paraId="7FAEED3D"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b/>
          <w:i/>
          <w:sz w:val="22"/>
          <w:lang w:val="es-MX" w:eastAsia="en-US"/>
        </w:rPr>
        <w:t>XLV. Versión pública:</w:t>
      </w:r>
      <w:r w:rsidRPr="00B319C6">
        <w:rPr>
          <w:rFonts w:ascii="Palatino Linotype" w:eastAsiaTheme="minorHAnsi" w:hAnsi="Palatino Linotype" w:cs="Arial"/>
          <w:i/>
          <w:sz w:val="22"/>
          <w:lang w:val="es-MX" w:eastAsia="en-US"/>
        </w:rPr>
        <w:t xml:space="preserve"> Documento en el que se elimine, suprime o borra la información clasificada como reservada o confidencial para permitir su acceso. </w:t>
      </w:r>
    </w:p>
    <w:p w14:paraId="74D03BC9" w14:textId="77777777" w:rsidR="00C87CEB" w:rsidRPr="00B319C6" w:rsidRDefault="00C87CEB" w:rsidP="00C87CEB">
      <w:pPr>
        <w:ind w:left="567" w:right="567"/>
        <w:jc w:val="both"/>
        <w:rPr>
          <w:rFonts w:ascii="Palatino Linotype" w:eastAsiaTheme="minorHAnsi" w:hAnsi="Palatino Linotype" w:cs="Arial"/>
          <w:i/>
          <w:sz w:val="22"/>
          <w:lang w:val="es-MX" w:eastAsia="en-US"/>
        </w:rPr>
      </w:pPr>
    </w:p>
    <w:p w14:paraId="73928D52"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b/>
          <w:i/>
          <w:sz w:val="22"/>
          <w:lang w:val="es-MX" w:eastAsia="en-US"/>
        </w:rPr>
        <w:t xml:space="preserve">Artículo 51. </w:t>
      </w:r>
      <w:r w:rsidRPr="00B319C6">
        <w:rPr>
          <w:rFonts w:ascii="Palatino Linotype" w:eastAsiaTheme="minorHAnsi" w:hAnsi="Palatino Linotype" w:cs="Arial"/>
          <w:i/>
          <w:sz w:val="22"/>
          <w:lang w:val="es-MX" w:eastAsia="en-US"/>
        </w:rPr>
        <w:t xml:space="preserve">Los sujetos obligados designaran a un responsable para atender la Unidad de Transparencia, quien fungirá como enlace entre éstos y los solicitantes. Dicha Unidad será la encargada de tramitar internamente la solicitud de información </w:t>
      </w:r>
      <w:r w:rsidRPr="00B319C6">
        <w:rPr>
          <w:rFonts w:ascii="Palatino Linotype" w:eastAsiaTheme="minorHAnsi" w:hAnsi="Palatino Linotype" w:cs="Arial"/>
          <w:b/>
          <w:i/>
          <w:sz w:val="22"/>
          <w:lang w:val="es-MX" w:eastAsia="en-US"/>
        </w:rPr>
        <w:t>y tendrá la responsabilidad de verificar en cada caso que la misma no sea confidencial o reservada</w:t>
      </w:r>
      <w:r w:rsidRPr="00B319C6">
        <w:rPr>
          <w:rFonts w:ascii="Palatino Linotype" w:eastAsiaTheme="minorHAnsi" w:hAnsi="Palatino Linotype" w:cs="Arial"/>
          <w:i/>
          <w:sz w:val="22"/>
          <w:lang w:val="es-MX" w:eastAsia="en-US"/>
        </w:rPr>
        <w:t xml:space="preserve">. Dicha Unidad contará con las facultades internas necesarias para gestionar la atención a las solicitudes de información en los términos de la Ley General y la presente Ley. </w:t>
      </w:r>
    </w:p>
    <w:p w14:paraId="58447401" w14:textId="77777777" w:rsidR="00C87CEB" w:rsidRPr="00B319C6" w:rsidRDefault="00C87CEB" w:rsidP="00C87CEB">
      <w:pPr>
        <w:ind w:left="567" w:right="567"/>
        <w:jc w:val="both"/>
        <w:rPr>
          <w:rFonts w:ascii="Palatino Linotype" w:eastAsiaTheme="minorHAnsi" w:hAnsi="Palatino Linotype" w:cs="Arial"/>
          <w:i/>
          <w:sz w:val="22"/>
          <w:lang w:val="es-MX" w:eastAsia="en-US"/>
        </w:rPr>
      </w:pPr>
    </w:p>
    <w:p w14:paraId="552335E2"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b/>
          <w:i/>
          <w:sz w:val="22"/>
          <w:lang w:val="es-MX" w:eastAsia="en-US"/>
        </w:rPr>
        <w:t>Artículo 52.</w:t>
      </w:r>
      <w:r w:rsidRPr="00B319C6">
        <w:rPr>
          <w:rFonts w:ascii="Palatino Linotype" w:eastAsiaTheme="minorHAnsi" w:hAnsi="Palatino Linotype" w:cs="Arial"/>
          <w:i/>
          <w:sz w:val="22"/>
          <w:lang w:val="es-MX" w:eastAsia="en-U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42D7120B"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4FDBFBE6" w14:textId="77777777"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455B8078"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625C543B"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i/>
          <w:sz w:val="22"/>
          <w:lang w:val="es-MX" w:eastAsia="en-US"/>
        </w:rPr>
        <w:t>“</w:t>
      </w:r>
      <w:r w:rsidRPr="00B319C6">
        <w:rPr>
          <w:rFonts w:ascii="Palatino Linotype" w:eastAsiaTheme="minorHAnsi" w:hAnsi="Palatino Linotype" w:cs="Arial"/>
          <w:b/>
          <w:i/>
          <w:sz w:val="22"/>
          <w:lang w:val="es-MX" w:eastAsia="en-US"/>
        </w:rPr>
        <w:t>Artículo 22.</w:t>
      </w:r>
      <w:r w:rsidRPr="00B319C6">
        <w:rPr>
          <w:rFonts w:ascii="Palatino Linotype" w:eastAsiaTheme="minorHAnsi" w:hAnsi="Palatino Linotype" w:cs="Arial"/>
          <w:i/>
          <w:sz w:val="22"/>
          <w:lang w:val="es-MX" w:eastAsia="en-US"/>
        </w:rPr>
        <w:t xml:space="preserve"> Todo tratamiento de datos personales que efectúe el responsable deberá estar justificado por finalidades concretas, lícitas, explícitas y legítimas, relacionadas con las atribuciones que la normatividad aplicable les confiera.</w:t>
      </w:r>
    </w:p>
    <w:p w14:paraId="0B185712" w14:textId="77777777" w:rsidR="00C87CEB" w:rsidRPr="00B319C6" w:rsidRDefault="00C87CEB" w:rsidP="00C87CEB">
      <w:pPr>
        <w:ind w:left="567" w:right="567"/>
        <w:jc w:val="both"/>
        <w:rPr>
          <w:rFonts w:ascii="Palatino Linotype" w:eastAsiaTheme="minorHAnsi" w:hAnsi="Palatino Linotype" w:cs="Arial"/>
          <w:i/>
          <w:sz w:val="22"/>
          <w:lang w:val="es-MX" w:eastAsia="en-US"/>
        </w:rPr>
      </w:pPr>
    </w:p>
    <w:p w14:paraId="3FD0F5C7"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i/>
          <w:sz w:val="22"/>
          <w:lang w:val="es-MX" w:eastAsia="en-US"/>
        </w:rPr>
        <w:lastRenderedPageBreak/>
        <w:t>El responsable podrá tratar datos personales para finalidades distintas a aquéllas establecidas en el aviso de privacidad, en los casos siguientes:</w:t>
      </w:r>
    </w:p>
    <w:p w14:paraId="4E719B86" w14:textId="77777777" w:rsidR="00C87CEB" w:rsidRPr="00B319C6" w:rsidRDefault="00C87CEB" w:rsidP="00C87CEB">
      <w:pPr>
        <w:ind w:left="567" w:right="567"/>
        <w:jc w:val="both"/>
        <w:rPr>
          <w:rFonts w:ascii="Palatino Linotype" w:eastAsiaTheme="minorHAnsi" w:hAnsi="Palatino Linotype" w:cs="Arial"/>
          <w:i/>
          <w:sz w:val="22"/>
          <w:lang w:val="es-MX" w:eastAsia="en-US"/>
        </w:rPr>
      </w:pPr>
    </w:p>
    <w:p w14:paraId="77684169"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i/>
          <w:sz w:val="22"/>
          <w:lang w:val="es-MX" w:eastAsia="en-US"/>
        </w:rPr>
        <w:t>I. Cuente con atribuciones conferidas en ley y medie el consentimiento del titular.</w:t>
      </w:r>
    </w:p>
    <w:p w14:paraId="75A26243"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i/>
          <w:sz w:val="22"/>
          <w:lang w:val="es-MX" w:eastAsia="en-US"/>
        </w:rPr>
        <w:t>II. Se trate de una persona reportada como desaparecida, en los términos previstos en la presente Ley y demás disposiciones legales aplicables...</w:t>
      </w:r>
    </w:p>
    <w:p w14:paraId="71A08DC3" w14:textId="77777777" w:rsidR="00C87CEB" w:rsidRPr="00B319C6" w:rsidRDefault="00C87CEB" w:rsidP="00C87CEB">
      <w:pPr>
        <w:ind w:left="567" w:right="567"/>
        <w:jc w:val="both"/>
        <w:rPr>
          <w:rFonts w:ascii="Palatino Linotype" w:eastAsiaTheme="minorHAnsi" w:hAnsi="Palatino Linotype" w:cs="Arial"/>
          <w:i/>
          <w:sz w:val="22"/>
          <w:lang w:val="es-MX" w:eastAsia="en-US"/>
        </w:rPr>
      </w:pPr>
    </w:p>
    <w:p w14:paraId="376B618F"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b/>
          <w:i/>
          <w:sz w:val="22"/>
          <w:lang w:val="es-MX" w:eastAsia="en-US"/>
        </w:rPr>
        <w:t>Artículo 38.</w:t>
      </w:r>
      <w:r w:rsidRPr="00B319C6">
        <w:rPr>
          <w:rFonts w:ascii="Palatino Linotype" w:eastAsiaTheme="minorHAnsi" w:hAnsi="Palatino Linotype" w:cs="Arial"/>
          <w:i/>
          <w:sz w:val="22"/>
          <w:lang w:val="es-MX" w:eastAsia="en-U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2D8A7E32"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35181670" w14:textId="77777777"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78218B18"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39E211B4" w14:textId="77777777"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30CDF524"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68423C3E" w14:textId="77777777"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lastRenderedPageBreak/>
        <w:t xml:space="preserve">Asimismo, de la versión pública deberá dejarse a la vista de la Recurrente los siguientes elementos de información pública: monto total del sueldo neto y bruto, compensaciones, prestaciones, aguinaldos, bonos, pagos por concepto de gasolina, de servicio de telefonía celular, el </w:t>
      </w:r>
      <w:r w:rsidRPr="00B319C6">
        <w:rPr>
          <w:rFonts w:ascii="Palatino Linotype" w:eastAsiaTheme="minorHAnsi" w:hAnsi="Palatino Linotype" w:cs="Arial"/>
          <w:b/>
          <w:lang w:val="es-MX" w:eastAsia="en-US"/>
        </w:rPr>
        <w:t>nombre del servidor público</w:t>
      </w:r>
      <w:r w:rsidRPr="00B319C6">
        <w:rPr>
          <w:rFonts w:ascii="Palatino Linotype" w:eastAsiaTheme="minorHAnsi" w:hAnsi="Palatino Linotype" w:cs="Arial"/>
          <w:lang w:val="es-MX" w:eastAsia="en-US"/>
        </w:rPr>
        <w:t xml:space="preserve">, el cargo que desempeña, área de adscripción, número de empleado (sólo en caso de no arrojar datos personales) y el período de la nómina respectiva, básicamente.  </w:t>
      </w:r>
    </w:p>
    <w:p w14:paraId="500E1261"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46E3F6BE" w14:textId="77777777"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327DB941"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1C38D17A"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i/>
          <w:sz w:val="22"/>
          <w:lang w:val="es-MX" w:eastAsia="en-US"/>
        </w:rPr>
        <w:t>"</w:t>
      </w:r>
      <w:r w:rsidRPr="00B319C6">
        <w:rPr>
          <w:rFonts w:ascii="Palatino Linotype" w:eastAsiaTheme="minorHAnsi" w:hAnsi="Palatino Linotype" w:cs="Arial"/>
          <w:b/>
          <w:i/>
          <w:sz w:val="22"/>
          <w:lang w:val="es-MX" w:eastAsia="en-US"/>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B319C6">
        <w:rPr>
          <w:rFonts w:ascii="Palatino Linotype" w:eastAsiaTheme="minorHAnsi" w:hAnsi="Palatino Linotype" w:cs="Arial"/>
          <w:i/>
          <w:sz w:val="22"/>
          <w:lang w:val="es-MX" w:eastAsia="en-US"/>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4AC8E726"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18586EA1" w14:textId="77777777"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B319C6">
        <w:rPr>
          <w:rFonts w:ascii="Palatino Linotype" w:eastAsiaTheme="minorHAnsi" w:hAnsi="Palatino Linotype" w:cs="Arial"/>
          <w:b/>
          <w:lang w:val="es-MX" w:eastAsia="en-US"/>
        </w:rPr>
        <w:t>Lineamientos Generales en Materia de Clasificación y Desclasificación de la Información, así como para la Elaboración de Versiones Públicas</w:t>
      </w:r>
      <w:r w:rsidRPr="00B319C6">
        <w:rPr>
          <w:rFonts w:ascii="Palatino Linotype" w:eastAsiaTheme="minorHAnsi" w:hAnsi="Palatino Linotype" w:cs="Arial"/>
          <w:lang w:val="es-MX" w:eastAsia="en-US"/>
        </w:rPr>
        <w:t>, publicados en el Diario Oficial de la Federación en fecha quince de abril del año dos mil dieciséis, mediante Acuerdo del Consejo Nacional del Sistema Nacional de Transparencia, Acceso a la Información Pública y Protección de Datos Personales.</w:t>
      </w:r>
    </w:p>
    <w:p w14:paraId="1398D774" w14:textId="77777777"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698E431F"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11B1EF21" w14:textId="77777777"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B319C6">
        <w:rPr>
          <w:rFonts w:ascii="Palatino Linotype" w:eastAsiaTheme="minorHAnsi" w:hAnsi="Palatino Linotype" w:cs="Arial"/>
          <w:b/>
          <w:lang w:val="es-MX" w:eastAsia="en-US"/>
        </w:rPr>
        <w:t>reserva de la información,</w:t>
      </w:r>
      <w:r w:rsidRPr="00B319C6">
        <w:rPr>
          <w:rFonts w:ascii="Palatino Linotype" w:eastAsiaTheme="minorHAnsi" w:hAnsi="Palatino Linotype" w:cs="Arial"/>
          <w:lang w:val="es-MX" w:eastAsia="en-US"/>
        </w:rPr>
        <w:t xml:space="preserve"> para no hacer identificable al titular de tal dato personal.</w:t>
      </w:r>
    </w:p>
    <w:p w14:paraId="722F89EB"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24CB00C5" w14:textId="77777777"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Ello, conforme al propio concepto de versión pública contenido en el artículo 3, fracción XXIV, de la multicitada Ley se define como:</w:t>
      </w:r>
    </w:p>
    <w:p w14:paraId="1AE95DE9"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05C46D0B"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i/>
          <w:sz w:val="22"/>
          <w:lang w:val="es-MX" w:eastAsia="en-US"/>
        </w:rPr>
        <w:t>“</w:t>
      </w:r>
      <w:r w:rsidRPr="00B319C6">
        <w:rPr>
          <w:rFonts w:ascii="Palatino Linotype" w:eastAsiaTheme="minorHAnsi" w:hAnsi="Palatino Linotype" w:cs="Arial"/>
          <w:b/>
          <w:i/>
          <w:sz w:val="22"/>
          <w:lang w:val="es-MX" w:eastAsia="en-US"/>
        </w:rPr>
        <w:t>XXIV</w:t>
      </w:r>
      <w:r w:rsidRPr="00B319C6">
        <w:rPr>
          <w:rFonts w:ascii="Palatino Linotype" w:eastAsiaTheme="minorHAnsi" w:hAnsi="Palatino Linotype" w:cs="Arial"/>
          <w:i/>
          <w:sz w:val="22"/>
          <w:lang w:val="es-MX" w:eastAsia="en-US"/>
        </w:rPr>
        <w:t xml:space="preserve">. </w:t>
      </w:r>
      <w:r w:rsidRPr="00B319C6">
        <w:rPr>
          <w:rFonts w:ascii="Palatino Linotype" w:eastAsiaTheme="minorHAnsi" w:hAnsi="Palatino Linotype" w:cs="Arial"/>
          <w:b/>
          <w:i/>
          <w:sz w:val="22"/>
          <w:lang w:val="es-MX" w:eastAsia="en-US"/>
        </w:rPr>
        <w:t>Información reservada:</w:t>
      </w:r>
      <w:r w:rsidRPr="00B319C6">
        <w:rPr>
          <w:rFonts w:ascii="Palatino Linotype" w:eastAsiaTheme="minorHAnsi" w:hAnsi="Palatino Linotype" w:cs="Arial"/>
          <w:i/>
          <w:sz w:val="22"/>
          <w:lang w:val="es-MX" w:eastAsia="en-US"/>
        </w:rPr>
        <w:t xml:space="preserve"> La clasificada con este carácter de manera temporal por las disposiciones de esta Ley, cuya divulgación puede causar daño en términos de lo establecido por esta Ley;”</w:t>
      </w:r>
    </w:p>
    <w:p w14:paraId="5B97F7B7"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70071493" w14:textId="77777777"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 xml:space="preserve">No obstante que si bien, 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B319C6">
        <w:rPr>
          <w:rFonts w:ascii="Palatino Linotype" w:eastAsiaTheme="minorHAnsi" w:hAnsi="Palatino Linotype" w:cs="Arial"/>
          <w:b/>
          <w:lang w:val="es-MX" w:eastAsia="en-US"/>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B319C6">
        <w:rPr>
          <w:rFonts w:ascii="Palatino Linotype" w:eastAsiaTheme="minorHAnsi" w:hAnsi="Palatino Linotype" w:cs="Arial"/>
          <w:lang w:val="es-MX" w:eastAsia="en-US"/>
        </w:rPr>
        <w:t>.</w:t>
      </w:r>
    </w:p>
    <w:p w14:paraId="5AAD3739" w14:textId="77777777"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 xml:space="preserve">Esto es así, ya que el artículo 81, fracción III, de la Ley de Seguridad del Estado de México, establece lo siguiente: </w:t>
      </w:r>
    </w:p>
    <w:p w14:paraId="422C6E3B"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3D8DB62F"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i/>
          <w:sz w:val="22"/>
          <w:lang w:val="es-MX" w:eastAsia="en-US"/>
        </w:rPr>
        <w:t>“</w:t>
      </w:r>
      <w:r w:rsidRPr="00B319C6">
        <w:rPr>
          <w:rFonts w:ascii="Palatino Linotype" w:eastAsiaTheme="minorHAnsi" w:hAnsi="Palatino Linotype" w:cs="Arial"/>
          <w:b/>
          <w:i/>
          <w:sz w:val="22"/>
          <w:lang w:val="es-MX" w:eastAsia="en-US"/>
        </w:rPr>
        <w:t>Artículo 81.-</w:t>
      </w:r>
      <w:r w:rsidRPr="00B319C6">
        <w:rPr>
          <w:rFonts w:ascii="Palatino Linotype" w:eastAsiaTheme="minorHAnsi" w:hAnsi="Palatino Linotype" w:cs="Arial"/>
          <w:i/>
          <w:sz w:val="22"/>
          <w:lang w:val="es-MX" w:eastAsia="en-US"/>
        </w:rPr>
        <w:t xml:space="preserve"> </w:t>
      </w:r>
      <w:r w:rsidRPr="00B319C6">
        <w:rPr>
          <w:rFonts w:ascii="Palatino Linotype" w:eastAsiaTheme="minorHAnsi" w:hAnsi="Palatino Linotype" w:cs="Arial"/>
          <w:i/>
          <w:sz w:val="22"/>
          <w:u w:val="single"/>
          <w:lang w:val="es-MX" w:eastAsia="en-US"/>
        </w:rPr>
        <w:t>Toda información para la seguridad pública</w:t>
      </w:r>
      <w:r w:rsidRPr="00B319C6">
        <w:rPr>
          <w:rFonts w:ascii="Palatino Linotype" w:eastAsiaTheme="minorHAnsi" w:hAnsi="Palatino Linotype" w:cs="Arial"/>
          <w:i/>
          <w:sz w:val="22"/>
          <w:lang w:val="es-MX" w:eastAsia="en-US"/>
        </w:rPr>
        <w:t xml:space="preserve"> generada o en poder de Instituciones de Seguridad Pública o de cualquier instancia del Sistema Estatal </w:t>
      </w:r>
      <w:r w:rsidRPr="00B319C6">
        <w:rPr>
          <w:rFonts w:ascii="Palatino Linotype" w:eastAsiaTheme="minorHAnsi" w:hAnsi="Palatino Linotype" w:cs="Arial"/>
          <w:i/>
          <w:sz w:val="22"/>
          <w:u w:val="single"/>
          <w:lang w:val="es-MX" w:eastAsia="en-US"/>
        </w:rPr>
        <w:t>debe</w:t>
      </w:r>
      <w:r w:rsidRPr="00B319C6">
        <w:rPr>
          <w:rFonts w:ascii="Palatino Linotype" w:eastAsiaTheme="minorHAnsi" w:hAnsi="Palatino Linotype" w:cs="Arial"/>
          <w:i/>
          <w:sz w:val="22"/>
          <w:lang w:val="es-MX" w:eastAsia="en-US"/>
        </w:rPr>
        <w:t xml:space="preserve"> registrarse, </w:t>
      </w:r>
      <w:r w:rsidRPr="00B319C6">
        <w:rPr>
          <w:rFonts w:ascii="Palatino Linotype" w:eastAsiaTheme="minorHAnsi" w:hAnsi="Palatino Linotype" w:cs="Arial"/>
          <w:i/>
          <w:sz w:val="22"/>
          <w:u w:val="single"/>
          <w:lang w:val="es-MX" w:eastAsia="en-US"/>
        </w:rPr>
        <w:t>clasificarse</w:t>
      </w:r>
      <w:r w:rsidRPr="00B319C6">
        <w:rPr>
          <w:rFonts w:ascii="Palatino Linotype" w:eastAsiaTheme="minorHAnsi" w:hAnsi="Palatino Linotype" w:cs="Arial"/>
          <w:i/>
          <w:sz w:val="22"/>
          <w:lang w:val="es-MX" w:eastAsia="en-US"/>
        </w:rPr>
        <w:t xml:space="preserve"> y tratarse de conformidad con las disposiciones aplicables. No obstante lo anterior, esta información se considerará reservada en los casos siguientes:</w:t>
      </w:r>
    </w:p>
    <w:p w14:paraId="0093005F"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i/>
          <w:sz w:val="22"/>
          <w:lang w:val="es-MX" w:eastAsia="en-US"/>
        </w:rPr>
        <w:t>(…)</w:t>
      </w:r>
    </w:p>
    <w:p w14:paraId="2281E114"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b/>
          <w:i/>
          <w:sz w:val="22"/>
          <w:lang w:val="es-MX" w:eastAsia="en-US"/>
        </w:rPr>
        <w:t>III</w:t>
      </w:r>
      <w:r w:rsidRPr="00B319C6">
        <w:rPr>
          <w:rFonts w:ascii="Palatino Linotype" w:eastAsiaTheme="minorHAnsi" w:hAnsi="Palatino Linotype" w:cs="Arial"/>
          <w:i/>
          <w:sz w:val="22"/>
          <w:lang w:val="es-MX" w:eastAsia="en-US"/>
        </w:rPr>
        <w:t xml:space="preserve">. </w:t>
      </w:r>
      <w:r w:rsidRPr="00B319C6">
        <w:rPr>
          <w:rFonts w:ascii="Palatino Linotype" w:eastAsiaTheme="minorHAnsi" w:hAnsi="Palatino Linotype" w:cs="Arial"/>
          <w:i/>
          <w:sz w:val="22"/>
          <w:u w:val="single"/>
          <w:lang w:val="es-MX" w:eastAsia="en-US"/>
        </w:rPr>
        <w:t>La relativa a servidores públicos miembros de las instituciones de seguridad pública, cuya revelación pueda poner en riesgo su vida e integridad física con motivo de sus funciones;”</w:t>
      </w:r>
    </w:p>
    <w:p w14:paraId="6BA48851"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220E7EC8" w14:textId="1D084FA5"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 xml:space="preserve">Por tanto, el Sujeto Obligado deberá </w:t>
      </w:r>
      <w:r w:rsidR="00A51186" w:rsidRPr="00B319C6">
        <w:rPr>
          <w:rFonts w:ascii="Palatino Linotype" w:eastAsiaTheme="minorHAnsi" w:hAnsi="Palatino Linotype" w:cs="Arial"/>
          <w:lang w:val="es-MX" w:eastAsia="en-US"/>
        </w:rPr>
        <w:t>clasificar dicha información</w:t>
      </w:r>
      <w:r w:rsidRPr="00B319C6">
        <w:rPr>
          <w:rFonts w:ascii="Palatino Linotype" w:eastAsiaTheme="minorHAnsi" w:hAnsi="Palatino Linotype" w:cs="Arial"/>
          <w:lang w:val="es-MX" w:eastAsia="en-US"/>
        </w:rPr>
        <w:t xml:space="preserve">, justificando de manera fundada y motivada las circunstancias por las cuales se podría en riesgo la </w:t>
      </w:r>
      <w:r w:rsidRPr="00B319C6">
        <w:rPr>
          <w:rFonts w:ascii="Palatino Linotype" w:eastAsiaTheme="minorHAnsi" w:hAnsi="Palatino Linotype" w:cs="Arial"/>
          <w:lang w:val="es-MX" w:eastAsia="en-US"/>
        </w:rPr>
        <w:lastRenderedPageBreak/>
        <w:t>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21227761"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424A8AF9" w14:textId="77777777"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40C237EA"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75E7F474" w14:textId="77777777"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5E9A0E49"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5722E202" w14:textId="77777777"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lastRenderedPageBreak/>
        <w:t>Resulta alusivo por analogía el criterio 06-09 emitido por el entonces Instituto Federal de Acceso a la Información (IFAI), ahora Instituto Nacional de Transparencia, Acceso a la Información y Protección de Datos Personales (INAI) que a la letra dice:</w:t>
      </w:r>
    </w:p>
    <w:p w14:paraId="7045383F"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2A8BBAB4"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i/>
          <w:sz w:val="22"/>
          <w:lang w:val="es-MX" w:eastAsia="en-US"/>
        </w:rPr>
        <w:t>“</w:t>
      </w:r>
      <w:r w:rsidRPr="00B319C6">
        <w:rPr>
          <w:rFonts w:ascii="Palatino Linotype" w:eastAsiaTheme="minorHAnsi" w:hAnsi="Palatino Linotype" w:cs="Arial"/>
          <w:b/>
          <w:i/>
          <w:sz w:val="22"/>
          <w:lang w:val="es-MX" w:eastAsia="en-US"/>
        </w:rPr>
        <w:t>Nombres de servidores públicos dedicados a actividades en materia de seguridad, por excepción pueden considerarse información reservada.</w:t>
      </w:r>
      <w:r w:rsidRPr="00B319C6">
        <w:rPr>
          <w:rFonts w:ascii="Palatino Linotype" w:eastAsiaTheme="minorHAnsi" w:hAnsi="Palatino Linotype" w:cs="Arial"/>
          <w:i/>
          <w:sz w:val="22"/>
          <w:lang w:val="es-MX" w:eastAsia="en-US"/>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4D8661EF"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3767DFCC" w14:textId="77777777" w:rsidR="00C87CEB" w:rsidRPr="00B319C6" w:rsidRDefault="00C87CEB" w:rsidP="00C87CEB">
      <w:pPr>
        <w:spacing w:line="360" w:lineRule="auto"/>
        <w:jc w:val="both"/>
        <w:rPr>
          <w:rFonts w:ascii="Palatino Linotype" w:eastAsiaTheme="minorHAnsi" w:hAnsi="Palatino Linotype" w:cs="Arial"/>
          <w:b/>
          <w:lang w:val="es-MX" w:eastAsia="en-US"/>
        </w:rPr>
      </w:pPr>
      <w:r w:rsidRPr="00B319C6">
        <w:rPr>
          <w:rFonts w:ascii="Palatino Linotype" w:eastAsiaTheme="minorHAnsi" w:hAnsi="Palatino Linotype" w:cs="Arial"/>
          <w:lang w:val="es-MX" w:eastAsia="en-US"/>
        </w:rPr>
        <w:t xml:space="preserve">En caso específico, de los documentos solicitados obran datos que son considerados confidenciales, cuyo acceso debe ser restringido, los cuales deben testarse al momento de la elaboración de versiones públicas, como es el caso del </w:t>
      </w:r>
      <w:r w:rsidRPr="00B319C6">
        <w:rPr>
          <w:rFonts w:ascii="Palatino Linotype" w:eastAsiaTheme="minorHAnsi" w:hAnsi="Palatino Linotype" w:cs="Arial"/>
          <w:b/>
          <w:lang w:val="es-MX" w:eastAsia="en-US"/>
        </w:rPr>
        <w:t>Registro Federal de Contribuyentes (RFC)</w:t>
      </w:r>
      <w:r w:rsidRPr="00B319C6">
        <w:rPr>
          <w:rFonts w:ascii="Palatino Linotype" w:eastAsiaTheme="minorHAnsi" w:hAnsi="Palatino Linotype" w:cs="Arial"/>
          <w:lang w:val="es-MX" w:eastAsia="en-US"/>
        </w:rPr>
        <w:t xml:space="preserve">, la </w:t>
      </w:r>
      <w:r w:rsidRPr="00B319C6">
        <w:rPr>
          <w:rFonts w:ascii="Palatino Linotype" w:eastAsiaTheme="minorHAnsi" w:hAnsi="Palatino Linotype" w:cs="Arial"/>
          <w:b/>
          <w:lang w:val="es-MX" w:eastAsia="en-US"/>
        </w:rPr>
        <w:t>Clave Única de Registro de Población (CURP)</w:t>
      </w:r>
      <w:r w:rsidRPr="00B319C6">
        <w:rPr>
          <w:rFonts w:ascii="Palatino Linotype" w:eastAsiaTheme="minorHAnsi" w:hAnsi="Palatino Linotype" w:cs="Arial"/>
          <w:lang w:val="es-MX" w:eastAsia="en-US"/>
        </w:rPr>
        <w:t xml:space="preserve">, la </w:t>
      </w:r>
      <w:r w:rsidRPr="00B319C6">
        <w:rPr>
          <w:rFonts w:ascii="Palatino Linotype" w:eastAsiaTheme="minorHAnsi" w:hAnsi="Palatino Linotype" w:cs="Arial"/>
          <w:b/>
          <w:lang w:val="es-MX" w:eastAsia="en-US"/>
        </w:rPr>
        <w:t>Clave de cualquier tipo de seguridad social</w:t>
      </w:r>
      <w:r w:rsidRPr="00B319C6">
        <w:rPr>
          <w:rFonts w:ascii="Palatino Linotype" w:eastAsiaTheme="minorHAnsi" w:hAnsi="Palatino Linotype" w:cs="Arial"/>
          <w:lang w:val="es-MX" w:eastAsia="en-US"/>
        </w:rPr>
        <w:t xml:space="preserve"> (</w:t>
      </w:r>
      <w:r w:rsidRPr="00B319C6">
        <w:rPr>
          <w:rFonts w:ascii="Palatino Linotype" w:eastAsiaTheme="minorHAnsi" w:hAnsi="Palatino Linotype" w:cs="Arial"/>
          <w:b/>
          <w:lang w:val="es-MX" w:eastAsia="en-US"/>
        </w:rPr>
        <w:t>ISSEMYM</w:t>
      </w:r>
      <w:r w:rsidRPr="00B319C6">
        <w:rPr>
          <w:rFonts w:ascii="Palatino Linotype" w:eastAsiaTheme="minorHAnsi" w:hAnsi="Palatino Linotype" w:cs="Arial"/>
          <w:lang w:val="es-MX" w:eastAsia="en-US"/>
        </w:rPr>
        <w:t xml:space="preserve">, u otros), así como, los préstamos o descuentos que se le hagan al servidor público, que no se encuentren relacionados con los impuestos o la </w:t>
      </w:r>
      <w:r w:rsidRPr="00B319C6">
        <w:rPr>
          <w:rFonts w:ascii="Palatino Linotype" w:eastAsiaTheme="minorHAnsi" w:hAnsi="Palatino Linotype" w:cs="Arial"/>
          <w:b/>
          <w:lang w:val="es-MX" w:eastAsia="en-US"/>
        </w:rPr>
        <w:t>cuotas</w:t>
      </w:r>
      <w:r w:rsidRPr="00B319C6">
        <w:rPr>
          <w:rFonts w:ascii="Palatino Linotype" w:eastAsiaTheme="minorHAnsi" w:hAnsi="Palatino Linotype" w:cs="Arial"/>
          <w:lang w:val="es-MX" w:eastAsia="en-US"/>
        </w:rPr>
        <w:t xml:space="preserve"> por </w:t>
      </w:r>
      <w:r w:rsidRPr="00B319C6">
        <w:rPr>
          <w:rFonts w:ascii="Palatino Linotype" w:eastAsiaTheme="minorHAnsi" w:hAnsi="Palatino Linotype" w:cs="Arial"/>
          <w:b/>
          <w:lang w:val="es-MX" w:eastAsia="en-US"/>
        </w:rPr>
        <w:t>seguridad social, Cadenas Originales y Sellos Digitales</w:t>
      </w:r>
    </w:p>
    <w:p w14:paraId="27016403" w14:textId="77777777"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b/>
          <w:lang w:val="es-MX" w:eastAsia="en-US"/>
        </w:rPr>
        <w:lastRenderedPageBreak/>
        <w:t>Códigos Bidimensionales</w:t>
      </w:r>
      <w:r w:rsidRPr="00B319C6">
        <w:rPr>
          <w:rFonts w:ascii="Palatino Linotype" w:eastAsiaTheme="minorHAnsi" w:hAnsi="Palatino Linotype" w:cs="Arial"/>
          <w:lang w:val="es-MX" w:eastAsia="en-US"/>
        </w:rPr>
        <w:t xml:space="preserve"> y los denominados </w:t>
      </w:r>
      <w:r w:rsidRPr="00B319C6">
        <w:rPr>
          <w:rFonts w:ascii="Palatino Linotype" w:eastAsiaTheme="minorHAnsi" w:hAnsi="Palatino Linotype" w:cs="Arial"/>
          <w:b/>
          <w:lang w:val="es-MX" w:eastAsia="en-US"/>
        </w:rPr>
        <w:t>Códigos QR</w:t>
      </w:r>
      <w:r w:rsidRPr="00B319C6">
        <w:rPr>
          <w:rFonts w:ascii="Palatino Linotype" w:eastAsiaTheme="minorHAnsi" w:hAnsi="Palatino Linotype" w:cs="Arial"/>
          <w:lang w:val="es-MX" w:eastAsia="en-US"/>
        </w:rPr>
        <w:t>.</w:t>
      </w:r>
    </w:p>
    <w:p w14:paraId="7B6684D4"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2702ACA2" w14:textId="77777777"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 xml:space="preserve">Por cuanto hace al </w:t>
      </w:r>
      <w:r w:rsidRPr="00B319C6">
        <w:rPr>
          <w:rFonts w:ascii="Palatino Linotype" w:eastAsiaTheme="minorHAnsi" w:hAnsi="Palatino Linotype" w:cs="Arial"/>
          <w:b/>
          <w:lang w:val="es-MX" w:eastAsia="en-US"/>
        </w:rPr>
        <w:t>Registro Federal de Contribuyentes de las personas físicas</w:t>
      </w:r>
      <w:r w:rsidRPr="00B319C6">
        <w:rPr>
          <w:rFonts w:ascii="Palatino Linotype" w:eastAsiaTheme="minorHAnsi" w:hAnsi="Palatino Linotype" w:cs="Arial"/>
          <w:lang w:val="es-MX" w:eastAsia="en-US"/>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2CA580D2"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644BB414" w14:textId="77777777"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Al respecto, el Instituto Nacional Transparencia, Acceso a la Información y Protección de Datos Personales (INAI) a través del Criterio 19/17, señala literalmente lo siguiente:</w:t>
      </w:r>
    </w:p>
    <w:p w14:paraId="47486185"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i/>
          <w:sz w:val="22"/>
          <w:lang w:val="es-MX" w:eastAsia="en-US"/>
        </w:rPr>
        <w:t>“</w:t>
      </w:r>
      <w:r w:rsidRPr="00B319C6">
        <w:rPr>
          <w:rFonts w:ascii="Palatino Linotype" w:eastAsiaTheme="minorHAnsi" w:hAnsi="Palatino Linotype" w:cs="Arial"/>
          <w:b/>
          <w:i/>
          <w:sz w:val="22"/>
          <w:lang w:val="es-MX" w:eastAsia="en-US"/>
        </w:rPr>
        <w:t>Registro Federal de Contribuyentes (RFC) de personas físicas</w:t>
      </w:r>
      <w:r w:rsidRPr="00B319C6">
        <w:rPr>
          <w:rFonts w:ascii="Palatino Linotype" w:eastAsiaTheme="minorHAnsi" w:hAnsi="Palatino Linotype" w:cs="Arial"/>
          <w:i/>
          <w:sz w:val="22"/>
          <w:lang w:val="es-MX" w:eastAsia="en-US"/>
        </w:rPr>
        <w:t>. El RFC es una clave de carácter fiscal, única e irrepetible, que permite identificar al titular, su edad y fecha de nacimiento, por lo que es un dato personal de carácter confidencial.</w:t>
      </w:r>
    </w:p>
    <w:p w14:paraId="3ED207A1"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1A7B7CF0" w14:textId="77777777"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0E74C7AD"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311CEC13" w14:textId="77777777"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 xml:space="preserve">Por cuanto hace a la </w:t>
      </w:r>
      <w:r w:rsidRPr="00B319C6">
        <w:rPr>
          <w:rFonts w:ascii="Palatino Linotype" w:eastAsiaTheme="minorHAnsi" w:hAnsi="Palatino Linotype" w:cs="Arial"/>
          <w:b/>
          <w:lang w:val="es-MX" w:eastAsia="en-US"/>
        </w:rPr>
        <w:t>Clave Única de Registro de Población</w:t>
      </w:r>
      <w:r w:rsidRPr="00B319C6">
        <w:rPr>
          <w:rFonts w:ascii="Palatino Linotype" w:eastAsiaTheme="minorHAnsi" w:hAnsi="Palatino Linotype" w:cs="Arial"/>
          <w:lang w:val="es-MX" w:eastAsia="en-US"/>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D995F88"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3FF2BAF3" w14:textId="77777777"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Lo anterior, tiene sustento en los artículos 86 y 91, de la Ley General de Población, la cual señala lo siguiente:</w:t>
      </w:r>
    </w:p>
    <w:p w14:paraId="5DFACE3F"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79C73C25"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i/>
          <w:sz w:val="22"/>
          <w:lang w:val="es-MX" w:eastAsia="en-US"/>
        </w:rPr>
        <w:t>“</w:t>
      </w:r>
      <w:r w:rsidRPr="00B319C6">
        <w:rPr>
          <w:rFonts w:ascii="Palatino Linotype" w:eastAsiaTheme="minorHAnsi" w:hAnsi="Palatino Linotype" w:cs="Arial"/>
          <w:b/>
          <w:i/>
          <w:sz w:val="22"/>
          <w:lang w:val="es-MX" w:eastAsia="en-US"/>
        </w:rPr>
        <w:t>Artículo 86.</w:t>
      </w:r>
      <w:r w:rsidRPr="00B319C6">
        <w:rPr>
          <w:rFonts w:ascii="Palatino Linotype" w:eastAsiaTheme="minorHAnsi" w:hAnsi="Palatino Linotype" w:cs="Arial"/>
          <w:i/>
          <w:sz w:val="22"/>
          <w:lang w:val="es-MX" w:eastAsia="en-US"/>
        </w:rPr>
        <w:t xml:space="preserve"> El Registro Nacional de Población tiene como finalidad registrar a cada una de las personas que integran la población del país, con los datos que permitan certificar y acreditar fehacientemente su identidad.</w:t>
      </w:r>
    </w:p>
    <w:p w14:paraId="6B5B61E8" w14:textId="77777777" w:rsidR="00C87CEB" w:rsidRPr="00B319C6" w:rsidRDefault="00C87CEB" w:rsidP="00C87CEB">
      <w:pPr>
        <w:ind w:left="567" w:right="567"/>
        <w:jc w:val="both"/>
        <w:rPr>
          <w:rFonts w:ascii="Palatino Linotype" w:eastAsiaTheme="minorHAnsi" w:hAnsi="Palatino Linotype" w:cs="Arial"/>
          <w:i/>
          <w:sz w:val="22"/>
          <w:lang w:val="es-MX" w:eastAsia="en-US"/>
        </w:rPr>
      </w:pPr>
    </w:p>
    <w:p w14:paraId="2BC7F4E6"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b/>
          <w:i/>
          <w:sz w:val="22"/>
          <w:lang w:val="es-MX" w:eastAsia="en-US"/>
        </w:rPr>
        <w:t>Artículo 91.</w:t>
      </w:r>
      <w:r w:rsidRPr="00B319C6">
        <w:rPr>
          <w:rFonts w:ascii="Palatino Linotype" w:eastAsiaTheme="minorHAnsi" w:hAnsi="Palatino Linotype" w:cs="Arial"/>
          <w:i/>
          <w:sz w:val="22"/>
          <w:lang w:val="es-MX" w:eastAsia="en-US"/>
        </w:rPr>
        <w:t xml:space="preserve"> Al incorporar a una persona en el Registro Nacional de Población, se le asignará una clave que se denominará Clave Única de Registro de Población. Esta servirá para registrarla e identificarla en forma individual.”</w:t>
      </w:r>
    </w:p>
    <w:p w14:paraId="5A4F7C9A" w14:textId="77777777" w:rsidR="00C31533" w:rsidRPr="00B319C6" w:rsidRDefault="00C31533" w:rsidP="00C87CEB">
      <w:pPr>
        <w:spacing w:line="360" w:lineRule="auto"/>
        <w:jc w:val="both"/>
        <w:rPr>
          <w:rFonts w:ascii="Palatino Linotype" w:eastAsiaTheme="minorHAnsi" w:hAnsi="Palatino Linotype" w:cs="Arial"/>
          <w:lang w:val="es-MX" w:eastAsia="en-US"/>
        </w:rPr>
      </w:pPr>
    </w:p>
    <w:p w14:paraId="310AD986" w14:textId="329A08C7"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0847A57A"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3FA3EAD9" w14:textId="77777777"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lastRenderedPageBreak/>
        <w:t>Al respecto, el Instituto Nacional de Transparencia, Acceso a la Información y Protección de Datos Personales (INAI) a través del Criterio 18/17, señala literalmente lo siguiente:</w:t>
      </w:r>
    </w:p>
    <w:p w14:paraId="0E756326"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486953E3"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b/>
          <w:i/>
          <w:sz w:val="22"/>
          <w:lang w:val="es-MX" w:eastAsia="en-US"/>
        </w:rPr>
        <w:t>Clave Única de Registro de Población (CURP).</w:t>
      </w:r>
      <w:r w:rsidRPr="00B319C6">
        <w:rPr>
          <w:rFonts w:ascii="Palatino Linotype" w:eastAsiaTheme="minorHAnsi" w:hAnsi="Palatino Linotype" w:cs="Arial"/>
          <w:i/>
          <w:sz w:val="22"/>
          <w:lang w:val="es-MX" w:eastAsia="en-U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BC41651"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7C98D5A6" w14:textId="77777777"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E49324D"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291B6427" w14:textId="77777777"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 xml:space="preserve">Por cuanto hace a la </w:t>
      </w:r>
      <w:r w:rsidRPr="00B319C6">
        <w:rPr>
          <w:rFonts w:ascii="Palatino Linotype" w:eastAsiaTheme="minorHAnsi" w:hAnsi="Palatino Linotype" w:cs="Arial"/>
          <w:b/>
          <w:lang w:val="es-MX" w:eastAsia="en-US"/>
        </w:rPr>
        <w:t>Clave de cualquier tipo de seguridad social</w:t>
      </w:r>
      <w:r w:rsidRPr="00B319C6">
        <w:rPr>
          <w:rFonts w:ascii="Palatino Linotype" w:eastAsiaTheme="minorHAnsi" w:hAnsi="Palatino Linotype" w:cs="Arial"/>
          <w:lang w:val="es-MX" w:eastAsia="en-US"/>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w:t>
      </w:r>
      <w:r w:rsidRPr="00B319C6">
        <w:rPr>
          <w:rFonts w:ascii="Palatino Linotype" w:eastAsiaTheme="minorHAnsi" w:hAnsi="Palatino Linotype" w:cs="Arial"/>
          <w:lang w:val="es-MX" w:eastAsia="en-US"/>
        </w:rPr>
        <w:lastRenderedPageBreak/>
        <w:t>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ADDFE24"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516B79FA" w14:textId="09F9B6ED"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 xml:space="preserve">Respecto de los </w:t>
      </w:r>
      <w:r w:rsidRPr="00B319C6">
        <w:rPr>
          <w:rFonts w:ascii="Palatino Linotype" w:eastAsiaTheme="minorHAnsi" w:hAnsi="Palatino Linotype" w:cs="Arial"/>
          <w:b/>
          <w:lang w:val="es-MX" w:eastAsia="en-US"/>
        </w:rPr>
        <w:t>préstamos o descuentos de carácter personal</w:t>
      </w:r>
      <w:r w:rsidRPr="00B319C6">
        <w:rPr>
          <w:rFonts w:ascii="Palatino Linotype" w:eastAsiaTheme="minorHAnsi" w:hAnsi="Palatino Linotype" w:cs="Arial"/>
          <w:lang w:val="es-MX" w:eastAsia="en-US"/>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23334FED"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028E045A" w14:textId="77777777"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Por su parte, el artículo 84 de la Ley del Trabajo de los Servidores Públicos del Estado y Municipios, señala:</w:t>
      </w:r>
    </w:p>
    <w:p w14:paraId="1D49AE97"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2EBB8BAF"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b/>
          <w:i/>
          <w:sz w:val="22"/>
          <w:lang w:val="es-MX" w:eastAsia="en-US"/>
        </w:rPr>
        <w:t>ARTICULO 84.</w:t>
      </w:r>
      <w:r w:rsidRPr="00B319C6">
        <w:rPr>
          <w:rFonts w:ascii="Palatino Linotype" w:eastAsiaTheme="minorHAnsi" w:hAnsi="Palatino Linotype" w:cs="Arial"/>
          <w:i/>
          <w:sz w:val="22"/>
          <w:lang w:val="es-MX" w:eastAsia="en-US"/>
        </w:rPr>
        <w:t xml:space="preserve"> Sólo podrán hacerse retenciones, descuentos o deducciones al sueldo de los servidores públicos por concepto de:</w:t>
      </w:r>
    </w:p>
    <w:p w14:paraId="6BEA8539"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b/>
          <w:i/>
          <w:sz w:val="22"/>
          <w:lang w:val="es-MX" w:eastAsia="en-US"/>
        </w:rPr>
        <w:t>I.</w:t>
      </w:r>
      <w:r w:rsidRPr="00B319C6">
        <w:rPr>
          <w:rFonts w:ascii="Palatino Linotype" w:eastAsiaTheme="minorHAnsi" w:hAnsi="Palatino Linotype" w:cs="Arial"/>
          <w:i/>
          <w:sz w:val="22"/>
          <w:lang w:val="es-MX" w:eastAsia="en-US"/>
        </w:rPr>
        <w:t xml:space="preserve"> Gravámenes fiscales relacionados con el sueldo;</w:t>
      </w:r>
    </w:p>
    <w:p w14:paraId="1F05D4F1"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b/>
          <w:i/>
          <w:sz w:val="22"/>
          <w:lang w:val="es-MX" w:eastAsia="en-US"/>
        </w:rPr>
        <w:t>II.</w:t>
      </w:r>
      <w:r w:rsidRPr="00B319C6">
        <w:rPr>
          <w:rFonts w:ascii="Palatino Linotype" w:eastAsiaTheme="minorHAnsi" w:hAnsi="Palatino Linotype" w:cs="Arial"/>
          <w:i/>
          <w:sz w:val="22"/>
          <w:lang w:val="es-MX" w:eastAsia="en-US"/>
        </w:rPr>
        <w:t xml:space="preserve"> Deudas contraídas con las instituciones públicas o dependencias por concepto de anticipos de sueldo, pagos hechos con exceso, errores o pérdidas debidamente comprobados;</w:t>
      </w:r>
    </w:p>
    <w:p w14:paraId="3DC6F77E"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b/>
          <w:i/>
          <w:sz w:val="22"/>
          <w:lang w:val="es-MX" w:eastAsia="en-US"/>
        </w:rPr>
        <w:t>III.</w:t>
      </w:r>
      <w:r w:rsidRPr="00B319C6">
        <w:rPr>
          <w:rFonts w:ascii="Palatino Linotype" w:eastAsiaTheme="minorHAnsi" w:hAnsi="Palatino Linotype" w:cs="Arial"/>
          <w:i/>
          <w:sz w:val="22"/>
          <w:lang w:val="es-MX" w:eastAsia="en-US"/>
        </w:rPr>
        <w:t xml:space="preserve"> Cuotas sindicales;</w:t>
      </w:r>
    </w:p>
    <w:p w14:paraId="151183BA"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b/>
          <w:i/>
          <w:sz w:val="22"/>
          <w:lang w:val="es-MX" w:eastAsia="en-US"/>
        </w:rPr>
        <w:t>IV.</w:t>
      </w:r>
      <w:r w:rsidRPr="00B319C6">
        <w:rPr>
          <w:rFonts w:ascii="Palatino Linotype" w:eastAsiaTheme="minorHAnsi" w:hAnsi="Palatino Linotype" w:cs="Arial"/>
          <w:i/>
          <w:sz w:val="22"/>
          <w:lang w:val="es-MX" w:eastAsia="en-US"/>
        </w:rPr>
        <w:t xml:space="preserve"> Cuotas de aportación a fondos para la constitución de cooperativas y de cajas de ahorro, siempre que el servidor público hubiese manifestado previamente, de manera expresa, su conformidad;</w:t>
      </w:r>
    </w:p>
    <w:p w14:paraId="5BF74013"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b/>
          <w:i/>
          <w:sz w:val="22"/>
          <w:lang w:val="es-MX" w:eastAsia="en-US"/>
        </w:rPr>
        <w:t>V.</w:t>
      </w:r>
      <w:r w:rsidRPr="00B319C6">
        <w:rPr>
          <w:rFonts w:ascii="Palatino Linotype" w:eastAsiaTheme="minorHAnsi" w:hAnsi="Palatino Linotype" w:cs="Arial"/>
          <w:i/>
          <w:sz w:val="22"/>
          <w:lang w:val="es-MX" w:eastAsia="en-US"/>
        </w:rPr>
        <w:t xml:space="preserve"> Descuentos ordenados por el Instituto de Seguridad Social del Estado de México y Municipios, con motivo de cuotas y obligaciones contraídas con éste por los servidores públicos;</w:t>
      </w:r>
    </w:p>
    <w:p w14:paraId="3761FA03"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b/>
          <w:i/>
          <w:sz w:val="22"/>
          <w:lang w:val="es-MX" w:eastAsia="en-US"/>
        </w:rPr>
        <w:t>VI.</w:t>
      </w:r>
      <w:r w:rsidRPr="00B319C6">
        <w:rPr>
          <w:rFonts w:ascii="Palatino Linotype" w:eastAsiaTheme="minorHAnsi" w:hAnsi="Palatino Linotype" w:cs="Arial"/>
          <w:i/>
          <w:sz w:val="22"/>
          <w:lang w:val="es-MX" w:eastAsia="en-US"/>
        </w:rPr>
        <w:t xml:space="preserve"> Obligaciones a cargo del servidor público con las que haya consentido, derivadas de la adquisición o del uso de habitaciones consideradas como de interés social;</w:t>
      </w:r>
    </w:p>
    <w:p w14:paraId="44C10827"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b/>
          <w:i/>
          <w:sz w:val="22"/>
          <w:lang w:val="es-MX" w:eastAsia="en-US"/>
        </w:rPr>
        <w:t>VII.</w:t>
      </w:r>
      <w:r w:rsidRPr="00B319C6">
        <w:rPr>
          <w:rFonts w:ascii="Palatino Linotype" w:eastAsiaTheme="minorHAnsi" w:hAnsi="Palatino Linotype" w:cs="Arial"/>
          <w:i/>
          <w:sz w:val="22"/>
          <w:lang w:val="es-MX" w:eastAsia="en-US"/>
        </w:rPr>
        <w:t xml:space="preserve"> Faltas de puntualidad o de asistencia injustificadas;</w:t>
      </w:r>
    </w:p>
    <w:p w14:paraId="3C628973"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b/>
          <w:i/>
          <w:sz w:val="22"/>
          <w:lang w:val="es-MX" w:eastAsia="en-US"/>
        </w:rPr>
        <w:lastRenderedPageBreak/>
        <w:t>VIII.</w:t>
      </w:r>
      <w:r w:rsidRPr="00B319C6">
        <w:rPr>
          <w:rFonts w:ascii="Palatino Linotype" w:eastAsiaTheme="minorHAnsi" w:hAnsi="Palatino Linotype" w:cs="Arial"/>
          <w:i/>
          <w:sz w:val="22"/>
          <w:lang w:val="es-MX" w:eastAsia="en-US"/>
        </w:rPr>
        <w:t xml:space="preserve"> Pensiones alimenticias ordenadas por la autoridad judicial; o</w:t>
      </w:r>
    </w:p>
    <w:p w14:paraId="2B3FCCFB"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b/>
          <w:i/>
          <w:sz w:val="22"/>
          <w:lang w:val="es-MX" w:eastAsia="en-US"/>
        </w:rPr>
        <w:t>IX.</w:t>
      </w:r>
      <w:r w:rsidRPr="00B319C6">
        <w:rPr>
          <w:rFonts w:ascii="Palatino Linotype" w:eastAsiaTheme="minorHAnsi" w:hAnsi="Palatino Linotype" w:cs="Arial"/>
          <w:i/>
          <w:sz w:val="22"/>
          <w:lang w:val="es-MX" w:eastAsia="en-US"/>
        </w:rPr>
        <w:t xml:space="preserve"> Cualquier otro convenido con instituciones de servicios y aceptado por el servidor público.</w:t>
      </w:r>
    </w:p>
    <w:p w14:paraId="49A7889B" w14:textId="77777777" w:rsidR="00C87CEB" w:rsidRPr="00B319C6" w:rsidRDefault="00C87CEB" w:rsidP="00C87CEB">
      <w:pPr>
        <w:ind w:left="567" w:right="567"/>
        <w:jc w:val="both"/>
        <w:rPr>
          <w:rFonts w:ascii="Palatino Linotype" w:eastAsiaTheme="minorHAnsi" w:hAnsi="Palatino Linotype" w:cs="Arial"/>
          <w:i/>
          <w:sz w:val="22"/>
          <w:lang w:val="es-MX" w:eastAsia="en-US"/>
        </w:rPr>
      </w:pPr>
    </w:p>
    <w:p w14:paraId="3B3090D4"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i/>
          <w:sz w:val="22"/>
          <w:lang w:val="es-MX" w:eastAsia="en-U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130EBC8"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1EFEE1EB" w14:textId="0D38BE3A"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54E66141" w14:textId="77777777" w:rsidR="00BE7AC1" w:rsidRPr="00B319C6" w:rsidRDefault="00BE7AC1" w:rsidP="00C87CEB">
      <w:pPr>
        <w:spacing w:line="360" w:lineRule="auto"/>
        <w:jc w:val="both"/>
        <w:rPr>
          <w:rFonts w:ascii="Palatino Linotype" w:eastAsiaTheme="minorHAnsi" w:hAnsi="Palatino Linotype" w:cs="Arial"/>
          <w:lang w:val="es-MX" w:eastAsia="en-US"/>
        </w:rPr>
      </w:pPr>
    </w:p>
    <w:p w14:paraId="332DC48C" w14:textId="4BEB641C"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w:t>
      </w:r>
      <w:r w:rsidRPr="00B319C6">
        <w:rPr>
          <w:rFonts w:ascii="Palatino Linotype" w:eastAsiaTheme="minorHAnsi" w:hAnsi="Palatino Linotype" w:cs="Arial"/>
          <w:lang w:val="es-MX" w:eastAsia="en-US"/>
        </w:rPr>
        <w:lastRenderedPageBreak/>
        <w:t>Comité de Transparencia de así resultar procedente el proyecto de clasificación de la información y finalmente sea éste último quien apruebe, modifique o revoque la clasificación de la información solicitada.</w:t>
      </w:r>
    </w:p>
    <w:p w14:paraId="206C60FD" w14:textId="77777777" w:rsidR="00E13557" w:rsidRPr="00B319C6" w:rsidRDefault="00E13557" w:rsidP="00C87CEB">
      <w:pPr>
        <w:spacing w:line="360" w:lineRule="auto"/>
        <w:jc w:val="both"/>
        <w:rPr>
          <w:rFonts w:ascii="Palatino Linotype" w:eastAsiaTheme="minorHAnsi" w:hAnsi="Palatino Linotype" w:cs="Arial"/>
          <w:lang w:val="es-MX" w:eastAsia="en-US"/>
        </w:rPr>
      </w:pPr>
    </w:p>
    <w:p w14:paraId="7DD9EFF8" w14:textId="77777777"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2CD7F761"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743A087F" w14:textId="77777777"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164DC2E"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455FCE37"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i/>
          <w:sz w:val="22"/>
          <w:lang w:val="es-MX" w:eastAsia="en-US"/>
        </w:rPr>
        <w:t>“</w:t>
      </w:r>
      <w:r w:rsidRPr="00B319C6">
        <w:rPr>
          <w:rFonts w:ascii="Palatino Linotype" w:eastAsiaTheme="minorHAnsi" w:hAnsi="Palatino Linotype" w:cs="Arial"/>
          <w:b/>
          <w:i/>
          <w:sz w:val="22"/>
          <w:lang w:val="es-MX" w:eastAsia="en-US"/>
        </w:rPr>
        <w:t>Artículo 49.</w:t>
      </w:r>
      <w:r w:rsidRPr="00B319C6">
        <w:rPr>
          <w:rFonts w:ascii="Palatino Linotype" w:eastAsiaTheme="minorHAnsi" w:hAnsi="Palatino Linotype" w:cs="Arial"/>
          <w:i/>
          <w:sz w:val="22"/>
          <w:lang w:val="es-MX" w:eastAsia="en-US"/>
        </w:rPr>
        <w:t xml:space="preserve"> Los Comités de Transparencia tendrán las siguientes atribuciones:</w:t>
      </w:r>
    </w:p>
    <w:p w14:paraId="0776F76A"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i/>
          <w:sz w:val="22"/>
          <w:lang w:val="es-MX" w:eastAsia="en-US"/>
        </w:rPr>
        <w:t>…</w:t>
      </w:r>
    </w:p>
    <w:p w14:paraId="79FE5267"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b/>
          <w:i/>
          <w:sz w:val="22"/>
          <w:lang w:val="es-MX" w:eastAsia="en-US"/>
        </w:rPr>
        <w:lastRenderedPageBreak/>
        <w:t>VIII</w:t>
      </w:r>
      <w:r w:rsidRPr="00B319C6">
        <w:rPr>
          <w:rFonts w:ascii="Palatino Linotype" w:eastAsiaTheme="minorHAnsi" w:hAnsi="Palatino Linotype" w:cs="Arial"/>
          <w:i/>
          <w:sz w:val="22"/>
          <w:lang w:val="es-MX" w:eastAsia="en-US"/>
        </w:rPr>
        <w:t>. Aprobar, modificar o revocar la clasificación de la información;</w:t>
      </w:r>
    </w:p>
    <w:p w14:paraId="2CAC42C3"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b/>
          <w:i/>
          <w:sz w:val="22"/>
          <w:lang w:val="es-MX" w:eastAsia="en-US"/>
        </w:rPr>
        <w:t>Artículo 132.</w:t>
      </w:r>
      <w:r w:rsidRPr="00B319C6">
        <w:rPr>
          <w:rFonts w:ascii="Palatino Linotype" w:eastAsiaTheme="minorHAnsi" w:hAnsi="Palatino Linotype" w:cs="Arial"/>
          <w:i/>
          <w:sz w:val="22"/>
          <w:lang w:val="es-MX" w:eastAsia="en-US"/>
        </w:rPr>
        <w:t xml:space="preserve"> La clasificación de la información se llevará a cabo en el momento en que:</w:t>
      </w:r>
    </w:p>
    <w:p w14:paraId="678A0ABB"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i/>
          <w:sz w:val="22"/>
          <w:lang w:val="es-MX" w:eastAsia="en-US"/>
        </w:rPr>
        <w:t>I. Se reciba una solicitud de acceso a la información;</w:t>
      </w:r>
    </w:p>
    <w:p w14:paraId="35CA843F"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i/>
          <w:sz w:val="22"/>
          <w:lang w:val="es-MX" w:eastAsia="en-US"/>
        </w:rPr>
        <w:t>II. Se determine mediante resolución de autoridad competente; o</w:t>
      </w:r>
    </w:p>
    <w:p w14:paraId="35403656"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i/>
          <w:sz w:val="22"/>
          <w:lang w:val="es-MX" w:eastAsia="en-US"/>
        </w:rPr>
        <w:t>III. Se generen versiones públicas para dar cumplimiento a las obligaciones de transparencia previstas en esta Ley.”</w:t>
      </w:r>
    </w:p>
    <w:p w14:paraId="7B7145B9"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i/>
          <w:sz w:val="22"/>
          <w:lang w:val="es-MX" w:eastAsia="en-US"/>
        </w:rPr>
        <w:t>“</w:t>
      </w:r>
      <w:r w:rsidRPr="00B319C6">
        <w:rPr>
          <w:rFonts w:ascii="Palatino Linotype" w:eastAsiaTheme="minorHAnsi" w:hAnsi="Palatino Linotype" w:cs="Arial"/>
          <w:b/>
          <w:i/>
          <w:sz w:val="22"/>
          <w:lang w:val="es-MX" w:eastAsia="en-US"/>
        </w:rPr>
        <w:t>Segundo</w:t>
      </w:r>
      <w:r w:rsidRPr="00B319C6">
        <w:rPr>
          <w:rFonts w:ascii="Palatino Linotype" w:eastAsiaTheme="minorHAnsi" w:hAnsi="Palatino Linotype" w:cs="Arial"/>
          <w:i/>
          <w:sz w:val="22"/>
          <w:lang w:val="es-MX" w:eastAsia="en-US"/>
        </w:rPr>
        <w:t>.- Para efectos de los presentes Lineamientos Generales, se entenderá por:</w:t>
      </w:r>
    </w:p>
    <w:p w14:paraId="438CCB29"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i/>
          <w:sz w:val="22"/>
          <w:lang w:val="es-MX" w:eastAsia="en-US"/>
        </w:rPr>
        <w:t>…</w:t>
      </w:r>
    </w:p>
    <w:p w14:paraId="0B5AAE9A"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b/>
          <w:i/>
          <w:sz w:val="22"/>
          <w:lang w:val="es-MX" w:eastAsia="en-US"/>
        </w:rPr>
        <w:t>XVIII</w:t>
      </w:r>
      <w:r w:rsidRPr="00B319C6">
        <w:rPr>
          <w:rFonts w:ascii="Palatino Linotype" w:eastAsiaTheme="minorHAnsi" w:hAnsi="Palatino Linotype" w:cs="Arial"/>
          <w:i/>
          <w:sz w:val="22"/>
          <w:lang w:val="es-MX" w:eastAsia="en-US"/>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0E90118" w14:textId="77777777" w:rsidR="00C87CEB" w:rsidRPr="00B319C6" w:rsidRDefault="00C87CEB" w:rsidP="00C87CEB">
      <w:pPr>
        <w:ind w:left="567" w:right="567"/>
        <w:jc w:val="both"/>
        <w:rPr>
          <w:rFonts w:ascii="Palatino Linotype" w:eastAsiaTheme="minorHAnsi" w:hAnsi="Palatino Linotype" w:cs="Arial"/>
          <w:i/>
          <w:sz w:val="22"/>
          <w:lang w:val="es-MX" w:eastAsia="en-US"/>
        </w:rPr>
      </w:pPr>
    </w:p>
    <w:p w14:paraId="75DBC391"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b/>
          <w:i/>
          <w:sz w:val="22"/>
          <w:lang w:val="es-MX" w:eastAsia="en-US"/>
        </w:rPr>
        <w:t>Cuarto</w:t>
      </w:r>
      <w:r w:rsidRPr="00B319C6">
        <w:rPr>
          <w:rFonts w:ascii="Palatino Linotype" w:eastAsiaTheme="minorHAnsi" w:hAnsi="Palatino Linotype" w:cs="Arial"/>
          <w:i/>
          <w:sz w:val="22"/>
          <w:lang w:val="es-MX" w:eastAsia="en-US"/>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AEA8751"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i/>
          <w:sz w:val="22"/>
          <w:lang w:val="es-MX" w:eastAsia="en-US"/>
        </w:rPr>
        <w:t>Los Sujetos Obligados deberán aplicar, de manera estricta, las excepciones al derecho de acceso a la información y sólo podrán invocarlas cuando acrediten su procedencia.</w:t>
      </w:r>
    </w:p>
    <w:p w14:paraId="6255E8CB" w14:textId="77777777" w:rsidR="00C87CEB" w:rsidRPr="00B319C6" w:rsidRDefault="00C87CEB" w:rsidP="00C87CEB">
      <w:pPr>
        <w:ind w:left="567" w:right="567"/>
        <w:jc w:val="both"/>
        <w:rPr>
          <w:rFonts w:ascii="Palatino Linotype" w:eastAsiaTheme="minorHAnsi" w:hAnsi="Palatino Linotype" w:cs="Arial"/>
          <w:i/>
          <w:sz w:val="22"/>
          <w:lang w:val="es-MX" w:eastAsia="en-US"/>
        </w:rPr>
      </w:pPr>
    </w:p>
    <w:p w14:paraId="14D0A0B2"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b/>
          <w:i/>
          <w:sz w:val="22"/>
          <w:lang w:val="es-MX" w:eastAsia="en-US"/>
        </w:rPr>
        <w:t>Quinto</w:t>
      </w:r>
      <w:r w:rsidRPr="00B319C6">
        <w:rPr>
          <w:rFonts w:ascii="Palatino Linotype" w:eastAsiaTheme="minorHAnsi" w:hAnsi="Palatino Linotype" w:cs="Arial"/>
          <w:i/>
          <w:sz w:val="22"/>
          <w:lang w:val="es-MX" w:eastAsia="en-US"/>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2B18430" w14:textId="77777777" w:rsidR="00C87CEB" w:rsidRPr="00B319C6" w:rsidRDefault="00C87CEB" w:rsidP="00C87CEB">
      <w:pPr>
        <w:ind w:left="567" w:right="567"/>
        <w:jc w:val="both"/>
        <w:rPr>
          <w:rFonts w:ascii="Palatino Linotype" w:eastAsiaTheme="minorHAnsi" w:hAnsi="Palatino Linotype" w:cs="Arial"/>
          <w:i/>
          <w:sz w:val="22"/>
          <w:lang w:val="es-MX" w:eastAsia="en-US"/>
        </w:rPr>
      </w:pPr>
    </w:p>
    <w:p w14:paraId="0F28EFC5"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b/>
          <w:i/>
          <w:sz w:val="22"/>
          <w:lang w:val="es-MX" w:eastAsia="en-US"/>
        </w:rPr>
        <w:t>Sexto</w:t>
      </w:r>
      <w:r w:rsidRPr="00B319C6">
        <w:rPr>
          <w:rFonts w:ascii="Palatino Linotype" w:eastAsiaTheme="minorHAnsi" w:hAnsi="Palatino Linotype" w:cs="Arial"/>
          <w:i/>
          <w:sz w:val="22"/>
          <w:lang w:val="es-MX" w:eastAsia="en-US"/>
        </w:rPr>
        <w:t>. Los Sujetos Obligados no podrán emitir acuerdos de carácter general ni particular que clasifiquen documentos o expedientes como reservados, ni clasificar documentos antes de que se genere la información o cuando éstos no obren en sus archivos.</w:t>
      </w:r>
    </w:p>
    <w:p w14:paraId="3083133D"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i/>
          <w:sz w:val="22"/>
          <w:lang w:val="es-MX" w:eastAsia="en-US"/>
        </w:rPr>
        <w:t>La clasificación de información se realizará conforme a un análisis caso por caso, mediante la aplicación de la prueba de daño y de interés público.</w:t>
      </w:r>
    </w:p>
    <w:p w14:paraId="2F85C741" w14:textId="77777777" w:rsidR="00C87CEB" w:rsidRPr="00B319C6" w:rsidRDefault="00C87CEB" w:rsidP="00C87CEB">
      <w:pPr>
        <w:ind w:left="567" w:right="567"/>
        <w:jc w:val="both"/>
        <w:rPr>
          <w:rFonts w:ascii="Palatino Linotype" w:eastAsiaTheme="minorHAnsi" w:hAnsi="Palatino Linotype" w:cs="Arial"/>
          <w:i/>
          <w:sz w:val="22"/>
          <w:lang w:val="es-MX" w:eastAsia="en-US"/>
        </w:rPr>
      </w:pPr>
    </w:p>
    <w:p w14:paraId="3A39D604"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b/>
          <w:i/>
          <w:sz w:val="22"/>
          <w:lang w:val="es-MX" w:eastAsia="en-US"/>
        </w:rPr>
        <w:t>Séptimo</w:t>
      </w:r>
      <w:r w:rsidRPr="00B319C6">
        <w:rPr>
          <w:rFonts w:ascii="Palatino Linotype" w:eastAsiaTheme="minorHAnsi" w:hAnsi="Palatino Linotype" w:cs="Arial"/>
          <w:i/>
          <w:sz w:val="22"/>
          <w:lang w:val="es-MX" w:eastAsia="en-US"/>
        </w:rPr>
        <w:t>. La clasificación de la información se llevará a cabo en el momento en que:</w:t>
      </w:r>
    </w:p>
    <w:p w14:paraId="57D42348"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b/>
          <w:i/>
          <w:sz w:val="22"/>
          <w:lang w:val="es-MX" w:eastAsia="en-US"/>
        </w:rPr>
        <w:t>I.</w:t>
      </w:r>
      <w:r w:rsidRPr="00B319C6">
        <w:rPr>
          <w:rFonts w:ascii="Palatino Linotype" w:eastAsiaTheme="minorHAnsi" w:hAnsi="Palatino Linotype" w:cs="Arial"/>
          <w:i/>
          <w:sz w:val="22"/>
          <w:lang w:val="es-MX" w:eastAsia="en-US"/>
        </w:rPr>
        <w:t xml:space="preserve"> Se reciba una solicitud de acceso a la información;</w:t>
      </w:r>
    </w:p>
    <w:p w14:paraId="005A541B"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b/>
          <w:i/>
          <w:sz w:val="22"/>
          <w:lang w:val="es-MX" w:eastAsia="en-US"/>
        </w:rPr>
        <w:t>II</w:t>
      </w:r>
      <w:r w:rsidRPr="00B319C6">
        <w:rPr>
          <w:rFonts w:ascii="Palatino Linotype" w:eastAsiaTheme="minorHAnsi" w:hAnsi="Palatino Linotype" w:cs="Arial"/>
          <w:i/>
          <w:sz w:val="22"/>
          <w:lang w:val="es-MX" w:eastAsia="en-US"/>
        </w:rPr>
        <w:t>. Se determine mediante resolución de autoridad competente, o</w:t>
      </w:r>
    </w:p>
    <w:p w14:paraId="24594635"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b/>
          <w:i/>
          <w:sz w:val="22"/>
          <w:lang w:val="es-MX" w:eastAsia="en-US"/>
        </w:rPr>
        <w:lastRenderedPageBreak/>
        <w:t>III</w:t>
      </w:r>
      <w:r w:rsidRPr="00B319C6">
        <w:rPr>
          <w:rFonts w:ascii="Palatino Linotype" w:eastAsiaTheme="minorHAnsi" w:hAnsi="Palatino Linotype" w:cs="Arial"/>
          <w:i/>
          <w:sz w:val="22"/>
          <w:lang w:val="es-MX" w:eastAsia="en-US"/>
        </w:rPr>
        <w:t>. Se generen versiones públicas para dar cumplimiento a las obligaciones de transparencia previstas en la Ley General, la Ley Federal y las correspondientes de las entidades federativas.</w:t>
      </w:r>
    </w:p>
    <w:p w14:paraId="0FE73427"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i/>
          <w:sz w:val="22"/>
          <w:lang w:val="es-MX" w:eastAsia="en-US"/>
        </w:rPr>
        <w:t>Los titulares de las áreas deberán revisar la clasificación al momento de la recepción de una solicitud de acceso a la información, para verificar si encuadra en una causal de reserva o de confidencialidad.</w:t>
      </w:r>
    </w:p>
    <w:p w14:paraId="33C87650"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b/>
          <w:i/>
          <w:sz w:val="22"/>
          <w:lang w:val="es-MX" w:eastAsia="en-US"/>
        </w:rPr>
        <w:t>Octavo</w:t>
      </w:r>
      <w:r w:rsidRPr="00B319C6">
        <w:rPr>
          <w:rFonts w:ascii="Palatino Linotype" w:eastAsiaTheme="minorHAnsi" w:hAnsi="Palatino Linotype" w:cs="Arial"/>
          <w:i/>
          <w:sz w:val="22"/>
          <w:lang w:val="es-MX" w:eastAsia="en-US"/>
        </w:rPr>
        <w:t>. Para fundar la clasificación de la información se debe señalar el artículo, fracción, inciso, párrafo o numeral de la ley o tratado internacional suscrito por el Estado mexicano que expresamente le otorga el carácter de reservada o confidencial.</w:t>
      </w:r>
    </w:p>
    <w:p w14:paraId="2C6FB31B"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i/>
          <w:sz w:val="22"/>
          <w:lang w:val="es-MX" w:eastAsia="en-US"/>
        </w:rPr>
        <w:t>Para motivar la clasificación se deberán señalar las razones o circunstancias especiales que lo llevaron a concluir que el caso particular se ajusta al supuesto previsto por la norma legal invocada como fundamento.</w:t>
      </w:r>
    </w:p>
    <w:p w14:paraId="5436D6B1"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i/>
          <w:sz w:val="22"/>
          <w:lang w:val="es-MX" w:eastAsia="en-US"/>
        </w:rPr>
        <w:t>En caso de referirse a información reservada, la motivación de la clasificación también deberá comprender las circunstancias que justifican el establecimiento de determinado plazo de reserva.</w:t>
      </w:r>
    </w:p>
    <w:p w14:paraId="56D733DE" w14:textId="77777777" w:rsidR="00C87CEB" w:rsidRPr="00B319C6" w:rsidRDefault="00C87CEB" w:rsidP="00C87CEB">
      <w:pPr>
        <w:ind w:left="567" w:right="567"/>
        <w:jc w:val="both"/>
        <w:rPr>
          <w:rFonts w:ascii="Palatino Linotype" w:eastAsiaTheme="minorHAnsi" w:hAnsi="Palatino Linotype" w:cs="Arial"/>
          <w:i/>
          <w:sz w:val="22"/>
          <w:lang w:val="es-MX" w:eastAsia="en-US"/>
        </w:rPr>
      </w:pPr>
    </w:p>
    <w:p w14:paraId="18EDB740"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i/>
          <w:sz w:val="22"/>
          <w:lang w:val="es-MX" w:eastAsia="en-US"/>
        </w:rPr>
        <w:t>Tratándose de información clasificada como confidencial respecto de la cual se haya determinado su conservación permanente por tener valor histórico, ésta conservará tal carácter de conformidad con la normativa aplicable en materia de archivos.</w:t>
      </w:r>
    </w:p>
    <w:p w14:paraId="729BBF6E"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i/>
          <w:sz w:val="22"/>
          <w:lang w:val="es-MX" w:eastAsia="en-US"/>
        </w:rPr>
        <w:t>Los documentos contenidos en los archivos históricos y los identificados como históricos confidenciales no serán susceptibles de clasificación como reservados.</w:t>
      </w:r>
    </w:p>
    <w:p w14:paraId="5C0BCD1B" w14:textId="77777777" w:rsidR="00C87CEB" w:rsidRPr="00B319C6" w:rsidRDefault="00C87CEB" w:rsidP="00C87CEB">
      <w:pPr>
        <w:ind w:left="567" w:right="567"/>
        <w:jc w:val="both"/>
        <w:rPr>
          <w:rFonts w:ascii="Palatino Linotype" w:eastAsiaTheme="minorHAnsi" w:hAnsi="Palatino Linotype" w:cs="Arial"/>
          <w:i/>
          <w:sz w:val="22"/>
          <w:lang w:val="es-MX" w:eastAsia="en-US"/>
        </w:rPr>
      </w:pPr>
    </w:p>
    <w:p w14:paraId="4BC85F3F"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b/>
          <w:i/>
          <w:sz w:val="22"/>
          <w:lang w:val="es-MX" w:eastAsia="en-US"/>
        </w:rPr>
        <w:t>Noveno</w:t>
      </w:r>
      <w:r w:rsidRPr="00B319C6">
        <w:rPr>
          <w:rFonts w:ascii="Palatino Linotype" w:eastAsiaTheme="minorHAnsi" w:hAnsi="Palatino Linotype" w:cs="Arial"/>
          <w:i/>
          <w:sz w:val="22"/>
          <w:lang w:val="es-MX" w:eastAsia="en-US"/>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0FAD6F1" w14:textId="77777777" w:rsidR="00C87CEB" w:rsidRPr="00B319C6" w:rsidRDefault="00C87CEB" w:rsidP="00C87CEB">
      <w:pPr>
        <w:ind w:left="567" w:right="567"/>
        <w:jc w:val="both"/>
        <w:rPr>
          <w:rFonts w:ascii="Palatino Linotype" w:eastAsiaTheme="minorHAnsi" w:hAnsi="Palatino Linotype" w:cs="Arial"/>
          <w:i/>
          <w:sz w:val="22"/>
          <w:lang w:val="es-MX" w:eastAsia="en-US"/>
        </w:rPr>
      </w:pPr>
    </w:p>
    <w:p w14:paraId="1214BA57"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b/>
          <w:i/>
          <w:sz w:val="22"/>
          <w:lang w:val="es-MX" w:eastAsia="en-US"/>
        </w:rPr>
        <w:t>Décimo</w:t>
      </w:r>
      <w:r w:rsidRPr="00B319C6">
        <w:rPr>
          <w:rFonts w:ascii="Palatino Linotype" w:eastAsiaTheme="minorHAnsi" w:hAnsi="Palatino Linotype" w:cs="Arial"/>
          <w:i/>
          <w:sz w:val="22"/>
          <w:lang w:val="es-MX" w:eastAsia="en-US"/>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03D4677" w14:textId="77777777" w:rsidR="00C87CEB" w:rsidRPr="00B319C6" w:rsidRDefault="00C87CEB" w:rsidP="00C87CEB">
      <w:pPr>
        <w:ind w:left="567" w:right="567"/>
        <w:jc w:val="both"/>
        <w:rPr>
          <w:rFonts w:ascii="Palatino Linotype" w:eastAsiaTheme="minorHAnsi" w:hAnsi="Palatino Linotype" w:cs="Arial"/>
          <w:i/>
          <w:sz w:val="22"/>
          <w:lang w:val="es-MX" w:eastAsia="en-US"/>
        </w:rPr>
      </w:pPr>
    </w:p>
    <w:p w14:paraId="09C5192D"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i/>
          <w:sz w:val="22"/>
          <w:lang w:val="es-MX" w:eastAsia="en-US"/>
        </w:rPr>
        <w:t>En ausencia de los titulares de las áreas, la información será clasificada o desclasificada por la persona que lo supla, en términos de la normativa que rija la actuación del sujeto obligado.</w:t>
      </w:r>
    </w:p>
    <w:p w14:paraId="696393EF" w14:textId="77777777" w:rsidR="00C87CEB" w:rsidRPr="00B319C6" w:rsidRDefault="00C87CEB" w:rsidP="00C87CEB">
      <w:pPr>
        <w:ind w:left="567" w:right="567"/>
        <w:jc w:val="both"/>
        <w:rPr>
          <w:rFonts w:ascii="Palatino Linotype" w:eastAsiaTheme="minorHAnsi" w:hAnsi="Palatino Linotype" w:cs="Arial"/>
          <w:i/>
          <w:sz w:val="22"/>
          <w:lang w:val="es-MX" w:eastAsia="en-US"/>
        </w:rPr>
      </w:pPr>
    </w:p>
    <w:p w14:paraId="2C2F27B2"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b/>
          <w:i/>
          <w:sz w:val="22"/>
          <w:lang w:val="es-MX" w:eastAsia="en-US"/>
        </w:rPr>
        <w:lastRenderedPageBreak/>
        <w:t>Décimo primero.</w:t>
      </w:r>
      <w:r w:rsidRPr="00B319C6">
        <w:rPr>
          <w:rFonts w:ascii="Palatino Linotype" w:eastAsiaTheme="minorHAnsi" w:hAnsi="Palatino Linotype" w:cs="Arial"/>
          <w:i/>
          <w:sz w:val="22"/>
          <w:lang w:val="es-MX"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8129269"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6B878934" w14:textId="77777777"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9A77F89"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39D4771F" w14:textId="77777777"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Por tanto, la fundamentación y motivación consiste en la obligación que tiene todo ente público de expresar los preceptos jurídicos aplicables al asunto motivo del acto y las razones o argumentos de su actuar.</w:t>
      </w:r>
    </w:p>
    <w:p w14:paraId="26EABDA0"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1679630B" w14:textId="77777777"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Al respecto, el máximo tribunal del país ha establecido jurisprudencia respecto a qué debe entenderse por fundamentación y motivación, en los siguientes términos:</w:t>
      </w:r>
    </w:p>
    <w:p w14:paraId="49D94E26"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3097E7A4"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b/>
          <w:i/>
          <w:sz w:val="22"/>
          <w:lang w:val="es-MX" w:eastAsia="en-US"/>
        </w:rPr>
        <w:t>FUNDAMENTACIÓN Y MOTIVACIÓN</w:t>
      </w:r>
      <w:r w:rsidRPr="00B319C6">
        <w:rPr>
          <w:rFonts w:ascii="Palatino Linotype" w:eastAsiaTheme="minorHAnsi" w:hAnsi="Palatino Linotype" w:cs="Arial"/>
          <w:i/>
          <w:sz w:val="22"/>
          <w:lang w:val="es-MX" w:eastAsia="en-US"/>
        </w:rPr>
        <w:t xml:space="preserve">. La debida fundamentación y motivación legal, deben entenderse, por lo primero, la cita del precepto legal aplicable al caso, y por lo </w:t>
      </w:r>
      <w:r w:rsidRPr="00B319C6">
        <w:rPr>
          <w:rFonts w:ascii="Palatino Linotype" w:eastAsiaTheme="minorHAnsi" w:hAnsi="Palatino Linotype" w:cs="Arial"/>
          <w:i/>
          <w:sz w:val="22"/>
          <w:lang w:val="es-MX" w:eastAsia="en-US"/>
        </w:rPr>
        <w:lastRenderedPageBreak/>
        <w:t>segundo, las razones, motivos o circunstancias especiales que llevaron a la autoridad a concluir que el caso particular encuadra en el supuesto previsto por la norma legal invocada como fundamento.</w:t>
      </w:r>
    </w:p>
    <w:p w14:paraId="4E9E3E44"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27C79FAE" w14:textId="77777777"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0459C0C"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798036EC" w14:textId="77777777"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6C7EF46"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7F332DDD" w14:textId="77777777" w:rsidR="00C87CEB" w:rsidRPr="00B319C6" w:rsidRDefault="00C87CEB" w:rsidP="00C87CEB">
      <w:pPr>
        <w:ind w:left="567" w:right="567"/>
        <w:jc w:val="both"/>
        <w:rPr>
          <w:rFonts w:ascii="Palatino Linotype" w:eastAsiaTheme="minorHAnsi" w:hAnsi="Palatino Linotype" w:cs="Arial"/>
          <w:i/>
          <w:sz w:val="22"/>
          <w:lang w:val="es-MX" w:eastAsia="en-US"/>
        </w:rPr>
      </w:pPr>
      <w:r w:rsidRPr="00B319C6">
        <w:rPr>
          <w:rFonts w:ascii="Palatino Linotype" w:eastAsiaTheme="minorHAnsi" w:hAnsi="Palatino Linotype" w:cs="Arial"/>
          <w:b/>
          <w:i/>
          <w:sz w:val="22"/>
          <w:lang w:val="es-MX" w:eastAsia="en-US"/>
        </w:rPr>
        <w:t>FUNDAMENTACIÓN Y MOTIVACIÓN. EL ASPECTO FORMAL DE LA GARANTÍA Y SU FINALIDAD SE TRADUCEN EN EXPLICAR, JUSTIFICAR, POSIBILITAR LA DEFENSA Y COMUNICAR LA DECISIÓN.</w:t>
      </w:r>
      <w:r w:rsidRPr="00B319C6">
        <w:rPr>
          <w:rFonts w:ascii="Palatino Linotype" w:eastAsiaTheme="minorHAnsi" w:hAnsi="Palatino Linotype" w:cs="Arial"/>
          <w:i/>
          <w:sz w:val="22"/>
          <w:lang w:val="es-MX" w:eastAsia="en-U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9736487"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0AE488F4" w14:textId="77777777" w:rsidR="00C87CEB" w:rsidRPr="00B319C6" w:rsidRDefault="00C87CEB" w:rsidP="00C87CEB">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C66C06B" w14:textId="77777777" w:rsidR="00C87CEB" w:rsidRPr="00B319C6" w:rsidRDefault="00C87CEB" w:rsidP="00C87CEB">
      <w:pPr>
        <w:spacing w:line="360" w:lineRule="auto"/>
        <w:jc w:val="both"/>
        <w:rPr>
          <w:rFonts w:ascii="Palatino Linotype" w:eastAsiaTheme="minorHAnsi" w:hAnsi="Palatino Linotype" w:cs="Arial"/>
          <w:lang w:val="es-MX" w:eastAsia="en-US"/>
        </w:rPr>
      </w:pPr>
    </w:p>
    <w:p w14:paraId="0CF0C987" w14:textId="77777777" w:rsidR="00C87CEB" w:rsidRPr="00B319C6" w:rsidRDefault="00C87CEB" w:rsidP="00EA16D9">
      <w:pPr>
        <w:spacing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lang w:val="es-MX" w:eastAsia="en-US"/>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51C19A8" w14:textId="77777777" w:rsidR="003C0835" w:rsidRPr="00B319C6" w:rsidRDefault="003C0835" w:rsidP="00EA16D9">
      <w:pPr>
        <w:autoSpaceDE w:val="0"/>
        <w:autoSpaceDN w:val="0"/>
        <w:adjustRightInd w:val="0"/>
        <w:spacing w:line="360" w:lineRule="auto"/>
        <w:jc w:val="both"/>
        <w:rPr>
          <w:rFonts w:ascii="Palatino Linotype" w:eastAsiaTheme="minorHAnsi" w:hAnsi="Palatino Linotype" w:cs="Arial"/>
          <w:szCs w:val="22"/>
          <w:lang w:val="es-MX" w:eastAsia="en-US"/>
        </w:rPr>
      </w:pPr>
    </w:p>
    <w:p w14:paraId="359FC8D1" w14:textId="1A9DB729" w:rsidR="00BD34CA" w:rsidRPr="00B319C6" w:rsidRDefault="003C0835" w:rsidP="00EA16D9">
      <w:pPr>
        <w:tabs>
          <w:tab w:val="left" w:pos="709"/>
        </w:tabs>
        <w:spacing w:line="360" w:lineRule="auto"/>
        <w:ind w:right="51"/>
        <w:jc w:val="both"/>
        <w:rPr>
          <w:rFonts w:ascii="Palatino Linotype" w:eastAsiaTheme="minorHAnsi" w:hAnsi="Palatino Linotype" w:cs="Arial"/>
          <w:szCs w:val="22"/>
          <w:lang w:val="es-MX" w:eastAsia="en-US"/>
        </w:rPr>
      </w:pPr>
      <w:r w:rsidRPr="00B319C6">
        <w:rPr>
          <w:rFonts w:ascii="Palatino Linotype" w:hAnsi="Palatino Linotype" w:cstheme="minorBidi"/>
          <w:lang w:val="es-MX" w:eastAsia="en-US"/>
        </w:rPr>
        <w:t xml:space="preserve">Así, en mérito de lo expuesto en líneas anteriores </w:t>
      </w:r>
      <w:r w:rsidRPr="00B319C6">
        <w:rPr>
          <w:rFonts w:ascii="Palatino Linotype" w:hAnsi="Palatino Linotype" w:cstheme="minorBidi"/>
          <w:noProof/>
          <w:lang w:val="es-MX" w:eastAsia="es-MX"/>
        </w:rPr>
        <w:t xml:space="preserve">resultan </w:t>
      </w:r>
      <w:r w:rsidR="00BD34CA" w:rsidRPr="00B319C6">
        <w:rPr>
          <w:rFonts w:ascii="Palatino Linotype" w:hAnsi="Palatino Linotype" w:cstheme="minorBidi"/>
          <w:noProof/>
          <w:lang w:val="es-MX" w:eastAsia="es-MX"/>
        </w:rPr>
        <w:t xml:space="preserve"> </w:t>
      </w:r>
      <w:r w:rsidRPr="00B319C6">
        <w:rPr>
          <w:rFonts w:ascii="Palatino Linotype" w:hAnsi="Palatino Linotype" w:cstheme="minorBidi"/>
          <w:noProof/>
          <w:lang w:val="es-MX" w:eastAsia="es-MX"/>
        </w:rPr>
        <w:t xml:space="preserve">fundadas las razones o motivos de inconformidad que arguye </w:t>
      </w:r>
      <w:r w:rsidR="00EA16D9" w:rsidRPr="00B319C6">
        <w:rPr>
          <w:rFonts w:ascii="Palatino Linotype" w:hAnsi="Palatino Linotype" w:cstheme="minorBidi"/>
          <w:b/>
          <w:noProof/>
          <w:lang w:val="es-MX" w:eastAsia="es-MX"/>
        </w:rPr>
        <w:t>El</w:t>
      </w:r>
      <w:r w:rsidRPr="00B319C6">
        <w:rPr>
          <w:rFonts w:ascii="Palatino Linotype" w:hAnsi="Palatino Linotype" w:cstheme="minorBidi"/>
          <w:b/>
          <w:noProof/>
          <w:lang w:val="es-MX" w:eastAsia="es-MX"/>
        </w:rPr>
        <w:t xml:space="preserve"> Recurrente</w:t>
      </w:r>
      <w:r w:rsidRPr="00B319C6">
        <w:rPr>
          <w:rFonts w:ascii="Palatino Linotype" w:hAnsi="Palatino Linotype" w:cstheme="minorBidi"/>
          <w:noProof/>
          <w:lang w:val="es-MX" w:eastAsia="es-MX"/>
        </w:rPr>
        <w:t xml:space="preserve">; </w:t>
      </w:r>
      <w:r w:rsidR="00BD34CA" w:rsidRPr="00B319C6">
        <w:rPr>
          <w:rFonts w:ascii="Palatino Linotype" w:eastAsiaTheme="minorHAnsi" w:hAnsi="Palatino Linotype" w:cstheme="minorBidi"/>
          <w:lang w:val="es-MX" w:eastAsia="en-US"/>
        </w:rPr>
        <w:t xml:space="preserve">por ello con fundamento en el artículo 186 fracción III de la Ley de Transparencia y Acceso a la Información Pública del Estado de México y Municipios, se </w:t>
      </w:r>
      <w:r w:rsidR="0060774F" w:rsidRPr="00B319C6">
        <w:rPr>
          <w:rFonts w:ascii="Palatino Linotype" w:eastAsiaTheme="minorHAnsi" w:hAnsi="Palatino Linotype" w:cstheme="minorBidi"/>
          <w:b/>
          <w:lang w:val="es-MX" w:eastAsia="en-US"/>
        </w:rPr>
        <w:t>REVOCA</w:t>
      </w:r>
      <w:r w:rsidR="00BD34CA" w:rsidRPr="00B319C6">
        <w:rPr>
          <w:rFonts w:ascii="Palatino Linotype" w:eastAsiaTheme="minorHAnsi" w:hAnsi="Palatino Linotype" w:cstheme="minorBidi"/>
          <w:b/>
          <w:lang w:val="es-MX" w:eastAsia="en-US"/>
        </w:rPr>
        <w:t xml:space="preserve"> </w:t>
      </w:r>
      <w:r w:rsidR="00BD34CA" w:rsidRPr="00B319C6">
        <w:rPr>
          <w:rFonts w:ascii="Palatino Linotype" w:eastAsiaTheme="minorHAnsi" w:hAnsi="Palatino Linotype" w:cstheme="minorBidi"/>
          <w:lang w:val="es-MX" w:eastAsia="en-US"/>
        </w:rPr>
        <w:t xml:space="preserve">la respuesta a la solicitud de información </w:t>
      </w:r>
      <w:r w:rsidR="0060774F" w:rsidRPr="00B319C6">
        <w:rPr>
          <w:rFonts w:ascii="Palatino Linotype" w:eastAsiaTheme="minorHAnsi" w:hAnsi="Palatino Linotype" w:cs="Arial"/>
          <w:b/>
          <w:szCs w:val="22"/>
          <w:lang w:val="es-MX" w:eastAsia="en-US"/>
        </w:rPr>
        <w:t>00317/NEZA/IP/2022</w:t>
      </w:r>
      <w:r w:rsidR="00BD34CA" w:rsidRPr="00B319C6">
        <w:rPr>
          <w:rFonts w:ascii="Palatino Linotype" w:eastAsiaTheme="minorHAnsi" w:hAnsi="Palatino Linotype" w:cs="Arial"/>
          <w:b/>
          <w:szCs w:val="22"/>
          <w:lang w:val="es-MX" w:eastAsia="en-US"/>
        </w:rPr>
        <w:t xml:space="preserve">, </w:t>
      </w:r>
      <w:r w:rsidR="00BD34CA" w:rsidRPr="00B319C6">
        <w:rPr>
          <w:rFonts w:ascii="Palatino Linotype" w:eastAsiaTheme="minorHAnsi" w:hAnsi="Palatino Linotype" w:cs="Arial"/>
          <w:szCs w:val="22"/>
          <w:lang w:val="es-MX" w:eastAsia="en-US"/>
        </w:rPr>
        <w:t xml:space="preserve">que han sido materia del presente fallo. </w:t>
      </w:r>
    </w:p>
    <w:p w14:paraId="08539A09" w14:textId="77777777" w:rsidR="00EA16D9" w:rsidRPr="00B319C6" w:rsidRDefault="00EA16D9" w:rsidP="00EA16D9">
      <w:pPr>
        <w:tabs>
          <w:tab w:val="left" w:pos="709"/>
        </w:tabs>
        <w:spacing w:line="360" w:lineRule="auto"/>
        <w:ind w:right="51"/>
        <w:jc w:val="both"/>
        <w:rPr>
          <w:rFonts w:ascii="Palatino Linotype" w:eastAsiaTheme="minorHAnsi" w:hAnsi="Palatino Linotype" w:cstheme="minorBidi"/>
          <w:lang w:val="es-MX" w:eastAsia="en-US"/>
        </w:rPr>
      </w:pPr>
    </w:p>
    <w:p w14:paraId="7111D109" w14:textId="2D6496EE" w:rsidR="006A2320" w:rsidRPr="00B319C6" w:rsidRDefault="00BD34CA" w:rsidP="00EA16D9">
      <w:pPr>
        <w:spacing w:before="240" w:after="240" w:line="360" w:lineRule="auto"/>
        <w:jc w:val="both"/>
        <w:rPr>
          <w:rFonts w:ascii="Palatino Linotype" w:hAnsi="Palatino Linotype"/>
        </w:rPr>
      </w:pPr>
      <w:r w:rsidRPr="00B319C6">
        <w:rPr>
          <w:rFonts w:ascii="Palatino Linotype" w:hAnsi="Palatino Linotype"/>
        </w:rPr>
        <w:lastRenderedPageBreak/>
        <w:t xml:space="preserve">Por lo antes expuesto y fundado es de resolverse y, </w:t>
      </w:r>
    </w:p>
    <w:p w14:paraId="538D4592" w14:textId="77777777" w:rsidR="006A2320" w:rsidRPr="00B319C6" w:rsidRDefault="006A2320" w:rsidP="006A2320">
      <w:pPr>
        <w:spacing w:line="360" w:lineRule="auto"/>
        <w:jc w:val="center"/>
        <w:rPr>
          <w:rFonts w:ascii="Palatino Linotype" w:eastAsia="Calibri" w:hAnsi="Palatino Linotype"/>
          <w:b/>
          <w:sz w:val="28"/>
          <w:lang w:val="pt-BR"/>
        </w:rPr>
      </w:pPr>
      <w:r w:rsidRPr="00B319C6">
        <w:rPr>
          <w:rFonts w:ascii="Palatino Linotype" w:eastAsia="Calibri" w:hAnsi="Palatino Linotype"/>
          <w:b/>
          <w:sz w:val="28"/>
          <w:lang w:val="pt-BR"/>
        </w:rPr>
        <w:t>S E   R E S U E L V E</w:t>
      </w:r>
    </w:p>
    <w:p w14:paraId="6DB2E341" w14:textId="77777777" w:rsidR="006A2320" w:rsidRPr="00B319C6" w:rsidRDefault="006A2320" w:rsidP="006A2320">
      <w:pPr>
        <w:spacing w:line="360" w:lineRule="auto"/>
        <w:jc w:val="center"/>
        <w:rPr>
          <w:rFonts w:ascii="Palatino Linotype" w:eastAsia="Calibri" w:hAnsi="Palatino Linotype"/>
          <w:b/>
          <w:lang w:val="pt-BR"/>
        </w:rPr>
      </w:pPr>
    </w:p>
    <w:p w14:paraId="5EC122EB" w14:textId="030AA469" w:rsidR="00BD34CA" w:rsidRPr="00B319C6" w:rsidRDefault="00BD34CA" w:rsidP="00BD34CA">
      <w:pPr>
        <w:spacing w:before="240" w:after="160" w:line="360" w:lineRule="auto"/>
        <w:jc w:val="both"/>
        <w:rPr>
          <w:rFonts w:ascii="Palatino Linotype" w:eastAsiaTheme="minorHAnsi" w:hAnsi="Palatino Linotype" w:cs="Arial"/>
          <w:szCs w:val="22"/>
          <w:lang w:val="es-MX" w:eastAsia="en-US"/>
        </w:rPr>
      </w:pPr>
      <w:r w:rsidRPr="00B319C6">
        <w:rPr>
          <w:rFonts w:ascii="Palatino Linotype" w:eastAsiaTheme="minorHAnsi" w:hAnsi="Palatino Linotype" w:cs="Arial"/>
          <w:b/>
          <w:lang w:val="es-ES_tradnl" w:eastAsia="en-US"/>
        </w:rPr>
        <w:t>PRIMERO.</w:t>
      </w:r>
      <w:r w:rsidRPr="00B319C6">
        <w:rPr>
          <w:rFonts w:ascii="Palatino Linotype" w:eastAsiaTheme="minorHAnsi" w:hAnsi="Palatino Linotype" w:cs="Arial"/>
          <w:lang w:val="es-ES_tradnl" w:eastAsia="en-US"/>
        </w:rPr>
        <w:t xml:space="preserve"> </w:t>
      </w:r>
      <w:r w:rsidRPr="00B319C6">
        <w:rPr>
          <w:rFonts w:ascii="Palatino Linotype" w:eastAsiaTheme="minorHAnsi" w:hAnsi="Palatino Linotype" w:cs="Arial"/>
          <w:lang w:val="es-MX" w:eastAsia="en-US"/>
        </w:rPr>
        <w:t xml:space="preserve">Se </w:t>
      </w:r>
      <w:r w:rsidR="0060774F" w:rsidRPr="00B319C6">
        <w:rPr>
          <w:rFonts w:ascii="Palatino Linotype" w:eastAsiaTheme="minorHAnsi" w:hAnsi="Palatino Linotype" w:cs="Arial"/>
          <w:b/>
          <w:lang w:val="es-MX" w:eastAsia="en-US"/>
        </w:rPr>
        <w:t>REVOCA</w:t>
      </w:r>
      <w:r w:rsidRPr="00B319C6">
        <w:rPr>
          <w:rFonts w:ascii="Palatino Linotype" w:eastAsiaTheme="minorHAnsi" w:hAnsi="Palatino Linotype" w:cs="Arial"/>
          <w:b/>
          <w:lang w:val="es-MX" w:eastAsia="en-US"/>
        </w:rPr>
        <w:t xml:space="preserve"> </w:t>
      </w:r>
      <w:r w:rsidRPr="00B319C6">
        <w:rPr>
          <w:rFonts w:ascii="Palatino Linotype" w:eastAsiaTheme="minorHAnsi" w:hAnsi="Palatino Linotype" w:cs="Arial"/>
          <w:lang w:val="es-MX" w:eastAsia="en-US"/>
        </w:rPr>
        <w:t xml:space="preserve">la respuesta entregada por </w:t>
      </w:r>
      <w:r w:rsidRPr="00B319C6">
        <w:rPr>
          <w:rFonts w:ascii="Palatino Linotype" w:eastAsiaTheme="minorHAnsi" w:hAnsi="Palatino Linotype" w:cs="Arial"/>
          <w:b/>
          <w:lang w:val="es-MX" w:eastAsia="en-US"/>
        </w:rPr>
        <w:t xml:space="preserve">El Sujeto Obligado, </w:t>
      </w:r>
      <w:r w:rsidRPr="00B319C6">
        <w:rPr>
          <w:rFonts w:ascii="Palatino Linotype" w:eastAsiaTheme="minorHAnsi" w:hAnsi="Palatino Linotype" w:cs="Arial"/>
          <w:lang w:val="es-MX" w:eastAsia="en-US"/>
        </w:rPr>
        <w:t xml:space="preserve">a la solicitud de información número </w:t>
      </w:r>
      <w:r w:rsidR="0060774F" w:rsidRPr="00B319C6">
        <w:rPr>
          <w:rFonts w:ascii="Palatino Linotype" w:eastAsiaTheme="minorHAnsi" w:hAnsi="Palatino Linotype" w:cs="Arial"/>
          <w:b/>
          <w:szCs w:val="22"/>
          <w:lang w:val="es-MX" w:eastAsia="en-US"/>
        </w:rPr>
        <w:t>00317/NEZA/IP/2022</w:t>
      </w:r>
      <w:r w:rsidRPr="00B319C6">
        <w:rPr>
          <w:rFonts w:ascii="Palatino Linotype" w:eastAsiaTheme="minorHAnsi" w:hAnsi="Palatino Linotype" w:cs="Arial"/>
          <w:b/>
          <w:szCs w:val="22"/>
          <w:lang w:val="es-MX" w:eastAsia="en-US"/>
        </w:rPr>
        <w:t xml:space="preserve"> </w:t>
      </w:r>
      <w:r w:rsidRPr="00B319C6">
        <w:rPr>
          <w:rFonts w:ascii="Palatino Linotype" w:eastAsiaTheme="minorHAnsi" w:hAnsi="Palatino Linotype" w:cs="Arial"/>
          <w:szCs w:val="22"/>
          <w:lang w:val="es-MX" w:eastAsia="en-US"/>
        </w:rPr>
        <w:t xml:space="preserve">por resultar parcialmente fundados los motivos de inconformidad que arguye </w:t>
      </w:r>
      <w:r w:rsidR="00E13557" w:rsidRPr="00B319C6">
        <w:rPr>
          <w:rFonts w:ascii="Palatino Linotype" w:eastAsiaTheme="minorHAnsi" w:hAnsi="Palatino Linotype" w:cs="Arial"/>
          <w:b/>
          <w:szCs w:val="22"/>
          <w:lang w:val="es-MX" w:eastAsia="en-US"/>
        </w:rPr>
        <w:t>el</w:t>
      </w:r>
      <w:r w:rsidRPr="00B319C6">
        <w:rPr>
          <w:rFonts w:ascii="Palatino Linotype" w:eastAsiaTheme="minorHAnsi" w:hAnsi="Palatino Linotype" w:cs="Arial"/>
          <w:b/>
          <w:szCs w:val="22"/>
          <w:lang w:val="es-MX" w:eastAsia="en-US"/>
        </w:rPr>
        <w:t xml:space="preserve"> Recurrente, </w:t>
      </w:r>
      <w:r w:rsidRPr="00B319C6">
        <w:rPr>
          <w:rFonts w:ascii="Palatino Linotype" w:eastAsiaTheme="minorHAnsi" w:hAnsi="Palatino Linotype" w:cs="Arial"/>
          <w:szCs w:val="22"/>
          <w:lang w:val="es-MX" w:eastAsia="en-US"/>
        </w:rPr>
        <w:t xml:space="preserve">en términos del </w:t>
      </w:r>
      <w:r w:rsidRPr="00B319C6">
        <w:rPr>
          <w:rFonts w:ascii="Palatino Linotype" w:eastAsiaTheme="minorHAnsi" w:hAnsi="Palatino Linotype" w:cs="Arial"/>
          <w:b/>
          <w:szCs w:val="22"/>
          <w:lang w:val="es-MX" w:eastAsia="en-US"/>
        </w:rPr>
        <w:t xml:space="preserve">Considerando </w:t>
      </w:r>
      <w:r w:rsidR="0060774F" w:rsidRPr="00B319C6">
        <w:rPr>
          <w:rFonts w:ascii="Palatino Linotype" w:eastAsiaTheme="minorHAnsi" w:hAnsi="Palatino Linotype" w:cs="Arial"/>
          <w:b/>
          <w:szCs w:val="22"/>
          <w:lang w:val="es-MX" w:eastAsia="en-US"/>
        </w:rPr>
        <w:t>CUARTO</w:t>
      </w:r>
      <w:r w:rsidRPr="00B319C6">
        <w:rPr>
          <w:rFonts w:ascii="Palatino Linotype" w:eastAsiaTheme="minorHAnsi" w:hAnsi="Palatino Linotype" w:cs="Arial"/>
          <w:b/>
          <w:szCs w:val="22"/>
          <w:lang w:val="es-MX" w:eastAsia="en-US"/>
        </w:rPr>
        <w:t xml:space="preserve"> </w:t>
      </w:r>
      <w:r w:rsidRPr="00B319C6">
        <w:rPr>
          <w:rFonts w:ascii="Palatino Linotype" w:eastAsiaTheme="minorHAnsi" w:hAnsi="Palatino Linotype" w:cs="Arial"/>
          <w:szCs w:val="22"/>
          <w:lang w:val="es-MX" w:eastAsia="en-US"/>
        </w:rPr>
        <w:t xml:space="preserve">de la presente resolución. </w:t>
      </w:r>
    </w:p>
    <w:p w14:paraId="3265734E" w14:textId="77777777" w:rsidR="00BD34CA" w:rsidRPr="00B319C6" w:rsidRDefault="00BD34CA" w:rsidP="00BD34CA">
      <w:pPr>
        <w:spacing w:before="240" w:after="160" w:line="360" w:lineRule="auto"/>
        <w:jc w:val="both"/>
        <w:rPr>
          <w:rFonts w:ascii="Palatino Linotype" w:eastAsiaTheme="minorHAnsi" w:hAnsi="Palatino Linotype" w:cs="Arial"/>
          <w:szCs w:val="22"/>
          <w:lang w:val="es-MX" w:eastAsia="en-US"/>
        </w:rPr>
      </w:pPr>
    </w:p>
    <w:p w14:paraId="79053A52" w14:textId="706B293B" w:rsidR="00BD34CA" w:rsidRPr="00B319C6" w:rsidRDefault="00BD34CA" w:rsidP="00BD34CA">
      <w:pPr>
        <w:autoSpaceDE w:val="0"/>
        <w:autoSpaceDN w:val="0"/>
        <w:adjustRightInd w:val="0"/>
        <w:spacing w:before="240" w:after="160" w:line="360" w:lineRule="auto"/>
        <w:ind w:right="49"/>
        <w:jc w:val="both"/>
        <w:rPr>
          <w:rFonts w:ascii="Palatino Linotype" w:eastAsiaTheme="minorHAnsi" w:hAnsi="Palatino Linotype" w:cs="Arial"/>
          <w:lang w:val="es-MX" w:eastAsia="en-US"/>
        </w:rPr>
      </w:pPr>
      <w:r w:rsidRPr="00B319C6">
        <w:rPr>
          <w:rFonts w:ascii="Palatino Linotype" w:eastAsiaTheme="minorHAnsi" w:hAnsi="Palatino Linotype" w:cs="Arial"/>
          <w:b/>
          <w:lang w:val="es-ES_tradnl" w:eastAsia="en-US"/>
        </w:rPr>
        <w:t>SEGUNDO.</w:t>
      </w:r>
      <w:r w:rsidRPr="00B319C6">
        <w:rPr>
          <w:rFonts w:ascii="Palatino Linotype" w:eastAsiaTheme="minorHAnsi" w:hAnsi="Palatino Linotype" w:cs="Arial"/>
          <w:lang w:val="es-MX" w:eastAsia="en-US"/>
        </w:rPr>
        <w:t xml:space="preserve"> </w:t>
      </w:r>
      <w:r w:rsidRPr="00B319C6">
        <w:rPr>
          <w:rFonts w:ascii="Palatino Linotype" w:hAnsi="Palatino Linotype" w:cs="Arial"/>
        </w:rPr>
        <w:t xml:space="preserve">Se </w:t>
      </w:r>
      <w:r w:rsidRPr="00B319C6">
        <w:rPr>
          <w:rFonts w:ascii="Palatino Linotype" w:hAnsi="Palatino Linotype" w:cs="Arial"/>
          <w:b/>
        </w:rPr>
        <w:t xml:space="preserve">ORDENA </w:t>
      </w:r>
      <w:r w:rsidRPr="00B319C6">
        <w:rPr>
          <w:rFonts w:ascii="Palatino Linotype" w:hAnsi="Palatino Linotype" w:cs="Arial"/>
        </w:rPr>
        <w:t xml:space="preserve">al </w:t>
      </w:r>
      <w:r w:rsidRPr="00B319C6">
        <w:rPr>
          <w:rFonts w:ascii="Palatino Linotype" w:hAnsi="Palatino Linotype" w:cs="Arial"/>
          <w:b/>
        </w:rPr>
        <w:t xml:space="preserve">Sujeto Obligado </w:t>
      </w:r>
      <w:r w:rsidRPr="00B319C6">
        <w:rPr>
          <w:rFonts w:ascii="Palatino Linotype" w:hAnsi="Palatino Linotype" w:cs="Arial"/>
        </w:rPr>
        <w:t>haga entrega a</w:t>
      </w:r>
      <w:r w:rsidR="00E13557" w:rsidRPr="00B319C6">
        <w:rPr>
          <w:rFonts w:ascii="Palatino Linotype" w:hAnsi="Palatino Linotype" w:cs="Arial"/>
        </w:rPr>
        <w:t>l</w:t>
      </w:r>
      <w:r w:rsidRPr="00B319C6">
        <w:rPr>
          <w:rFonts w:ascii="Palatino Linotype" w:hAnsi="Palatino Linotype" w:cs="Arial"/>
        </w:rPr>
        <w:t xml:space="preserve"> </w:t>
      </w:r>
      <w:r w:rsidRPr="00B319C6">
        <w:rPr>
          <w:rFonts w:ascii="Palatino Linotype" w:hAnsi="Palatino Linotype" w:cs="Arial"/>
          <w:b/>
        </w:rPr>
        <w:t xml:space="preserve">Recurrente, </w:t>
      </w:r>
      <w:r w:rsidRPr="00B319C6">
        <w:rPr>
          <w:rFonts w:ascii="Palatino Linotype" w:hAnsi="Palatino Linotype" w:cs="Arial"/>
        </w:rPr>
        <w:t>a través del Sistema de Acceso a la Información Mexiquense (SAIMEX)</w:t>
      </w:r>
      <w:r w:rsidRPr="00B319C6">
        <w:rPr>
          <w:rFonts w:ascii="Palatino Linotype" w:hAnsi="Palatino Linotype"/>
          <w:lang w:val="es-ES_tradnl"/>
        </w:rPr>
        <w:t xml:space="preserve">, en términos del </w:t>
      </w:r>
      <w:r w:rsidRPr="00B319C6">
        <w:rPr>
          <w:rFonts w:ascii="Palatino Linotype" w:hAnsi="Palatino Linotype"/>
          <w:bCs/>
          <w:lang w:val="es-ES_tradnl"/>
        </w:rPr>
        <w:t>Considerando</w:t>
      </w:r>
      <w:r w:rsidRPr="00B319C6">
        <w:rPr>
          <w:rFonts w:ascii="Palatino Linotype" w:hAnsi="Palatino Linotype"/>
          <w:b/>
          <w:lang w:val="es-ES_tradnl"/>
        </w:rPr>
        <w:t xml:space="preserve"> </w:t>
      </w:r>
      <w:r w:rsidR="0060774F" w:rsidRPr="00B319C6">
        <w:rPr>
          <w:rFonts w:ascii="Palatino Linotype" w:hAnsi="Palatino Linotype"/>
          <w:b/>
          <w:lang w:val="es-ES_tradnl"/>
        </w:rPr>
        <w:t>CUARTO</w:t>
      </w:r>
      <w:r w:rsidRPr="00B319C6">
        <w:rPr>
          <w:rFonts w:ascii="Palatino Linotype" w:hAnsi="Palatino Linotype"/>
        </w:rPr>
        <w:t xml:space="preserve"> de la presente resolución</w:t>
      </w:r>
      <w:r w:rsidRPr="00B319C6">
        <w:rPr>
          <w:rFonts w:ascii="Palatino Linotype" w:hAnsi="Palatino Linotype"/>
          <w:lang w:val="es-ES_tradnl"/>
        </w:rPr>
        <w:t xml:space="preserve">, </w:t>
      </w:r>
      <w:r w:rsidR="00E13557" w:rsidRPr="00B319C6">
        <w:rPr>
          <w:rFonts w:ascii="Palatino Linotype" w:hAnsi="Palatino Linotype"/>
          <w:lang w:val="es-ES_tradnl"/>
        </w:rPr>
        <w:t xml:space="preserve">en versión pública, </w:t>
      </w:r>
      <w:r w:rsidRPr="00B319C6">
        <w:rPr>
          <w:rFonts w:ascii="Palatino Linotype" w:hAnsi="Palatino Linotype"/>
          <w:lang w:val="es-ES_tradnl"/>
        </w:rPr>
        <w:t>de</w:t>
      </w:r>
      <w:r w:rsidR="00EA16D9" w:rsidRPr="00B319C6">
        <w:rPr>
          <w:rFonts w:ascii="Palatino Linotype" w:hAnsi="Palatino Linotype"/>
          <w:lang w:val="es-ES_tradnl"/>
        </w:rPr>
        <w:t>l o los documentos</w:t>
      </w:r>
      <w:r w:rsidR="009C1377" w:rsidRPr="00B319C6">
        <w:t xml:space="preserve"> </w:t>
      </w:r>
      <w:r w:rsidR="009C1377" w:rsidRPr="00B319C6">
        <w:rPr>
          <w:rFonts w:ascii="Palatino Linotype" w:hAnsi="Palatino Linotype"/>
          <w:lang w:val="es-ES_tradnl"/>
        </w:rPr>
        <w:t>en formato PDF o aquel en el que haya</w:t>
      </w:r>
      <w:r w:rsidR="00212AD9" w:rsidRPr="00B319C6">
        <w:rPr>
          <w:rFonts w:ascii="Palatino Linotype" w:hAnsi="Palatino Linotype"/>
          <w:lang w:val="es-ES_tradnl"/>
        </w:rPr>
        <w:t>n sido generados</w:t>
      </w:r>
      <w:r w:rsidR="009C1377" w:rsidRPr="00B319C6">
        <w:rPr>
          <w:rFonts w:ascii="Palatino Linotype" w:hAnsi="Palatino Linotype"/>
          <w:lang w:val="es-ES_tradnl"/>
        </w:rPr>
        <w:t xml:space="preserve"> </w:t>
      </w:r>
      <w:r w:rsidR="00EA16D9" w:rsidRPr="00B319C6">
        <w:rPr>
          <w:rFonts w:ascii="Palatino Linotype" w:hAnsi="Palatino Linotype"/>
          <w:lang w:val="es-ES_tradnl"/>
        </w:rPr>
        <w:t>en donde conste</w:t>
      </w:r>
      <w:r w:rsidRPr="00B319C6">
        <w:rPr>
          <w:rFonts w:ascii="Palatino Linotype" w:hAnsi="Palatino Linotype"/>
          <w:lang w:val="es-ES_tradnl"/>
        </w:rPr>
        <w:t xml:space="preserve"> lo siguiente:</w:t>
      </w:r>
    </w:p>
    <w:p w14:paraId="0E3435C2" w14:textId="73A86D39" w:rsidR="00EA16D9" w:rsidRPr="00B319C6" w:rsidRDefault="00EA16D9" w:rsidP="00EA16D9">
      <w:pPr>
        <w:numPr>
          <w:ilvl w:val="0"/>
          <w:numId w:val="32"/>
        </w:numPr>
        <w:spacing w:before="240" w:after="160" w:line="360" w:lineRule="auto"/>
        <w:jc w:val="both"/>
        <w:rPr>
          <w:rFonts w:ascii="Palatino Linotype" w:hAnsi="Palatino Linotype" w:cs="Arial"/>
          <w:b/>
          <w:i/>
          <w:iCs/>
        </w:rPr>
      </w:pPr>
      <w:r w:rsidRPr="00B319C6">
        <w:rPr>
          <w:rFonts w:ascii="Palatino Linotype" w:hAnsi="Palatino Linotype" w:cs="Arial"/>
          <w:i/>
          <w:iCs/>
        </w:rPr>
        <w:t>La nómina</w:t>
      </w:r>
      <w:r w:rsidR="00A839B2" w:rsidRPr="00B319C6">
        <w:rPr>
          <w:rFonts w:ascii="Palatino Linotype" w:hAnsi="Palatino Linotype" w:cs="Arial"/>
          <w:i/>
          <w:iCs/>
        </w:rPr>
        <w:t xml:space="preserve"> general</w:t>
      </w:r>
      <w:r w:rsidR="00F21E11" w:rsidRPr="00B319C6">
        <w:rPr>
          <w:rFonts w:ascii="Palatino Linotype" w:hAnsi="Palatino Linotype" w:cs="Arial"/>
          <w:i/>
          <w:iCs/>
        </w:rPr>
        <w:t xml:space="preserve"> o Conciliación de Nómina Mensual</w:t>
      </w:r>
      <w:r w:rsidRPr="00B319C6">
        <w:rPr>
          <w:rFonts w:ascii="Palatino Linotype" w:hAnsi="Palatino Linotype" w:cs="Arial"/>
          <w:i/>
          <w:iCs/>
        </w:rPr>
        <w:t xml:space="preserve"> </w:t>
      </w:r>
      <w:r w:rsidR="00A839B2" w:rsidRPr="00B319C6">
        <w:rPr>
          <w:rFonts w:ascii="Palatino Linotype" w:hAnsi="Palatino Linotype" w:cs="Arial"/>
          <w:i/>
          <w:iCs/>
        </w:rPr>
        <w:t>del</w:t>
      </w:r>
      <w:r w:rsidRPr="00B319C6">
        <w:rPr>
          <w:rFonts w:ascii="Palatino Linotype" w:hAnsi="Palatino Linotype" w:cs="Arial"/>
          <w:i/>
          <w:iCs/>
        </w:rPr>
        <w:t xml:space="preserve"> personal adscrito al Sujeto Obligado correspondiente a la </w:t>
      </w:r>
      <w:r w:rsidR="0060774F" w:rsidRPr="00B319C6">
        <w:rPr>
          <w:rFonts w:ascii="Palatino Linotype" w:hAnsi="Palatino Linotype" w:cs="Arial"/>
          <w:i/>
          <w:iCs/>
        </w:rPr>
        <w:t>generada de la primera quincena de enero de 2018 a la primera quincena de mayo</w:t>
      </w:r>
      <w:r w:rsidRPr="00B319C6">
        <w:rPr>
          <w:rFonts w:ascii="Palatino Linotype" w:hAnsi="Palatino Linotype" w:cs="Arial"/>
          <w:i/>
          <w:iCs/>
        </w:rPr>
        <w:t xml:space="preserve"> de 2022</w:t>
      </w:r>
      <w:r w:rsidR="00BD34CA" w:rsidRPr="00B319C6">
        <w:rPr>
          <w:rFonts w:ascii="Palatino Linotype" w:hAnsi="Palatino Linotype" w:cs="Arial"/>
          <w:b/>
          <w:i/>
          <w:iCs/>
        </w:rPr>
        <w:t xml:space="preserve">. </w:t>
      </w:r>
    </w:p>
    <w:p w14:paraId="0D40E721" w14:textId="1DF4A2BF" w:rsidR="00E13557" w:rsidRPr="00B319C6" w:rsidRDefault="00E13557" w:rsidP="00E13557">
      <w:pPr>
        <w:pStyle w:val="Prrafodelista"/>
        <w:spacing w:before="240" w:line="360" w:lineRule="auto"/>
        <w:ind w:left="709"/>
        <w:jc w:val="both"/>
        <w:rPr>
          <w:rFonts w:ascii="Palatino Linotype" w:hAnsi="Palatino Linotype" w:cs="Arial"/>
          <w:i/>
        </w:rPr>
      </w:pPr>
      <w:r w:rsidRPr="00B319C6">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A3911BF" w14:textId="0DEF8E12" w:rsidR="00BD34CA" w:rsidRPr="00B319C6" w:rsidRDefault="00BD34CA" w:rsidP="00E13557">
      <w:pPr>
        <w:tabs>
          <w:tab w:val="left" w:pos="1072"/>
        </w:tabs>
        <w:spacing w:before="240" w:after="160" w:line="360" w:lineRule="auto"/>
        <w:ind w:right="792"/>
        <w:jc w:val="both"/>
        <w:rPr>
          <w:rFonts w:ascii="Palatino Linotype" w:eastAsiaTheme="minorHAnsi" w:hAnsi="Palatino Linotype" w:cs="Arial"/>
          <w:i/>
          <w:sz w:val="22"/>
          <w:szCs w:val="22"/>
          <w:lang w:val="es-MX" w:eastAsia="en-US"/>
        </w:rPr>
      </w:pPr>
    </w:p>
    <w:p w14:paraId="6A6A96F0" w14:textId="4F014A9C" w:rsidR="00BD34CA" w:rsidRPr="00B319C6" w:rsidRDefault="00BD34CA" w:rsidP="00BD34CA">
      <w:pPr>
        <w:autoSpaceDE w:val="0"/>
        <w:autoSpaceDN w:val="0"/>
        <w:adjustRightInd w:val="0"/>
        <w:spacing w:before="240" w:after="160" w:line="360" w:lineRule="auto"/>
        <w:jc w:val="both"/>
        <w:rPr>
          <w:rFonts w:ascii="Palatino Linotype" w:eastAsiaTheme="minorHAnsi" w:hAnsi="Palatino Linotype" w:cs="Arial"/>
          <w:lang w:val="es-MX" w:eastAsia="en-US"/>
        </w:rPr>
      </w:pPr>
      <w:r w:rsidRPr="00B319C6">
        <w:rPr>
          <w:rFonts w:ascii="Palatino Linotype" w:eastAsiaTheme="minorHAnsi" w:hAnsi="Palatino Linotype" w:cs="Arial"/>
          <w:b/>
          <w:lang w:val="es-MX" w:eastAsia="en-US"/>
        </w:rPr>
        <w:t>TERCERO. Notifíquese</w:t>
      </w:r>
      <w:r w:rsidRPr="00B319C6">
        <w:rPr>
          <w:rFonts w:ascii="Palatino Linotype" w:eastAsiaTheme="minorHAnsi" w:hAnsi="Palatino Linotype" w:cs="Arial"/>
          <w:b/>
          <w:i/>
          <w:lang w:val="es-MX" w:eastAsia="en-US"/>
        </w:rPr>
        <w:t xml:space="preserve"> </w:t>
      </w:r>
      <w:r w:rsidRPr="00B319C6">
        <w:rPr>
          <w:rFonts w:ascii="Palatino Linotype" w:eastAsiaTheme="minorHAnsi" w:hAnsi="Palatino Linotype" w:cs="Arial"/>
          <w:lang w:val="es-MX" w:eastAsia="en-US"/>
        </w:rPr>
        <w:t>al Titular de la Unidad de Transparencia del</w:t>
      </w:r>
      <w:r w:rsidRPr="00B319C6">
        <w:rPr>
          <w:rFonts w:ascii="Palatino Linotype" w:eastAsiaTheme="minorHAnsi" w:hAnsi="Palatino Linotype" w:cs="Arial"/>
          <w:b/>
          <w:lang w:val="es-MX" w:eastAsia="en-US"/>
        </w:rPr>
        <w:t xml:space="preserve"> </w:t>
      </w:r>
      <w:r w:rsidR="00CB298F" w:rsidRPr="00B319C6">
        <w:rPr>
          <w:rFonts w:ascii="Palatino Linotype" w:eastAsiaTheme="minorHAnsi" w:hAnsi="Palatino Linotype" w:cs="Arial"/>
          <w:b/>
          <w:lang w:val="es-MX" w:eastAsia="en-US"/>
        </w:rPr>
        <w:t>Sujeto Obligado</w:t>
      </w:r>
      <w:r w:rsidRPr="00B319C6">
        <w:rPr>
          <w:rFonts w:ascii="Palatino Linotype" w:eastAsiaTheme="minorHAnsi" w:hAnsi="Palatino Linotype" w:cs="Arial"/>
          <w:lang w:val="es-MX"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62D6B21" w14:textId="77777777" w:rsidR="00BD34CA" w:rsidRPr="00B319C6" w:rsidRDefault="00BD34CA" w:rsidP="00BD34CA">
      <w:pPr>
        <w:autoSpaceDE w:val="0"/>
        <w:autoSpaceDN w:val="0"/>
        <w:adjustRightInd w:val="0"/>
        <w:spacing w:before="240" w:after="160" w:line="360" w:lineRule="auto"/>
        <w:jc w:val="both"/>
        <w:rPr>
          <w:rFonts w:ascii="Palatino Linotype" w:eastAsiaTheme="minorHAnsi" w:hAnsi="Palatino Linotype" w:cs="Arial"/>
          <w:lang w:val="es-MX" w:eastAsia="en-US"/>
        </w:rPr>
      </w:pPr>
    </w:p>
    <w:p w14:paraId="677380B7" w14:textId="77777777" w:rsidR="00BD34CA" w:rsidRPr="00B319C6" w:rsidRDefault="00BD34CA" w:rsidP="00BD34CA">
      <w:pPr>
        <w:autoSpaceDE w:val="0"/>
        <w:autoSpaceDN w:val="0"/>
        <w:adjustRightInd w:val="0"/>
        <w:spacing w:line="360" w:lineRule="auto"/>
        <w:jc w:val="both"/>
        <w:rPr>
          <w:rFonts w:ascii="Palatino Linotype" w:hAnsi="Palatino Linotype" w:cs="Arial"/>
        </w:rPr>
      </w:pPr>
      <w:r w:rsidRPr="00B319C6">
        <w:rPr>
          <w:rFonts w:ascii="Palatino Linotype" w:hAnsi="Palatino Linotype" w:cs="Arial"/>
          <w:b/>
          <w:lang w:val="es-MX"/>
        </w:rPr>
        <w:t xml:space="preserve">CUARTO. </w:t>
      </w:r>
      <w:r w:rsidRPr="00B319C6">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51DE15E" w14:textId="77777777" w:rsidR="00BD34CA" w:rsidRPr="00B319C6" w:rsidRDefault="00BD34CA" w:rsidP="00BD34CA">
      <w:pPr>
        <w:autoSpaceDE w:val="0"/>
        <w:autoSpaceDN w:val="0"/>
        <w:adjustRightInd w:val="0"/>
        <w:spacing w:line="360" w:lineRule="auto"/>
        <w:jc w:val="both"/>
        <w:rPr>
          <w:rFonts w:ascii="Palatino Linotype" w:hAnsi="Palatino Linotype" w:cs="Arial"/>
        </w:rPr>
      </w:pPr>
    </w:p>
    <w:p w14:paraId="765BBAC5" w14:textId="77777777" w:rsidR="00BD34CA" w:rsidRPr="00B319C6" w:rsidRDefault="00BD34CA" w:rsidP="00BD34CA">
      <w:pPr>
        <w:spacing w:line="360" w:lineRule="auto"/>
        <w:jc w:val="both"/>
        <w:rPr>
          <w:rFonts w:ascii="Palatino Linotype" w:hAnsi="Palatino Linotype" w:cs="Arial"/>
          <w:b/>
          <w:lang w:val="es-MX"/>
        </w:rPr>
      </w:pPr>
    </w:p>
    <w:p w14:paraId="38191FC9" w14:textId="760DC03E" w:rsidR="00BD34CA" w:rsidRPr="00B319C6" w:rsidRDefault="00BD34CA" w:rsidP="00BD34CA">
      <w:pPr>
        <w:spacing w:line="360" w:lineRule="auto"/>
        <w:jc w:val="both"/>
        <w:rPr>
          <w:rFonts w:ascii="Palatino Linotype" w:hAnsi="Palatino Linotype"/>
          <w:color w:val="222222"/>
          <w:shd w:val="clear" w:color="auto" w:fill="FFFFFF"/>
          <w:lang w:val="es-MX"/>
        </w:rPr>
      </w:pPr>
      <w:r w:rsidRPr="00B319C6">
        <w:rPr>
          <w:rFonts w:ascii="Palatino Linotype" w:hAnsi="Palatino Linotype" w:cs="Arial"/>
          <w:b/>
          <w:lang w:val="es-MX"/>
        </w:rPr>
        <w:t xml:space="preserve">QUINTO. </w:t>
      </w:r>
      <w:r w:rsidR="00CB298F" w:rsidRPr="00B319C6">
        <w:rPr>
          <w:rFonts w:ascii="Palatino Linotype" w:hAnsi="Palatino Linotype" w:cs="Arial"/>
          <w:b/>
          <w:lang w:val="es-MX"/>
        </w:rPr>
        <w:t>Notifíquese</w:t>
      </w:r>
      <w:r w:rsidRPr="00B319C6">
        <w:rPr>
          <w:rFonts w:ascii="Palatino Linotype" w:hAnsi="Palatino Linotype" w:cs="Arial"/>
          <w:b/>
          <w:lang w:val="es-MX"/>
        </w:rPr>
        <w:t xml:space="preserve"> </w:t>
      </w:r>
      <w:r w:rsidRPr="00B319C6">
        <w:rPr>
          <w:rFonts w:ascii="Palatino Linotype" w:hAnsi="Palatino Linotype" w:cs="Arial"/>
          <w:lang w:val="es-MX"/>
        </w:rPr>
        <w:t>la presente resolución a</w:t>
      </w:r>
      <w:r w:rsidR="0060774F" w:rsidRPr="00B319C6">
        <w:rPr>
          <w:rFonts w:ascii="Palatino Linotype" w:hAnsi="Palatino Linotype" w:cs="Arial"/>
          <w:lang w:val="es-MX"/>
        </w:rPr>
        <w:t>l</w:t>
      </w:r>
      <w:r w:rsidRPr="00B319C6">
        <w:rPr>
          <w:rFonts w:ascii="Palatino Linotype" w:hAnsi="Palatino Linotype" w:cs="Arial"/>
          <w:b/>
          <w:bCs/>
          <w:lang w:val="es-MX"/>
        </w:rPr>
        <w:t xml:space="preserve"> </w:t>
      </w:r>
      <w:r w:rsidR="00CB298F" w:rsidRPr="00B319C6">
        <w:rPr>
          <w:rFonts w:ascii="Palatino Linotype" w:hAnsi="Palatino Linotype" w:cs="Arial"/>
          <w:b/>
          <w:lang w:val="es-MX"/>
        </w:rPr>
        <w:t>Recurrente</w:t>
      </w:r>
      <w:r w:rsidRPr="00B319C6">
        <w:rPr>
          <w:rFonts w:ascii="Palatino Linotype" w:hAnsi="Palatino Linotype" w:cs="Arial"/>
          <w:lang w:val="es-MX"/>
        </w:rPr>
        <w:t xml:space="preserve"> vía </w:t>
      </w:r>
      <w:r w:rsidRPr="00B319C6">
        <w:rPr>
          <w:rFonts w:ascii="Palatino Linotype" w:eastAsiaTheme="minorHAnsi" w:hAnsi="Palatino Linotype" w:cs="Arial"/>
          <w:lang w:val="es-MX" w:eastAsia="en-US"/>
        </w:rPr>
        <w:t>Sistema de Acceso a la Información Mexiquense (</w:t>
      </w:r>
      <w:r w:rsidRPr="00B319C6">
        <w:rPr>
          <w:rFonts w:ascii="Palatino Linotype" w:eastAsiaTheme="minorHAnsi" w:hAnsi="Palatino Linotype" w:cs="Arial"/>
          <w:b/>
          <w:lang w:val="es-MX" w:eastAsia="en-US"/>
        </w:rPr>
        <w:t>SAIMEX)</w:t>
      </w:r>
      <w:r w:rsidRPr="00B319C6">
        <w:rPr>
          <w:rFonts w:ascii="Palatino Linotype" w:eastAsiaTheme="minorHAnsi" w:hAnsi="Palatino Linotype" w:cs="Arial"/>
          <w:lang w:val="es-MX" w:eastAsia="en-US"/>
        </w:rPr>
        <w:t xml:space="preserve"> </w:t>
      </w:r>
      <w:r w:rsidRPr="00B319C6">
        <w:rPr>
          <w:rFonts w:ascii="Palatino Linotype" w:hAnsi="Palatino Linotype" w:cs="Arial"/>
          <w:lang w:val="es-MX"/>
        </w:rPr>
        <w:t xml:space="preserve">y hágase de su conocimiento que, </w:t>
      </w:r>
      <w:r w:rsidRPr="00B319C6">
        <w:rPr>
          <w:rFonts w:ascii="Palatino Linotype" w:hAnsi="Palatino Linotype"/>
          <w:color w:val="222222"/>
          <w:shd w:val="clear" w:color="auto" w:fill="FFFFFF"/>
          <w:lang w:val="es-MX"/>
        </w:rPr>
        <w:t>de conformidad con lo establecido en el artículo 196, de la Ley de Transparencia y Acceso a la Información Pública del Estado de México y Municipios, podrá promover el Juicio de Amparo en los términos de las leyes aplicables.</w:t>
      </w:r>
    </w:p>
    <w:p w14:paraId="3404B296" w14:textId="77777777" w:rsidR="003C0CD8" w:rsidRPr="00B319C6" w:rsidRDefault="003C0CD8" w:rsidP="00BD34CA">
      <w:pPr>
        <w:spacing w:line="360" w:lineRule="auto"/>
        <w:jc w:val="both"/>
        <w:rPr>
          <w:rFonts w:ascii="Palatino Linotype" w:hAnsi="Palatino Linotype"/>
          <w:color w:val="222222"/>
          <w:shd w:val="clear" w:color="auto" w:fill="FFFFFF"/>
          <w:lang w:val="es-MX"/>
        </w:rPr>
      </w:pPr>
    </w:p>
    <w:p w14:paraId="291F5581" w14:textId="77777777" w:rsidR="0083604D" w:rsidRPr="00B319C6" w:rsidRDefault="0083604D" w:rsidP="0083604D">
      <w:pPr>
        <w:spacing w:line="360" w:lineRule="auto"/>
        <w:jc w:val="both"/>
        <w:rPr>
          <w:rFonts w:ascii="Palatino Linotype" w:eastAsiaTheme="minorHAnsi" w:hAnsi="Palatino Linotype" w:cstheme="minorBidi"/>
          <w:lang w:val="es-MX" w:eastAsia="en-US"/>
        </w:rPr>
      </w:pPr>
    </w:p>
    <w:p w14:paraId="2CA59F8D" w14:textId="37B1F1B1" w:rsidR="009F74E7" w:rsidRPr="00B319C6" w:rsidRDefault="008B5C47" w:rsidP="0083604D">
      <w:pPr>
        <w:spacing w:line="360" w:lineRule="auto"/>
        <w:jc w:val="both"/>
        <w:rPr>
          <w:rFonts w:ascii="Palatino Linotype" w:hAnsi="Palatino Linotype" w:cs="Arial"/>
        </w:rPr>
      </w:pPr>
      <w:r w:rsidRPr="00B319C6">
        <w:rPr>
          <w:rFonts w:ascii="Palatino Linotype" w:hAnsi="Palatino Linotype"/>
        </w:rPr>
        <w:t xml:space="preserve">ASÍ LO ACORDÓ, POR </w:t>
      </w:r>
      <w:r w:rsidR="00E54F06">
        <w:rPr>
          <w:rFonts w:ascii="Palatino Linotype" w:hAnsi="Palatino Linotype"/>
        </w:rPr>
        <w:t>MAYORÍA</w:t>
      </w:r>
      <w:r w:rsidRPr="00B319C6">
        <w:rPr>
          <w:rFonts w:ascii="Palatino Linotype" w:hAnsi="Palatino Linotype"/>
        </w:rPr>
        <w:t xml:space="preserve"> DE VOTOS, EL PLENO DEL INSTITUTO DE TRANSPARENCIA, ACCESO A LA INFORMACIÓN PÚBLICA Y PROTECCIÓN DE </w:t>
      </w:r>
      <w:r w:rsidRPr="00B319C6">
        <w:rPr>
          <w:rFonts w:ascii="Palatino Linotype" w:hAnsi="Palatino Linotype"/>
        </w:rPr>
        <w:lastRenderedPageBreak/>
        <w:t>DATOS PERSONALES DEL ESTADO DE MÉXICO Y MUNICIPIOS, CONFORMADO POR LOS COMISIONADOS JOSÉ MARTÍNEZ VILCHIS</w:t>
      </w:r>
      <w:r w:rsidR="00C94A1D" w:rsidRPr="00B319C6">
        <w:rPr>
          <w:rFonts w:ascii="Palatino Linotype" w:hAnsi="Palatino Linotype"/>
        </w:rPr>
        <w:t xml:space="preserve"> (</w:t>
      </w:r>
      <w:r w:rsidR="00B319C6">
        <w:rPr>
          <w:rFonts w:ascii="Palatino Linotype" w:hAnsi="Palatino Linotype"/>
        </w:rPr>
        <w:t xml:space="preserve">EMITIENDO </w:t>
      </w:r>
      <w:r w:rsidR="00E54F06">
        <w:rPr>
          <w:rFonts w:ascii="Palatino Linotype" w:hAnsi="Palatino Linotype"/>
        </w:rPr>
        <w:t>V</w:t>
      </w:r>
      <w:r w:rsidR="00C94A1D" w:rsidRPr="00B319C6">
        <w:rPr>
          <w:rFonts w:ascii="Palatino Linotype" w:hAnsi="Palatino Linotype"/>
        </w:rPr>
        <w:t>OTO PARTICULAR)</w:t>
      </w:r>
      <w:r w:rsidRPr="00B319C6">
        <w:rPr>
          <w:rFonts w:ascii="Palatino Linotype" w:hAnsi="Palatino Linotype"/>
        </w:rPr>
        <w:t>, MARÍA DEL ROSARIO MEJÍA AYALA, SHARON CRISTINA MORALES MARTÍNEZ</w:t>
      </w:r>
      <w:r w:rsidR="00C94A1D" w:rsidRPr="00B319C6">
        <w:rPr>
          <w:rFonts w:ascii="Palatino Linotype" w:hAnsi="Palatino Linotype"/>
        </w:rPr>
        <w:t xml:space="preserve"> (</w:t>
      </w:r>
      <w:r w:rsidR="00B319C6">
        <w:rPr>
          <w:rFonts w:ascii="Palatino Linotype" w:hAnsi="Palatino Linotype"/>
        </w:rPr>
        <w:t>EMITIENDO</w:t>
      </w:r>
      <w:r w:rsidR="00C94A1D" w:rsidRPr="00B319C6">
        <w:rPr>
          <w:rFonts w:ascii="Palatino Linotype" w:hAnsi="Palatino Linotype"/>
        </w:rPr>
        <w:t xml:space="preserve"> VOTO DISIDENTE)</w:t>
      </w:r>
      <w:r w:rsidRPr="00B319C6">
        <w:rPr>
          <w:rFonts w:ascii="Palatino Linotype" w:hAnsi="Palatino Linotype"/>
        </w:rPr>
        <w:t xml:space="preserve">, LUIS GUSTAVO PARRA NORIEGA </w:t>
      </w:r>
      <w:r w:rsidR="00C94A1D" w:rsidRPr="00B319C6">
        <w:rPr>
          <w:rFonts w:ascii="Palatino Linotype" w:hAnsi="Palatino Linotype"/>
        </w:rPr>
        <w:t>(</w:t>
      </w:r>
      <w:r w:rsidR="00B319C6">
        <w:rPr>
          <w:rFonts w:ascii="Palatino Linotype" w:hAnsi="Palatino Linotype"/>
        </w:rPr>
        <w:t xml:space="preserve">EMITIENDO </w:t>
      </w:r>
      <w:r w:rsidR="00C94A1D" w:rsidRPr="00B319C6">
        <w:rPr>
          <w:rFonts w:ascii="Palatino Linotype" w:hAnsi="Palatino Linotype"/>
        </w:rPr>
        <w:t xml:space="preserve">VOTO PARTICULAR) </w:t>
      </w:r>
      <w:r w:rsidRPr="00B319C6">
        <w:rPr>
          <w:rFonts w:ascii="Palatino Linotype" w:hAnsi="Palatino Linotype"/>
        </w:rPr>
        <w:t xml:space="preserve">Y GUADALUPE RAMÍREZ PEÑA; EN LA </w:t>
      </w:r>
      <w:r w:rsidR="0060774F" w:rsidRPr="00B319C6">
        <w:rPr>
          <w:rFonts w:ascii="Palatino Linotype" w:hAnsi="Palatino Linotype"/>
        </w:rPr>
        <w:t>CUADRAGÉSIMA</w:t>
      </w:r>
      <w:r w:rsidR="00EA16D9" w:rsidRPr="00B319C6">
        <w:rPr>
          <w:rFonts w:ascii="Palatino Linotype" w:hAnsi="Palatino Linotype"/>
        </w:rPr>
        <w:t xml:space="preserve"> PRIMERA</w:t>
      </w:r>
      <w:r w:rsidRPr="00B319C6">
        <w:rPr>
          <w:rFonts w:ascii="Palatino Linotype" w:hAnsi="Palatino Linotype"/>
        </w:rPr>
        <w:t xml:space="preserve"> SESIÓN ORDINARIA CELEBRADA EL </w:t>
      </w:r>
      <w:r w:rsidR="0060774F" w:rsidRPr="00B319C6">
        <w:rPr>
          <w:rFonts w:ascii="Palatino Linotype" w:hAnsi="Palatino Linotype"/>
        </w:rPr>
        <w:t>DIECISÉIS DE NOVIEMBRE</w:t>
      </w:r>
      <w:r w:rsidR="009D5B53" w:rsidRPr="00B319C6">
        <w:rPr>
          <w:rFonts w:ascii="Palatino Linotype" w:hAnsi="Palatino Linotype"/>
        </w:rPr>
        <w:t xml:space="preserve"> DE DOS MIL VEINTIDÓS</w:t>
      </w:r>
      <w:r w:rsidRPr="00B319C6">
        <w:rPr>
          <w:rFonts w:ascii="Palatino Linotype" w:hAnsi="Palatino Linotype"/>
        </w:rPr>
        <w:t>, ANTE EL SECRETARIO TÉCNICO DEL PLENO, ALEXIS TAPIA RAMÍREZ</w:t>
      </w:r>
      <w:r w:rsidR="009F74E7" w:rsidRPr="00B319C6">
        <w:rPr>
          <w:rFonts w:ascii="Palatino Linotype" w:hAnsi="Palatino Linotype" w:cs="Arial"/>
        </w:rPr>
        <w:t>.</w:t>
      </w:r>
      <w:r w:rsidR="00117E65" w:rsidRPr="00B319C6">
        <w:rPr>
          <w:rFonts w:ascii="Palatino Linotype" w:hAnsi="Palatino Linotype" w:cs="Arial"/>
        </w:rPr>
        <w:t>--------</w:t>
      </w:r>
      <w:r w:rsidR="0060774F" w:rsidRPr="00B319C6">
        <w:rPr>
          <w:rFonts w:ascii="Palatino Linotype" w:hAnsi="Palatino Linotype" w:cs="Arial"/>
        </w:rPr>
        <w:t>-------------------</w:t>
      </w:r>
      <w:r w:rsidR="00A839B2" w:rsidRPr="00B319C6">
        <w:rPr>
          <w:rFonts w:ascii="Palatino Linotype" w:hAnsi="Palatino Linotype" w:cs="Arial"/>
        </w:rPr>
        <w:t>--------------------------------------</w:t>
      </w:r>
      <w:r w:rsidR="005F69CD" w:rsidRPr="00B319C6">
        <w:rPr>
          <w:rFonts w:ascii="Palatino Linotype" w:hAnsi="Palatino Linotype" w:cs="Arial"/>
        </w:rPr>
        <w:t>--------------------------------------------------------------------------------------------------------------------------------------------------------------------------------------------------------------------------------------------------------------------------------------------------------------------------------------------------- --------------------------------------------------------------------------------------------------------------------------------------------------------------------------------------------------------------------------------------------------------------------------------------------------------------------------------------------------------------------------------------------------------------------------------------------------------------------------------------------------------------------------------------------------------------------------------------------------------------------------------------------------------------------------------------------------------------------------------------------------------------------------------------------------------------------------------------------------------------------------------------------------------------------------------------------------------------------------------------------------------------------------------------------------------------------------------------------------------------------------------------------------------------------------------------------------------------------------------------------------------------------------------------------------------------------------------------------------------</w:t>
      </w:r>
      <w:r w:rsidR="00B319C6">
        <w:rPr>
          <w:rFonts w:ascii="Palatino Linotype" w:hAnsi="Palatino Linotype" w:cs="Arial"/>
        </w:rPr>
        <w:t>------------------------------</w:t>
      </w:r>
    </w:p>
    <w:p w14:paraId="1C94BE23" w14:textId="77777777" w:rsidR="001B7694" w:rsidRPr="00B319C6" w:rsidRDefault="001B7694" w:rsidP="00FE459F">
      <w:pPr>
        <w:spacing w:line="276" w:lineRule="auto"/>
        <w:rPr>
          <w:rFonts w:ascii="Palatino Linotype" w:hAnsi="Palatino Linotype"/>
          <w:sz w:val="14"/>
          <w:szCs w:val="16"/>
        </w:rPr>
      </w:pPr>
    </w:p>
    <w:p w14:paraId="4F9A9958" w14:textId="0885EBF7" w:rsidR="00DD13E2" w:rsidRDefault="008B5C47" w:rsidP="00FE459F">
      <w:pPr>
        <w:spacing w:line="276" w:lineRule="auto"/>
        <w:rPr>
          <w:rFonts w:ascii="Palatino Linotype" w:hAnsi="Palatino Linotype"/>
          <w:sz w:val="14"/>
          <w:szCs w:val="16"/>
        </w:rPr>
      </w:pPr>
      <w:r w:rsidRPr="00B319C6">
        <w:rPr>
          <w:rFonts w:ascii="Palatino Linotype" w:hAnsi="Palatino Linotype"/>
          <w:sz w:val="14"/>
          <w:szCs w:val="16"/>
        </w:rPr>
        <w:t>JMV/CCR</w:t>
      </w:r>
      <w:r w:rsidR="00841CCD" w:rsidRPr="00B319C6">
        <w:rPr>
          <w:rFonts w:ascii="Palatino Linotype" w:hAnsi="Palatino Linotype"/>
          <w:sz w:val="14"/>
          <w:szCs w:val="16"/>
        </w:rPr>
        <w:t>/</w:t>
      </w:r>
      <w:r w:rsidR="009126FE" w:rsidRPr="00B319C6">
        <w:rPr>
          <w:rFonts w:ascii="Palatino Linotype" w:hAnsi="Palatino Linotype"/>
          <w:sz w:val="14"/>
          <w:szCs w:val="16"/>
        </w:rPr>
        <w:t>EJDG</w:t>
      </w:r>
    </w:p>
    <w:p w14:paraId="77D863CA" w14:textId="410BC72B" w:rsidR="001B7694" w:rsidRDefault="001B7694" w:rsidP="00FE459F">
      <w:pPr>
        <w:spacing w:line="276" w:lineRule="auto"/>
        <w:rPr>
          <w:sz w:val="20"/>
        </w:rPr>
      </w:pPr>
    </w:p>
    <w:p w14:paraId="7BE48393" w14:textId="77777777" w:rsidR="00C812E3" w:rsidRPr="00755A9B" w:rsidRDefault="00C812E3" w:rsidP="00FE459F">
      <w:pPr>
        <w:spacing w:line="276" w:lineRule="auto"/>
        <w:rPr>
          <w:sz w:val="20"/>
        </w:rPr>
      </w:pPr>
    </w:p>
    <w:sectPr w:rsidR="00C812E3" w:rsidRPr="00755A9B" w:rsidSect="00564DB2">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FCCD1" w14:textId="77777777" w:rsidR="007C0A36" w:rsidRDefault="007C0A36" w:rsidP="00D34057">
      <w:r>
        <w:separator/>
      </w:r>
    </w:p>
  </w:endnote>
  <w:endnote w:type="continuationSeparator" w:id="0">
    <w:p w14:paraId="11EEDEE9" w14:textId="77777777" w:rsidR="007C0A36" w:rsidRDefault="007C0A36"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E527A" w14:textId="2D190CF4" w:rsidR="007C0A36" w:rsidRPr="000B69FA" w:rsidRDefault="007C0A36"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14FD1">
      <w:rPr>
        <w:rFonts w:ascii="Palatino Linotype" w:hAnsi="Palatino Linotype"/>
        <w:bCs/>
        <w:noProof/>
        <w:sz w:val="20"/>
      </w:rPr>
      <w:t>50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14FD1">
      <w:rPr>
        <w:rFonts w:ascii="Palatino Linotype" w:hAnsi="Palatino Linotype"/>
        <w:bCs/>
        <w:noProof/>
        <w:sz w:val="20"/>
      </w:rPr>
      <w:t>51</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255C8" w14:textId="4B626CDF" w:rsidR="007C0A36" w:rsidRPr="008171C2" w:rsidRDefault="007C0A36"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A14FD1">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A14FD1">
      <w:rPr>
        <w:rFonts w:ascii="Palatino Linotype" w:hAnsi="Palatino Linotype"/>
        <w:b/>
        <w:bCs/>
        <w:noProof/>
        <w:sz w:val="20"/>
      </w:rPr>
      <w:t>11</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03AA3" w14:textId="77777777" w:rsidR="007C0A36" w:rsidRDefault="007C0A36" w:rsidP="00D34057">
      <w:r>
        <w:separator/>
      </w:r>
    </w:p>
  </w:footnote>
  <w:footnote w:type="continuationSeparator" w:id="0">
    <w:p w14:paraId="599FD2F4" w14:textId="77777777" w:rsidR="007C0A36" w:rsidRDefault="007C0A36" w:rsidP="00D34057">
      <w:r>
        <w:continuationSeparator/>
      </w:r>
    </w:p>
  </w:footnote>
  <w:footnote w:id="1">
    <w:p w14:paraId="4A7DCFA5" w14:textId="77777777" w:rsidR="007C0A36" w:rsidRPr="00EE06B0" w:rsidRDefault="007C0A36"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7C0A36" w:rsidRPr="00EE06B0" w:rsidRDefault="007C0A36"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C2D19" w14:textId="147B7F01" w:rsidR="007C0A36" w:rsidRDefault="00A14FD1">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195"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7C0A36" w14:paraId="3EBBCCA0" w14:textId="77777777" w:rsidTr="00E31501">
      <w:trPr>
        <w:trHeight w:val="227"/>
      </w:trPr>
      <w:tc>
        <w:tcPr>
          <w:tcW w:w="5529" w:type="dxa"/>
          <w:hideMark/>
        </w:tcPr>
        <w:p w14:paraId="5F4AF24B" w14:textId="77777777" w:rsidR="007C0A36" w:rsidRDefault="007C0A36"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6DA0032E" w:rsidR="007C0A36" w:rsidRDefault="007C0A36" w:rsidP="00564DB2">
          <w:pPr>
            <w:spacing w:after="120" w:line="256" w:lineRule="auto"/>
            <w:ind w:left="-486" w:right="214" w:firstLine="1585"/>
            <w:jc w:val="right"/>
            <w:rPr>
              <w:rFonts w:ascii="Palatino Linotype" w:hAnsi="Palatino Linotype" w:cs="Arial"/>
              <w:szCs w:val="20"/>
            </w:rPr>
          </w:pPr>
          <w:r w:rsidRPr="00CE14AE">
            <w:rPr>
              <w:rFonts w:ascii="Palatino Linotype" w:hAnsi="Palatino Linotype" w:cs="Arial"/>
              <w:bCs/>
              <w:lang w:eastAsia="es-MX"/>
            </w:rPr>
            <w:t>11950/INFOEM/IP/RR/2022</w:t>
          </w:r>
        </w:p>
      </w:tc>
    </w:tr>
    <w:tr w:rsidR="007C0A36" w14:paraId="05B82912" w14:textId="77777777" w:rsidTr="00E31501">
      <w:trPr>
        <w:trHeight w:val="242"/>
      </w:trPr>
      <w:tc>
        <w:tcPr>
          <w:tcW w:w="5529" w:type="dxa"/>
          <w:hideMark/>
        </w:tcPr>
        <w:p w14:paraId="45A5E639" w14:textId="77777777" w:rsidR="007C0A36" w:rsidRDefault="007C0A36"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78106FB4" w:rsidR="007C0A36" w:rsidRDefault="007C0A36" w:rsidP="00E31501">
          <w:pPr>
            <w:spacing w:line="256" w:lineRule="auto"/>
            <w:ind w:left="-72" w:right="214" w:firstLine="284"/>
            <w:jc w:val="right"/>
            <w:rPr>
              <w:rFonts w:ascii="Palatino Linotype" w:hAnsi="Palatino Linotype" w:cs="Arial"/>
              <w:szCs w:val="20"/>
            </w:rPr>
          </w:pPr>
          <w:r w:rsidRPr="00CE14AE">
            <w:rPr>
              <w:rFonts w:ascii="Palatino Linotype" w:hAnsi="Palatino Linotype" w:cs="Arial"/>
              <w:szCs w:val="20"/>
            </w:rPr>
            <w:t>Ayuntamiento de Nezahualcóyotl</w:t>
          </w:r>
        </w:p>
      </w:tc>
    </w:tr>
    <w:tr w:rsidR="007C0A36" w14:paraId="4AC99349" w14:textId="77777777" w:rsidTr="00E31501">
      <w:trPr>
        <w:trHeight w:val="342"/>
      </w:trPr>
      <w:tc>
        <w:tcPr>
          <w:tcW w:w="5529" w:type="dxa"/>
          <w:hideMark/>
        </w:tcPr>
        <w:p w14:paraId="050C3A62" w14:textId="2269D921" w:rsidR="007C0A36" w:rsidRDefault="007C0A36"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412886D6" w14:textId="2F7A3DA2" w:rsidR="007C0A36" w:rsidRDefault="007C0A36"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7C0A36" w:rsidRDefault="007C0A3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C0A36" w14:paraId="393A0417" w14:textId="77777777" w:rsidTr="00564DB2">
      <w:trPr>
        <w:trHeight w:val="227"/>
      </w:trPr>
      <w:tc>
        <w:tcPr>
          <w:tcW w:w="5529" w:type="dxa"/>
          <w:hideMark/>
        </w:tcPr>
        <w:p w14:paraId="1D809BCF" w14:textId="294A4220" w:rsidR="007C0A36" w:rsidRDefault="007C0A36"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52F85271" w:rsidR="007C0A36" w:rsidRPr="00B4142F" w:rsidRDefault="007C0A36" w:rsidP="004558D1">
          <w:pPr>
            <w:spacing w:after="120" w:line="256" w:lineRule="auto"/>
            <w:ind w:left="-486" w:right="214" w:firstLine="1408"/>
            <w:jc w:val="right"/>
            <w:rPr>
              <w:rFonts w:ascii="Palatino Linotype" w:hAnsi="Palatino Linotype" w:cs="Arial"/>
              <w:szCs w:val="20"/>
            </w:rPr>
          </w:pPr>
          <w:r w:rsidRPr="00CE14AE">
            <w:rPr>
              <w:rFonts w:ascii="Palatino Linotype" w:hAnsi="Palatino Linotype" w:cs="Arial"/>
              <w:bCs/>
              <w:lang w:eastAsia="es-MX"/>
            </w:rPr>
            <w:t>11950/INFOEM/IP/RR/2022</w:t>
          </w:r>
        </w:p>
      </w:tc>
    </w:tr>
    <w:tr w:rsidR="007C0A36" w14:paraId="3CBA8370" w14:textId="77777777" w:rsidTr="00564DB2">
      <w:trPr>
        <w:trHeight w:val="196"/>
      </w:trPr>
      <w:tc>
        <w:tcPr>
          <w:tcW w:w="5529" w:type="dxa"/>
          <w:hideMark/>
        </w:tcPr>
        <w:p w14:paraId="01BBAC1E" w14:textId="77777777" w:rsidR="007C0A36" w:rsidRDefault="007C0A36"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1E4E7CBD" w:rsidR="007C0A36" w:rsidRPr="00F06FED" w:rsidRDefault="00A14FD1" w:rsidP="00564DB2">
          <w:pPr>
            <w:spacing w:after="120" w:line="256" w:lineRule="auto"/>
            <w:ind w:left="-486" w:right="214" w:firstLine="567"/>
            <w:jc w:val="right"/>
            <w:rPr>
              <w:rFonts w:ascii="Palatino Linotype" w:hAnsi="Palatino Linotype" w:cs="Arial"/>
            </w:rPr>
          </w:pPr>
          <w:r>
            <w:rPr>
              <w:rFonts w:ascii="Palatino Linotype" w:hAnsi="Palatino Linotype" w:cs="Arial"/>
            </w:rPr>
            <w:t>XXXXXXXXXXXXXXX</w:t>
          </w:r>
        </w:p>
      </w:tc>
    </w:tr>
    <w:tr w:rsidR="007C0A36" w14:paraId="3016720F" w14:textId="77777777" w:rsidTr="00564DB2">
      <w:trPr>
        <w:trHeight w:val="242"/>
      </w:trPr>
      <w:tc>
        <w:tcPr>
          <w:tcW w:w="5529" w:type="dxa"/>
          <w:hideMark/>
        </w:tcPr>
        <w:p w14:paraId="5A512D3D" w14:textId="77777777" w:rsidR="007C0A36" w:rsidRDefault="007C0A36" w:rsidP="008171C2">
          <w:pPr>
            <w:spacing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08F436CF" w:rsidR="007C0A36" w:rsidRDefault="007C0A36" w:rsidP="001A7EEE">
          <w:pPr>
            <w:spacing w:line="256" w:lineRule="auto"/>
            <w:ind w:left="-495" w:right="214" w:firstLine="843"/>
            <w:jc w:val="right"/>
            <w:rPr>
              <w:rFonts w:ascii="Palatino Linotype" w:hAnsi="Palatino Linotype" w:cs="Arial"/>
              <w:szCs w:val="20"/>
            </w:rPr>
          </w:pPr>
          <w:r w:rsidRPr="00CE14AE">
            <w:rPr>
              <w:rFonts w:ascii="Palatino Linotype" w:hAnsi="Palatino Linotype" w:cs="Arial"/>
              <w:szCs w:val="20"/>
            </w:rPr>
            <w:t>Ayuntamiento de Nezahualcóyotl</w:t>
          </w:r>
        </w:p>
      </w:tc>
    </w:tr>
    <w:tr w:rsidR="007C0A36" w14:paraId="1DA38D4E" w14:textId="77777777" w:rsidTr="00564DB2">
      <w:trPr>
        <w:trHeight w:val="342"/>
      </w:trPr>
      <w:tc>
        <w:tcPr>
          <w:tcW w:w="5529" w:type="dxa"/>
          <w:hideMark/>
        </w:tcPr>
        <w:p w14:paraId="68227E44" w14:textId="493ED142" w:rsidR="007C0A36" w:rsidRDefault="007C0A36"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E52E839" w14:textId="05C6E02C" w:rsidR="007C0A36" w:rsidRDefault="007C0A36" w:rsidP="00564DB2">
          <w:pPr>
            <w:spacing w:after="120" w:line="256" w:lineRule="auto"/>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7C0A36" w:rsidRPr="00FF74F5" w:rsidRDefault="00A14FD1">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8194"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773F"/>
    <w:multiLevelType w:val="hybridMultilevel"/>
    <w:tmpl w:val="7E9CC218"/>
    <w:lvl w:ilvl="0" w:tplc="810ABD94">
      <w:start w:val="1"/>
      <w:numFmt w:val="upperRoman"/>
      <w:lvlText w:val="%1."/>
      <w:lvlJc w:val="left"/>
      <w:pPr>
        <w:ind w:left="2977" w:hanging="720"/>
      </w:pPr>
      <w:rPr>
        <w:rFonts w:hint="default"/>
      </w:rPr>
    </w:lvl>
    <w:lvl w:ilvl="1" w:tplc="080A0019" w:tentative="1">
      <w:start w:val="1"/>
      <w:numFmt w:val="lowerLetter"/>
      <w:lvlText w:val="%2."/>
      <w:lvlJc w:val="left"/>
      <w:pPr>
        <w:ind w:left="3337" w:hanging="360"/>
      </w:pPr>
    </w:lvl>
    <w:lvl w:ilvl="2" w:tplc="080A001B" w:tentative="1">
      <w:start w:val="1"/>
      <w:numFmt w:val="lowerRoman"/>
      <w:lvlText w:val="%3."/>
      <w:lvlJc w:val="right"/>
      <w:pPr>
        <w:ind w:left="4057" w:hanging="180"/>
      </w:pPr>
    </w:lvl>
    <w:lvl w:ilvl="3" w:tplc="080A000F" w:tentative="1">
      <w:start w:val="1"/>
      <w:numFmt w:val="decimal"/>
      <w:lvlText w:val="%4."/>
      <w:lvlJc w:val="left"/>
      <w:pPr>
        <w:ind w:left="4777" w:hanging="360"/>
      </w:pPr>
    </w:lvl>
    <w:lvl w:ilvl="4" w:tplc="080A0019" w:tentative="1">
      <w:start w:val="1"/>
      <w:numFmt w:val="lowerLetter"/>
      <w:lvlText w:val="%5."/>
      <w:lvlJc w:val="left"/>
      <w:pPr>
        <w:ind w:left="5497" w:hanging="360"/>
      </w:pPr>
    </w:lvl>
    <w:lvl w:ilvl="5" w:tplc="080A001B" w:tentative="1">
      <w:start w:val="1"/>
      <w:numFmt w:val="lowerRoman"/>
      <w:lvlText w:val="%6."/>
      <w:lvlJc w:val="right"/>
      <w:pPr>
        <w:ind w:left="6217" w:hanging="180"/>
      </w:pPr>
    </w:lvl>
    <w:lvl w:ilvl="6" w:tplc="080A000F" w:tentative="1">
      <w:start w:val="1"/>
      <w:numFmt w:val="decimal"/>
      <w:lvlText w:val="%7."/>
      <w:lvlJc w:val="left"/>
      <w:pPr>
        <w:ind w:left="6937" w:hanging="360"/>
      </w:pPr>
    </w:lvl>
    <w:lvl w:ilvl="7" w:tplc="080A0019" w:tentative="1">
      <w:start w:val="1"/>
      <w:numFmt w:val="lowerLetter"/>
      <w:lvlText w:val="%8."/>
      <w:lvlJc w:val="left"/>
      <w:pPr>
        <w:ind w:left="7657" w:hanging="360"/>
      </w:pPr>
    </w:lvl>
    <w:lvl w:ilvl="8" w:tplc="080A001B" w:tentative="1">
      <w:start w:val="1"/>
      <w:numFmt w:val="lowerRoman"/>
      <w:lvlText w:val="%9."/>
      <w:lvlJc w:val="right"/>
      <w:pPr>
        <w:ind w:left="8377" w:hanging="180"/>
      </w:pPr>
    </w:lvl>
  </w:abstractNum>
  <w:abstractNum w:abstractNumId="1"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1471B"/>
    <w:multiLevelType w:val="hybridMultilevel"/>
    <w:tmpl w:val="10EEF46E"/>
    <w:lvl w:ilvl="0" w:tplc="080A0011">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F5728F2"/>
    <w:multiLevelType w:val="multilevel"/>
    <w:tmpl w:val="E6248A58"/>
    <w:lvl w:ilvl="0">
      <w:start w:val="2"/>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6"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F13D38"/>
    <w:multiLevelType w:val="hybridMultilevel"/>
    <w:tmpl w:val="C50E61C6"/>
    <w:lvl w:ilvl="0" w:tplc="580A000F">
      <w:start w:val="1"/>
      <w:numFmt w:val="decimal"/>
      <w:lvlText w:val="%1."/>
      <w:lvlJc w:val="left"/>
      <w:pPr>
        <w:ind w:left="720" w:hanging="360"/>
      </w:p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4"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D6157F"/>
    <w:multiLevelType w:val="hybridMultilevel"/>
    <w:tmpl w:val="A5AAE784"/>
    <w:lvl w:ilvl="0" w:tplc="0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7"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8" w15:restartNumberingAfterBreak="0">
    <w:nsid w:val="755221B7"/>
    <w:multiLevelType w:val="hybridMultilevel"/>
    <w:tmpl w:val="21AE934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6F909D3"/>
    <w:multiLevelType w:val="hybridMultilevel"/>
    <w:tmpl w:val="6D6400EE"/>
    <w:lvl w:ilvl="0" w:tplc="EB060C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8"/>
  </w:num>
  <w:num w:numId="3">
    <w:abstractNumId w:val="22"/>
  </w:num>
  <w:num w:numId="4">
    <w:abstractNumId w:val="21"/>
  </w:num>
  <w:num w:numId="5">
    <w:abstractNumId w:val="32"/>
  </w:num>
  <w:num w:numId="6">
    <w:abstractNumId w:val="23"/>
  </w:num>
  <w:num w:numId="7">
    <w:abstractNumId w:val="17"/>
  </w:num>
  <w:num w:numId="8">
    <w:abstractNumId w:val="25"/>
  </w:num>
  <w:num w:numId="9">
    <w:abstractNumId w:val="16"/>
  </w:num>
  <w:num w:numId="10">
    <w:abstractNumId w:val="15"/>
  </w:num>
  <w:num w:numId="11">
    <w:abstractNumId w:val="0"/>
  </w:num>
  <w:num w:numId="12">
    <w:abstractNumId w:val="14"/>
  </w:num>
  <w:num w:numId="13">
    <w:abstractNumId w:val="9"/>
  </w:num>
  <w:num w:numId="14">
    <w:abstractNumId w:val="13"/>
  </w:num>
  <w:num w:numId="15">
    <w:abstractNumId w:val="31"/>
  </w:num>
  <w:num w:numId="16">
    <w:abstractNumId w:val="24"/>
  </w:num>
  <w:num w:numId="17">
    <w:abstractNumId w:val="5"/>
  </w:num>
  <w:num w:numId="18">
    <w:abstractNumId w:val="11"/>
  </w:num>
  <w:num w:numId="19">
    <w:abstractNumId w:val="6"/>
  </w:num>
  <w:num w:numId="20">
    <w:abstractNumId w:val="18"/>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0"/>
  </w:num>
  <w:num w:numId="24">
    <w:abstractNumId w:val="1"/>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7"/>
  </w:num>
  <w:num w:numId="28">
    <w:abstractNumId w:val="19"/>
  </w:num>
  <w:num w:numId="29">
    <w:abstractNumId w:val="12"/>
  </w:num>
  <w:num w:numId="30">
    <w:abstractNumId w:val="26"/>
  </w:num>
  <w:num w:numId="31">
    <w:abstractNumId w:val="28"/>
  </w:num>
  <w:num w:numId="32">
    <w:abstractNumId w:val="3"/>
  </w:num>
  <w:num w:numId="33">
    <w:abstractNumId w:val="20"/>
  </w:num>
  <w:num w:numId="34">
    <w:abstractNumId w:val="29"/>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pt-BR" w:vendorID="64" w:dllVersion="131078" w:nlCheck="1" w:checkStyle="0"/>
  <w:defaultTabStop w:val="708"/>
  <w:hyphenationZone w:val="425"/>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051BC"/>
    <w:rsid w:val="000117D1"/>
    <w:rsid w:val="00013A05"/>
    <w:rsid w:val="00016BB6"/>
    <w:rsid w:val="00017B86"/>
    <w:rsid w:val="00020B6A"/>
    <w:rsid w:val="00026EB1"/>
    <w:rsid w:val="00041A17"/>
    <w:rsid w:val="00050780"/>
    <w:rsid w:val="00055AB9"/>
    <w:rsid w:val="000A5A65"/>
    <w:rsid w:val="000B1582"/>
    <w:rsid w:val="000C7DA1"/>
    <w:rsid w:val="000D006F"/>
    <w:rsid w:val="000D4CB2"/>
    <w:rsid w:val="000D6FBA"/>
    <w:rsid w:val="000D7B51"/>
    <w:rsid w:val="000E269D"/>
    <w:rsid w:val="000E7C06"/>
    <w:rsid w:val="000F43D7"/>
    <w:rsid w:val="000F46D8"/>
    <w:rsid w:val="000F5CBE"/>
    <w:rsid w:val="000F6CA6"/>
    <w:rsid w:val="00117E65"/>
    <w:rsid w:val="00120096"/>
    <w:rsid w:val="0012374B"/>
    <w:rsid w:val="00123D11"/>
    <w:rsid w:val="00123ECE"/>
    <w:rsid w:val="00134DCA"/>
    <w:rsid w:val="00135F23"/>
    <w:rsid w:val="0014089B"/>
    <w:rsid w:val="00140DDF"/>
    <w:rsid w:val="00141116"/>
    <w:rsid w:val="00143708"/>
    <w:rsid w:val="00143843"/>
    <w:rsid w:val="00145E75"/>
    <w:rsid w:val="00146720"/>
    <w:rsid w:val="001479E7"/>
    <w:rsid w:val="00152971"/>
    <w:rsid w:val="001545AD"/>
    <w:rsid w:val="00154E6B"/>
    <w:rsid w:val="00155F3D"/>
    <w:rsid w:val="00157778"/>
    <w:rsid w:val="001615BA"/>
    <w:rsid w:val="001629FB"/>
    <w:rsid w:val="001679F1"/>
    <w:rsid w:val="001705F4"/>
    <w:rsid w:val="00174621"/>
    <w:rsid w:val="001770BD"/>
    <w:rsid w:val="00181245"/>
    <w:rsid w:val="00194E28"/>
    <w:rsid w:val="001A7973"/>
    <w:rsid w:val="001A7EEE"/>
    <w:rsid w:val="001B0A88"/>
    <w:rsid w:val="001B36E9"/>
    <w:rsid w:val="001B7694"/>
    <w:rsid w:val="001C0E3D"/>
    <w:rsid w:val="001C2774"/>
    <w:rsid w:val="001D40B1"/>
    <w:rsid w:val="001D6B18"/>
    <w:rsid w:val="001E111C"/>
    <w:rsid w:val="001E7A89"/>
    <w:rsid w:val="00212AD9"/>
    <w:rsid w:val="00215429"/>
    <w:rsid w:val="00226E72"/>
    <w:rsid w:val="00226EEE"/>
    <w:rsid w:val="002321C1"/>
    <w:rsid w:val="002349F8"/>
    <w:rsid w:val="00234D61"/>
    <w:rsid w:val="002379F2"/>
    <w:rsid w:val="002468A3"/>
    <w:rsid w:val="0025394E"/>
    <w:rsid w:val="00256703"/>
    <w:rsid w:val="0025795D"/>
    <w:rsid w:val="00265D78"/>
    <w:rsid w:val="00267078"/>
    <w:rsid w:val="00272D2A"/>
    <w:rsid w:val="0028416A"/>
    <w:rsid w:val="00286BF3"/>
    <w:rsid w:val="00293EFD"/>
    <w:rsid w:val="00293F6E"/>
    <w:rsid w:val="00295210"/>
    <w:rsid w:val="0029757B"/>
    <w:rsid w:val="002A6EFB"/>
    <w:rsid w:val="002A7856"/>
    <w:rsid w:val="002B1BB7"/>
    <w:rsid w:val="002B2253"/>
    <w:rsid w:val="002B2B95"/>
    <w:rsid w:val="002D0A06"/>
    <w:rsid w:val="002D1630"/>
    <w:rsid w:val="002D2D32"/>
    <w:rsid w:val="002D310B"/>
    <w:rsid w:val="002D66D5"/>
    <w:rsid w:val="002D7107"/>
    <w:rsid w:val="002D794C"/>
    <w:rsid w:val="002E2DFB"/>
    <w:rsid w:val="002F33A9"/>
    <w:rsid w:val="002F5CA8"/>
    <w:rsid w:val="002F62E0"/>
    <w:rsid w:val="002F7BA4"/>
    <w:rsid w:val="00302D2F"/>
    <w:rsid w:val="00303385"/>
    <w:rsid w:val="003046C4"/>
    <w:rsid w:val="00306441"/>
    <w:rsid w:val="003073EB"/>
    <w:rsid w:val="00311AA7"/>
    <w:rsid w:val="0032099F"/>
    <w:rsid w:val="00322DC7"/>
    <w:rsid w:val="003242C7"/>
    <w:rsid w:val="003313D8"/>
    <w:rsid w:val="00344F6E"/>
    <w:rsid w:val="00346625"/>
    <w:rsid w:val="00351D4E"/>
    <w:rsid w:val="00354DDE"/>
    <w:rsid w:val="003559E1"/>
    <w:rsid w:val="00360BBA"/>
    <w:rsid w:val="00362E23"/>
    <w:rsid w:val="003708E1"/>
    <w:rsid w:val="003756A5"/>
    <w:rsid w:val="00382978"/>
    <w:rsid w:val="00384CF0"/>
    <w:rsid w:val="00386844"/>
    <w:rsid w:val="003A1A28"/>
    <w:rsid w:val="003A5AE4"/>
    <w:rsid w:val="003B2ABB"/>
    <w:rsid w:val="003B38F1"/>
    <w:rsid w:val="003B3DD4"/>
    <w:rsid w:val="003B6A9D"/>
    <w:rsid w:val="003C0538"/>
    <w:rsid w:val="003C0835"/>
    <w:rsid w:val="003C0CD8"/>
    <w:rsid w:val="003C49D6"/>
    <w:rsid w:val="003D002D"/>
    <w:rsid w:val="003D0754"/>
    <w:rsid w:val="003F3CC8"/>
    <w:rsid w:val="003F66C2"/>
    <w:rsid w:val="003F7CE8"/>
    <w:rsid w:val="004041CE"/>
    <w:rsid w:val="0040778F"/>
    <w:rsid w:val="0041558F"/>
    <w:rsid w:val="00416CE7"/>
    <w:rsid w:val="004204BB"/>
    <w:rsid w:val="0042060D"/>
    <w:rsid w:val="00420D92"/>
    <w:rsid w:val="004302BF"/>
    <w:rsid w:val="004308D7"/>
    <w:rsid w:val="00431689"/>
    <w:rsid w:val="00437943"/>
    <w:rsid w:val="0044308F"/>
    <w:rsid w:val="0044703B"/>
    <w:rsid w:val="00450A1F"/>
    <w:rsid w:val="0045589A"/>
    <w:rsid w:val="004558D1"/>
    <w:rsid w:val="00457A19"/>
    <w:rsid w:val="00460121"/>
    <w:rsid w:val="00461FBD"/>
    <w:rsid w:val="00467861"/>
    <w:rsid w:val="0047331F"/>
    <w:rsid w:val="00473A6A"/>
    <w:rsid w:val="00475335"/>
    <w:rsid w:val="00477598"/>
    <w:rsid w:val="004805B8"/>
    <w:rsid w:val="00480FEA"/>
    <w:rsid w:val="004838E7"/>
    <w:rsid w:val="00487E32"/>
    <w:rsid w:val="00490AAB"/>
    <w:rsid w:val="004A2087"/>
    <w:rsid w:val="004A2EA2"/>
    <w:rsid w:val="004A451E"/>
    <w:rsid w:val="004B2123"/>
    <w:rsid w:val="004B3A7C"/>
    <w:rsid w:val="004B6B78"/>
    <w:rsid w:val="004C191E"/>
    <w:rsid w:val="004D1CAA"/>
    <w:rsid w:val="004D498F"/>
    <w:rsid w:val="004D55BA"/>
    <w:rsid w:val="004E3064"/>
    <w:rsid w:val="004E7A5E"/>
    <w:rsid w:val="004F3954"/>
    <w:rsid w:val="004F643D"/>
    <w:rsid w:val="004F77EA"/>
    <w:rsid w:val="005035F7"/>
    <w:rsid w:val="0050427F"/>
    <w:rsid w:val="005107A4"/>
    <w:rsid w:val="005151C4"/>
    <w:rsid w:val="00517C9B"/>
    <w:rsid w:val="005219ED"/>
    <w:rsid w:val="00525C26"/>
    <w:rsid w:val="00526EC4"/>
    <w:rsid w:val="0053007F"/>
    <w:rsid w:val="005414FD"/>
    <w:rsid w:val="00542301"/>
    <w:rsid w:val="00544ADD"/>
    <w:rsid w:val="0055620B"/>
    <w:rsid w:val="00557B3B"/>
    <w:rsid w:val="00564DB2"/>
    <w:rsid w:val="005733EB"/>
    <w:rsid w:val="00573B4F"/>
    <w:rsid w:val="00574BF4"/>
    <w:rsid w:val="0058088A"/>
    <w:rsid w:val="00585BF1"/>
    <w:rsid w:val="005874D3"/>
    <w:rsid w:val="00594FEE"/>
    <w:rsid w:val="00597C13"/>
    <w:rsid w:val="005A14A4"/>
    <w:rsid w:val="005B0651"/>
    <w:rsid w:val="005B201D"/>
    <w:rsid w:val="005B4D50"/>
    <w:rsid w:val="005B5976"/>
    <w:rsid w:val="005B7C1F"/>
    <w:rsid w:val="005C3D98"/>
    <w:rsid w:val="005E1C1B"/>
    <w:rsid w:val="005E50F1"/>
    <w:rsid w:val="005F4AAF"/>
    <w:rsid w:val="005F69CD"/>
    <w:rsid w:val="006002BC"/>
    <w:rsid w:val="006004A4"/>
    <w:rsid w:val="00601482"/>
    <w:rsid w:val="00601557"/>
    <w:rsid w:val="006054E7"/>
    <w:rsid w:val="00606E07"/>
    <w:rsid w:val="0060774F"/>
    <w:rsid w:val="00620A1D"/>
    <w:rsid w:val="00622C8D"/>
    <w:rsid w:val="0062301B"/>
    <w:rsid w:val="00627C77"/>
    <w:rsid w:val="006301EC"/>
    <w:rsid w:val="00630FBE"/>
    <w:rsid w:val="00633AB9"/>
    <w:rsid w:val="00640746"/>
    <w:rsid w:val="00642DC5"/>
    <w:rsid w:val="00646183"/>
    <w:rsid w:val="00646421"/>
    <w:rsid w:val="00646635"/>
    <w:rsid w:val="00654C45"/>
    <w:rsid w:val="00656B46"/>
    <w:rsid w:val="00657723"/>
    <w:rsid w:val="00662B52"/>
    <w:rsid w:val="00666716"/>
    <w:rsid w:val="00666B5B"/>
    <w:rsid w:val="00674D6A"/>
    <w:rsid w:val="0067790D"/>
    <w:rsid w:val="006802F0"/>
    <w:rsid w:val="00687016"/>
    <w:rsid w:val="00690103"/>
    <w:rsid w:val="006A2320"/>
    <w:rsid w:val="006A66EE"/>
    <w:rsid w:val="006C2453"/>
    <w:rsid w:val="006D364F"/>
    <w:rsid w:val="006D566D"/>
    <w:rsid w:val="006E1F36"/>
    <w:rsid w:val="006E6DD9"/>
    <w:rsid w:val="006F612C"/>
    <w:rsid w:val="007017C7"/>
    <w:rsid w:val="0070231E"/>
    <w:rsid w:val="00703D66"/>
    <w:rsid w:val="00706E31"/>
    <w:rsid w:val="00722BF3"/>
    <w:rsid w:val="00725027"/>
    <w:rsid w:val="007250E5"/>
    <w:rsid w:val="00725339"/>
    <w:rsid w:val="00727C75"/>
    <w:rsid w:val="0073045F"/>
    <w:rsid w:val="00730A9F"/>
    <w:rsid w:val="007340F0"/>
    <w:rsid w:val="0073583C"/>
    <w:rsid w:val="007358E0"/>
    <w:rsid w:val="00742B13"/>
    <w:rsid w:val="0074301E"/>
    <w:rsid w:val="00746E27"/>
    <w:rsid w:val="007476C5"/>
    <w:rsid w:val="0075184E"/>
    <w:rsid w:val="00751C25"/>
    <w:rsid w:val="0075245B"/>
    <w:rsid w:val="00755A9B"/>
    <w:rsid w:val="00757DBC"/>
    <w:rsid w:val="00760FCC"/>
    <w:rsid w:val="0076305A"/>
    <w:rsid w:val="0076744D"/>
    <w:rsid w:val="0076759C"/>
    <w:rsid w:val="0078004C"/>
    <w:rsid w:val="00783FD2"/>
    <w:rsid w:val="00793527"/>
    <w:rsid w:val="007B1512"/>
    <w:rsid w:val="007C0315"/>
    <w:rsid w:val="007C07B0"/>
    <w:rsid w:val="007C0A36"/>
    <w:rsid w:val="007C4C2E"/>
    <w:rsid w:val="007D0A9E"/>
    <w:rsid w:val="007D7483"/>
    <w:rsid w:val="007E1970"/>
    <w:rsid w:val="007E47E1"/>
    <w:rsid w:val="007F2A5E"/>
    <w:rsid w:val="008016AF"/>
    <w:rsid w:val="00803FC8"/>
    <w:rsid w:val="008056E6"/>
    <w:rsid w:val="008058B1"/>
    <w:rsid w:val="00805DE1"/>
    <w:rsid w:val="00806692"/>
    <w:rsid w:val="008067B5"/>
    <w:rsid w:val="0080743D"/>
    <w:rsid w:val="00812043"/>
    <w:rsid w:val="00814736"/>
    <w:rsid w:val="0081573E"/>
    <w:rsid w:val="00816560"/>
    <w:rsid w:val="008171C2"/>
    <w:rsid w:val="00817C1C"/>
    <w:rsid w:val="00820DE3"/>
    <w:rsid w:val="00827428"/>
    <w:rsid w:val="00827C8B"/>
    <w:rsid w:val="0083125A"/>
    <w:rsid w:val="0083604D"/>
    <w:rsid w:val="00841CCD"/>
    <w:rsid w:val="0084347C"/>
    <w:rsid w:val="00847043"/>
    <w:rsid w:val="00855E9B"/>
    <w:rsid w:val="00871E5C"/>
    <w:rsid w:val="008740B7"/>
    <w:rsid w:val="008746A2"/>
    <w:rsid w:val="0087697C"/>
    <w:rsid w:val="00877448"/>
    <w:rsid w:val="00881E67"/>
    <w:rsid w:val="00882B8D"/>
    <w:rsid w:val="008852D8"/>
    <w:rsid w:val="00886AEF"/>
    <w:rsid w:val="00893D32"/>
    <w:rsid w:val="008942E1"/>
    <w:rsid w:val="008A38A0"/>
    <w:rsid w:val="008A42CC"/>
    <w:rsid w:val="008B1CE5"/>
    <w:rsid w:val="008B22AA"/>
    <w:rsid w:val="008B2EF8"/>
    <w:rsid w:val="008B5C47"/>
    <w:rsid w:val="008C25D5"/>
    <w:rsid w:val="008C5F81"/>
    <w:rsid w:val="008D6D96"/>
    <w:rsid w:val="008D7CE1"/>
    <w:rsid w:val="008D7CEE"/>
    <w:rsid w:val="008E40A8"/>
    <w:rsid w:val="008E5AAE"/>
    <w:rsid w:val="008E5D5B"/>
    <w:rsid w:val="008F2868"/>
    <w:rsid w:val="008F4C6F"/>
    <w:rsid w:val="00902C13"/>
    <w:rsid w:val="009050DE"/>
    <w:rsid w:val="00905A21"/>
    <w:rsid w:val="009118E2"/>
    <w:rsid w:val="009126FE"/>
    <w:rsid w:val="00912A21"/>
    <w:rsid w:val="0091562A"/>
    <w:rsid w:val="00916EEF"/>
    <w:rsid w:val="00917CAA"/>
    <w:rsid w:val="009232E7"/>
    <w:rsid w:val="00925243"/>
    <w:rsid w:val="00926051"/>
    <w:rsid w:val="00931265"/>
    <w:rsid w:val="00940A28"/>
    <w:rsid w:val="00943148"/>
    <w:rsid w:val="009440E4"/>
    <w:rsid w:val="00950110"/>
    <w:rsid w:val="00951B8F"/>
    <w:rsid w:val="0095372B"/>
    <w:rsid w:val="0096145B"/>
    <w:rsid w:val="00970051"/>
    <w:rsid w:val="00970E3E"/>
    <w:rsid w:val="00972636"/>
    <w:rsid w:val="00993420"/>
    <w:rsid w:val="00993A72"/>
    <w:rsid w:val="00995F88"/>
    <w:rsid w:val="00996492"/>
    <w:rsid w:val="009A00AB"/>
    <w:rsid w:val="009A02FC"/>
    <w:rsid w:val="009A3EDE"/>
    <w:rsid w:val="009A58C5"/>
    <w:rsid w:val="009B26E5"/>
    <w:rsid w:val="009C1377"/>
    <w:rsid w:val="009C304A"/>
    <w:rsid w:val="009C30F5"/>
    <w:rsid w:val="009C3C39"/>
    <w:rsid w:val="009C717B"/>
    <w:rsid w:val="009D1003"/>
    <w:rsid w:val="009D5B53"/>
    <w:rsid w:val="009D62BD"/>
    <w:rsid w:val="009D7D7B"/>
    <w:rsid w:val="009E1DDC"/>
    <w:rsid w:val="009E205A"/>
    <w:rsid w:val="009E6C93"/>
    <w:rsid w:val="009E71C1"/>
    <w:rsid w:val="009F3DA1"/>
    <w:rsid w:val="009F42F3"/>
    <w:rsid w:val="009F46A9"/>
    <w:rsid w:val="009F47DC"/>
    <w:rsid w:val="009F74E7"/>
    <w:rsid w:val="00A008B6"/>
    <w:rsid w:val="00A01730"/>
    <w:rsid w:val="00A01C97"/>
    <w:rsid w:val="00A10127"/>
    <w:rsid w:val="00A12134"/>
    <w:rsid w:val="00A14FD1"/>
    <w:rsid w:val="00A1656C"/>
    <w:rsid w:val="00A1684F"/>
    <w:rsid w:val="00A16B84"/>
    <w:rsid w:val="00A17DC9"/>
    <w:rsid w:val="00A27E33"/>
    <w:rsid w:val="00A35B6F"/>
    <w:rsid w:val="00A37185"/>
    <w:rsid w:val="00A41464"/>
    <w:rsid w:val="00A45E2B"/>
    <w:rsid w:val="00A47E40"/>
    <w:rsid w:val="00A51186"/>
    <w:rsid w:val="00A54243"/>
    <w:rsid w:val="00A56017"/>
    <w:rsid w:val="00A56F06"/>
    <w:rsid w:val="00A573AC"/>
    <w:rsid w:val="00A57715"/>
    <w:rsid w:val="00A57ED7"/>
    <w:rsid w:val="00A618C1"/>
    <w:rsid w:val="00A7407A"/>
    <w:rsid w:val="00A74EA8"/>
    <w:rsid w:val="00A752BF"/>
    <w:rsid w:val="00A76C35"/>
    <w:rsid w:val="00A839B2"/>
    <w:rsid w:val="00A8418B"/>
    <w:rsid w:val="00A864B6"/>
    <w:rsid w:val="00A87485"/>
    <w:rsid w:val="00A93170"/>
    <w:rsid w:val="00AA0796"/>
    <w:rsid w:val="00AA2D91"/>
    <w:rsid w:val="00AA4F99"/>
    <w:rsid w:val="00AB0C41"/>
    <w:rsid w:val="00AB0F1D"/>
    <w:rsid w:val="00AB1B2E"/>
    <w:rsid w:val="00AB2C4C"/>
    <w:rsid w:val="00AB76DF"/>
    <w:rsid w:val="00AC1823"/>
    <w:rsid w:val="00AC3F77"/>
    <w:rsid w:val="00AC4340"/>
    <w:rsid w:val="00AE3751"/>
    <w:rsid w:val="00AE478F"/>
    <w:rsid w:val="00AE5F6D"/>
    <w:rsid w:val="00AE61AD"/>
    <w:rsid w:val="00AF1B80"/>
    <w:rsid w:val="00B0487B"/>
    <w:rsid w:val="00B12105"/>
    <w:rsid w:val="00B16194"/>
    <w:rsid w:val="00B21190"/>
    <w:rsid w:val="00B235E2"/>
    <w:rsid w:val="00B26EBF"/>
    <w:rsid w:val="00B319C6"/>
    <w:rsid w:val="00B32668"/>
    <w:rsid w:val="00B35972"/>
    <w:rsid w:val="00B42E2D"/>
    <w:rsid w:val="00B453B2"/>
    <w:rsid w:val="00B468C8"/>
    <w:rsid w:val="00B47551"/>
    <w:rsid w:val="00B506F8"/>
    <w:rsid w:val="00B52B1E"/>
    <w:rsid w:val="00B52E68"/>
    <w:rsid w:val="00B53702"/>
    <w:rsid w:val="00B57B32"/>
    <w:rsid w:val="00B61E37"/>
    <w:rsid w:val="00B66344"/>
    <w:rsid w:val="00B72016"/>
    <w:rsid w:val="00B727AB"/>
    <w:rsid w:val="00B73FCF"/>
    <w:rsid w:val="00B75105"/>
    <w:rsid w:val="00B75B02"/>
    <w:rsid w:val="00B843EC"/>
    <w:rsid w:val="00B9730E"/>
    <w:rsid w:val="00BA06F7"/>
    <w:rsid w:val="00BB0886"/>
    <w:rsid w:val="00BB0BEB"/>
    <w:rsid w:val="00BB1A6E"/>
    <w:rsid w:val="00BB2EF0"/>
    <w:rsid w:val="00BB4154"/>
    <w:rsid w:val="00BB7570"/>
    <w:rsid w:val="00BB778C"/>
    <w:rsid w:val="00BB796F"/>
    <w:rsid w:val="00BC73E3"/>
    <w:rsid w:val="00BD28E3"/>
    <w:rsid w:val="00BD34CA"/>
    <w:rsid w:val="00BD6588"/>
    <w:rsid w:val="00BE3B14"/>
    <w:rsid w:val="00BE7AC1"/>
    <w:rsid w:val="00BF1FC0"/>
    <w:rsid w:val="00BF390A"/>
    <w:rsid w:val="00C00060"/>
    <w:rsid w:val="00C0064B"/>
    <w:rsid w:val="00C06C9A"/>
    <w:rsid w:val="00C07D77"/>
    <w:rsid w:val="00C156B4"/>
    <w:rsid w:val="00C20508"/>
    <w:rsid w:val="00C26FE0"/>
    <w:rsid w:val="00C31533"/>
    <w:rsid w:val="00C31842"/>
    <w:rsid w:val="00C34327"/>
    <w:rsid w:val="00C42C80"/>
    <w:rsid w:val="00C44875"/>
    <w:rsid w:val="00C526F3"/>
    <w:rsid w:val="00C531E1"/>
    <w:rsid w:val="00C557D7"/>
    <w:rsid w:val="00C57CB5"/>
    <w:rsid w:val="00C61705"/>
    <w:rsid w:val="00C6304A"/>
    <w:rsid w:val="00C6788F"/>
    <w:rsid w:val="00C77741"/>
    <w:rsid w:val="00C812E3"/>
    <w:rsid w:val="00C81700"/>
    <w:rsid w:val="00C82261"/>
    <w:rsid w:val="00C848BA"/>
    <w:rsid w:val="00C87CEB"/>
    <w:rsid w:val="00C90E54"/>
    <w:rsid w:val="00C92FAC"/>
    <w:rsid w:val="00C93295"/>
    <w:rsid w:val="00C94A1D"/>
    <w:rsid w:val="00C94B65"/>
    <w:rsid w:val="00CA261F"/>
    <w:rsid w:val="00CA2B5E"/>
    <w:rsid w:val="00CA3D77"/>
    <w:rsid w:val="00CB1908"/>
    <w:rsid w:val="00CB298F"/>
    <w:rsid w:val="00CB4146"/>
    <w:rsid w:val="00CB5255"/>
    <w:rsid w:val="00CB7DC4"/>
    <w:rsid w:val="00CC279E"/>
    <w:rsid w:val="00CC416B"/>
    <w:rsid w:val="00CC5DBE"/>
    <w:rsid w:val="00CC6F3C"/>
    <w:rsid w:val="00CD0423"/>
    <w:rsid w:val="00CD51C8"/>
    <w:rsid w:val="00CE02B6"/>
    <w:rsid w:val="00CE14AE"/>
    <w:rsid w:val="00CE4919"/>
    <w:rsid w:val="00CE7764"/>
    <w:rsid w:val="00CF70A0"/>
    <w:rsid w:val="00CF74A7"/>
    <w:rsid w:val="00D0788F"/>
    <w:rsid w:val="00D10308"/>
    <w:rsid w:val="00D106BD"/>
    <w:rsid w:val="00D10F02"/>
    <w:rsid w:val="00D20C1D"/>
    <w:rsid w:val="00D21C12"/>
    <w:rsid w:val="00D25134"/>
    <w:rsid w:val="00D27E5B"/>
    <w:rsid w:val="00D34057"/>
    <w:rsid w:val="00D35EAB"/>
    <w:rsid w:val="00D36682"/>
    <w:rsid w:val="00D42D55"/>
    <w:rsid w:val="00D52625"/>
    <w:rsid w:val="00D536F1"/>
    <w:rsid w:val="00D53DDC"/>
    <w:rsid w:val="00D623CE"/>
    <w:rsid w:val="00D64AF1"/>
    <w:rsid w:val="00D67A0D"/>
    <w:rsid w:val="00D67BEC"/>
    <w:rsid w:val="00D74B7C"/>
    <w:rsid w:val="00D800F2"/>
    <w:rsid w:val="00D93767"/>
    <w:rsid w:val="00D95458"/>
    <w:rsid w:val="00D96EF8"/>
    <w:rsid w:val="00DA323F"/>
    <w:rsid w:val="00DA43AD"/>
    <w:rsid w:val="00DC1136"/>
    <w:rsid w:val="00DC357D"/>
    <w:rsid w:val="00DD13E2"/>
    <w:rsid w:val="00DD3491"/>
    <w:rsid w:val="00DD6010"/>
    <w:rsid w:val="00DD67F5"/>
    <w:rsid w:val="00DD7C88"/>
    <w:rsid w:val="00DE2F9E"/>
    <w:rsid w:val="00E017CE"/>
    <w:rsid w:val="00E01F39"/>
    <w:rsid w:val="00E024BE"/>
    <w:rsid w:val="00E02FE0"/>
    <w:rsid w:val="00E11A51"/>
    <w:rsid w:val="00E127E6"/>
    <w:rsid w:val="00E131A8"/>
    <w:rsid w:val="00E13557"/>
    <w:rsid w:val="00E1740E"/>
    <w:rsid w:val="00E213F7"/>
    <w:rsid w:val="00E2233C"/>
    <w:rsid w:val="00E2616D"/>
    <w:rsid w:val="00E26437"/>
    <w:rsid w:val="00E27B09"/>
    <w:rsid w:val="00E31501"/>
    <w:rsid w:val="00E3262B"/>
    <w:rsid w:val="00E354EB"/>
    <w:rsid w:val="00E36016"/>
    <w:rsid w:val="00E41748"/>
    <w:rsid w:val="00E43997"/>
    <w:rsid w:val="00E44452"/>
    <w:rsid w:val="00E45777"/>
    <w:rsid w:val="00E53540"/>
    <w:rsid w:val="00E53C06"/>
    <w:rsid w:val="00E54F06"/>
    <w:rsid w:val="00E746BE"/>
    <w:rsid w:val="00E82F11"/>
    <w:rsid w:val="00E91313"/>
    <w:rsid w:val="00E91EE4"/>
    <w:rsid w:val="00E9595C"/>
    <w:rsid w:val="00EA16D9"/>
    <w:rsid w:val="00EA3297"/>
    <w:rsid w:val="00EA3EE4"/>
    <w:rsid w:val="00EA53C7"/>
    <w:rsid w:val="00EA6CEA"/>
    <w:rsid w:val="00EB1226"/>
    <w:rsid w:val="00EB231C"/>
    <w:rsid w:val="00EB5A3A"/>
    <w:rsid w:val="00EC13EF"/>
    <w:rsid w:val="00EC2430"/>
    <w:rsid w:val="00EC61B4"/>
    <w:rsid w:val="00ED224E"/>
    <w:rsid w:val="00ED27AB"/>
    <w:rsid w:val="00ED33BB"/>
    <w:rsid w:val="00ED5CA3"/>
    <w:rsid w:val="00ED660D"/>
    <w:rsid w:val="00ED6C96"/>
    <w:rsid w:val="00ED72E2"/>
    <w:rsid w:val="00EE5D6D"/>
    <w:rsid w:val="00EF3C28"/>
    <w:rsid w:val="00EF6999"/>
    <w:rsid w:val="00EF738F"/>
    <w:rsid w:val="00EF75F7"/>
    <w:rsid w:val="00F06299"/>
    <w:rsid w:val="00F11AD3"/>
    <w:rsid w:val="00F16EF8"/>
    <w:rsid w:val="00F20A68"/>
    <w:rsid w:val="00F21527"/>
    <w:rsid w:val="00F21E11"/>
    <w:rsid w:val="00F23C36"/>
    <w:rsid w:val="00F3632E"/>
    <w:rsid w:val="00F36BA8"/>
    <w:rsid w:val="00F41928"/>
    <w:rsid w:val="00F457C8"/>
    <w:rsid w:val="00F46230"/>
    <w:rsid w:val="00F50059"/>
    <w:rsid w:val="00F57746"/>
    <w:rsid w:val="00F60ECB"/>
    <w:rsid w:val="00F735E8"/>
    <w:rsid w:val="00F75B1E"/>
    <w:rsid w:val="00F912B7"/>
    <w:rsid w:val="00F91528"/>
    <w:rsid w:val="00F96E94"/>
    <w:rsid w:val="00FA0539"/>
    <w:rsid w:val="00FA4896"/>
    <w:rsid w:val="00FA751D"/>
    <w:rsid w:val="00FB3270"/>
    <w:rsid w:val="00FB40BC"/>
    <w:rsid w:val="00FC28CC"/>
    <w:rsid w:val="00FC3BBC"/>
    <w:rsid w:val="00FD1200"/>
    <w:rsid w:val="00FD7CA5"/>
    <w:rsid w:val="00FE23C7"/>
    <w:rsid w:val="00FE343A"/>
    <w:rsid w:val="00FE459F"/>
    <w:rsid w:val="00FE5B53"/>
    <w:rsid w:val="00FF14FE"/>
    <w:rsid w:val="00FF39C1"/>
    <w:rsid w:val="00FF6924"/>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25A"/>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62E23"/>
    <w:rPr>
      <w:rFonts w:ascii="Segoe UI" w:eastAsiaTheme="minorHAnsi" w:hAnsi="Segoe UI" w:cs="Segoe UI"/>
      <w:sz w:val="18"/>
      <w:szCs w:val="18"/>
      <w:lang w:val="es-MX" w:eastAsia="en-US"/>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161816341">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235895814">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666516215">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0536395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1862475770">
      <w:bodyDiv w:val="1"/>
      <w:marLeft w:val="0"/>
      <w:marRight w:val="0"/>
      <w:marTop w:val="0"/>
      <w:marBottom w:val="0"/>
      <w:divBdr>
        <w:top w:val="none" w:sz="0" w:space="0" w:color="auto"/>
        <w:left w:val="none" w:sz="0" w:space="0" w:color="auto"/>
        <w:bottom w:val="none" w:sz="0" w:space="0" w:color="auto"/>
        <w:right w:val="none" w:sz="0" w:space="0" w:color="auto"/>
      </w:divBdr>
    </w:div>
    <w:div w:id="2079282641">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6D213-0562-4196-AB58-9E1291FDF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51</Pages>
  <Words>12874</Words>
  <Characters>70809</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19</cp:revision>
  <cp:lastPrinted>2018-04-05T14:31:00Z</cp:lastPrinted>
  <dcterms:created xsi:type="dcterms:W3CDTF">2022-10-27T21:25:00Z</dcterms:created>
  <dcterms:modified xsi:type="dcterms:W3CDTF">2022-12-01T23:11:00Z</dcterms:modified>
</cp:coreProperties>
</file>