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20C74"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del dos mil veintidós</w:t>
      </w:r>
      <w:r>
        <w:rPr>
          <w:rFonts w:ascii="Palatino Linotype" w:eastAsia="Palatino Linotype" w:hAnsi="Palatino Linotype" w:cs="Palatino Linotype"/>
        </w:rPr>
        <w:t>.</w:t>
      </w:r>
    </w:p>
    <w:p w14:paraId="5534A012" w14:textId="74518EFD"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02379/INFOEM/IP/RR/2022</w:t>
      </w:r>
      <w:r>
        <w:rPr>
          <w:rFonts w:ascii="Palatino Linotype" w:eastAsia="Palatino Linotype" w:hAnsi="Palatino Linotype" w:cs="Palatino Linotype"/>
        </w:rPr>
        <w:t xml:space="preserve">, interpuesto por </w:t>
      </w:r>
      <w:r w:rsidR="00850E24">
        <w:rPr>
          <w:rFonts w:ascii="Palatino Linotype" w:eastAsia="Palatino Linotype" w:hAnsi="Palatino Linotype" w:cs="Palatino Linotype"/>
          <w:b/>
        </w:rPr>
        <w:t>XXXXX</w:t>
      </w:r>
      <w:bookmarkStart w:id="0" w:name="_GoBack"/>
      <w:bookmarkEnd w:id="0"/>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Chalco,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EEDBBE3" w14:textId="77777777" w:rsidR="005150DC" w:rsidRDefault="00EC0912">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614DDC23"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veinte de enero de dos mil veintidós, </w:t>
      </w:r>
      <w:r>
        <w:rPr>
          <w:rFonts w:ascii="Palatino Linotype" w:eastAsia="Palatino Linotype" w:hAnsi="Palatino Linotype" w:cs="Palatino Linotype"/>
        </w:rPr>
        <w:t xml:space="preserve">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00043/CHALCO/IP/2022, </w:t>
      </w:r>
      <w:r>
        <w:rPr>
          <w:rFonts w:ascii="Palatino Linotype" w:eastAsia="Palatino Linotype" w:hAnsi="Palatino Linotype" w:cs="Palatino Linotype"/>
        </w:rPr>
        <w:t xml:space="preserve">mediante la cual requirió la información siguiente: </w:t>
      </w:r>
    </w:p>
    <w:p w14:paraId="03032168" w14:textId="77777777" w:rsidR="005150DC" w:rsidRDefault="00EC0912">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w:t>
      </w:r>
      <w:r>
        <w:rPr>
          <w:rFonts w:ascii="Palatino Linotype" w:eastAsia="Palatino Linotype" w:hAnsi="Palatino Linotype" w:cs="Palatino Linotype"/>
          <w:b/>
          <w:i/>
          <w:sz w:val="22"/>
          <w:szCs w:val="22"/>
        </w:rPr>
        <w:t>los ingresos que recibió el municipio en el mes de agosto de 2019</w:t>
      </w:r>
      <w:r>
        <w:rPr>
          <w:rFonts w:ascii="Palatino Linotype" w:eastAsia="Palatino Linotype" w:hAnsi="Palatino Linotype" w:cs="Palatino Linotype"/>
          <w:i/>
          <w:sz w:val="22"/>
          <w:szCs w:val="22"/>
        </w:rPr>
        <w:t>” (Sic) (Énfasis añadido)</w:t>
      </w:r>
    </w:p>
    <w:p w14:paraId="2A253B78"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14:paraId="71673645"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114300" distB="114300" distL="114300" distR="114300" wp14:anchorId="6C57687A" wp14:editId="70500C8C">
            <wp:extent cx="5581015" cy="1219200"/>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81015" cy="1219200"/>
                    </a:xfrm>
                    <a:prstGeom prst="rect">
                      <a:avLst/>
                    </a:prstGeom>
                    <a:ln/>
                  </pic:spPr>
                </pic:pic>
              </a:graphicData>
            </a:graphic>
          </wp:inline>
        </w:drawing>
      </w:r>
    </w:p>
    <w:p w14:paraId="1F99F772" w14:textId="77777777" w:rsidR="005150DC" w:rsidRDefault="00EC0912">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14:paraId="70B685FC" w14:textId="77777777" w:rsidR="005150DC" w:rsidRDefault="00EC091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3F0FE1" w14:textId="77777777" w:rsidR="005150DC" w:rsidRDefault="00EC091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w:t>
      </w:r>
      <w:r>
        <w:rPr>
          <w:rFonts w:ascii="Palatino Linotype" w:eastAsia="Palatino Linotype" w:hAnsi="Palatino Linotype" w:cs="Palatino Linotype"/>
          <w:b/>
          <w:i/>
          <w:sz w:val="22"/>
          <w:szCs w:val="22"/>
        </w:rPr>
        <w:t xml:space="preserve">se le hace de su conocimiento y notificación de la respuesta emitida por el servidor público habilitado la Titular de la Tesorería Municipal en los siguientes términos: Relativo a la solicitud de información con número de folio 00043/CHALCO/IP/2022, al respecto, detallo lo solicitado en el oficio número TM/079/2022, mismo que adjunto a la presente contestación. Considerando que requirió la respuesta a su solicitud de información pública mediante el Sistema de Acceso a la </w:t>
      </w:r>
      <w:r>
        <w:rPr>
          <w:rFonts w:ascii="Palatino Linotype" w:eastAsia="Palatino Linotype" w:hAnsi="Palatino Linotype" w:cs="Palatino Linotype"/>
          <w:b/>
          <w:i/>
          <w:sz w:val="22"/>
          <w:szCs w:val="22"/>
        </w:rPr>
        <w:lastRenderedPageBreak/>
        <w:t xml:space="preserve">Información Mexiquense (SAIMEX); se le notifica por dicha vía la respuesta anterior. </w:t>
      </w:r>
      <w:r>
        <w:rPr>
          <w:rFonts w:ascii="Palatino Linotype" w:eastAsia="Palatino Linotype" w:hAnsi="Palatino Linotype" w:cs="Palatino Linotype"/>
          <w:i/>
          <w:sz w:val="22"/>
          <w:szCs w:val="22"/>
        </w:rPr>
        <w:t>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7F5103F9" w14:textId="77777777" w:rsidR="005150DC" w:rsidRDefault="00EC091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62127478" w14:textId="77777777" w:rsidR="005150DC" w:rsidRDefault="00EC091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P. JESÚS CLISERIO HERNÁNDEZ MORENO” (Sic) (Énfasis añadido)</w:t>
      </w:r>
    </w:p>
    <w:p w14:paraId="790B1A19" w14:textId="77777777" w:rsidR="005150DC" w:rsidRDefault="00EC0912">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b/>
          <w:i/>
        </w:rPr>
        <w:t>“00043-CHALCO-IP-2022.pdf”:</w:t>
      </w:r>
      <w:r>
        <w:rPr>
          <w:rFonts w:ascii="Palatino Linotype" w:eastAsia="Palatino Linotype" w:hAnsi="Palatino Linotype" w:cs="Palatino Linotype"/>
        </w:rPr>
        <w:t xml:space="preserve"> Documento de una foja, consistente en un oficio signado por la Tesorera Municipal, mediante el cual remite su respuesta a la solicitud de información, medularmente en los términos siguientes:</w:t>
      </w:r>
    </w:p>
    <w:p w14:paraId="39F5309C" w14:textId="77777777" w:rsidR="005150DC" w:rsidRDefault="00EC0912">
      <w:pPr>
        <w:spacing w:before="240" w:after="240" w:line="360" w:lineRule="auto"/>
        <w:ind w:left="567" w:right="900"/>
        <w:jc w:val="center"/>
        <w:rPr>
          <w:rFonts w:ascii="Palatino Linotype" w:eastAsia="Palatino Linotype" w:hAnsi="Palatino Linotype" w:cs="Palatino Linotype"/>
          <w:color w:val="000000"/>
        </w:rPr>
      </w:pPr>
      <w:r>
        <w:object w:dxaOrig="7290" w:dyaOrig="8715" w14:anchorId="49FE5D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437.25pt" o:ole="">
            <v:imagedata r:id="rId9" o:title=""/>
          </v:shape>
          <o:OLEObject Type="Embed" ProgID="Paint.Picture.1" ShapeID="_x0000_i1025" DrawAspect="Content" ObjectID="_1716109199" r:id="rId10"/>
        </w:object>
      </w:r>
    </w:p>
    <w:p w14:paraId="0E56B082"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2EBE2AEB" w14:textId="77777777" w:rsidR="005150DC" w:rsidRDefault="00EC0912">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50813BFB" w14:textId="77777777" w:rsidR="005150DC" w:rsidRDefault="005150DC">
      <w:pPr>
        <w:ind w:right="567"/>
        <w:jc w:val="both"/>
        <w:rPr>
          <w:rFonts w:ascii="Palatino Linotype" w:eastAsia="Palatino Linotype" w:hAnsi="Palatino Linotype" w:cs="Palatino Linotype"/>
          <w:i/>
          <w:sz w:val="22"/>
          <w:szCs w:val="22"/>
        </w:rPr>
      </w:pPr>
    </w:p>
    <w:p w14:paraId="08E6F862" w14:textId="77777777" w:rsidR="005150DC" w:rsidRDefault="00EC091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“falta información” (Sic)</w:t>
      </w:r>
    </w:p>
    <w:p w14:paraId="1FD3862B" w14:textId="77777777" w:rsidR="005150DC" w:rsidRDefault="00EC0912">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b) Razones o motivos de inconformidad</w:t>
      </w:r>
      <w:r>
        <w:rPr>
          <w:rFonts w:ascii="Palatino Linotype" w:eastAsia="Palatino Linotype" w:hAnsi="Palatino Linotype" w:cs="Palatino Linotype"/>
        </w:rPr>
        <w:t xml:space="preserve">: </w:t>
      </w:r>
    </w:p>
    <w:p w14:paraId="10CEECCD" w14:textId="77777777" w:rsidR="005150DC" w:rsidRDefault="00EC0912">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rPr>
        <w:t>El particular no expresó manifestación alguna en este rubro.</w:t>
      </w:r>
    </w:p>
    <w:p w14:paraId="6D5F2B65" w14:textId="77777777" w:rsidR="005150DC" w:rsidRDefault="005150DC">
      <w:pPr>
        <w:ind w:right="49"/>
        <w:jc w:val="both"/>
        <w:rPr>
          <w:rFonts w:ascii="Palatino Linotype" w:eastAsia="Palatino Linotype" w:hAnsi="Palatino Linotype" w:cs="Palatino Linotype"/>
          <w:i/>
          <w:sz w:val="22"/>
          <w:szCs w:val="22"/>
        </w:rPr>
      </w:pPr>
    </w:p>
    <w:p w14:paraId="7710A0FF" w14:textId="77777777" w:rsidR="005150DC" w:rsidRDefault="00EC091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3FD58A3" w14:textId="77777777" w:rsidR="005150DC" w:rsidRDefault="005150DC">
      <w:pPr>
        <w:widowControl w:val="0"/>
        <w:spacing w:line="360" w:lineRule="auto"/>
        <w:ind w:right="49"/>
        <w:jc w:val="both"/>
        <w:rPr>
          <w:rFonts w:ascii="Palatino Linotype" w:eastAsia="Palatino Linotype" w:hAnsi="Palatino Linotype" w:cs="Palatino Linotype"/>
        </w:rPr>
      </w:pPr>
    </w:p>
    <w:p w14:paraId="393E44C0" w14:textId="77777777" w:rsidR="005150DC" w:rsidRDefault="00EC091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24E043EE" w14:textId="77777777" w:rsidR="005150DC" w:rsidRDefault="005150DC">
      <w:pPr>
        <w:widowControl w:val="0"/>
        <w:spacing w:line="360" w:lineRule="auto"/>
        <w:ind w:right="49"/>
        <w:jc w:val="both"/>
        <w:rPr>
          <w:rFonts w:ascii="Palatino Linotype" w:eastAsia="Palatino Linotype" w:hAnsi="Palatino Linotype" w:cs="Palatino Linotype"/>
        </w:rPr>
      </w:pPr>
    </w:p>
    <w:p w14:paraId="4A9AD48E" w14:textId="77777777" w:rsidR="005150DC" w:rsidRDefault="00EC091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cabe señalar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emitir pronunciamientos, ofrecer pruebas o alegatos, por lo que se tiene por precluido su derecho para tal efecto.</w:t>
      </w:r>
    </w:p>
    <w:p w14:paraId="30D93649" w14:textId="77777777" w:rsidR="005150DC" w:rsidRDefault="00EC0912">
      <w:pPr>
        <w:widowControl w:val="0"/>
        <w:spacing w:line="360" w:lineRule="auto"/>
        <w:ind w:right="49"/>
        <w:jc w:val="both"/>
        <w:rPr>
          <w:rFonts w:ascii="Palatino Linotype" w:eastAsia="Palatino Linotype" w:hAnsi="Palatino Linotype" w:cs="Palatino Linotype"/>
        </w:rPr>
      </w:pPr>
      <w:r>
        <w:object w:dxaOrig="8790" w:dyaOrig="2355" w14:anchorId="3E5047B2">
          <v:shape id="_x0000_i1026" type="#_x0000_t75" style="width:439.5pt;height:117.75pt" o:ole="">
            <v:imagedata r:id="rId11" o:title=""/>
          </v:shape>
          <o:OLEObject Type="Embed" ProgID="Paint.Picture.1" ShapeID="_x0000_i1026" DrawAspect="Content" ObjectID="_1716109200" r:id="rId12"/>
        </w:object>
      </w:r>
    </w:p>
    <w:p w14:paraId="18045B2D"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A2A79DA"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diecisiete</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4A919C5A"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2801C9" w14:textId="77777777" w:rsidR="00AB0B26" w:rsidRDefault="00AB0B26">
      <w:pPr>
        <w:spacing w:before="240" w:after="240" w:line="360" w:lineRule="auto"/>
        <w:jc w:val="both"/>
        <w:rPr>
          <w:rFonts w:ascii="Palatino Linotype" w:eastAsia="Palatino Linotype" w:hAnsi="Palatino Linotype" w:cs="Palatino Linotype"/>
        </w:rPr>
      </w:pPr>
    </w:p>
    <w:p w14:paraId="4CD954BC" w14:textId="77777777" w:rsidR="005150DC" w:rsidRDefault="00EC0912">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CONSIDERANDO</w:t>
      </w:r>
    </w:p>
    <w:p w14:paraId="48948C89" w14:textId="77777777" w:rsidR="005150DC" w:rsidRDefault="00EC0912">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5E02E41"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de información el día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mientras que la parte solicitante presentó su recurso de revisión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primer día hábil</w:t>
      </w:r>
      <w:r>
        <w:rPr>
          <w:rFonts w:ascii="Palatino Linotype" w:eastAsia="Palatino Linotype" w:hAnsi="Palatino Linotype" w:cs="Palatino Linotype"/>
        </w:rPr>
        <w:t xml:space="preserve"> siguiente en que tuvo conocimiento de la respuesta impugnada, de tal forma, se considera que </w:t>
      </w:r>
      <w:r>
        <w:rPr>
          <w:rFonts w:ascii="Palatino Linotype" w:eastAsia="Palatino Linotype" w:hAnsi="Palatino Linotype" w:cs="Palatino Linotype"/>
        </w:rPr>
        <w:lastRenderedPageBreak/>
        <w:t>la interposición del presente medio de impugnación se encuentra dentro de los márgenes temporales previstos en el citado precepto legal.</w:t>
      </w:r>
    </w:p>
    <w:p w14:paraId="045B15DC" w14:textId="77777777" w:rsidR="005150DC" w:rsidRDefault="00EC091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w:t>
      </w:r>
      <w:r>
        <w:rPr>
          <w:rFonts w:ascii="Palatino Linotype" w:eastAsia="Palatino Linotype" w:hAnsi="Palatino Linotype" w:cs="Palatino Linotype"/>
        </w:rPr>
        <w:t xml:space="preserve">completo </w:t>
      </w:r>
      <w:r>
        <w:rPr>
          <w:rFonts w:ascii="Palatino Linotype" w:eastAsia="Palatino Linotype" w:hAnsi="Palatino Linotype" w:cs="Palatino Linotype"/>
          <w:color w:val="000000"/>
        </w:rPr>
        <w:t>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624CC6" w14:textId="77777777" w:rsidR="005150DC" w:rsidRDefault="00EC091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7281615"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7E3E869" w14:textId="77777777" w:rsidR="005150DC" w:rsidRDefault="00EC0912">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Recurrente en sus motivos de inconformidad, de acuerdo al artículo 179, fracción V del ordenamiento legal citado, que a la letra dice: </w:t>
      </w:r>
    </w:p>
    <w:p w14:paraId="7D57FA9A" w14:textId="77777777" w:rsidR="005150DC" w:rsidRDefault="00EC091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335ECE4" w14:textId="77777777" w:rsidR="005150DC" w:rsidRDefault="00EC0912">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CDC5EA" w14:textId="77777777" w:rsidR="005150DC" w:rsidRDefault="00EC0912">
      <w:pPr>
        <w:spacing w:before="240" w:after="240"/>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rPr>
        <w:t>V. La entrega de información incompleta;</w:t>
      </w:r>
    </w:p>
    <w:p w14:paraId="0F2E68BE" w14:textId="77777777" w:rsidR="005150DC" w:rsidRDefault="00EC0912">
      <w:pPr>
        <w:spacing w:before="240" w:after="240"/>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0275067C" w14:textId="77777777" w:rsidR="005150DC" w:rsidRDefault="00EC0912">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5E868522"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69AE4B22" w14:textId="77777777" w:rsidR="005150DC" w:rsidRDefault="00EC09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E8549C4" w14:textId="77777777" w:rsidR="005150DC" w:rsidRDefault="00EC09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w:t>
      </w:r>
      <w:r>
        <w:rPr>
          <w:rFonts w:ascii="Palatino Linotype" w:eastAsia="Palatino Linotype" w:hAnsi="Palatino Linotype" w:cs="Palatino Linotype"/>
          <w:b/>
          <w:i/>
          <w:sz w:val="22"/>
          <w:szCs w:val="22"/>
          <w:u w:val="single"/>
        </w:rPr>
        <w:lastRenderedPageBreak/>
        <w:t>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A6BCC0E" w14:textId="77777777" w:rsidR="005150DC" w:rsidRDefault="00EC0912">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480057C" w14:textId="77777777" w:rsidR="005150DC" w:rsidRDefault="00EC09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E5F3C10" w14:textId="77777777" w:rsidR="005150DC" w:rsidRDefault="00EC0912">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901FBC" w14:textId="77777777" w:rsidR="005150DC" w:rsidRDefault="00EC091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21E34AE" w14:textId="77777777" w:rsidR="005150DC" w:rsidRDefault="00EC091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D7D8B1"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A0E434"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015F79EF" w14:textId="77777777" w:rsidR="005150DC" w:rsidRDefault="00EC0912">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6D56D89"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4D804F4"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E42BDF5"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17E5E7C"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7FB85E7" w14:textId="77777777" w:rsidR="005150DC" w:rsidRDefault="00EC0912">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74CB400"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64A24FF8" w14:textId="77777777" w:rsidR="005150DC" w:rsidRDefault="00EC0912">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E2D37B" w14:textId="77777777" w:rsidR="005150DC" w:rsidRDefault="00EC0912">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D7EF39" w14:textId="77777777" w:rsidR="005150DC" w:rsidRDefault="00EC0912">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80139DF"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215E386" w14:textId="77777777" w:rsidR="005150DC" w:rsidRDefault="00EC091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C65868" w14:textId="77777777" w:rsidR="005150DC" w:rsidRDefault="00EC091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03A679F" w14:textId="77777777" w:rsidR="005150DC" w:rsidRDefault="00EC09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7BA6106E" w14:textId="77777777" w:rsidR="005150DC" w:rsidRDefault="00EC09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CD14BB7" w14:textId="77777777" w:rsidR="005150DC" w:rsidRDefault="00EC09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745279C7" w14:textId="77777777" w:rsidR="005150DC" w:rsidRDefault="00EC09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B16C061" w14:textId="77777777" w:rsidR="005150DC" w:rsidRDefault="00EC091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DF1118"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29FA6FA"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D595D1" w14:textId="77777777" w:rsidR="005150DC" w:rsidRDefault="00EC09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9E15A55" w14:textId="77777777" w:rsidR="005150DC" w:rsidRDefault="00EC09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25531578" w14:textId="77777777" w:rsidR="005150DC" w:rsidRDefault="00EC0912">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7F6B64F9"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0D9021" w14:textId="77777777" w:rsidR="005150DC" w:rsidRDefault="00EC0912">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15F1C93" w14:textId="77777777" w:rsidR="005150DC" w:rsidRDefault="00EC09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D82466" w14:textId="77777777" w:rsidR="005150DC" w:rsidRDefault="00EC0912">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6F90D3C" w14:textId="77777777" w:rsidR="005150DC" w:rsidRDefault="00EC0912">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B7D88C6" w14:textId="77777777" w:rsidR="005150DC" w:rsidRDefault="00EC0912">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administrada por los Sujetos Obligados, y</w:t>
      </w:r>
    </w:p>
    <w:p w14:paraId="69F4BC77" w14:textId="77777777" w:rsidR="005150DC" w:rsidRDefault="00EC0912">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CEF0555"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8AC817F"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7CF0A319" w14:textId="77777777" w:rsidR="005150DC" w:rsidRDefault="00EC0912">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Ingresos que recibió el municipio en el mes de agosto de 2019</w:t>
      </w:r>
    </w:p>
    <w:p w14:paraId="36ADFE9A" w14:textId="77777777" w:rsidR="005150DC" w:rsidRDefault="00EC0912">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informó por conducto de la Tesorera Municipal, lo siguiente: </w:t>
      </w:r>
    </w:p>
    <w:p w14:paraId="4C0D31FC" w14:textId="77777777" w:rsidR="005150DC" w:rsidRDefault="00C32612">
      <w:pPr>
        <w:tabs>
          <w:tab w:val="left" w:pos="7513"/>
        </w:tabs>
        <w:spacing w:line="360" w:lineRule="auto"/>
        <w:ind w:right="49"/>
        <w:jc w:val="center"/>
        <w:rPr>
          <w:rFonts w:ascii="Palatino Linotype" w:eastAsia="Palatino Linotype" w:hAnsi="Palatino Linotype" w:cs="Palatino Linotype"/>
          <w:b/>
        </w:rPr>
      </w:pPr>
      <w:r>
        <w:rPr>
          <w:noProof/>
          <w:lang w:val="es-MX"/>
        </w:rPr>
        <w:lastRenderedPageBreak/>
        <mc:AlternateContent>
          <mc:Choice Requires="wps">
            <w:drawing>
              <wp:anchor distT="0" distB="0" distL="114300" distR="114300" simplePos="0" relativeHeight="251658240" behindDoc="0" locked="0" layoutInCell="1" hidden="0" allowOverlap="1" wp14:anchorId="28DB5720" wp14:editId="01AA29D7">
                <wp:simplePos x="0" y="0"/>
                <wp:positionH relativeFrom="column">
                  <wp:posOffset>701040</wp:posOffset>
                </wp:positionH>
                <wp:positionV relativeFrom="paragraph">
                  <wp:posOffset>2022475</wp:posOffset>
                </wp:positionV>
                <wp:extent cx="4200525" cy="990600"/>
                <wp:effectExtent l="19050" t="19050" r="28575" b="19050"/>
                <wp:wrapNone/>
                <wp:docPr id="77" name="Rectángulo 77"/>
                <wp:cNvGraphicFramePr/>
                <a:graphic xmlns:a="http://schemas.openxmlformats.org/drawingml/2006/main">
                  <a:graphicData uri="http://schemas.microsoft.com/office/word/2010/wordprocessingShape">
                    <wps:wsp>
                      <wps:cNvSpPr/>
                      <wps:spPr>
                        <a:xfrm>
                          <a:off x="0" y="0"/>
                          <a:ext cx="4200525" cy="990600"/>
                        </a:xfrm>
                        <a:prstGeom prst="rect">
                          <a:avLst/>
                        </a:prstGeom>
                        <a:noFill/>
                        <a:ln w="28575" cap="flat" cmpd="sng">
                          <a:solidFill>
                            <a:srgbClr val="002060"/>
                          </a:solidFill>
                          <a:prstDash val="solid"/>
                          <a:round/>
                          <a:headEnd type="none" w="sm" len="sm"/>
                          <a:tailEnd type="none" w="sm" len="sm"/>
                        </a:ln>
                      </wps:spPr>
                      <wps:txbx>
                        <w:txbxContent>
                          <w:p w14:paraId="6B352E6B" w14:textId="77777777" w:rsidR="005150DC" w:rsidRDefault="005150D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979A41" id="Rectángulo 77" o:spid="_x0000_s1026" style="position:absolute;left:0;text-align:left;margin-left:55.2pt;margin-top:159.25pt;width:330.75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" filled="f" strokecolor="#002060" strokeweight="2.25pt">
                <v:stroke startarrowwidth="narrow" startarrowlength="short" endarrowwidth="narrow" endarrowlength="short" joinstyle="round"/>
                <v:textbox inset="2.53958mm,2.53958mm,2.53958mm,2.53958mm">
                  <w:txbxContent>
                    <w:p w:rsidR="005150DC" w:rsidRDefault="005150DC">
                      <w:pPr>
                        <w:textDirection w:val="btLr"/>
                      </w:pPr>
                    </w:p>
                  </w:txbxContent>
                </v:textbox>
              </v:rect>
            </w:pict>
          </mc:Fallback>
        </mc:AlternateContent>
      </w:r>
      <w:r w:rsidR="00EC0912">
        <w:object w:dxaOrig="7290" w:dyaOrig="8715" w14:anchorId="7813CDF5">
          <v:shape id="_x0000_i1027" type="#_x0000_t75" style="width:364.5pt;height:437.25pt" o:ole="">
            <v:imagedata r:id="rId9" o:title=""/>
          </v:shape>
          <o:OLEObject Type="Embed" ProgID="Paint.Picture.1" ShapeID="_x0000_i1027" DrawAspect="Content" ObjectID="_1716109201" r:id="rId13"/>
        </w:object>
      </w:r>
    </w:p>
    <w:p w14:paraId="31437ACC" w14:textId="77777777" w:rsidR="005150DC" w:rsidRDefault="00EC0912">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w:t>
      </w:r>
      <w:r>
        <w:rPr>
          <w:rFonts w:ascii="Palatino Linotype" w:eastAsia="Palatino Linotype" w:hAnsi="Palatino Linotype" w:cs="Palatino Linotype"/>
          <w:i/>
        </w:rPr>
        <w:t>“</w:t>
      </w:r>
      <w:r>
        <w:rPr>
          <w:rFonts w:ascii="Palatino Linotype" w:eastAsia="Palatino Linotype" w:hAnsi="Palatino Linotype" w:cs="Palatino Linotype"/>
          <w:b/>
          <w:i/>
        </w:rPr>
        <w:t>falta información”</w:t>
      </w:r>
      <w:r>
        <w:rPr>
          <w:rFonts w:ascii="Palatino Linotype" w:eastAsia="Palatino Linotype" w:hAnsi="Palatino Linotype" w:cs="Palatino Linotype"/>
          <w:i/>
        </w:rPr>
        <w:t xml:space="preserve"> (Sic) (Énfasis añadido)</w:t>
      </w:r>
    </w:p>
    <w:p w14:paraId="04CAAD51"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por cuanto hace al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se tiene que no emitió alegatos, manifestaciones o pronunciamiento alguno que a su derecho conviniera, luego entonces, se tiene por precluido su derecho para tal efecto.</w:t>
      </w:r>
    </w:p>
    <w:p w14:paraId="6E67C1A8"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1D7D43F1"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 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Tesorería Municipal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como </w:t>
      </w:r>
      <w:r>
        <w:rPr>
          <w:rFonts w:ascii="Palatino Linotype" w:eastAsia="Palatino Linotype" w:hAnsi="Palatino Linotype" w:cs="Palatino Linotype"/>
          <w:color w:val="000000"/>
        </w:rPr>
        <w:t xml:space="preserve">Servidor Público Habilitado competente, a efecto de que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69A43C68" w14:textId="77777777" w:rsidR="005150DC" w:rsidRDefault="00EC0912">
      <w:pPr>
        <w:spacing w:before="240" w:after="240" w:line="360" w:lineRule="auto"/>
        <w:jc w:val="both"/>
      </w:pPr>
      <w:r>
        <w:object w:dxaOrig="9165" w:dyaOrig="1875" w14:anchorId="2AD11A54">
          <v:shape id="_x0000_i1028" type="#_x0000_t75" style="width:459pt;height:93.75pt" o:ole="">
            <v:imagedata r:id="rId14" o:title=""/>
          </v:shape>
          <o:OLEObject Type="Embed" ProgID="Paint.Picture.1" ShapeID="_x0000_i1028" DrawAspect="Content" ObjectID="_1716109202" r:id="rId15"/>
        </w:object>
      </w:r>
      <w:r>
        <w:rPr>
          <w:noProof/>
          <w:lang w:val="es-MX"/>
        </w:rPr>
        <mc:AlternateContent>
          <mc:Choice Requires="wpg">
            <w:drawing>
              <wp:anchor distT="0" distB="0" distL="114300" distR="114300" simplePos="0" relativeHeight="251659264" behindDoc="0" locked="0" layoutInCell="1" hidden="0" allowOverlap="1" wp14:anchorId="32EBE44E" wp14:editId="1EA24B5F">
                <wp:simplePos x="0" y="0"/>
                <wp:positionH relativeFrom="column">
                  <wp:posOffset>1016000</wp:posOffset>
                </wp:positionH>
                <wp:positionV relativeFrom="paragraph">
                  <wp:posOffset>88900</wp:posOffset>
                </wp:positionV>
                <wp:extent cx="819150" cy="514350"/>
                <wp:effectExtent l="0" t="0" r="0" b="0"/>
                <wp:wrapNone/>
                <wp:docPr id="79" name="Rectángulo 79"/>
                <wp:cNvGraphicFramePr/>
                <a:graphic xmlns:a="http://schemas.openxmlformats.org/drawingml/2006/main">
                  <a:graphicData uri="http://schemas.microsoft.com/office/word/2010/wordprocessingShape">
                    <wps:wsp>
                      <wps:cNvSpPr/>
                      <wps:spPr>
                        <a:xfrm>
                          <a:off x="4950713" y="3537113"/>
                          <a:ext cx="790575" cy="485775"/>
                        </a:xfrm>
                        <a:prstGeom prst="rect">
                          <a:avLst/>
                        </a:prstGeom>
                        <a:noFill/>
                        <a:ln w="28575" cap="flat" cmpd="sng">
                          <a:solidFill>
                            <a:srgbClr val="002060"/>
                          </a:solidFill>
                          <a:prstDash val="solid"/>
                          <a:round/>
                          <a:headEnd type="none" w="sm" len="sm"/>
                          <a:tailEnd type="none" w="sm" len="sm"/>
                        </a:ln>
                      </wps:spPr>
                      <wps:txbx>
                        <w:txbxContent>
                          <w:p w14:paraId="0486BACA" w14:textId="77777777" w:rsidR="005150DC" w:rsidRDefault="005150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819150" cy="514350"/>
                <wp:effectExtent b="0" l="0" r="0" t="0"/>
                <wp:wrapNone/>
                <wp:docPr id="79"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819150" cy="514350"/>
                        </a:xfrm>
                        <a:prstGeom prst="rect"/>
                        <a:ln/>
                      </pic:spPr>
                    </pic:pic>
                  </a:graphicData>
                </a:graphic>
              </wp:anchor>
            </w:drawing>
          </mc:Fallback>
        </mc:AlternateContent>
      </w:r>
    </w:p>
    <w:p w14:paraId="5CAE4309" w14:textId="77777777" w:rsidR="005150DC" w:rsidRDefault="00EC0912">
      <w:pPr>
        <w:spacing w:before="240" w:after="240" w:line="360" w:lineRule="auto"/>
        <w:jc w:val="center"/>
        <w:rPr>
          <w:rFonts w:ascii="Palatino Linotype" w:eastAsia="Palatino Linotype" w:hAnsi="Palatino Linotype" w:cs="Palatino Linotype"/>
        </w:rPr>
      </w:pPr>
      <w:r>
        <w:object w:dxaOrig="7755" w:dyaOrig="6000" w14:anchorId="5332367B">
          <v:shape id="_x0000_i1029" type="#_x0000_t75" style="width:388.5pt;height:300pt" o:ole="">
            <v:imagedata r:id="rId23" o:title=""/>
          </v:shape>
          <o:OLEObject Type="Embed" ProgID="Paint.Picture.1" ShapeID="_x0000_i1029" DrawAspect="Content" ObjectID="_1716109203" r:id="rId24"/>
        </w:object>
      </w:r>
      <w:r>
        <w:rPr>
          <w:noProof/>
          <w:lang w:val="es-MX"/>
        </w:rPr>
        <mc:AlternateContent>
          <mc:Choice Requires="wpg">
            <w:drawing>
              <wp:anchor distT="0" distB="0" distL="114300" distR="114300" simplePos="0" relativeHeight="251660288" behindDoc="0" locked="0" layoutInCell="1" hidden="0" allowOverlap="1" wp14:anchorId="4860E4A6" wp14:editId="48309796">
                <wp:simplePos x="0" y="0"/>
                <wp:positionH relativeFrom="column">
                  <wp:posOffset>304800</wp:posOffset>
                </wp:positionH>
                <wp:positionV relativeFrom="paragraph">
                  <wp:posOffset>546100</wp:posOffset>
                </wp:positionV>
                <wp:extent cx="4229100" cy="800100"/>
                <wp:effectExtent l="0" t="0" r="0" b="0"/>
                <wp:wrapNone/>
                <wp:docPr id="78" name="Rectángulo 78"/>
                <wp:cNvGraphicFramePr/>
                <a:graphic xmlns:a="http://schemas.openxmlformats.org/drawingml/2006/main">
                  <a:graphicData uri="http://schemas.microsoft.com/office/word/2010/wordprocessingShape">
                    <wps:wsp>
                      <wps:cNvSpPr/>
                      <wps:spPr>
                        <a:xfrm>
                          <a:off x="3245738" y="3394238"/>
                          <a:ext cx="4200525" cy="771525"/>
                        </a:xfrm>
                        <a:prstGeom prst="rect">
                          <a:avLst/>
                        </a:prstGeom>
                        <a:noFill/>
                        <a:ln w="28575" cap="flat" cmpd="sng">
                          <a:solidFill>
                            <a:srgbClr val="002060"/>
                          </a:solidFill>
                          <a:prstDash val="solid"/>
                          <a:round/>
                          <a:headEnd type="none" w="sm" len="sm"/>
                          <a:tailEnd type="none" w="sm" len="sm"/>
                        </a:ln>
                      </wps:spPr>
                      <wps:txbx>
                        <w:txbxContent>
                          <w:p w14:paraId="26DEDE25" w14:textId="77777777" w:rsidR="005150DC" w:rsidRDefault="005150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304800</wp:posOffset>
                </wp:positionH>
                <wp:positionV relativeFrom="paragraph">
                  <wp:posOffset>546100</wp:posOffset>
                </wp:positionV>
                <wp:extent cx="4229100" cy="800100"/>
                <wp:effectExtent b="0" l="0" r="0" t="0"/>
                <wp:wrapNone/>
                <wp:docPr id="78"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4229100" cy="800100"/>
                        </a:xfrm>
                        <a:prstGeom prst="rect"/>
                        <a:ln/>
                      </pic:spPr>
                    </pic:pic>
                  </a:graphicData>
                </a:graphic>
              </wp:anchor>
            </w:drawing>
          </mc:Fallback>
        </mc:AlternateContent>
      </w:r>
    </w:p>
    <w:p w14:paraId="244EA7A2"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apuntar que la  Tesorería Municipal es la unidad administrativa competente para atender el requerimiento del particular, en virtud de que el artículo 93 de la Ley Orgánica Municipal del Estado de México, establece que la Tesorería Municipal es el órgano encargado de la recaudación de los ingresos municipales, asimismo, el artículo 95 del ordenamiento legal referido, el Tesorero Municipal tiene las siguientes atribuciones: </w:t>
      </w:r>
    </w:p>
    <w:p w14:paraId="7881B2E3" w14:textId="77777777" w:rsidR="005150DC" w:rsidRDefault="00EC0912">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95.- Son atribuciones del tesorero municipal</w:t>
      </w:r>
      <w:r>
        <w:rPr>
          <w:rFonts w:ascii="Palatino Linotype" w:eastAsia="Palatino Linotype" w:hAnsi="Palatino Linotype" w:cs="Palatino Linotype"/>
          <w:i/>
          <w:sz w:val="22"/>
          <w:szCs w:val="22"/>
        </w:rPr>
        <w:t xml:space="preserve">: </w:t>
      </w:r>
    </w:p>
    <w:p w14:paraId="22B8A1C8"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Administrar la hacienda pública municipal, de conformidad con las disposiciones legales aplicables; </w:t>
      </w:r>
    </w:p>
    <w:p w14:paraId="20233E1D"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2"/>
          <w:szCs w:val="22"/>
        </w:rPr>
        <w:t xml:space="preserve">Determinar, liquidar, recaudar, fiscalizar y administrar las contribuciones en los términos de los ordenamientos jurídicos aplicables y, en su caso, aplicar el </w:t>
      </w:r>
      <w:r>
        <w:rPr>
          <w:rFonts w:ascii="Palatino Linotype" w:eastAsia="Palatino Linotype" w:hAnsi="Palatino Linotype" w:cs="Palatino Linotype"/>
          <w:i/>
          <w:color w:val="000000"/>
          <w:sz w:val="22"/>
          <w:szCs w:val="22"/>
        </w:rPr>
        <w:lastRenderedPageBreak/>
        <w:t xml:space="preserve">procedimiento administrativo de ejecución en términos de las disposiciones aplicables; </w:t>
      </w:r>
    </w:p>
    <w:p w14:paraId="0312AAD1"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2"/>
          <w:szCs w:val="22"/>
        </w:rPr>
        <w:t xml:space="preserve">Imponer las sanciones administrativas que procedan por infracciones a las disposiciones fiscales; </w:t>
      </w:r>
    </w:p>
    <w:p w14:paraId="7E2FC3F4"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2"/>
          <w:szCs w:val="22"/>
          <w:u w:val="single"/>
        </w:rPr>
        <w:t xml:space="preserve">Llevar los registros contables, financieros y administrativos de los ingresos, egresos, e inventarios; </w:t>
      </w:r>
    </w:p>
    <w:p w14:paraId="097D520B"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2"/>
          <w:szCs w:val="22"/>
        </w:rPr>
        <w:t xml:space="preserve">Proporcionar oportunamente al ayuntamiento todos los datos o informes que sean necesarios para la formulación del Presupuesto de Egresos Municipales, vigilando que se ajuste a las disposiciones de esta Ley y otros ordenamientos aplicables; </w:t>
      </w:r>
    </w:p>
    <w:p w14:paraId="27C137DB" w14:textId="77777777" w:rsidR="005150DC" w:rsidRDefault="00EC0912">
      <w:pPr>
        <w:numPr>
          <w:ilvl w:val="0"/>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2"/>
          <w:szCs w:val="22"/>
        </w:rPr>
        <w:t xml:space="preserve">Presentar anualmente al ayuntamiento un informe de la situación contable financiera de la Tesorería Municipal; </w:t>
      </w:r>
    </w:p>
    <w:p w14:paraId="3A888774" w14:textId="77777777" w:rsidR="005150DC" w:rsidRDefault="00EC0912">
      <w:p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 </w:t>
      </w:r>
    </w:p>
    <w:p w14:paraId="22C13E24"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w:t>
      </w:r>
      <w:r>
        <w:rPr>
          <w:rFonts w:ascii="Palatino Linotype" w:eastAsia="Palatino Linotype" w:hAnsi="Palatino Linotype" w:cs="Palatino Linotype"/>
          <w:b/>
          <w:i/>
          <w:sz w:val="22"/>
          <w:szCs w:val="22"/>
          <w:u w:val="single"/>
        </w:rPr>
        <w:t xml:space="preserve">Recaudar y administrar los ingresos </w:t>
      </w:r>
      <w:r>
        <w:rPr>
          <w:rFonts w:ascii="Palatino Linotype" w:eastAsia="Palatino Linotype" w:hAnsi="Palatino Linotype" w:cs="Palatino Linotype"/>
          <w:i/>
          <w:sz w:val="22"/>
          <w:szCs w:val="22"/>
        </w:rPr>
        <w:t xml:space="preserve">que se deriven de la suscripción de convenios, acuerdos o la emisión de declaratorias de coordinación; los relativos a las transferencias otorgadas a favor del Municipio en el marco del Sistema Nacional o Estatal de Coordinación Fiscal, o los </w:t>
      </w:r>
      <w:r>
        <w:rPr>
          <w:rFonts w:ascii="Palatino Linotype" w:eastAsia="Palatino Linotype" w:hAnsi="Palatino Linotype" w:cs="Palatino Linotype"/>
          <w:b/>
          <w:i/>
          <w:sz w:val="22"/>
          <w:szCs w:val="22"/>
          <w:u w:val="single"/>
        </w:rPr>
        <w:t>que reciba por cualquier otro concept</w:t>
      </w:r>
      <w:r>
        <w:rPr>
          <w:rFonts w:ascii="Palatino Linotype" w:eastAsia="Palatino Linotype" w:hAnsi="Palatino Linotype" w:cs="Palatino Linotype"/>
          <w:i/>
          <w:sz w:val="22"/>
          <w:szCs w:val="22"/>
        </w:rPr>
        <w:t xml:space="preserve">o; así como el importe de las sanciones por infracciones impuestas por las autoridades competentes, por la inobservancia de las diversas disposiciones y ordenamientos legales, constituyendo los créditos fiscales correspondientes; </w:t>
      </w:r>
    </w:p>
    <w:p w14:paraId="6A79AC1D" w14:textId="77777777" w:rsidR="005150DC" w:rsidRDefault="00EC0912">
      <w:pPr>
        <w:spacing w:before="240" w:after="240" w:line="276" w:lineRule="auto"/>
        <w:ind w:left="567" w:right="8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sz w:val="22"/>
          <w:szCs w:val="22"/>
        </w:rPr>
        <w:t>…” (Sic)</w:t>
      </w:r>
    </w:p>
    <w:p w14:paraId="58CCC7D9"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Bando Municipal de Chalco, prevé lo siguiente: </w:t>
      </w:r>
    </w:p>
    <w:p w14:paraId="431BBE94"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La Tesorería Municipal regirá su estructura y funcionamiento de conformidad con la Ley Orgánica Municipal del Estado de México, el Código Financiero del Estado de México, el presente Bando, el Reglamento Interior de la Administración Pública Municipal y demás ordenamientos legales, federales y locales aplicables; siendo la encargada de:</w:t>
      </w:r>
    </w:p>
    <w:p w14:paraId="1A6AF914"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 Recaudar ingresos municipales</w:t>
      </w:r>
      <w:r>
        <w:rPr>
          <w:rFonts w:ascii="Palatino Linotype" w:eastAsia="Palatino Linotype" w:hAnsi="Palatino Linotype" w:cs="Palatino Linotype"/>
          <w:i/>
          <w:sz w:val="22"/>
          <w:szCs w:val="22"/>
        </w:rPr>
        <w:t>;</w:t>
      </w:r>
    </w:p>
    <w:p w14:paraId="14E2286B" w14:textId="77777777" w:rsidR="005150DC" w:rsidRDefault="00EC0912">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b</w:t>
      </w:r>
      <w:r>
        <w:rPr>
          <w:rFonts w:ascii="Palatino Linotype" w:eastAsia="Palatino Linotype" w:hAnsi="Palatino Linotype" w:cs="Palatino Linotype"/>
          <w:b/>
          <w:i/>
          <w:sz w:val="22"/>
          <w:szCs w:val="22"/>
        </w:rPr>
        <w:t>) Administrar la hacienda pública municipal;</w:t>
      </w:r>
    </w:p>
    <w:p w14:paraId="43355488"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Realizar las erogaciones y funciones que instruya el</w:t>
      </w:r>
    </w:p>
    <w:p w14:paraId="6FF8C011"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Ayuntamiento, el Ejecutivo Municipal y demás unidades administrativas, y</w:t>
      </w:r>
    </w:p>
    <w:p w14:paraId="34ED4423" w14:textId="77777777" w:rsidR="005150DC" w:rsidRDefault="00EC0912">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Implementar medidas y mecanismos previamente aprobados por el Ayuntamiento, tendientes a difundir una cultura de pago entre la población, asimismo ampliar la base y estimular el pago oportuno de los contribuyentes.” (Sic) (Énfasis añadido)</w:t>
      </w:r>
    </w:p>
    <w:p w14:paraId="0D5BC537" w14:textId="77777777" w:rsidR="005150DC" w:rsidRDefault="00EC09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esta lógica, se tiene que  la respuesta fue vertida por la unidad administrativa competente, ello en virtud de que la Tesorería Municipal es la encargada de  administrar la hacienda pública municipal, así como de recaudar los ingresos, 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14A981EF" w14:textId="77777777" w:rsidR="005150DC" w:rsidRDefault="00EC0912">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Pr>
          <w:rFonts w:ascii="Palatino Linotype" w:eastAsia="Palatino Linotype" w:hAnsi="Palatino Linotype" w:cs="Palatino Linotype"/>
          <w:i/>
          <w:sz w:val="22"/>
          <w:szCs w:val="22"/>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45EA7515" w14:textId="77777777" w:rsidR="005150DC" w:rsidRDefault="00EC0912">
      <w:pPr>
        <w:spacing w:before="240" w:after="240" w:line="360" w:lineRule="auto"/>
        <w:ind w:right="-141"/>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No pasa desapercibido para este organismo garante que en este caso, para dar cabal cumplimiento al derecho de acceso a la información del particular, el Sujeto Obligado remitió documento ad hoc, aún y cuando no es una obligación de las autoridades tal y como lo señala el Criterio 09- 10, emitido por el Pleno del entonces Instituto Federal de Acceso a la Información y Protección de Datos (IFAI), ahora Instituto Nacional de Transparencia, Acceso a la Información y Protección de Datos Personales (INAI), que dice:</w:t>
      </w:r>
    </w:p>
    <w:p w14:paraId="4E9A7680" w14:textId="77777777" w:rsidR="005150DC" w:rsidRDefault="00EC0912">
      <w:pPr>
        <w:spacing w:after="16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w:t>
      </w:r>
      <w:r>
        <w:rPr>
          <w:rFonts w:ascii="Palatino Linotype" w:eastAsia="Palatino Linotype" w:hAnsi="Palatino Linotype" w:cs="Palatino Linotype"/>
          <w:b/>
          <w:i/>
          <w:sz w:val="22"/>
          <w:szCs w:val="22"/>
        </w:rPr>
        <w:t>las dependencias y entidades sólo estarán obligadas a entregar documentos que se encuentren en sus archivos</w:t>
      </w:r>
      <w:r>
        <w:rPr>
          <w:rFonts w:ascii="Palatino Linotype" w:eastAsia="Palatino Linotype" w:hAnsi="Palatino Linotype" w:cs="Palatino Linotype"/>
          <w:i/>
          <w:sz w:val="22"/>
          <w:szCs w:val="22"/>
        </w:rPr>
        <w:t xml:space="preserve">, las dependencias y entidades </w:t>
      </w:r>
      <w:r>
        <w:rPr>
          <w:rFonts w:ascii="Palatino Linotype" w:eastAsia="Palatino Linotype" w:hAnsi="Palatino Linotype" w:cs="Palatino Linotype"/>
          <w:b/>
          <w:i/>
          <w:sz w:val="22"/>
          <w:szCs w:val="22"/>
        </w:rPr>
        <w:t>no están obligadas a elaborar documentos ad hoc para atender las solicitudes de información</w:t>
      </w:r>
      <w:r>
        <w:rPr>
          <w:rFonts w:ascii="Palatino Linotype" w:eastAsia="Palatino Linotype" w:hAnsi="Palatino Linotype" w:cs="Palatino Linotype"/>
          <w:i/>
          <w:sz w:val="22"/>
          <w:szCs w:val="22"/>
        </w:rPr>
        <w:t>, sino que deben garantizar el acceso a la información con la que cuentan en el formato que la misma así lo permita o se encuentre, en aras de dar satisfacción a la solicitud presentada.”</w:t>
      </w:r>
    </w:p>
    <w:p w14:paraId="16C0FE78" w14:textId="77777777" w:rsidR="005150DC" w:rsidRDefault="00EC0912">
      <w:pPr>
        <w:tabs>
          <w:tab w:val="left" w:pos="142"/>
          <w:tab w:val="left" w:pos="284"/>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Pr>
          <w:rFonts w:ascii="Palatino Linotype" w:eastAsia="Palatino Linotype" w:hAnsi="Palatino Linotype" w:cs="Palatino Linotype"/>
          <w:b/>
          <w:i/>
        </w:rPr>
        <w:t>ad hoc</w:t>
      </w:r>
      <w:r>
        <w:rPr>
          <w:rFonts w:ascii="Palatino Linotype" w:eastAsia="Palatino Linotype" w:hAnsi="Palatino Linotype" w:cs="Palatino Linotype"/>
        </w:rPr>
        <w:t>, para satisfacer el derecho de acceso a la información pública.</w:t>
      </w:r>
    </w:p>
    <w:p w14:paraId="04EEFFA3" w14:textId="77777777" w:rsidR="005150DC" w:rsidRDefault="005150DC">
      <w:pPr>
        <w:tabs>
          <w:tab w:val="left" w:pos="142"/>
          <w:tab w:val="left" w:pos="284"/>
          <w:tab w:val="left" w:pos="426"/>
        </w:tabs>
        <w:spacing w:line="360" w:lineRule="auto"/>
        <w:jc w:val="both"/>
        <w:rPr>
          <w:rFonts w:ascii="Palatino Linotype" w:eastAsia="Palatino Linotype" w:hAnsi="Palatino Linotype" w:cs="Palatino Linotype"/>
        </w:rPr>
      </w:pPr>
    </w:p>
    <w:p w14:paraId="5FD1D2F9" w14:textId="77777777" w:rsidR="00C32612" w:rsidRPr="005177E6" w:rsidRDefault="00EC0912">
      <w:pPr>
        <w:tabs>
          <w:tab w:val="left" w:pos="142"/>
          <w:tab w:val="left" w:pos="284"/>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entiende que el ejercicio del derecho de acceso a la información pública se centra en la potestad de los particulares de tener </w:t>
      </w:r>
      <w:r>
        <w:rPr>
          <w:rFonts w:ascii="Palatino Linotype" w:eastAsia="Palatino Linotype" w:hAnsi="Palatino Linotype" w:cs="Palatino Linotype"/>
          <w:b/>
        </w:rPr>
        <w:t>acceso a los documentos públicos que obren en los archivos de los Sujetos Obligados</w:t>
      </w:r>
      <w:r>
        <w:rPr>
          <w:rFonts w:ascii="Palatino Linotype" w:eastAsia="Palatino Linotype" w:hAnsi="Palatino Linotype" w:cs="Palatino Linotype"/>
        </w:rPr>
        <w:t xml:space="preserve">, ya sea porque los generen en el uso de sus atribuciones, los administren o simplemente los posean. </w:t>
      </w:r>
    </w:p>
    <w:p w14:paraId="0F979498" w14:textId="77777777" w:rsidR="00C32612" w:rsidRPr="00C32612" w:rsidRDefault="005177E6" w:rsidP="00C326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w:t>
      </w:r>
      <w:r w:rsidR="00C32612">
        <w:rPr>
          <w:rFonts w:ascii="Palatino Linotype" w:eastAsia="Palatino Linotype" w:hAnsi="Palatino Linotype" w:cs="Palatino Linotype"/>
        </w:rPr>
        <w:t xml:space="preserve">este Instituto </w:t>
      </w:r>
      <w:r>
        <w:rPr>
          <w:rFonts w:ascii="Palatino Linotype" w:eastAsia="Palatino Linotype" w:hAnsi="Palatino Linotype" w:cs="Palatino Linotype"/>
        </w:rPr>
        <w:t xml:space="preserve">determina que del análisis a </w:t>
      </w:r>
      <w:r w:rsidR="00C32612">
        <w:rPr>
          <w:rFonts w:ascii="Palatino Linotype" w:eastAsia="Palatino Linotype" w:hAnsi="Palatino Linotype" w:cs="Palatino Linotype"/>
        </w:rPr>
        <w:t xml:space="preserve">la respuesta vertida por el </w:t>
      </w:r>
      <w:r w:rsidR="00C32612">
        <w:rPr>
          <w:rFonts w:ascii="Palatino Linotype" w:eastAsia="Palatino Linotype" w:hAnsi="Palatino Linotype" w:cs="Palatino Linotype"/>
          <w:b/>
        </w:rPr>
        <w:t>Sujeto Obligado</w:t>
      </w:r>
      <w:r w:rsidR="00C32612">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tiene que es adecuada y suficiente, ello en virtud de que </w:t>
      </w:r>
      <w:r w:rsidR="00C32612">
        <w:rPr>
          <w:rFonts w:ascii="Palatino Linotype" w:eastAsia="Palatino Linotype" w:hAnsi="Palatino Linotype" w:cs="Palatino Linotype"/>
        </w:rPr>
        <w:t xml:space="preserve">la Tesorera Municipal reportó los ingresos recibidos por el municipio durante agosto de 2019, mismos que fueron solicitados por el particular, por lo que al coincidir lo reportado con el requerimiento del particular, </w:t>
      </w:r>
      <w:r>
        <w:rPr>
          <w:rFonts w:ascii="Palatino Linotype" w:eastAsia="Palatino Linotype" w:hAnsi="Palatino Linotype" w:cs="Palatino Linotype"/>
        </w:rPr>
        <w:t>se concluy</w:t>
      </w:r>
      <w:r w:rsidR="00C32612">
        <w:rPr>
          <w:rFonts w:ascii="Palatino Linotype" w:eastAsia="Palatino Linotype" w:hAnsi="Palatino Linotype" w:cs="Palatino Linotype"/>
        </w:rPr>
        <w:t>e que este pronunciamiento vertido por la servidora p</w:t>
      </w:r>
      <w:r>
        <w:rPr>
          <w:rFonts w:ascii="Palatino Linotype" w:eastAsia="Palatino Linotype" w:hAnsi="Palatino Linotype" w:cs="Palatino Linotype"/>
        </w:rPr>
        <w:t>ública habilitada competente</w:t>
      </w:r>
      <w:r w:rsidR="00C32612">
        <w:rPr>
          <w:rFonts w:ascii="Palatino Linotype" w:eastAsia="Palatino Linotype" w:hAnsi="Palatino Linotype" w:cs="Palatino Linotype"/>
        </w:rPr>
        <w:t xml:space="preserve">, si satisface el derecho de acceso a la información pública. </w:t>
      </w:r>
    </w:p>
    <w:p w14:paraId="452C418B" w14:textId="77777777" w:rsidR="005150DC" w:rsidRDefault="00EC0912">
      <w:pPr>
        <w:widowControl w:val="0"/>
        <w:tabs>
          <w:tab w:val="left" w:pos="1701"/>
          <w:tab w:val="left" w:pos="184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4DDB3F6C"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6F1CE879" w14:textId="77777777" w:rsidR="005150DC" w:rsidRDefault="00EC0912">
      <w:pPr>
        <w:numPr>
          <w:ilvl w:val="0"/>
          <w:numId w:val="1"/>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430F6CC8" w14:textId="77777777" w:rsidR="005150DC" w:rsidRDefault="00EC09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02379/INFOEM/IP/RR/2022,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41CD1431" w14:textId="77777777" w:rsidR="005150DC" w:rsidRDefault="00EC09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14:paraId="738C65FA" w14:textId="77777777" w:rsidR="005150DC" w:rsidRDefault="00EC0912">
      <w:pPr>
        <w:spacing w:before="240" w:after="240" w:line="360" w:lineRule="auto"/>
        <w:jc w:val="both"/>
        <w:rPr>
          <w:rFonts w:ascii="Palatino Linotype" w:eastAsia="Palatino Linotype" w:hAnsi="Palatino Linotype" w:cs="Palatino Linotype"/>
          <w:b/>
          <w:color w:val="FF0000"/>
          <w:highlight w:val="yellow"/>
        </w:rPr>
      </w:pPr>
      <w:bookmarkStart w:id="3" w:name="_heading=h.gjdgxs" w:colFirst="0" w:colLast="0"/>
      <w:bookmarkEnd w:id="3"/>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6C312147" w14:textId="37F25F04" w:rsidR="005150DC" w:rsidRDefault="00EC0912">
      <w:pPr>
        <w:spacing w:before="240" w:after="240" w:line="360" w:lineRule="auto"/>
        <w:jc w:val="both"/>
        <w:rPr>
          <w:rFonts w:ascii="Palatino Linotype" w:eastAsia="Palatino Linotype" w:hAnsi="Palatino Linotype" w:cs="Palatino Linotype"/>
        </w:rPr>
        <w:sectPr w:rsidR="005150DC">
          <w:headerReference w:type="default" r:id="rId26"/>
          <w:footerReference w:type="default" r:id="rId27"/>
          <w:headerReference w:type="first" r:id="rId28"/>
          <w:footerReference w:type="first" r:id="rId29"/>
          <w:pgSz w:w="12240" w:h="15840"/>
          <w:pgMar w:top="1417" w:right="1750" w:bottom="1417" w:left="1701" w:header="708" w:footer="708" w:gutter="0"/>
          <w:pgNumType w:start="1"/>
          <w:cols w:space="720"/>
          <w:titlePg/>
        </w:sectPr>
      </w:pPr>
      <w:bookmarkStart w:id="4" w:name="_heading=h.3znysh7" w:colFirst="0" w:colLast="0"/>
      <w:bookmarkEnd w:id="4"/>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B13F5">
        <w:rPr>
          <w:rFonts w:ascii="Palatino Linotype" w:eastAsia="Palatino Linotype" w:hAnsi="Palatino Linotype" w:cs="Palatino Linotype"/>
        </w:rPr>
        <w:t>;</w:t>
      </w:r>
      <w:r w:rsidR="00BB13F5" w:rsidRPr="00BB13F5">
        <w:rPr>
          <w:rFonts w:ascii="Palatino Linotype" w:eastAsia="Palatino Linotype" w:hAnsi="Palatino Linotype" w:cs="Palatino Linotype"/>
        </w:rPr>
        <w:t xml:space="preserve"> </w:t>
      </w:r>
      <w:r w:rsidR="00BB13F5">
        <w:rPr>
          <w:rFonts w:ascii="Palatino Linotype" w:eastAsia="Palatino Linotype" w:hAnsi="Palatino Linotype" w:cs="Palatino Linotype"/>
        </w:rPr>
        <w:t>SHARON CRISTINA MORALES MARTÍNEZ</w:t>
      </w:r>
      <w:r>
        <w:rPr>
          <w:rFonts w:ascii="Palatino Linotype" w:eastAsia="Palatino Linotype" w:hAnsi="Palatino Linotype" w:cs="Palatino Linotype"/>
        </w:rPr>
        <w:t>; LUIS GUSTAVO PARRA NORIEGA Y GUADALUPE RAMÍREZ PEÑA; EN LA DÉCIMO NOVENA SESIÓN ORDINARIA CELEBRADA EL VEINTICINCO DE MAYO DEL DOS MIL VEINTIDÓS, ANTE EL SECRETARIO TÉCNICO DEL PLENO, ALEXIS TAPIA RAMÍREZ.</w:t>
      </w:r>
    </w:p>
    <w:p w14:paraId="33D68B91" w14:textId="77777777" w:rsidR="005150DC" w:rsidRDefault="005150D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8B50D5F" w14:textId="77777777" w:rsidR="005150DC" w:rsidRDefault="005150D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64CECB3A" w14:textId="77777777" w:rsidR="005150DC" w:rsidRDefault="005150D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5150DC">
      <w:headerReference w:type="first" r:id="rId30"/>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83C39" w14:textId="77777777" w:rsidR="005D578D" w:rsidRDefault="005D578D">
      <w:r>
        <w:separator/>
      </w:r>
    </w:p>
  </w:endnote>
  <w:endnote w:type="continuationSeparator" w:id="0">
    <w:p w14:paraId="7746F2F5" w14:textId="77777777" w:rsidR="005D578D" w:rsidRDefault="005D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0D20E" w14:textId="77777777" w:rsidR="005150DC" w:rsidRDefault="00EC091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50E24">
      <w:rPr>
        <w:rFonts w:ascii="Arial" w:eastAsia="Arial" w:hAnsi="Arial" w:cs="Arial"/>
        <w:b/>
        <w:noProof/>
        <w:color w:val="000000"/>
        <w:sz w:val="20"/>
        <w:szCs w:val="20"/>
      </w:rPr>
      <w:t>18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50E24">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32974551" w14:textId="77777777" w:rsidR="005150DC" w:rsidRDefault="005150DC">
    <w:pPr>
      <w:pBdr>
        <w:top w:val="nil"/>
        <w:left w:val="nil"/>
        <w:bottom w:val="nil"/>
        <w:right w:val="nil"/>
        <w:between w:val="nil"/>
      </w:pBdr>
      <w:tabs>
        <w:tab w:val="center" w:pos="4252"/>
        <w:tab w:val="right" w:pos="8504"/>
      </w:tabs>
      <w:rPr>
        <w:color w:val="000000"/>
      </w:rPr>
    </w:pPr>
  </w:p>
  <w:p w14:paraId="704B1348" w14:textId="77777777" w:rsidR="005150DC" w:rsidRDefault="005150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4453D" w14:textId="77777777" w:rsidR="005150DC" w:rsidRDefault="00EC091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50E2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50E24">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6F810E3F" w14:textId="77777777" w:rsidR="005150DC" w:rsidRDefault="005150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C8890" w14:textId="77777777" w:rsidR="005D578D" w:rsidRDefault="005D578D">
      <w:r>
        <w:separator/>
      </w:r>
    </w:p>
  </w:footnote>
  <w:footnote w:type="continuationSeparator" w:id="0">
    <w:p w14:paraId="64B7EA5E" w14:textId="77777777" w:rsidR="005D578D" w:rsidRDefault="005D578D">
      <w:r>
        <w:continuationSeparator/>
      </w:r>
    </w:p>
  </w:footnote>
  <w:footnote w:id="1">
    <w:p w14:paraId="79CDF7C6" w14:textId="77777777" w:rsidR="005150DC" w:rsidRDefault="00EC091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DA7512D" w14:textId="77777777" w:rsidR="005150DC" w:rsidRDefault="00EC091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5C289" w14:textId="77777777" w:rsidR="005150DC" w:rsidRDefault="00EC0912">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7CDFDB3" wp14:editId="648AA72C">
          <wp:simplePos x="0" y="0"/>
          <wp:positionH relativeFrom="column">
            <wp:posOffset>-1080133</wp:posOffset>
          </wp:positionH>
          <wp:positionV relativeFrom="paragraph">
            <wp:posOffset>-347343</wp:posOffset>
          </wp:positionV>
          <wp:extent cx="7635600" cy="9943200"/>
          <wp:effectExtent l="0" t="0" r="0" b="0"/>
          <wp:wrapNone/>
          <wp:docPr id="8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746" w:type="dxa"/>
      <w:tblLayout w:type="fixed"/>
      <w:tblLook w:val="0400" w:firstRow="0" w:lastRow="0" w:firstColumn="0" w:lastColumn="0" w:noHBand="0" w:noVBand="1"/>
    </w:tblPr>
    <w:tblGrid>
      <w:gridCol w:w="2553"/>
      <w:gridCol w:w="3687"/>
    </w:tblGrid>
    <w:tr w:rsidR="005150DC" w14:paraId="358A208F" w14:textId="77777777">
      <w:tc>
        <w:tcPr>
          <w:tcW w:w="2553" w:type="dxa"/>
          <w:vAlign w:val="center"/>
        </w:tcPr>
        <w:p w14:paraId="3704D5FD"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F922B0B"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02379/INFOEM/IP/RR/2022</w:t>
          </w:r>
        </w:p>
      </w:tc>
    </w:tr>
    <w:tr w:rsidR="005150DC" w14:paraId="08343A72" w14:textId="77777777">
      <w:trPr>
        <w:trHeight w:val="228"/>
      </w:trPr>
      <w:tc>
        <w:tcPr>
          <w:tcW w:w="2553" w:type="dxa"/>
          <w:vAlign w:val="center"/>
        </w:tcPr>
        <w:p w14:paraId="0F0FE671"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0084461" w14:textId="77777777" w:rsidR="005150DC" w:rsidRDefault="00EC0912">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5150DC" w14:paraId="29AF9897" w14:textId="77777777">
      <w:tc>
        <w:tcPr>
          <w:tcW w:w="2553" w:type="dxa"/>
          <w:vAlign w:val="center"/>
        </w:tcPr>
        <w:p w14:paraId="56B2EEF8"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9868BD8" w14:textId="77777777" w:rsidR="005150DC" w:rsidRDefault="00EC091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7D9865" w14:textId="77777777" w:rsidR="005150DC" w:rsidRDefault="00EC0912">
    <w:pPr>
      <w:rPr>
        <w:rFonts w:ascii="Cambria" w:eastAsia="Cambria" w:hAnsi="Cambria" w:cs="Cambria"/>
        <w:color w:val="000000"/>
      </w:rPr>
    </w:pPr>
    <w:r>
      <w:rPr>
        <w:rFonts w:ascii="Cambria" w:eastAsia="Cambria" w:hAnsi="Cambria" w:cs="Cambria"/>
        <w:color w:val="000000"/>
      </w:rPr>
      <w:tab/>
    </w:r>
  </w:p>
  <w:p w14:paraId="7D4C35BA" w14:textId="77777777" w:rsidR="005150DC" w:rsidRDefault="005150DC">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4AB04" w14:textId="77777777" w:rsidR="005150DC" w:rsidRDefault="00EC091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63C3972" wp14:editId="3F74AAEC">
          <wp:simplePos x="0" y="0"/>
          <wp:positionH relativeFrom="column">
            <wp:posOffset>-888998</wp:posOffset>
          </wp:positionH>
          <wp:positionV relativeFrom="paragraph">
            <wp:posOffset>-190498</wp:posOffset>
          </wp:positionV>
          <wp:extent cx="7635600" cy="9943200"/>
          <wp:effectExtent l="0" t="0" r="0" b="0"/>
          <wp:wrapNone/>
          <wp:docPr id="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685" w:type="dxa"/>
      <w:tblLayout w:type="fixed"/>
      <w:tblLook w:val="0400" w:firstRow="0" w:lastRow="0" w:firstColumn="0" w:lastColumn="0" w:noHBand="0" w:noVBand="1"/>
    </w:tblPr>
    <w:tblGrid>
      <w:gridCol w:w="2553"/>
      <w:gridCol w:w="3687"/>
    </w:tblGrid>
    <w:tr w:rsidR="005150DC" w14:paraId="5D99ECF7" w14:textId="77777777">
      <w:tc>
        <w:tcPr>
          <w:tcW w:w="2553" w:type="dxa"/>
          <w:vAlign w:val="center"/>
        </w:tcPr>
        <w:p w14:paraId="79D18062"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53717D3"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02379/INFOEM/IP/RR/2022</w:t>
          </w:r>
        </w:p>
      </w:tc>
    </w:tr>
    <w:tr w:rsidR="005150DC" w14:paraId="5FE3BC0A" w14:textId="77777777">
      <w:tc>
        <w:tcPr>
          <w:tcW w:w="2553" w:type="dxa"/>
          <w:vAlign w:val="center"/>
        </w:tcPr>
        <w:p w14:paraId="7524AE8C"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1B492381" w14:textId="53960ED4" w:rsidR="005150DC" w:rsidRDefault="00850E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5150DC" w14:paraId="5AB32760" w14:textId="77777777">
      <w:trPr>
        <w:trHeight w:val="228"/>
      </w:trPr>
      <w:tc>
        <w:tcPr>
          <w:tcW w:w="2553" w:type="dxa"/>
          <w:vAlign w:val="center"/>
        </w:tcPr>
        <w:p w14:paraId="3EB1C3F8"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4B7CFFE" w14:textId="77777777" w:rsidR="005150DC" w:rsidRDefault="00EC0912">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5150DC" w14:paraId="292960F2" w14:textId="77777777">
      <w:tc>
        <w:tcPr>
          <w:tcW w:w="2553" w:type="dxa"/>
          <w:vAlign w:val="center"/>
        </w:tcPr>
        <w:p w14:paraId="25FA817E" w14:textId="77777777" w:rsidR="005150DC" w:rsidRDefault="00EC09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6467CAB" w14:textId="77777777" w:rsidR="005150DC" w:rsidRDefault="00EC091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378FFED" w14:textId="77777777" w:rsidR="005150DC" w:rsidRDefault="005150D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C30F8" w14:textId="77777777" w:rsidR="005150DC" w:rsidRDefault="00EC091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36F6493" w14:textId="77777777" w:rsidR="005150DC" w:rsidRDefault="005150D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B0258"/>
    <w:multiLevelType w:val="multilevel"/>
    <w:tmpl w:val="25F0D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BF1D31"/>
    <w:multiLevelType w:val="multilevel"/>
    <w:tmpl w:val="17A0AF6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4B467B51"/>
    <w:multiLevelType w:val="multilevel"/>
    <w:tmpl w:val="6116EA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DE373B6"/>
    <w:multiLevelType w:val="multilevel"/>
    <w:tmpl w:val="A1EA14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DC"/>
    <w:rsid w:val="00015F43"/>
    <w:rsid w:val="00172202"/>
    <w:rsid w:val="005150DC"/>
    <w:rsid w:val="005177E6"/>
    <w:rsid w:val="005D578D"/>
    <w:rsid w:val="00850E24"/>
    <w:rsid w:val="009125AB"/>
    <w:rsid w:val="009A31D0"/>
    <w:rsid w:val="00A47380"/>
    <w:rsid w:val="00AB0B26"/>
    <w:rsid w:val="00BB13F5"/>
    <w:rsid w:val="00C32612"/>
    <w:rsid w:val="00EC09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140F3"/>
  <w15:docId w15:val="{F690800C-362A-4322-90A6-3C54EDE8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yVWvLQesfE4JcmL652jFN95qYQ==">AMUW2mVWif2vslIskwFOJqrpaXZW7zxcIBHqNbsDziwPyHgW2dqA0ukdc6B2MwCMo3xcwCjMpIpMusihlS0b3BO8JK+aifMHO8VfTDoj+UcRvqMCB+FYNl8A3O7RBF7tj1jca78rz4O7l3NPqmfQW26eSx1zpBHOKPADHqLjr1g/FgdGmwVVuzs=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5343</Words>
  <Characters>29388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2022-05-30T05:50:00Z</cp:lastPrinted>
  <dcterms:created xsi:type="dcterms:W3CDTF">2022-05-27T18:12:00Z</dcterms:created>
  <dcterms:modified xsi:type="dcterms:W3CDTF">2022-06-07T17:14:00Z</dcterms:modified>
</cp:coreProperties>
</file>