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9BC" w:rsidRPr="00D707F7" w:rsidRDefault="009F09BC" w:rsidP="009F09BC">
      <w:pPr>
        <w:tabs>
          <w:tab w:val="left" w:pos="3465"/>
        </w:tabs>
        <w:spacing w:before="240" w:after="360" w:line="360" w:lineRule="auto"/>
        <w:jc w:val="both"/>
        <w:rPr>
          <w:rFonts w:ascii="Palatino Linotype" w:hAnsi="Palatino Linotype"/>
        </w:rPr>
      </w:pPr>
      <w:r w:rsidRPr="00D707F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04C2F">
        <w:rPr>
          <w:rFonts w:ascii="Palatino Linotype" w:hAnsi="Palatino Linotype"/>
        </w:rPr>
        <w:t>quince</w:t>
      </w:r>
      <w:r w:rsidR="006A04B6">
        <w:rPr>
          <w:rFonts w:ascii="Palatino Linotype" w:hAnsi="Palatino Linotype"/>
        </w:rPr>
        <w:t xml:space="preserve"> (</w:t>
      </w:r>
      <w:r w:rsidR="00053FB7">
        <w:rPr>
          <w:rFonts w:ascii="Palatino Linotype" w:hAnsi="Palatino Linotype"/>
        </w:rPr>
        <w:t>1</w:t>
      </w:r>
      <w:r w:rsidR="00604C2F">
        <w:rPr>
          <w:rFonts w:ascii="Palatino Linotype" w:hAnsi="Palatino Linotype"/>
        </w:rPr>
        <w:t>5</w:t>
      </w:r>
      <w:r w:rsidRPr="00485ED8">
        <w:rPr>
          <w:rFonts w:ascii="Palatino Linotype" w:hAnsi="Palatino Linotype"/>
        </w:rPr>
        <w:t xml:space="preserve">) de </w:t>
      </w:r>
      <w:r w:rsidR="00652937">
        <w:rPr>
          <w:rFonts w:ascii="Palatino Linotype" w:hAnsi="Palatino Linotype"/>
        </w:rPr>
        <w:t>juni</w:t>
      </w:r>
      <w:r w:rsidR="00DE2F5A">
        <w:rPr>
          <w:rFonts w:ascii="Palatino Linotype" w:hAnsi="Palatino Linotype"/>
        </w:rPr>
        <w:t>o</w:t>
      </w:r>
      <w:r w:rsidR="00E61C13">
        <w:rPr>
          <w:rFonts w:ascii="Palatino Linotype" w:hAnsi="Palatino Linotype"/>
        </w:rPr>
        <w:t xml:space="preserve"> de dos mil veintidós</w:t>
      </w:r>
      <w:r w:rsidRPr="00485ED8">
        <w:rPr>
          <w:rFonts w:ascii="Palatino Linotype" w:hAnsi="Palatino Linotype"/>
        </w:rPr>
        <w:t>.</w:t>
      </w:r>
    </w:p>
    <w:p w:rsidR="009F09BC" w:rsidRPr="00D707F7" w:rsidRDefault="009F09BC" w:rsidP="009F09BC">
      <w:pPr>
        <w:spacing w:before="240" w:after="360" w:line="360" w:lineRule="auto"/>
        <w:jc w:val="both"/>
        <w:rPr>
          <w:rFonts w:ascii="Palatino Linotype" w:hAnsi="Palatino Linotype"/>
          <w:b/>
        </w:rPr>
      </w:pPr>
      <w:r w:rsidRPr="00D707F7">
        <w:rPr>
          <w:rFonts w:ascii="Palatino Linotype" w:hAnsi="Palatino Linotype"/>
          <w:b/>
        </w:rPr>
        <w:t>VISTO</w:t>
      </w:r>
      <w:r>
        <w:rPr>
          <w:rFonts w:ascii="Palatino Linotype" w:hAnsi="Palatino Linotype"/>
        </w:rPr>
        <w:t xml:space="preserve"> </w:t>
      </w:r>
      <w:r w:rsidR="008A699B">
        <w:rPr>
          <w:rFonts w:ascii="Palatino Linotype" w:hAnsi="Palatino Linotype"/>
        </w:rPr>
        <w:t>e</w:t>
      </w:r>
      <w:r w:rsidRPr="00D707F7">
        <w:rPr>
          <w:rFonts w:ascii="Palatino Linotype" w:hAnsi="Palatino Linotype"/>
        </w:rPr>
        <w:t xml:space="preserve">l expediente electrónico formado con motivo del recurso de revisión </w:t>
      </w:r>
      <w:r w:rsidR="00652937">
        <w:rPr>
          <w:rFonts w:ascii="Palatino Linotype" w:hAnsi="Palatino Linotype"/>
          <w:b/>
        </w:rPr>
        <w:t>0</w:t>
      </w:r>
      <w:r w:rsidR="00604C2F">
        <w:rPr>
          <w:rFonts w:ascii="Palatino Linotype" w:hAnsi="Palatino Linotype"/>
          <w:b/>
        </w:rPr>
        <w:t>6783</w:t>
      </w:r>
      <w:r w:rsidR="00652937">
        <w:rPr>
          <w:rFonts w:ascii="Palatino Linotype" w:hAnsi="Palatino Linotype"/>
          <w:b/>
        </w:rPr>
        <w:t>/INFOEM/IP/RR/2022</w:t>
      </w:r>
      <w:r w:rsidRPr="00485ED8">
        <w:rPr>
          <w:rFonts w:ascii="Palatino Linotype" w:hAnsi="Palatino Linotype"/>
        </w:rPr>
        <w:t>,</w:t>
      </w:r>
      <w:r w:rsidRPr="00D707F7">
        <w:rPr>
          <w:rFonts w:ascii="Palatino Linotype" w:hAnsi="Palatino Linotype" w:cs="Arial"/>
          <w:b/>
          <w:bCs/>
        </w:rPr>
        <w:t xml:space="preserve"> </w:t>
      </w:r>
      <w:r w:rsidRPr="00D707F7">
        <w:rPr>
          <w:rFonts w:ascii="Palatino Linotype" w:hAnsi="Palatino Linotype"/>
        </w:rPr>
        <w:t xml:space="preserve">promovido por </w:t>
      </w:r>
      <w:proofErr w:type="spellStart"/>
      <w:r w:rsidR="00AE6086">
        <w:rPr>
          <w:rFonts w:ascii="Palatino Linotype" w:hAnsi="Palatino Linotype"/>
          <w:b/>
        </w:rPr>
        <w:t>xxxxx</w:t>
      </w:r>
      <w:proofErr w:type="spellEnd"/>
      <w:r w:rsidR="00AE6086">
        <w:rPr>
          <w:rFonts w:ascii="Palatino Linotype" w:hAnsi="Palatino Linotype"/>
          <w:b/>
        </w:rPr>
        <w:t xml:space="preserve"> </w:t>
      </w:r>
      <w:proofErr w:type="spellStart"/>
      <w:r w:rsidR="00AE6086">
        <w:rPr>
          <w:rFonts w:ascii="Palatino Linotype" w:hAnsi="Palatino Linotype"/>
          <w:b/>
        </w:rPr>
        <w:t>xxxxxx</w:t>
      </w:r>
      <w:proofErr w:type="spellEnd"/>
      <w:r w:rsidR="00AE6086">
        <w:rPr>
          <w:rFonts w:ascii="Palatino Linotype" w:hAnsi="Palatino Linotype"/>
          <w:b/>
        </w:rPr>
        <w:t xml:space="preserve"> </w:t>
      </w:r>
      <w:proofErr w:type="spellStart"/>
      <w:r w:rsidR="00AE6086">
        <w:rPr>
          <w:rFonts w:ascii="Palatino Linotype" w:hAnsi="Palatino Linotype"/>
          <w:b/>
        </w:rPr>
        <w:t>xxxxxx</w:t>
      </w:r>
      <w:proofErr w:type="spellEnd"/>
      <w:r w:rsidRPr="00D707F7">
        <w:rPr>
          <w:rFonts w:ascii="Palatino Linotype" w:hAnsi="Palatino Linotype"/>
        </w:rPr>
        <w:t xml:space="preserve">, a quien en lo sucesivo se le identificará como </w:t>
      </w:r>
      <w:r w:rsidRPr="006A04B6">
        <w:rPr>
          <w:rFonts w:ascii="Palatino Linotype" w:hAnsi="Palatino Linotype"/>
          <w:b/>
        </w:rPr>
        <w:t>EL RECURRENTE</w:t>
      </w:r>
      <w:r w:rsidRPr="00D707F7">
        <w:rPr>
          <w:rFonts w:ascii="Palatino Linotype" w:hAnsi="Palatino Linotype" w:cs="Arial"/>
        </w:rPr>
        <w:t xml:space="preserve">, en contra de la respuesta </w:t>
      </w:r>
      <w:r w:rsidR="00652937">
        <w:rPr>
          <w:rFonts w:ascii="Palatino Linotype" w:hAnsi="Palatino Linotype" w:cs="Arial"/>
        </w:rPr>
        <w:t xml:space="preserve">del </w:t>
      </w:r>
      <w:r w:rsidR="00604C2F">
        <w:rPr>
          <w:rFonts w:ascii="Palatino Linotype" w:hAnsi="Palatino Linotype" w:cs="Arial"/>
          <w:b/>
        </w:rPr>
        <w:t>Ayuntamiento de Amecameca</w:t>
      </w:r>
      <w:r w:rsidRPr="00D707F7">
        <w:rPr>
          <w:rFonts w:ascii="Palatino Linotype" w:hAnsi="Palatino Linotype" w:cs="Arial"/>
          <w:b/>
        </w:rPr>
        <w:t>,</w:t>
      </w:r>
      <w:r w:rsidRPr="00D707F7">
        <w:rPr>
          <w:rFonts w:ascii="Palatino Linotype" w:hAnsi="Palatino Linotype"/>
          <w:b/>
        </w:rPr>
        <w:t xml:space="preserve"> </w:t>
      </w:r>
      <w:r w:rsidRPr="00D707F7">
        <w:rPr>
          <w:rFonts w:ascii="Palatino Linotype" w:hAnsi="Palatino Linotype"/>
        </w:rPr>
        <w:t>en lo sucesivo el</w:t>
      </w:r>
      <w:r w:rsidRPr="00D707F7">
        <w:rPr>
          <w:rFonts w:ascii="Palatino Linotype" w:hAnsi="Palatino Linotype"/>
          <w:b/>
        </w:rPr>
        <w:t xml:space="preserve"> SUJETO OBLIGADO</w:t>
      </w:r>
      <w:r w:rsidRPr="00D707F7">
        <w:rPr>
          <w:rFonts w:ascii="Palatino Linotype" w:hAnsi="Palatino Linotype"/>
        </w:rPr>
        <w:t>, se procede a dictar la presente resolución, con base en los siguientes:</w:t>
      </w:r>
    </w:p>
    <w:p w:rsidR="009F09BC" w:rsidRPr="009F09BC" w:rsidRDefault="009F09BC" w:rsidP="009F09BC">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9F09BC">
        <w:rPr>
          <w:rFonts w:ascii="Palatino Linotype" w:hAnsi="Palatino Linotype"/>
          <w:b/>
          <w:color w:val="000000" w:themeColor="text1"/>
          <w:sz w:val="24"/>
          <w:szCs w:val="24"/>
        </w:rPr>
        <w:t>ANTECEDENTES</w:t>
      </w:r>
      <w:bookmarkEnd w:id="0"/>
      <w:bookmarkEnd w:id="1"/>
      <w:bookmarkEnd w:id="2"/>
    </w:p>
    <w:p w:rsidR="009F09BC" w:rsidRDefault="009F09BC" w:rsidP="008A699B">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5078EC">
        <w:rPr>
          <w:rFonts w:ascii="Palatino Linotype" w:eastAsia="Calibri" w:hAnsi="Palatino Linotype" w:cs="Arial"/>
          <w:lang w:val="es-ES"/>
        </w:rPr>
        <w:t xml:space="preserve">El día </w:t>
      </w:r>
      <w:r w:rsidR="00604C2F">
        <w:rPr>
          <w:rFonts w:ascii="Palatino Linotype" w:eastAsia="Calibri" w:hAnsi="Palatino Linotype" w:cs="Arial"/>
          <w:lang w:val="es-ES"/>
        </w:rPr>
        <w:t>veintiocho</w:t>
      </w:r>
      <w:r w:rsidRPr="005078EC">
        <w:rPr>
          <w:rFonts w:ascii="Palatino Linotype" w:eastAsia="Calibri" w:hAnsi="Palatino Linotype" w:cs="Arial"/>
          <w:lang w:val="es-ES"/>
        </w:rPr>
        <w:t xml:space="preserve"> (</w:t>
      </w:r>
      <w:r w:rsidR="00604C2F">
        <w:rPr>
          <w:rFonts w:ascii="Palatino Linotype" w:eastAsia="Calibri" w:hAnsi="Palatino Linotype" w:cs="Arial"/>
          <w:lang w:val="es-ES"/>
        </w:rPr>
        <w:t>28</w:t>
      </w:r>
      <w:r w:rsidRPr="005078EC">
        <w:rPr>
          <w:rFonts w:ascii="Palatino Linotype" w:eastAsia="Calibri" w:hAnsi="Palatino Linotype" w:cs="Arial"/>
          <w:lang w:val="es-ES"/>
        </w:rPr>
        <w:t xml:space="preserve">) de </w:t>
      </w:r>
      <w:r w:rsidR="00604C2F">
        <w:rPr>
          <w:rFonts w:ascii="Palatino Linotype" w:eastAsia="Calibri" w:hAnsi="Palatino Linotype" w:cs="Arial"/>
          <w:lang w:val="es-ES"/>
        </w:rPr>
        <w:t>marz</w:t>
      </w:r>
      <w:r w:rsidR="00E61C13">
        <w:rPr>
          <w:rFonts w:ascii="Palatino Linotype" w:eastAsia="Calibri" w:hAnsi="Palatino Linotype" w:cs="Arial"/>
          <w:lang w:val="es-ES"/>
        </w:rPr>
        <w:t>o de dos mil veintidós</w:t>
      </w:r>
      <w:r w:rsidRPr="005078EC">
        <w:rPr>
          <w:rFonts w:ascii="Palatino Linotype" w:hAnsi="Palatino Linotype"/>
          <w:b/>
        </w:rPr>
        <w:t xml:space="preserve">, </w:t>
      </w:r>
      <w:r w:rsidRPr="005078EC">
        <w:rPr>
          <w:rFonts w:ascii="Palatino Linotype" w:eastAsia="Calibri" w:hAnsi="Palatino Linotype" w:cs="Arial"/>
          <w:lang w:val="es-ES"/>
        </w:rPr>
        <w:t xml:space="preserve">se presentó ante el </w:t>
      </w:r>
      <w:r w:rsidRPr="005078EC">
        <w:rPr>
          <w:rFonts w:ascii="Palatino Linotype" w:eastAsia="Calibri" w:hAnsi="Palatino Linotype" w:cs="Arial"/>
          <w:b/>
          <w:lang w:val="es-ES"/>
        </w:rPr>
        <w:t>SUJETO OBLIGADO</w:t>
      </w:r>
      <w:r w:rsidRPr="005078EC">
        <w:rPr>
          <w:rFonts w:ascii="Palatino Linotype" w:eastAsia="Calibri" w:hAnsi="Palatino Linotype" w:cs="Arial"/>
        </w:rPr>
        <w:t xml:space="preserve"> vía </w:t>
      </w:r>
      <w:r w:rsidR="008A699B">
        <w:rPr>
          <w:rFonts w:ascii="Palatino Linotype" w:eastAsia="Calibri" w:hAnsi="Palatino Linotype" w:cs="Arial"/>
          <w:lang w:val="es-ES"/>
        </w:rPr>
        <w:t>SAIMEX, la solicitud</w:t>
      </w:r>
      <w:r w:rsidRPr="005078EC">
        <w:rPr>
          <w:rFonts w:ascii="Palatino Linotype" w:eastAsia="Calibri" w:hAnsi="Palatino Linotype" w:cs="Arial"/>
          <w:lang w:val="es-ES"/>
        </w:rPr>
        <w:t xml:space="preserve"> de información pública</w:t>
      </w:r>
      <w:r w:rsidR="008A699B">
        <w:rPr>
          <w:rFonts w:ascii="Palatino Linotype" w:eastAsia="Calibri" w:hAnsi="Palatino Linotype" w:cs="Arial"/>
          <w:lang w:val="es-ES"/>
        </w:rPr>
        <w:t xml:space="preserve"> registrada</w:t>
      </w:r>
      <w:r w:rsidRPr="005078EC">
        <w:rPr>
          <w:rFonts w:ascii="Palatino Linotype" w:eastAsia="Calibri" w:hAnsi="Palatino Linotype" w:cs="Arial"/>
          <w:lang w:val="es-ES"/>
        </w:rPr>
        <w:t xml:space="preserve"> con </w:t>
      </w:r>
      <w:r w:rsidR="008A699B">
        <w:rPr>
          <w:rFonts w:ascii="Palatino Linotype" w:eastAsia="Calibri" w:hAnsi="Palatino Linotype" w:cs="Arial"/>
          <w:lang w:val="es-ES"/>
        </w:rPr>
        <w:t xml:space="preserve">el </w:t>
      </w:r>
      <w:r w:rsidRPr="005078EC">
        <w:rPr>
          <w:rFonts w:ascii="Palatino Linotype" w:eastAsia="Calibri" w:hAnsi="Palatino Linotype" w:cs="Arial"/>
          <w:lang w:val="es-ES"/>
        </w:rPr>
        <w:t>número</w:t>
      </w:r>
      <w:r w:rsidRPr="005078EC">
        <w:rPr>
          <w:rFonts w:ascii="Palatino Linotype" w:hAnsi="Palatino Linotype"/>
          <w:b/>
          <w:bCs/>
          <w:color w:val="000000" w:themeColor="text1"/>
        </w:rPr>
        <w:t xml:space="preserve"> </w:t>
      </w:r>
      <w:r w:rsidR="00604C2F">
        <w:rPr>
          <w:rFonts w:ascii="Palatino Linotype" w:hAnsi="Palatino Linotype"/>
          <w:b/>
          <w:bCs/>
          <w:color w:val="000000" w:themeColor="text1"/>
        </w:rPr>
        <w:t>00102/AMECAMEC/IP/2022</w:t>
      </w:r>
      <w:r>
        <w:rPr>
          <w:rFonts w:ascii="Palatino Linotype" w:hAnsi="Palatino Linotype"/>
          <w:b/>
          <w:bCs/>
          <w:color w:val="000000" w:themeColor="text1"/>
        </w:rPr>
        <w:t>;</w:t>
      </w:r>
      <w:r w:rsidRPr="005078EC">
        <w:rPr>
          <w:rFonts w:ascii="Palatino Linotype" w:hAnsi="Palatino Linotype"/>
          <w:b/>
          <w:bCs/>
          <w:color w:val="000000" w:themeColor="text1"/>
        </w:rPr>
        <w:t xml:space="preserve"> </w:t>
      </w:r>
      <w:r w:rsidRPr="005078EC">
        <w:rPr>
          <w:rFonts w:ascii="Palatino Linotype" w:eastAsia="Calibri" w:hAnsi="Palatino Linotype" w:cs="Arial"/>
          <w:lang w:val="es-ES"/>
        </w:rPr>
        <w:t>mediante la cual se solicitó la siguiente información:</w:t>
      </w:r>
    </w:p>
    <w:p w:rsidR="008A699B" w:rsidRDefault="008A699B" w:rsidP="008A699B">
      <w:pPr>
        <w:pStyle w:val="Prrafodelista"/>
        <w:spacing w:before="240" w:after="240" w:line="360" w:lineRule="auto"/>
        <w:ind w:left="0"/>
        <w:jc w:val="both"/>
        <w:rPr>
          <w:rFonts w:ascii="Palatino Linotype" w:eastAsia="Calibri" w:hAnsi="Palatino Linotype" w:cs="Arial"/>
          <w:lang w:val="es-ES"/>
        </w:rPr>
      </w:pPr>
    </w:p>
    <w:p w:rsidR="009F09BC" w:rsidRPr="008A699B" w:rsidRDefault="008A699B" w:rsidP="008A699B">
      <w:pPr>
        <w:pStyle w:val="Prrafodelista"/>
        <w:spacing w:line="360" w:lineRule="auto"/>
        <w:ind w:left="426" w:right="474"/>
        <w:jc w:val="both"/>
        <w:rPr>
          <w:rFonts w:ascii="Palatino Linotype" w:hAnsi="Palatino Linotype"/>
          <w:i/>
        </w:rPr>
      </w:pPr>
      <w:r w:rsidRPr="008A699B">
        <w:rPr>
          <w:rFonts w:ascii="Palatino Linotype" w:hAnsi="Palatino Linotype"/>
          <w:i/>
        </w:rPr>
        <w:t>“</w:t>
      </w:r>
      <w:r w:rsidR="00604C2F" w:rsidRPr="00604C2F">
        <w:rPr>
          <w:rFonts w:ascii="Palatino Linotype" w:hAnsi="Palatino Linotype"/>
          <w:i/>
        </w:rPr>
        <w:t xml:space="preserve">Buenos días informo a la Comisionada del INFOEM o al Sistema SAIMEX, con fecha 8 de Febrero de 2022, solicite por medio del sistema información al Ayuntamiento de Amecameca y solo me enviaron un acta donde me informan que se les </w:t>
      </w:r>
      <w:proofErr w:type="spellStart"/>
      <w:r w:rsidR="00604C2F" w:rsidRPr="00604C2F">
        <w:rPr>
          <w:rFonts w:ascii="Palatino Linotype" w:hAnsi="Palatino Linotype"/>
          <w:i/>
        </w:rPr>
        <w:t>de</w:t>
      </w:r>
      <w:proofErr w:type="spellEnd"/>
      <w:r w:rsidR="00604C2F" w:rsidRPr="00604C2F">
        <w:rPr>
          <w:rFonts w:ascii="Palatino Linotype" w:hAnsi="Palatino Linotype"/>
          <w:i/>
        </w:rPr>
        <w:t xml:space="preserve"> una </w:t>
      </w:r>
      <w:proofErr w:type="spellStart"/>
      <w:r w:rsidR="00604C2F" w:rsidRPr="00604C2F">
        <w:rPr>
          <w:rFonts w:ascii="Palatino Linotype" w:hAnsi="Palatino Linotype"/>
          <w:i/>
        </w:rPr>
        <w:t>prorroga</w:t>
      </w:r>
      <w:proofErr w:type="spellEnd"/>
      <w:r w:rsidR="00604C2F" w:rsidRPr="00604C2F">
        <w:rPr>
          <w:rFonts w:ascii="Palatino Linotype" w:hAnsi="Palatino Linotype"/>
          <w:i/>
        </w:rPr>
        <w:t xml:space="preserve">, y hasta la fecha no me han enviado ninguna información y mi solicitud era la No. 35 y verificado el sistema ya se encuentra en las concluidas, por lo que nuevamente solicito la siguiente </w:t>
      </w:r>
      <w:proofErr w:type="spellStart"/>
      <w:r w:rsidR="00604C2F" w:rsidRPr="00604C2F">
        <w:rPr>
          <w:rFonts w:ascii="Palatino Linotype" w:hAnsi="Palatino Linotype"/>
          <w:i/>
        </w:rPr>
        <w:t>información.SOLICITO</w:t>
      </w:r>
      <w:proofErr w:type="spellEnd"/>
      <w:r w:rsidR="00604C2F" w:rsidRPr="00604C2F">
        <w:rPr>
          <w:rFonts w:ascii="Palatino Linotype" w:hAnsi="Palatino Linotype"/>
          <w:i/>
        </w:rPr>
        <w:t xml:space="preserve"> DE ESTE AYUNTAMIENTO DE AMECAMECA LAS NOMINAS DEL MES DE DICIEMBRE DE 2021 DE LA PRIMERA Y SEGUNDA QUINCENA Y DEL </w:t>
      </w:r>
      <w:r w:rsidR="00604C2F" w:rsidRPr="00604C2F">
        <w:rPr>
          <w:rFonts w:ascii="Palatino Linotype" w:hAnsi="Palatino Linotype"/>
          <w:i/>
        </w:rPr>
        <w:lastRenderedPageBreak/>
        <w:t>MES DE ENERO PRIMERA Y SEGUNDA QUINCENA DEL 2022, DESGLOSADAS SUELDO BRUTO Y NETO, GRATIFICACIONES Y COMPENSACIONES DE TODOS LOS TRABAJADORES TANTO SINDICALIZADOS COMO DE CONFIANZA.</w:t>
      </w:r>
      <w:r w:rsidRPr="008A699B">
        <w:rPr>
          <w:rFonts w:ascii="Palatino Linotype" w:hAnsi="Palatino Linotype"/>
          <w:i/>
        </w:rPr>
        <w:t>”</w:t>
      </w:r>
    </w:p>
    <w:p w:rsidR="008A699B" w:rsidRPr="00AA4EC2" w:rsidRDefault="008A699B" w:rsidP="009F09BC">
      <w:pPr>
        <w:pStyle w:val="Prrafodelista"/>
        <w:spacing w:line="360" w:lineRule="auto"/>
        <w:ind w:left="851" w:right="34"/>
        <w:jc w:val="both"/>
        <w:rPr>
          <w:rFonts w:ascii="Palatino Linotype" w:hAnsi="Palatino Linotype"/>
        </w:rPr>
      </w:pPr>
    </w:p>
    <w:p w:rsidR="009F09BC" w:rsidRPr="00604C2F" w:rsidRDefault="009F09BC" w:rsidP="009F09BC">
      <w:pPr>
        <w:pStyle w:val="Prrafodelista"/>
        <w:numPr>
          <w:ilvl w:val="0"/>
          <w:numId w:val="23"/>
        </w:numPr>
        <w:spacing w:line="360" w:lineRule="auto"/>
        <w:ind w:left="851" w:right="34"/>
        <w:jc w:val="both"/>
        <w:rPr>
          <w:rFonts w:ascii="Palatino Linotype" w:hAnsi="Palatino Linotype"/>
        </w:rPr>
      </w:pPr>
      <w:r w:rsidRPr="00D707F7">
        <w:rPr>
          <w:rFonts w:ascii="Palatino Linotype" w:eastAsia="Times New Roman" w:hAnsi="Palatino Linotype" w:cs="Arial"/>
          <w:lang w:val="es-ES"/>
        </w:rPr>
        <w:t>Se eligió como modalidad de entrega de la información</w:t>
      </w:r>
      <w:r w:rsidRPr="00D707F7">
        <w:rPr>
          <w:rFonts w:ascii="Palatino Linotype" w:hAnsi="Palatino Linotype"/>
        </w:rPr>
        <w:t xml:space="preserve">: </w:t>
      </w:r>
      <w:r w:rsidRPr="00DA3F4B">
        <w:rPr>
          <w:rFonts w:ascii="Palatino Linotype" w:hAnsi="Palatino Linotype"/>
        </w:rPr>
        <w:t xml:space="preserve">A través del </w:t>
      </w:r>
      <w:r w:rsidRPr="0057514F">
        <w:rPr>
          <w:rFonts w:ascii="Palatino Linotype" w:hAnsi="Palatino Linotype"/>
          <w:b/>
        </w:rPr>
        <w:t>SAIMEX</w:t>
      </w:r>
    </w:p>
    <w:p w:rsidR="00604C2F" w:rsidRPr="008A699B" w:rsidRDefault="00604C2F" w:rsidP="00604C2F">
      <w:pPr>
        <w:pStyle w:val="Prrafodelista"/>
        <w:spacing w:line="360" w:lineRule="auto"/>
        <w:ind w:left="851" w:right="34"/>
        <w:jc w:val="both"/>
        <w:rPr>
          <w:rFonts w:ascii="Palatino Linotype" w:hAnsi="Palatino Linotype"/>
        </w:rPr>
      </w:pPr>
    </w:p>
    <w:p w:rsidR="009F09BC" w:rsidRPr="00652937" w:rsidRDefault="00604C2F" w:rsidP="00E61C13">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Pr>
          <w:rFonts w:ascii="Palatino Linotype" w:hAnsi="Palatino Linotype" w:cs="Arial"/>
          <w:noProof/>
          <w:color w:val="000000" w:themeColor="text1"/>
          <w:lang w:val="es-ES"/>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903406</wp:posOffset>
                </wp:positionV>
                <wp:extent cx="5595582" cy="4128448"/>
                <wp:effectExtent l="0" t="0" r="24765" b="24765"/>
                <wp:wrapNone/>
                <wp:docPr id="4" name="Conector recto 4"/>
                <wp:cNvGraphicFramePr/>
                <a:graphic xmlns:a="http://schemas.openxmlformats.org/drawingml/2006/main">
                  <a:graphicData uri="http://schemas.microsoft.com/office/word/2010/wordprocessingShape">
                    <wps:wsp>
                      <wps:cNvCnPr/>
                      <wps:spPr>
                        <a:xfrm>
                          <a:off x="0" y="0"/>
                          <a:ext cx="5595582" cy="412844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A641EB" id="Conector recto 4" o:spid="_x0000_s1026" style="position:absolute;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4pt,71.15pt" to="830pt,3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" strokecolor="black [3200]" strokeweight="1.5pt">
                <v:stroke joinstyle="miter"/>
                <w10:wrap anchorx="margin"/>
              </v:line>
            </w:pict>
          </mc:Fallback>
        </mc:AlternateContent>
      </w:r>
      <w:r w:rsidR="00E61C13">
        <w:rPr>
          <w:rFonts w:ascii="Palatino Linotype" w:hAnsi="Palatino Linotype" w:cs="Arial"/>
          <w:color w:val="000000" w:themeColor="text1"/>
        </w:rPr>
        <w:t xml:space="preserve">El </w:t>
      </w:r>
      <w:r>
        <w:rPr>
          <w:rFonts w:ascii="Palatino Linotype" w:hAnsi="Palatino Linotype" w:cs="Arial"/>
          <w:color w:val="000000" w:themeColor="text1"/>
        </w:rPr>
        <w:t>veinticinco</w:t>
      </w:r>
      <w:r w:rsidR="009F09BC">
        <w:rPr>
          <w:rFonts w:ascii="Palatino Linotype" w:hAnsi="Palatino Linotype" w:cs="Arial"/>
          <w:color w:val="000000" w:themeColor="text1"/>
        </w:rPr>
        <w:t xml:space="preserve"> (</w:t>
      </w:r>
      <w:r>
        <w:rPr>
          <w:rFonts w:ascii="Palatino Linotype" w:hAnsi="Palatino Linotype" w:cs="Arial"/>
          <w:color w:val="000000" w:themeColor="text1"/>
        </w:rPr>
        <w:t>25</w:t>
      </w:r>
      <w:r w:rsidR="009F09BC">
        <w:rPr>
          <w:rFonts w:ascii="Palatino Linotype" w:hAnsi="Palatino Linotype" w:cs="Arial"/>
          <w:color w:val="000000" w:themeColor="text1"/>
        </w:rPr>
        <w:t xml:space="preserve">) de </w:t>
      </w:r>
      <w:r>
        <w:rPr>
          <w:rFonts w:ascii="Palatino Linotype" w:hAnsi="Palatino Linotype" w:cs="Arial"/>
          <w:color w:val="000000" w:themeColor="text1"/>
        </w:rPr>
        <w:t>abril</w:t>
      </w:r>
      <w:r w:rsidR="002C4997">
        <w:rPr>
          <w:rFonts w:ascii="Palatino Linotype" w:hAnsi="Palatino Linotype" w:cs="Arial"/>
          <w:color w:val="000000" w:themeColor="text1"/>
        </w:rPr>
        <w:t xml:space="preserve"> de dos mil veintidós</w:t>
      </w:r>
      <w:r w:rsidR="009F09BC">
        <w:rPr>
          <w:rFonts w:ascii="Palatino Linotype" w:hAnsi="Palatino Linotype" w:cs="Arial"/>
          <w:color w:val="000000" w:themeColor="text1"/>
        </w:rPr>
        <w:t xml:space="preserve">, el </w:t>
      </w:r>
      <w:r w:rsidR="009F09BC" w:rsidRPr="00C90ADB">
        <w:rPr>
          <w:rFonts w:ascii="Palatino Linotype" w:hAnsi="Palatino Linotype" w:cs="Arial"/>
          <w:b/>
          <w:color w:val="000000" w:themeColor="text1"/>
        </w:rPr>
        <w:t>SUJETO OBLIGADO</w:t>
      </w:r>
      <w:r w:rsidR="009F09BC">
        <w:rPr>
          <w:rFonts w:ascii="Palatino Linotype" w:hAnsi="Palatino Linotype" w:cs="Arial"/>
          <w:b/>
          <w:color w:val="000000" w:themeColor="text1"/>
        </w:rPr>
        <w:t>,</w:t>
      </w:r>
      <w:r w:rsidR="009F09BC">
        <w:rPr>
          <w:rFonts w:ascii="Palatino Linotype" w:hAnsi="Palatino Linotype" w:cs="Arial"/>
          <w:color w:val="000000" w:themeColor="text1"/>
        </w:rPr>
        <w:t xml:space="preserve"> dio respuesta a la solicitud de información </w:t>
      </w:r>
      <w:r w:rsidR="002C4997" w:rsidRPr="002C4997">
        <w:rPr>
          <w:rFonts w:ascii="Palatino Linotype" w:hAnsi="Palatino Linotype" w:cs="Arial"/>
          <w:color w:val="000000" w:themeColor="text1"/>
        </w:rPr>
        <w:t>en los siguientes términos</w:t>
      </w:r>
      <w:r w:rsidR="009F09BC" w:rsidRPr="00952F61">
        <w:rPr>
          <w:rFonts w:ascii="Palatino Linotype" w:hAnsi="Palatino Linotype" w:cs="Arial"/>
          <w:color w:val="000000" w:themeColor="text1"/>
        </w:rPr>
        <w:t>:</w:t>
      </w:r>
    </w:p>
    <w:p w:rsidR="00652937" w:rsidRPr="00E61C13" w:rsidRDefault="00604C2F" w:rsidP="00604C2F">
      <w:pPr>
        <w:pStyle w:val="Prrafodelista"/>
        <w:tabs>
          <w:tab w:val="left" w:pos="0"/>
        </w:tabs>
        <w:spacing w:line="360" w:lineRule="auto"/>
        <w:ind w:left="0" w:right="51"/>
        <w:jc w:val="center"/>
        <w:rPr>
          <w:rFonts w:ascii="Palatino Linotype" w:hAnsi="Palatino Linotype" w:cs="Arial"/>
          <w:i/>
          <w:color w:val="000000" w:themeColor="text1"/>
        </w:rPr>
      </w:pPr>
      <w:r>
        <w:rPr>
          <w:rFonts w:ascii="Palatino Linotype" w:hAnsi="Palatino Linotype" w:cs="Arial"/>
          <w:i/>
          <w:noProof/>
          <w:color w:val="000000" w:themeColor="text1"/>
          <w:lang w:val="es-ES"/>
        </w:rPr>
        <w:lastRenderedPageBreak/>
        <w:drawing>
          <wp:inline distT="0" distB="0" distL="0" distR="0">
            <wp:extent cx="5200354" cy="5384042"/>
            <wp:effectExtent l="19050" t="19050" r="19685" b="266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1039" cy="5405458"/>
                    </a:xfrm>
                    <a:prstGeom prst="rect">
                      <a:avLst/>
                    </a:prstGeom>
                    <a:noFill/>
                    <a:ln>
                      <a:solidFill>
                        <a:schemeClr val="tx1"/>
                      </a:solidFill>
                    </a:ln>
                  </pic:spPr>
                </pic:pic>
              </a:graphicData>
            </a:graphic>
          </wp:inline>
        </w:drawing>
      </w:r>
    </w:p>
    <w:p w:rsidR="00804DAA" w:rsidRPr="00652937" w:rsidRDefault="00804DAA" w:rsidP="00652937">
      <w:pPr>
        <w:pStyle w:val="Prrafodelista"/>
        <w:tabs>
          <w:tab w:val="left" w:pos="0"/>
        </w:tabs>
        <w:spacing w:line="360" w:lineRule="auto"/>
        <w:ind w:left="0" w:right="51"/>
        <w:jc w:val="center"/>
        <w:rPr>
          <w:rFonts w:ascii="Palatino Linotype" w:hAnsi="Palatino Linotype" w:cs="Arial"/>
          <w:color w:val="000000" w:themeColor="text1"/>
        </w:rPr>
      </w:pPr>
    </w:p>
    <w:p w:rsidR="009F09BC" w:rsidRPr="007E4FFE"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D707F7">
        <w:rPr>
          <w:rFonts w:ascii="Palatino Linotype" w:eastAsia="Times New Roman" w:hAnsi="Palatino Linotype" w:cs="Arial"/>
          <w:color w:val="000000" w:themeColor="text1"/>
          <w:lang w:val="es-ES"/>
        </w:rPr>
        <w:t>E</w:t>
      </w:r>
      <w:r w:rsidR="002C4997">
        <w:rPr>
          <w:rFonts w:ascii="Palatino Linotype" w:eastAsia="Times New Roman" w:hAnsi="Palatino Linotype" w:cs="Arial"/>
          <w:color w:val="000000" w:themeColor="text1"/>
          <w:lang w:val="es-ES"/>
        </w:rPr>
        <w:t xml:space="preserve">l </w:t>
      </w:r>
      <w:r w:rsidR="00604C2F">
        <w:rPr>
          <w:rFonts w:ascii="Palatino Linotype" w:eastAsia="Times New Roman" w:hAnsi="Palatino Linotype" w:cs="Arial"/>
          <w:color w:val="000000" w:themeColor="text1"/>
          <w:lang w:val="es-ES"/>
        </w:rPr>
        <w:t>veintiocho</w:t>
      </w:r>
      <w:r w:rsidR="002C4997">
        <w:rPr>
          <w:rFonts w:ascii="Palatino Linotype" w:eastAsia="Times New Roman" w:hAnsi="Palatino Linotype" w:cs="Arial"/>
          <w:color w:val="000000" w:themeColor="text1"/>
          <w:lang w:val="es-ES"/>
        </w:rPr>
        <w:t xml:space="preserve"> </w:t>
      </w:r>
      <w:r w:rsidRPr="00D707F7">
        <w:rPr>
          <w:rFonts w:ascii="Palatino Linotype" w:eastAsia="Times New Roman" w:hAnsi="Palatino Linotype" w:cs="Arial"/>
          <w:color w:val="000000" w:themeColor="text1"/>
          <w:lang w:val="es-ES"/>
        </w:rPr>
        <w:t>(</w:t>
      </w:r>
      <w:r w:rsidR="00804DAA">
        <w:rPr>
          <w:rFonts w:ascii="Palatino Linotype" w:eastAsia="Times New Roman" w:hAnsi="Palatino Linotype" w:cs="Arial"/>
          <w:color w:val="000000" w:themeColor="text1"/>
          <w:lang w:val="es-ES"/>
        </w:rPr>
        <w:t>2</w:t>
      </w:r>
      <w:r w:rsidR="00604C2F">
        <w:rPr>
          <w:rFonts w:ascii="Palatino Linotype" w:eastAsia="Times New Roman" w:hAnsi="Palatino Linotype" w:cs="Arial"/>
          <w:color w:val="000000" w:themeColor="text1"/>
          <w:lang w:val="es-ES"/>
        </w:rPr>
        <w:t>8</w:t>
      </w:r>
      <w:r>
        <w:rPr>
          <w:rFonts w:ascii="Palatino Linotype" w:eastAsia="Times New Roman" w:hAnsi="Palatino Linotype" w:cs="Arial"/>
          <w:color w:val="000000" w:themeColor="text1"/>
          <w:lang w:val="es-ES"/>
        </w:rPr>
        <w:t xml:space="preserve">) de </w:t>
      </w:r>
      <w:r w:rsidR="00604C2F">
        <w:rPr>
          <w:rFonts w:ascii="Palatino Linotype" w:eastAsia="Times New Roman" w:hAnsi="Palatino Linotype" w:cs="Arial"/>
          <w:color w:val="000000" w:themeColor="text1"/>
          <w:lang w:val="es-ES"/>
        </w:rPr>
        <w:t>abril</w:t>
      </w:r>
      <w:r w:rsidRPr="00D707F7">
        <w:rPr>
          <w:rFonts w:ascii="Palatino Linotype" w:eastAsia="Times New Roman" w:hAnsi="Palatino Linotype" w:cs="Arial"/>
          <w:color w:val="000000" w:themeColor="text1"/>
          <w:lang w:val="es-ES"/>
        </w:rPr>
        <w:t xml:space="preserve"> de </w:t>
      </w:r>
      <w:r w:rsidR="00025C53">
        <w:rPr>
          <w:rFonts w:ascii="Palatino Linotype" w:eastAsia="Times New Roman" w:hAnsi="Palatino Linotype" w:cs="Arial"/>
          <w:color w:val="000000" w:themeColor="text1"/>
          <w:lang w:val="es-ES"/>
        </w:rPr>
        <w:t>dos mil veintidós</w:t>
      </w:r>
      <w:r>
        <w:rPr>
          <w:rFonts w:ascii="Palatino Linotype" w:eastAsia="Times New Roman" w:hAnsi="Palatino Linotype" w:cs="Arial"/>
          <w:color w:val="000000" w:themeColor="text1"/>
          <w:lang w:val="es-ES"/>
        </w:rPr>
        <w:t xml:space="preserve">, el particular interpuso </w:t>
      </w:r>
      <w:r w:rsidR="002C4997">
        <w:rPr>
          <w:rFonts w:ascii="Palatino Linotype" w:eastAsia="Times New Roman" w:hAnsi="Palatino Linotype" w:cs="Arial"/>
          <w:color w:val="000000" w:themeColor="text1"/>
          <w:lang w:val="es-ES"/>
        </w:rPr>
        <w:t>e</w:t>
      </w:r>
      <w:r w:rsidRPr="00D707F7">
        <w:rPr>
          <w:rFonts w:ascii="Palatino Linotype" w:eastAsia="Times New Roman" w:hAnsi="Palatino Linotype" w:cs="Arial"/>
          <w:color w:val="000000" w:themeColor="text1"/>
          <w:lang w:val="es-ES"/>
        </w:rPr>
        <w:t>l recurso de revisión en contra de la respuesta</w:t>
      </w:r>
      <w:r>
        <w:rPr>
          <w:rFonts w:ascii="Palatino Linotype" w:eastAsia="Times New Roman" w:hAnsi="Palatino Linotype" w:cs="Arial"/>
          <w:color w:val="000000" w:themeColor="text1"/>
          <w:lang w:val="es-ES"/>
        </w:rPr>
        <w:t>,</w:t>
      </w:r>
      <w:r w:rsidRPr="002C4997">
        <w:rPr>
          <w:rFonts w:ascii="Palatino Linotype" w:eastAsia="Times New Roman" w:hAnsi="Palatino Linotype" w:cs="Arial"/>
          <w:color w:val="000000" w:themeColor="text1"/>
          <w:lang w:val="es-ES"/>
        </w:rPr>
        <w:t xml:space="preserve"> manifestando l</w:t>
      </w:r>
      <w:r w:rsidR="002C4997" w:rsidRPr="002C4997">
        <w:rPr>
          <w:rFonts w:ascii="Palatino Linotype" w:eastAsia="Times New Roman" w:hAnsi="Palatino Linotype" w:cs="Arial"/>
          <w:color w:val="000000" w:themeColor="text1"/>
          <w:lang w:val="es-ES"/>
        </w:rPr>
        <w:t>a</w:t>
      </w:r>
      <w:r w:rsidRPr="002C4997">
        <w:rPr>
          <w:rFonts w:ascii="Palatino Linotype" w:eastAsia="Times New Roman" w:hAnsi="Palatino Linotype" w:cs="Arial"/>
          <w:color w:val="000000" w:themeColor="text1"/>
          <w:lang w:val="es-ES"/>
        </w:rPr>
        <w:t xml:space="preserve">s </w:t>
      </w:r>
      <w:r w:rsidR="002C4997" w:rsidRPr="002C4997">
        <w:rPr>
          <w:rFonts w:ascii="Palatino Linotype" w:eastAsia="Times New Roman" w:hAnsi="Palatino Linotype" w:cs="Arial"/>
          <w:color w:val="000000" w:themeColor="text1"/>
          <w:lang w:val="es-ES"/>
        </w:rPr>
        <w:t>siguientes</w:t>
      </w:r>
      <w:r w:rsidRPr="002C4997">
        <w:rPr>
          <w:rFonts w:ascii="Palatino Linotype" w:eastAsia="Times New Roman" w:hAnsi="Palatino Linotype" w:cs="Arial"/>
          <w:color w:val="000000" w:themeColor="text1"/>
          <w:lang w:val="es-ES"/>
        </w:rPr>
        <w:t xml:space="preserve"> razones o motivos de inconformidad</w:t>
      </w:r>
      <w:r w:rsidRPr="00D707F7">
        <w:rPr>
          <w:rFonts w:ascii="Palatino Linotype" w:eastAsia="Times New Roman" w:hAnsi="Palatino Linotype" w:cs="Arial"/>
          <w:color w:val="000000" w:themeColor="text1"/>
          <w:lang w:val="es-ES"/>
        </w:rPr>
        <w:t>:</w:t>
      </w:r>
    </w:p>
    <w:p w:rsidR="009F09BC" w:rsidRPr="00D707F7"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Pr="00C03BA3" w:rsidRDefault="009F09BC" w:rsidP="00604C2F">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C03BA3">
        <w:rPr>
          <w:rStyle w:val="Ttulo2Car"/>
          <w:rFonts w:ascii="Palatino Linotype" w:hAnsi="Palatino Linotype"/>
          <w:b/>
          <w:color w:val="auto"/>
          <w:sz w:val="24"/>
          <w:szCs w:val="24"/>
        </w:rPr>
        <w:lastRenderedPageBreak/>
        <w:t>Acto impugnado</w:t>
      </w:r>
      <w:bookmarkEnd w:id="3"/>
      <w:r w:rsidRPr="00C03BA3">
        <w:rPr>
          <w:rStyle w:val="Ttulo2Car"/>
          <w:rFonts w:ascii="Palatino Linotype" w:hAnsi="Palatino Linotype"/>
          <w:b/>
          <w:color w:val="000000" w:themeColor="text1"/>
          <w:sz w:val="24"/>
          <w:szCs w:val="24"/>
        </w:rPr>
        <w:t xml:space="preserve">: </w:t>
      </w:r>
      <w:r w:rsidRPr="00C03BA3">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604C2F" w:rsidRPr="00604C2F">
        <w:rPr>
          <w:rStyle w:val="Ttulo2Car"/>
          <w:rFonts w:ascii="Palatino Linotype" w:hAnsi="Palatino Linotype"/>
          <w:i/>
          <w:color w:val="000000" w:themeColor="text1"/>
          <w:sz w:val="24"/>
          <w:szCs w:val="24"/>
        </w:rPr>
        <w:t>EN ESTE ACTO COMENTO QUE EL LIC. MARIO EDMUNDO RODRIGUEZ AGUILAR, TITULAR DE LA UNIDAD DE TRANSPARENCIA Y ACCESO A LA INFORMACION PUBLICA DEL MUNICIPIO DE AMECAMECA, NO HA QUERIDO ENVIARME LO SOLICITADO, YA QUE EN LA SOLICITUD No. 035 Y LA 102 DEL SISTEMA SAIMEX DE ESTE AÑO 2022, DONDE SOLICITO DEL AYUNTAMIENTO DE AMECAMECA LAS NOMINAS DEL MES DE DICIEMBRE DEL 2021 LA PRIMERA Y SEGUNDA QUINCENA, ASI COMO LA PRIMERA Y SEGUNDA QUINCENA DE ENERO DE 2022, DESGLOSADAS, COMO SUELDO FRUTO Y NETO, GRATIFICACIONES Y COMPESANCIONES DE TODOS LOS TRABAJADORES TANTO SINDICALIZADOS COMO DE CONFIANZA, POR LO QUE HAGO ESTA INCOMFORMIDAD EN CONTRA DEL AYUNTAMIENTO DE AMECAMECA, ESTADO DE MEXICO,</w:t>
      </w:r>
      <w:r w:rsidR="00652937" w:rsidRPr="00652937">
        <w:rPr>
          <w:rStyle w:val="Ttulo2Car"/>
          <w:rFonts w:ascii="Palatino Linotype" w:hAnsi="Palatino Linotype"/>
          <w:i/>
          <w:color w:val="000000" w:themeColor="text1"/>
          <w:sz w:val="24"/>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C03BA3" w:rsidRDefault="009F09BC" w:rsidP="002650A0">
      <w:pPr>
        <w:spacing w:line="360" w:lineRule="auto"/>
        <w:jc w:val="both"/>
        <w:rPr>
          <w:rFonts w:ascii="Palatino Linotype" w:hAnsi="Palatino Linotype"/>
          <w:i/>
          <w:color w:val="000000" w:themeColor="text1"/>
        </w:rPr>
      </w:pPr>
    </w:p>
    <w:p w:rsidR="009F09BC" w:rsidRDefault="009F09BC" w:rsidP="00604C2F">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C03BA3">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C03BA3">
        <w:rPr>
          <w:rFonts w:ascii="Palatino Linotype" w:hAnsi="Palatino Linotype"/>
          <w:b/>
          <w:color w:val="000000" w:themeColor="text1"/>
        </w:rPr>
        <w:t xml:space="preserve"> </w:t>
      </w:r>
      <w:r w:rsidRPr="00C03BA3">
        <w:rPr>
          <w:rFonts w:ascii="Palatino Linotype" w:hAnsi="Palatino Linotype"/>
          <w:i/>
          <w:color w:val="000000" w:themeColor="text1"/>
        </w:rPr>
        <w:t>“</w:t>
      </w:r>
      <w:r w:rsidR="00604C2F" w:rsidRPr="00604C2F">
        <w:rPr>
          <w:rFonts w:ascii="Palatino Linotype" w:hAnsi="Palatino Linotype"/>
          <w:i/>
          <w:color w:val="000000" w:themeColor="text1"/>
        </w:rPr>
        <w:t>EL MOTIVO PORQUE EL TITULAR DE TRANSPARENCIA DE ESTE AYUNTAMIENTO DE AMECAMECA SE HA NEGADO A PROPORCIONARME LA INFORMACIÓN. Y HASTA LA FECHA NO HE RECIBIDO NINGUNA INFORMACIÓN</w:t>
      </w:r>
      <w:r w:rsidRPr="00C03BA3">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82142B" w:rsidRPr="0082142B" w:rsidRDefault="0082142B" w:rsidP="0082142B">
      <w:pPr>
        <w:pStyle w:val="Prrafodelista"/>
        <w:rPr>
          <w:rFonts w:ascii="Palatino Linotype" w:hAnsi="Palatino Linotype"/>
          <w:i/>
          <w:color w:val="000000" w:themeColor="text1"/>
        </w:rPr>
      </w:pPr>
    </w:p>
    <w:p w:rsidR="009F09BC" w:rsidRPr="00D707F7" w:rsidRDefault="00CC5B2F" w:rsidP="009F09BC">
      <w:pPr>
        <w:pStyle w:val="Prrafodelista"/>
        <w:numPr>
          <w:ilvl w:val="0"/>
          <w:numId w:val="15"/>
        </w:numPr>
        <w:spacing w:before="240" w:after="240" w:line="360" w:lineRule="auto"/>
        <w:ind w:left="0" w:firstLine="0"/>
        <w:jc w:val="both"/>
        <w:rPr>
          <w:rFonts w:ascii="Palatino Linotype" w:hAnsi="Palatino Linotype"/>
          <w:i/>
        </w:rPr>
      </w:pPr>
      <w:r>
        <w:rPr>
          <w:rFonts w:ascii="Palatino Linotype" w:eastAsia="Calibri" w:hAnsi="Palatino Linotype" w:cs="Arial"/>
          <w:lang w:val="es-ES"/>
        </w:rPr>
        <w:t>La Comisionada</w:t>
      </w:r>
      <w:r w:rsidR="009F09BC" w:rsidRPr="00D707F7">
        <w:rPr>
          <w:rFonts w:ascii="Palatino Linotype" w:eastAsia="Calibri" w:hAnsi="Palatino Linotype" w:cs="Arial"/>
          <w:lang w:val="es-ES"/>
        </w:rPr>
        <w:t xml:space="preserve"> Ponente</w:t>
      </w:r>
      <w:r w:rsidR="009F09BC">
        <w:rPr>
          <w:rFonts w:ascii="Palatino Linotype" w:eastAsia="Calibri" w:hAnsi="Palatino Linotype" w:cs="Arial"/>
          <w:lang w:val="es-ES"/>
        </w:rPr>
        <w:t xml:space="preserve"> </w:t>
      </w:r>
      <w:r w:rsidR="009F09BC" w:rsidRPr="00D707F7">
        <w:rPr>
          <w:rFonts w:ascii="Palatino Linotype" w:eastAsia="Calibri" w:hAnsi="Palatino Linotype" w:cs="Arial"/>
          <w:lang w:val="es-ES"/>
        </w:rPr>
        <w:t>con fundamento en lo dispuesto por el artículo 185 fracción II de la ley de la materia, a través del acuerdo de admisión de fecha</w:t>
      </w:r>
      <w:r w:rsidR="009F09BC">
        <w:rPr>
          <w:rFonts w:ascii="Palatino Linotype" w:eastAsia="Calibri" w:hAnsi="Palatino Linotype" w:cs="Arial"/>
          <w:lang w:val="es-ES"/>
        </w:rPr>
        <w:t xml:space="preserve"> </w:t>
      </w:r>
      <w:r w:rsidR="008450AB">
        <w:rPr>
          <w:rFonts w:ascii="Palatino Linotype" w:eastAsia="Calibri" w:hAnsi="Palatino Linotype" w:cs="Arial"/>
          <w:lang w:val="es-ES"/>
        </w:rPr>
        <w:t>tres</w:t>
      </w:r>
      <w:r w:rsidR="009F09BC" w:rsidRPr="00D707F7">
        <w:rPr>
          <w:rFonts w:ascii="Palatino Linotype" w:eastAsia="Calibri" w:hAnsi="Palatino Linotype" w:cs="Arial"/>
          <w:lang w:val="es-ES"/>
        </w:rPr>
        <w:t xml:space="preserve"> (</w:t>
      </w:r>
      <w:r w:rsidR="008450AB">
        <w:rPr>
          <w:rFonts w:ascii="Palatino Linotype" w:eastAsia="Calibri" w:hAnsi="Palatino Linotype" w:cs="Arial"/>
          <w:lang w:val="es-ES"/>
        </w:rPr>
        <w:t>03</w:t>
      </w:r>
      <w:r w:rsidR="009F09BC" w:rsidRPr="00D707F7">
        <w:rPr>
          <w:rFonts w:ascii="Palatino Linotype" w:eastAsia="Calibri" w:hAnsi="Palatino Linotype" w:cs="Arial"/>
          <w:lang w:val="es-ES"/>
        </w:rPr>
        <w:t xml:space="preserve">) de </w:t>
      </w:r>
      <w:r w:rsidR="008450AB">
        <w:rPr>
          <w:rFonts w:ascii="Palatino Linotype" w:eastAsia="Calibri" w:hAnsi="Palatino Linotype" w:cs="Arial"/>
          <w:lang w:val="es-ES"/>
        </w:rPr>
        <w:t>may</w:t>
      </w:r>
      <w:r w:rsidR="009F09BC">
        <w:rPr>
          <w:rFonts w:ascii="Palatino Linotype" w:eastAsia="Calibri" w:hAnsi="Palatino Linotype" w:cs="Arial"/>
          <w:lang w:val="es-ES"/>
        </w:rPr>
        <w:t>o</w:t>
      </w:r>
      <w:r w:rsidR="009F09BC" w:rsidRPr="00D707F7">
        <w:rPr>
          <w:rFonts w:ascii="Palatino Linotype" w:eastAsia="Calibri" w:hAnsi="Palatino Linotype" w:cs="Arial"/>
          <w:lang w:val="es-ES"/>
        </w:rPr>
        <w:t xml:space="preserve"> del año en curso, puso a disposición de las partes el expediente electrónico </w:t>
      </w:r>
      <w:r w:rsidR="009F09BC" w:rsidRPr="00D707F7">
        <w:rPr>
          <w:rFonts w:ascii="Palatino Linotype" w:eastAsia="Calibri" w:hAnsi="Palatino Linotype" w:cs="Arial"/>
        </w:rPr>
        <w:t xml:space="preserve">vía </w:t>
      </w:r>
      <w:r w:rsidR="009F09BC" w:rsidRPr="00D707F7">
        <w:rPr>
          <w:rFonts w:ascii="Palatino Linotype" w:eastAsia="Calibri" w:hAnsi="Palatino Linotype" w:cs="Arial"/>
          <w:b/>
          <w:lang w:val="es-ES"/>
        </w:rPr>
        <w:t xml:space="preserve">SAIMEX </w:t>
      </w:r>
      <w:r w:rsidR="009F09BC" w:rsidRPr="00D707F7">
        <w:rPr>
          <w:rFonts w:ascii="Palatino Linotype" w:eastAsia="Calibri" w:hAnsi="Palatino Linotype" w:cs="Arial"/>
          <w:lang w:val="es-ES"/>
        </w:rPr>
        <w:t xml:space="preserve">a efecto de que en un plazo máximo de siete días manifestaran lo que </w:t>
      </w:r>
      <w:r w:rsidR="009F09BC" w:rsidRPr="00D707F7">
        <w:rPr>
          <w:rFonts w:ascii="Palatino Linotype" w:eastAsia="Calibri" w:hAnsi="Palatino Linotype" w:cs="Arial"/>
          <w:lang w:val="es-ES"/>
        </w:rPr>
        <w:lastRenderedPageBreak/>
        <w:t xml:space="preserve">a su derecho conviniera, ofrecieran pruebas y alegatos según corresponda a los casos concretos, </w:t>
      </w:r>
      <w:r w:rsidR="009F09BC">
        <w:rPr>
          <w:rFonts w:ascii="Palatino Linotype" w:eastAsia="Calibri" w:hAnsi="Palatino Linotype" w:cs="Arial"/>
          <w:lang w:val="es-ES"/>
        </w:rPr>
        <w:t>y</w:t>
      </w:r>
      <w:r w:rsidR="009F09BC" w:rsidRPr="00D707F7">
        <w:rPr>
          <w:rFonts w:ascii="Palatino Linotype" w:eastAsia="Calibri" w:hAnsi="Palatino Linotype" w:cs="Arial"/>
          <w:lang w:val="es-ES"/>
        </w:rPr>
        <w:t xml:space="preserve"> el </w:t>
      </w:r>
      <w:r w:rsidR="009F09BC" w:rsidRPr="00D707F7">
        <w:rPr>
          <w:rFonts w:ascii="Palatino Linotype" w:eastAsia="Calibri" w:hAnsi="Palatino Linotype" w:cs="Arial"/>
          <w:b/>
          <w:lang w:val="es-ES"/>
        </w:rPr>
        <w:t>SUJETO OBLIGADO</w:t>
      </w:r>
      <w:r w:rsidR="009F09BC" w:rsidRPr="00D707F7">
        <w:rPr>
          <w:rFonts w:ascii="Palatino Linotype" w:eastAsia="Calibri" w:hAnsi="Palatino Linotype" w:cs="Arial"/>
          <w:lang w:val="es-ES"/>
        </w:rPr>
        <w:t xml:space="preserve"> presentará el Informe Justificado procedente.</w:t>
      </w:r>
    </w:p>
    <w:p w:rsidR="009F09BC" w:rsidRPr="00C0715F" w:rsidRDefault="009F09BC" w:rsidP="009F09BC">
      <w:pPr>
        <w:pStyle w:val="Prrafodelista"/>
        <w:spacing w:before="240" w:after="240" w:line="360" w:lineRule="auto"/>
        <w:ind w:left="0"/>
        <w:jc w:val="both"/>
        <w:rPr>
          <w:rFonts w:ascii="Palatino Linotype" w:hAnsi="Palatino Linotype"/>
        </w:rPr>
      </w:pPr>
    </w:p>
    <w:p w:rsidR="009F09BC" w:rsidRPr="002C4997" w:rsidRDefault="009F09BC" w:rsidP="006672E1">
      <w:pPr>
        <w:pStyle w:val="Prrafodelista"/>
        <w:numPr>
          <w:ilvl w:val="0"/>
          <w:numId w:val="15"/>
        </w:numPr>
        <w:spacing w:before="240" w:after="240" w:line="360" w:lineRule="auto"/>
        <w:ind w:left="0" w:firstLine="0"/>
        <w:jc w:val="both"/>
        <w:rPr>
          <w:rFonts w:ascii="Palatino Linotype" w:hAnsi="Palatino Linotype"/>
        </w:rPr>
      </w:pPr>
      <w:r w:rsidRPr="002C4997">
        <w:rPr>
          <w:rFonts w:ascii="Palatino Linotype" w:hAnsi="Palatino Linotype"/>
          <w:color w:val="000000"/>
        </w:rPr>
        <w:t xml:space="preserve">El </w:t>
      </w:r>
      <w:r w:rsidRPr="002C4997">
        <w:rPr>
          <w:rFonts w:ascii="Palatino Linotype" w:hAnsi="Palatino Linotype"/>
          <w:b/>
          <w:color w:val="000000"/>
        </w:rPr>
        <w:t xml:space="preserve">SUJETO </w:t>
      </w:r>
      <w:r w:rsidRPr="006672E1">
        <w:rPr>
          <w:rFonts w:ascii="Palatino Linotype" w:eastAsia="Calibri" w:hAnsi="Palatino Linotype" w:cs="Arial"/>
          <w:b/>
          <w:lang w:val="es-ES"/>
        </w:rPr>
        <w:t>OBLIGADO</w:t>
      </w:r>
      <w:r w:rsidR="007A6A1A" w:rsidRPr="002C4997">
        <w:rPr>
          <w:rFonts w:ascii="Palatino Linotype" w:hAnsi="Palatino Linotype"/>
          <w:color w:val="000000"/>
        </w:rPr>
        <w:t xml:space="preserve"> </w:t>
      </w:r>
      <w:r w:rsidR="00A305ED">
        <w:rPr>
          <w:rFonts w:ascii="Palatino Linotype" w:hAnsi="Palatino Linotype"/>
          <w:color w:val="000000"/>
        </w:rPr>
        <w:t>fue omiso en rendir el informe justificado correspondiente</w:t>
      </w:r>
      <w:r w:rsidR="002C4997" w:rsidRPr="002C4997">
        <w:rPr>
          <w:rFonts w:ascii="Palatino Linotype" w:hAnsi="Palatino Linotype"/>
          <w:color w:val="000000"/>
        </w:rPr>
        <w:t>.</w:t>
      </w:r>
      <w:r w:rsidR="002C4997">
        <w:rPr>
          <w:rFonts w:ascii="Palatino Linotype" w:hAnsi="Palatino Linotype"/>
          <w:color w:val="000000"/>
        </w:rPr>
        <w:t xml:space="preserve"> </w:t>
      </w:r>
      <w:r w:rsidRPr="002C4997">
        <w:rPr>
          <w:rFonts w:ascii="Palatino Linotype" w:hAnsi="Palatino Linotype"/>
          <w:color w:val="000000"/>
        </w:rPr>
        <w:t xml:space="preserve">Por su parte </w:t>
      </w:r>
      <w:r w:rsidRPr="002C4997">
        <w:rPr>
          <w:rFonts w:ascii="Palatino Linotype" w:hAnsi="Palatino Linotype"/>
          <w:b/>
          <w:color w:val="000000"/>
        </w:rPr>
        <w:t xml:space="preserve">EL PARTICULAR </w:t>
      </w:r>
      <w:r w:rsidR="00A305ED">
        <w:rPr>
          <w:rFonts w:ascii="Palatino Linotype" w:hAnsi="Palatino Linotype"/>
          <w:color w:val="000000"/>
        </w:rPr>
        <w:t>dejó de realizar manifestaciones que a su derecho conviniera y asistiera</w:t>
      </w:r>
      <w:r w:rsidRPr="002C4997">
        <w:rPr>
          <w:rFonts w:ascii="Palatino Linotype" w:hAnsi="Palatino Linotype"/>
          <w:color w:val="000000"/>
        </w:rPr>
        <w:t>.</w:t>
      </w:r>
    </w:p>
    <w:p w:rsidR="00ED6E75" w:rsidRPr="00AE1FDD" w:rsidRDefault="00ED6E75" w:rsidP="00ED6E75">
      <w:pPr>
        <w:pStyle w:val="Prrafodelista"/>
        <w:spacing w:before="240" w:after="240" w:line="360" w:lineRule="auto"/>
        <w:ind w:left="0"/>
        <w:jc w:val="both"/>
        <w:rPr>
          <w:rFonts w:ascii="Palatino Linotype" w:hAnsi="Palatino Linotype"/>
        </w:rPr>
      </w:pPr>
    </w:p>
    <w:p w:rsidR="00A305ED" w:rsidRPr="00A305ED" w:rsidRDefault="00A305ED" w:rsidP="00A305ED">
      <w:pPr>
        <w:pStyle w:val="Prrafodelista"/>
        <w:numPr>
          <w:ilvl w:val="0"/>
          <w:numId w:val="15"/>
        </w:numPr>
        <w:spacing w:before="240" w:after="240" w:line="360" w:lineRule="auto"/>
        <w:ind w:left="0" w:firstLine="0"/>
        <w:jc w:val="both"/>
        <w:rPr>
          <w:rFonts w:ascii="Palatino Linotype" w:hAnsi="Palatino Linotype"/>
          <w:b/>
          <w:color w:val="000000" w:themeColor="text1"/>
        </w:rPr>
      </w:pPr>
      <w:r>
        <w:rPr>
          <w:rFonts w:ascii="Palatino Linotype" w:hAnsi="Palatino Linotype"/>
        </w:rPr>
        <w:t>M</w:t>
      </w:r>
      <w:r w:rsidR="006672E1" w:rsidRPr="00A305ED">
        <w:rPr>
          <w:rFonts w:ascii="Palatino Linotype" w:hAnsi="Palatino Linotype"/>
        </w:rPr>
        <w:t xml:space="preserve">ediante </w:t>
      </w:r>
      <w:r w:rsidR="006672E1" w:rsidRPr="00A305ED">
        <w:rPr>
          <w:rFonts w:ascii="Palatino Linotype" w:hAnsi="Palatino Linotype"/>
          <w:color w:val="000000"/>
        </w:rPr>
        <w:t>acuerdos</w:t>
      </w:r>
      <w:r w:rsidR="006672E1" w:rsidRPr="00A305ED">
        <w:rPr>
          <w:rFonts w:ascii="Palatino Linotype" w:hAnsi="Palatino Linotype"/>
        </w:rPr>
        <w:t xml:space="preserve"> de fecha </w:t>
      </w:r>
      <w:r w:rsidR="008450AB">
        <w:rPr>
          <w:rFonts w:ascii="Palatino Linotype" w:hAnsi="Palatino Linotype"/>
        </w:rPr>
        <w:t>siete</w:t>
      </w:r>
      <w:r w:rsidRPr="00A305ED">
        <w:rPr>
          <w:rFonts w:ascii="Palatino Linotype" w:hAnsi="Palatino Linotype"/>
        </w:rPr>
        <w:t xml:space="preserve"> (</w:t>
      </w:r>
      <w:r w:rsidR="008450AB">
        <w:rPr>
          <w:rFonts w:ascii="Palatino Linotype" w:hAnsi="Palatino Linotype"/>
        </w:rPr>
        <w:t>07</w:t>
      </w:r>
      <w:r w:rsidR="0001674C" w:rsidRPr="00A305ED">
        <w:rPr>
          <w:rFonts w:ascii="Palatino Linotype" w:hAnsi="Palatino Linotype"/>
        </w:rPr>
        <w:t xml:space="preserve">) de </w:t>
      </w:r>
      <w:r w:rsidR="008450AB">
        <w:rPr>
          <w:rFonts w:ascii="Palatino Linotype" w:hAnsi="Palatino Linotype"/>
        </w:rPr>
        <w:t>juni</w:t>
      </w:r>
      <w:r w:rsidR="0001674C" w:rsidRPr="00A305ED">
        <w:rPr>
          <w:rFonts w:ascii="Palatino Linotype" w:hAnsi="Palatino Linotype"/>
        </w:rPr>
        <w:t xml:space="preserve">o del año en curso, </w:t>
      </w:r>
      <w:r w:rsidR="006672E1" w:rsidRPr="00A305ED">
        <w:rPr>
          <w:rFonts w:ascii="Palatino Linotype" w:hAnsi="Palatino Linotype"/>
        </w:rPr>
        <w:t xml:space="preserve">se amplió el termino para resolver y posteriormente </w:t>
      </w:r>
      <w:r w:rsidR="0001674C" w:rsidRPr="00A305ED">
        <w:rPr>
          <w:rFonts w:ascii="Palatino Linotype" w:hAnsi="Palatino Linotype"/>
        </w:rPr>
        <w:t>se d</w:t>
      </w:r>
      <w:r w:rsidR="006672E1" w:rsidRPr="00A305ED">
        <w:rPr>
          <w:rFonts w:ascii="Palatino Linotype" w:hAnsi="Palatino Linotype"/>
        </w:rPr>
        <w:t>ecretó el cierre de instrucción</w:t>
      </w:r>
      <w:r w:rsidR="0001674C" w:rsidRPr="00A305ED">
        <w:rPr>
          <w:rFonts w:ascii="Palatino Linotype" w:hAnsi="Palatino Linotype"/>
        </w:rPr>
        <w:t xml:space="preserve">, </w:t>
      </w:r>
      <w:r w:rsidR="009F09BC" w:rsidRPr="00A305ED">
        <w:rPr>
          <w:rFonts w:ascii="Palatino Linotype" w:hAnsi="Palatino Linotype" w:cs="Arial"/>
        </w:rPr>
        <w:t>por lo que no habiendo más que hacer constar, y --------------------------</w:t>
      </w:r>
      <w:r w:rsidR="0001674C" w:rsidRPr="00A305ED">
        <w:rPr>
          <w:rFonts w:ascii="Palatino Linotype" w:hAnsi="Palatino Linotype" w:cs="Arial"/>
        </w:rPr>
        <w:t>-------------------</w:t>
      </w:r>
      <w:bookmarkStart w:id="133" w:name="_Toc491791302"/>
      <w:bookmarkStart w:id="134" w:name="_Toc83128578"/>
      <w:r w:rsidR="008450AB">
        <w:rPr>
          <w:rFonts w:ascii="Palatino Linotype" w:hAnsi="Palatino Linotype" w:cs="Arial"/>
        </w:rPr>
        <w:t>---------------</w:t>
      </w:r>
    </w:p>
    <w:p w:rsidR="008450AB" w:rsidRDefault="008450AB" w:rsidP="00A305ED">
      <w:pPr>
        <w:pStyle w:val="Prrafodelista"/>
        <w:spacing w:before="240" w:after="240" w:line="360" w:lineRule="auto"/>
        <w:ind w:left="0"/>
        <w:jc w:val="center"/>
        <w:rPr>
          <w:rFonts w:ascii="Palatino Linotype" w:hAnsi="Palatino Linotype"/>
          <w:b/>
          <w:color w:val="000000" w:themeColor="text1"/>
        </w:rPr>
      </w:pPr>
    </w:p>
    <w:p w:rsidR="009F09BC" w:rsidRPr="00A305ED" w:rsidRDefault="009F09BC" w:rsidP="00A305ED">
      <w:pPr>
        <w:pStyle w:val="Prrafodelista"/>
        <w:spacing w:before="240" w:after="240" w:line="360" w:lineRule="auto"/>
        <w:ind w:left="0"/>
        <w:jc w:val="center"/>
        <w:rPr>
          <w:rFonts w:ascii="Palatino Linotype" w:hAnsi="Palatino Linotype"/>
          <w:b/>
          <w:color w:val="000000" w:themeColor="text1"/>
        </w:rPr>
      </w:pPr>
      <w:r w:rsidRPr="00A305ED">
        <w:rPr>
          <w:rFonts w:ascii="Palatino Linotype" w:hAnsi="Palatino Linotype"/>
          <w:b/>
          <w:color w:val="000000" w:themeColor="text1"/>
        </w:rPr>
        <w:t>CONSIDERANDO</w:t>
      </w:r>
      <w:bookmarkEnd w:id="133"/>
      <w:bookmarkEnd w:id="134"/>
    </w:p>
    <w:p w:rsidR="009F09BC" w:rsidRPr="00D707F7" w:rsidRDefault="009F09BC" w:rsidP="009F09BC">
      <w:pPr>
        <w:rPr>
          <w:rFonts w:ascii="Palatino Linotype" w:hAnsi="Palatino Linotype"/>
          <w:lang w:val="es-MX" w:eastAsia="en-US"/>
        </w:rPr>
      </w:pPr>
    </w:p>
    <w:p w:rsidR="009F09BC" w:rsidRPr="00D707F7" w:rsidRDefault="009F09BC" w:rsidP="009F09BC">
      <w:pPr>
        <w:pStyle w:val="Ttulo2"/>
        <w:rPr>
          <w:rFonts w:ascii="Palatino Linotype" w:hAnsi="Palatino Linotype"/>
          <w:b/>
          <w:color w:val="auto"/>
          <w:sz w:val="24"/>
          <w:szCs w:val="24"/>
        </w:rPr>
      </w:pPr>
      <w:bookmarkStart w:id="135" w:name="_Toc491791303"/>
      <w:bookmarkStart w:id="136" w:name="_Toc83128579"/>
      <w:r w:rsidRPr="00D707F7">
        <w:rPr>
          <w:rFonts w:ascii="Palatino Linotype" w:hAnsi="Palatino Linotype"/>
          <w:b/>
          <w:color w:val="auto"/>
          <w:sz w:val="24"/>
          <w:szCs w:val="24"/>
        </w:rPr>
        <w:t>PRIMERO. De la competencia</w:t>
      </w:r>
      <w:bookmarkEnd w:id="135"/>
      <w:bookmarkEnd w:id="136"/>
    </w:p>
    <w:p w:rsidR="009F09BC" w:rsidRPr="00D707F7" w:rsidRDefault="009F09BC" w:rsidP="009F09BC">
      <w:pPr>
        <w:rPr>
          <w:rFonts w:ascii="Palatino Linotype" w:hAnsi="Palatino Linotype"/>
          <w:lang w:val="es-MX" w:eastAsia="en-US"/>
        </w:rPr>
      </w:pPr>
    </w:p>
    <w:p w:rsidR="00353F1D" w:rsidRPr="009E6B17" w:rsidRDefault="00353F1D" w:rsidP="00353F1D">
      <w:pPr>
        <w:pStyle w:val="Prrafodelista"/>
        <w:numPr>
          <w:ilvl w:val="0"/>
          <w:numId w:val="15"/>
        </w:numPr>
        <w:spacing w:line="360" w:lineRule="auto"/>
        <w:ind w:left="0" w:firstLine="0"/>
        <w:jc w:val="both"/>
        <w:rPr>
          <w:rFonts w:ascii="Palatino Linotype" w:hAnsi="Palatino Linotype"/>
          <w:color w:val="000000" w:themeColor="text1"/>
        </w:rPr>
      </w:pPr>
      <w:r w:rsidRPr="009E6B17">
        <w:rPr>
          <w:rFonts w:ascii="Palatino Linotype" w:hAnsi="Palatino Linotype"/>
          <w:color w:val="000000" w:themeColor="text1"/>
        </w:rPr>
        <w:t xml:space="preserve">El </w:t>
      </w:r>
      <w:r w:rsidRPr="00B34159">
        <w:rPr>
          <w:rFonts w:ascii="Palatino Linotype" w:hAnsi="Palatino Linotype"/>
        </w:rPr>
        <w:t>Instituto</w:t>
      </w:r>
      <w:r w:rsidRPr="009E6B17">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w:t>
      </w:r>
      <w:r w:rsidRPr="009E6B17">
        <w:rPr>
          <w:rFonts w:ascii="Palatino Linotype" w:hAnsi="Palatino Linotype"/>
          <w:color w:val="000000" w:themeColor="text1"/>
        </w:rPr>
        <w:lastRenderedPageBreak/>
        <w:t>Municipios; 7°, 9°, fracciones I y XXIV y 11 del Reglamento Interior del Instituto de Transparencia, Acceso a la Información Pública y Protección de Datos Personales del Estado de México y Municipios.</w:t>
      </w:r>
    </w:p>
    <w:p w:rsidR="009F09BC" w:rsidRPr="00C936E7" w:rsidRDefault="009F09BC" w:rsidP="00353F1D">
      <w:pPr>
        <w:pStyle w:val="Prrafodelista"/>
        <w:spacing w:line="360" w:lineRule="auto"/>
        <w:ind w:left="0"/>
        <w:jc w:val="both"/>
        <w:rPr>
          <w:rFonts w:ascii="Palatino Linotype" w:eastAsia="Calibri" w:hAnsi="Palatino Linotype" w:cs="Times New Roman"/>
          <w:b/>
          <w:lang w:val="es-ES"/>
        </w:rPr>
      </w:pPr>
    </w:p>
    <w:p w:rsidR="009F09BC" w:rsidRDefault="009F09BC" w:rsidP="009F09BC">
      <w:pPr>
        <w:pStyle w:val="Ttulo2"/>
        <w:rPr>
          <w:rFonts w:ascii="Palatino Linotype" w:hAnsi="Palatino Linotype"/>
          <w:b/>
          <w:color w:val="auto"/>
          <w:sz w:val="24"/>
          <w:szCs w:val="24"/>
        </w:rPr>
      </w:pPr>
      <w:bookmarkStart w:id="137" w:name="_Toc491791304"/>
      <w:bookmarkStart w:id="138" w:name="_Toc83128580"/>
      <w:r w:rsidRPr="00CA1063">
        <w:rPr>
          <w:rFonts w:ascii="Palatino Linotype" w:hAnsi="Palatino Linotype"/>
          <w:b/>
          <w:color w:val="auto"/>
          <w:sz w:val="24"/>
          <w:szCs w:val="24"/>
        </w:rPr>
        <w:t>SEGUNDO. De la oportunidad y procedencia.</w:t>
      </w:r>
      <w:bookmarkEnd w:id="137"/>
      <w:bookmarkEnd w:id="138"/>
    </w:p>
    <w:p w:rsidR="009F09BC" w:rsidRPr="002D58F8" w:rsidRDefault="009F09BC" w:rsidP="009F09BC">
      <w:pPr>
        <w:rPr>
          <w:lang w:val="es-MX" w:eastAsia="en-US"/>
        </w:rPr>
      </w:pPr>
    </w:p>
    <w:p w:rsidR="009F09BC" w:rsidRPr="0062406B" w:rsidRDefault="00425842" w:rsidP="009F09BC">
      <w:pPr>
        <w:pStyle w:val="Prrafodelista"/>
        <w:numPr>
          <w:ilvl w:val="0"/>
          <w:numId w:val="15"/>
        </w:numPr>
        <w:spacing w:line="360" w:lineRule="auto"/>
        <w:ind w:left="0" w:firstLine="0"/>
        <w:jc w:val="both"/>
        <w:rPr>
          <w:rFonts w:ascii="Palatino Linotype" w:hAnsi="Palatino Linotype"/>
        </w:rPr>
      </w:pPr>
      <w:r>
        <w:rPr>
          <w:rFonts w:ascii="Palatino Linotype" w:eastAsia="Calibri" w:hAnsi="Palatino Linotype" w:cs="Arial"/>
        </w:rPr>
        <w:t>El</w:t>
      </w:r>
      <w:r w:rsidR="00AD63B4">
        <w:rPr>
          <w:rFonts w:ascii="Palatino Linotype" w:eastAsia="Calibri" w:hAnsi="Palatino Linotype" w:cs="Arial"/>
        </w:rPr>
        <w:t xml:space="preserve"> </w:t>
      </w:r>
      <w:r w:rsidR="009F09BC" w:rsidRPr="00E859F4">
        <w:rPr>
          <w:rFonts w:ascii="Palatino Linotype" w:eastAsia="Calibri" w:hAnsi="Palatino Linotype" w:cs="Arial"/>
        </w:rPr>
        <w:t xml:space="preserve">medio de impugnación fue presentado a través del </w:t>
      </w:r>
      <w:r w:rsidR="009F09BC" w:rsidRPr="00E859F4">
        <w:rPr>
          <w:rFonts w:ascii="Palatino Linotype" w:eastAsia="Calibri" w:hAnsi="Palatino Linotype" w:cs="Arial"/>
          <w:b/>
        </w:rPr>
        <w:t>SAIMEX,</w:t>
      </w:r>
      <w:r w:rsidR="009F09BC" w:rsidRPr="00E859F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E859F4">
        <w:rPr>
          <w:rFonts w:ascii="Palatino Linotype" w:eastAsia="Calibri" w:hAnsi="Palatino Linotype" w:cs="Arial"/>
          <w:b/>
        </w:rPr>
        <w:t>SUJETO OBLIGADO</w:t>
      </w:r>
      <w:r>
        <w:rPr>
          <w:rFonts w:ascii="Palatino Linotype" w:eastAsia="Calibri" w:hAnsi="Palatino Linotype" w:cs="Arial"/>
        </w:rPr>
        <w:t xml:space="preserve"> entregó su</w:t>
      </w:r>
      <w:r w:rsidR="009F09BC" w:rsidRPr="00E859F4">
        <w:rPr>
          <w:rFonts w:ascii="Palatino Linotype" w:eastAsia="Calibri" w:hAnsi="Palatino Linotype" w:cs="Arial"/>
        </w:rPr>
        <w:t xml:space="preserve"> respuesta </w:t>
      </w:r>
      <w:r>
        <w:rPr>
          <w:rFonts w:ascii="Palatino Linotype" w:eastAsia="Calibri" w:hAnsi="Palatino Linotype" w:cs="Arial"/>
        </w:rPr>
        <w:t>e</w:t>
      </w:r>
      <w:r w:rsidR="009F09BC" w:rsidRPr="00E859F4">
        <w:rPr>
          <w:rFonts w:ascii="Palatino Linotype" w:eastAsia="Calibri" w:hAnsi="Palatino Linotype" w:cs="Arial"/>
        </w:rPr>
        <w:t xml:space="preserve">l </w:t>
      </w:r>
      <w:r w:rsidR="008450AB">
        <w:rPr>
          <w:rFonts w:ascii="Palatino Linotype" w:eastAsia="Calibri" w:hAnsi="Palatino Linotype" w:cs="Arial"/>
        </w:rPr>
        <w:t>veinticinco</w:t>
      </w:r>
      <w:r>
        <w:rPr>
          <w:rFonts w:ascii="Palatino Linotype" w:eastAsia="Calibri" w:hAnsi="Palatino Linotype" w:cs="Arial"/>
        </w:rPr>
        <w:t xml:space="preserve"> (</w:t>
      </w:r>
      <w:r w:rsidR="008450AB">
        <w:rPr>
          <w:rFonts w:ascii="Palatino Linotype" w:eastAsia="Calibri" w:hAnsi="Palatino Linotype" w:cs="Arial"/>
        </w:rPr>
        <w:t>25</w:t>
      </w:r>
      <w:r w:rsidR="009F09BC" w:rsidRPr="00E859F4">
        <w:rPr>
          <w:rFonts w:ascii="Palatino Linotype" w:eastAsia="Calibri" w:hAnsi="Palatino Linotype" w:cs="Arial"/>
        </w:rPr>
        <w:t xml:space="preserve">) de </w:t>
      </w:r>
      <w:r w:rsidR="008450AB">
        <w:rPr>
          <w:rFonts w:ascii="Palatino Linotype" w:eastAsia="Calibri" w:hAnsi="Palatino Linotype" w:cs="Arial"/>
        </w:rPr>
        <w:t>abril</w:t>
      </w:r>
      <w:r>
        <w:rPr>
          <w:rFonts w:ascii="Palatino Linotype" w:eastAsia="Calibri" w:hAnsi="Palatino Linotype" w:cs="Arial"/>
        </w:rPr>
        <w:t xml:space="preserve"> de dos mil veintidós</w:t>
      </w:r>
      <w:r w:rsidR="009F09BC" w:rsidRPr="00E859F4">
        <w:rPr>
          <w:rFonts w:ascii="Palatino Linotype" w:eastAsia="Calibri" w:hAnsi="Palatino Linotype" w:cs="Arial"/>
        </w:rPr>
        <w:t xml:space="preserve">, </w:t>
      </w:r>
      <w:r w:rsidR="009F09BC" w:rsidRPr="00E859F4">
        <w:rPr>
          <w:rFonts w:ascii="Palatino Linotype" w:hAnsi="Palatino Linotype" w:cs="Arial"/>
        </w:rPr>
        <w:t xml:space="preserve">de tal forma que </w:t>
      </w:r>
      <w:r>
        <w:rPr>
          <w:rFonts w:ascii="Palatino Linotype" w:hAnsi="Palatino Linotype" w:cs="Arial"/>
        </w:rPr>
        <w:t>e</w:t>
      </w:r>
      <w:r w:rsidR="009F09BC" w:rsidRPr="00E859F4">
        <w:rPr>
          <w:rFonts w:ascii="Palatino Linotype" w:hAnsi="Palatino Linotype" w:cs="Arial"/>
        </w:rPr>
        <w:t xml:space="preserve">l plazo para interponer </w:t>
      </w:r>
      <w:r>
        <w:rPr>
          <w:rFonts w:ascii="Palatino Linotype" w:hAnsi="Palatino Linotype" w:cs="Arial"/>
        </w:rPr>
        <w:t>e</w:t>
      </w:r>
      <w:r w:rsidR="009F09BC" w:rsidRPr="00E859F4">
        <w:rPr>
          <w:rFonts w:ascii="Palatino Linotype" w:hAnsi="Palatino Linotype" w:cs="Arial"/>
        </w:rPr>
        <w:t xml:space="preserve">l recurso de revisión </w:t>
      </w:r>
      <w:r w:rsidRPr="00E859F4">
        <w:rPr>
          <w:rFonts w:ascii="Palatino Linotype" w:hAnsi="Palatino Linotype" w:cs="Arial"/>
        </w:rPr>
        <w:t>transcurri</w:t>
      </w:r>
      <w:r>
        <w:rPr>
          <w:rFonts w:ascii="Palatino Linotype" w:hAnsi="Palatino Linotype" w:cs="Arial"/>
        </w:rPr>
        <w:t>ó</w:t>
      </w:r>
      <w:r w:rsidR="009F09BC" w:rsidRPr="00E859F4">
        <w:rPr>
          <w:rFonts w:ascii="Palatino Linotype" w:hAnsi="Palatino Linotype" w:cs="Arial"/>
        </w:rPr>
        <w:t xml:space="preserve"> del día </w:t>
      </w:r>
      <w:r w:rsidR="008450AB">
        <w:rPr>
          <w:rFonts w:ascii="Palatino Linotype" w:hAnsi="Palatino Linotype" w:cs="Arial"/>
        </w:rPr>
        <w:t>veintiséis</w:t>
      </w:r>
      <w:r w:rsidR="000F1081">
        <w:rPr>
          <w:rFonts w:ascii="Palatino Linotype" w:hAnsi="Palatino Linotype" w:cs="Arial"/>
        </w:rPr>
        <w:t xml:space="preserve"> (2</w:t>
      </w:r>
      <w:r w:rsidR="008450AB">
        <w:rPr>
          <w:rFonts w:ascii="Palatino Linotype" w:hAnsi="Palatino Linotype" w:cs="Arial"/>
        </w:rPr>
        <w:t>6</w:t>
      </w:r>
      <w:r w:rsidR="009F09BC" w:rsidRPr="00E859F4">
        <w:rPr>
          <w:rFonts w:ascii="Palatino Linotype" w:hAnsi="Palatino Linotype" w:cs="Arial"/>
        </w:rPr>
        <w:t xml:space="preserve">) de </w:t>
      </w:r>
      <w:r w:rsidR="008450AB">
        <w:rPr>
          <w:rFonts w:ascii="Palatino Linotype" w:hAnsi="Palatino Linotype" w:cs="Arial"/>
        </w:rPr>
        <w:t>abril</w:t>
      </w:r>
      <w:r w:rsidR="007A460E">
        <w:rPr>
          <w:rFonts w:ascii="Palatino Linotype" w:hAnsi="Palatino Linotype" w:cs="Arial"/>
        </w:rPr>
        <w:t xml:space="preserve"> al </w:t>
      </w:r>
      <w:r w:rsidR="008450AB">
        <w:rPr>
          <w:rFonts w:ascii="Palatino Linotype" w:hAnsi="Palatino Linotype" w:cs="Arial"/>
        </w:rPr>
        <w:t>diecisiete</w:t>
      </w:r>
      <w:r w:rsidR="009F09BC" w:rsidRPr="00E859F4">
        <w:rPr>
          <w:rFonts w:ascii="Palatino Linotype" w:hAnsi="Palatino Linotype" w:cs="Arial"/>
        </w:rPr>
        <w:t xml:space="preserve"> (</w:t>
      </w:r>
      <w:r w:rsidR="000F1081">
        <w:rPr>
          <w:rFonts w:ascii="Palatino Linotype" w:hAnsi="Palatino Linotype" w:cs="Arial"/>
        </w:rPr>
        <w:t>1</w:t>
      </w:r>
      <w:r w:rsidR="008450AB">
        <w:rPr>
          <w:rFonts w:ascii="Palatino Linotype" w:hAnsi="Palatino Linotype" w:cs="Arial"/>
        </w:rPr>
        <w:t>7</w:t>
      </w:r>
      <w:r w:rsidR="009F09BC" w:rsidRPr="00E859F4">
        <w:rPr>
          <w:rFonts w:ascii="Palatino Linotype" w:hAnsi="Palatino Linotype" w:cs="Arial"/>
        </w:rPr>
        <w:t>)</w:t>
      </w:r>
      <w:r w:rsidR="0001674C">
        <w:rPr>
          <w:rFonts w:ascii="Palatino Linotype" w:hAnsi="Palatino Linotype" w:cs="Arial"/>
        </w:rPr>
        <w:t xml:space="preserve"> de </w:t>
      </w:r>
      <w:r w:rsidR="008450AB">
        <w:rPr>
          <w:rFonts w:ascii="Palatino Linotype" w:hAnsi="Palatino Linotype" w:cs="Arial"/>
        </w:rPr>
        <w:t>may</w:t>
      </w:r>
      <w:r>
        <w:rPr>
          <w:rFonts w:ascii="Palatino Linotype" w:hAnsi="Palatino Linotype" w:cs="Arial"/>
        </w:rPr>
        <w:t>o</w:t>
      </w:r>
      <w:r w:rsidR="0001674C">
        <w:rPr>
          <w:rFonts w:ascii="Palatino Linotype" w:hAnsi="Palatino Linotype" w:cs="Arial"/>
        </w:rPr>
        <w:t xml:space="preserve"> de dos mil </w:t>
      </w:r>
      <w:r>
        <w:rPr>
          <w:rFonts w:ascii="Palatino Linotype" w:hAnsi="Palatino Linotype" w:cs="Arial"/>
        </w:rPr>
        <w:t>veintidós</w:t>
      </w:r>
      <w:r w:rsidR="0001674C">
        <w:rPr>
          <w:rFonts w:ascii="Palatino Linotype" w:hAnsi="Palatino Linotype" w:cs="Arial"/>
        </w:rPr>
        <w:t>; e</w:t>
      </w:r>
      <w:r w:rsidR="009F09BC" w:rsidRPr="00E859F4">
        <w:rPr>
          <w:rFonts w:ascii="Palatino Linotype" w:hAnsi="Palatino Linotype" w:cs="Arial"/>
        </w:rPr>
        <w:t xml:space="preserve">n consecuencia, </w:t>
      </w:r>
      <w:r w:rsidR="009F09BC">
        <w:rPr>
          <w:rFonts w:ascii="Palatino Linotype" w:hAnsi="Palatino Linotype" w:cs="Arial"/>
        </w:rPr>
        <w:t>e</w:t>
      </w:r>
      <w:r w:rsidR="009F09BC" w:rsidRPr="00E859F4">
        <w:rPr>
          <w:rFonts w:ascii="Palatino Linotype" w:hAnsi="Palatino Linotype" w:cs="Arial"/>
        </w:rPr>
        <w:t xml:space="preserve">l ahora </w:t>
      </w:r>
      <w:r w:rsidR="009F09BC" w:rsidRPr="00E859F4">
        <w:rPr>
          <w:rFonts w:ascii="Palatino Linotype" w:hAnsi="Palatino Linotype" w:cs="Arial"/>
          <w:b/>
        </w:rPr>
        <w:t>RECURRENTE</w:t>
      </w:r>
      <w:r w:rsidR="009F09BC" w:rsidRPr="00E859F4">
        <w:rPr>
          <w:rFonts w:ascii="Palatino Linotype" w:hAnsi="Palatino Linotype" w:cs="Arial"/>
        </w:rPr>
        <w:t xml:space="preserve"> presentó </w:t>
      </w:r>
      <w:r w:rsidR="00CA1063">
        <w:rPr>
          <w:rFonts w:ascii="Palatino Linotype" w:hAnsi="Palatino Linotype" w:cs="Arial"/>
        </w:rPr>
        <w:t xml:space="preserve">su inconformidad el día </w:t>
      </w:r>
      <w:r w:rsidR="008450AB">
        <w:rPr>
          <w:rFonts w:ascii="Palatino Linotype" w:hAnsi="Palatino Linotype" w:cs="Arial"/>
        </w:rPr>
        <w:t>veintiocho</w:t>
      </w:r>
      <w:r w:rsidR="0082142B">
        <w:rPr>
          <w:rFonts w:ascii="Palatino Linotype" w:hAnsi="Palatino Linotype" w:cs="Arial"/>
        </w:rPr>
        <w:t xml:space="preserve"> </w:t>
      </w:r>
      <w:r w:rsidR="009F09BC" w:rsidRPr="00E859F4">
        <w:rPr>
          <w:rFonts w:ascii="Palatino Linotype" w:hAnsi="Palatino Linotype" w:cs="Arial"/>
        </w:rPr>
        <w:t>(</w:t>
      </w:r>
      <w:r w:rsidR="0082142B">
        <w:rPr>
          <w:rFonts w:ascii="Palatino Linotype" w:hAnsi="Palatino Linotype" w:cs="Arial"/>
        </w:rPr>
        <w:t>2</w:t>
      </w:r>
      <w:r w:rsidR="008450AB">
        <w:rPr>
          <w:rFonts w:ascii="Palatino Linotype" w:hAnsi="Palatino Linotype" w:cs="Arial"/>
        </w:rPr>
        <w:t>8</w:t>
      </w:r>
      <w:r w:rsidR="009F09BC" w:rsidRPr="00E859F4">
        <w:rPr>
          <w:rFonts w:ascii="Palatino Linotype" w:hAnsi="Palatino Linotype" w:cs="Arial"/>
        </w:rPr>
        <w:t xml:space="preserve">) de </w:t>
      </w:r>
      <w:r w:rsidR="008450AB">
        <w:rPr>
          <w:rFonts w:ascii="Palatino Linotype" w:hAnsi="Palatino Linotype" w:cs="Arial"/>
        </w:rPr>
        <w:t>abril</w:t>
      </w:r>
      <w:r w:rsidR="007142D6">
        <w:rPr>
          <w:rFonts w:ascii="Palatino Linotype" w:hAnsi="Palatino Linotype" w:cs="Arial"/>
        </w:rPr>
        <w:t xml:space="preserve"> de dos mil veintidós</w:t>
      </w:r>
      <w:r w:rsidR="009F09BC" w:rsidRPr="00E859F4">
        <w:rPr>
          <w:rFonts w:ascii="Palatino Linotype" w:hAnsi="Palatino Linotype" w:cs="Arial"/>
        </w:rPr>
        <w:t xml:space="preserve">; </w:t>
      </w:r>
      <w:r w:rsidR="0062406B">
        <w:rPr>
          <w:rFonts w:ascii="Palatino Linotype" w:hAnsi="Palatino Linotype" w:cs="Arial"/>
        </w:rPr>
        <w:t xml:space="preserve">es decir </w:t>
      </w:r>
      <w:r w:rsidR="0082142B">
        <w:rPr>
          <w:rFonts w:ascii="Palatino Linotype" w:hAnsi="Palatino Linotype" w:cs="Arial"/>
        </w:rPr>
        <w:t>dentro d</w:t>
      </w:r>
      <w:r w:rsidR="009F09BC" w:rsidRPr="00E859F4">
        <w:rPr>
          <w:rFonts w:ascii="Palatino Linotype" w:hAnsi="Palatino Linotype" w:cs="Arial"/>
        </w:rPr>
        <w:t>el lapso legalmente establecido para tal efecto.</w:t>
      </w:r>
    </w:p>
    <w:p w:rsidR="0062406B" w:rsidRPr="0062406B" w:rsidRDefault="0062406B" w:rsidP="0062406B">
      <w:pPr>
        <w:pStyle w:val="Prrafodelista"/>
        <w:spacing w:line="360" w:lineRule="auto"/>
        <w:ind w:left="0"/>
        <w:jc w:val="both"/>
        <w:rPr>
          <w:rFonts w:ascii="Palatino Linotype" w:hAnsi="Palatino Linotype"/>
        </w:rPr>
      </w:pPr>
    </w:p>
    <w:p w:rsidR="009F09BC" w:rsidRPr="00CF0D2B" w:rsidRDefault="009F09BC" w:rsidP="00CF0D2B">
      <w:pPr>
        <w:pStyle w:val="Prrafodelista"/>
        <w:numPr>
          <w:ilvl w:val="0"/>
          <w:numId w:val="15"/>
        </w:numPr>
        <w:spacing w:line="360" w:lineRule="auto"/>
        <w:ind w:left="0" w:firstLine="0"/>
        <w:jc w:val="both"/>
        <w:rPr>
          <w:rFonts w:ascii="Palatino Linotype" w:hAnsi="Palatino Linotype"/>
        </w:rPr>
      </w:pPr>
      <w:r>
        <w:rPr>
          <w:rFonts w:ascii="Palatino Linotype" w:eastAsia="Calibri" w:hAnsi="Palatino Linotype" w:cs="Arial"/>
        </w:rPr>
        <w:t xml:space="preserve">Asimismo, </w:t>
      </w:r>
      <w:r w:rsidR="00CF0D2B">
        <w:rPr>
          <w:rFonts w:ascii="Palatino Linotype" w:eastAsia="Calibri" w:hAnsi="Palatino Linotype" w:cs="Arial"/>
        </w:rPr>
        <w:t>e</w:t>
      </w:r>
      <w:r w:rsidRPr="00D707F7">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F0D2B" w:rsidRPr="007142AB" w:rsidRDefault="00CF0D2B" w:rsidP="007142AB">
      <w:pPr>
        <w:rPr>
          <w:rFonts w:ascii="Palatino Linotype" w:hAnsi="Palatino Linotype"/>
        </w:rPr>
      </w:pPr>
    </w:p>
    <w:p w:rsidR="009F09BC" w:rsidRPr="009F09BC" w:rsidRDefault="009F09BC" w:rsidP="00CF0D2B">
      <w:pPr>
        <w:pStyle w:val="Ttulo1"/>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9F09BC">
        <w:rPr>
          <w:rFonts w:ascii="Palatino Linotype" w:hAnsi="Palatino Linotype"/>
          <w:b/>
          <w:color w:val="000000" w:themeColor="text1"/>
          <w:sz w:val="24"/>
          <w:szCs w:val="24"/>
        </w:rPr>
        <w:t xml:space="preserve">TERCERO. </w:t>
      </w:r>
      <w:bookmarkStart w:id="143" w:name="_Toc501021589"/>
      <w:r w:rsidRPr="009F09BC">
        <w:rPr>
          <w:rFonts w:ascii="Palatino Linotype" w:hAnsi="Palatino Linotype"/>
          <w:b/>
          <w:color w:val="000000" w:themeColor="text1"/>
          <w:sz w:val="24"/>
          <w:szCs w:val="24"/>
        </w:rPr>
        <w:t xml:space="preserve">Del planteamiento de la </w:t>
      </w:r>
      <w:r w:rsidRPr="009F09BC">
        <w:rPr>
          <w:rFonts w:ascii="Palatino Linotype" w:hAnsi="Palatino Linotype"/>
          <w:b/>
          <w:i/>
          <w:color w:val="000000" w:themeColor="text1"/>
          <w:sz w:val="24"/>
          <w:szCs w:val="24"/>
        </w:rPr>
        <w:t>Litis</w:t>
      </w:r>
      <w:r w:rsidRPr="009F09BC">
        <w:rPr>
          <w:rFonts w:ascii="Palatino Linotype" w:hAnsi="Palatino Linotype"/>
          <w:b/>
          <w:color w:val="000000" w:themeColor="text1"/>
          <w:sz w:val="24"/>
          <w:szCs w:val="24"/>
        </w:rPr>
        <w:t>.</w:t>
      </w:r>
      <w:bookmarkEnd w:id="139"/>
      <w:bookmarkEnd w:id="140"/>
      <w:bookmarkEnd w:id="141"/>
      <w:bookmarkEnd w:id="142"/>
      <w:bookmarkEnd w:id="143"/>
    </w:p>
    <w:p w:rsidR="009F09BC" w:rsidRPr="00D707F7" w:rsidRDefault="009F09BC" w:rsidP="009F09BC">
      <w:pPr>
        <w:rPr>
          <w:lang w:val="es-MX" w:eastAsia="en-US"/>
        </w:rPr>
      </w:pPr>
    </w:p>
    <w:p w:rsidR="009F09BC" w:rsidRDefault="009F09BC" w:rsidP="009F09BC">
      <w:pPr>
        <w:pStyle w:val="Prrafodelista"/>
        <w:numPr>
          <w:ilvl w:val="0"/>
          <w:numId w:val="15"/>
        </w:numPr>
        <w:spacing w:line="360" w:lineRule="auto"/>
        <w:ind w:left="0" w:firstLine="0"/>
        <w:jc w:val="both"/>
        <w:rPr>
          <w:rFonts w:ascii="Palatino Linotype" w:hAnsi="Palatino Linotype" w:cs="Arial"/>
        </w:rPr>
      </w:pPr>
      <w:r w:rsidRPr="00B1589A">
        <w:rPr>
          <w:rFonts w:ascii="Palatino Linotype" w:hAnsi="Palatino Linotype" w:cs="Arial"/>
        </w:rPr>
        <w:t xml:space="preserve">Se </w:t>
      </w:r>
      <w:r w:rsidRPr="00B1589A">
        <w:rPr>
          <w:rFonts w:ascii="Palatino Linotype" w:eastAsia="Calibri" w:hAnsi="Palatino Linotype" w:cs="Arial"/>
        </w:rPr>
        <w:t>solicitó</w:t>
      </w:r>
      <w:r w:rsidRPr="00D216A4">
        <w:rPr>
          <w:rFonts w:ascii="Palatino Linotype" w:hAnsi="Palatino Linotype" w:cs="Arial"/>
        </w:rPr>
        <w:t xml:space="preserve"> </w:t>
      </w:r>
      <w:r w:rsidR="00AD63B4">
        <w:rPr>
          <w:rFonts w:ascii="Palatino Linotype" w:hAnsi="Palatino Linotype" w:cs="Arial"/>
        </w:rPr>
        <w:t xml:space="preserve">tener acceso, a la </w:t>
      </w:r>
      <w:r>
        <w:rPr>
          <w:rFonts w:ascii="Palatino Linotype" w:hAnsi="Palatino Linotype" w:cs="Arial"/>
        </w:rPr>
        <w:t>información que a continuación se desagrega:</w:t>
      </w:r>
    </w:p>
    <w:p w:rsidR="009F09BC" w:rsidRDefault="009F09BC" w:rsidP="009F09BC">
      <w:pPr>
        <w:pStyle w:val="Prrafodelista"/>
        <w:spacing w:line="360" w:lineRule="auto"/>
        <w:ind w:left="0"/>
        <w:jc w:val="both"/>
        <w:rPr>
          <w:rFonts w:ascii="Palatino Linotype" w:hAnsi="Palatino Linotype" w:cs="Arial"/>
        </w:rPr>
      </w:pPr>
    </w:p>
    <w:p w:rsidR="009F09BC" w:rsidRPr="007142D6" w:rsidRDefault="00AE6086" w:rsidP="008759B2">
      <w:pPr>
        <w:pStyle w:val="Prrafodelista"/>
        <w:numPr>
          <w:ilvl w:val="1"/>
          <w:numId w:val="27"/>
        </w:numPr>
        <w:spacing w:line="360" w:lineRule="auto"/>
        <w:ind w:left="709"/>
        <w:jc w:val="both"/>
        <w:rPr>
          <w:rFonts w:ascii="Palatino Linotype" w:hAnsi="Palatino Linotype" w:cs="Arial"/>
        </w:rPr>
      </w:pPr>
      <w:r>
        <w:rPr>
          <w:rFonts w:ascii="Palatino Linotype" w:hAnsi="Palatino Linotype" w:cs="Arial"/>
          <w:b/>
        </w:rPr>
        <w:lastRenderedPageBreak/>
        <w:t>Nómina</w:t>
      </w:r>
      <w:r w:rsidR="008450AB" w:rsidRPr="008450AB">
        <w:rPr>
          <w:rFonts w:ascii="Palatino Linotype" w:hAnsi="Palatino Linotype" w:cs="Arial"/>
          <w:b/>
        </w:rPr>
        <w:t xml:space="preserve"> de</w:t>
      </w:r>
      <w:r w:rsidR="008450AB">
        <w:rPr>
          <w:rFonts w:ascii="Palatino Linotype" w:hAnsi="Palatino Linotype" w:cs="Arial"/>
          <w:b/>
        </w:rPr>
        <w:t xml:space="preserve"> </w:t>
      </w:r>
      <w:r w:rsidR="008450AB" w:rsidRPr="008450AB">
        <w:rPr>
          <w:rFonts w:ascii="Palatino Linotype" w:hAnsi="Palatino Linotype" w:cs="Arial"/>
          <w:b/>
        </w:rPr>
        <w:t>l</w:t>
      </w:r>
      <w:r w:rsidR="008450AB">
        <w:rPr>
          <w:rFonts w:ascii="Palatino Linotype" w:hAnsi="Palatino Linotype" w:cs="Arial"/>
          <w:b/>
        </w:rPr>
        <w:t>os</w:t>
      </w:r>
      <w:r w:rsidR="008450AB" w:rsidRPr="008450AB">
        <w:rPr>
          <w:rFonts w:ascii="Palatino Linotype" w:hAnsi="Palatino Linotype" w:cs="Arial"/>
          <w:b/>
        </w:rPr>
        <w:t xml:space="preserve"> mes</w:t>
      </w:r>
      <w:r w:rsidR="008450AB">
        <w:rPr>
          <w:rFonts w:ascii="Palatino Linotype" w:hAnsi="Palatino Linotype" w:cs="Arial"/>
          <w:b/>
        </w:rPr>
        <w:t>es</w:t>
      </w:r>
      <w:r w:rsidR="008450AB" w:rsidRPr="008450AB">
        <w:rPr>
          <w:rFonts w:ascii="Palatino Linotype" w:hAnsi="Palatino Linotype" w:cs="Arial"/>
          <w:b/>
        </w:rPr>
        <w:t xml:space="preserve"> de diciembre de 2021 </w:t>
      </w:r>
      <w:r w:rsidR="008450AB">
        <w:rPr>
          <w:rFonts w:ascii="Palatino Linotype" w:hAnsi="Palatino Linotype" w:cs="Arial"/>
          <w:b/>
        </w:rPr>
        <w:t>y</w:t>
      </w:r>
      <w:r w:rsidR="008450AB" w:rsidRPr="008450AB">
        <w:rPr>
          <w:rFonts w:ascii="Palatino Linotype" w:hAnsi="Palatino Linotype" w:cs="Arial"/>
          <w:b/>
        </w:rPr>
        <w:t xml:space="preserve"> enero de 2022, </w:t>
      </w:r>
      <w:r w:rsidR="008759B2">
        <w:rPr>
          <w:rFonts w:ascii="Palatino Linotype" w:hAnsi="Palatino Linotype" w:cs="Arial"/>
          <w:b/>
        </w:rPr>
        <w:t xml:space="preserve">de las que se advierta el </w:t>
      </w:r>
      <w:r w:rsidR="008450AB" w:rsidRPr="008450AB">
        <w:rPr>
          <w:rFonts w:ascii="Palatino Linotype" w:hAnsi="Palatino Linotype" w:cs="Arial"/>
          <w:b/>
        </w:rPr>
        <w:t>sueldo bruto</w:t>
      </w:r>
      <w:r w:rsidR="008759B2">
        <w:rPr>
          <w:rFonts w:ascii="Palatino Linotype" w:hAnsi="Palatino Linotype" w:cs="Arial"/>
          <w:b/>
        </w:rPr>
        <w:t>,</w:t>
      </w:r>
      <w:r w:rsidR="008450AB" w:rsidRPr="008450AB">
        <w:rPr>
          <w:rFonts w:ascii="Palatino Linotype" w:hAnsi="Palatino Linotype" w:cs="Arial"/>
          <w:b/>
        </w:rPr>
        <w:t xml:space="preserve"> neto, gratificaciones y compensaciones</w:t>
      </w:r>
      <w:r w:rsidR="008759B2">
        <w:rPr>
          <w:rFonts w:ascii="Palatino Linotype" w:hAnsi="Palatino Linotype" w:cs="Arial"/>
          <w:b/>
        </w:rPr>
        <w:t>,</w:t>
      </w:r>
      <w:r w:rsidR="008450AB" w:rsidRPr="008450AB">
        <w:rPr>
          <w:rFonts w:ascii="Palatino Linotype" w:hAnsi="Palatino Linotype" w:cs="Arial"/>
          <w:b/>
        </w:rPr>
        <w:t xml:space="preserve"> de todos los trabajadores </w:t>
      </w:r>
      <w:r w:rsidR="008759B2">
        <w:rPr>
          <w:rFonts w:ascii="Palatino Linotype" w:hAnsi="Palatino Linotype" w:cs="Arial"/>
          <w:b/>
        </w:rPr>
        <w:t>incluyendo</w:t>
      </w:r>
      <w:r w:rsidR="008450AB" w:rsidRPr="008450AB">
        <w:rPr>
          <w:rFonts w:ascii="Palatino Linotype" w:hAnsi="Palatino Linotype" w:cs="Arial"/>
          <w:b/>
        </w:rPr>
        <w:t xml:space="preserve"> sindicalizados </w:t>
      </w:r>
      <w:r w:rsidR="008759B2">
        <w:rPr>
          <w:rFonts w:ascii="Palatino Linotype" w:hAnsi="Palatino Linotype" w:cs="Arial"/>
          <w:b/>
        </w:rPr>
        <w:t>y</w:t>
      </w:r>
      <w:r w:rsidR="008450AB" w:rsidRPr="008450AB">
        <w:rPr>
          <w:rFonts w:ascii="Palatino Linotype" w:hAnsi="Palatino Linotype" w:cs="Arial"/>
          <w:b/>
        </w:rPr>
        <w:t xml:space="preserve"> de confianza.</w:t>
      </w:r>
    </w:p>
    <w:p w:rsidR="007142D6" w:rsidRPr="001352F1" w:rsidRDefault="007142D6" w:rsidP="007142D6">
      <w:pPr>
        <w:pStyle w:val="Prrafodelista"/>
        <w:spacing w:line="360" w:lineRule="auto"/>
        <w:ind w:left="709"/>
        <w:jc w:val="both"/>
        <w:rPr>
          <w:rFonts w:ascii="Palatino Linotype" w:hAnsi="Palatino Linotype" w:cs="Arial"/>
        </w:rPr>
      </w:pPr>
    </w:p>
    <w:p w:rsidR="009F09BC" w:rsidRDefault="000F1081" w:rsidP="009F09BC">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s="Arial"/>
        </w:rPr>
        <w:t xml:space="preserve">En respuesta, el </w:t>
      </w:r>
      <w:r>
        <w:rPr>
          <w:rFonts w:ascii="Palatino Linotype" w:hAnsi="Palatino Linotype" w:cs="Arial"/>
          <w:b/>
        </w:rPr>
        <w:t xml:space="preserve">SUJETO OBLIGADO </w:t>
      </w:r>
      <w:r w:rsidR="00C41E57">
        <w:rPr>
          <w:rFonts w:ascii="Palatino Linotype" w:hAnsi="Palatino Linotype" w:cs="Arial"/>
        </w:rPr>
        <w:t>adjuntó</w:t>
      </w:r>
      <w:r>
        <w:rPr>
          <w:rFonts w:ascii="Palatino Linotype" w:hAnsi="Palatino Linotype" w:cs="Arial"/>
        </w:rPr>
        <w:t xml:space="preserve"> </w:t>
      </w:r>
      <w:r w:rsidR="008759B2">
        <w:rPr>
          <w:rFonts w:ascii="Palatino Linotype" w:hAnsi="Palatino Linotype" w:cs="Arial"/>
        </w:rPr>
        <w:t>un</w:t>
      </w:r>
      <w:r>
        <w:rPr>
          <w:rFonts w:ascii="Palatino Linotype" w:hAnsi="Palatino Linotype" w:cs="Arial"/>
        </w:rPr>
        <w:t xml:space="preserve"> oficio</w:t>
      </w:r>
      <w:r w:rsidR="008759B2">
        <w:rPr>
          <w:rFonts w:ascii="Palatino Linotype" w:hAnsi="Palatino Linotype" w:cs="Arial"/>
        </w:rPr>
        <w:t>, mediante el cual la servidora pública habilitada competente da</w:t>
      </w:r>
      <w:r>
        <w:rPr>
          <w:rFonts w:ascii="Palatino Linotype" w:hAnsi="Palatino Linotype" w:cs="Arial"/>
        </w:rPr>
        <w:t xml:space="preserve"> </w:t>
      </w:r>
      <w:r w:rsidR="00C41E57">
        <w:rPr>
          <w:rFonts w:ascii="Palatino Linotype" w:hAnsi="Palatino Linotype" w:cs="Arial"/>
        </w:rPr>
        <w:t>contestación</w:t>
      </w:r>
      <w:r>
        <w:rPr>
          <w:rFonts w:ascii="Palatino Linotype" w:hAnsi="Palatino Linotype" w:cs="Arial"/>
        </w:rPr>
        <w:t xml:space="preserve"> </w:t>
      </w:r>
      <w:r w:rsidR="008759B2">
        <w:rPr>
          <w:rFonts w:ascii="Palatino Linotype" w:hAnsi="Palatino Linotype" w:cs="Arial"/>
        </w:rPr>
        <w:t>y refiere remitir las nóminas requeridas</w:t>
      </w:r>
      <w:r w:rsidR="00C41E57">
        <w:rPr>
          <w:rFonts w:ascii="Palatino Linotype" w:hAnsi="Palatino Linotype" w:cs="Arial"/>
        </w:rPr>
        <w:t xml:space="preserve">. </w:t>
      </w:r>
      <w:r w:rsidR="009F09BC">
        <w:rPr>
          <w:rFonts w:ascii="Palatino Linotype" w:hAnsi="Palatino Linotype" w:cs="Arial"/>
          <w:b/>
        </w:rPr>
        <w:t>EL</w:t>
      </w:r>
      <w:r w:rsidR="009F09BC" w:rsidRPr="001C0EB3">
        <w:rPr>
          <w:rFonts w:ascii="Palatino Linotype" w:hAnsi="Palatino Linotype" w:cs="Arial"/>
          <w:b/>
        </w:rPr>
        <w:t xml:space="preserve"> PARTICULAR</w:t>
      </w:r>
      <w:r w:rsidR="009F09BC" w:rsidRPr="00B538F7">
        <w:rPr>
          <w:rFonts w:ascii="Palatino Linotype" w:hAnsi="Palatino Linotype" w:cs="Arial"/>
          <w:b/>
        </w:rPr>
        <w:t xml:space="preserve"> </w:t>
      </w:r>
      <w:r w:rsidR="009F09BC" w:rsidRPr="00B538F7">
        <w:rPr>
          <w:rFonts w:ascii="Palatino Linotype" w:hAnsi="Palatino Linotype" w:cs="Arial"/>
        </w:rPr>
        <w:t xml:space="preserve">inconforme con la respuesta, expuso </w:t>
      </w:r>
      <w:r w:rsidR="00CF0D2B" w:rsidRPr="00CF0D2B">
        <w:rPr>
          <w:rFonts w:ascii="Palatino Linotype" w:hAnsi="Palatino Linotype" w:cs="Arial"/>
          <w:i/>
        </w:rPr>
        <w:t>grosso modo</w:t>
      </w:r>
      <w:r w:rsidR="00CF0D2B">
        <w:rPr>
          <w:rFonts w:ascii="Palatino Linotype" w:hAnsi="Palatino Linotype" w:cs="Arial"/>
        </w:rPr>
        <w:t xml:space="preserve"> </w:t>
      </w:r>
      <w:r w:rsidR="009F09BC">
        <w:rPr>
          <w:rFonts w:ascii="Palatino Linotype" w:hAnsi="Palatino Linotype" w:cs="Arial"/>
        </w:rPr>
        <w:t>su</w:t>
      </w:r>
      <w:r w:rsidR="009F09BC" w:rsidRPr="001C0EB3">
        <w:rPr>
          <w:rFonts w:ascii="Palatino Linotype" w:hAnsi="Palatino Linotype" w:cs="Arial"/>
        </w:rPr>
        <w:t xml:space="preserve"> </w:t>
      </w:r>
      <w:r w:rsidR="00403D64">
        <w:rPr>
          <w:rFonts w:ascii="Palatino Linotype" w:hAnsi="Palatino Linotype" w:cs="Arial"/>
        </w:rPr>
        <w:t xml:space="preserve">inconformidad </w:t>
      </w:r>
      <w:r w:rsidR="008759B2">
        <w:rPr>
          <w:rFonts w:ascii="Palatino Linotype" w:hAnsi="Palatino Linotype" w:cs="Arial"/>
        </w:rPr>
        <w:t>por no entregarse la información</w:t>
      </w:r>
      <w:r w:rsidR="00C41E57">
        <w:rPr>
          <w:rFonts w:ascii="Palatino Linotype" w:hAnsi="Palatino Linotype" w:cs="Arial"/>
        </w:rPr>
        <w:t>.</w:t>
      </w:r>
    </w:p>
    <w:p w:rsidR="0074110E" w:rsidRPr="00E80900" w:rsidRDefault="0074110E" w:rsidP="0074110E">
      <w:pPr>
        <w:spacing w:line="360" w:lineRule="auto"/>
        <w:contextualSpacing/>
        <w:jc w:val="both"/>
        <w:rPr>
          <w:rFonts w:ascii="Palatino Linotype" w:hAnsi="Palatino Linotype" w:cs="Arial"/>
        </w:rPr>
      </w:pPr>
    </w:p>
    <w:p w:rsidR="009F09BC" w:rsidRPr="00D216A4" w:rsidRDefault="009F09BC" w:rsidP="002453DA">
      <w:pPr>
        <w:numPr>
          <w:ilvl w:val="0"/>
          <w:numId w:val="15"/>
        </w:numPr>
        <w:spacing w:line="360" w:lineRule="auto"/>
        <w:ind w:left="0" w:firstLine="0"/>
        <w:contextualSpacing/>
        <w:jc w:val="both"/>
        <w:rPr>
          <w:rFonts w:ascii="Palatino Linotype" w:eastAsia="MS Mincho" w:hAnsi="Palatino Linotype" w:cs="Arial"/>
        </w:rPr>
      </w:pPr>
      <w:r w:rsidRPr="00B0510D">
        <w:rPr>
          <w:rFonts w:ascii="Palatino Linotype" w:eastAsia="MS Mincho" w:hAnsi="Palatino Linotype" w:cs="Arial"/>
        </w:rPr>
        <w:t xml:space="preserve">En </w:t>
      </w:r>
      <w:r w:rsidRPr="00B0510D">
        <w:rPr>
          <w:rFonts w:ascii="Palatino Linotype" w:hAnsi="Palatino Linotype" w:cs="Arial"/>
          <w:lang w:eastAsia="es-MX"/>
        </w:rPr>
        <w:t>dichas</w:t>
      </w:r>
      <w:r w:rsidRPr="00B0510D">
        <w:rPr>
          <w:rFonts w:ascii="Palatino Linotype" w:eastAsia="Times New Roman" w:hAnsi="Palatino Linotype" w:cs="Arial"/>
        </w:rPr>
        <w:t xml:space="preserve"> condiciones, la </w:t>
      </w:r>
      <w:r w:rsidRPr="00B0510D">
        <w:rPr>
          <w:rFonts w:ascii="Palatino Linotype" w:eastAsia="Times New Roman" w:hAnsi="Palatino Linotype" w:cs="Arial"/>
          <w:i/>
        </w:rPr>
        <w:t>Litis</w:t>
      </w:r>
      <w:r w:rsidRPr="00B0510D">
        <w:rPr>
          <w:rFonts w:ascii="Palatino Linotype" w:eastAsia="Times New Roman" w:hAnsi="Palatino Linotype" w:cs="Arial"/>
        </w:rPr>
        <w:t xml:space="preserve"> a resolver en este recurso se circunscribe a determinar si </w:t>
      </w:r>
      <w:r w:rsidR="007142AB">
        <w:rPr>
          <w:rFonts w:ascii="Palatino Linotype" w:eastAsia="MS Mincho" w:hAnsi="Palatino Linotype" w:cs="Arial"/>
        </w:rPr>
        <w:t>se actualiza</w:t>
      </w:r>
      <w:r w:rsidRPr="00B0510D">
        <w:rPr>
          <w:rFonts w:ascii="Palatino Linotype" w:eastAsia="MS Mincho" w:hAnsi="Palatino Linotype" w:cs="Arial"/>
        </w:rPr>
        <w:t xml:space="preserve"> la causal de procedencia prevista en el artículo 179, </w:t>
      </w:r>
      <w:r w:rsidRPr="005B6702">
        <w:rPr>
          <w:rFonts w:ascii="Palatino Linotype" w:eastAsia="MS Mincho" w:hAnsi="Palatino Linotype" w:cs="Arial"/>
          <w:b/>
        </w:rPr>
        <w:t xml:space="preserve">fracción </w:t>
      </w:r>
      <w:r w:rsidR="00C41E57">
        <w:rPr>
          <w:rFonts w:ascii="Palatino Linotype" w:eastAsia="MS Mincho" w:hAnsi="Palatino Linotype" w:cs="Arial"/>
          <w:b/>
        </w:rPr>
        <w:t>I</w:t>
      </w:r>
      <w:r w:rsidRPr="001C0EB3">
        <w:rPr>
          <w:rFonts w:ascii="Palatino Linotype" w:eastAsia="MS Mincho" w:hAnsi="Palatino Linotype" w:cs="Arial"/>
        </w:rPr>
        <w:t xml:space="preserve"> </w:t>
      </w:r>
      <w:r w:rsidRPr="00B0510D">
        <w:rPr>
          <w:rFonts w:ascii="Palatino Linotype" w:eastAsia="MS Mincho" w:hAnsi="Palatino Linotype" w:cs="Arial"/>
        </w:rPr>
        <w:t xml:space="preserve">de la </w:t>
      </w:r>
      <w:r w:rsidRPr="00B0510D">
        <w:rPr>
          <w:rFonts w:ascii="Palatino Linotype" w:eastAsia="MS Mincho" w:hAnsi="Palatino Linotype" w:cs="Arial"/>
          <w:b/>
        </w:rPr>
        <w:t>Ley de Transparencia y Acceso a la Información Pública del Estado de México y Municipios</w:t>
      </w:r>
      <w:r w:rsidRPr="00B0510D">
        <w:rPr>
          <w:rFonts w:ascii="Palatino Linotype" w:eastAsia="MS Mincho" w:hAnsi="Palatino Linotype" w:cs="Arial"/>
        </w:rPr>
        <w:t xml:space="preserve">; </w:t>
      </w:r>
      <w:r w:rsidRPr="00B0510D">
        <w:rPr>
          <w:rFonts w:ascii="Palatino Linotype" w:eastAsia="Times New Roman" w:hAnsi="Palatino Linotype" w:cs="Arial"/>
          <w:color w:val="000000" w:themeColor="text1"/>
          <w:lang w:val="es-ES" w:eastAsia="es-MX"/>
        </w:rPr>
        <w:t>fracci</w:t>
      </w:r>
      <w:r>
        <w:rPr>
          <w:rFonts w:ascii="Palatino Linotype" w:eastAsia="Times New Roman" w:hAnsi="Palatino Linotype" w:cs="Arial"/>
          <w:color w:val="000000" w:themeColor="text1"/>
          <w:lang w:val="es-ES" w:eastAsia="es-MX"/>
        </w:rPr>
        <w:t xml:space="preserve">ón </w:t>
      </w:r>
      <w:r w:rsidRPr="00B0510D">
        <w:rPr>
          <w:rFonts w:ascii="Palatino Linotype" w:eastAsia="Times New Roman" w:hAnsi="Palatino Linotype" w:cs="Arial"/>
          <w:color w:val="000000" w:themeColor="text1"/>
          <w:lang w:val="es-ES" w:eastAsia="es-MX"/>
        </w:rPr>
        <w:t>que determina</w:t>
      </w:r>
      <w:r>
        <w:rPr>
          <w:rFonts w:ascii="Palatino Linotype" w:eastAsia="Times New Roman" w:hAnsi="Palatino Linotype" w:cs="Arial"/>
          <w:color w:val="000000" w:themeColor="text1"/>
          <w:lang w:val="es-ES" w:eastAsia="es-MX"/>
        </w:rPr>
        <w:t xml:space="preserve"> </w:t>
      </w:r>
      <w:r w:rsidR="005B6702">
        <w:rPr>
          <w:rFonts w:ascii="Palatino Linotype" w:eastAsia="Times New Roman" w:hAnsi="Palatino Linotype" w:cs="Arial"/>
          <w:color w:val="000000" w:themeColor="text1"/>
          <w:lang w:val="es-ES" w:eastAsia="es-MX"/>
        </w:rPr>
        <w:t>la hipótesis jurídica</w:t>
      </w:r>
      <w:r>
        <w:rPr>
          <w:rFonts w:ascii="Palatino Linotype" w:eastAsia="Times New Roman" w:hAnsi="Palatino Linotype" w:cs="Arial"/>
          <w:color w:val="000000" w:themeColor="text1"/>
          <w:lang w:val="es-ES" w:eastAsia="es-MX"/>
        </w:rPr>
        <w:t xml:space="preserve"> relativa</w:t>
      </w:r>
      <w:r w:rsidRPr="00B0510D">
        <w:rPr>
          <w:rFonts w:ascii="Palatino Linotype" w:eastAsia="Times New Roman" w:hAnsi="Palatino Linotype" w:cs="Arial"/>
          <w:color w:val="000000" w:themeColor="text1"/>
          <w:lang w:val="es-ES" w:eastAsia="es-MX"/>
        </w:rPr>
        <w:t xml:space="preserve"> </w:t>
      </w:r>
      <w:r w:rsidR="005B6702">
        <w:rPr>
          <w:rFonts w:ascii="Palatino Linotype" w:eastAsia="Times New Roman" w:hAnsi="Palatino Linotype" w:cs="Arial"/>
          <w:color w:val="000000" w:themeColor="text1"/>
          <w:lang w:val="es-ES" w:eastAsia="es-MX"/>
        </w:rPr>
        <w:t xml:space="preserve">a </w:t>
      </w:r>
      <w:r w:rsidR="007142AB">
        <w:rPr>
          <w:rFonts w:ascii="Palatino Linotype" w:eastAsia="Times New Roman" w:hAnsi="Palatino Linotype" w:cs="Arial"/>
          <w:color w:val="000000" w:themeColor="text1"/>
          <w:lang w:val="es-ES" w:eastAsia="es-MX"/>
        </w:rPr>
        <w:t>l</w:t>
      </w:r>
      <w:r w:rsidR="002453DA">
        <w:rPr>
          <w:rFonts w:ascii="Palatino Linotype" w:eastAsia="Times New Roman" w:hAnsi="Palatino Linotype" w:cs="Arial"/>
          <w:color w:val="000000" w:themeColor="text1"/>
          <w:lang w:val="es-ES" w:eastAsia="es-MX"/>
        </w:rPr>
        <w:t>a</w:t>
      </w:r>
      <w:r w:rsidR="002453DA" w:rsidRPr="002453DA">
        <w:rPr>
          <w:rFonts w:ascii="Palatino Linotype" w:eastAsia="Times New Roman" w:hAnsi="Palatino Linotype" w:cs="Arial"/>
          <w:color w:val="000000" w:themeColor="text1"/>
          <w:lang w:val="es-ES" w:eastAsia="es-MX"/>
        </w:rPr>
        <w:t xml:space="preserve"> </w:t>
      </w:r>
      <w:r w:rsidR="008759B2">
        <w:rPr>
          <w:rFonts w:ascii="Palatino Linotype" w:eastAsia="Times New Roman" w:hAnsi="Palatino Linotype" w:cs="Arial"/>
          <w:color w:val="000000" w:themeColor="text1"/>
          <w:lang w:val="es-ES" w:eastAsia="es-MX"/>
        </w:rPr>
        <w:t>negativa a la información solicitada</w:t>
      </w:r>
      <w:r w:rsidRPr="00B0510D">
        <w:rPr>
          <w:rFonts w:ascii="Palatino Linotype" w:eastAsia="Times New Roman" w:hAnsi="Palatino Linotype" w:cs="Arial"/>
          <w:color w:val="000000" w:themeColor="text1"/>
          <w:lang w:val="es-ES" w:eastAsia="es-MX"/>
        </w:rPr>
        <w:t xml:space="preserve">; </w:t>
      </w:r>
      <w:r w:rsidRPr="00B0510D">
        <w:rPr>
          <w:rFonts w:ascii="Palatino Linotype" w:eastAsia="MS Mincho" w:hAnsi="Palatino Linotype" w:cs="Arial"/>
        </w:rPr>
        <w:t xml:space="preserve">contexto del cual se dolió </w:t>
      </w:r>
      <w:r w:rsidRPr="006F0559">
        <w:rPr>
          <w:rFonts w:ascii="Palatino Linotype" w:eastAsia="MS Mincho" w:hAnsi="Palatino Linotype" w:cs="Arial"/>
          <w:b/>
        </w:rPr>
        <w:t xml:space="preserve">EL RECURRENTE </w:t>
      </w:r>
      <w:r w:rsidRPr="00B0510D">
        <w:rPr>
          <w:rFonts w:ascii="Palatino Linotype" w:eastAsia="MS Mincho" w:hAnsi="Palatino Linotype" w:cs="Arial"/>
        </w:rPr>
        <w:t xml:space="preserve">al momento de interponer </w:t>
      </w:r>
      <w:r>
        <w:rPr>
          <w:rFonts w:ascii="Palatino Linotype" w:eastAsia="MS Mincho" w:hAnsi="Palatino Linotype" w:cs="Arial"/>
        </w:rPr>
        <w:t>su inconformidad.</w:t>
      </w:r>
      <w:r w:rsidRPr="00BD39BA">
        <w:rPr>
          <w:rFonts w:ascii="Palatino Linotype" w:eastAsia="Times New Roman" w:hAnsi="Palatino Linotype" w:cs="Arial"/>
          <w:color w:val="000000" w:themeColor="text1"/>
          <w:lang w:val="es-ES" w:eastAsia="es-MX"/>
        </w:rPr>
        <w:t xml:space="preserve"> </w:t>
      </w:r>
      <w:r>
        <w:rPr>
          <w:rFonts w:ascii="Palatino Linotype" w:eastAsia="Times New Roman" w:hAnsi="Palatino Linotype" w:cs="Arial"/>
          <w:color w:val="000000" w:themeColor="text1"/>
          <w:lang w:val="es-ES" w:eastAsia="es-MX"/>
        </w:rPr>
        <w:t>D</w:t>
      </w:r>
      <w:r w:rsidRPr="00BD39BA">
        <w:rPr>
          <w:rFonts w:ascii="Palatino Linotype" w:eastAsia="Times New Roman" w:hAnsi="Palatino Linotype" w:cs="Arial"/>
          <w:color w:val="000000" w:themeColor="text1"/>
          <w:lang w:val="es-ES" w:eastAsia="es-MX"/>
        </w:rPr>
        <w:t xml:space="preserve">e modo tal </w:t>
      </w:r>
      <w:r w:rsidRPr="00BD39BA">
        <w:rPr>
          <w:rFonts w:ascii="Palatino Linotype" w:hAnsi="Palatino Linotype" w:cs="Arial"/>
          <w:color w:val="000000" w:themeColor="text1"/>
          <w:szCs w:val="23"/>
        </w:rPr>
        <w:t xml:space="preserve">que el </w:t>
      </w:r>
      <w:r>
        <w:rPr>
          <w:rFonts w:ascii="Palatino Linotype" w:hAnsi="Palatino Linotype" w:cs="Arial"/>
          <w:color w:val="000000" w:themeColor="text1"/>
          <w:szCs w:val="23"/>
        </w:rPr>
        <w:t>presente recurso de revisión se abocara</w:t>
      </w:r>
      <w:r w:rsidRPr="00BD39BA">
        <w:rPr>
          <w:rFonts w:ascii="Palatino Linotype" w:hAnsi="Palatino Linotype" w:cs="Arial"/>
          <w:color w:val="000000" w:themeColor="text1"/>
          <w:szCs w:val="23"/>
        </w:rPr>
        <w:t xml:space="preserve"> en determinar si el </w:t>
      </w:r>
      <w:r w:rsidRPr="00BD39BA">
        <w:rPr>
          <w:rFonts w:ascii="Palatino Linotype" w:hAnsi="Palatino Linotype" w:cs="Arial"/>
          <w:b/>
          <w:color w:val="000000" w:themeColor="text1"/>
          <w:szCs w:val="23"/>
        </w:rPr>
        <w:t>SUJETO</w:t>
      </w:r>
      <w:r w:rsidRPr="00BD39BA">
        <w:rPr>
          <w:rFonts w:ascii="Palatino Linotype" w:hAnsi="Palatino Linotype" w:cs="Arial"/>
          <w:color w:val="000000" w:themeColor="text1"/>
          <w:szCs w:val="23"/>
        </w:rPr>
        <w:t xml:space="preserve"> </w:t>
      </w:r>
      <w:r w:rsidRPr="00BD39BA">
        <w:rPr>
          <w:rFonts w:ascii="Palatino Linotype" w:hAnsi="Palatino Linotype" w:cs="Arial"/>
          <w:b/>
          <w:color w:val="000000" w:themeColor="text1"/>
          <w:szCs w:val="23"/>
        </w:rPr>
        <w:t>OBLIGADO</w:t>
      </w:r>
      <w:r w:rsidRPr="00BD39BA">
        <w:rPr>
          <w:rFonts w:ascii="Palatino Linotype" w:hAnsi="Palatino Linotype" w:cs="Arial"/>
          <w:color w:val="000000" w:themeColor="text1"/>
          <w:szCs w:val="23"/>
        </w:rPr>
        <w:t xml:space="preserve"> con su respuesta ciertamente </w:t>
      </w:r>
      <w:r w:rsidRPr="00BD39BA">
        <w:rPr>
          <w:rFonts w:ascii="Palatino Linotype" w:eastAsia="Times New Roman" w:hAnsi="Palatino Linotype"/>
          <w:color w:val="000000" w:themeColor="text1"/>
        </w:rPr>
        <w:t>actualiza la causa</w:t>
      </w:r>
      <w:r>
        <w:rPr>
          <w:rFonts w:ascii="Palatino Linotype" w:eastAsia="Times New Roman" w:hAnsi="Palatino Linotype"/>
          <w:color w:val="000000" w:themeColor="text1"/>
        </w:rPr>
        <w:t>l</w:t>
      </w:r>
      <w:r w:rsidRPr="00BD39BA">
        <w:rPr>
          <w:rFonts w:ascii="Palatino Linotype" w:eastAsia="Times New Roman" w:hAnsi="Palatino Linotype"/>
          <w:color w:val="000000" w:themeColor="text1"/>
        </w:rPr>
        <w:t xml:space="preserve"> de procedencia</w:t>
      </w:r>
      <w:r w:rsidRPr="00BD39BA">
        <w:rPr>
          <w:rFonts w:ascii="Palatino Linotype" w:eastAsia="Times New Roman" w:hAnsi="Palatino Linotype"/>
          <w:b/>
          <w:color w:val="000000" w:themeColor="text1"/>
        </w:rPr>
        <w:t xml:space="preserve"> </w:t>
      </w:r>
      <w:r>
        <w:rPr>
          <w:rFonts w:ascii="Palatino Linotype" w:eastAsia="Times New Roman" w:hAnsi="Palatino Linotype" w:cs="Arial"/>
          <w:color w:val="000000" w:themeColor="text1"/>
          <w:lang w:eastAsia="es-MX"/>
        </w:rPr>
        <w:t>antes señalada</w:t>
      </w:r>
      <w:r w:rsidRPr="00BD39BA">
        <w:rPr>
          <w:rFonts w:ascii="Palatino Linotype" w:eastAsia="Times New Roman" w:hAnsi="Palatino Linotype" w:cs="Arial"/>
          <w:color w:val="000000" w:themeColor="text1"/>
          <w:lang w:eastAsia="es-MX"/>
        </w:rPr>
        <w:t>.</w:t>
      </w:r>
      <w:r>
        <w:rPr>
          <w:rFonts w:ascii="Palatino Linotype" w:eastAsia="Times New Roman" w:hAnsi="Palatino Linotype" w:cs="Arial"/>
          <w:color w:val="000000" w:themeColor="text1"/>
          <w:lang w:eastAsia="es-MX"/>
        </w:rPr>
        <w:t xml:space="preserve"> Así como comprobar si la respuesta emitida resulta congruente e integral en términos del artículo 11 de la ley de la materia.</w:t>
      </w:r>
    </w:p>
    <w:p w:rsidR="009F09BC" w:rsidRDefault="009F09BC" w:rsidP="009F09BC">
      <w:pPr>
        <w:pStyle w:val="Prrafodelista"/>
        <w:rPr>
          <w:rFonts w:ascii="Palatino Linotype" w:eastAsia="MS Mincho" w:hAnsi="Palatino Linotype" w:cs="Arial"/>
        </w:rPr>
      </w:pPr>
    </w:p>
    <w:p w:rsidR="009F09BC" w:rsidRPr="001B0CE4" w:rsidRDefault="009F09BC" w:rsidP="009F09BC">
      <w:pPr>
        <w:pStyle w:val="Ttulo2"/>
        <w:rPr>
          <w:rFonts w:ascii="Palatino Linotype" w:hAnsi="Palatino Linotype"/>
          <w:b/>
          <w:color w:val="000000" w:themeColor="text1"/>
          <w:sz w:val="24"/>
          <w:szCs w:val="24"/>
        </w:rPr>
      </w:pPr>
      <w:bookmarkStart w:id="144" w:name="_Toc495427545"/>
      <w:bookmarkStart w:id="145" w:name="_Toc23414596"/>
      <w:bookmarkStart w:id="146" w:name="_Toc34819433"/>
      <w:bookmarkStart w:id="147" w:name="_Toc51259589"/>
      <w:bookmarkStart w:id="148" w:name="_Toc83128582"/>
      <w:r w:rsidRPr="001B0CE4">
        <w:rPr>
          <w:rFonts w:ascii="Palatino Linotype" w:hAnsi="Palatino Linotype"/>
          <w:b/>
          <w:color w:val="000000" w:themeColor="text1"/>
          <w:sz w:val="24"/>
          <w:szCs w:val="24"/>
        </w:rPr>
        <w:t>CUARTO. Del estudio y resolución del asunto.</w:t>
      </w:r>
      <w:bookmarkEnd w:id="144"/>
      <w:bookmarkEnd w:id="145"/>
      <w:bookmarkEnd w:id="146"/>
      <w:bookmarkEnd w:id="147"/>
      <w:bookmarkEnd w:id="148"/>
    </w:p>
    <w:p w:rsidR="009F09BC" w:rsidRDefault="009F09BC" w:rsidP="009F09BC">
      <w:pPr>
        <w:spacing w:line="360" w:lineRule="auto"/>
        <w:rPr>
          <w:rFonts w:ascii="Palatino Linotype" w:hAnsi="Palatino Linotype"/>
          <w:lang w:val="es-MX" w:eastAsia="en-US"/>
        </w:rPr>
      </w:pPr>
    </w:p>
    <w:p w:rsidR="005B6702" w:rsidRPr="00736D1C"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Acotada la </w:t>
      </w:r>
      <w:r w:rsidRPr="005B6702">
        <w:rPr>
          <w:rFonts w:ascii="Palatino Linotype" w:hAnsi="Palatino Linotype"/>
          <w:i/>
          <w:color w:val="000000" w:themeColor="text1"/>
        </w:rPr>
        <w:t>Litis</w:t>
      </w:r>
      <w:r>
        <w:rPr>
          <w:rFonts w:ascii="Palatino Linotype" w:hAnsi="Palatino Linotype"/>
          <w:color w:val="000000" w:themeColor="text1"/>
        </w:rPr>
        <w:t xml:space="preserve"> del presente asunto, primeramente es menester precisar</w:t>
      </w:r>
      <w:r w:rsidRPr="00DA2D95">
        <w:rPr>
          <w:rFonts w:ascii="Palatino Linotype" w:hAnsi="Palatino Linotype"/>
          <w:bCs/>
          <w:color w:val="000000" w:themeColor="text1"/>
          <w:lang w:val="es-MX"/>
        </w:rPr>
        <w:t xml:space="preserve"> que </w:t>
      </w:r>
      <w:r w:rsidRPr="00DA2D95">
        <w:rPr>
          <w:rFonts w:ascii="Palatino Linotype" w:hAnsi="Palatino Linotype"/>
          <w:bCs/>
          <w:color w:val="000000" w:themeColor="text1"/>
        </w:rPr>
        <w:t xml:space="preserve">este Órgano Garante parte del hecho que el Derecho de </w:t>
      </w:r>
      <w:r w:rsidRPr="00736D1C">
        <w:rPr>
          <w:rFonts w:ascii="Palatino Linotype" w:eastAsia="MS Mincho" w:hAnsi="Palatino Linotype" w:cs="Arial"/>
        </w:rPr>
        <w:t>Acceso</w:t>
      </w:r>
      <w:r w:rsidRPr="00DA2D95">
        <w:rPr>
          <w:rFonts w:ascii="Palatino Linotype" w:hAnsi="Palatino Linotype"/>
          <w:bCs/>
          <w:color w:val="000000" w:themeColor="text1"/>
        </w:rPr>
        <w:t xml:space="preserve"> a la Información Pública, es un derecho humano reconocido en el Pacto de Derechos Civiles y </w:t>
      </w:r>
      <w:r w:rsidRPr="00DA2D95">
        <w:rPr>
          <w:rFonts w:ascii="Palatino Linotype" w:hAnsi="Palatino Linotype"/>
          <w:bCs/>
          <w:color w:val="000000" w:themeColor="text1"/>
        </w:rPr>
        <w:lastRenderedPageBreak/>
        <w:t xml:space="preserve">Políticos en su artículo 19.2; en la </w:t>
      </w:r>
      <w:r w:rsidRPr="005B6702">
        <w:rPr>
          <w:rFonts w:ascii="Palatino Linotype" w:hAnsi="Palatino Linotype"/>
          <w:lang w:val="es-MX" w:eastAsia="en-US"/>
        </w:rPr>
        <w:t>Convención</w:t>
      </w:r>
      <w:r w:rsidRPr="00DA2D95">
        <w:rPr>
          <w:rFonts w:ascii="Palatino Linotype" w:hAnsi="Palatino Linotype"/>
          <w:bCs/>
          <w:color w:val="000000" w:themeColor="text1"/>
        </w:rPr>
        <w:t xml:space="preserve"> Americana sobre Derechos Humanos en su artículo 13.1; en el artículo sexto de la Constitución Política de los Estados Unidos Mexicanos y en el artículo quinto de la Particular del Estado de México, por lo que al respecto el </w:t>
      </w:r>
      <w:r w:rsidRPr="00DA2D95">
        <w:rPr>
          <w:rFonts w:ascii="Palatino Linotype" w:hAnsi="Palatino Linotype"/>
          <w:b/>
          <w:bCs/>
          <w:color w:val="000000" w:themeColor="text1"/>
        </w:rPr>
        <w:t>SUJETO OBLIGADO</w:t>
      </w:r>
      <w:r w:rsidRPr="00DA2D95">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A2D95">
        <w:rPr>
          <w:rFonts w:ascii="Palatino Linotype" w:hAnsi="Palatino Linotype"/>
          <w:b/>
          <w:bCs/>
          <w:color w:val="000000" w:themeColor="text1"/>
        </w:rPr>
        <w:t xml:space="preserve">Constitución Política de los Estados Unidos Mexicanos </w:t>
      </w:r>
      <w:r w:rsidRPr="00DA2D95">
        <w:rPr>
          <w:rFonts w:ascii="Palatino Linotype" w:hAnsi="Palatino Linotype"/>
          <w:bCs/>
          <w:color w:val="000000" w:themeColor="text1"/>
        </w:rPr>
        <w:t xml:space="preserve">al señalar la obligación de “promover, </w:t>
      </w:r>
      <w:r w:rsidRPr="003F507A">
        <w:rPr>
          <w:rFonts w:ascii="Palatino Linotype" w:hAnsi="Palatino Linotype"/>
          <w:bCs/>
          <w:color w:val="000000" w:themeColor="text1"/>
        </w:rPr>
        <w:t>respetar</w:t>
      </w:r>
      <w:r w:rsidRPr="00DA2D95">
        <w:rPr>
          <w:rFonts w:ascii="Palatino Linotype" w:hAnsi="Palatino Linotype"/>
          <w:bCs/>
          <w:color w:val="000000" w:themeColor="text1"/>
        </w:rPr>
        <w:t xml:space="preserve">, proteger y </w:t>
      </w:r>
      <w:r w:rsidRPr="00DA2D95">
        <w:rPr>
          <w:rFonts w:ascii="Palatino Linotype" w:hAnsi="Palatino Linotype"/>
          <w:b/>
          <w:bCs/>
          <w:color w:val="000000" w:themeColor="text1"/>
        </w:rPr>
        <w:t>garantizar</w:t>
      </w:r>
      <w:r w:rsidRPr="00DA2D95">
        <w:rPr>
          <w:rFonts w:ascii="Palatino Linotype" w:hAnsi="Palatino Linotype"/>
          <w:bCs/>
          <w:color w:val="000000" w:themeColor="text1"/>
        </w:rPr>
        <w:t xml:space="preserve"> los derechos humanos”, entre los cuales se encuentra dicho derecho.</w:t>
      </w:r>
    </w:p>
    <w:p w:rsidR="005B6702" w:rsidRPr="0055159A" w:rsidRDefault="005B6702" w:rsidP="005B6702">
      <w:pPr>
        <w:pStyle w:val="Prrafodelista"/>
        <w:spacing w:line="360" w:lineRule="auto"/>
        <w:ind w:left="0"/>
        <w:jc w:val="both"/>
        <w:rPr>
          <w:rFonts w:ascii="Palatino Linotype" w:hAnsi="Palatino Linotype"/>
          <w:color w:val="000000" w:themeColor="text1"/>
        </w:rPr>
      </w:pPr>
    </w:p>
    <w:p w:rsidR="005B6702" w:rsidRPr="0037157C"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Por </w:t>
      </w:r>
      <w:r w:rsidRPr="00DA2D95">
        <w:rPr>
          <w:rFonts w:ascii="Palatino Linotype" w:hAnsi="Palatino Linotype"/>
          <w:color w:val="000000" w:themeColor="text1"/>
          <w:lang w:val="es-MX"/>
        </w:rPr>
        <w:t xml:space="preserve">lo anterior, se deduce que el derecho de acceso a la información pública es un </w:t>
      </w:r>
      <w:r w:rsidRPr="00736D1C">
        <w:rPr>
          <w:rFonts w:ascii="Palatino Linotype" w:hAnsi="Palatino Linotype"/>
          <w:color w:val="000000" w:themeColor="text1"/>
        </w:rPr>
        <w:t>derecho</w:t>
      </w:r>
      <w:r w:rsidRPr="00DA2D95">
        <w:rPr>
          <w:rFonts w:ascii="Palatino Linotype" w:hAnsi="Palatino Linotype"/>
          <w:color w:val="000000" w:themeColor="text1"/>
          <w:lang w:val="es-MX"/>
        </w:rPr>
        <w:t xml:space="preserve"> humano convencional y constitucionalmente reconocido; en </w:t>
      </w:r>
      <w:r w:rsidRPr="005B6702">
        <w:rPr>
          <w:rFonts w:ascii="Palatino Linotype" w:hAnsi="Palatino Linotype"/>
          <w:color w:val="000000" w:themeColor="text1"/>
        </w:rPr>
        <w:t>consecuencia</w:t>
      </w:r>
      <w:r w:rsidRPr="00DA2D95">
        <w:rPr>
          <w:rFonts w:ascii="Palatino Linotype" w:hAnsi="Palatino Linotype"/>
          <w:color w:val="000000" w:themeColor="text1"/>
          <w:lang w:val="es-MX"/>
        </w:rPr>
        <w:t>, todas las autoridades en el ámbito de sus competencias, funciones y atribuciones tienen la obligación de respetarlo, protegerlo y garantizarlo.</w:t>
      </w:r>
    </w:p>
    <w:p w:rsidR="0037157C" w:rsidRDefault="0037157C" w:rsidP="0037157C">
      <w:pPr>
        <w:pStyle w:val="Prrafodelista"/>
        <w:rPr>
          <w:rFonts w:ascii="Palatino Linotype" w:hAnsi="Palatino Linotype"/>
          <w:color w:val="000000" w:themeColor="text1"/>
        </w:rPr>
      </w:pPr>
    </w:p>
    <w:p w:rsidR="005B6702" w:rsidRPr="00736D1C"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Así las cosas, </w:t>
      </w:r>
      <w:r w:rsidRPr="00DA2D95">
        <w:rPr>
          <w:rFonts w:ascii="Palatino Linotype" w:hAnsi="Palatino Linotype"/>
          <w:color w:val="000000" w:themeColor="text1"/>
          <w:lang w:val="es-MX"/>
        </w:rPr>
        <w:t xml:space="preserve">podemos definir el Derecho de Acceso a la Información Pública como: </w:t>
      </w:r>
      <w:r w:rsidRPr="00DA2D95">
        <w:rPr>
          <w:rFonts w:ascii="Palatino Linotype" w:hAnsi="Palatino Linotype"/>
          <w:i/>
          <w:color w:val="000000" w:themeColor="text1"/>
          <w:lang w:val="es-MX"/>
        </w:rPr>
        <w:t>La igualdad de oportunidades para recibir, buscar e impartir información</w:t>
      </w:r>
      <w:r w:rsidRPr="00DA2D95">
        <w:rPr>
          <w:rFonts w:ascii="Palatino Linotype" w:hAnsi="Palatino Linotype"/>
          <w:i/>
          <w:color w:val="000000" w:themeColor="text1"/>
          <w:vertAlign w:val="superscript"/>
          <w:lang w:val="es-MX"/>
        </w:rPr>
        <w:footnoteReference w:id="1"/>
      </w:r>
      <w:r w:rsidRPr="00DA2D95">
        <w:rPr>
          <w:rFonts w:ascii="Palatino Linotype" w:hAnsi="Palatino Linotype"/>
          <w:i/>
          <w:color w:val="000000" w:themeColor="text1"/>
          <w:lang w:val="es-MX"/>
        </w:rPr>
        <w:t xml:space="preserve">en posesión de </w:t>
      </w:r>
      <w:r w:rsidRPr="005B6702">
        <w:rPr>
          <w:rFonts w:ascii="Palatino Linotype" w:hAnsi="Palatino Linotype"/>
          <w:color w:val="000000" w:themeColor="text1"/>
        </w:rPr>
        <w:t>cualquier</w:t>
      </w:r>
      <w:r w:rsidRPr="00DA2D95">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2D95">
        <w:rPr>
          <w:rFonts w:ascii="Palatino Linotype" w:hAnsi="Palatino Linotype"/>
          <w:i/>
          <w:color w:val="000000" w:themeColor="text1"/>
          <w:vertAlign w:val="superscript"/>
          <w:lang w:val="es-MX"/>
        </w:rPr>
        <w:footnoteReference w:id="2"/>
      </w:r>
      <w:r w:rsidRPr="00DA2D95">
        <w:rPr>
          <w:rFonts w:ascii="Palatino Linotype" w:hAnsi="Palatino Linotype"/>
          <w:color w:val="000000" w:themeColor="text1"/>
          <w:lang w:val="es-MX"/>
        </w:rPr>
        <w:t>que se constituye como una herramienta fundamental para ejercer</w:t>
      </w:r>
      <w:r w:rsidRPr="00DA2D95">
        <w:rPr>
          <w:rFonts w:ascii="Palatino Linotype" w:hAnsi="Palatino Linotype"/>
          <w:i/>
          <w:color w:val="000000" w:themeColor="text1"/>
          <w:lang w:val="es-MX"/>
        </w:rPr>
        <w:t xml:space="preserve"> el control democrático de las gestiones estatales, de forma tal que puedan cuestionar, indagar y considerar si se está dando un adecuado </w:t>
      </w:r>
      <w:r w:rsidRPr="00DA2D95">
        <w:rPr>
          <w:rFonts w:ascii="Palatino Linotype" w:hAnsi="Palatino Linotype"/>
          <w:i/>
          <w:color w:val="000000" w:themeColor="text1"/>
          <w:lang w:val="es-MX"/>
        </w:rPr>
        <w:lastRenderedPageBreak/>
        <w:t>cumplimiento a las funciones públicas,</w:t>
      </w:r>
      <w:r w:rsidRPr="00DA2D95">
        <w:rPr>
          <w:rFonts w:ascii="Palatino Linotype" w:hAnsi="Palatino Linotype"/>
          <w:i/>
          <w:color w:val="000000" w:themeColor="text1"/>
          <w:vertAlign w:val="superscript"/>
          <w:lang w:val="es-MX"/>
        </w:rPr>
        <w:footnoteReference w:id="3"/>
      </w:r>
      <w:r w:rsidRPr="00DA2D95">
        <w:rPr>
          <w:rFonts w:ascii="Palatino Linotype" w:hAnsi="Palatino Linotype"/>
          <w:i/>
          <w:color w:val="000000" w:themeColor="text1"/>
          <w:lang w:val="es-MX"/>
        </w:rPr>
        <w:t xml:space="preserve"> </w:t>
      </w:r>
      <w:r w:rsidRPr="00DA2D95">
        <w:rPr>
          <w:rFonts w:ascii="Palatino Linotype" w:hAnsi="Palatino Linotype"/>
          <w:color w:val="000000" w:themeColor="text1"/>
          <w:lang w:val="es-MX"/>
        </w:rPr>
        <w:t>fomentando</w:t>
      </w:r>
      <w:r w:rsidRPr="00DA2D95">
        <w:rPr>
          <w:rFonts w:ascii="Palatino Linotype" w:hAnsi="Palatino Linotype"/>
          <w:i/>
          <w:color w:val="000000" w:themeColor="text1"/>
          <w:lang w:val="es-MX"/>
        </w:rPr>
        <w:t xml:space="preserve"> la transparencia de las actividades estatales y </w:t>
      </w:r>
      <w:r w:rsidRPr="00DA2D95">
        <w:rPr>
          <w:rFonts w:ascii="Palatino Linotype" w:hAnsi="Palatino Linotype"/>
          <w:color w:val="000000" w:themeColor="text1"/>
          <w:lang w:val="es-MX"/>
        </w:rPr>
        <w:t>promoviendo</w:t>
      </w:r>
      <w:r w:rsidRPr="00DA2D95">
        <w:rPr>
          <w:rFonts w:ascii="Palatino Linotype" w:hAnsi="Palatino Linotype"/>
          <w:i/>
          <w:color w:val="000000" w:themeColor="text1"/>
          <w:lang w:val="es-MX"/>
        </w:rPr>
        <w:t xml:space="preserve"> la responsabilidad de los funcionarios sobre su gestión pública,</w:t>
      </w:r>
      <w:r w:rsidRPr="00DA2D95">
        <w:rPr>
          <w:rFonts w:ascii="Palatino Linotype" w:hAnsi="Palatino Linotype"/>
          <w:i/>
          <w:color w:val="000000" w:themeColor="text1"/>
          <w:vertAlign w:val="superscript"/>
          <w:lang w:val="es-MX"/>
        </w:rPr>
        <w:footnoteReference w:id="4"/>
      </w:r>
      <w:r w:rsidRPr="00DA2D95">
        <w:rPr>
          <w:rFonts w:ascii="Palatino Linotype" w:hAnsi="Palatino Linotype"/>
          <w:color w:val="000000" w:themeColor="text1"/>
          <w:lang w:val="es-MX"/>
        </w:rPr>
        <w:t>que permite</w:t>
      </w:r>
      <w:r w:rsidRPr="00DA2D95">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5B6702" w:rsidRPr="00736D1C" w:rsidRDefault="005B6702" w:rsidP="005B6702">
      <w:pPr>
        <w:pStyle w:val="Prrafodelista"/>
        <w:rPr>
          <w:rFonts w:ascii="Palatino Linotype" w:hAnsi="Palatino Linotype"/>
          <w:color w:val="000000" w:themeColor="text1"/>
        </w:rPr>
      </w:pPr>
    </w:p>
    <w:p w:rsidR="005B6702" w:rsidRPr="005B6702"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Por otro lado, </w:t>
      </w:r>
      <w:r w:rsidRPr="0055159A">
        <w:rPr>
          <w:rFonts w:ascii="Palatino Linotype" w:hAnsi="Palatino Linotype"/>
          <w:color w:val="000000" w:themeColor="text1"/>
          <w:lang w:val="es-MX"/>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5B6702" w:rsidRDefault="005B6702" w:rsidP="005B6702">
      <w:pPr>
        <w:pStyle w:val="Prrafodelista"/>
        <w:rPr>
          <w:rFonts w:ascii="Palatino Linotype" w:hAnsi="Palatino Linotype"/>
          <w:color w:val="000000" w:themeColor="text1"/>
        </w:rPr>
      </w:pPr>
    </w:p>
    <w:p w:rsidR="00923231" w:rsidRDefault="005B6702" w:rsidP="00923231">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 xml:space="preserve">Ahora bien, recordar que </w:t>
      </w:r>
      <w:r w:rsidR="002453DA">
        <w:rPr>
          <w:rFonts w:ascii="Palatino Linotype" w:hAnsi="Palatino Linotype"/>
          <w:color w:val="000000" w:themeColor="text1"/>
        </w:rPr>
        <w:t xml:space="preserve">el </w:t>
      </w:r>
      <w:r w:rsidR="00604C2F">
        <w:rPr>
          <w:rFonts w:ascii="Palatino Linotype" w:hAnsi="Palatino Linotype"/>
          <w:color w:val="000000" w:themeColor="text1"/>
        </w:rPr>
        <w:t>Ayuntamiento de Amecameca</w:t>
      </w:r>
      <w:r>
        <w:rPr>
          <w:rFonts w:ascii="Palatino Linotype" w:hAnsi="Palatino Linotype"/>
          <w:color w:val="000000" w:themeColor="text1"/>
        </w:rPr>
        <w:t xml:space="preserve">, </w:t>
      </w:r>
      <w:r w:rsidR="00923231">
        <w:rPr>
          <w:rFonts w:ascii="Palatino Linotype" w:hAnsi="Palatino Linotype"/>
          <w:color w:val="000000" w:themeColor="text1"/>
        </w:rPr>
        <w:t xml:space="preserve">a través de la servidora pública habilitada, </w:t>
      </w:r>
      <w:r w:rsidR="00923231" w:rsidRPr="00923231">
        <w:rPr>
          <w:rFonts w:ascii="Palatino Linotype" w:hAnsi="Palatino Linotype"/>
          <w:color w:val="000000" w:themeColor="text1"/>
        </w:rPr>
        <w:t>refirió que se remitía la información correspondiente de las nóminas de di</w:t>
      </w:r>
      <w:r w:rsidR="00923231">
        <w:rPr>
          <w:rFonts w:ascii="Palatino Linotype" w:hAnsi="Palatino Linotype"/>
          <w:color w:val="000000" w:themeColor="text1"/>
        </w:rPr>
        <w:t xml:space="preserve">ciembre de 2021 y enero de 2022; no </w:t>
      </w:r>
      <w:proofErr w:type="gramStart"/>
      <w:r w:rsidR="00923231">
        <w:rPr>
          <w:rFonts w:ascii="Palatino Linotype" w:hAnsi="Palatino Linotype"/>
          <w:color w:val="000000" w:themeColor="text1"/>
        </w:rPr>
        <w:t>obstante</w:t>
      </w:r>
      <w:proofErr w:type="gramEnd"/>
      <w:r w:rsidR="00923231">
        <w:rPr>
          <w:rFonts w:ascii="Palatino Linotype" w:hAnsi="Palatino Linotype"/>
          <w:color w:val="000000" w:themeColor="text1"/>
        </w:rPr>
        <w:t xml:space="preserve"> de las constancias que obran en el expediente electrónico en que se actúa, no se advierte que hayan sido adjuntas como se manifestó.</w:t>
      </w:r>
    </w:p>
    <w:p w:rsidR="00923231" w:rsidRDefault="00923231" w:rsidP="00923231">
      <w:pPr>
        <w:pStyle w:val="Prrafodelista"/>
        <w:rPr>
          <w:rFonts w:ascii="Palatino Linotype" w:hAnsi="Palatino Linotype"/>
          <w:color w:val="000000" w:themeColor="text1"/>
        </w:rPr>
      </w:pPr>
    </w:p>
    <w:p w:rsidR="00B66F80" w:rsidRPr="00527AA4" w:rsidRDefault="00B66F80" w:rsidP="00B66F80">
      <w:pPr>
        <w:numPr>
          <w:ilvl w:val="0"/>
          <w:numId w:val="15"/>
        </w:numPr>
        <w:spacing w:line="360" w:lineRule="auto"/>
        <w:ind w:left="0" w:firstLine="0"/>
        <w:contextualSpacing/>
        <w:jc w:val="both"/>
        <w:rPr>
          <w:rFonts w:ascii="Palatino Linotype" w:hAnsi="Palatino Linotype"/>
          <w:b/>
        </w:rPr>
      </w:pPr>
      <w:r>
        <w:rPr>
          <w:rFonts w:ascii="Palatino Linotype" w:hAnsi="Palatino Linotype"/>
        </w:rPr>
        <w:lastRenderedPageBreak/>
        <w:t>Del hecho anterior, es que se considera dable obviar un estudio pormenorizado de la fuente obligacional del</w:t>
      </w:r>
      <w:r w:rsidRPr="00B66F80">
        <w:rPr>
          <w:rFonts w:ascii="Palatino Linotype" w:hAnsi="Palatino Linotype"/>
          <w:b/>
        </w:rPr>
        <w:t xml:space="preserve"> </w:t>
      </w:r>
      <w:r w:rsidRPr="00B66F80">
        <w:rPr>
          <w:rFonts w:ascii="Palatino Linotype" w:hAnsi="Palatino Linotype"/>
          <w:b/>
          <w:color w:val="000000" w:themeColor="text1"/>
        </w:rPr>
        <w:t>SUJETO</w:t>
      </w:r>
      <w:r>
        <w:rPr>
          <w:rFonts w:ascii="Palatino Linotype" w:hAnsi="Palatino Linotype"/>
          <w:b/>
        </w:rPr>
        <w:t xml:space="preserve"> OBLIGADO</w:t>
      </w:r>
      <w:r>
        <w:rPr>
          <w:rFonts w:ascii="Palatino Linotype" w:hAnsi="Palatino Linotype"/>
        </w:rPr>
        <w:t xml:space="preserve"> para determinar si genera, posee o administra la información, en virtud de que el Ayuntamiento asumió expresamente que cuenta con ella, tan es así que señalo que se remitía.</w:t>
      </w:r>
    </w:p>
    <w:p w:rsidR="00B66F80" w:rsidRPr="00527AA4" w:rsidRDefault="00B66F80" w:rsidP="00B66F80">
      <w:pPr>
        <w:pStyle w:val="Prrafodelista"/>
        <w:rPr>
          <w:rFonts w:ascii="Palatino Linotype" w:hAnsi="Palatino Linotype"/>
          <w:b/>
        </w:rPr>
      </w:pPr>
    </w:p>
    <w:p w:rsidR="00B66F80" w:rsidRPr="00527AA4" w:rsidRDefault="00B66F80" w:rsidP="00B66F80">
      <w:pPr>
        <w:numPr>
          <w:ilvl w:val="0"/>
          <w:numId w:val="15"/>
        </w:numPr>
        <w:spacing w:line="360" w:lineRule="auto"/>
        <w:ind w:left="0" w:firstLine="0"/>
        <w:contextualSpacing/>
        <w:jc w:val="both"/>
        <w:rPr>
          <w:rFonts w:ascii="Palatino Linotype" w:hAnsi="Palatino Linotype"/>
          <w:color w:val="222222"/>
        </w:rPr>
      </w:pPr>
      <w:r w:rsidRPr="00527AA4">
        <w:rPr>
          <w:rFonts w:ascii="Palatino Linotype" w:hAnsi="Palatino Linotype"/>
          <w:color w:val="222222"/>
        </w:rPr>
        <w:t xml:space="preserve">Por lo que, el hecho de que </w:t>
      </w:r>
      <w:r w:rsidRPr="00527AA4">
        <w:rPr>
          <w:rFonts w:ascii="Palatino Linotype" w:hAnsi="Palatino Linotype"/>
          <w:b/>
          <w:bCs/>
          <w:color w:val="222222"/>
        </w:rPr>
        <w:t>EL SUJETO OBLIGADO</w:t>
      </w:r>
      <w:r w:rsidRPr="00527AA4">
        <w:rPr>
          <w:rFonts w:ascii="Palatino Linotype" w:hAnsi="Palatino Linotype"/>
          <w:color w:val="222222"/>
        </w:rPr>
        <w:t xml:space="preserve"> haya asumido contar con la </w:t>
      </w:r>
      <w:r w:rsidRPr="00B66F80">
        <w:rPr>
          <w:rFonts w:ascii="Palatino Linotype" w:hAnsi="Palatino Linotype"/>
        </w:rPr>
        <w:t>información</w:t>
      </w:r>
      <w:r w:rsidRPr="00527AA4">
        <w:rPr>
          <w:rFonts w:ascii="Palatino Linotype" w:hAnsi="Palatino Linotype"/>
          <w:color w:val="222222"/>
        </w:rPr>
        <w:t xml:space="preserve"> pública solicitada en el ejercicio de sus funciones de derecho público, se actualiza el supuesto jurídico, previsto en el artículo 12 de la Ley de Transparencia y Acceso a la Información Pública del Estado de México y Municipios, que a la letra señala:</w:t>
      </w:r>
    </w:p>
    <w:p w:rsidR="00B66F80" w:rsidRPr="00527AA4" w:rsidRDefault="00B66F80" w:rsidP="00B66F80">
      <w:pPr>
        <w:pStyle w:val="Prrafodelista"/>
        <w:ind w:left="502"/>
        <w:jc w:val="both"/>
        <w:rPr>
          <w:rFonts w:ascii="Palatino Linotype" w:hAnsi="Palatino Linotype"/>
          <w:color w:val="222222"/>
        </w:rPr>
      </w:pPr>
    </w:p>
    <w:p w:rsidR="00B66F80" w:rsidRPr="009725F8" w:rsidRDefault="00B66F80" w:rsidP="00B66F80">
      <w:pPr>
        <w:pStyle w:val="Prrafodelista"/>
        <w:shd w:val="clear" w:color="auto" w:fill="FFFFFF"/>
        <w:spacing w:line="360" w:lineRule="auto"/>
        <w:ind w:left="502" w:right="902"/>
        <w:jc w:val="both"/>
        <w:rPr>
          <w:rFonts w:ascii="Palatino Linotype" w:hAnsi="Palatino Linotype"/>
          <w:color w:val="222222"/>
          <w:sz w:val="28"/>
        </w:rPr>
      </w:pPr>
      <w:r w:rsidRPr="009725F8">
        <w:rPr>
          <w:rFonts w:ascii="Palatino Linotype" w:hAnsi="Palatino Linotype"/>
          <w:i/>
          <w:iCs/>
          <w:color w:val="222222"/>
          <w:szCs w:val="22"/>
        </w:rPr>
        <w:t>“</w:t>
      </w:r>
      <w:r w:rsidRPr="009725F8">
        <w:rPr>
          <w:rFonts w:ascii="Palatino Linotype" w:hAnsi="Palatino Linotype"/>
          <w:b/>
          <w:bCs/>
          <w:i/>
          <w:iCs/>
          <w:color w:val="222222"/>
          <w:szCs w:val="22"/>
        </w:rPr>
        <w:t>Artículo 12.</w:t>
      </w:r>
      <w:r w:rsidRPr="009725F8">
        <w:rPr>
          <w:rFonts w:ascii="Palatino Linotype" w:hAnsi="Palatino Linotype"/>
          <w:i/>
          <w:iCs/>
          <w:color w:val="222222"/>
          <w:szCs w:val="22"/>
        </w:rPr>
        <w:t> Quienes generen, recopilen, administren, manejen, procesen, archiven o conserven información pública serán responsables de la misma en los términos de las disposiciones jurídicas aplicables.</w:t>
      </w:r>
    </w:p>
    <w:p w:rsidR="00B66F80" w:rsidRPr="009725F8" w:rsidRDefault="00B66F80" w:rsidP="00B66F80">
      <w:pPr>
        <w:pStyle w:val="Prrafodelista"/>
        <w:shd w:val="clear" w:color="auto" w:fill="FFFFFF"/>
        <w:spacing w:line="360" w:lineRule="auto"/>
        <w:ind w:left="505" w:right="902"/>
        <w:jc w:val="both"/>
        <w:rPr>
          <w:rFonts w:ascii="Palatino Linotype" w:hAnsi="Palatino Linotype"/>
          <w:i/>
          <w:iCs/>
          <w:color w:val="222222"/>
          <w:szCs w:val="22"/>
        </w:rPr>
      </w:pPr>
      <w:r w:rsidRPr="009725F8">
        <w:rPr>
          <w:rFonts w:ascii="Palatino Linotype" w:hAnsi="Palatino Linotype"/>
          <w:i/>
          <w:iCs/>
          <w:color w:val="2222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66F80" w:rsidRPr="00527AA4" w:rsidRDefault="00B66F80" w:rsidP="00B66F80">
      <w:pPr>
        <w:pStyle w:val="Prrafodelista"/>
        <w:shd w:val="clear" w:color="auto" w:fill="FFFFFF"/>
        <w:spacing w:line="360" w:lineRule="auto"/>
        <w:ind w:left="505" w:right="902"/>
        <w:jc w:val="both"/>
        <w:rPr>
          <w:rFonts w:ascii="Palatino Linotype" w:hAnsi="Palatino Linotype"/>
          <w:i/>
          <w:iCs/>
          <w:color w:val="222222"/>
          <w:sz w:val="22"/>
          <w:szCs w:val="22"/>
        </w:rPr>
      </w:pPr>
    </w:p>
    <w:p w:rsidR="00B66F80" w:rsidRPr="00527AA4" w:rsidRDefault="00B66F80" w:rsidP="00B66F80">
      <w:pPr>
        <w:numPr>
          <w:ilvl w:val="0"/>
          <w:numId w:val="15"/>
        </w:numPr>
        <w:spacing w:line="360" w:lineRule="auto"/>
        <w:ind w:left="0" w:firstLine="0"/>
        <w:contextualSpacing/>
        <w:jc w:val="both"/>
        <w:rPr>
          <w:rFonts w:ascii="Palatino Linotype" w:hAnsi="Palatino Linotype"/>
          <w:color w:val="222222"/>
        </w:rPr>
      </w:pPr>
      <w:r w:rsidRPr="00527AA4">
        <w:rPr>
          <w:rFonts w:ascii="Palatino Linotype" w:hAnsi="Palatino Linotype"/>
          <w:color w:val="222222"/>
        </w:rPr>
        <w:t xml:space="preserve">En atención a lo anterior, el estudio de la naturaleza jurídica de la información pública solicitada, tiene por objeto determinar si </w:t>
      </w:r>
      <w:r w:rsidRPr="00527AA4">
        <w:rPr>
          <w:rFonts w:ascii="Palatino Linotype" w:hAnsi="Palatino Linotype"/>
          <w:b/>
          <w:color w:val="222222"/>
        </w:rPr>
        <w:t xml:space="preserve">EL SUJETO OBLIGADO </w:t>
      </w:r>
      <w:r w:rsidRPr="00527AA4">
        <w:rPr>
          <w:rFonts w:ascii="Palatino Linotype" w:hAnsi="Palatino Linotype"/>
          <w:color w:val="222222"/>
        </w:rPr>
        <w:t>la</w:t>
      </w:r>
      <w:r w:rsidRPr="00527AA4">
        <w:rPr>
          <w:rFonts w:ascii="Palatino Linotype" w:hAnsi="Palatino Linotype"/>
          <w:b/>
          <w:color w:val="222222"/>
        </w:rPr>
        <w:t xml:space="preserve"> </w:t>
      </w:r>
      <w:r w:rsidRPr="00527AA4">
        <w:rPr>
          <w:rFonts w:ascii="Palatino Linotype" w:hAnsi="Palatino Linotype"/>
          <w:color w:val="222222"/>
        </w:rPr>
        <w:t xml:space="preserve">genera, posee o administra; sin embargo, </w:t>
      </w:r>
      <w:r>
        <w:rPr>
          <w:rFonts w:ascii="Palatino Linotype" w:hAnsi="Palatino Linotype"/>
          <w:color w:val="222222"/>
        </w:rPr>
        <w:t xml:space="preserve">-insistiendo- que </w:t>
      </w:r>
      <w:r w:rsidRPr="00527AA4">
        <w:rPr>
          <w:rFonts w:ascii="Palatino Linotype" w:hAnsi="Palatino Linotype"/>
          <w:color w:val="222222"/>
        </w:rPr>
        <w:t>en aquellos casos en que éste la asume,</w:t>
      </w:r>
      <w:r>
        <w:rPr>
          <w:rFonts w:ascii="Palatino Linotype" w:hAnsi="Palatino Linotype"/>
          <w:color w:val="222222"/>
        </w:rPr>
        <w:t xml:space="preserve"> </w:t>
      </w:r>
      <w:r w:rsidRPr="00527AA4">
        <w:rPr>
          <w:rFonts w:ascii="Palatino Linotype" w:hAnsi="Palatino Linotype"/>
          <w:color w:val="222222"/>
        </w:rPr>
        <w:t xml:space="preserve">a nada práctico nos conduciría su estudio, ya que como se observa de la </w:t>
      </w:r>
      <w:r w:rsidRPr="00527AA4">
        <w:rPr>
          <w:rFonts w:ascii="Palatino Linotype" w:hAnsi="Palatino Linotype"/>
          <w:color w:val="222222"/>
        </w:rPr>
        <w:lastRenderedPageBreak/>
        <w:t xml:space="preserve">respuesta vertida por </w:t>
      </w:r>
      <w:r w:rsidRPr="00527AA4">
        <w:rPr>
          <w:rFonts w:ascii="Palatino Linotype" w:hAnsi="Palatino Linotype"/>
          <w:b/>
          <w:color w:val="222222"/>
        </w:rPr>
        <w:t>EL SUJETO OBLIGADO</w:t>
      </w:r>
      <w:r w:rsidRPr="00527AA4">
        <w:rPr>
          <w:rFonts w:ascii="Palatino Linotype" w:hAnsi="Palatino Linotype"/>
          <w:color w:val="222222"/>
        </w:rPr>
        <w:t xml:space="preserve">, dicha información, fue admitida por el mismo; actualizándose el supuesto artículo 12 de la Ley de la </w:t>
      </w:r>
      <w:r>
        <w:rPr>
          <w:rFonts w:ascii="Palatino Linotype" w:hAnsi="Palatino Linotype"/>
          <w:color w:val="222222"/>
        </w:rPr>
        <w:t>materia, anteriormente referido.</w:t>
      </w:r>
    </w:p>
    <w:p w:rsidR="00923231" w:rsidRDefault="00923231" w:rsidP="00B66F80">
      <w:pPr>
        <w:spacing w:line="360" w:lineRule="auto"/>
        <w:contextualSpacing/>
        <w:jc w:val="both"/>
        <w:rPr>
          <w:rFonts w:ascii="Palatino Linotype" w:hAnsi="Palatino Linotype"/>
          <w:color w:val="000000" w:themeColor="text1"/>
        </w:rPr>
      </w:pPr>
    </w:p>
    <w:p w:rsidR="00BA4537" w:rsidRPr="00124FD1" w:rsidRDefault="00764727" w:rsidP="0002058B">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hAnsi="Palatino Linotype"/>
          <w:color w:val="000000" w:themeColor="text1"/>
        </w:rPr>
        <w:t>Si bien es cierto es que resulta dable obviar un estudio pormenorizado no es óbice para señalar lo siguiente</w:t>
      </w:r>
      <w:r w:rsidR="00124FD1" w:rsidRPr="00124FD1">
        <w:rPr>
          <w:rFonts w:ascii="Palatino Linotype" w:hAnsi="Palatino Linotype"/>
          <w:color w:val="000000" w:themeColor="text1"/>
        </w:rPr>
        <w:t xml:space="preserve"> </w:t>
      </w:r>
      <w:r>
        <w:rPr>
          <w:rFonts w:ascii="Palatino Linotype" w:hAnsi="Palatino Linotype"/>
          <w:color w:val="000000" w:themeColor="text1"/>
        </w:rPr>
        <w:t xml:space="preserve">relativo a </w:t>
      </w:r>
      <w:r w:rsidR="001E2093" w:rsidRPr="001E2093">
        <w:rPr>
          <w:rFonts w:ascii="Palatino Linotype" w:hAnsi="Palatino Linotype"/>
          <w:i/>
          <w:color w:val="000000" w:themeColor="text1"/>
        </w:rPr>
        <w:t>“las nóminas”</w:t>
      </w:r>
      <w:r w:rsidR="00A35946">
        <w:rPr>
          <w:rFonts w:ascii="Palatino Linotype" w:hAnsi="Palatino Linotype"/>
          <w:i/>
          <w:color w:val="000000" w:themeColor="text1"/>
        </w:rPr>
        <w:t xml:space="preserve"> </w:t>
      </w:r>
      <w:r w:rsidR="00A35946" w:rsidRPr="00A35946">
        <w:rPr>
          <w:rFonts w:ascii="Palatino Linotype" w:hAnsi="Palatino Linotype"/>
          <w:color w:val="000000" w:themeColor="text1"/>
        </w:rPr>
        <w:t>y todas sus percepciones</w:t>
      </w:r>
      <w:r w:rsidR="001E2093">
        <w:rPr>
          <w:rFonts w:ascii="Palatino Linotype" w:hAnsi="Palatino Linotype"/>
          <w:i/>
          <w:color w:val="000000" w:themeColor="text1"/>
        </w:rPr>
        <w:t xml:space="preserve"> </w:t>
      </w:r>
      <w:r w:rsidR="001E2093" w:rsidRPr="001E2093">
        <w:rPr>
          <w:rFonts w:ascii="Palatino Linotype" w:hAnsi="Palatino Linotype"/>
          <w:color w:val="000000" w:themeColor="text1"/>
        </w:rPr>
        <w:t>como las refirió el particular</w:t>
      </w:r>
      <w:r>
        <w:rPr>
          <w:rFonts w:ascii="Palatino Linotype" w:hAnsi="Palatino Linotype"/>
          <w:color w:val="000000" w:themeColor="text1"/>
        </w:rPr>
        <w:t>; al respecto</w:t>
      </w:r>
      <w:r w:rsidR="00124FD1">
        <w:rPr>
          <w:rFonts w:ascii="Palatino Linotype" w:hAnsi="Palatino Linotype"/>
          <w:color w:val="000000" w:themeColor="text1"/>
        </w:rPr>
        <w:t xml:space="preserve"> n</w:t>
      </w:r>
      <w:r w:rsidR="00BA4537" w:rsidRPr="00124FD1">
        <w:rPr>
          <w:rFonts w:ascii="Palatino Linotype" w:eastAsia="Palatino Linotype" w:hAnsi="Palatino Linotype" w:cs="Palatino Linotype"/>
        </w:rPr>
        <w:t xml:space="preserve">o debe perderse de vista que los artículos 7 y 23 fracciones I y XI, de la Ley de Transparencia y </w:t>
      </w:r>
      <w:r w:rsidR="00BA4537" w:rsidRPr="00124FD1">
        <w:rPr>
          <w:rFonts w:ascii="Palatino Linotype" w:hAnsi="Palatino Linotype"/>
          <w:color w:val="000000" w:themeColor="text1"/>
        </w:rPr>
        <w:t>Acceso</w:t>
      </w:r>
      <w:r w:rsidR="00BA4537" w:rsidRPr="00124FD1">
        <w:rPr>
          <w:rFonts w:ascii="Palatino Linotype" w:eastAsia="Palatino Linotype" w:hAnsi="Palatino Linotype" w:cs="Palatino Linotype"/>
        </w:rPr>
        <w:t xml:space="preserve"> a la Información Pública del Estado de México y Municipios, establece como deber de los sujetos obligados, publicitar toda la información respecto de los montos y personas a las que se otorguen recursos públicos, esto con la finalidad de dar a conocer a la ciudadanía la forma, términos y montos en los que se aplican dichos recursos, por lo que bajo esta premisa, si el personal </w:t>
      </w:r>
      <w:r w:rsidR="007A33A8" w:rsidRPr="00124FD1">
        <w:rPr>
          <w:rFonts w:ascii="Palatino Linotype" w:eastAsia="Palatino Linotype" w:hAnsi="Palatino Linotype" w:cs="Palatino Linotype"/>
        </w:rPr>
        <w:t>de las áreas señaladas en la solicitud de información</w:t>
      </w:r>
      <w:r w:rsidR="00BA4537" w:rsidRPr="00124FD1">
        <w:rPr>
          <w:rFonts w:ascii="Palatino Linotype" w:eastAsia="Palatino Linotype" w:hAnsi="Palatino Linotype" w:cs="Palatino Linotype"/>
        </w:rPr>
        <w:t xml:space="preserve"> recibe recursos de carácter público, en consecuencia, dichos datos revisten interés público:  </w:t>
      </w:r>
    </w:p>
    <w:p w:rsidR="00BA4537"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BA4537"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A4537"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23. Son sujetos obligados a transparentar y permitir el acceso a su información y proteger los datos personales que obren en su poder: </w:t>
      </w:r>
    </w:p>
    <w:p w:rsidR="00BA4537"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 El Poder Ejecutivo del Estado de México, las dependencias, organismos auxiliares, órganos, entidades, fideicomisos y fondos públicos, así como la Procuraduría General de Justicia;</w:t>
      </w:r>
    </w:p>
    <w:p w:rsidR="00BA4537"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A4537"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Cualquier otra autoridad, entidad, órgano u organismo de los poderes estatal o municipal, que reciba recursos públicos. </w:t>
      </w:r>
    </w:p>
    <w:p w:rsidR="00BA4537"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p>
    <w:p w:rsidR="00BA4537" w:rsidRDefault="00BA4537" w:rsidP="007A33A8">
      <w:pPr>
        <w:spacing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servidores públicos deberán transparentar sus </w:t>
      </w:r>
      <w:proofErr w:type="gramStart"/>
      <w:r>
        <w:rPr>
          <w:rFonts w:ascii="Palatino Linotype" w:eastAsia="Palatino Linotype" w:hAnsi="Palatino Linotype" w:cs="Palatino Linotype"/>
          <w:i/>
          <w:sz w:val="22"/>
          <w:szCs w:val="22"/>
        </w:rPr>
        <w:t>acciones</w:t>
      </w:r>
      <w:proofErr w:type="gramEnd"/>
      <w:r>
        <w:rPr>
          <w:rFonts w:ascii="Palatino Linotype" w:eastAsia="Palatino Linotype" w:hAnsi="Palatino Linotype" w:cs="Palatino Linotype"/>
          <w:i/>
          <w:sz w:val="22"/>
          <w:szCs w:val="22"/>
        </w:rPr>
        <w:t xml:space="preserve"> así como garantizar y respetar el derecho de acceso a la información pública.”</w:t>
      </w:r>
    </w:p>
    <w:p w:rsidR="007A33A8" w:rsidRPr="007A33A8" w:rsidRDefault="007A33A8" w:rsidP="007A33A8">
      <w:pPr>
        <w:spacing w:line="360" w:lineRule="auto"/>
        <w:ind w:left="567" w:right="851"/>
        <w:jc w:val="both"/>
        <w:rPr>
          <w:rFonts w:ascii="Palatino Linotype" w:eastAsia="Palatino Linotype" w:hAnsi="Palatino Linotype" w:cs="Palatino Linotype"/>
          <w:sz w:val="22"/>
          <w:szCs w:val="22"/>
        </w:rPr>
      </w:pPr>
    </w:p>
    <w:p w:rsidR="00BA4537" w:rsidRDefault="00BA4537" w:rsidP="008468B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Ahora bien, para el caso de las remuneraciones, debemos definirlas como todo tipo de retribución que recibe un trabajador por las labores realizadas, en otras palabras se trata de los beneficios que el patrón otorga al colaborador por la prestación de u</w:t>
      </w:r>
      <w:r w:rsidR="008468BF">
        <w:rPr>
          <w:rFonts w:ascii="Palatino Linotype" w:eastAsia="Palatino Linotype" w:hAnsi="Palatino Linotype" w:cs="Palatino Linotype"/>
        </w:rPr>
        <w:t>n servicio personal subordinado;</w:t>
      </w:r>
      <w:r>
        <w:rPr>
          <w:rFonts w:ascii="Palatino Linotype" w:eastAsia="Palatino Linotype" w:hAnsi="Palatino Linotype" w:cs="Palatino Linotype"/>
        </w:rPr>
        <w:t xml:space="preserve"> es decir, se constituyen como uno de los factores que determinan la existencia de una relación de trabajo entre empleador y trabajador, es de señalar que de conformidad con el artículo 84 de la Ley Federal del Trabajo, estas remuneraciones se conformarán de la siguiente manera: </w:t>
      </w:r>
    </w:p>
    <w:p w:rsidR="00764727" w:rsidRDefault="00764727" w:rsidP="00764727">
      <w:pPr>
        <w:spacing w:line="360" w:lineRule="auto"/>
        <w:contextualSpacing/>
        <w:jc w:val="both"/>
        <w:rPr>
          <w:rFonts w:ascii="Palatino Linotype" w:eastAsia="Palatino Linotype" w:hAnsi="Palatino Linotype" w:cs="Palatino Linotype"/>
        </w:rPr>
      </w:pPr>
    </w:p>
    <w:p w:rsidR="00BA4537" w:rsidRDefault="00BA4537" w:rsidP="008468BF">
      <w:pPr>
        <w:spacing w:line="360" w:lineRule="auto"/>
        <w:ind w:left="426" w:right="616"/>
        <w:jc w:val="both"/>
        <w:rPr>
          <w:rFonts w:ascii="Palatino Linotype" w:eastAsia="Palatino Linotype" w:hAnsi="Palatino Linotype" w:cs="Palatino Linotype"/>
          <w:i/>
          <w:sz w:val="22"/>
          <w:szCs w:val="22"/>
        </w:rPr>
      </w:pPr>
      <w:bookmarkStart w:id="149" w:name="bookmark=id.gjdgxs" w:colFirst="0" w:colLast="0"/>
      <w:bookmarkEnd w:id="149"/>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Artículo 84.- El salario se integra con</w:t>
      </w:r>
      <w:r>
        <w:rPr>
          <w:rFonts w:ascii="Palatino Linotype" w:eastAsia="Palatino Linotype" w:hAnsi="Palatino Linotype" w:cs="Palatino Linotype"/>
          <w:i/>
          <w:sz w:val="22"/>
          <w:szCs w:val="22"/>
        </w:rPr>
        <w:t xml:space="preserve"> los pagos hechos en efectivo por cuota diaria, gratificaciones, percepciones, habitación, primas, comisiones, </w:t>
      </w:r>
      <w:r>
        <w:rPr>
          <w:rFonts w:ascii="Palatino Linotype" w:eastAsia="Palatino Linotype" w:hAnsi="Palatino Linotype" w:cs="Palatino Linotype"/>
          <w:b/>
          <w:i/>
          <w:sz w:val="22"/>
          <w:szCs w:val="22"/>
          <w:u w:val="single"/>
        </w:rPr>
        <w:t xml:space="preserve">prestaciones en especie y </w:t>
      </w:r>
      <w:r>
        <w:rPr>
          <w:rFonts w:ascii="Palatino Linotype" w:eastAsia="Palatino Linotype" w:hAnsi="Palatino Linotype" w:cs="Palatino Linotype"/>
          <w:b/>
          <w:i/>
          <w:sz w:val="22"/>
          <w:szCs w:val="22"/>
          <w:u w:val="single"/>
        </w:rPr>
        <w:lastRenderedPageBreak/>
        <w:t>cualquiera otra cantidad o prestación que se entregue al trabajador por su trabajo.</w:t>
      </w:r>
      <w:r>
        <w:rPr>
          <w:rFonts w:ascii="Palatino Linotype" w:eastAsia="Palatino Linotype" w:hAnsi="Palatino Linotype" w:cs="Palatino Linotype"/>
          <w:i/>
          <w:sz w:val="22"/>
          <w:szCs w:val="22"/>
        </w:rPr>
        <w:t>”</w:t>
      </w:r>
    </w:p>
    <w:p w:rsidR="00BA4537" w:rsidRDefault="00BA4537" w:rsidP="008468BF">
      <w:pPr>
        <w:spacing w:line="360" w:lineRule="auto"/>
        <w:ind w:left="567" w:right="900"/>
        <w:jc w:val="both"/>
        <w:rPr>
          <w:rFonts w:ascii="Palatino Linotype" w:eastAsia="Palatino Linotype" w:hAnsi="Palatino Linotype" w:cs="Palatino Linotype"/>
          <w:i/>
          <w:sz w:val="22"/>
          <w:szCs w:val="22"/>
        </w:rPr>
      </w:pPr>
    </w:p>
    <w:p w:rsidR="00BA4537" w:rsidRDefault="00BA4537" w:rsidP="008468B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armonía con esta disposición, la Ley del Trabajo de los Servidores Públicos del Estado de México y Municipios prevé lo siguiente referente a las prestaciones de los servidores públicos: </w:t>
      </w:r>
    </w:p>
    <w:p w:rsidR="00BA4537" w:rsidRDefault="00BA4537" w:rsidP="00BA4537">
      <w:pPr>
        <w:ind w:right="900"/>
        <w:jc w:val="both"/>
        <w:rPr>
          <w:rFonts w:ascii="Palatino Linotype" w:eastAsia="Palatino Linotype" w:hAnsi="Palatino Linotype" w:cs="Palatino Linotype"/>
          <w:i/>
          <w:sz w:val="22"/>
          <w:szCs w:val="22"/>
        </w:rPr>
      </w:pPr>
    </w:p>
    <w:p w:rsidR="00BA4537" w:rsidRDefault="00BA4537" w:rsidP="008468BF">
      <w:pPr>
        <w:spacing w:line="360" w:lineRule="auto"/>
        <w:ind w:left="709"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“ARTÍCULO 40.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 xml:space="preserve">Conforme lo dispuesto en los artículos anteriores, los acuerdos, convenios y reglamentos a que se hace referencia, así como las prestaciones y derechos de </w:t>
      </w:r>
      <w:proofErr w:type="gramStart"/>
      <w:r>
        <w:rPr>
          <w:rFonts w:ascii="Palatino Linotype" w:eastAsia="Palatino Linotype" w:hAnsi="Palatino Linotype" w:cs="Palatino Linotype"/>
          <w:b/>
          <w:i/>
          <w:sz w:val="22"/>
          <w:szCs w:val="22"/>
          <w:u w:val="single"/>
        </w:rPr>
        <w:t>cualesquier naturaleza</w:t>
      </w:r>
      <w:proofErr w:type="gramEnd"/>
      <w:r>
        <w:rPr>
          <w:rFonts w:ascii="Palatino Linotype" w:eastAsia="Palatino Linotype" w:hAnsi="Palatino Linotype" w:cs="Palatino Linotype"/>
          <w:b/>
          <w:i/>
          <w:sz w:val="22"/>
          <w:szCs w:val="22"/>
          <w:u w:val="single"/>
        </w:rPr>
        <w:t>, serán de observancia general y obligatoria para</w:t>
      </w:r>
      <w:r>
        <w:rPr>
          <w:rFonts w:ascii="Palatino Linotype" w:eastAsia="Palatino Linotype" w:hAnsi="Palatino Linotype" w:cs="Palatino Linotype"/>
          <w:i/>
          <w:sz w:val="22"/>
          <w:szCs w:val="22"/>
        </w:rPr>
        <w:t xml:space="preserve"> el titular del Poder Ejecutivo, </w:t>
      </w:r>
      <w:r>
        <w:rPr>
          <w:rFonts w:ascii="Palatino Linotype" w:eastAsia="Palatino Linotype" w:hAnsi="Palatino Linotype" w:cs="Palatino Linotype"/>
          <w:b/>
          <w:i/>
          <w:sz w:val="22"/>
          <w:szCs w:val="22"/>
          <w:u w:val="single"/>
        </w:rPr>
        <w:t>los titulares de las dependencias y de la institución o instituciones públicas a las que estén adscritos.</w:t>
      </w:r>
    </w:p>
    <w:p w:rsidR="00BA4537" w:rsidRDefault="00BA4537" w:rsidP="008468BF">
      <w:pPr>
        <w:spacing w:line="360" w:lineRule="auto"/>
        <w:ind w:left="709" w:right="616"/>
        <w:jc w:val="both"/>
        <w:rPr>
          <w:rFonts w:ascii="Palatino Linotype" w:eastAsia="Palatino Linotype" w:hAnsi="Palatino Linotype" w:cs="Palatino Linotype"/>
          <w:i/>
          <w:sz w:val="22"/>
          <w:szCs w:val="22"/>
        </w:rPr>
      </w:pPr>
    </w:p>
    <w:p w:rsidR="00BA4537" w:rsidRDefault="00BA4537" w:rsidP="008468BF">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BA4537" w:rsidRDefault="00BA4537" w:rsidP="008468BF">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97.-</w:t>
      </w:r>
      <w:r>
        <w:rPr>
          <w:rFonts w:ascii="Palatino Linotype" w:eastAsia="Palatino Linotype" w:hAnsi="Palatino Linotype" w:cs="Palatino Linotype"/>
          <w:i/>
          <w:sz w:val="22"/>
          <w:szCs w:val="22"/>
        </w:rPr>
        <w:t xml:space="preserve"> </w:t>
      </w:r>
      <w:r w:rsidRPr="008468BF">
        <w:rPr>
          <w:rFonts w:ascii="Palatino Linotype" w:eastAsia="Palatino Linotype" w:hAnsi="Palatino Linotype" w:cs="Palatino Linotype"/>
          <w:i/>
          <w:sz w:val="22"/>
          <w:szCs w:val="22"/>
        </w:rPr>
        <w:t xml:space="preserve">Las instituciones públicas o dependencias no estarán obligadas a reinstalar al servidor público, pero sí a cubrirle la indemnización de tres meses de salario base, veinte días por cada año de servicios en términos del artículo 95 párrafo segundo de esta ley y cubrirle las prestaciones a que tenga derecho, </w:t>
      </w:r>
      <w:r>
        <w:rPr>
          <w:rFonts w:ascii="Palatino Linotype" w:eastAsia="Palatino Linotype" w:hAnsi="Palatino Linotype" w:cs="Palatino Linotype"/>
          <w:i/>
          <w:sz w:val="22"/>
          <w:szCs w:val="22"/>
        </w:rPr>
        <w:t>así como los salarios vencidos desde la fecha del despido hasta por un periodo máximo de doce meses, independientemente del tiempo que dure el proceso, exhibiendo la totalidad de la cantidad liquida en moneda nacional o mediante cheque certificado al momento de la negativa de reinstalar al actor.</w:t>
      </w:r>
    </w:p>
    <w:p w:rsidR="00BA4537" w:rsidRDefault="00BA4537" w:rsidP="008468BF">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A4537" w:rsidRDefault="00BA4537" w:rsidP="008468BF">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BA4537" w:rsidRDefault="00BA4537" w:rsidP="008468BF">
      <w:pPr>
        <w:spacing w:line="360" w:lineRule="auto"/>
        <w:ind w:left="709" w:right="616"/>
        <w:jc w:val="both"/>
        <w:rPr>
          <w:rFonts w:ascii="Palatino Linotype" w:eastAsia="Palatino Linotype" w:hAnsi="Palatino Linotype" w:cs="Palatino Linotype"/>
          <w:i/>
          <w:sz w:val="22"/>
          <w:szCs w:val="22"/>
        </w:rPr>
      </w:pPr>
    </w:p>
    <w:p w:rsidR="00BA4537" w:rsidRDefault="00BA4537" w:rsidP="008468BF">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BA4537" w:rsidRPr="0073715D" w:rsidRDefault="00BA4537" w:rsidP="008468BF">
      <w:pPr>
        <w:spacing w:line="360" w:lineRule="auto"/>
        <w:ind w:left="709" w:right="616"/>
        <w:jc w:val="both"/>
        <w:rPr>
          <w:rFonts w:ascii="Palatino Linotype" w:eastAsia="Palatino Linotype" w:hAnsi="Palatino Linotype" w:cs="Palatino Linotype"/>
          <w:i/>
          <w:sz w:val="22"/>
          <w:szCs w:val="22"/>
        </w:rPr>
      </w:pPr>
      <w:r w:rsidRPr="0073715D">
        <w:rPr>
          <w:rFonts w:ascii="Palatino Linotype" w:eastAsia="Palatino Linotype" w:hAnsi="Palatino Linotype" w:cs="Palatino Linotype"/>
          <w:i/>
          <w:sz w:val="22"/>
          <w:szCs w:val="22"/>
          <w:u w:val="single"/>
        </w:rPr>
        <w:t>IV. Recibos o las constancias de depósito o del medio de información magnética o electrónica que sean utilizadas para el pago de salarios, prima vacacional, aguinaldo y demás prestaciones establecidas en la presente ley</w:t>
      </w:r>
      <w:r w:rsidRPr="0073715D">
        <w:rPr>
          <w:rFonts w:ascii="Palatino Linotype" w:eastAsia="Palatino Linotype" w:hAnsi="Palatino Linotype" w:cs="Palatino Linotype"/>
          <w:i/>
          <w:sz w:val="22"/>
          <w:szCs w:val="22"/>
        </w:rPr>
        <w:t>;”</w:t>
      </w:r>
    </w:p>
    <w:p w:rsidR="00BA4537" w:rsidRPr="008468BF" w:rsidRDefault="00BA4537" w:rsidP="008468BF">
      <w:pPr>
        <w:spacing w:line="360" w:lineRule="auto"/>
        <w:ind w:left="709" w:right="616"/>
        <w:jc w:val="both"/>
        <w:rPr>
          <w:rFonts w:ascii="Palatino Linotype" w:eastAsia="Palatino Linotype" w:hAnsi="Palatino Linotype" w:cs="Palatino Linotype"/>
          <w:sz w:val="22"/>
          <w:szCs w:val="22"/>
        </w:rPr>
      </w:pPr>
      <w:r w:rsidRPr="008468BF">
        <w:rPr>
          <w:rFonts w:ascii="Palatino Linotype" w:eastAsia="Palatino Linotype" w:hAnsi="Palatino Linotype" w:cs="Palatino Linotype"/>
          <w:sz w:val="22"/>
          <w:szCs w:val="22"/>
        </w:rPr>
        <w:t>(Énfasis añadido)</w:t>
      </w:r>
    </w:p>
    <w:p w:rsidR="00BA4537" w:rsidRDefault="00BA4537" w:rsidP="00BA4537">
      <w:pPr>
        <w:spacing w:line="360" w:lineRule="auto"/>
        <w:ind w:right="49"/>
        <w:jc w:val="both"/>
        <w:rPr>
          <w:rFonts w:ascii="Palatino Linotype" w:eastAsia="Palatino Linotype" w:hAnsi="Palatino Linotype" w:cs="Palatino Linotype"/>
        </w:rPr>
      </w:pPr>
    </w:p>
    <w:p w:rsidR="00BA4537" w:rsidRDefault="00BA4537" w:rsidP="008468BF">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De tal suerte que la normatividad mandata a las instituciones públicas la observancia obligatoria de las prestaciones en efectivo o en especie que se generen de la ley en referencia, así como de los acuerdos, convenios y reglamentos, asimismo el texto legislativo en su artículo 97 expresa que </w:t>
      </w:r>
      <w:r w:rsidR="008468BF">
        <w:rPr>
          <w:rFonts w:ascii="Palatino Linotype" w:eastAsia="Palatino Linotype" w:hAnsi="Palatino Linotype" w:cs="Palatino Linotype"/>
        </w:rPr>
        <w:t xml:space="preserve">también </w:t>
      </w:r>
      <w:r>
        <w:rPr>
          <w:rFonts w:ascii="Palatino Linotype" w:eastAsia="Palatino Linotype" w:hAnsi="Palatino Linotype" w:cs="Palatino Linotype"/>
        </w:rPr>
        <w:t>para los casos en que se dé por finali</w:t>
      </w:r>
      <w:r w:rsidR="008468BF">
        <w:rPr>
          <w:rFonts w:ascii="Palatino Linotype" w:eastAsia="Palatino Linotype" w:hAnsi="Palatino Linotype" w:cs="Palatino Linotype"/>
        </w:rPr>
        <w:t>zada la relación laboral</w:t>
      </w:r>
      <w:r>
        <w:rPr>
          <w:rFonts w:ascii="Palatino Linotype" w:eastAsia="Palatino Linotype" w:hAnsi="Palatino Linotype" w:cs="Palatino Linotype"/>
        </w:rPr>
        <w:t xml:space="preserve">. </w:t>
      </w:r>
    </w:p>
    <w:p w:rsidR="00BA4537" w:rsidRDefault="00BA4537" w:rsidP="00BA4537">
      <w:pPr>
        <w:spacing w:line="360" w:lineRule="auto"/>
        <w:ind w:right="49"/>
        <w:jc w:val="both"/>
        <w:rPr>
          <w:rFonts w:ascii="Palatino Linotype" w:eastAsia="Palatino Linotype" w:hAnsi="Palatino Linotype" w:cs="Palatino Linotype"/>
        </w:rPr>
      </w:pPr>
    </w:p>
    <w:p w:rsidR="00BA4537"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w:t>
      </w:r>
      <w:r w:rsidR="0073715D">
        <w:rPr>
          <w:rFonts w:ascii="Palatino Linotype" w:eastAsia="Palatino Linotype" w:hAnsi="Palatino Linotype" w:cs="Palatino Linotype"/>
        </w:rPr>
        <w:t xml:space="preserve">ese </w:t>
      </w:r>
      <w:r>
        <w:rPr>
          <w:rFonts w:ascii="Palatino Linotype" w:eastAsia="Palatino Linotype" w:hAnsi="Palatino Linotype" w:cs="Palatino Linotype"/>
        </w:rPr>
        <w:t xml:space="preserve">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 </w:t>
      </w:r>
    </w:p>
    <w:p w:rsidR="00124FD1" w:rsidRDefault="00124FD1" w:rsidP="00124FD1">
      <w:pPr>
        <w:pStyle w:val="Prrafodelista"/>
        <w:rPr>
          <w:rFonts w:ascii="Palatino Linotype" w:eastAsia="Palatino Linotype" w:hAnsi="Palatino Linotype" w:cs="Palatino Linotype"/>
        </w:rPr>
      </w:pPr>
    </w:p>
    <w:p w:rsidR="00BA4537"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b/>
        </w:rPr>
      </w:pPr>
      <w:r>
        <w:rPr>
          <w:rFonts w:ascii="Palatino Linotype" w:eastAsia="Palatino Linotype" w:hAnsi="Palatino Linotype" w:cs="Palatino Linotype"/>
        </w:rPr>
        <w:t xml:space="preserve">En ese contexto, el artículo 70, fracción VIII, de la Ley General de Transparencia y Acceso a la Información Pública y 92, fracción VIII, de la Ley de Transparencia y Acceso a la Información Pública del Estado de México y Municipios, </w:t>
      </w:r>
      <w:r>
        <w:rPr>
          <w:rFonts w:ascii="Palatino Linotype" w:eastAsia="Palatino Linotype" w:hAnsi="Palatino Linotype" w:cs="Palatino Linotype"/>
        </w:rPr>
        <w:lastRenderedPageBreak/>
        <w:t xml:space="preserve">establece que los Sujetos Obligados deberán poner a disposición del público de manera permanente y actualizada, </w:t>
      </w:r>
      <w:r>
        <w:rPr>
          <w:rFonts w:ascii="Palatino Linotype" w:eastAsia="Palatino Linotype" w:hAnsi="Palatino Linotype" w:cs="Palatino Linotype"/>
          <w:b/>
        </w:rPr>
        <w:t xml:space="preserve">las remuneraciones brutas y netas de todos los </w:t>
      </w:r>
      <w:r w:rsidRPr="00A35946">
        <w:rPr>
          <w:rFonts w:ascii="Palatino Linotype" w:eastAsia="Palatino Linotype" w:hAnsi="Palatino Linotype" w:cs="Palatino Linotype"/>
          <w:b/>
        </w:rPr>
        <w:t>servidores públicos,</w:t>
      </w:r>
      <w:r w:rsidR="00261B09">
        <w:rPr>
          <w:rFonts w:ascii="Palatino Linotype" w:eastAsia="Palatino Linotype" w:hAnsi="Palatino Linotype" w:cs="Palatino Linotype"/>
          <w:b/>
        </w:rPr>
        <w:t xml:space="preserve"> </w:t>
      </w:r>
      <w:r w:rsidR="00261B09" w:rsidRPr="00261B09">
        <w:rPr>
          <w:rFonts w:ascii="Palatino Linotype" w:eastAsia="Palatino Linotype" w:hAnsi="Palatino Linotype" w:cs="Palatino Linotype"/>
          <w:b/>
          <w:u w:val="single"/>
        </w:rPr>
        <w:t>de confianza y sindicalizados</w:t>
      </w:r>
      <w:r w:rsidRPr="00A35946">
        <w:rPr>
          <w:rFonts w:ascii="Palatino Linotype" w:eastAsia="Palatino Linotype" w:hAnsi="Palatino Linotype" w:cs="Palatino Linotype"/>
          <w:b/>
        </w:rPr>
        <w:t xml:space="preserve"> </w:t>
      </w:r>
      <w:r w:rsidRPr="00A35946">
        <w:rPr>
          <w:rFonts w:ascii="Palatino Linotype" w:eastAsia="Palatino Linotype" w:hAnsi="Palatino Linotype" w:cs="Palatino Linotype"/>
          <w:b/>
          <w:u w:val="single"/>
        </w:rPr>
        <w:t>que incluya todas las percepciones</w:t>
      </w:r>
      <w:r w:rsidRPr="00A35946">
        <w:rPr>
          <w:rFonts w:ascii="Palatino Linotype" w:eastAsia="Palatino Linotype" w:hAnsi="Palatino Linotype" w:cs="Palatino Linotype"/>
          <w:b/>
        </w:rPr>
        <w:t>, entre las cuales, se encuentran los sueldos, prestaciones, gratificaciones, primas, comisiones, dietas, bonos, estímulos, ingresos, entre otros.</w:t>
      </w:r>
    </w:p>
    <w:p w:rsidR="00D41237" w:rsidRDefault="00D41237" w:rsidP="00D41237">
      <w:pPr>
        <w:pStyle w:val="Prrafodelista"/>
        <w:rPr>
          <w:rFonts w:ascii="Palatino Linotype" w:eastAsia="Palatino Linotype" w:hAnsi="Palatino Linotype" w:cs="Palatino Linotype"/>
        </w:rPr>
      </w:pPr>
    </w:p>
    <w:p w:rsidR="0073715D" w:rsidRPr="00A9676D" w:rsidRDefault="0073715D" w:rsidP="0073715D">
      <w:pPr>
        <w:numPr>
          <w:ilvl w:val="0"/>
          <w:numId w:val="15"/>
        </w:numPr>
        <w:spacing w:line="360" w:lineRule="auto"/>
        <w:ind w:left="0" w:firstLine="0"/>
        <w:contextualSpacing/>
        <w:jc w:val="both"/>
        <w:rPr>
          <w:rFonts w:ascii="Palatino Linotype" w:hAnsi="Palatino Linotype" w:cs="Arial"/>
          <w:sz w:val="28"/>
        </w:rPr>
      </w:pPr>
      <w:r w:rsidRPr="00A9676D">
        <w:rPr>
          <w:rFonts w:ascii="Palatino Linotype" w:hAnsi="Palatino Linotype" w:cs="Arial"/>
        </w:rPr>
        <w:t xml:space="preserve">Ahora bien, </w:t>
      </w:r>
      <w:r w:rsidRPr="00A9676D">
        <w:rPr>
          <w:rFonts w:ascii="Palatino Linotype" w:hAnsi="Palatino Linotype" w:cs="Arial"/>
          <w:lang w:val="es-ES"/>
        </w:rPr>
        <w:t xml:space="preserve">en la normatividad de la materia de Transparencia, no se cuenta con </w:t>
      </w:r>
      <w:r w:rsidRPr="0073715D">
        <w:rPr>
          <w:rFonts w:ascii="Palatino Linotype" w:eastAsia="Palatino Linotype" w:hAnsi="Palatino Linotype" w:cs="Palatino Linotype"/>
        </w:rPr>
        <w:t>una</w:t>
      </w:r>
      <w:r w:rsidRPr="00A9676D">
        <w:rPr>
          <w:rFonts w:ascii="Palatino Linotype" w:hAnsi="Palatino Linotype" w:cs="Arial"/>
          <w:lang w:val="es-ES"/>
        </w:rPr>
        <w:t xml:space="preserve"> definición de la palabra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A9676D">
        <w:rPr>
          <w:rFonts w:ascii="Palatino Linotype" w:hAnsi="Palatino Linotype" w:cs="Arial"/>
          <w:lang w:val="es-ES"/>
        </w:rPr>
        <w:t>Presupuestación</w:t>
      </w:r>
      <w:proofErr w:type="spellEnd"/>
      <w:r w:rsidRPr="00A9676D">
        <w:rPr>
          <w:rFonts w:ascii="Palatino Linotype" w:hAnsi="Palatino Linotype" w:cs="Arial"/>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73715D" w:rsidRPr="00A9676D" w:rsidRDefault="0073715D" w:rsidP="0073715D">
      <w:pPr>
        <w:pStyle w:val="Prrafodelista"/>
        <w:rPr>
          <w:rFonts w:ascii="Palatino Linotype" w:hAnsi="Palatino Linotype" w:cs="Arial"/>
          <w:sz w:val="28"/>
        </w:rPr>
      </w:pPr>
    </w:p>
    <w:p w:rsidR="0073715D" w:rsidRPr="00A35946" w:rsidRDefault="0073715D" w:rsidP="00A35946">
      <w:pPr>
        <w:spacing w:line="360" w:lineRule="auto"/>
        <w:ind w:left="567" w:right="758"/>
        <w:jc w:val="both"/>
        <w:rPr>
          <w:rFonts w:ascii="Palatino Linotype" w:hAnsi="Palatino Linotype" w:cs="Arial"/>
          <w:i/>
          <w:lang w:val="es-ES"/>
        </w:rPr>
      </w:pPr>
      <w:r w:rsidRPr="00A35946">
        <w:rPr>
          <w:rFonts w:ascii="Palatino Linotype" w:hAnsi="Palatino Linotype" w:cs="Arial"/>
          <w:b/>
          <w:bCs/>
          <w:i/>
          <w:lang w:val="es-ES"/>
        </w:rPr>
        <w:t>“NÓMINA</w:t>
      </w:r>
      <w:r w:rsidRPr="00A35946">
        <w:rPr>
          <w:rFonts w:ascii="Palatino Linotype" w:hAnsi="Palatino Linotype" w:cs="Arial"/>
          <w:b/>
          <w:bCs/>
          <w:i/>
          <w:sz w:val="28"/>
          <w:lang w:val="es-ES"/>
        </w:rPr>
        <w:t xml:space="preserve"> </w:t>
      </w:r>
      <w:r w:rsidRPr="00A35946">
        <w:rPr>
          <w:rFonts w:ascii="Palatino Linotype" w:hAnsi="Palatino Linotype" w:cs="Arial"/>
          <w:i/>
          <w:lang w:val="es-ES"/>
        </w:rPr>
        <w:t>Listado</w:t>
      </w:r>
      <w:r w:rsidRPr="00A35946">
        <w:rPr>
          <w:rFonts w:ascii="Palatino Linotype" w:hAnsi="Palatino Linotype" w:cs="Arial"/>
          <w:i/>
          <w:sz w:val="28"/>
          <w:lang w:val="es-ES"/>
        </w:rPr>
        <w:t xml:space="preserve"> </w:t>
      </w:r>
      <w:r w:rsidRPr="00A35946">
        <w:rPr>
          <w:rFonts w:ascii="Palatino Linotype" w:hAnsi="Palatino Linotype" w:cs="Arial"/>
          <w:i/>
          <w:lang w:val="es-ES"/>
        </w:rPr>
        <w:t>general</w:t>
      </w:r>
      <w:r w:rsidRPr="00A35946">
        <w:rPr>
          <w:rFonts w:ascii="Palatino Linotype" w:hAnsi="Palatino Linotype" w:cs="Arial"/>
          <w:i/>
          <w:sz w:val="28"/>
          <w:lang w:val="es-ES"/>
        </w:rPr>
        <w:t xml:space="preserve"> </w:t>
      </w:r>
      <w:r w:rsidRPr="00A35946">
        <w:rPr>
          <w:rFonts w:ascii="Palatino Linotype" w:hAnsi="Palatino Linotype" w:cs="Arial"/>
          <w:i/>
          <w:lang w:val="es-ES"/>
        </w:rPr>
        <w:t>de</w:t>
      </w:r>
      <w:r w:rsidRPr="00A35946">
        <w:rPr>
          <w:rFonts w:ascii="Palatino Linotype" w:hAnsi="Palatino Linotype" w:cs="Arial"/>
          <w:i/>
          <w:sz w:val="28"/>
          <w:lang w:val="es-ES"/>
        </w:rPr>
        <w:t xml:space="preserve"> </w:t>
      </w:r>
      <w:r w:rsidRPr="00A35946">
        <w:rPr>
          <w:rFonts w:ascii="Palatino Linotype" w:hAnsi="Palatino Linotype" w:cs="Arial"/>
          <w:i/>
          <w:lang w:val="es-ES"/>
        </w:rPr>
        <w:t>los</w:t>
      </w:r>
      <w:r w:rsidRPr="00A35946">
        <w:rPr>
          <w:rFonts w:ascii="Palatino Linotype" w:hAnsi="Palatino Linotype" w:cs="Arial"/>
          <w:i/>
          <w:sz w:val="28"/>
          <w:lang w:val="es-ES"/>
        </w:rPr>
        <w:t xml:space="preserve"> </w:t>
      </w:r>
      <w:r w:rsidRPr="00A35946">
        <w:rPr>
          <w:rFonts w:ascii="Palatino Linotype" w:hAnsi="Palatino Linotype" w:cs="Arial"/>
          <w:i/>
          <w:lang w:val="es-ES"/>
        </w:rPr>
        <w:t>trabajadores</w:t>
      </w:r>
      <w:r w:rsidRPr="00A35946">
        <w:rPr>
          <w:rFonts w:ascii="Palatino Linotype" w:hAnsi="Palatino Linotype" w:cs="Arial"/>
          <w:i/>
          <w:sz w:val="28"/>
          <w:lang w:val="es-ES"/>
        </w:rPr>
        <w:t xml:space="preserve"> </w:t>
      </w:r>
      <w:r w:rsidRPr="00A35946">
        <w:rPr>
          <w:rFonts w:ascii="Palatino Linotype" w:hAnsi="Palatino Linotype" w:cs="Arial"/>
          <w:i/>
          <w:lang w:val="es-ES"/>
        </w:rPr>
        <w:t>de</w:t>
      </w:r>
      <w:r w:rsidRPr="00A35946">
        <w:rPr>
          <w:rFonts w:ascii="Palatino Linotype" w:hAnsi="Palatino Linotype" w:cs="Arial"/>
          <w:i/>
          <w:sz w:val="28"/>
          <w:lang w:val="es-ES"/>
        </w:rPr>
        <w:t xml:space="preserve"> </w:t>
      </w:r>
      <w:r w:rsidRPr="00A35946">
        <w:rPr>
          <w:rFonts w:ascii="Palatino Linotype" w:hAnsi="Palatino Linotype" w:cs="Arial"/>
          <w:i/>
          <w:lang w:val="es-ES"/>
        </w:rPr>
        <w:t>una</w:t>
      </w:r>
      <w:r w:rsidRPr="00A35946">
        <w:rPr>
          <w:rFonts w:ascii="Palatino Linotype" w:hAnsi="Palatino Linotype" w:cs="Arial"/>
          <w:i/>
          <w:sz w:val="28"/>
          <w:lang w:val="es-ES"/>
        </w:rPr>
        <w:t xml:space="preserve"> </w:t>
      </w:r>
      <w:r w:rsidRPr="00A35946">
        <w:rPr>
          <w:rFonts w:ascii="Palatino Linotype" w:hAnsi="Palatino Linotype" w:cs="Arial"/>
          <w:i/>
          <w:lang w:val="es-ES"/>
        </w:rPr>
        <w:t>institución,</w:t>
      </w:r>
      <w:r w:rsidRPr="00A35946">
        <w:rPr>
          <w:rFonts w:ascii="Palatino Linotype" w:hAnsi="Palatino Linotype" w:cs="Arial"/>
          <w:i/>
          <w:sz w:val="28"/>
          <w:lang w:val="es-ES"/>
        </w:rPr>
        <w:t xml:space="preserve"> </w:t>
      </w:r>
      <w:r w:rsidRPr="00A35946">
        <w:rPr>
          <w:rFonts w:ascii="Palatino Linotype" w:hAnsi="Palatino Linotype" w:cs="Arial"/>
          <w:i/>
          <w:lang w:val="es-ES"/>
        </w:rPr>
        <w:t>en</w:t>
      </w:r>
      <w:r w:rsidRPr="00A35946">
        <w:rPr>
          <w:rFonts w:ascii="Palatino Linotype" w:hAnsi="Palatino Linotype" w:cs="Arial"/>
          <w:b/>
          <w:bCs/>
          <w:i/>
          <w:sz w:val="28"/>
          <w:lang w:val="es-ES"/>
        </w:rPr>
        <w:t xml:space="preserve"> </w:t>
      </w:r>
      <w:r w:rsidRPr="00A35946">
        <w:rPr>
          <w:rFonts w:ascii="Palatino Linotype" w:hAnsi="Palatino Linotype" w:cs="Arial"/>
          <w:i/>
          <w:lang w:val="es-ES"/>
        </w:rPr>
        <w:t>el</w:t>
      </w:r>
      <w:r w:rsidRPr="00A35946">
        <w:rPr>
          <w:rFonts w:ascii="Palatino Linotype" w:hAnsi="Palatino Linotype" w:cs="Arial"/>
          <w:i/>
          <w:sz w:val="28"/>
          <w:lang w:val="es-ES"/>
        </w:rPr>
        <w:t xml:space="preserve"> </w:t>
      </w:r>
      <w:r w:rsidRPr="00A35946">
        <w:rPr>
          <w:rFonts w:ascii="Palatino Linotype" w:hAnsi="Palatino Linotype" w:cs="Arial"/>
          <w:i/>
          <w:lang w:val="es-ES"/>
        </w:rPr>
        <w:t>cual</w:t>
      </w:r>
      <w:r w:rsidRPr="00A35946">
        <w:rPr>
          <w:rFonts w:ascii="Palatino Linotype" w:hAnsi="Palatino Linotype" w:cs="Arial"/>
          <w:i/>
          <w:sz w:val="28"/>
          <w:lang w:val="es-ES"/>
        </w:rPr>
        <w:t xml:space="preserve"> </w:t>
      </w:r>
      <w:r w:rsidRPr="00A35946">
        <w:rPr>
          <w:rFonts w:ascii="Palatino Linotype" w:hAnsi="Palatino Linotype" w:cs="Arial"/>
          <w:i/>
          <w:lang w:val="es-ES"/>
        </w:rPr>
        <w:t>se</w:t>
      </w:r>
      <w:r w:rsidRPr="00A35946">
        <w:rPr>
          <w:rFonts w:ascii="Palatino Linotype" w:hAnsi="Palatino Linotype" w:cs="Arial"/>
          <w:i/>
          <w:sz w:val="28"/>
          <w:lang w:val="es-ES"/>
        </w:rPr>
        <w:t xml:space="preserve"> </w:t>
      </w:r>
      <w:r w:rsidRPr="00A35946">
        <w:rPr>
          <w:rFonts w:ascii="Palatino Linotype" w:hAnsi="Palatino Linotype" w:cs="Arial"/>
          <w:i/>
          <w:lang w:val="es-ES"/>
        </w:rPr>
        <w:t>asientan</w:t>
      </w:r>
      <w:r w:rsidRPr="00A35946">
        <w:rPr>
          <w:rFonts w:ascii="Palatino Linotype" w:hAnsi="Palatino Linotype" w:cs="Arial"/>
          <w:i/>
          <w:sz w:val="28"/>
          <w:lang w:val="es-ES"/>
        </w:rPr>
        <w:t xml:space="preserve"> </w:t>
      </w:r>
      <w:r w:rsidRPr="00A35946">
        <w:rPr>
          <w:rFonts w:ascii="Palatino Linotype" w:hAnsi="Palatino Linotype" w:cs="Arial"/>
          <w:i/>
          <w:lang w:val="es-ES"/>
        </w:rPr>
        <w:t>las</w:t>
      </w:r>
      <w:r w:rsidRPr="00A35946">
        <w:rPr>
          <w:rFonts w:ascii="Palatino Linotype" w:hAnsi="Palatino Linotype" w:cs="Arial"/>
          <w:i/>
          <w:sz w:val="28"/>
          <w:lang w:val="es-ES"/>
        </w:rPr>
        <w:t xml:space="preserve"> </w:t>
      </w:r>
      <w:r w:rsidRPr="00A35946">
        <w:rPr>
          <w:rFonts w:ascii="Palatino Linotype" w:hAnsi="Palatino Linotype" w:cs="Arial"/>
          <w:i/>
          <w:lang w:val="es-ES"/>
        </w:rPr>
        <w:t>percepciones</w:t>
      </w:r>
      <w:r w:rsidRPr="00A35946">
        <w:rPr>
          <w:rFonts w:ascii="Palatino Linotype" w:hAnsi="Palatino Linotype" w:cs="Arial"/>
          <w:i/>
          <w:sz w:val="28"/>
          <w:lang w:val="es-ES"/>
        </w:rPr>
        <w:t xml:space="preserve"> </w:t>
      </w:r>
      <w:r w:rsidRPr="00A35946">
        <w:rPr>
          <w:rFonts w:ascii="Palatino Linotype" w:hAnsi="Palatino Linotype" w:cs="Arial"/>
          <w:i/>
          <w:lang w:val="es-ES"/>
        </w:rPr>
        <w:t>brutas,</w:t>
      </w:r>
      <w:r w:rsidRPr="00A35946">
        <w:rPr>
          <w:rFonts w:ascii="Palatino Linotype" w:hAnsi="Palatino Linotype" w:cs="Arial"/>
          <w:i/>
          <w:sz w:val="28"/>
          <w:lang w:val="es-ES"/>
        </w:rPr>
        <w:t xml:space="preserve"> </w:t>
      </w:r>
      <w:r w:rsidRPr="00A35946">
        <w:rPr>
          <w:rFonts w:ascii="Palatino Linotype" w:hAnsi="Palatino Linotype" w:cs="Arial"/>
          <w:i/>
          <w:lang w:val="es-ES"/>
        </w:rPr>
        <w:t>deducciones</w:t>
      </w:r>
      <w:r w:rsidRPr="00A35946">
        <w:rPr>
          <w:rFonts w:ascii="Palatino Linotype" w:hAnsi="Palatino Linotype" w:cs="Arial"/>
          <w:i/>
          <w:sz w:val="28"/>
          <w:lang w:val="es-ES"/>
        </w:rPr>
        <w:t xml:space="preserve"> </w:t>
      </w:r>
      <w:r w:rsidRPr="00A35946">
        <w:rPr>
          <w:rFonts w:ascii="Palatino Linotype" w:hAnsi="Palatino Linotype" w:cs="Arial"/>
          <w:i/>
          <w:lang w:val="es-ES"/>
        </w:rPr>
        <w:t>y</w:t>
      </w:r>
      <w:r w:rsidRPr="00A35946">
        <w:rPr>
          <w:rFonts w:ascii="Palatino Linotype" w:hAnsi="Palatino Linotype" w:cs="Arial"/>
          <w:b/>
          <w:bCs/>
          <w:i/>
          <w:sz w:val="28"/>
          <w:lang w:val="es-ES"/>
        </w:rPr>
        <w:t xml:space="preserve"> </w:t>
      </w:r>
      <w:r w:rsidRPr="00A35946">
        <w:rPr>
          <w:rFonts w:ascii="Palatino Linotype" w:hAnsi="Palatino Linotype" w:cs="Arial"/>
          <w:i/>
          <w:lang w:val="es-ES"/>
        </w:rPr>
        <w:t>alcance</w:t>
      </w:r>
      <w:r w:rsidRPr="00A35946">
        <w:rPr>
          <w:rFonts w:ascii="Palatino Linotype" w:hAnsi="Palatino Linotype" w:cs="Arial"/>
          <w:i/>
          <w:sz w:val="28"/>
          <w:lang w:val="es-ES"/>
        </w:rPr>
        <w:t xml:space="preserve"> </w:t>
      </w:r>
      <w:r w:rsidRPr="00A35946">
        <w:rPr>
          <w:rFonts w:ascii="Palatino Linotype" w:hAnsi="Palatino Linotype" w:cs="Arial"/>
          <w:i/>
          <w:lang w:val="es-ES"/>
        </w:rPr>
        <w:t>neto</w:t>
      </w:r>
      <w:r w:rsidRPr="00A35946">
        <w:rPr>
          <w:rFonts w:ascii="Palatino Linotype" w:hAnsi="Palatino Linotype" w:cs="Arial"/>
          <w:i/>
          <w:sz w:val="28"/>
          <w:lang w:val="es-ES"/>
        </w:rPr>
        <w:t xml:space="preserve"> </w:t>
      </w:r>
      <w:r w:rsidRPr="00A35946">
        <w:rPr>
          <w:rFonts w:ascii="Palatino Linotype" w:hAnsi="Palatino Linotype" w:cs="Arial"/>
          <w:i/>
          <w:color w:val="000000"/>
          <w:lang w:val="es-ES"/>
        </w:rPr>
        <w:t>de</w:t>
      </w:r>
      <w:r w:rsidRPr="00A35946">
        <w:rPr>
          <w:rFonts w:ascii="Palatino Linotype" w:hAnsi="Palatino Linotype" w:cs="Arial"/>
          <w:i/>
          <w:sz w:val="28"/>
          <w:lang w:val="es-ES"/>
        </w:rPr>
        <w:t xml:space="preserve"> </w:t>
      </w:r>
      <w:r w:rsidRPr="00A35946">
        <w:rPr>
          <w:rFonts w:ascii="Palatino Linotype" w:hAnsi="Palatino Linotype" w:cs="Arial"/>
          <w:i/>
          <w:lang w:val="es-ES"/>
        </w:rPr>
        <w:t>las</w:t>
      </w:r>
      <w:r w:rsidRPr="00A35946">
        <w:rPr>
          <w:rFonts w:ascii="Palatino Linotype" w:hAnsi="Palatino Linotype" w:cs="Arial"/>
          <w:i/>
          <w:sz w:val="28"/>
          <w:lang w:val="es-ES"/>
        </w:rPr>
        <w:t xml:space="preserve"> </w:t>
      </w:r>
      <w:r w:rsidRPr="00A35946">
        <w:rPr>
          <w:rFonts w:ascii="Palatino Linotype" w:hAnsi="Palatino Linotype" w:cs="Arial"/>
          <w:i/>
          <w:lang w:val="es-ES"/>
        </w:rPr>
        <w:t>mismas;</w:t>
      </w:r>
      <w:r w:rsidRPr="00A35946">
        <w:rPr>
          <w:rFonts w:ascii="Palatino Linotype" w:hAnsi="Palatino Linotype" w:cs="Arial"/>
          <w:i/>
          <w:sz w:val="28"/>
          <w:lang w:val="es-ES"/>
        </w:rPr>
        <w:t xml:space="preserve"> </w:t>
      </w:r>
      <w:r w:rsidRPr="00A35946">
        <w:rPr>
          <w:rFonts w:ascii="Palatino Linotype" w:hAnsi="Palatino Linotype" w:cs="Arial"/>
          <w:i/>
          <w:lang w:val="es-ES"/>
        </w:rPr>
        <w:t>la</w:t>
      </w:r>
      <w:r w:rsidRPr="00A35946">
        <w:rPr>
          <w:rFonts w:ascii="Palatino Linotype" w:hAnsi="Palatino Linotype" w:cs="Arial"/>
          <w:i/>
          <w:sz w:val="28"/>
          <w:lang w:val="es-ES"/>
        </w:rPr>
        <w:t xml:space="preserve"> </w:t>
      </w:r>
      <w:r w:rsidRPr="00A35946">
        <w:rPr>
          <w:rFonts w:ascii="Palatino Linotype" w:hAnsi="Palatino Linotype" w:cs="Arial"/>
          <w:i/>
          <w:lang w:val="es-ES"/>
        </w:rPr>
        <w:t>nómina</w:t>
      </w:r>
      <w:r w:rsidRPr="00A35946">
        <w:rPr>
          <w:rFonts w:ascii="Palatino Linotype" w:hAnsi="Palatino Linotype" w:cs="Arial"/>
          <w:i/>
          <w:sz w:val="28"/>
          <w:lang w:val="es-ES"/>
        </w:rPr>
        <w:t xml:space="preserve"> </w:t>
      </w:r>
      <w:r w:rsidRPr="00A35946">
        <w:rPr>
          <w:rFonts w:ascii="Palatino Linotype" w:hAnsi="Palatino Linotype" w:cs="Arial"/>
          <w:i/>
          <w:lang w:val="es-ES"/>
        </w:rPr>
        <w:t>es</w:t>
      </w:r>
      <w:r w:rsidRPr="00A35946">
        <w:rPr>
          <w:rFonts w:ascii="Palatino Linotype" w:hAnsi="Palatino Linotype" w:cs="Arial"/>
          <w:i/>
          <w:sz w:val="28"/>
          <w:lang w:val="es-ES"/>
        </w:rPr>
        <w:t xml:space="preserve"> </w:t>
      </w:r>
      <w:r w:rsidRPr="00A35946">
        <w:rPr>
          <w:rFonts w:ascii="Palatino Linotype" w:hAnsi="Palatino Linotype" w:cs="Arial"/>
          <w:i/>
          <w:lang w:val="es-ES"/>
        </w:rPr>
        <w:t>utilizada</w:t>
      </w:r>
      <w:r w:rsidRPr="00A35946">
        <w:rPr>
          <w:rFonts w:ascii="Palatino Linotype" w:hAnsi="Palatino Linotype" w:cs="Arial"/>
          <w:i/>
          <w:sz w:val="28"/>
          <w:lang w:val="es-ES"/>
        </w:rPr>
        <w:t xml:space="preserve"> </w:t>
      </w:r>
      <w:r w:rsidRPr="00A35946">
        <w:rPr>
          <w:rFonts w:ascii="Palatino Linotype" w:hAnsi="Palatino Linotype" w:cs="Arial"/>
          <w:i/>
          <w:lang w:val="es-ES"/>
        </w:rPr>
        <w:t>para</w:t>
      </w:r>
      <w:r w:rsidRPr="00A35946">
        <w:rPr>
          <w:rFonts w:ascii="Palatino Linotype" w:hAnsi="Palatino Linotype" w:cs="Arial"/>
          <w:b/>
          <w:bCs/>
          <w:i/>
          <w:sz w:val="28"/>
          <w:lang w:val="es-ES"/>
        </w:rPr>
        <w:t xml:space="preserve"> </w:t>
      </w:r>
      <w:r w:rsidRPr="00A35946">
        <w:rPr>
          <w:rFonts w:ascii="Palatino Linotype" w:hAnsi="Palatino Linotype" w:cs="Arial"/>
          <w:i/>
          <w:lang w:val="es-ES"/>
        </w:rPr>
        <w:t>efectuar</w:t>
      </w:r>
      <w:r w:rsidRPr="00A35946">
        <w:rPr>
          <w:rFonts w:ascii="Palatino Linotype" w:hAnsi="Palatino Linotype" w:cs="Arial"/>
          <w:i/>
          <w:sz w:val="28"/>
          <w:lang w:val="es-ES"/>
        </w:rPr>
        <w:t xml:space="preserve"> </w:t>
      </w:r>
      <w:r w:rsidRPr="00A35946">
        <w:rPr>
          <w:rFonts w:ascii="Palatino Linotype" w:hAnsi="Palatino Linotype" w:cs="Arial"/>
          <w:i/>
          <w:lang w:val="es-ES"/>
        </w:rPr>
        <w:t>los</w:t>
      </w:r>
      <w:r w:rsidRPr="00A35946">
        <w:rPr>
          <w:rFonts w:ascii="Palatino Linotype" w:hAnsi="Palatino Linotype" w:cs="Arial"/>
          <w:i/>
          <w:sz w:val="28"/>
          <w:lang w:val="es-ES"/>
        </w:rPr>
        <w:t xml:space="preserve"> </w:t>
      </w:r>
      <w:r w:rsidRPr="00A35946">
        <w:rPr>
          <w:rFonts w:ascii="Palatino Linotype" w:hAnsi="Palatino Linotype" w:cs="Arial"/>
          <w:i/>
          <w:lang w:val="es-ES"/>
        </w:rPr>
        <w:t>pagos</w:t>
      </w:r>
      <w:r w:rsidRPr="00A35946">
        <w:rPr>
          <w:rFonts w:ascii="Palatino Linotype" w:hAnsi="Palatino Linotype" w:cs="Arial"/>
          <w:i/>
          <w:sz w:val="28"/>
          <w:lang w:val="es-ES"/>
        </w:rPr>
        <w:t xml:space="preserve"> </w:t>
      </w:r>
      <w:r w:rsidRPr="00A35946">
        <w:rPr>
          <w:rFonts w:ascii="Palatino Linotype" w:hAnsi="Palatino Linotype" w:cs="Arial"/>
          <w:i/>
          <w:lang w:val="es-ES"/>
        </w:rPr>
        <w:t>periódicos</w:t>
      </w:r>
      <w:r w:rsidRPr="00A35946">
        <w:rPr>
          <w:rFonts w:ascii="Palatino Linotype" w:hAnsi="Palatino Linotype" w:cs="Arial"/>
          <w:i/>
          <w:sz w:val="28"/>
          <w:lang w:val="es-ES"/>
        </w:rPr>
        <w:t xml:space="preserve"> </w:t>
      </w:r>
      <w:r w:rsidRPr="00A35946">
        <w:rPr>
          <w:rFonts w:ascii="Palatino Linotype" w:hAnsi="Palatino Linotype" w:cs="Arial"/>
          <w:i/>
          <w:lang w:val="es-ES"/>
        </w:rPr>
        <w:t>(semanales,</w:t>
      </w:r>
      <w:r w:rsidRPr="00A35946">
        <w:rPr>
          <w:rFonts w:ascii="Palatino Linotype" w:hAnsi="Palatino Linotype" w:cs="Arial"/>
          <w:i/>
          <w:sz w:val="28"/>
          <w:lang w:val="es-ES"/>
        </w:rPr>
        <w:t xml:space="preserve"> </w:t>
      </w:r>
      <w:r w:rsidRPr="00A35946">
        <w:rPr>
          <w:rFonts w:ascii="Palatino Linotype" w:hAnsi="Palatino Linotype" w:cs="Arial"/>
          <w:i/>
          <w:lang w:val="es-ES"/>
        </w:rPr>
        <w:t>quincenales</w:t>
      </w:r>
      <w:r w:rsidRPr="00A35946">
        <w:rPr>
          <w:rFonts w:ascii="Palatino Linotype" w:hAnsi="Palatino Linotype" w:cs="Arial"/>
          <w:i/>
          <w:sz w:val="28"/>
          <w:lang w:val="es-ES"/>
        </w:rPr>
        <w:t xml:space="preserve"> </w:t>
      </w:r>
      <w:r w:rsidRPr="00A35946">
        <w:rPr>
          <w:rFonts w:ascii="Palatino Linotype" w:hAnsi="Palatino Linotype" w:cs="Arial"/>
          <w:i/>
          <w:lang w:val="es-ES"/>
        </w:rPr>
        <w:t>o</w:t>
      </w:r>
      <w:r w:rsidRPr="00A35946">
        <w:rPr>
          <w:rFonts w:ascii="Palatino Linotype" w:hAnsi="Palatino Linotype" w:cs="Arial"/>
          <w:b/>
          <w:bCs/>
          <w:i/>
          <w:sz w:val="28"/>
          <w:lang w:val="es-ES"/>
        </w:rPr>
        <w:t xml:space="preserve"> </w:t>
      </w:r>
      <w:r w:rsidRPr="00A35946">
        <w:rPr>
          <w:rFonts w:ascii="Palatino Linotype" w:hAnsi="Palatino Linotype" w:cs="Arial"/>
          <w:i/>
          <w:lang w:val="es-ES"/>
        </w:rPr>
        <w:t>mensuales)</w:t>
      </w:r>
      <w:r w:rsidRPr="00A35946">
        <w:rPr>
          <w:rFonts w:ascii="Palatino Linotype" w:hAnsi="Palatino Linotype" w:cs="Arial"/>
          <w:i/>
          <w:sz w:val="28"/>
          <w:lang w:val="es-ES"/>
        </w:rPr>
        <w:t xml:space="preserve"> </w:t>
      </w:r>
      <w:r w:rsidRPr="00A35946">
        <w:rPr>
          <w:rFonts w:ascii="Palatino Linotype" w:hAnsi="Palatino Linotype" w:cs="Arial"/>
          <w:i/>
          <w:lang w:val="es-ES"/>
        </w:rPr>
        <w:t>a</w:t>
      </w:r>
      <w:r w:rsidRPr="00A35946">
        <w:rPr>
          <w:rFonts w:ascii="Palatino Linotype" w:hAnsi="Palatino Linotype" w:cs="Arial"/>
          <w:i/>
          <w:sz w:val="28"/>
          <w:lang w:val="es-ES"/>
        </w:rPr>
        <w:t xml:space="preserve"> </w:t>
      </w:r>
      <w:r w:rsidRPr="00A35946">
        <w:rPr>
          <w:rFonts w:ascii="Palatino Linotype" w:hAnsi="Palatino Linotype" w:cs="Arial"/>
          <w:i/>
          <w:lang w:val="es-ES"/>
        </w:rPr>
        <w:t>los</w:t>
      </w:r>
      <w:r w:rsidRPr="00A35946">
        <w:rPr>
          <w:rFonts w:ascii="Palatino Linotype" w:hAnsi="Palatino Linotype" w:cs="Arial"/>
          <w:i/>
          <w:sz w:val="28"/>
          <w:lang w:val="es-ES"/>
        </w:rPr>
        <w:t xml:space="preserve"> </w:t>
      </w:r>
      <w:r w:rsidRPr="00A35946">
        <w:rPr>
          <w:rFonts w:ascii="Palatino Linotype" w:hAnsi="Palatino Linotype" w:cs="Arial"/>
          <w:i/>
          <w:lang w:val="es-ES"/>
        </w:rPr>
        <w:t>trabajadores</w:t>
      </w:r>
      <w:r w:rsidRPr="00A35946">
        <w:rPr>
          <w:rFonts w:ascii="Palatino Linotype" w:hAnsi="Palatino Linotype" w:cs="Arial"/>
          <w:i/>
          <w:sz w:val="28"/>
          <w:lang w:val="es-ES"/>
        </w:rPr>
        <w:t xml:space="preserve"> </w:t>
      </w:r>
      <w:r w:rsidRPr="00A35946">
        <w:rPr>
          <w:rFonts w:ascii="Palatino Linotype" w:hAnsi="Palatino Linotype" w:cs="Arial"/>
          <w:i/>
          <w:lang w:val="es-ES"/>
        </w:rPr>
        <w:t>por</w:t>
      </w:r>
      <w:r w:rsidRPr="00A35946">
        <w:rPr>
          <w:rFonts w:ascii="Palatino Linotype" w:hAnsi="Palatino Linotype" w:cs="Arial"/>
          <w:i/>
          <w:sz w:val="28"/>
          <w:lang w:val="es-ES"/>
        </w:rPr>
        <w:t xml:space="preserve"> </w:t>
      </w:r>
      <w:r w:rsidRPr="00A35946">
        <w:rPr>
          <w:rFonts w:ascii="Palatino Linotype" w:hAnsi="Palatino Linotype" w:cs="Arial"/>
          <w:i/>
          <w:lang w:val="es-ES"/>
        </w:rPr>
        <w:t>concepto</w:t>
      </w:r>
      <w:r w:rsidRPr="00A35946">
        <w:rPr>
          <w:rFonts w:ascii="Palatino Linotype" w:hAnsi="Palatino Linotype" w:cs="Arial"/>
          <w:i/>
          <w:sz w:val="28"/>
          <w:lang w:val="es-ES"/>
        </w:rPr>
        <w:t xml:space="preserve"> </w:t>
      </w:r>
      <w:r w:rsidRPr="00A35946">
        <w:rPr>
          <w:rFonts w:ascii="Palatino Linotype" w:hAnsi="Palatino Linotype" w:cs="Arial"/>
          <w:i/>
          <w:lang w:val="es-ES"/>
        </w:rPr>
        <w:t>de</w:t>
      </w:r>
      <w:r w:rsidRPr="00A35946">
        <w:rPr>
          <w:rFonts w:ascii="Palatino Linotype" w:hAnsi="Palatino Linotype" w:cs="Arial"/>
          <w:i/>
          <w:sz w:val="28"/>
          <w:lang w:val="es-ES"/>
        </w:rPr>
        <w:t xml:space="preserve"> </w:t>
      </w:r>
      <w:r w:rsidRPr="00A35946">
        <w:rPr>
          <w:rFonts w:ascii="Palatino Linotype" w:hAnsi="Palatino Linotype" w:cs="Arial"/>
          <w:i/>
          <w:lang w:val="es-ES"/>
        </w:rPr>
        <w:t>sueldos</w:t>
      </w:r>
      <w:r w:rsidRPr="00A35946">
        <w:rPr>
          <w:rFonts w:ascii="Palatino Linotype" w:hAnsi="Palatino Linotype" w:cs="Arial"/>
          <w:i/>
          <w:sz w:val="28"/>
          <w:lang w:val="es-ES"/>
        </w:rPr>
        <w:t xml:space="preserve"> </w:t>
      </w:r>
      <w:r w:rsidRPr="00A35946">
        <w:rPr>
          <w:rFonts w:ascii="Palatino Linotype" w:hAnsi="Palatino Linotype" w:cs="Arial"/>
          <w:i/>
          <w:lang w:val="es-ES"/>
        </w:rPr>
        <w:t>y</w:t>
      </w:r>
      <w:r w:rsidRPr="00A35946">
        <w:rPr>
          <w:rFonts w:ascii="Palatino Linotype" w:hAnsi="Palatino Linotype" w:cs="Arial"/>
          <w:b/>
          <w:bCs/>
          <w:i/>
          <w:sz w:val="28"/>
          <w:lang w:val="es-ES"/>
        </w:rPr>
        <w:t xml:space="preserve"> </w:t>
      </w:r>
      <w:r w:rsidRPr="00A35946">
        <w:rPr>
          <w:rFonts w:ascii="Palatino Linotype" w:hAnsi="Palatino Linotype" w:cs="Arial"/>
          <w:i/>
          <w:lang w:val="es-ES"/>
        </w:rPr>
        <w:t>salarios.”</w:t>
      </w:r>
    </w:p>
    <w:p w:rsidR="0073715D" w:rsidRPr="00A9676D" w:rsidRDefault="0073715D" w:rsidP="0073715D">
      <w:pPr>
        <w:pStyle w:val="Prrafodelista"/>
        <w:autoSpaceDE w:val="0"/>
        <w:autoSpaceDN w:val="0"/>
        <w:adjustRightInd w:val="0"/>
        <w:spacing w:before="120" w:after="120" w:line="360" w:lineRule="auto"/>
        <w:ind w:left="0"/>
        <w:jc w:val="both"/>
        <w:rPr>
          <w:rFonts w:ascii="Palatino Linotype" w:hAnsi="Palatino Linotype" w:cs="Arial"/>
          <w:sz w:val="28"/>
        </w:rPr>
      </w:pPr>
    </w:p>
    <w:p w:rsidR="0073715D" w:rsidRPr="00A9676D" w:rsidRDefault="0073715D" w:rsidP="0073715D">
      <w:pPr>
        <w:numPr>
          <w:ilvl w:val="0"/>
          <w:numId w:val="15"/>
        </w:numPr>
        <w:spacing w:line="360" w:lineRule="auto"/>
        <w:ind w:left="0" w:firstLine="0"/>
        <w:contextualSpacing/>
        <w:jc w:val="both"/>
        <w:rPr>
          <w:rFonts w:ascii="Palatino Linotype" w:hAnsi="Palatino Linotype" w:cs="Arial"/>
          <w:sz w:val="32"/>
        </w:rPr>
      </w:pPr>
      <w:r w:rsidRPr="00A9676D">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A9676D">
        <w:rPr>
          <w:rFonts w:ascii="Palatino Linotype" w:hAnsi="Palatino Linotype" w:cs="Arial"/>
          <w:color w:val="000000"/>
        </w:rPr>
        <w:t>Ley de Fiscalización Superior del Estado de México</w:t>
      </w:r>
      <w:r w:rsidRPr="00A9676D">
        <w:rPr>
          <w:rFonts w:ascii="Palatino Linotype" w:hAnsi="Palatino Linotype"/>
          <w:color w:val="000000"/>
          <w:vertAlign w:val="superscript"/>
        </w:rPr>
        <w:footnoteReference w:id="5"/>
      </w:r>
      <w:r w:rsidRPr="00A9676D">
        <w:rPr>
          <w:rFonts w:ascii="Palatino Linotype" w:hAnsi="Palatino Linotype" w:cs="Arial"/>
          <w:color w:val="000000"/>
        </w:rPr>
        <w:t xml:space="preserve">; razón por la cual, el Órgano Superior de Fiscalización del Estado de México, (OSFEM) emitió en su momento los </w:t>
      </w:r>
      <w:r w:rsidRPr="00A9676D">
        <w:rPr>
          <w:rFonts w:ascii="Palatino Linotype" w:hAnsi="Palatino Linotype" w:cs="Arial"/>
          <w:b/>
          <w:color w:val="000000"/>
        </w:rPr>
        <w:t>Lineamientos para la Integración del Informe Trimestral</w:t>
      </w:r>
      <w:r w:rsidRPr="00A9676D">
        <w:rPr>
          <w:rFonts w:ascii="Palatino Linotype" w:hAnsi="Palatino Linotype" w:cs="Arial"/>
          <w:color w:val="000000"/>
        </w:rPr>
        <w:t>, en términos de la fracción XI del artículo 8 de la Ley de Fiscalización Superior de</w:t>
      </w:r>
      <w:r>
        <w:rPr>
          <w:rFonts w:ascii="Palatino Linotype" w:hAnsi="Palatino Linotype" w:cs="Arial"/>
          <w:color w:val="000000"/>
        </w:rPr>
        <w:t>l Estado de México, que señala:</w:t>
      </w:r>
    </w:p>
    <w:p w:rsidR="00A35946" w:rsidRDefault="00A35946" w:rsidP="0073715D">
      <w:pPr>
        <w:autoSpaceDE w:val="0"/>
        <w:autoSpaceDN w:val="0"/>
        <w:adjustRightInd w:val="0"/>
        <w:ind w:left="851" w:right="899"/>
        <w:jc w:val="both"/>
        <w:rPr>
          <w:rFonts w:ascii="Palatino Linotype" w:hAnsi="Palatino Linotype" w:cs="Arial"/>
          <w:color w:val="000000"/>
        </w:rPr>
      </w:pPr>
    </w:p>
    <w:p w:rsidR="0073715D" w:rsidRPr="00990A2E" w:rsidRDefault="0073715D" w:rsidP="0073715D">
      <w:pPr>
        <w:autoSpaceDE w:val="0"/>
        <w:autoSpaceDN w:val="0"/>
        <w:adjustRightInd w:val="0"/>
        <w:ind w:left="851" w:right="899"/>
        <w:jc w:val="both"/>
        <w:rPr>
          <w:i/>
          <w:sz w:val="22"/>
          <w:szCs w:val="22"/>
        </w:rPr>
      </w:pPr>
      <w:r>
        <w:rPr>
          <w:rFonts w:ascii="Palatino Linotype" w:hAnsi="Palatino Linotype" w:cs="Arial"/>
          <w:color w:val="000000"/>
        </w:rPr>
        <w:t xml:space="preserve"> </w:t>
      </w:r>
      <w:r w:rsidRPr="00990A2E">
        <w:rPr>
          <w:rFonts w:ascii="Palatino Linotype" w:hAnsi="Palatino Linotype" w:cs="Arial"/>
          <w:b/>
          <w:bCs/>
          <w:i/>
          <w:sz w:val="22"/>
          <w:szCs w:val="22"/>
        </w:rPr>
        <w:t>“Artículo</w:t>
      </w:r>
      <w:r w:rsidRPr="00990A2E">
        <w:rPr>
          <w:rFonts w:ascii="Palatino Linotype" w:hAnsi="Palatino Linotype" w:cs="Arial"/>
          <w:b/>
          <w:bCs/>
          <w:i/>
        </w:rPr>
        <w:t xml:space="preserve"> </w:t>
      </w:r>
      <w:r w:rsidRPr="00990A2E">
        <w:rPr>
          <w:rFonts w:ascii="Palatino Linotype" w:hAnsi="Palatino Linotype" w:cs="Arial"/>
          <w:b/>
          <w:bCs/>
          <w:i/>
          <w:sz w:val="22"/>
          <w:szCs w:val="22"/>
        </w:rPr>
        <w:t>8.</w:t>
      </w:r>
      <w:r w:rsidRPr="00990A2E">
        <w:rPr>
          <w:rFonts w:ascii="Palatino Linotype" w:hAnsi="Palatino Linotype" w:cs="Arial"/>
          <w:b/>
          <w:bCs/>
          <w:i/>
        </w:rPr>
        <w:t xml:space="preserve"> </w:t>
      </w:r>
      <w:r w:rsidRPr="00990A2E">
        <w:rPr>
          <w:rFonts w:ascii="Palatino Linotype" w:hAnsi="Palatino Linotype" w:cs="Arial"/>
          <w:i/>
          <w:sz w:val="22"/>
          <w:szCs w:val="22"/>
        </w:rPr>
        <w:t>El</w:t>
      </w:r>
      <w:r w:rsidRPr="00990A2E">
        <w:rPr>
          <w:rFonts w:ascii="Palatino Linotype" w:hAnsi="Palatino Linotype" w:cs="Arial"/>
          <w:i/>
        </w:rPr>
        <w:t xml:space="preserve"> </w:t>
      </w:r>
      <w:r w:rsidRPr="00990A2E">
        <w:rPr>
          <w:rFonts w:ascii="Palatino Linotype" w:hAnsi="Palatino Linotype" w:cs="Arial"/>
          <w:i/>
          <w:sz w:val="22"/>
          <w:szCs w:val="22"/>
        </w:rPr>
        <w:t>Órgano</w:t>
      </w:r>
      <w:r w:rsidRPr="00990A2E">
        <w:rPr>
          <w:rFonts w:ascii="Palatino Linotype" w:hAnsi="Palatino Linotype" w:cs="Arial"/>
          <w:i/>
        </w:rPr>
        <w:t xml:space="preserve"> </w:t>
      </w:r>
      <w:r w:rsidRPr="00990A2E">
        <w:rPr>
          <w:rFonts w:ascii="Palatino Linotype" w:hAnsi="Palatino Linotype" w:cs="Arial"/>
          <w:i/>
          <w:sz w:val="22"/>
          <w:szCs w:val="22"/>
        </w:rPr>
        <w:t>Superior</w:t>
      </w:r>
      <w:r w:rsidRPr="00990A2E">
        <w:rPr>
          <w:rFonts w:ascii="Palatino Linotype" w:hAnsi="Palatino Linotype" w:cs="Arial"/>
          <w:i/>
        </w:rPr>
        <w:t xml:space="preserve"> </w:t>
      </w:r>
      <w:r w:rsidRPr="00990A2E">
        <w:rPr>
          <w:rFonts w:ascii="Palatino Linotype" w:hAnsi="Palatino Linotype" w:cs="Arial"/>
          <w:i/>
          <w:sz w:val="22"/>
          <w:szCs w:val="22"/>
        </w:rPr>
        <w:t>tendrá</w:t>
      </w:r>
      <w:r w:rsidRPr="00990A2E">
        <w:rPr>
          <w:rFonts w:ascii="Palatino Linotype" w:hAnsi="Palatino Linotype" w:cs="Arial"/>
          <w:i/>
        </w:rPr>
        <w:t xml:space="preserve"> </w:t>
      </w:r>
      <w:r w:rsidRPr="00990A2E">
        <w:rPr>
          <w:rFonts w:ascii="Palatino Linotype" w:hAnsi="Palatino Linotype" w:cs="Arial"/>
          <w:i/>
          <w:sz w:val="22"/>
          <w:szCs w:val="22"/>
        </w:rPr>
        <w:t>las</w:t>
      </w:r>
      <w:r w:rsidRPr="00990A2E">
        <w:rPr>
          <w:rFonts w:ascii="Palatino Linotype" w:hAnsi="Palatino Linotype" w:cs="Arial"/>
          <w:i/>
        </w:rPr>
        <w:t xml:space="preserve"> </w:t>
      </w:r>
      <w:r w:rsidRPr="00990A2E">
        <w:rPr>
          <w:rFonts w:ascii="Palatino Linotype" w:hAnsi="Palatino Linotype" w:cs="Arial"/>
          <w:i/>
          <w:sz w:val="22"/>
          <w:szCs w:val="22"/>
        </w:rPr>
        <w:t>siguientes</w:t>
      </w:r>
      <w:r w:rsidRPr="00990A2E">
        <w:rPr>
          <w:rFonts w:ascii="Palatino Linotype" w:hAnsi="Palatino Linotype" w:cs="Arial"/>
          <w:i/>
        </w:rPr>
        <w:t xml:space="preserve"> </w:t>
      </w:r>
      <w:r w:rsidRPr="00990A2E">
        <w:rPr>
          <w:rFonts w:ascii="Palatino Linotype" w:hAnsi="Palatino Linotype" w:cs="Arial"/>
          <w:i/>
          <w:sz w:val="22"/>
          <w:szCs w:val="22"/>
        </w:rPr>
        <w:t>atribuciones:</w:t>
      </w:r>
    </w:p>
    <w:p w:rsidR="0073715D" w:rsidRPr="00990A2E" w:rsidRDefault="0073715D" w:rsidP="0073715D">
      <w:pPr>
        <w:autoSpaceDE w:val="0"/>
        <w:autoSpaceDN w:val="0"/>
        <w:adjustRightInd w:val="0"/>
        <w:ind w:left="851" w:right="899"/>
        <w:jc w:val="both"/>
        <w:rPr>
          <w:rFonts w:ascii="Palatino Linotype" w:hAnsi="Palatino Linotype" w:cs="Arial"/>
          <w:i/>
          <w:sz w:val="22"/>
          <w:szCs w:val="22"/>
        </w:rPr>
      </w:pPr>
      <w:r w:rsidRPr="00990A2E">
        <w:rPr>
          <w:rFonts w:ascii="Palatino Linotype" w:hAnsi="Palatino Linotype" w:cs="Arial"/>
          <w:i/>
          <w:sz w:val="22"/>
          <w:szCs w:val="22"/>
        </w:rPr>
        <w:t>…</w:t>
      </w:r>
    </w:p>
    <w:p w:rsidR="0073715D" w:rsidRDefault="0073715D" w:rsidP="0073715D">
      <w:pPr>
        <w:autoSpaceDE w:val="0"/>
        <w:autoSpaceDN w:val="0"/>
        <w:adjustRightInd w:val="0"/>
        <w:spacing w:after="240"/>
        <w:ind w:left="851" w:right="899"/>
        <w:jc w:val="both"/>
        <w:rPr>
          <w:rFonts w:ascii="Palatino Linotype" w:hAnsi="Palatino Linotype" w:cs="Arial"/>
          <w:color w:val="000000"/>
          <w:sz w:val="22"/>
          <w:szCs w:val="22"/>
        </w:rPr>
      </w:pPr>
      <w:r w:rsidRPr="00990A2E">
        <w:rPr>
          <w:rFonts w:ascii="Palatino Linotype" w:hAnsi="Palatino Linotype" w:cs="Arial"/>
          <w:b/>
          <w:bCs/>
          <w:i/>
          <w:sz w:val="22"/>
          <w:szCs w:val="22"/>
        </w:rPr>
        <w:t>XI.</w:t>
      </w:r>
      <w:r w:rsidRPr="00990A2E">
        <w:rPr>
          <w:rFonts w:ascii="Palatino Linotype" w:hAnsi="Palatino Linotype" w:cs="Arial"/>
          <w:b/>
          <w:bCs/>
          <w:i/>
        </w:rPr>
        <w:t xml:space="preserve"> </w:t>
      </w:r>
      <w:r w:rsidRPr="00990A2E">
        <w:rPr>
          <w:rFonts w:ascii="Palatino Linotype" w:hAnsi="Palatino Linotype" w:cs="Arial"/>
          <w:i/>
          <w:sz w:val="22"/>
          <w:szCs w:val="22"/>
        </w:rPr>
        <w:t>Establecer</w:t>
      </w:r>
      <w:r w:rsidRPr="00990A2E">
        <w:rPr>
          <w:rFonts w:ascii="Palatino Linotype" w:hAnsi="Palatino Linotype" w:cs="Arial"/>
          <w:i/>
        </w:rPr>
        <w:t xml:space="preserve"> </w:t>
      </w:r>
      <w:r w:rsidRPr="00990A2E">
        <w:rPr>
          <w:rFonts w:ascii="Palatino Linotype" w:hAnsi="Palatino Linotype" w:cs="Arial"/>
          <w:i/>
          <w:sz w:val="22"/>
          <w:szCs w:val="22"/>
        </w:rPr>
        <w:t>los</w:t>
      </w:r>
      <w:r w:rsidRPr="00990A2E">
        <w:rPr>
          <w:rFonts w:ascii="Palatino Linotype" w:hAnsi="Palatino Linotype" w:cs="Arial"/>
          <w:i/>
        </w:rPr>
        <w:t xml:space="preserve"> </w:t>
      </w:r>
      <w:r w:rsidRPr="00990A2E">
        <w:rPr>
          <w:rFonts w:ascii="Palatino Linotype" w:hAnsi="Palatino Linotype" w:cs="Arial"/>
          <w:i/>
          <w:sz w:val="22"/>
          <w:szCs w:val="22"/>
        </w:rPr>
        <w:t>lineamientos,</w:t>
      </w:r>
      <w:r w:rsidRPr="00990A2E">
        <w:rPr>
          <w:rFonts w:ascii="Palatino Linotype" w:hAnsi="Palatino Linotype" w:cs="Arial"/>
          <w:i/>
        </w:rPr>
        <w:t xml:space="preserve"> </w:t>
      </w:r>
      <w:r w:rsidRPr="00990A2E">
        <w:rPr>
          <w:rFonts w:ascii="Palatino Linotype" w:hAnsi="Palatino Linotype" w:cs="Arial"/>
          <w:i/>
          <w:sz w:val="22"/>
          <w:szCs w:val="22"/>
        </w:rPr>
        <w:t>criterios,</w:t>
      </w:r>
      <w:r w:rsidRPr="00990A2E">
        <w:rPr>
          <w:rFonts w:ascii="Palatino Linotype" w:hAnsi="Palatino Linotype" w:cs="Arial"/>
          <w:i/>
        </w:rPr>
        <w:t xml:space="preserve"> </w:t>
      </w:r>
      <w:r w:rsidRPr="00990A2E">
        <w:rPr>
          <w:rFonts w:ascii="Palatino Linotype" w:hAnsi="Palatino Linotype" w:cs="Arial"/>
          <w:i/>
          <w:sz w:val="22"/>
          <w:szCs w:val="22"/>
        </w:rPr>
        <w:t>procedimientos,</w:t>
      </w:r>
      <w:r w:rsidRPr="00990A2E">
        <w:rPr>
          <w:rFonts w:ascii="Palatino Linotype" w:hAnsi="Palatino Linotype" w:cs="Arial"/>
          <w:i/>
        </w:rPr>
        <w:t xml:space="preserve"> </w:t>
      </w:r>
      <w:r w:rsidRPr="00990A2E">
        <w:rPr>
          <w:rFonts w:ascii="Palatino Linotype" w:hAnsi="Palatino Linotype" w:cs="Arial"/>
          <w:i/>
          <w:sz w:val="22"/>
          <w:szCs w:val="22"/>
        </w:rPr>
        <w:t>métodos</w:t>
      </w:r>
      <w:r w:rsidRPr="00990A2E">
        <w:rPr>
          <w:rFonts w:ascii="Palatino Linotype" w:hAnsi="Palatino Linotype" w:cs="Arial"/>
          <w:i/>
        </w:rPr>
        <w:t xml:space="preserve"> </w:t>
      </w:r>
      <w:r w:rsidRPr="00990A2E">
        <w:rPr>
          <w:rFonts w:ascii="Palatino Linotype" w:hAnsi="Palatino Linotype" w:cs="Arial"/>
          <w:i/>
          <w:sz w:val="22"/>
          <w:szCs w:val="22"/>
        </w:rPr>
        <w:t>y</w:t>
      </w:r>
      <w:r w:rsidRPr="00990A2E">
        <w:rPr>
          <w:rFonts w:ascii="Palatino Linotype" w:hAnsi="Palatino Linotype" w:cs="Arial"/>
          <w:i/>
        </w:rPr>
        <w:t xml:space="preserve"> </w:t>
      </w:r>
      <w:r w:rsidRPr="00990A2E">
        <w:rPr>
          <w:rFonts w:ascii="Palatino Linotype" w:hAnsi="Palatino Linotype" w:cs="Arial"/>
          <w:i/>
          <w:sz w:val="22"/>
          <w:szCs w:val="22"/>
        </w:rPr>
        <w:t>sistemas</w:t>
      </w:r>
      <w:r w:rsidRPr="00990A2E">
        <w:rPr>
          <w:rFonts w:ascii="Palatino Linotype" w:hAnsi="Palatino Linotype" w:cs="Arial"/>
          <w:i/>
        </w:rPr>
        <w:t xml:space="preserve"> </w:t>
      </w:r>
      <w:r w:rsidRPr="00990A2E">
        <w:rPr>
          <w:rFonts w:ascii="Palatino Linotype" w:hAnsi="Palatino Linotype" w:cs="Arial"/>
          <w:i/>
          <w:sz w:val="22"/>
          <w:szCs w:val="22"/>
        </w:rPr>
        <w:t>para</w:t>
      </w:r>
      <w:r w:rsidRPr="00990A2E">
        <w:rPr>
          <w:rFonts w:ascii="Palatino Linotype" w:hAnsi="Palatino Linotype" w:cs="Arial"/>
          <w:i/>
        </w:rPr>
        <w:t xml:space="preserve"> </w:t>
      </w:r>
      <w:r w:rsidRPr="00990A2E">
        <w:rPr>
          <w:rFonts w:ascii="Palatino Linotype" w:hAnsi="Palatino Linotype" w:cs="Arial"/>
          <w:i/>
          <w:sz w:val="22"/>
          <w:szCs w:val="22"/>
        </w:rPr>
        <w:t>las</w:t>
      </w:r>
      <w:r w:rsidRPr="00990A2E">
        <w:rPr>
          <w:rFonts w:ascii="Palatino Linotype" w:hAnsi="Palatino Linotype" w:cs="Arial"/>
          <w:i/>
        </w:rPr>
        <w:t xml:space="preserve"> </w:t>
      </w:r>
      <w:r w:rsidRPr="00990A2E">
        <w:rPr>
          <w:rFonts w:ascii="Palatino Linotype" w:hAnsi="Palatino Linotype" w:cs="Arial"/>
          <w:i/>
          <w:sz w:val="22"/>
          <w:szCs w:val="22"/>
        </w:rPr>
        <w:t>acciones</w:t>
      </w:r>
      <w:r w:rsidRPr="00990A2E">
        <w:rPr>
          <w:rFonts w:ascii="Palatino Linotype" w:hAnsi="Palatino Linotype" w:cs="Arial"/>
          <w:i/>
        </w:rPr>
        <w:t xml:space="preserve"> </w:t>
      </w:r>
      <w:r w:rsidRPr="00990A2E">
        <w:rPr>
          <w:rFonts w:ascii="Palatino Linotype" w:hAnsi="Palatino Linotype" w:cs="Arial"/>
          <w:i/>
          <w:sz w:val="22"/>
          <w:szCs w:val="22"/>
        </w:rPr>
        <w:t>de</w:t>
      </w:r>
      <w:r w:rsidRPr="00990A2E">
        <w:rPr>
          <w:rFonts w:ascii="Palatino Linotype" w:hAnsi="Palatino Linotype" w:cs="Arial"/>
          <w:i/>
        </w:rPr>
        <w:t xml:space="preserve"> </w:t>
      </w:r>
      <w:r w:rsidRPr="00990A2E">
        <w:rPr>
          <w:rFonts w:ascii="Palatino Linotype" w:hAnsi="Palatino Linotype" w:cs="Arial"/>
          <w:i/>
          <w:sz w:val="22"/>
          <w:szCs w:val="22"/>
        </w:rPr>
        <w:t>control</w:t>
      </w:r>
      <w:r w:rsidRPr="00990A2E">
        <w:rPr>
          <w:rFonts w:ascii="Palatino Linotype" w:hAnsi="Palatino Linotype" w:cs="Arial"/>
          <w:i/>
        </w:rPr>
        <w:t xml:space="preserve"> </w:t>
      </w:r>
      <w:r w:rsidRPr="00990A2E">
        <w:rPr>
          <w:rFonts w:ascii="Palatino Linotype" w:hAnsi="Palatino Linotype" w:cs="Arial"/>
          <w:i/>
          <w:sz w:val="22"/>
          <w:szCs w:val="22"/>
        </w:rPr>
        <w:t>y</w:t>
      </w:r>
      <w:r w:rsidRPr="00990A2E">
        <w:rPr>
          <w:rFonts w:ascii="Palatino Linotype" w:hAnsi="Palatino Linotype" w:cs="Arial"/>
          <w:i/>
        </w:rPr>
        <w:t xml:space="preserve"> </w:t>
      </w:r>
      <w:r w:rsidRPr="00990A2E">
        <w:rPr>
          <w:rFonts w:ascii="Palatino Linotype" w:hAnsi="Palatino Linotype" w:cs="Arial"/>
          <w:i/>
          <w:sz w:val="22"/>
          <w:szCs w:val="22"/>
        </w:rPr>
        <w:t>evaluación,</w:t>
      </w:r>
      <w:r w:rsidRPr="00990A2E">
        <w:rPr>
          <w:rFonts w:ascii="Palatino Linotype" w:hAnsi="Palatino Linotype" w:cs="Arial"/>
          <w:i/>
        </w:rPr>
        <w:t xml:space="preserve"> </w:t>
      </w:r>
      <w:r w:rsidRPr="00990A2E">
        <w:rPr>
          <w:rFonts w:ascii="Palatino Linotype" w:hAnsi="Palatino Linotype" w:cs="Arial"/>
          <w:i/>
          <w:sz w:val="22"/>
          <w:szCs w:val="22"/>
        </w:rPr>
        <w:t>necesarios</w:t>
      </w:r>
      <w:r w:rsidRPr="00990A2E">
        <w:rPr>
          <w:rFonts w:ascii="Palatino Linotype" w:hAnsi="Palatino Linotype" w:cs="Arial"/>
          <w:i/>
        </w:rPr>
        <w:t xml:space="preserve"> </w:t>
      </w:r>
      <w:r w:rsidRPr="00990A2E">
        <w:rPr>
          <w:rFonts w:ascii="Palatino Linotype" w:hAnsi="Palatino Linotype" w:cs="Arial"/>
          <w:i/>
          <w:sz w:val="22"/>
          <w:szCs w:val="22"/>
        </w:rPr>
        <w:t>para</w:t>
      </w:r>
      <w:r w:rsidRPr="00990A2E">
        <w:rPr>
          <w:rFonts w:ascii="Palatino Linotype" w:hAnsi="Palatino Linotype" w:cs="Arial"/>
          <w:i/>
        </w:rPr>
        <w:t xml:space="preserve"> </w:t>
      </w:r>
      <w:r w:rsidRPr="00990A2E">
        <w:rPr>
          <w:rFonts w:ascii="Palatino Linotype" w:hAnsi="Palatino Linotype" w:cs="Arial"/>
          <w:i/>
          <w:sz w:val="22"/>
          <w:szCs w:val="22"/>
        </w:rPr>
        <w:t>la</w:t>
      </w:r>
      <w:r w:rsidRPr="00990A2E">
        <w:rPr>
          <w:rFonts w:ascii="Palatino Linotype" w:hAnsi="Palatino Linotype" w:cs="Arial"/>
          <w:i/>
        </w:rPr>
        <w:t xml:space="preserve"> </w:t>
      </w:r>
      <w:r w:rsidRPr="00990A2E">
        <w:rPr>
          <w:rFonts w:ascii="Palatino Linotype" w:hAnsi="Palatino Linotype" w:cs="Arial"/>
          <w:i/>
          <w:sz w:val="22"/>
          <w:szCs w:val="22"/>
        </w:rPr>
        <w:t>fiscalización</w:t>
      </w:r>
      <w:r w:rsidRPr="00990A2E">
        <w:rPr>
          <w:rFonts w:ascii="Palatino Linotype" w:hAnsi="Palatino Linotype" w:cs="Arial"/>
          <w:i/>
        </w:rPr>
        <w:t xml:space="preserve"> </w:t>
      </w:r>
      <w:r w:rsidRPr="00990A2E">
        <w:rPr>
          <w:rFonts w:ascii="Palatino Linotype" w:hAnsi="Palatino Linotype" w:cs="Arial"/>
          <w:i/>
          <w:sz w:val="22"/>
          <w:szCs w:val="22"/>
        </w:rPr>
        <w:t>de</w:t>
      </w:r>
      <w:r w:rsidRPr="00990A2E">
        <w:rPr>
          <w:rFonts w:ascii="Palatino Linotype" w:hAnsi="Palatino Linotype" w:cs="Arial"/>
          <w:i/>
        </w:rPr>
        <w:t xml:space="preserve"> </w:t>
      </w:r>
      <w:r w:rsidRPr="00990A2E">
        <w:rPr>
          <w:rFonts w:ascii="Palatino Linotype" w:hAnsi="Palatino Linotype" w:cs="Arial"/>
          <w:i/>
          <w:sz w:val="22"/>
          <w:szCs w:val="22"/>
        </w:rPr>
        <w:t>las</w:t>
      </w:r>
      <w:r w:rsidRPr="00990A2E">
        <w:rPr>
          <w:rFonts w:ascii="Palatino Linotype" w:hAnsi="Palatino Linotype" w:cs="Arial"/>
          <w:i/>
        </w:rPr>
        <w:t xml:space="preserve"> </w:t>
      </w:r>
      <w:r w:rsidRPr="00990A2E">
        <w:rPr>
          <w:rFonts w:ascii="Palatino Linotype" w:hAnsi="Palatino Linotype" w:cs="Arial"/>
          <w:i/>
          <w:sz w:val="22"/>
          <w:szCs w:val="22"/>
        </w:rPr>
        <w:t>cuentas</w:t>
      </w:r>
      <w:r w:rsidRPr="00990A2E">
        <w:rPr>
          <w:rFonts w:ascii="Palatino Linotype" w:hAnsi="Palatino Linotype" w:cs="Arial"/>
          <w:i/>
        </w:rPr>
        <w:t xml:space="preserve"> </w:t>
      </w:r>
      <w:r w:rsidRPr="00990A2E">
        <w:rPr>
          <w:rFonts w:ascii="Palatino Linotype" w:hAnsi="Palatino Linotype" w:cs="Arial"/>
          <w:i/>
          <w:sz w:val="22"/>
          <w:szCs w:val="22"/>
        </w:rPr>
        <w:t>públi</w:t>
      </w:r>
      <w:r w:rsidRPr="00990A2E">
        <w:rPr>
          <w:rFonts w:ascii="Palatino Linotype" w:hAnsi="Palatino Linotype" w:cs="Arial"/>
          <w:i/>
        </w:rPr>
        <w:t>cas y los informes trimestrales</w:t>
      </w:r>
      <w:r>
        <w:rPr>
          <w:rStyle w:val="Refdenotaalpie"/>
          <w:rFonts w:ascii="Palatino Linotype" w:hAnsi="Palatino Linotype" w:cs="Arial"/>
          <w:i/>
        </w:rPr>
        <w:footnoteReference w:id="6"/>
      </w:r>
      <w:r w:rsidRPr="00990A2E">
        <w:rPr>
          <w:rFonts w:ascii="Palatino Linotype" w:hAnsi="Palatino Linotype" w:cs="Arial"/>
          <w:color w:val="000000"/>
          <w:sz w:val="22"/>
          <w:szCs w:val="22"/>
        </w:rPr>
        <w:t>…”</w:t>
      </w:r>
      <w:r w:rsidRPr="00990A2E">
        <w:rPr>
          <w:rFonts w:ascii="Palatino Linotype" w:hAnsi="Palatino Linotype" w:cs="Arial"/>
          <w:color w:val="000000"/>
        </w:rPr>
        <w:t xml:space="preserve"> </w:t>
      </w:r>
      <w:r w:rsidRPr="00990A2E">
        <w:rPr>
          <w:rFonts w:ascii="Palatino Linotype" w:hAnsi="Palatino Linotype" w:cs="Arial"/>
          <w:color w:val="000000"/>
          <w:sz w:val="22"/>
          <w:szCs w:val="22"/>
        </w:rPr>
        <w:t>(Sic)</w:t>
      </w:r>
    </w:p>
    <w:p w:rsidR="00A35946" w:rsidRPr="00A35946" w:rsidRDefault="00A35946" w:rsidP="00A35946">
      <w:pPr>
        <w:spacing w:line="360" w:lineRule="auto"/>
        <w:contextualSpacing/>
        <w:jc w:val="both"/>
        <w:rPr>
          <w:rFonts w:ascii="Palatino Linotype" w:hAnsi="Palatino Linotype" w:cs="Arial"/>
        </w:rPr>
      </w:pPr>
    </w:p>
    <w:p w:rsidR="0073715D" w:rsidRPr="00A9676D" w:rsidRDefault="0073715D" w:rsidP="0073715D">
      <w:pPr>
        <w:numPr>
          <w:ilvl w:val="0"/>
          <w:numId w:val="15"/>
        </w:numPr>
        <w:spacing w:line="360" w:lineRule="auto"/>
        <w:ind w:left="0" w:firstLine="0"/>
        <w:contextualSpacing/>
        <w:jc w:val="both"/>
        <w:rPr>
          <w:rFonts w:ascii="Palatino Linotype" w:hAnsi="Palatino Linotype" w:cs="Arial"/>
          <w:sz w:val="36"/>
        </w:rPr>
      </w:pPr>
      <w:r w:rsidRPr="00A9676D">
        <w:rPr>
          <w:rFonts w:ascii="Palatino Linotype" w:hAnsi="Palatino Linotype"/>
        </w:rPr>
        <w:t xml:space="preserve">De esta forma, el OSFEM emite anualmente dichos Lineamientos para definir los </w:t>
      </w:r>
      <w:r w:rsidRPr="0073715D">
        <w:rPr>
          <w:rFonts w:ascii="Palatino Linotype" w:hAnsi="Palatino Linotype"/>
          <w:color w:val="000000"/>
        </w:rPr>
        <w:t>criterios</w:t>
      </w:r>
      <w:r w:rsidRPr="00A9676D">
        <w:rPr>
          <w:rFonts w:ascii="Palatino Linotype" w:hAnsi="Palatino Linotype"/>
        </w:rPr>
        <w:t>, formatos y documentación necesaria para presentar los informes trimestrales, dentro de los cuales destacan –en relació</w:t>
      </w:r>
      <w:r>
        <w:rPr>
          <w:rFonts w:ascii="Palatino Linotype" w:hAnsi="Palatino Linotype"/>
        </w:rPr>
        <w:t>n con el análisis que nos ocupa</w:t>
      </w:r>
      <w:r w:rsidRPr="00A9676D">
        <w:rPr>
          <w:rFonts w:ascii="Palatino Linotype" w:hAnsi="Palatino Linotype"/>
        </w:rPr>
        <w:t>, lo relativo a la matriz de información firmas y archivos</w:t>
      </w:r>
      <w:r w:rsidRPr="00A9676D">
        <w:rPr>
          <w:rStyle w:val="Refdenotaalpie"/>
          <w:rFonts w:ascii="Palatino Linotype" w:hAnsi="Palatino Linotype"/>
        </w:rPr>
        <w:footnoteReference w:id="7"/>
      </w:r>
      <w:r w:rsidRPr="00A9676D">
        <w:rPr>
          <w:rFonts w:ascii="Palatino Linotype" w:hAnsi="Palatino Linotype"/>
        </w:rPr>
        <w:t>.</w:t>
      </w:r>
    </w:p>
    <w:p w:rsidR="0073715D" w:rsidRDefault="0073715D" w:rsidP="0073715D">
      <w:pPr>
        <w:spacing w:line="360" w:lineRule="auto"/>
        <w:jc w:val="both"/>
        <w:rPr>
          <w:rFonts w:ascii="Palatino Linotype" w:hAnsi="Palatino Linotype"/>
        </w:rPr>
      </w:pPr>
    </w:p>
    <w:p w:rsidR="0073715D" w:rsidRDefault="0073715D" w:rsidP="0073715D">
      <w:pPr>
        <w:spacing w:before="100" w:beforeAutospacing="1" w:line="360" w:lineRule="auto"/>
        <w:jc w:val="both"/>
        <w:rPr>
          <w:rFonts w:ascii="Palatino Linotype" w:hAnsi="Palatino Linotype"/>
        </w:rPr>
      </w:pPr>
      <w:r>
        <w:rPr>
          <w:noProof/>
          <w:lang w:val="es-ES"/>
        </w:rPr>
        <w:lastRenderedPageBreak/>
        <mc:AlternateContent>
          <mc:Choice Requires="wps">
            <w:drawing>
              <wp:anchor distT="0" distB="0" distL="114300" distR="114300" simplePos="0" relativeHeight="251679744" behindDoc="0" locked="0" layoutInCell="1" allowOverlap="1" wp14:anchorId="6C1D93AF" wp14:editId="45B78042">
                <wp:simplePos x="0" y="0"/>
                <wp:positionH relativeFrom="column">
                  <wp:posOffset>1302204</wp:posOffset>
                </wp:positionH>
                <wp:positionV relativeFrom="paragraph">
                  <wp:posOffset>1621427</wp:posOffset>
                </wp:positionV>
                <wp:extent cx="4468633" cy="286247"/>
                <wp:effectExtent l="76200" t="38100" r="84455" b="95250"/>
                <wp:wrapNone/>
                <wp:docPr id="6" name="Rectángulo redondeado 6"/>
                <wp:cNvGraphicFramePr/>
                <a:graphic xmlns:a="http://schemas.openxmlformats.org/drawingml/2006/main">
                  <a:graphicData uri="http://schemas.microsoft.com/office/word/2010/wordprocessingShape">
                    <wps:wsp>
                      <wps:cNvSpPr/>
                      <wps:spPr>
                        <a:xfrm>
                          <a:off x="0" y="0"/>
                          <a:ext cx="4468633" cy="286247"/>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F584B1" id="Rectángulo redondeado 6" o:spid="_x0000_s1026" style="position:absolute;margin-left:102.55pt;margin-top:127.65pt;width:351.85pt;height:22.5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" filled="f" strokecolor="red" strokeweight="3pt">
                <v:stroke joinstyle="miter"/>
              </v:roundrect>
            </w:pict>
          </mc:Fallback>
        </mc:AlternateContent>
      </w:r>
      <w:r>
        <w:rPr>
          <w:noProof/>
          <w:lang w:val="es-ES"/>
        </w:rPr>
        <w:drawing>
          <wp:inline distT="0" distB="0" distL="0" distR="0" wp14:anchorId="2BC03C2B" wp14:editId="08D10F72">
            <wp:extent cx="5791835" cy="1914525"/>
            <wp:effectExtent l="19050" t="19050" r="18415"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14525"/>
                    </a:xfrm>
                    <a:prstGeom prst="rect">
                      <a:avLst/>
                    </a:prstGeom>
                    <a:ln>
                      <a:solidFill>
                        <a:schemeClr val="tx1"/>
                      </a:solidFill>
                    </a:ln>
                  </pic:spPr>
                </pic:pic>
              </a:graphicData>
            </a:graphic>
          </wp:inline>
        </w:drawing>
      </w:r>
    </w:p>
    <w:p w:rsidR="0073715D" w:rsidRDefault="0073715D" w:rsidP="0073715D">
      <w:pPr>
        <w:spacing w:line="360" w:lineRule="auto"/>
        <w:jc w:val="both"/>
        <w:rPr>
          <w:rFonts w:ascii="Palatino Linotype" w:hAnsi="Palatino Linotype"/>
        </w:rPr>
      </w:pPr>
    </w:p>
    <w:p w:rsidR="0073715D" w:rsidRDefault="0073715D" w:rsidP="0073715D">
      <w:pPr>
        <w:numPr>
          <w:ilvl w:val="0"/>
          <w:numId w:val="15"/>
        </w:numPr>
        <w:spacing w:line="360" w:lineRule="auto"/>
        <w:ind w:left="0" w:firstLine="0"/>
        <w:contextualSpacing/>
        <w:jc w:val="both"/>
        <w:rPr>
          <w:rFonts w:ascii="Palatino Linotype" w:hAnsi="Palatino Linotype"/>
        </w:rPr>
      </w:pPr>
      <w:r w:rsidRPr="00A9676D">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trimestral deberá ser presentado al OSFEM dentro de los 20 días posteriores al término del trimestre correspondiente de acuerdo a lo establecido en el artículo 32 de la Ley de Fiscalización Superior del Estado de México, que a la letra dice:</w:t>
      </w:r>
    </w:p>
    <w:p w:rsidR="0073715D" w:rsidRPr="00A9676D" w:rsidRDefault="0073715D" w:rsidP="0073715D">
      <w:pPr>
        <w:spacing w:line="360" w:lineRule="auto"/>
        <w:contextualSpacing/>
        <w:jc w:val="both"/>
        <w:rPr>
          <w:rFonts w:ascii="Palatino Linotype" w:hAnsi="Palatino Linotype"/>
        </w:rPr>
      </w:pPr>
    </w:p>
    <w:p w:rsidR="0073715D" w:rsidRPr="001A460D" w:rsidRDefault="0073715D" w:rsidP="001A460D">
      <w:pPr>
        <w:spacing w:line="360" w:lineRule="auto"/>
        <w:ind w:left="567" w:right="616"/>
        <w:jc w:val="both"/>
        <w:rPr>
          <w:rFonts w:ascii="Palatino Linotype" w:hAnsi="Palatino Linotype"/>
          <w:i/>
        </w:rPr>
      </w:pPr>
      <w:r w:rsidRPr="001A460D">
        <w:rPr>
          <w:rFonts w:ascii="Palatino Linotype" w:hAnsi="Palatino Linotype"/>
          <w:b/>
          <w:i/>
        </w:rPr>
        <w:t>“Artículo 32.-</w:t>
      </w:r>
      <w:r w:rsidRPr="001A460D">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73715D" w:rsidRPr="001A460D" w:rsidRDefault="0073715D" w:rsidP="001A460D">
      <w:pPr>
        <w:spacing w:line="360" w:lineRule="auto"/>
        <w:ind w:left="567" w:right="616"/>
        <w:jc w:val="both"/>
        <w:rPr>
          <w:rFonts w:ascii="Palatino Linotype" w:hAnsi="Palatino Linotype"/>
          <w:b/>
          <w:i/>
        </w:rPr>
      </w:pPr>
      <w:r w:rsidRPr="001A460D">
        <w:rPr>
          <w:rFonts w:ascii="Palatino Linotype" w:hAnsi="Palatino Linotype"/>
          <w:b/>
          <w:i/>
        </w:rPr>
        <w:t>Los Presidentes Municipales presentarán a la Legislatura las cuentas públicas anuales</w:t>
      </w:r>
      <w:r w:rsidRPr="001A460D">
        <w:rPr>
          <w:rFonts w:ascii="Palatino Linotype" w:hAnsi="Palatino Linotype"/>
          <w:i/>
        </w:rPr>
        <w:t xml:space="preserve"> de sus respectivos municipios, del ejercicio fiscal inmediato anterior, </w:t>
      </w:r>
      <w:r w:rsidRPr="001A460D">
        <w:rPr>
          <w:rFonts w:ascii="Palatino Linotype" w:hAnsi="Palatino Linotype"/>
          <w:b/>
          <w:i/>
        </w:rPr>
        <w:t>dentro de los quince primeros días del mes de marzo</w:t>
      </w:r>
      <w:r w:rsidRPr="001A460D">
        <w:rPr>
          <w:rFonts w:ascii="Palatino Linotype" w:hAnsi="Palatino Linotype"/>
          <w:i/>
        </w:rPr>
        <w:t xml:space="preserve"> de cada año; </w:t>
      </w:r>
      <w:r w:rsidRPr="001A460D">
        <w:rPr>
          <w:rFonts w:ascii="Palatino Linotype" w:hAnsi="Palatino Linotype"/>
          <w:b/>
          <w:i/>
        </w:rPr>
        <w:t>asimism</w:t>
      </w:r>
      <w:r w:rsidRPr="001A460D">
        <w:rPr>
          <w:rFonts w:ascii="Palatino Linotype" w:hAnsi="Palatino Linotype"/>
          <w:i/>
        </w:rPr>
        <w:t xml:space="preserve">o, </w:t>
      </w:r>
      <w:r w:rsidRPr="001A460D">
        <w:rPr>
          <w:rFonts w:ascii="Palatino Linotype" w:hAnsi="Palatino Linotype"/>
          <w:b/>
          <w:i/>
        </w:rPr>
        <w:t>los informes trimestrales</w:t>
      </w:r>
      <w:r w:rsidRPr="001A460D">
        <w:rPr>
          <w:rFonts w:ascii="Palatino Linotype" w:hAnsi="Palatino Linotype"/>
          <w:i/>
        </w:rPr>
        <w:t xml:space="preserve"> los deberán presentar </w:t>
      </w:r>
      <w:r w:rsidRPr="001A460D">
        <w:rPr>
          <w:rFonts w:ascii="Palatino Linotype" w:hAnsi="Palatino Linotype"/>
          <w:b/>
          <w:i/>
        </w:rPr>
        <w:t>dentro de los veinte días posteriores al término del trimestre correspondiente.”</w:t>
      </w:r>
    </w:p>
    <w:p w:rsidR="0073715D" w:rsidRPr="001A460D" w:rsidRDefault="0073715D" w:rsidP="001A460D">
      <w:pPr>
        <w:spacing w:line="276" w:lineRule="auto"/>
        <w:ind w:left="567" w:right="899"/>
        <w:jc w:val="both"/>
        <w:rPr>
          <w:rFonts w:ascii="Palatino Linotype" w:hAnsi="Palatino Linotype"/>
        </w:rPr>
      </w:pPr>
      <w:r w:rsidRPr="001A460D">
        <w:rPr>
          <w:rFonts w:ascii="Palatino Linotype" w:hAnsi="Palatino Linotype"/>
        </w:rPr>
        <w:lastRenderedPageBreak/>
        <w:t>(Énfasis añadido)</w:t>
      </w:r>
    </w:p>
    <w:p w:rsidR="0073715D" w:rsidRPr="00990A2E" w:rsidRDefault="0073715D" w:rsidP="0073715D">
      <w:pPr>
        <w:ind w:left="851" w:right="899"/>
        <w:jc w:val="both"/>
        <w:rPr>
          <w:rFonts w:ascii="Palatino Linotype" w:hAnsi="Palatino Linotype"/>
          <w:i/>
          <w:sz w:val="22"/>
          <w:szCs w:val="22"/>
        </w:rPr>
      </w:pPr>
    </w:p>
    <w:p w:rsidR="0073715D" w:rsidRDefault="0073715D" w:rsidP="0073715D">
      <w:pPr>
        <w:numPr>
          <w:ilvl w:val="0"/>
          <w:numId w:val="15"/>
        </w:numPr>
        <w:spacing w:line="360" w:lineRule="auto"/>
        <w:ind w:left="0" w:firstLine="0"/>
        <w:contextualSpacing/>
        <w:jc w:val="both"/>
        <w:rPr>
          <w:rFonts w:ascii="Palatino Linotype" w:hAnsi="Palatino Linotype"/>
          <w:color w:val="000000"/>
          <w:lang w:val="es-ES"/>
        </w:rPr>
      </w:pPr>
      <w:r w:rsidRPr="00A9676D">
        <w:rPr>
          <w:rFonts w:ascii="Palatino Linotype" w:hAnsi="Palatino Linotype"/>
        </w:rPr>
        <w:t xml:space="preserve">Por ello, la información </w:t>
      </w:r>
      <w:r w:rsidRPr="00A9676D">
        <w:rPr>
          <w:rFonts w:ascii="Palatino Linotype" w:hAnsi="Palatino Linotype"/>
          <w:b/>
        </w:rPr>
        <w:t>documental comprobatoria</w:t>
      </w:r>
      <w:r w:rsidRPr="00A9676D">
        <w:rPr>
          <w:rFonts w:ascii="Palatino Linotype" w:hAnsi="Palatino Linotype"/>
        </w:rPr>
        <w:t xml:space="preserve">, </w:t>
      </w:r>
      <w:r w:rsidRPr="00A9676D">
        <w:rPr>
          <w:rFonts w:ascii="Palatino Linotype" w:hAnsi="Palatino Linotype"/>
          <w:b/>
        </w:rPr>
        <w:t xml:space="preserve">deberá conservarse en los </w:t>
      </w:r>
      <w:r w:rsidRPr="0073715D">
        <w:rPr>
          <w:rFonts w:ascii="Palatino Linotype" w:hAnsi="Palatino Linotype"/>
        </w:rPr>
        <w:t>archivos</w:t>
      </w:r>
      <w:r w:rsidRPr="00A9676D">
        <w:rPr>
          <w:rFonts w:ascii="Palatino Linotype" w:hAnsi="Palatino Linotype"/>
          <w:b/>
        </w:rPr>
        <w:t xml:space="preserve"> de la entidad fiscalizada</w:t>
      </w:r>
      <w:r w:rsidRPr="00A9676D">
        <w:rPr>
          <w:rFonts w:ascii="Palatino Linotype" w:hAnsi="Palatino Linotype"/>
        </w:rPr>
        <w:t xml:space="preserve">, en original y debidamente integrada en términos de los lineamientos de referencia, pues son susceptibles de revisión directa por el </w:t>
      </w:r>
      <w:r w:rsidRPr="00A9676D">
        <w:rPr>
          <w:rFonts w:ascii="Palatino Linotype" w:hAnsi="Palatino Linotype"/>
          <w:color w:val="000000"/>
          <w:lang w:val="es-ES"/>
        </w:rPr>
        <w:t>OSFEM</w:t>
      </w:r>
      <w:r w:rsidRPr="00A9676D">
        <w:rPr>
          <w:rFonts w:ascii="Palatino Linotype" w:hAnsi="Palatino Linotype"/>
        </w:rPr>
        <w:t xml:space="preserve">; así que, </w:t>
      </w:r>
      <w:r w:rsidRPr="00A9676D">
        <w:rPr>
          <w:rFonts w:ascii="Palatino Linotype" w:hAnsi="Palatino Linotype"/>
          <w:color w:val="000000"/>
          <w:lang w:val="es-ES"/>
        </w:rPr>
        <w:t xml:space="preserve">dichos lineamientos se encuentran visibles en el siguiente enlace digital </w:t>
      </w:r>
      <w:r w:rsidRPr="00A9676D">
        <w:rPr>
          <w:rFonts w:ascii="Palatino Linotype" w:hAnsi="Palatino Linotype"/>
        </w:rPr>
        <w:t>https://legislacion.edomex.gob.mx/sites/legislacion.edomex.gob.mx/files/files/pdf/gct/2021/mar121.pdf</w:t>
      </w:r>
      <w:r w:rsidRPr="00A9676D">
        <w:rPr>
          <w:rStyle w:val="Refdenotaalpie"/>
          <w:rFonts w:ascii="Palatino Linotype" w:hAnsi="Palatino Linotype"/>
        </w:rPr>
        <w:footnoteReference w:id="8"/>
      </w:r>
      <w:r w:rsidRPr="00A9676D">
        <w:rPr>
          <w:rFonts w:ascii="Palatino Linotype" w:hAnsi="Palatino Linotype"/>
        </w:rPr>
        <w:t>,</w:t>
      </w:r>
      <w:r w:rsidRPr="00A9676D">
        <w:rPr>
          <w:rFonts w:ascii="Palatino Linotype" w:hAnsi="Palatino Linotype"/>
          <w:color w:val="000000"/>
          <w:lang w:val="es-ES"/>
        </w:rPr>
        <w:t xml:space="preserve"> destacando que dentro de los informes trimestrales que </w:t>
      </w:r>
      <w:r w:rsidRPr="00A9676D">
        <w:rPr>
          <w:rFonts w:ascii="Palatino Linotype" w:hAnsi="Palatino Linotype"/>
          <w:b/>
          <w:color w:val="000000"/>
          <w:lang w:val="es-ES"/>
        </w:rPr>
        <w:t xml:space="preserve">EL SUJETO OBLIGADO </w:t>
      </w:r>
      <w:r w:rsidRPr="00A9676D">
        <w:rPr>
          <w:rFonts w:ascii="Palatino Linotype" w:hAnsi="Palatino Linotype"/>
          <w:color w:val="000000"/>
          <w:lang w:val="es-ES"/>
        </w:rPr>
        <w:t xml:space="preserve">tiene la obligación de transparentar; se contempla específicamente en el “módulo 4 información administrativa 1 matriz del módulo 4 para municipios” y “2 matriz del módulo 4 para organismos descentralizados”, dentro de los </w:t>
      </w:r>
      <w:proofErr w:type="spellStart"/>
      <w:r w:rsidRPr="00A9676D">
        <w:rPr>
          <w:rFonts w:ascii="Palatino Linotype" w:hAnsi="Palatino Linotype"/>
          <w:color w:val="000000"/>
          <w:lang w:val="es-ES"/>
        </w:rPr>
        <w:t>submódulos</w:t>
      </w:r>
      <w:proofErr w:type="spellEnd"/>
      <w:r w:rsidRPr="00A9676D">
        <w:rPr>
          <w:rFonts w:ascii="Palatino Linotype" w:hAnsi="Palatino Linotype"/>
          <w:color w:val="000000"/>
          <w:lang w:val="es-ES"/>
        </w:rPr>
        <w:t xml:space="preserve"> denominados “nómina” y “comprobantes fiscales” </w:t>
      </w:r>
      <w:r w:rsidRPr="00A9676D">
        <w:rPr>
          <w:rStyle w:val="Refdenotaalpie"/>
          <w:rFonts w:ascii="Palatino Linotype" w:hAnsi="Palatino Linotype"/>
          <w:color w:val="000000"/>
          <w:lang w:val="es-ES"/>
        </w:rPr>
        <w:footnoteReference w:id="9"/>
      </w:r>
      <w:r w:rsidRPr="00A9676D">
        <w:rPr>
          <w:rFonts w:ascii="Palatino Linotype" w:hAnsi="Palatino Linotype"/>
          <w:color w:val="000000"/>
          <w:lang w:val="es-ES"/>
        </w:rPr>
        <w:t xml:space="preserve"> tal y como, se muestra en las imágenes siguientes: </w:t>
      </w:r>
    </w:p>
    <w:p w:rsidR="0073715D" w:rsidRPr="00A9676D" w:rsidRDefault="0073715D" w:rsidP="0073715D">
      <w:pPr>
        <w:pStyle w:val="Prrafodelista"/>
        <w:spacing w:before="100" w:beforeAutospacing="1" w:after="100" w:afterAutospacing="1" w:line="360" w:lineRule="auto"/>
        <w:ind w:left="0" w:right="-91"/>
        <w:jc w:val="both"/>
        <w:rPr>
          <w:rFonts w:ascii="Palatino Linotype" w:hAnsi="Palatino Linotype"/>
          <w:color w:val="000000"/>
          <w:lang w:val="es-ES"/>
        </w:rPr>
      </w:pPr>
      <w:r>
        <w:rPr>
          <w:rFonts w:ascii="Palatino Linotype" w:hAnsi="Palatino Linotype"/>
          <w:noProof/>
          <w:color w:val="000000"/>
          <w:lang w:val="es-ES"/>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179932</wp:posOffset>
                </wp:positionV>
                <wp:extent cx="5588758" cy="1999397"/>
                <wp:effectExtent l="0" t="0" r="31115" b="20320"/>
                <wp:wrapNone/>
                <wp:docPr id="16" name="Conector recto 16"/>
                <wp:cNvGraphicFramePr/>
                <a:graphic xmlns:a="http://schemas.openxmlformats.org/drawingml/2006/main">
                  <a:graphicData uri="http://schemas.microsoft.com/office/word/2010/wordprocessingShape">
                    <wps:wsp>
                      <wps:cNvCnPr/>
                      <wps:spPr>
                        <a:xfrm>
                          <a:off x="0" y="0"/>
                          <a:ext cx="5588758" cy="199939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8B040" id="Conector recto 16" o:spid="_x0000_s1026" style="position:absolute;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5pt,14.15pt" to="828.9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" strokecolor="black [3200]" strokeweight="1.5pt">
                <v:stroke joinstyle="miter"/>
                <w10:wrap anchorx="margin"/>
              </v:line>
            </w:pict>
          </mc:Fallback>
        </mc:AlternateContent>
      </w:r>
    </w:p>
    <w:p w:rsidR="0073715D" w:rsidRDefault="001A460D" w:rsidP="0073715D">
      <w:pPr>
        <w:pStyle w:val="Prrafodelista"/>
        <w:spacing w:before="100" w:beforeAutospacing="1" w:after="100" w:afterAutospacing="1" w:line="360" w:lineRule="auto"/>
        <w:ind w:left="0"/>
        <w:jc w:val="center"/>
        <w:rPr>
          <w:rFonts w:ascii="Palatino Linotype" w:hAnsi="Palatino Linotype"/>
          <w:color w:val="000000" w:themeColor="text1"/>
          <w:lang w:val="es-ES"/>
        </w:rPr>
      </w:pPr>
      <w:r>
        <w:rPr>
          <w:noProof/>
          <w:lang w:val="es-ES"/>
        </w:rPr>
        <w:lastRenderedPageBreak/>
        <mc:AlternateContent>
          <mc:Choice Requires="wps">
            <w:drawing>
              <wp:anchor distT="0" distB="0" distL="114300" distR="114300" simplePos="0" relativeHeight="251683840" behindDoc="0" locked="0" layoutInCell="1" allowOverlap="1" wp14:anchorId="574A4960" wp14:editId="57EDD438">
                <wp:simplePos x="0" y="0"/>
                <wp:positionH relativeFrom="margin">
                  <wp:posOffset>504986</wp:posOffset>
                </wp:positionH>
                <wp:positionV relativeFrom="paragraph">
                  <wp:posOffset>2424430</wp:posOffset>
                </wp:positionV>
                <wp:extent cx="5072933" cy="225122"/>
                <wp:effectExtent l="19050" t="19050" r="13970" b="22860"/>
                <wp:wrapNone/>
                <wp:docPr id="14" name="Rectángulo redondeado 14"/>
                <wp:cNvGraphicFramePr/>
                <a:graphic xmlns:a="http://schemas.openxmlformats.org/drawingml/2006/main">
                  <a:graphicData uri="http://schemas.microsoft.com/office/word/2010/wordprocessingShape">
                    <wps:wsp>
                      <wps:cNvSpPr/>
                      <wps:spPr>
                        <a:xfrm>
                          <a:off x="0" y="0"/>
                          <a:ext cx="5072933" cy="225122"/>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320895" id="Rectángulo redondeado 14" o:spid="_x0000_s1026" style="position:absolute;margin-left:39.75pt;margin-top:190.9pt;width:399.45pt;height:17.7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" filled="f" strokecolor="red" strokeweight="2.25pt">
                <v:stroke joinstyle="miter"/>
                <w10:wrap anchorx="margin"/>
              </v:roundrect>
            </w:pict>
          </mc:Fallback>
        </mc:AlternateContent>
      </w:r>
      <w:r w:rsidR="00A5389C">
        <w:rPr>
          <w:noProof/>
          <w:lang w:val="es-ES"/>
        </w:rPr>
        <mc:AlternateContent>
          <mc:Choice Requires="wps">
            <w:drawing>
              <wp:anchor distT="0" distB="0" distL="114300" distR="114300" simplePos="0" relativeHeight="251680768" behindDoc="0" locked="0" layoutInCell="1" allowOverlap="1" wp14:anchorId="59F35B35" wp14:editId="67FEEB8D">
                <wp:simplePos x="0" y="0"/>
                <wp:positionH relativeFrom="margin">
                  <wp:posOffset>468886</wp:posOffset>
                </wp:positionH>
                <wp:positionV relativeFrom="paragraph">
                  <wp:posOffset>1637390</wp:posOffset>
                </wp:positionV>
                <wp:extent cx="5088255" cy="348881"/>
                <wp:effectExtent l="19050" t="19050" r="17145" b="13335"/>
                <wp:wrapNone/>
                <wp:docPr id="15" name="Rectángulo redondeado 15"/>
                <wp:cNvGraphicFramePr/>
                <a:graphic xmlns:a="http://schemas.openxmlformats.org/drawingml/2006/main">
                  <a:graphicData uri="http://schemas.microsoft.com/office/word/2010/wordprocessingShape">
                    <wps:wsp>
                      <wps:cNvSpPr/>
                      <wps:spPr>
                        <a:xfrm>
                          <a:off x="0" y="0"/>
                          <a:ext cx="5088255" cy="34888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188213" id="Rectángulo redondeado 15" o:spid="_x0000_s1026" style="position:absolute;margin-left:36.9pt;margin-top:128.95pt;width:400.65pt;height:27.4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" filled="f" strokecolor="red" strokeweight="2.25pt">
                <v:stroke joinstyle="miter"/>
                <w10:wrap anchorx="margin"/>
              </v:roundrect>
            </w:pict>
          </mc:Fallback>
        </mc:AlternateContent>
      </w:r>
      <w:r w:rsidR="0073715D">
        <w:rPr>
          <w:noProof/>
          <w:lang w:val="es-ES"/>
        </w:rPr>
        <w:drawing>
          <wp:inline distT="0" distB="0" distL="0" distR="0" wp14:anchorId="399F5E42" wp14:editId="31EFE23E">
            <wp:extent cx="5791685" cy="2661313"/>
            <wp:effectExtent l="19050" t="19050" r="19050"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3424" cy="2671302"/>
                    </a:xfrm>
                    <a:prstGeom prst="rect">
                      <a:avLst/>
                    </a:prstGeom>
                    <a:ln>
                      <a:solidFill>
                        <a:schemeClr val="tx1"/>
                      </a:solidFill>
                    </a:ln>
                  </pic:spPr>
                </pic:pic>
              </a:graphicData>
            </a:graphic>
          </wp:inline>
        </w:drawing>
      </w:r>
    </w:p>
    <w:p w:rsidR="0073715D" w:rsidRDefault="00A5389C" w:rsidP="0073715D">
      <w:pPr>
        <w:pStyle w:val="Prrafodelista"/>
        <w:spacing w:before="100" w:beforeAutospacing="1" w:after="100" w:afterAutospacing="1" w:line="360" w:lineRule="auto"/>
        <w:ind w:left="0"/>
        <w:jc w:val="center"/>
        <w:rPr>
          <w:rFonts w:ascii="Palatino Linotype" w:hAnsi="Palatino Linotype"/>
          <w:color w:val="000000" w:themeColor="text1"/>
          <w:lang w:val="es-ES"/>
        </w:rPr>
      </w:pPr>
      <w:r>
        <w:rPr>
          <w:noProof/>
          <w:lang w:val="es-ES"/>
        </w:rPr>
        <mc:AlternateContent>
          <mc:Choice Requires="wps">
            <w:drawing>
              <wp:anchor distT="0" distB="0" distL="114300" distR="114300" simplePos="0" relativeHeight="251681792" behindDoc="0" locked="0" layoutInCell="1" allowOverlap="1" wp14:anchorId="05D8626E" wp14:editId="5944B894">
                <wp:simplePos x="0" y="0"/>
                <wp:positionH relativeFrom="margin">
                  <wp:posOffset>591716</wp:posOffset>
                </wp:positionH>
                <wp:positionV relativeFrom="paragraph">
                  <wp:posOffset>1871659</wp:posOffset>
                </wp:positionV>
                <wp:extent cx="5136515" cy="388080"/>
                <wp:effectExtent l="19050" t="19050" r="26035" b="12065"/>
                <wp:wrapNone/>
                <wp:docPr id="12" name="Rectángulo redondeado 12"/>
                <wp:cNvGraphicFramePr/>
                <a:graphic xmlns:a="http://schemas.openxmlformats.org/drawingml/2006/main">
                  <a:graphicData uri="http://schemas.microsoft.com/office/word/2010/wordprocessingShape">
                    <wps:wsp>
                      <wps:cNvSpPr/>
                      <wps:spPr>
                        <a:xfrm>
                          <a:off x="0" y="0"/>
                          <a:ext cx="5136515" cy="38808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C041C3" id="Rectángulo redondeado 12" o:spid="_x0000_s1026" style="position:absolute;margin-left:46.6pt;margin-top:147.35pt;width:404.45pt;height:30.5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" filled="f" strokecolor="red" strokeweight="2.25pt">
                <v:stroke joinstyle="miter"/>
                <w10:wrap anchorx="margin"/>
              </v:roundrect>
            </w:pict>
          </mc:Fallback>
        </mc:AlternateContent>
      </w:r>
      <w:r w:rsidR="0073715D">
        <w:rPr>
          <w:noProof/>
          <w:lang w:val="es-ES"/>
        </w:rPr>
        <mc:AlternateContent>
          <mc:Choice Requires="wps">
            <w:drawing>
              <wp:anchor distT="0" distB="0" distL="114300" distR="114300" simplePos="0" relativeHeight="251682816" behindDoc="0" locked="0" layoutInCell="1" allowOverlap="1" wp14:anchorId="5AC73D50" wp14:editId="28880945">
                <wp:simplePos x="0" y="0"/>
                <wp:positionH relativeFrom="margin">
                  <wp:posOffset>601146</wp:posOffset>
                </wp:positionH>
                <wp:positionV relativeFrom="paragraph">
                  <wp:posOffset>2616522</wp:posOffset>
                </wp:positionV>
                <wp:extent cx="5159817" cy="247034"/>
                <wp:effectExtent l="76200" t="38100" r="60325" b="95885"/>
                <wp:wrapNone/>
                <wp:docPr id="13" name="Rectángulo redondeado 13"/>
                <wp:cNvGraphicFramePr/>
                <a:graphic xmlns:a="http://schemas.openxmlformats.org/drawingml/2006/main">
                  <a:graphicData uri="http://schemas.microsoft.com/office/word/2010/wordprocessingShape">
                    <wps:wsp>
                      <wps:cNvSpPr/>
                      <wps:spPr>
                        <a:xfrm>
                          <a:off x="0" y="0"/>
                          <a:ext cx="5159817" cy="24703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27242C" id="Rectángulo redondeado 13" o:spid="_x0000_s1026" style="position:absolute;margin-left:47.35pt;margin-top:206.05pt;width:406.3pt;height:19.45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" filled="f" strokecolor="red" strokeweight="2.25pt">
                <v:stroke joinstyle="miter"/>
                <w10:wrap anchorx="margin"/>
              </v:roundrect>
            </w:pict>
          </mc:Fallback>
        </mc:AlternateContent>
      </w:r>
      <w:r w:rsidR="0073715D">
        <w:rPr>
          <w:noProof/>
          <w:lang w:val="es-ES"/>
        </w:rPr>
        <w:drawing>
          <wp:inline distT="0" distB="0" distL="0" distR="0" wp14:anchorId="3C69DC75" wp14:editId="443B546A">
            <wp:extent cx="5791152" cy="2887591"/>
            <wp:effectExtent l="19050" t="19050" r="19685" b="273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2237" cy="2898104"/>
                    </a:xfrm>
                    <a:prstGeom prst="rect">
                      <a:avLst/>
                    </a:prstGeom>
                    <a:ln>
                      <a:solidFill>
                        <a:schemeClr val="tx1"/>
                      </a:solidFill>
                    </a:ln>
                  </pic:spPr>
                </pic:pic>
              </a:graphicData>
            </a:graphic>
          </wp:inline>
        </w:drawing>
      </w:r>
    </w:p>
    <w:p w:rsidR="00002D49" w:rsidRPr="00002D49" w:rsidRDefault="0073715D" w:rsidP="0073715D">
      <w:pPr>
        <w:numPr>
          <w:ilvl w:val="0"/>
          <w:numId w:val="15"/>
        </w:numPr>
        <w:spacing w:line="360" w:lineRule="auto"/>
        <w:ind w:left="0" w:firstLine="0"/>
        <w:contextualSpacing/>
        <w:jc w:val="both"/>
        <w:rPr>
          <w:rFonts w:ascii="Palatino Linotype" w:hAnsi="Palatino Linotype" w:cs="Arial"/>
          <w:b/>
          <w:sz w:val="28"/>
        </w:rPr>
      </w:pPr>
      <w:r w:rsidRPr="00A9676D">
        <w:rPr>
          <w:rFonts w:ascii="Palatino Linotype" w:hAnsi="Palatino Linotype" w:cs="Arial"/>
          <w:lang w:val="es-ES"/>
        </w:rPr>
        <w:t xml:space="preserve">Atento a lo anterior, resulta claro que existe fuente obligacional que constriñe al </w:t>
      </w:r>
      <w:r w:rsidRPr="00A9676D">
        <w:rPr>
          <w:rFonts w:ascii="Palatino Linotype" w:hAnsi="Palatino Linotype" w:cs="Arial"/>
          <w:b/>
          <w:lang w:val="es-ES"/>
        </w:rPr>
        <w:t>SUJETO OBLIGADO</w:t>
      </w:r>
      <w:r w:rsidRPr="00A9676D">
        <w:rPr>
          <w:rFonts w:ascii="Palatino Linotype" w:hAnsi="Palatino Linotype" w:cs="Arial"/>
          <w:lang w:val="es-ES"/>
        </w:rPr>
        <w:t xml:space="preserve">, </w:t>
      </w:r>
      <w:r w:rsidR="00F965E3">
        <w:rPr>
          <w:rFonts w:ascii="Palatino Linotype" w:hAnsi="Palatino Linotype" w:cs="Arial"/>
          <w:lang w:val="es-ES"/>
        </w:rPr>
        <w:t>a generar la información requerida ya es su obligación</w:t>
      </w:r>
      <w:r w:rsidRPr="00A9676D">
        <w:rPr>
          <w:rFonts w:ascii="Palatino Linotype" w:hAnsi="Palatino Linotype" w:cs="Arial"/>
          <w:lang w:val="es-ES"/>
        </w:rPr>
        <w:t xml:space="preserve"> entregar los informes pertinentes al OSFEM, en los cuales se incluye lo referente a comprobantes bancarios de la dispersión de la nómina</w:t>
      </w:r>
      <w:r w:rsidR="00A5389C">
        <w:rPr>
          <w:rFonts w:ascii="Palatino Linotype" w:hAnsi="Palatino Linotype" w:cs="Arial"/>
          <w:lang w:val="es-ES"/>
        </w:rPr>
        <w:t>, conciliación de nómina</w:t>
      </w:r>
      <w:r w:rsidRPr="00A9676D">
        <w:rPr>
          <w:rFonts w:ascii="Palatino Linotype" w:hAnsi="Palatino Linotype" w:cs="Arial"/>
          <w:lang w:val="es-ES"/>
        </w:rPr>
        <w:t xml:space="preserve"> y comprobantes fiscales digitales por </w:t>
      </w:r>
      <w:r w:rsidR="00F965E3">
        <w:rPr>
          <w:rFonts w:ascii="Palatino Linotype" w:hAnsi="Palatino Linotype" w:cs="Arial"/>
          <w:lang w:val="es-ES"/>
        </w:rPr>
        <w:t>I</w:t>
      </w:r>
      <w:r w:rsidRPr="00A9676D">
        <w:rPr>
          <w:rFonts w:ascii="Palatino Linotype" w:hAnsi="Palatino Linotype" w:cs="Arial"/>
          <w:lang w:val="es-ES"/>
        </w:rPr>
        <w:t>nternet por concepto de nómina</w:t>
      </w:r>
      <w:r w:rsidRPr="00A9676D">
        <w:rPr>
          <w:rFonts w:ascii="Palatino Linotype" w:hAnsi="Palatino Linotype" w:cs="Arial"/>
          <w:b/>
          <w:lang w:val="es-ES"/>
        </w:rPr>
        <w:t>,</w:t>
      </w:r>
      <w:r w:rsidRPr="00A9676D">
        <w:rPr>
          <w:rFonts w:ascii="Palatino Linotype" w:hAnsi="Palatino Linotype" w:cs="Arial"/>
          <w:i/>
          <w:lang w:val="es-ES"/>
        </w:rPr>
        <w:t xml:space="preserve"> </w:t>
      </w:r>
      <w:r w:rsidRPr="00A9676D">
        <w:rPr>
          <w:rFonts w:ascii="Palatino Linotype" w:hAnsi="Palatino Linotype" w:cs="Arial"/>
          <w:lang w:val="es-ES"/>
        </w:rPr>
        <w:t xml:space="preserve">que </w:t>
      </w:r>
      <w:r w:rsidRPr="00A9676D">
        <w:rPr>
          <w:rFonts w:ascii="Palatino Linotype" w:hAnsi="Palatino Linotype" w:cs="Arial"/>
          <w:lang w:val="es-ES"/>
        </w:rPr>
        <w:lastRenderedPageBreak/>
        <w:t xml:space="preserve">comprenden la información relativa al pago de las remuneraciones de cada uno de los servidores públicos correspondiente a un periodo determinado; </w:t>
      </w:r>
      <w:r w:rsidR="00F965E3">
        <w:rPr>
          <w:rFonts w:ascii="Palatino Linotype" w:hAnsi="Palatino Linotype" w:cs="Arial"/>
          <w:lang w:val="es-ES"/>
        </w:rPr>
        <w:t xml:space="preserve">ahora bien del caso concreto al solicitar de todo el personal adscrito al </w:t>
      </w:r>
      <w:r w:rsidR="00F965E3">
        <w:rPr>
          <w:rFonts w:ascii="Palatino Linotype" w:hAnsi="Palatino Linotype" w:cs="Arial"/>
          <w:b/>
          <w:lang w:val="es-ES"/>
        </w:rPr>
        <w:t>SUJETO OBLIGADO</w:t>
      </w:r>
      <w:r w:rsidR="00F965E3">
        <w:rPr>
          <w:rFonts w:ascii="Palatino Linotype" w:hAnsi="Palatino Linotype" w:cs="Arial"/>
          <w:lang w:val="es-ES"/>
        </w:rPr>
        <w:t xml:space="preserve"> se colige que el documento que de manera enunciativa mas no limitativa pudiera ser entregado para colmar las pretensiones del particular es</w:t>
      </w:r>
      <w:r w:rsidR="00002D49">
        <w:rPr>
          <w:rFonts w:ascii="Palatino Linotype" w:hAnsi="Palatino Linotype" w:cs="Arial"/>
          <w:lang w:val="es-ES"/>
        </w:rPr>
        <w:t xml:space="preserve"> la </w:t>
      </w:r>
      <w:r w:rsidR="00002D49" w:rsidRPr="00002D49">
        <w:rPr>
          <w:rFonts w:ascii="Palatino Linotype" w:hAnsi="Palatino Linotype" w:cs="Arial"/>
          <w:b/>
          <w:lang w:val="es-ES"/>
        </w:rPr>
        <w:t>conciliación de la nómina</w:t>
      </w:r>
      <w:r w:rsidR="00002D49">
        <w:rPr>
          <w:rFonts w:ascii="Palatino Linotype" w:hAnsi="Palatino Linotype" w:cs="Arial"/>
          <w:lang w:val="es-ES"/>
        </w:rPr>
        <w:t>, en virtud que de dicho soporte documental se desprende toda la información requerida en la solicitud de información de mérito como se aprecia:</w:t>
      </w:r>
    </w:p>
    <w:p w:rsidR="00002D49" w:rsidRDefault="00002D49" w:rsidP="00002D49">
      <w:pPr>
        <w:spacing w:line="360" w:lineRule="auto"/>
        <w:contextualSpacing/>
        <w:jc w:val="both"/>
        <w:rPr>
          <w:rFonts w:ascii="Palatino Linotype" w:hAnsi="Palatino Linotype" w:cs="Arial"/>
          <w:lang w:val="es-ES"/>
        </w:rPr>
      </w:pPr>
      <w:r>
        <w:rPr>
          <w:rFonts w:ascii="Palatino Linotype" w:hAnsi="Palatino Linotype" w:cs="Arial"/>
          <w:noProof/>
          <w:lang w:val="es-ES"/>
        </w:rPr>
        <mc:AlternateContent>
          <mc:Choice Requires="wps">
            <w:drawing>
              <wp:anchor distT="0" distB="0" distL="114300" distR="114300" simplePos="0" relativeHeight="251685888" behindDoc="0" locked="0" layoutInCell="1" allowOverlap="1">
                <wp:simplePos x="0" y="0"/>
                <wp:positionH relativeFrom="margin">
                  <wp:align>right</wp:align>
                </wp:positionH>
                <wp:positionV relativeFrom="paragraph">
                  <wp:posOffset>234286</wp:posOffset>
                </wp:positionV>
                <wp:extent cx="5595582" cy="4435522"/>
                <wp:effectExtent l="0" t="0" r="24765" b="22225"/>
                <wp:wrapNone/>
                <wp:docPr id="1" name="Conector recto 1"/>
                <wp:cNvGraphicFramePr/>
                <a:graphic xmlns:a="http://schemas.openxmlformats.org/drawingml/2006/main">
                  <a:graphicData uri="http://schemas.microsoft.com/office/word/2010/wordprocessingShape">
                    <wps:wsp>
                      <wps:cNvCnPr/>
                      <wps:spPr>
                        <a:xfrm>
                          <a:off x="0" y="0"/>
                          <a:ext cx="5595582" cy="443552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949DB" id="Conector recto 1" o:spid="_x0000_s1026" style="position:absolute;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4pt,18.45pt" to="830pt,3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" strokecolor="black [3200]" strokeweight="1.5pt">
                <v:stroke joinstyle="miter"/>
                <w10:wrap anchorx="margin"/>
              </v:line>
            </w:pict>
          </mc:Fallback>
        </mc:AlternateContent>
      </w:r>
    </w:p>
    <w:p w:rsidR="00002D49" w:rsidRDefault="00002D49" w:rsidP="00002D49">
      <w:pPr>
        <w:spacing w:line="360" w:lineRule="auto"/>
        <w:contextualSpacing/>
        <w:jc w:val="both"/>
        <w:rPr>
          <w:rFonts w:ascii="Palatino Linotype" w:hAnsi="Palatino Linotype" w:cs="Arial"/>
          <w:lang w:val="es-ES"/>
        </w:rPr>
      </w:pPr>
    </w:p>
    <w:p w:rsidR="00002D49" w:rsidRDefault="00002D49" w:rsidP="00002D49">
      <w:pPr>
        <w:spacing w:line="360" w:lineRule="auto"/>
        <w:contextualSpacing/>
        <w:jc w:val="both"/>
        <w:rPr>
          <w:rFonts w:ascii="Palatino Linotype" w:hAnsi="Palatino Linotype" w:cs="Arial"/>
          <w:lang w:val="es-ES"/>
        </w:rPr>
      </w:pPr>
    </w:p>
    <w:p w:rsidR="00002D49" w:rsidRDefault="00002D49" w:rsidP="00002D49">
      <w:pPr>
        <w:spacing w:line="360" w:lineRule="auto"/>
        <w:contextualSpacing/>
        <w:jc w:val="both"/>
        <w:rPr>
          <w:rFonts w:ascii="Palatino Linotype" w:hAnsi="Palatino Linotype" w:cs="Arial"/>
          <w:lang w:val="es-ES"/>
        </w:rPr>
      </w:pPr>
    </w:p>
    <w:p w:rsidR="00002D49" w:rsidRDefault="00002D49" w:rsidP="00002D49">
      <w:pPr>
        <w:spacing w:line="360" w:lineRule="auto"/>
        <w:contextualSpacing/>
        <w:jc w:val="both"/>
        <w:rPr>
          <w:rFonts w:ascii="Palatino Linotype" w:hAnsi="Palatino Linotype" w:cs="Arial"/>
          <w:lang w:val="es-ES"/>
        </w:rPr>
      </w:pPr>
    </w:p>
    <w:p w:rsidR="00002D49" w:rsidRDefault="00002D49" w:rsidP="00002D49">
      <w:pPr>
        <w:spacing w:line="360" w:lineRule="auto"/>
        <w:contextualSpacing/>
        <w:jc w:val="both"/>
        <w:rPr>
          <w:rFonts w:ascii="Palatino Linotype" w:hAnsi="Palatino Linotype" w:cs="Arial"/>
          <w:lang w:val="es-ES"/>
        </w:rPr>
      </w:pPr>
    </w:p>
    <w:p w:rsidR="00002D49" w:rsidRDefault="00002D49" w:rsidP="00002D49">
      <w:pPr>
        <w:spacing w:line="360" w:lineRule="auto"/>
        <w:contextualSpacing/>
        <w:jc w:val="both"/>
        <w:rPr>
          <w:rFonts w:ascii="Palatino Linotype" w:hAnsi="Palatino Linotype" w:cs="Arial"/>
          <w:lang w:val="es-ES"/>
        </w:rPr>
      </w:pPr>
    </w:p>
    <w:p w:rsidR="00002D49" w:rsidRDefault="00002D49" w:rsidP="00002D49">
      <w:pPr>
        <w:spacing w:line="360" w:lineRule="auto"/>
        <w:contextualSpacing/>
        <w:jc w:val="both"/>
        <w:rPr>
          <w:rFonts w:ascii="Palatino Linotype" w:hAnsi="Palatino Linotype" w:cs="Arial"/>
          <w:lang w:val="es-ES"/>
        </w:rPr>
      </w:pPr>
    </w:p>
    <w:p w:rsidR="00002D49" w:rsidRDefault="00002D49" w:rsidP="00002D49">
      <w:pPr>
        <w:spacing w:line="360" w:lineRule="auto"/>
        <w:contextualSpacing/>
        <w:jc w:val="both"/>
        <w:rPr>
          <w:rFonts w:ascii="Palatino Linotype" w:hAnsi="Palatino Linotype" w:cs="Arial"/>
          <w:lang w:val="es-ES"/>
        </w:rPr>
      </w:pPr>
    </w:p>
    <w:p w:rsidR="00002D49" w:rsidRDefault="00002D49" w:rsidP="00002D49">
      <w:pPr>
        <w:spacing w:line="360" w:lineRule="auto"/>
        <w:contextualSpacing/>
        <w:jc w:val="both"/>
        <w:rPr>
          <w:rFonts w:ascii="Palatino Linotype" w:hAnsi="Palatino Linotype" w:cs="Arial"/>
          <w:lang w:val="es-ES"/>
        </w:rPr>
      </w:pPr>
    </w:p>
    <w:p w:rsidR="00002D49" w:rsidRDefault="00002D49" w:rsidP="00002D49">
      <w:pPr>
        <w:spacing w:line="360" w:lineRule="auto"/>
        <w:contextualSpacing/>
        <w:jc w:val="both"/>
        <w:rPr>
          <w:rFonts w:ascii="Palatino Linotype" w:hAnsi="Palatino Linotype" w:cs="Arial"/>
          <w:lang w:val="es-ES"/>
        </w:rPr>
      </w:pPr>
    </w:p>
    <w:p w:rsidR="00002D49" w:rsidRDefault="00002D49" w:rsidP="00002D49">
      <w:pPr>
        <w:spacing w:line="360" w:lineRule="auto"/>
        <w:contextualSpacing/>
        <w:jc w:val="both"/>
        <w:rPr>
          <w:rFonts w:ascii="Palatino Linotype" w:hAnsi="Palatino Linotype" w:cs="Arial"/>
          <w:lang w:val="es-ES"/>
        </w:rPr>
      </w:pPr>
    </w:p>
    <w:p w:rsidR="00002D49" w:rsidRDefault="00002D49" w:rsidP="00002D49">
      <w:pPr>
        <w:spacing w:line="360" w:lineRule="auto"/>
        <w:contextualSpacing/>
        <w:jc w:val="both"/>
        <w:rPr>
          <w:rFonts w:ascii="Palatino Linotype" w:hAnsi="Palatino Linotype" w:cs="Arial"/>
          <w:lang w:val="es-ES"/>
        </w:rPr>
      </w:pPr>
    </w:p>
    <w:p w:rsidR="00002D49" w:rsidRDefault="00002D49" w:rsidP="00002D49">
      <w:pPr>
        <w:spacing w:line="360" w:lineRule="auto"/>
        <w:contextualSpacing/>
        <w:jc w:val="both"/>
        <w:rPr>
          <w:rFonts w:ascii="Palatino Linotype" w:hAnsi="Palatino Linotype" w:cs="Arial"/>
          <w:lang w:val="es-ES"/>
        </w:rPr>
      </w:pPr>
    </w:p>
    <w:p w:rsidR="00002D49" w:rsidRDefault="00002D49" w:rsidP="00002D49">
      <w:pPr>
        <w:spacing w:line="360" w:lineRule="auto"/>
        <w:contextualSpacing/>
        <w:jc w:val="both"/>
        <w:rPr>
          <w:rFonts w:ascii="Palatino Linotype" w:hAnsi="Palatino Linotype" w:cs="Arial"/>
          <w:lang w:val="es-ES"/>
        </w:rPr>
      </w:pPr>
    </w:p>
    <w:p w:rsidR="00002D49" w:rsidRDefault="00002D49" w:rsidP="00002D49">
      <w:pPr>
        <w:spacing w:line="360" w:lineRule="auto"/>
        <w:contextualSpacing/>
        <w:jc w:val="both"/>
        <w:rPr>
          <w:rFonts w:ascii="Palatino Linotype" w:hAnsi="Palatino Linotype" w:cs="Arial"/>
          <w:lang w:val="es-ES"/>
        </w:rPr>
        <w:sectPr w:rsidR="00002D49" w:rsidSect="00E61C13">
          <w:headerReference w:type="even" r:id="rId12"/>
          <w:headerReference w:type="default" r:id="rId13"/>
          <w:footerReference w:type="default" r:id="rId14"/>
          <w:headerReference w:type="first" r:id="rId15"/>
          <w:footerReference w:type="first" r:id="rId16"/>
          <w:pgSz w:w="12240" w:h="15840"/>
          <w:pgMar w:top="2268" w:right="1701" w:bottom="1702" w:left="1701" w:header="709" w:footer="709" w:gutter="0"/>
          <w:cols w:space="708"/>
          <w:titlePg/>
          <w:docGrid w:linePitch="360"/>
        </w:sectPr>
      </w:pPr>
    </w:p>
    <w:p w:rsidR="00002D49" w:rsidRDefault="00002D49" w:rsidP="00002D49">
      <w:pPr>
        <w:spacing w:line="360" w:lineRule="auto"/>
        <w:contextualSpacing/>
        <w:jc w:val="both"/>
        <w:rPr>
          <w:rFonts w:ascii="Palatino Linotype" w:hAnsi="Palatino Linotype" w:cs="Arial"/>
          <w:lang w:val="es-ES"/>
        </w:rPr>
        <w:sectPr w:rsidR="00002D49" w:rsidSect="00002D49">
          <w:pgSz w:w="15840" w:h="12240" w:orient="landscape"/>
          <w:pgMar w:top="1701" w:right="2268" w:bottom="1701" w:left="1701" w:header="709" w:footer="709" w:gutter="0"/>
          <w:cols w:space="708"/>
          <w:titlePg/>
          <w:docGrid w:linePitch="360"/>
        </w:sectPr>
      </w:pPr>
      <w:r>
        <w:rPr>
          <w:rFonts w:ascii="Palatino Linotype" w:hAnsi="Palatino Linotype" w:cs="Arial"/>
          <w:noProof/>
          <w:lang w:val="es-ES"/>
        </w:rPr>
        <w:lastRenderedPageBreak/>
        <w:drawing>
          <wp:inline distT="0" distB="0" distL="0" distR="0">
            <wp:extent cx="7526655" cy="4912995"/>
            <wp:effectExtent l="19050" t="19050" r="17145" b="209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6655" cy="4912995"/>
                    </a:xfrm>
                    <a:prstGeom prst="rect">
                      <a:avLst/>
                    </a:prstGeom>
                    <a:noFill/>
                    <a:ln>
                      <a:solidFill>
                        <a:schemeClr val="tx1"/>
                      </a:solidFill>
                    </a:ln>
                  </pic:spPr>
                </pic:pic>
              </a:graphicData>
            </a:graphic>
          </wp:inline>
        </w:drawing>
      </w:r>
    </w:p>
    <w:p w:rsidR="00002D49" w:rsidRDefault="00002D49" w:rsidP="00002D49">
      <w:pPr>
        <w:spacing w:line="360" w:lineRule="auto"/>
        <w:contextualSpacing/>
        <w:jc w:val="center"/>
        <w:rPr>
          <w:rFonts w:ascii="Palatino Linotype" w:hAnsi="Palatino Linotype" w:cs="Arial"/>
          <w:lang w:val="es-ES"/>
        </w:rPr>
      </w:pPr>
      <w:r>
        <w:rPr>
          <w:rFonts w:ascii="Palatino Linotype" w:hAnsi="Palatino Linotype" w:cs="Arial"/>
          <w:noProof/>
          <w:lang w:val="es-ES"/>
        </w:rPr>
        <w:lastRenderedPageBreak/>
        <w:drawing>
          <wp:inline distT="0" distB="0" distL="0" distR="0">
            <wp:extent cx="5008880" cy="7533640"/>
            <wp:effectExtent l="19050" t="19050" r="20320" b="101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8880" cy="7533640"/>
                    </a:xfrm>
                    <a:prstGeom prst="rect">
                      <a:avLst/>
                    </a:prstGeom>
                    <a:noFill/>
                    <a:ln>
                      <a:solidFill>
                        <a:schemeClr val="tx1"/>
                      </a:solidFill>
                    </a:ln>
                  </pic:spPr>
                </pic:pic>
              </a:graphicData>
            </a:graphic>
          </wp:inline>
        </w:drawing>
      </w:r>
    </w:p>
    <w:p w:rsidR="00002D49" w:rsidRDefault="00002D49" w:rsidP="00002D49">
      <w:pPr>
        <w:spacing w:line="360" w:lineRule="auto"/>
        <w:contextualSpacing/>
        <w:jc w:val="center"/>
        <w:rPr>
          <w:rFonts w:ascii="Palatino Linotype" w:hAnsi="Palatino Linotype" w:cs="Arial"/>
          <w:lang w:val="es-ES"/>
        </w:rPr>
      </w:pPr>
      <w:r>
        <w:rPr>
          <w:rFonts w:ascii="Palatino Linotype" w:hAnsi="Palatino Linotype" w:cs="Arial"/>
          <w:noProof/>
          <w:lang w:val="es-ES"/>
        </w:rPr>
        <w:lastRenderedPageBreak/>
        <w:drawing>
          <wp:inline distT="0" distB="0" distL="0" distR="0">
            <wp:extent cx="5049671" cy="5173029"/>
            <wp:effectExtent l="19050" t="19050" r="17780" b="279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9555" cy="5183155"/>
                    </a:xfrm>
                    <a:prstGeom prst="rect">
                      <a:avLst/>
                    </a:prstGeom>
                    <a:noFill/>
                    <a:ln>
                      <a:solidFill>
                        <a:schemeClr val="tx1"/>
                      </a:solidFill>
                    </a:ln>
                  </pic:spPr>
                </pic:pic>
              </a:graphicData>
            </a:graphic>
          </wp:inline>
        </w:drawing>
      </w:r>
    </w:p>
    <w:p w:rsidR="00002D49" w:rsidRDefault="00002D49" w:rsidP="00002D49">
      <w:pPr>
        <w:spacing w:line="360" w:lineRule="auto"/>
        <w:contextualSpacing/>
        <w:jc w:val="both"/>
        <w:rPr>
          <w:rFonts w:ascii="Palatino Linotype" w:hAnsi="Palatino Linotype" w:cs="Arial"/>
          <w:lang w:val="es-ES"/>
        </w:rPr>
      </w:pPr>
    </w:p>
    <w:p w:rsidR="00D31FC8" w:rsidRDefault="00BA4537" w:rsidP="0073715D">
      <w:pPr>
        <w:numPr>
          <w:ilvl w:val="0"/>
          <w:numId w:val="15"/>
        </w:numPr>
        <w:spacing w:line="360" w:lineRule="auto"/>
        <w:ind w:left="0" w:firstLine="0"/>
        <w:contextualSpacing/>
        <w:jc w:val="both"/>
        <w:rPr>
          <w:rFonts w:ascii="Palatino Linotype" w:hAnsi="Palatino Linotype" w:cs="Arial"/>
          <w:b/>
        </w:rPr>
      </w:pPr>
      <w:r w:rsidRPr="00866F92">
        <w:rPr>
          <w:rFonts w:ascii="Palatino Linotype" w:eastAsia="Palatino Linotype" w:hAnsi="Palatino Linotype" w:cs="Palatino Linotype"/>
        </w:rPr>
        <w:t xml:space="preserve">Es por lo anterior que resulta dable revocar la respuesta del </w:t>
      </w:r>
      <w:r w:rsidR="00002D49" w:rsidRPr="00866F92">
        <w:rPr>
          <w:rFonts w:ascii="Palatino Linotype" w:eastAsia="Palatino Linotype" w:hAnsi="Palatino Linotype" w:cs="Palatino Linotype"/>
          <w:b/>
        </w:rPr>
        <w:t>SUJETO OBLIGADO</w:t>
      </w:r>
      <w:r w:rsidR="00002D49" w:rsidRPr="00866F92">
        <w:rPr>
          <w:rFonts w:ascii="Palatino Linotype" w:eastAsia="Palatino Linotype" w:hAnsi="Palatino Linotype" w:cs="Palatino Linotype"/>
        </w:rPr>
        <w:t xml:space="preserve"> </w:t>
      </w:r>
      <w:r w:rsidRPr="00866F92">
        <w:rPr>
          <w:rFonts w:ascii="Palatino Linotype" w:eastAsia="Palatino Linotype" w:hAnsi="Palatino Linotype" w:cs="Palatino Linotype"/>
        </w:rPr>
        <w:t>y ordenar</w:t>
      </w:r>
      <w:r w:rsidR="00D31FC8" w:rsidRPr="00866F92">
        <w:rPr>
          <w:rFonts w:ascii="Palatino Linotype" w:eastAsia="Palatino Linotype" w:hAnsi="Palatino Linotype" w:cs="Palatino Linotype"/>
        </w:rPr>
        <w:t xml:space="preserve"> </w:t>
      </w:r>
      <w:r w:rsidRPr="00866F92">
        <w:rPr>
          <w:rFonts w:ascii="Palatino Linotype" w:eastAsia="Palatino Linotype" w:hAnsi="Palatino Linotype" w:cs="Palatino Linotype"/>
        </w:rPr>
        <w:t xml:space="preserve">haga entrega </w:t>
      </w:r>
      <w:r w:rsidR="00D31FC8" w:rsidRPr="00866F92">
        <w:rPr>
          <w:rFonts w:ascii="Palatino Linotype" w:eastAsia="Palatino Linotype" w:hAnsi="Palatino Linotype" w:cs="Palatino Linotype"/>
        </w:rPr>
        <w:t xml:space="preserve">de </w:t>
      </w:r>
      <w:r w:rsidR="00866F92" w:rsidRPr="00866F92">
        <w:rPr>
          <w:rFonts w:ascii="Palatino Linotype" w:eastAsia="Palatino Linotype" w:hAnsi="Palatino Linotype" w:cs="Palatino Linotype"/>
        </w:rPr>
        <w:t xml:space="preserve">la </w:t>
      </w:r>
      <w:r w:rsidR="00866F92" w:rsidRPr="00866F92">
        <w:rPr>
          <w:rFonts w:ascii="Palatino Linotype" w:eastAsia="Palatino Linotype" w:hAnsi="Palatino Linotype" w:cs="Palatino Linotype"/>
          <w:b/>
        </w:rPr>
        <w:t>nómina de la primera y segunda quincena de los meses de diciembre de 2021 y enero de 2022</w:t>
      </w:r>
      <w:r w:rsidR="00D31FC8" w:rsidRPr="00866F92">
        <w:rPr>
          <w:rFonts w:ascii="Palatino Linotype" w:hAnsi="Palatino Linotype" w:cs="Arial"/>
          <w:b/>
        </w:rPr>
        <w:t xml:space="preserve">, </w:t>
      </w:r>
      <w:r w:rsidR="00261B09">
        <w:rPr>
          <w:rFonts w:ascii="Palatino Linotype" w:hAnsi="Palatino Linotype" w:cs="Arial"/>
          <w:b/>
        </w:rPr>
        <w:t>d</w:t>
      </w:r>
      <w:r w:rsidR="00866F92" w:rsidRPr="00866F92">
        <w:rPr>
          <w:rFonts w:ascii="Palatino Linotype" w:hAnsi="Palatino Linotype" w:cs="Arial"/>
          <w:b/>
        </w:rPr>
        <w:t xml:space="preserve">el personal </w:t>
      </w:r>
      <w:r w:rsidR="00261B09">
        <w:rPr>
          <w:rFonts w:ascii="Palatino Linotype" w:hAnsi="Palatino Linotype" w:cs="Arial"/>
          <w:b/>
        </w:rPr>
        <w:t xml:space="preserve">sindicalizado y de confianza </w:t>
      </w:r>
      <w:r w:rsidR="00866F92" w:rsidRPr="00866F92">
        <w:rPr>
          <w:rFonts w:ascii="Palatino Linotype" w:hAnsi="Palatino Linotype" w:cs="Arial"/>
          <w:b/>
        </w:rPr>
        <w:t>adscrito al Ayuntamiento de Amecameca, en versión pública.</w:t>
      </w:r>
    </w:p>
    <w:p w:rsidR="00D31FC8" w:rsidRPr="007142D6" w:rsidRDefault="00D31FC8" w:rsidP="00D31FC8">
      <w:pPr>
        <w:spacing w:after="160" w:line="360" w:lineRule="auto"/>
        <w:jc w:val="both"/>
        <w:rPr>
          <w:rFonts w:ascii="Palatino Linotype" w:hAnsi="Palatino Linotype" w:cs="Arial"/>
        </w:rPr>
      </w:pPr>
    </w:p>
    <w:p w:rsidR="00680C93" w:rsidRPr="001D5E13" w:rsidRDefault="00680C93" w:rsidP="00002446">
      <w:pPr>
        <w:numPr>
          <w:ilvl w:val="0"/>
          <w:numId w:val="15"/>
        </w:numPr>
        <w:spacing w:line="360" w:lineRule="auto"/>
        <w:ind w:left="0" w:firstLine="0"/>
        <w:contextualSpacing/>
        <w:jc w:val="both"/>
        <w:rPr>
          <w:rFonts w:ascii="Palatino Linotype" w:hAnsi="Palatino Linotype"/>
        </w:rPr>
      </w:pPr>
      <w:r w:rsidRPr="001D5E13">
        <w:rPr>
          <w:rFonts w:ascii="Palatino Linotype" w:hAnsi="Palatino Linotype" w:cs="Arial"/>
        </w:rPr>
        <w:lastRenderedPageBreak/>
        <w:t xml:space="preserve">Por </w:t>
      </w:r>
      <w:r w:rsidR="003662EE">
        <w:rPr>
          <w:rFonts w:ascii="Palatino Linotype" w:hAnsi="Palatino Linotype" w:cs="Arial"/>
        </w:rPr>
        <w:t>otro lado</w:t>
      </w:r>
      <w:r w:rsidRPr="001D5E13">
        <w:rPr>
          <w:rFonts w:ascii="Palatino Linotype" w:hAnsi="Palatino Linotype" w:cs="Arial"/>
        </w:rPr>
        <w:t xml:space="preserve">, </w:t>
      </w:r>
      <w:r w:rsidR="00D20A5F">
        <w:rPr>
          <w:rFonts w:ascii="Palatino Linotype" w:hAnsi="Palatino Linotype" w:cs="Arial"/>
        </w:rPr>
        <w:t xml:space="preserve">no sobra mencionar que </w:t>
      </w:r>
      <w:r w:rsidRPr="001D5E13">
        <w:rPr>
          <w:rFonts w:ascii="Palatino Linotype" w:hAnsi="Palatino Linotype" w:cs="Arial"/>
        </w:rPr>
        <w:t xml:space="preserve">las instituciones encargadas de la administración de documentos y que a su vez en </w:t>
      </w:r>
      <w:r w:rsidRPr="00002446">
        <w:rPr>
          <w:rFonts w:ascii="Palatino Linotype" w:hAnsi="Palatino Linotype"/>
        </w:rPr>
        <w:t>relación</w:t>
      </w:r>
      <w:r w:rsidRPr="001D5E13">
        <w:rPr>
          <w:rFonts w:ascii="Palatino Linotype" w:hAnsi="Palatino Linotype" w:cs="Arial"/>
        </w:rPr>
        <w:t xml:space="preserve"> con lo anterior realizan actos de autoridad, deben llevar una correcta administración de los documentos que</w:t>
      </w:r>
      <w:r>
        <w:rPr>
          <w:rFonts w:ascii="Palatino Linotype" w:hAnsi="Palatino Linotype" w:cs="Arial"/>
        </w:rPr>
        <w:t xml:space="preserve"> generan</w:t>
      </w:r>
      <w:r w:rsidRPr="001D5E13">
        <w:rPr>
          <w:rFonts w:ascii="Palatino Linotype" w:hAnsi="Palatino Linotype" w:cs="Arial"/>
        </w:rPr>
        <w:t xml:space="preserve"> y reciben, en el entendido que la administración no solo lleva el resguardo de los documentos sino también el inventario, regulación, coordinación y dinamización en el funcionamiento y uso de estos.</w:t>
      </w:r>
    </w:p>
    <w:p w:rsidR="00680C93" w:rsidRPr="001D5E13" w:rsidRDefault="00680C93" w:rsidP="00680C93">
      <w:pPr>
        <w:pStyle w:val="Prrafodelista"/>
        <w:rPr>
          <w:rFonts w:ascii="Palatino Linotype" w:hAnsi="Palatino Linotype" w:cs="Arial"/>
        </w:rPr>
      </w:pPr>
    </w:p>
    <w:p w:rsidR="00680C93" w:rsidRPr="003662EE" w:rsidRDefault="00680C93" w:rsidP="00002446">
      <w:pPr>
        <w:numPr>
          <w:ilvl w:val="0"/>
          <w:numId w:val="15"/>
        </w:numPr>
        <w:spacing w:line="360" w:lineRule="auto"/>
        <w:ind w:left="0" w:firstLine="0"/>
        <w:contextualSpacing/>
        <w:jc w:val="both"/>
        <w:rPr>
          <w:rFonts w:ascii="Palatino Linotype" w:hAnsi="Palatino Linotype"/>
        </w:rPr>
      </w:pPr>
      <w:r w:rsidRPr="001D5E13">
        <w:rPr>
          <w:rFonts w:ascii="Palatino Linotype" w:hAnsi="Palatino Linotype" w:cs="Arial"/>
        </w:rPr>
        <w:t>As</w:t>
      </w:r>
      <w:r>
        <w:rPr>
          <w:rFonts w:ascii="Palatino Linotype" w:hAnsi="Palatino Linotype" w:cs="Arial"/>
        </w:rPr>
        <w:t>i</w:t>
      </w:r>
      <w:r w:rsidRPr="001D5E13">
        <w:rPr>
          <w:rFonts w:ascii="Palatino Linotype" w:hAnsi="Palatino Linotype" w:cs="Arial"/>
        </w:rPr>
        <w:t xml:space="preserve">mismo, los documentos generados </w:t>
      </w:r>
      <w:r w:rsidRPr="00F26C18">
        <w:rPr>
          <w:rFonts w:ascii="Palatino Linotype" w:hAnsi="Palatino Linotype" w:cs="Arial"/>
        </w:rPr>
        <w:t xml:space="preserve">por las instituciones en este caso por </w:t>
      </w:r>
      <w:r w:rsidR="002453DA">
        <w:rPr>
          <w:rFonts w:ascii="Palatino Linotype" w:hAnsi="Palatino Linotype" w:cs="Arial"/>
        </w:rPr>
        <w:t xml:space="preserve">el </w:t>
      </w:r>
      <w:r w:rsidR="00604C2F">
        <w:rPr>
          <w:rFonts w:ascii="Palatino Linotype" w:hAnsi="Palatino Linotype" w:cs="Arial"/>
        </w:rPr>
        <w:t>Ayuntamiento de Amecameca</w:t>
      </w:r>
      <w:r w:rsidRPr="001D5E13">
        <w:rPr>
          <w:rFonts w:ascii="Palatino Linotype" w:hAnsi="Palatino Linotype" w:cs="Arial"/>
        </w:rPr>
        <w:t>, debieron ser registrados en el acto de su generación o recepción, indicando en todo momento el destino de estos, para un control de específico</w:t>
      </w:r>
      <w:r>
        <w:rPr>
          <w:rFonts w:ascii="Palatino Linotype" w:hAnsi="Palatino Linotype" w:cs="Arial"/>
        </w:rPr>
        <w:t xml:space="preserve"> y puntual de dichos documentos</w:t>
      </w:r>
      <w:r w:rsidRPr="009013BD">
        <w:rPr>
          <w:rFonts w:ascii="Palatino Linotype" w:hAnsi="Palatino Linotype" w:cs="Arial"/>
        </w:rPr>
        <w:t>, también es importante hacer ver que el marco jurídico antes citado establece las bases mínimas para concentrar y administrar el material documental y dicha ley es el instrumento jurídico que norma el archivo y la administración de los documentos.</w:t>
      </w:r>
    </w:p>
    <w:p w:rsidR="003662EE" w:rsidRDefault="003662EE" w:rsidP="003662EE">
      <w:pPr>
        <w:pStyle w:val="Prrafodelista"/>
        <w:rPr>
          <w:rFonts w:ascii="Palatino Linotype" w:hAnsi="Palatino Linotype"/>
        </w:rPr>
      </w:pPr>
    </w:p>
    <w:p w:rsidR="003662EE" w:rsidRPr="00AE6086" w:rsidRDefault="003662EE" w:rsidP="003662EE">
      <w:pPr>
        <w:numPr>
          <w:ilvl w:val="0"/>
          <w:numId w:val="15"/>
        </w:numPr>
        <w:spacing w:line="360" w:lineRule="auto"/>
        <w:ind w:left="0" w:firstLine="0"/>
        <w:contextualSpacing/>
        <w:jc w:val="both"/>
        <w:rPr>
          <w:rFonts w:ascii="Palatino Linotype" w:eastAsiaTheme="minorHAnsi" w:hAnsi="Palatino Linotype" w:cs="Arial"/>
          <w:lang w:val="es-MX" w:eastAsia="en-US"/>
        </w:rPr>
      </w:pPr>
      <w:r w:rsidRPr="00AE6086">
        <w:rPr>
          <w:rFonts w:ascii="Palatino Linotype" w:hAnsi="Palatino Linotype" w:cs="Arial"/>
        </w:rPr>
        <w:t>Por ultimo</w:t>
      </w:r>
      <w:r w:rsidRPr="00AE6086">
        <w:rPr>
          <w:rFonts w:ascii="Palatino Linotype" w:eastAsiaTheme="minorHAnsi" w:hAnsi="Palatino Linotype" w:cs="Arial"/>
          <w:lang w:val="es-MX" w:eastAsia="en-US"/>
        </w:rPr>
        <w:t xml:space="preserve">, señalar que por regla general dentro de la nómina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AE6086">
        <w:rPr>
          <w:rFonts w:ascii="Palatino Linotype" w:eastAsiaTheme="minorHAnsi" w:hAnsi="Palatino Linotype" w:cs="Arial"/>
          <w:b/>
          <w:lang w:val="es-MX" w:eastAsia="en-US"/>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AE6086">
        <w:rPr>
          <w:rFonts w:ascii="Palatino Linotype" w:eastAsiaTheme="minorHAnsi" w:hAnsi="Palatino Linotype" w:cs="Arial"/>
          <w:lang w:val="es-MX" w:eastAsia="en-US"/>
        </w:rPr>
        <w:t>.</w:t>
      </w:r>
    </w:p>
    <w:p w:rsidR="003662EE" w:rsidRPr="00AE6086" w:rsidRDefault="003662EE" w:rsidP="003662EE">
      <w:pPr>
        <w:numPr>
          <w:ilvl w:val="0"/>
          <w:numId w:val="15"/>
        </w:numPr>
        <w:spacing w:line="360" w:lineRule="auto"/>
        <w:ind w:left="0" w:firstLine="0"/>
        <w:contextualSpacing/>
        <w:jc w:val="both"/>
        <w:rPr>
          <w:rFonts w:ascii="Palatino Linotype" w:eastAsiaTheme="minorHAnsi" w:hAnsi="Palatino Linotype" w:cs="Arial"/>
          <w:lang w:val="es-MX" w:eastAsia="en-US"/>
        </w:rPr>
      </w:pPr>
      <w:r w:rsidRPr="00AE6086">
        <w:rPr>
          <w:rFonts w:ascii="Palatino Linotype" w:eastAsiaTheme="minorHAnsi" w:hAnsi="Palatino Linotype" w:cs="Arial"/>
          <w:lang w:val="es-MX" w:eastAsia="en-US"/>
        </w:rPr>
        <w:lastRenderedPageBreak/>
        <w:t xml:space="preserve">Esto </w:t>
      </w:r>
      <w:r w:rsidRPr="00AE6086">
        <w:rPr>
          <w:rFonts w:ascii="Palatino Linotype" w:hAnsi="Palatino Linotype" w:cs="Arial"/>
        </w:rPr>
        <w:t>es</w:t>
      </w:r>
      <w:r w:rsidRPr="00AE6086">
        <w:rPr>
          <w:rFonts w:ascii="Palatino Linotype" w:eastAsiaTheme="minorHAnsi" w:hAnsi="Palatino Linotype" w:cs="Arial"/>
          <w:lang w:val="es-MX" w:eastAsia="en-US"/>
        </w:rPr>
        <w:t xml:space="preserve"> así, ya que el artículo 81, fracción III, de la Ley de Seguridad del Estado de México, establece lo siguiente: </w:t>
      </w:r>
    </w:p>
    <w:p w:rsidR="003662EE" w:rsidRPr="00AE6086" w:rsidRDefault="003662EE" w:rsidP="003662EE">
      <w:pPr>
        <w:spacing w:line="360" w:lineRule="auto"/>
        <w:jc w:val="both"/>
        <w:rPr>
          <w:rFonts w:ascii="Palatino Linotype" w:eastAsiaTheme="minorHAnsi" w:hAnsi="Palatino Linotype" w:cs="Arial"/>
          <w:lang w:val="es-MX" w:eastAsia="en-US"/>
        </w:rPr>
      </w:pPr>
    </w:p>
    <w:p w:rsidR="003662EE" w:rsidRPr="00AE6086" w:rsidRDefault="003662EE" w:rsidP="003662EE">
      <w:pPr>
        <w:ind w:left="567" w:right="567"/>
        <w:jc w:val="both"/>
        <w:rPr>
          <w:rFonts w:ascii="Palatino Linotype" w:eastAsiaTheme="minorHAnsi" w:hAnsi="Palatino Linotype" w:cs="Arial"/>
          <w:i/>
          <w:sz w:val="22"/>
          <w:lang w:val="es-MX" w:eastAsia="en-US"/>
        </w:rPr>
      </w:pPr>
      <w:r w:rsidRPr="00AE6086">
        <w:rPr>
          <w:rFonts w:ascii="Palatino Linotype" w:eastAsiaTheme="minorHAnsi" w:hAnsi="Palatino Linotype" w:cs="Arial"/>
          <w:i/>
          <w:sz w:val="22"/>
          <w:lang w:val="es-MX" w:eastAsia="en-US"/>
        </w:rPr>
        <w:t>“</w:t>
      </w:r>
      <w:r w:rsidRPr="00AE6086">
        <w:rPr>
          <w:rFonts w:ascii="Palatino Linotype" w:eastAsiaTheme="minorHAnsi" w:hAnsi="Palatino Linotype" w:cs="Arial"/>
          <w:b/>
          <w:i/>
          <w:sz w:val="22"/>
          <w:lang w:val="es-MX" w:eastAsia="en-US"/>
        </w:rPr>
        <w:t>Artículo 81.-</w:t>
      </w:r>
      <w:r w:rsidRPr="00AE6086">
        <w:rPr>
          <w:rFonts w:ascii="Palatino Linotype" w:eastAsiaTheme="minorHAnsi" w:hAnsi="Palatino Linotype" w:cs="Arial"/>
          <w:i/>
          <w:sz w:val="22"/>
          <w:lang w:val="es-MX" w:eastAsia="en-US"/>
        </w:rPr>
        <w:t xml:space="preserve"> </w:t>
      </w:r>
      <w:r w:rsidRPr="00AE6086">
        <w:rPr>
          <w:rFonts w:ascii="Palatino Linotype" w:eastAsiaTheme="minorHAnsi" w:hAnsi="Palatino Linotype" w:cs="Arial"/>
          <w:i/>
          <w:sz w:val="22"/>
          <w:u w:val="single"/>
          <w:lang w:val="es-MX" w:eastAsia="en-US"/>
        </w:rPr>
        <w:t>Toda información para la seguridad pública</w:t>
      </w:r>
      <w:r w:rsidRPr="00AE6086">
        <w:rPr>
          <w:rFonts w:ascii="Palatino Linotype" w:eastAsiaTheme="minorHAnsi" w:hAnsi="Palatino Linotype" w:cs="Arial"/>
          <w:i/>
          <w:sz w:val="22"/>
          <w:lang w:val="es-MX" w:eastAsia="en-US"/>
        </w:rPr>
        <w:t xml:space="preserve"> generada o en poder de Instituciones de Seguridad Pública o de cualquier instancia del Sistema Estatal </w:t>
      </w:r>
      <w:r w:rsidRPr="00AE6086">
        <w:rPr>
          <w:rFonts w:ascii="Palatino Linotype" w:eastAsiaTheme="minorHAnsi" w:hAnsi="Palatino Linotype" w:cs="Arial"/>
          <w:i/>
          <w:sz w:val="22"/>
          <w:u w:val="single"/>
          <w:lang w:val="es-MX" w:eastAsia="en-US"/>
        </w:rPr>
        <w:t>debe</w:t>
      </w:r>
      <w:r w:rsidRPr="00AE6086">
        <w:rPr>
          <w:rFonts w:ascii="Palatino Linotype" w:eastAsiaTheme="minorHAnsi" w:hAnsi="Palatino Linotype" w:cs="Arial"/>
          <w:i/>
          <w:sz w:val="22"/>
          <w:lang w:val="es-MX" w:eastAsia="en-US"/>
        </w:rPr>
        <w:t xml:space="preserve"> registrarse, </w:t>
      </w:r>
      <w:r w:rsidRPr="00AE6086">
        <w:rPr>
          <w:rFonts w:ascii="Palatino Linotype" w:eastAsiaTheme="minorHAnsi" w:hAnsi="Palatino Linotype" w:cs="Arial"/>
          <w:i/>
          <w:sz w:val="22"/>
          <w:u w:val="single"/>
          <w:lang w:val="es-MX" w:eastAsia="en-US"/>
        </w:rPr>
        <w:t>clasificarse</w:t>
      </w:r>
      <w:r w:rsidRPr="00AE6086">
        <w:rPr>
          <w:rFonts w:ascii="Palatino Linotype" w:eastAsiaTheme="minorHAnsi" w:hAnsi="Palatino Linotype" w:cs="Arial"/>
          <w:i/>
          <w:sz w:val="22"/>
          <w:lang w:val="es-MX" w:eastAsia="en-US"/>
        </w:rPr>
        <w:t xml:space="preserve"> y tratarse de conformidad con las disposiciones aplicables. No </w:t>
      </w:r>
      <w:proofErr w:type="gramStart"/>
      <w:r w:rsidRPr="00AE6086">
        <w:rPr>
          <w:rFonts w:ascii="Palatino Linotype" w:eastAsiaTheme="minorHAnsi" w:hAnsi="Palatino Linotype" w:cs="Arial"/>
          <w:i/>
          <w:sz w:val="22"/>
          <w:lang w:val="es-MX" w:eastAsia="en-US"/>
        </w:rPr>
        <w:t>obstante</w:t>
      </w:r>
      <w:proofErr w:type="gramEnd"/>
      <w:r w:rsidRPr="00AE6086">
        <w:rPr>
          <w:rFonts w:ascii="Palatino Linotype" w:eastAsiaTheme="minorHAnsi" w:hAnsi="Palatino Linotype" w:cs="Arial"/>
          <w:i/>
          <w:sz w:val="22"/>
          <w:lang w:val="es-MX" w:eastAsia="en-US"/>
        </w:rPr>
        <w:t xml:space="preserve"> lo anterior, esta información se considerará reservada en los casos siguientes:</w:t>
      </w:r>
    </w:p>
    <w:p w:rsidR="003662EE" w:rsidRPr="00AE6086" w:rsidRDefault="003662EE" w:rsidP="003662EE">
      <w:pPr>
        <w:ind w:left="567" w:right="567"/>
        <w:jc w:val="both"/>
        <w:rPr>
          <w:rFonts w:ascii="Palatino Linotype" w:eastAsiaTheme="minorHAnsi" w:hAnsi="Palatino Linotype" w:cs="Arial"/>
          <w:i/>
          <w:sz w:val="22"/>
          <w:lang w:val="es-MX" w:eastAsia="en-US"/>
        </w:rPr>
      </w:pPr>
      <w:r w:rsidRPr="00AE6086">
        <w:rPr>
          <w:rFonts w:ascii="Palatino Linotype" w:eastAsiaTheme="minorHAnsi" w:hAnsi="Palatino Linotype" w:cs="Arial"/>
          <w:i/>
          <w:sz w:val="22"/>
          <w:lang w:val="es-MX" w:eastAsia="en-US"/>
        </w:rPr>
        <w:t>(…)</w:t>
      </w:r>
    </w:p>
    <w:p w:rsidR="003662EE" w:rsidRPr="00AE6086" w:rsidRDefault="003662EE" w:rsidP="003662EE">
      <w:pPr>
        <w:ind w:left="567" w:right="567"/>
        <w:jc w:val="both"/>
        <w:rPr>
          <w:rFonts w:ascii="Palatino Linotype" w:eastAsiaTheme="minorHAnsi" w:hAnsi="Palatino Linotype" w:cs="Arial"/>
          <w:i/>
          <w:sz w:val="22"/>
          <w:lang w:val="es-MX" w:eastAsia="en-US"/>
        </w:rPr>
      </w:pPr>
      <w:r w:rsidRPr="00AE6086">
        <w:rPr>
          <w:rFonts w:ascii="Palatino Linotype" w:eastAsiaTheme="minorHAnsi" w:hAnsi="Palatino Linotype" w:cs="Arial"/>
          <w:b/>
          <w:i/>
          <w:sz w:val="22"/>
          <w:lang w:val="es-MX" w:eastAsia="en-US"/>
        </w:rPr>
        <w:t>III</w:t>
      </w:r>
      <w:r w:rsidRPr="00AE6086">
        <w:rPr>
          <w:rFonts w:ascii="Palatino Linotype" w:eastAsiaTheme="minorHAnsi" w:hAnsi="Palatino Linotype" w:cs="Arial"/>
          <w:i/>
          <w:sz w:val="22"/>
          <w:lang w:val="es-MX" w:eastAsia="en-US"/>
        </w:rPr>
        <w:t xml:space="preserve">. </w:t>
      </w:r>
      <w:r w:rsidRPr="00AE6086">
        <w:rPr>
          <w:rFonts w:ascii="Palatino Linotype" w:eastAsiaTheme="minorHAnsi" w:hAnsi="Palatino Linotype" w:cs="Arial"/>
          <w:i/>
          <w:sz w:val="22"/>
          <w:u w:val="single"/>
          <w:lang w:val="es-MX" w:eastAsia="en-US"/>
        </w:rPr>
        <w:t>La relativa a servidores públicos miembros de las instituciones de seguridad pública, cuya revelación pueda poner en riesgo su vida e integridad física con motivo de sus funciones;”</w:t>
      </w:r>
    </w:p>
    <w:p w:rsidR="003662EE" w:rsidRPr="00AE6086" w:rsidRDefault="003662EE" w:rsidP="003662EE">
      <w:pPr>
        <w:spacing w:line="360" w:lineRule="auto"/>
        <w:jc w:val="both"/>
        <w:rPr>
          <w:rFonts w:ascii="Palatino Linotype" w:eastAsiaTheme="minorHAnsi" w:hAnsi="Palatino Linotype" w:cs="Arial"/>
          <w:lang w:val="es-MX" w:eastAsia="en-US"/>
        </w:rPr>
      </w:pPr>
    </w:p>
    <w:p w:rsidR="003662EE" w:rsidRPr="00AE6086" w:rsidRDefault="003662EE" w:rsidP="003662EE">
      <w:pPr>
        <w:numPr>
          <w:ilvl w:val="0"/>
          <w:numId w:val="15"/>
        </w:numPr>
        <w:spacing w:line="360" w:lineRule="auto"/>
        <w:ind w:left="0" w:firstLine="0"/>
        <w:contextualSpacing/>
        <w:jc w:val="both"/>
        <w:rPr>
          <w:rFonts w:ascii="Palatino Linotype" w:eastAsiaTheme="minorHAnsi" w:hAnsi="Palatino Linotype" w:cs="Arial"/>
          <w:lang w:val="es-MX" w:eastAsia="en-US"/>
        </w:rPr>
      </w:pPr>
      <w:r w:rsidRPr="00AE6086">
        <w:rPr>
          <w:rFonts w:ascii="Palatino Linotype" w:eastAsiaTheme="minorHAnsi" w:hAnsi="Palatino Linotype" w:cs="Arial"/>
          <w:lang w:val="es-MX" w:eastAsia="en-US"/>
        </w:rPr>
        <w:t xml:space="preserve">Por tanto, el </w:t>
      </w:r>
      <w:r w:rsidRPr="00AE6086">
        <w:rPr>
          <w:rFonts w:ascii="Palatino Linotype" w:eastAsiaTheme="minorHAnsi" w:hAnsi="Palatino Linotype" w:cs="Arial"/>
          <w:b/>
          <w:lang w:val="es-MX" w:eastAsia="en-US"/>
        </w:rPr>
        <w:t>SUJETO OBLIGADO</w:t>
      </w:r>
      <w:r w:rsidRPr="00AE6086">
        <w:rPr>
          <w:rFonts w:ascii="Palatino Linotype" w:eastAsiaTheme="minorHAnsi" w:hAnsi="Palatino Linotype" w:cs="Arial"/>
          <w:lang w:val="es-MX" w:eastAsia="en-US"/>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3662EE" w:rsidRPr="00AE6086" w:rsidRDefault="003662EE" w:rsidP="003662EE">
      <w:pPr>
        <w:spacing w:line="360" w:lineRule="auto"/>
        <w:jc w:val="both"/>
        <w:rPr>
          <w:rFonts w:ascii="Palatino Linotype" w:eastAsiaTheme="minorHAnsi" w:hAnsi="Palatino Linotype" w:cs="Arial"/>
          <w:lang w:val="es-MX" w:eastAsia="en-US"/>
        </w:rPr>
      </w:pPr>
    </w:p>
    <w:p w:rsidR="003662EE" w:rsidRPr="00AE6086" w:rsidRDefault="003662EE" w:rsidP="003662EE">
      <w:pPr>
        <w:numPr>
          <w:ilvl w:val="0"/>
          <w:numId w:val="15"/>
        </w:numPr>
        <w:spacing w:line="360" w:lineRule="auto"/>
        <w:ind w:left="0" w:firstLine="0"/>
        <w:contextualSpacing/>
        <w:jc w:val="both"/>
        <w:rPr>
          <w:rFonts w:ascii="Palatino Linotype" w:eastAsiaTheme="minorHAnsi" w:hAnsi="Palatino Linotype" w:cs="Arial"/>
          <w:lang w:val="es-MX" w:eastAsia="en-US"/>
        </w:rPr>
      </w:pPr>
      <w:r w:rsidRPr="00AE6086">
        <w:rPr>
          <w:rFonts w:ascii="Palatino Linotype" w:eastAsiaTheme="minorHAnsi" w:hAnsi="Palatino Linotype" w:cs="Arial"/>
          <w:lang w:val="es-MX" w:eastAsia="en-US"/>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w:t>
      </w:r>
      <w:r w:rsidRPr="00AE6086">
        <w:rPr>
          <w:rFonts w:ascii="Palatino Linotype" w:eastAsiaTheme="minorHAnsi" w:hAnsi="Palatino Linotype" w:cs="Arial"/>
          <w:lang w:val="es-MX" w:eastAsia="en-US"/>
        </w:rPr>
        <w:lastRenderedPageBreak/>
        <w:t>servidor o servidores públicos, con el objeto de que no se haga identificable al titular, y por tanto, se evite poner en riesgo la vida e integridad física con motivo de sus funciones.</w:t>
      </w:r>
    </w:p>
    <w:p w:rsidR="003662EE" w:rsidRPr="00AE6086" w:rsidRDefault="003662EE" w:rsidP="003662EE">
      <w:pPr>
        <w:spacing w:line="360" w:lineRule="auto"/>
        <w:jc w:val="both"/>
        <w:rPr>
          <w:rFonts w:ascii="Palatino Linotype" w:eastAsiaTheme="minorHAnsi" w:hAnsi="Palatino Linotype" w:cs="Arial"/>
          <w:lang w:val="es-MX" w:eastAsia="en-US"/>
        </w:rPr>
      </w:pPr>
    </w:p>
    <w:p w:rsidR="003662EE" w:rsidRPr="00AE6086" w:rsidRDefault="003662EE" w:rsidP="00AC6DB5">
      <w:pPr>
        <w:numPr>
          <w:ilvl w:val="0"/>
          <w:numId w:val="15"/>
        </w:numPr>
        <w:spacing w:line="360" w:lineRule="auto"/>
        <w:ind w:left="0" w:firstLine="0"/>
        <w:contextualSpacing/>
        <w:jc w:val="both"/>
        <w:rPr>
          <w:rFonts w:ascii="Palatino Linotype" w:eastAsiaTheme="minorHAnsi" w:hAnsi="Palatino Linotype" w:cs="Arial"/>
          <w:lang w:val="es-MX" w:eastAsia="en-US"/>
        </w:rPr>
      </w:pPr>
      <w:r w:rsidRPr="00AE6086">
        <w:rPr>
          <w:rFonts w:ascii="Palatino Linotype" w:eastAsiaTheme="minorHAnsi" w:hAnsi="Palatino Linotype" w:cs="Arial"/>
          <w:lang w:val="es-MX" w:eastAsia="en-US"/>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3662EE" w:rsidRPr="00AE6086" w:rsidRDefault="003662EE" w:rsidP="003662EE">
      <w:pPr>
        <w:spacing w:line="360" w:lineRule="auto"/>
        <w:jc w:val="both"/>
        <w:rPr>
          <w:rFonts w:ascii="Palatino Linotype" w:eastAsiaTheme="minorHAnsi" w:hAnsi="Palatino Linotype" w:cs="Arial"/>
          <w:lang w:val="es-MX" w:eastAsia="en-US"/>
        </w:rPr>
      </w:pPr>
    </w:p>
    <w:p w:rsidR="003662EE" w:rsidRPr="00AE6086" w:rsidRDefault="003662EE" w:rsidP="00AC6DB5">
      <w:pPr>
        <w:numPr>
          <w:ilvl w:val="0"/>
          <w:numId w:val="15"/>
        </w:numPr>
        <w:spacing w:line="360" w:lineRule="auto"/>
        <w:ind w:left="0" w:firstLine="0"/>
        <w:contextualSpacing/>
        <w:jc w:val="both"/>
        <w:rPr>
          <w:rFonts w:ascii="Palatino Linotype" w:eastAsiaTheme="minorHAnsi" w:hAnsi="Palatino Linotype" w:cs="Arial"/>
          <w:lang w:val="es-MX" w:eastAsia="en-US"/>
        </w:rPr>
      </w:pPr>
      <w:r w:rsidRPr="00AE6086">
        <w:rPr>
          <w:rFonts w:ascii="Palatino Linotype" w:eastAsiaTheme="minorHAnsi" w:hAnsi="Palatino Linotype" w:cs="Arial"/>
          <w:lang w:val="es-MX" w:eastAsia="en-US"/>
        </w:rPr>
        <w:t>Resulta alusivo por analogía el criterio 06-09 emitido por el entonces Instituto Federal de Acceso a la Información (IFAI), ahora Instituto Nacional de Transparencia, Acceso a la Información y Protección de Datos Personales (INAI) que a la letra dice:</w:t>
      </w:r>
    </w:p>
    <w:p w:rsidR="003662EE" w:rsidRPr="00AE6086" w:rsidRDefault="003662EE" w:rsidP="003662EE">
      <w:pPr>
        <w:spacing w:line="360" w:lineRule="auto"/>
        <w:jc w:val="both"/>
        <w:rPr>
          <w:rFonts w:ascii="Palatino Linotype" w:eastAsiaTheme="minorHAnsi" w:hAnsi="Palatino Linotype" w:cs="Arial"/>
          <w:lang w:val="es-MX" w:eastAsia="en-US"/>
        </w:rPr>
      </w:pPr>
    </w:p>
    <w:p w:rsidR="003662EE" w:rsidRPr="00AE6086" w:rsidRDefault="003662EE" w:rsidP="003662EE">
      <w:pPr>
        <w:ind w:left="567" w:right="567"/>
        <w:jc w:val="both"/>
        <w:rPr>
          <w:rFonts w:ascii="Palatino Linotype" w:eastAsiaTheme="minorHAnsi" w:hAnsi="Palatino Linotype" w:cs="Arial"/>
          <w:i/>
          <w:sz w:val="22"/>
          <w:lang w:val="es-MX" w:eastAsia="en-US"/>
        </w:rPr>
      </w:pPr>
      <w:r w:rsidRPr="00AE6086">
        <w:rPr>
          <w:rFonts w:ascii="Palatino Linotype" w:eastAsiaTheme="minorHAnsi" w:hAnsi="Palatino Linotype" w:cs="Arial"/>
          <w:i/>
          <w:sz w:val="22"/>
          <w:lang w:val="es-MX" w:eastAsia="en-US"/>
        </w:rPr>
        <w:t>“</w:t>
      </w:r>
      <w:r w:rsidRPr="00AE6086">
        <w:rPr>
          <w:rFonts w:ascii="Palatino Linotype" w:eastAsiaTheme="minorHAnsi" w:hAnsi="Palatino Linotype" w:cs="Arial"/>
          <w:b/>
          <w:i/>
          <w:sz w:val="22"/>
          <w:lang w:val="es-MX" w:eastAsia="en-US"/>
        </w:rPr>
        <w:t>Nombres de servidores públicos dedicados a actividades en materia de seguridad, por excepción pueden considerarse información reservada.</w:t>
      </w:r>
      <w:r w:rsidRPr="00AE6086">
        <w:rPr>
          <w:rFonts w:ascii="Palatino Linotype" w:eastAsiaTheme="minorHAnsi" w:hAnsi="Palatino Linotype" w:cs="Arial"/>
          <w:i/>
          <w:sz w:val="22"/>
          <w:lang w:val="es-MX" w:eastAsia="en-US"/>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AE6086">
        <w:rPr>
          <w:rFonts w:ascii="Palatino Linotype" w:eastAsiaTheme="minorHAnsi" w:hAnsi="Palatino Linotype" w:cs="Arial"/>
          <w:i/>
          <w:sz w:val="22"/>
          <w:lang w:val="es-MX" w:eastAsia="en-US"/>
        </w:rPr>
        <w:t>obstante</w:t>
      </w:r>
      <w:proofErr w:type="gramEnd"/>
      <w:r w:rsidRPr="00AE6086">
        <w:rPr>
          <w:rFonts w:ascii="Palatino Linotype" w:eastAsiaTheme="minorHAnsi" w:hAnsi="Palatino Linotype" w:cs="Arial"/>
          <w:i/>
          <w:sz w:val="22"/>
          <w:lang w:val="es-MX" w:eastAsia="en-US"/>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w:t>
      </w:r>
      <w:r w:rsidRPr="00AE6086">
        <w:rPr>
          <w:rFonts w:ascii="Palatino Linotype" w:eastAsiaTheme="minorHAnsi" w:hAnsi="Palatino Linotype" w:cs="Arial"/>
          <w:i/>
          <w:sz w:val="22"/>
          <w:lang w:val="es-MX" w:eastAsia="en-US"/>
        </w:rPr>
        <w:lastRenderedPageBreak/>
        <w:t>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3662EE" w:rsidRPr="00AE6086" w:rsidRDefault="003662EE" w:rsidP="00AC6DB5">
      <w:pPr>
        <w:spacing w:line="360" w:lineRule="auto"/>
        <w:contextualSpacing/>
        <w:jc w:val="both"/>
        <w:rPr>
          <w:rFonts w:ascii="Palatino Linotype" w:eastAsiaTheme="minorHAnsi" w:hAnsi="Palatino Linotype"/>
          <w:b/>
          <w:bCs/>
          <w:lang w:val="es-MX" w:eastAsia="en-US"/>
        </w:rPr>
      </w:pPr>
    </w:p>
    <w:p w:rsidR="003662EE" w:rsidRPr="00AE6086" w:rsidRDefault="003662EE" w:rsidP="003662EE">
      <w:pPr>
        <w:pStyle w:val="Prrafodelista"/>
        <w:rPr>
          <w:rFonts w:ascii="Palatino Linotype" w:hAnsi="Palatino Linotype"/>
        </w:rPr>
      </w:pPr>
    </w:p>
    <w:p w:rsidR="003662EE" w:rsidRPr="00AE6086" w:rsidRDefault="00AC6DB5" w:rsidP="003662EE">
      <w:pPr>
        <w:numPr>
          <w:ilvl w:val="0"/>
          <w:numId w:val="15"/>
        </w:numPr>
        <w:spacing w:line="360" w:lineRule="auto"/>
        <w:ind w:left="0" w:firstLine="0"/>
        <w:contextualSpacing/>
        <w:jc w:val="both"/>
        <w:rPr>
          <w:rFonts w:ascii="Palatino Linotype" w:eastAsiaTheme="minorHAnsi" w:hAnsi="Palatino Linotype"/>
          <w:b/>
          <w:bCs/>
          <w:lang w:val="es-MX" w:eastAsia="en-US"/>
        </w:rPr>
      </w:pPr>
      <w:r w:rsidRPr="00AE6086">
        <w:rPr>
          <w:rFonts w:ascii="Palatino Linotype" w:hAnsi="Palatino Linotype"/>
        </w:rPr>
        <w:t xml:space="preserve">Luego entonces, </w:t>
      </w:r>
      <w:r w:rsidR="003662EE" w:rsidRPr="00AE6086">
        <w:rPr>
          <w:rFonts w:ascii="Palatino Linotype" w:hAnsi="Palatino Linotype"/>
        </w:rPr>
        <w:t>e</w:t>
      </w:r>
      <w:r w:rsidR="003662EE" w:rsidRPr="00AE6086">
        <w:rPr>
          <w:rFonts w:ascii="Palatino Linotype" w:eastAsiaTheme="minorHAnsi" w:hAnsi="Palatino Linotype"/>
          <w:bCs/>
          <w:lang w:val="es-MX" w:eastAsia="en-US"/>
        </w:rPr>
        <w:t xml:space="preserve">n </w:t>
      </w:r>
      <w:r w:rsidR="003662EE" w:rsidRPr="00AE6086">
        <w:rPr>
          <w:rFonts w:ascii="Palatino Linotype" w:eastAsiaTheme="minorHAnsi" w:hAnsi="Palatino Linotype" w:cs="Arial"/>
          <w:lang w:val="es-MX" w:eastAsia="en-US"/>
        </w:rPr>
        <w:t>virtud</w:t>
      </w:r>
      <w:r w:rsidR="003662EE" w:rsidRPr="00AE6086">
        <w:rPr>
          <w:rFonts w:ascii="Palatino Linotype" w:eastAsiaTheme="minorHAnsi" w:hAnsi="Palatino Linotype"/>
          <w:bCs/>
          <w:lang w:val="es-MX" w:eastAsia="en-US"/>
        </w:rPr>
        <w:t xml:space="preserve"> de lo anterior, es de destacar que la información requerida es susceptible de ser generada, poseída y administrada por e</w:t>
      </w:r>
      <w:r w:rsidR="003662EE" w:rsidRPr="00AE6086">
        <w:rPr>
          <w:rFonts w:ascii="Palatino Linotype" w:eastAsiaTheme="minorHAnsi" w:hAnsi="Palatino Linotype"/>
          <w:b/>
          <w:bCs/>
          <w:lang w:val="es-MX" w:eastAsia="en-US"/>
        </w:rPr>
        <w:t xml:space="preserve">l SUJETO OBLIGADO, </w:t>
      </w:r>
      <w:r w:rsidR="003662EE" w:rsidRPr="00AE6086">
        <w:rPr>
          <w:rFonts w:ascii="Palatino Linotype" w:eastAsiaTheme="minorHAnsi" w:hAnsi="Palatino Linotype"/>
          <w:lang w:val="es-MX" w:eastAsia="en-US"/>
        </w:rPr>
        <w:t xml:space="preserve">sin embargo, se destaca que a criterio de este Instituto </w:t>
      </w:r>
      <w:r w:rsidR="003662EE" w:rsidRPr="00AE6086">
        <w:rPr>
          <w:rFonts w:ascii="Palatino Linotype" w:eastAsiaTheme="minorHAnsi" w:hAnsi="Palatino Linotype"/>
          <w:b/>
          <w:bCs/>
          <w:lang w:val="es-MX" w:eastAsia="en-US"/>
        </w:rPr>
        <w:t xml:space="preserve">la información relativa al nombre de los servidores públicos que ocupan un cargo en las dependencias de gobierno encargadas de la </w:t>
      </w:r>
      <w:r w:rsidRPr="00AE6086">
        <w:rPr>
          <w:rFonts w:ascii="Palatino Linotype" w:eastAsiaTheme="minorHAnsi" w:hAnsi="Palatino Linotype"/>
          <w:b/>
          <w:bCs/>
          <w:lang w:val="es-MX" w:eastAsia="en-US"/>
        </w:rPr>
        <w:t>SEGURIDAD PÚBLICA</w:t>
      </w:r>
      <w:r w:rsidR="003662EE" w:rsidRPr="00AE6086">
        <w:rPr>
          <w:rFonts w:ascii="Palatino Linotype" w:eastAsiaTheme="minorHAnsi" w:hAnsi="Palatino Linotype"/>
          <w:b/>
          <w:bCs/>
          <w:lang w:val="es-MX" w:eastAsia="en-US"/>
        </w:rPr>
        <w:t xml:space="preserve">, debe ser objeto de un proceso de reserva de la información, para no hacer identificable al titular de tal dato personal, </w:t>
      </w:r>
      <w:r w:rsidR="003662EE" w:rsidRPr="00AE6086">
        <w:rPr>
          <w:rFonts w:ascii="Palatino Linotype" w:eastAsiaTheme="minorHAnsi" w:hAnsi="Palatino Linotype"/>
          <w:lang w:val="es-MX" w:eastAsia="en-US"/>
        </w:rPr>
        <w:t>ante ello, si bien es cierto resulta</w:t>
      </w:r>
      <w:r w:rsidR="003662EE" w:rsidRPr="00AE6086">
        <w:rPr>
          <w:rFonts w:ascii="Palatino Linotype" w:eastAsiaTheme="minorHAnsi" w:hAnsi="Palatino Linotype"/>
          <w:b/>
          <w:bCs/>
          <w:lang w:val="es-MX" w:eastAsia="en-US"/>
        </w:rPr>
        <w:t xml:space="preserve"> </w:t>
      </w:r>
      <w:r w:rsidR="003662EE" w:rsidRPr="00AE6086">
        <w:rPr>
          <w:rFonts w:ascii="Palatino Linotype" w:hAnsi="Palatino Linotype" w:cs="Arial"/>
        </w:rPr>
        <w:t xml:space="preserve">dable ordenar su entrega, se debe observar la tutela de los datos de carácter sensible y confidencial, en términos de la </w:t>
      </w:r>
      <w:r w:rsidR="003662EE" w:rsidRPr="00AE6086">
        <w:rPr>
          <w:rFonts w:ascii="Palatino Linotype" w:eastAsiaTheme="minorHAnsi" w:hAnsi="Palatino Linotype" w:cs="Arial"/>
          <w:szCs w:val="22"/>
          <w:lang w:eastAsia="en-US"/>
        </w:rPr>
        <w:t xml:space="preserve">en términos de la Ley de Protección de Datos Personales en Posesión de Sujetos Obligados del Estado de México y Municipios, conforme a lo </w:t>
      </w:r>
      <w:r w:rsidRPr="00AE6086">
        <w:rPr>
          <w:rFonts w:ascii="Palatino Linotype" w:eastAsiaTheme="minorHAnsi" w:hAnsi="Palatino Linotype" w:cs="Arial"/>
          <w:szCs w:val="22"/>
          <w:lang w:eastAsia="en-US"/>
        </w:rPr>
        <w:t xml:space="preserve">establecido en el Considerando </w:t>
      </w:r>
      <w:r w:rsidR="003662EE" w:rsidRPr="00AE6086">
        <w:rPr>
          <w:rFonts w:ascii="Palatino Linotype" w:eastAsiaTheme="minorHAnsi" w:hAnsi="Palatino Linotype" w:cs="Arial"/>
          <w:szCs w:val="22"/>
          <w:lang w:eastAsia="en-US"/>
        </w:rPr>
        <w:t>siguiente.</w:t>
      </w:r>
    </w:p>
    <w:p w:rsidR="00D31FC8" w:rsidRDefault="00D31FC8" w:rsidP="00D31FC8">
      <w:pPr>
        <w:pStyle w:val="Prrafodelista"/>
        <w:rPr>
          <w:rFonts w:ascii="Palatino Linotype" w:hAnsi="Palatino Linotype"/>
        </w:rPr>
      </w:pPr>
      <w:bookmarkStart w:id="150" w:name="_GoBack"/>
      <w:bookmarkEnd w:id="150"/>
    </w:p>
    <w:p w:rsidR="009F09BC" w:rsidRDefault="009F09BC" w:rsidP="009F09BC">
      <w:pPr>
        <w:pStyle w:val="Ttulo2"/>
        <w:rPr>
          <w:rFonts w:ascii="Palatino Linotype" w:hAnsi="Palatino Linotype"/>
          <w:b/>
          <w:color w:val="auto"/>
          <w:sz w:val="24"/>
        </w:rPr>
      </w:pPr>
      <w:bookmarkStart w:id="151" w:name="_Toc531859120"/>
      <w:bookmarkStart w:id="152" w:name="_Toc2871952"/>
      <w:bookmarkStart w:id="153" w:name="_Toc20246253"/>
      <w:bookmarkStart w:id="154" w:name="_Toc24023250"/>
      <w:bookmarkStart w:id="155" w:name="_Toc26461369"/>
      <w:bookmarkStart w:id="156" w:name="_Toc29481474"/>
      <w:bookmarkStart w:id="157" w:name="_Toc36648201"/>
      <w:bookmarkStart w:id="158" w:name="_Toc36732268"/>
      <w:bookmarkStart w:id="159" w:name="_Toc38560292"/>
      <w:bookmarkStart w:id="160" w:name="_Toc83128590"/>
      <w:bookmarkStart w:id="161" w:name="_Toc473799824"/>
      <w:bookmarkStart w:id="162" w:name="_Toc487025370"/>
      <w:bookmarkStart w:id="163" w:name="_Toc493790438"/>
      <w:bookmarkStart w:id="164" w:name="_Toc495606558"/>
      <w:bookmarkStart w:id="165" w:name="_Toc497297048"/>
      <w:bookmarkStart w:id="166" w:name="_Toc498503756"/>
      <w:bookmarkStart w:id="167" w:name="_Toc499201876"/>
      <w:bookmarkStart w:id="168" w:name="_Toc524000321"/>
      <w:r>
        <w:rPr>
          <w:rFonts w:ascii="Palatino Linotype" w:hAnsi="Palatino Linotype"/>
          <w:b/>
          <w:color w:val="auto"/>
          <w:sz w:val="24"/>
        </w:rPr>
        <w:t>QUINT</w:t>
      </w:r>
      <w:r w:rsidRPr="00DA7DC1">
        <w:rPr>
          <w:rFonts w:ascii="Palatino Linotype" w:hAnsi="Palatino Linotype"/>
          <w:b/>
          <w:color w:val="auto"/>
          <w:sz w:val="24"/>
        </w:rPr>
        <w:t xml:space="preserve">O. De la </w:t>
      </w:r>
      <w:bookmarkEnd w:id="151"/>
      <w:bookmarkEnd w:id="152"/>
      <w:r w:rsidRPr="00DA7DC1">
        <w:rPr>
          <w:rFonts w:ascii="Palatino Linotype" w:hAnsi="Palatino Linotype"/>
          <w:b/>
          <w:color w:val="auto"/>
          <w:sz w:val="24"/>
        </w:rPr>
        <w:t>versión pública</w:t>
      </w:r>
      <w:bookmarkEnd w:id="153"/>
      <w:bookmarkEnd w:id="154"/>
      <w:bookmarkEnd w:id="155"/>
      <w:bookmarkEnd w:id="156"/>
      <w:bookmarkEnd w:id="157"/>
      <w:bookmarkEnd w:id="158"/>
      <w:bookmarkEnd w:id="159"/>
      <w:bookmarkEnd w:id="160"/>
    </w:p>
    <w:p w:rsidR="009F09BC" w:rsidRPr="00993610" w:rsidRDefault="009F09BC" w:rsidP="009F09BC">
      <w:pPr>
        <w:rPr>
          <w:lang w:val="es-MX" w:eastAsia="en-US"/>
        </w:rPr>
      </w:pPr>
    </w:p>
    <w:bookmarkEnd w:id="161"/>
    <w:bookmarkEnd w:id="162"/>
    <w:bookmarkEnd w:id="163"/>
    <w:bookmarkEnd w:id="164"/>
    <w:bookmarkEnd w:id="165"/>
    <w:bookmarkEnd w:id="166"/>
    <w:bookmarkEnd w:id="167"/>
    <w:bookmarkEnd w:id="168"/>
    <w:p w:rsidR="009F09BC" w:rsidRDefault="009F09BC" w:rsidP="00002446">
      <w:pPr>
        <w:numPr>
          <w:ilvl w:val="0"/>
          <w:numId w:val="15"/>
        </w:numPr>
        <w:spacing w:line="360" w:lineRule="auto"/>
        <w:ind w:left="0" w:firstLine="0"/>
        <w:contextualSpacing/>
        <w:jc w:val="both"/>
        <w:rPr>
          <w:rFonts w:ascii="Palatino Linotype" w:hAnsi="Palatino Linotype"/>
        </w:rPr>
      </w:pPr>
      <w:r w:rsidRPr="00CB2ECA">
        <w:rPr>
          <w:rFonts w:ascii="Palatino Linotype" w:hAnsi="Palatino Linotype"/>
        </w:rPr>
        <w:t xml:space="preserve">Debe </w:t>
      </w:r>
      <w:r w:rsidRPr="00002446">
        <w:rPr>
          <w:rFonts w:ascii="Palatino Linotype" w:hAnsi="Palatino Linotype" w:cs="Arial"/>
        </w:rPr>
        <w:t>destacarse</w:t>
      </w:r>
      <w:r w:rsidRPr="00CB2ECA">
        <w:rPr>
          <w:rFonts w:ascii="Palatino Linotype" w:hAnsi="Palatino Linotype"/>
        </w:rPr>
        <w:t xml:space="preserve"> </w:t>
      </w:r>
      <w:r>
        <w:rPr>
          <w:rFonts w:ascii="Palatino Linotype" w:hAnsi="Palatino Linotype"/>
        </w:rPr>
        <w:t xml:space="preserve">que la información que se ha tenido a bien ordenar, dada su propia y especial </w:t>
      </w:r>
      <w:r w:rsidRPr="00FB6D42">
        <w:rPr>
          <w:rFonts w:ascii="Palatino Linotype" w:eastAsia="MS Mincho" w:hAnsi="Palatino Linotype" w:cs="Arial"/>
        </w:rPr>
        <w:t>naturaleza</w:t>
      </w:r>
      <w:r>
        <w:rPr>
          <w:rFonts w:ascii="Palatino Linotype" w:hAnsi="Palatino Linotype"/>
        </w:rPr>
        <w:t xml:space="preserve">, </w:t>
      </w:r>
      <w:r w:rsidR="009E68D3" w:rsidRPr="009E68D3">
        <w:rPr>
          <w:rFonts w:ascii="Palatino Linotype" w:hAnsi="Palatino Linotype"/>
          <w:b/>
        </w:rPr>
        <w:t>contiene</w:t>
      </w:r>
      <w:r w:rsidRPr="009E68D3">
        <w:rPr>
          <w:rFonts w:ascii="Palatino Linotype" w:hAnsi="Palatino Linotype"/>
          <w:b/>
        </w:rPr>
        <w:t xml:space="preserve"> datos personales susceptibles de ser protegidos mediante una versión pública</w:t>
      </w:r>
      <w:r>
        <w:rPr>
          <w:rFonts w:ascii="Palatino Linotype" w:hAnsi="Palatino Linotype"/>
        </w:rPr>
        <w:t xml:space="preserve">, la cual deberá estar soportada por el Acta </w:t>
      </w:r>
      <w:r>
        <w:rPr>
          <w:rFonts w:ascii="Palatino Linotype" w:hAnsi="Palatino Linotype"/>
        </w:rPr>
        <w:lastRenderedPageBreak/>
        <w:t xml:space="preserve">del Comité de Transparencia que se emita para tal efecto, debiéndola poner a disposición del hoy </w:t>
      </w:r>
      <w:r>
        <w:rPr>
          <w:rFonts w:ascii="Palatino Linotype" w:hAnsi="Palatino Linotype"/>
          <w:b/>
        </w:rPr>
        <w:t>RECURRENTE</w:t>
      </w:r>
      <w:r w:rsidR="009A2251">
        <w:rPr>
          <w:rFonts w:ascii="Palatino Linotype" w:hAnsi="Palatino Linotype"/>
        </w:rPr>
        <w:t>.</w:t>
      </w:r>
    </w:p>
    <w:p w:rsidR="00002446" w:rsidRDefault="00002446" w:rsidP="00002446">
      <w:pPr>
        <w:spacing w:line="360" w:lineRule="auto"/>
        <w:contextualSpacing/>
        <w:jc w:val="both"/>
        <w:rPr>
          <w:rFonts w:ascii="Palatino Linotype" w:hAnsi="Palatino Linotype"/>
        </w:rPr>
      </w:pPr>
    </w:p>
    <w:p w:rsidR="009F09BC" w:rsidRPr="00053FB7" w:rsidRDefault="009F09BC" w:rsidP="00002446">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La clasificación total o parcial de la información requerida, mediante solicitud de acceso a la </w:t>
      </w:r>
      <w:r w:rsidRPr="00002446">
        <w:rPr>
          <w:rFonts w:ascii="Palatino Linotype" w:hAnsi="Palatino Linotype"/>
        </w:rPr>
        <w:t>información</w:t>
      </w:r>
      <w:r w:rsidRPr="008C0982">
        <w:rPr>
          <w:rFonts w:ascii="Palatino Linotype" w:eastAsia="MS Gothic" w:hAnsi="Palatino Linotype" w:cs="Times New Roman"/>
          <w:szCs w:val="26"/>
        </w:rPr>
        <w:t xml:space="preserve"> pública, constituye una restricción al derecho humano de acceso a la información. Como reiteradamente han dicho, diversos órganos jurisdiccionales, ningún derecho es absoluto</w:t>
      </w:r>
      <w:r w:rsidRPr="008C0982">
        <w:rPr>
          <w:rFonts w:ascii="Palatino Linotype" w:eastAsia="MS Gothic" w:hAnsi="Palatino Linotype" w:cs="Times New Roman"/>
          <w:szCs w:val="26"/>
          <w:vertAlign w:val="superscript"/>
        </w:rPr>
        <w:footnoteReference w:id="10"/>
      </w:r>
      <w:r w:rsidRPr="008C0982">
        <w:rPr>
          <w:rFonts w:ascii="Palatino Linotype" w:eastAsia="MS Gothic" w:hAnsi="Palatino Linotype" w:cs="Times New Roman"/>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C0982">
        <w:rPr>
          <w:rFonts w:ascii="Palatino Linotype" w:eastAsia="MS Gothic" w:hAnsi="Palatino Linotype" w:cs="Times New Roman"/>
          <w:szCs w:val="26"/>
          <w:vertAlign w:val="superscript"/>
        </w:rPr>
        <w:footnoteReference w:id="11"/>
      </w:r>
      <w:r w:rsidRPr="008C0982">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w:t>
      </w:r>
      <w:r w:rsidRPr="008C0982">
        <w:rPr>
          <w:rFonts w:ascii="Palatino Linotype" w:eastAsia="MS Gothic" w:hAnsi="Palatino Linotype" w:cs="Times New Roman"/>
          <w:szCs w:val="26"/>
        </w:rPr>
        <w:lastRenderedPageBreak/>
        <w:t>Información Pública del Estado de México y Municipios, en adelante, la Ley Estatal, establecen, y agotar el procedimiento legalmente establecido, es precisamente lo que permite acreditar el cumplimiento de los otros dos requisitos.</w:t>
      </w:r>
    </w:p>
    <w:p w:rsidR="00053FB7" w:rsidRDefault="00053FB7" w:rsidP="00053FB7">
      <w:pPr>
        <w:pStyle w:val="Prrafodelista"/>
        <w:rPr>
          <w:rFonts w:ascii="Palatino Linotype" w:hAnsi="Palatino Linotype" w:cs="Arial"/>
        </w:rPr>
      </w:pP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69" w:name="_Toc51863315"/>
      <w:bookmarkStart w:id="170" w:name="_Toc52444649"/>
      <w:bookmarkStart w:id="171" w:name="_Toc57154368"/>
      <w:bookmarkStart w:id="172" w:name="_Toc65170174"/>
      <w:bookmarkStart w:id="173" w:name="_Toc66371800"/>
      <w:bookmarkStart w:id="174" w:name="_Toc67584835"/>
      <w:bookmarkStart w:id="175" w:name="_Toc70070911"/>
      <w:bookmarkStart w:id="176" w:name="_Toc70593358"/>
      <w:bookmarkStart w:id="177" w:name="_Toc71290717"/>
      <w:bookmarkStart w:id="178" w:name="_Toc71291223"/>
      <w:bookmarkStart w:id="179" w:name="_Toc71674122"/>
      <w:bookmarkStart w:id="180" w:name="_Toc83128591"/>
      <w:r w:rsidRPr="008C0982">
        <w:rPr>
          <w:rFonts w:ascii="Palatino Linotype" w:hAnsi="Palatino Linotype" w:cs="Arial"/>
          <w:b/>
        </w:rPr>
        <w:t>Requisitos previos.</w:t>
      </w:r>
      <w:bookmarkEnd w:id="169"/>
      <w:bookmarkEnd w:id="170"/>
      <w:bookmarkEnd w:id="171"/>
      <w:bookmarkEnd w:id="172"/>
      <w:bookmarkEnd w:id="173"/>
      <w:bookmarkEnd w:id="174"/>
      <w:bookmarkEnd w:id="175"/>
      <w:bookmarkEnd w:id="176"/>
      <w:bookmarkEnd w:id="177"/>
      <w:bookmarkEnd w:id="178"/>
      <w:bookmarkEnd w:id="179"/>
      <w:bookmarkEnd w:id="180"/>
    </w:p>
    <w:p w:rsidR="009F09BC" w:rsidRPr="008C0982" w:rsidRDefault="009F09BC" w:rsidP="009F09BC">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DC1963"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Además, se debe señalar el procedimiento, de los tres que establecen los artículos 132 y 106 de la Ley Estatal y General, respectivamente, por el que se realiza dicha clasificación, a saber, cuando se atiende una solicitud de acceso a la </w:t>
      </w:r>
      <w:r w:rsidRPr="008C0982">
        <w:rPr>
          <w:rFonts w:ascii="Palatino Linotype" w:eastAsia="MS Gothic" w:hAnsi="Palatino Linotype" w:cs="Times New Roman"/>
          <w:szCs w:val="26"/>
        </w:rPr>
        <w:lastRenderedPageBreak/>
        <w:t>información, porque lo determina una autoridad competente o porque se va a generar una versión pública para cumplir con sus obligaciones.</w:t>
      </w:r>
    </w:p>
    <w:p w:rsidR="009F09BC" w:rsidRPr="00DC1963" w:rsidRDefault="009F09BC" w:rsidP="009F09BC">
      <w:pPr>
        <w:pStyle w:val="Prrafodelista"/>
        <w:rPr>
          <w:rFonts w:ascii="Palatino Linotype" w:hAnsi="Palatino Linotype" w:cs="Arial"/>
        </w:rPr>
      </w:pP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8C0982">
        <w:rPr>
          <w:rFonts w:ascii="Palatino Linotype" w:eastAsia="MS Gothic" w:hAnsi="Palatino Linotype" w:cs="Times New Roman"/>
          <w:b/>
          <w:szCs w:val="26"/>
          <w:u w:val="single"/>
        </w:rPr>
        <w:t>no se puede hacer un acuerdo para clasificar de manera general todos los documentos de un expediente o área</w:t>
      </w:r>
      <w:r w:rsidRPr="00437672">
        <w:rPr>
          <w:rFonts w:ascii="Palatino Linotype" w:eastAsia="MS Gothic" w:hAnsi="Palatino Linotype" w:cs="Times New Roman"/>
          <w:b/>
          <w:szCs w:val="26"/>
        </w:rPr>
        <w:t xml:space="preserve">,  </w:t>
      </w:r>
      <w:r w:rsidRPr="008C0982">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81" w:name="_Toc51863316"/>
      <w:bookmarkStart w:id="182" w:name="_Toc52444650"/>
      <w:bookmarkStart w:id="183" w:name="_Toc57154369"/>
      <w:bookmarkStart w:id="184" w:name="_Toc65170175"/>
      <w:bookmarkStart w:id="185" w:name="_Toc66371801"/>
      <w:bookmarkStart w:id="186" w:name="_Toc67584836"/>
      <w:bookmarkStart w:id="187" w:name="_Toc70070912"/>
      <w:bookmarkStart w:id="188" w:name="_Toc70593359"/>
      <w:bookmarkStart w:id="189" w:name="_Toc71290718"/>
      <w:bookmarkStart w:id="190" w:name="_Toc71291224"/>
      <w:bookmarkStart w:id="191" w:name="_Toc71674123"/>
      <w:bookmarkStart w:id="192" w:name="_Toc83128592"/>
      <w:r w:rsidRPr="008C0982">
        <w:rPr>
          <w:rFonts w:ascii="Palatino Linotype" w:hAnsi="Palatino Linotype" w:cs="Arial"/>
          <w:b/>
        </w:rPr>
        <w:t>Supuestos de clasificación.</w:t>
      </w:r>
      <w:bookmarkEnd w:id="181"/>
      <w:bookmarkEnd w:id="182"/>
      <w:bookmarkEnd w:id="183"/>
      <w:bookmarkEnd w:id="184"/>
      <w:bookmarkEnd w:id="185"/>
      <w:bookmarkEnd w:id="186"/>
      <w:bookmarkEnd w:id="187"/>
      <w:bookmarkEnd w:id="188"/>
      <w:bookmarkEnd w:id="189"/>
      <w:bookmarkEnd w:id="190"/>
      <w:bookmarkEnd w:id="191"/>
      <w:bookmarkEnd w:id="192"/>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 </w:t>
      </w:r>
      <w:r w:rsidRPr="008C0982">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II. </w:t>
      </w:r>
      <w:r w:rsidRPr="008C0982">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bCs/>
          <w:i/>
          <w:color w:val="000000"/>
        </w:rPr>
        <w:t xml:space="preserve">III. </w:t>
      </w:r>
      <w:r w:rsidRPr="008C0982">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9F09BC" w:rsidRPr="008C0982"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C0982">
        <w:rPr>
          <w:rFonts w:ascii="Palatino Linotype" w:hAnsi="Palatino Linotype" w:cs="Bookman Old Style"/>
          <w:i/>
          <w:color w:val="000000"/>
        </w:rPr>
        <w:lastRenderedPageBreak/>
        <w:t xml:space="preserve">La información confidencial no estará sujeta a temporalidad alguna y sólo podrán tener acceso a ella los titulares de la misma, sus representantes y los servidores públicos facultados para ello. </w:t>
      </w:r>
    </w:p>
    <w:p w:rsidR="009F09BC"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8C0982">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9E68D3" w:rsidRPr="008C0982" w:rsidRDefault="009E68D3" w:rsidP="009F09B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p>
    <w:p w:rsidR="009F09BC" w:rsidRPr="00053FB7"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053FB7" w:rsidRPr="00977884" w:rsidRDefault="00053FB7" w:rsidP="00053FB7">
      <w:pPr>
        <w:spacing w:line="360" w:lineRule="auto"/>
        <w:contextualSpacing/>
        <w:jc w:val="both"/>
        <w:rPr>
          <w:rFonts w:ascii="Palatino Linotype" w:hAnsi="Palatino Linotype" w:cs="Arial"/>
        </w:rPr>
      </w:pPr>
    </w:p>
    <w:p w:rsidR="009F09BC" w:rsidRPr="006C41B7"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Como consecuencia de lo anterior, el </w:t>
      </w:r>
      <w:r w:rsidRPr="008C0982">
        <w:rPr>
          <w:rFonts w:ascii="Palatino Linotype" w:eastAsia="MS Gothic" w:hAnsi="Palatino Linotype" w:cs="Times New Roman"/>
          <w:b/>
          <w:szCs w:val="26"/>
        </w:rPr>
        <w:t>SUJETO OBLIGADO</w:t>
      </w:r>
      <w:r w:rsidRPr="008C0982">
        <w:rPr>
          <w:rFonts w:ascii="Palatino Linotype" w:eastAsia="MS Gothic" w:hAnsi="Palatino Linotype" w:cs="Times New Roman"/>
          <w:szCs w:val="26"/>
        </w:rPr>
        <w:t xml:space="preserve"> debe identificar claramente el tipo de información y hacer un juicio de subsunción o encaje</w:t>
      </w:r>
      <w:r w:rsidRPr="008C0982">
        <w:rPr>
          <w:rFonts w:ascii="Palatino Linotype" w:eastAsia="MS Gothic" w:hAnsi="Palatino Linotype" w:cs="Times New Roman"/>
          <w:szCs w:val="26"/>
          <w:vertAlign w:val="superscript"/>
        </w:rPr>
        <w:footnoteReference w:id="12"/>
      </w:r>
      <w:r w:rsidRPr="008C0982">
        <w:rPr>
          <w:rFonts w:ascii="Palatino Linotype" w:eastAsia="MS Gothic" w:hAnsi="Palatino Linotype" w:cs="Times New Roman"/>
          <w:szCs w:val="26"/>
        </w:rPr>
        <w:t xml:space="preserve"> para acreditar que el supuesto de hecho corresponde estrictamente con la hipótesis </w:t>
      </w:r>
      <w:r w:rsidRPr="008C0982">
        <w:rPr>
          <w:rFonts w:ascii="Palatino Linotype" w:eastAsia="MS Gothic" w:hAnsi="Palatino Linotype" w:cs="Times New Roman"/>
          <w:szCs w:val="26"/>
        </w:rPr>
        <w:lastRenderedPageBreak/>
        <w:t>jurídica. Esto también lo debe de realizar el servidor público habilitado y el titular del área que administra la información.</w:t>
      </w:r>
    </w:p>
    <w:p w:rsidR="009F09BC" w:rsidRPr="006C41B7" w:rsidRDefault="009F09BC" w:rsidP="009F09BC">
      <w:pPr>
        <w:pStyle w:val="Prrafodelista"/>
        <w:rPr>
          <w:rFonts w:ascii="Palatino Linotype" w:hAnsi="Palatino Linotype" w:cs="Arial"/>
        </w:rPr>
      </w:pPr>
    </w:p>
    <w:p w:rsidR="009F09BC" w:rsidRPr="009A2251" w:rsidRDefault="009F09BC" w:rsidP="00053FB7">
      <w:pPr>
        <w:numPr>
          <w:ilvl w:val="0"/>
          <w:numId w:val="15"/>
        </w:numPr>
        <w:spacing w:line="360" w:lineRule="auto"/>
        <w:ind w:left="0" w:firstLine="0"/>
        <w:contextualSpacing/>
        <w:jc w:val="both"/>
        <w:rPr>
          <w:rFonts w:ascii="Palatino Linotype" w:hAnsi="Palatino Linotype" w:cs="Arial"/>
        </w:rPr>
      </w:pPr>
      <w:r>
        <w:rPr>
          <w:rFonts w:ascii="Palatino Linotype" w:eastAsia="MS Gothic" w:hAnsi="Palatino Linotype" w:cs="Times New Roman"/>
          <w:szCs w:val="26"/>
        </w:rPr>
        <w:t xml:space="preserve"> </w:t>
      </w:r>
      <w:r w:rsidRPr="008C0982">
        <w:rPr>
          <w:rFonts w:ascii="Palatino Linotype" w:eastAsia="MS Gothic" w:hAnsi="Palatino Linotype" w:cs="Times New Roman"/>
          <w:szCs w:val="26"/>
        </w:rPr>
        <w:t>Al respecto, los Lineamientos Generales en Materia de Clasificación y Desclasificación de la Información, así Como para la Elaboración de Versiones Públicas, por cuanto hace a la clasificación de la información, señalan lo siguiente:</w:t>
      </w:r>
    </w:p>
    <w:p w:rsidR="009A2251" w:rsidRPr="009A2251" w:rsidRDefault="009A2251" w:rsidP="009A2251">
      <w:pPr>
        <w:pStyle w:val="Prrafodelista"/>
        <w:rPr>
          <w:rFonts w:ascii="Palatino Linotype" w:hAnsi="Palatino Linotype" w:cs="Arial"/>
        </w:rPr>
      </w:pPr>
    </w:p>
    <w:p w:rsidR="009F09B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w:t>
      </w:r>
      <w:r w:rsidRPr="008C0982">
        <w:rPr>
          <w:rFonts w:ascii="Palatino Linotype" w:hAnsi="Palatino Linotype" w:cs="Arial"/>
          <w:b/>
          <w:i/>
        </w:rPr>
        <w:t>Quincuagésimo.</w:t>
      </w:r>
      <w:r w:rsidRPr="008C0982">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9E68D3" w:rsidRPr="008C0982" w:rsidRDefault="009E68D3"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primero.</w:t>
      </w:r>
      <w:r w:rsidRPr="008C0982">
        <w:rPr>
          <w:rFonts w:ascii="Palatino Linotype" w:hAnsi="Palatino Linotype" w:cs="Arial"/>
          <w:i/>
        </w:rPr>
        <w:t xml:space="preserve"> La leyenda en los documentos clasificados indicará:</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 La fecha de sesión del Comité de Transparencia en donde se confirmó la clasificación, en su caso;</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 El nombre del área;</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III. La palabra reservado o confidencial;</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IV. Las partes o secciones reservadas o confidenciales, en su caso;</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 El fundamento legal;</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 El periodo de reserva, y</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VII. La rúbrica del titular del área.</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segundo.</w:t>
      </w:r>
      <w:r w:rsidRPr="008C0982">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9F09BC" w:rsidRPr="008C0982"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lastRenderedPageBreak/>
        <w:t>Quincuagésimo tercero.</w:t>
      </w:r>
      <w:r w:rsidRPr="008C0982">
        <w:rPr>
          <w:rFonts w:ascii="Palatino Linotype" w:hAnsi="Palatino Linotype" w:cs="Arial"/>
          <w:i/>
        </w:rPr>
        <w:t xml:space="preserve"> El formato para señalar la clasificación parcial de un documento, es el siguiente:</w:t>
      </w:r>
    </w:p>
    <w:p w:rsidR="009F09BC" w:rsidRPr="008C0982" w:rsidRDefault="009F09BC" w:rsidP="009F09BC">
      <w:pPr>
        <w:pStyle w:val="Prrafodelista"/>
        <w:tabs>
          <w:tab w:val="left" w:pos="142"/>
          <w:tab w:val="left" w:pos="284"/>
          <w:tab w:val="left" w:pos="426"/>
        </w:tabs>
        <w:spacing w:line="360" w:lineRule="auto"/>
        <w:ind w:left="0"/>
        <w:jc w:val="center"/>
        <w:rPr>
          <w:rFonts w:ascii="Palatino Linotype" w:hAnsi="Palatino Linotype" w:cs="Arial"/>
        </w:rPr>
      </w:pPr>
      <w:r w:rsidRPr="008C0982">
        <w:rPr>
          <w:rFonts w:ascii="Palatino Linotype" w:hAnsi="Palatino Linotype" w:cs="Arial"/>
          <w:i/>
          <w:noProof/>
          <w:lang w:val="es-ES"/>
        </w:rPr>
        <w:drawing>
          <wp:inline distT="0" distB="0" distL="0" distR="0" wp14:anchorId="2E6835A7" wp14:editId="6EDF19F0">
            <wp:extent cx="4264925" cy="3302758"/>
            <wp:effectExtent l="57150" t="57150" r="116840" b="10731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8172" cy="324332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977884"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Una vez hecho lo anterior, se remite la información al Titular de la Unidad de Transparencia, con el acuerdo de clasificación correspondiente, para que sea sometido al conocimiento del Comité de Transparencia.</w:t>
      </w:r>
    </w:p>
    <w:p w:rsidR="009F09BC" w:rsidRPr="008C0982"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8C0982" w:rsidRDefault="009F09BC" w:rsidP="009F09BC">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93" w:name="_Toc51863317"/>
      <w:bookmarkStart w:id="194" w:name="_Toc52444651"/>
      <w:bookmarkStart w:id="195" w:name="_Toc57154370"/>
      <w:bookmarkStart w:id="196" w:name="_Toc65170176"/>
      <w:bookmarkStart w:id="197" w:name="_Toc66371802"/>
      <w:bookmarkStart w:id="198" w:name="_Toc67584837"/>
      <w:bookmarkStart w:id="199" w:name="_Toc70070913"/>
      <w:bookmarkStart w:id="200" w:name="_Toc70593360"/>
      <w:bookmarkStart w:id="201" w:name="_Toc71290719"/>
      <w:bookmarkStart w:id="202" w:name="_Toc71291225"/>
      <w:bookmarkStart w:id="203" w:name="_Toc71674124"/>
      <w:bookmarkStart w:id="204" w:name="_Toc83128593"/>
      <w:r w:rsidRPr="008C0982">
        <w:rPr>
          <w:rFonts w:ascii="Palatino Linotype" w:hAnsi="Palatino Linotype" w:cs="Arial"/>
          <w:b/>
        </w:rPr>
        <w:t>III. La intervención del Comité de Transparencia.</w:t>
      </w:r>
      <w:bookmarkEnd w:id="193"/>
      <w:bookmarkEnd w:id="194"/>
      <w:bookmarkEnd w:id="195"/>
      <w:bookmarkEnd w:id="196"/>
      <w:bookmarkEnd w:id="197"/>
      <w:bookmarkEnd w:id="198"/>
      <w:bookmarkEnd w:id="199"/>
      <w:bookmarkEnd w:id="200"/>
      <w:bookmarkEnd w:id="201"/>
      <w:bookmarkEnd w:id="202"/>
      <w:bookmarkEnd w:id="203"/>
      <w:bookmarkEnd w:id="204"/>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b/>
        </w:rPr>
      </w:pPr>
      <w:r w:rsidRPr="008C0982">
        <w:rPr>
          <w:rFonts w:ascii="Palatino Linotype" w:hAnsi="Palatino Linotype" w:cs="Arial"/>
          <w:b/>
        </w:rPr>
        <w:t>a) Formalidades para emitir el Acuerdo de Clasificación.</w:t>
      </w: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w:t>
      </w:r>
      <w:r w:rsidRPr="008C0982">
        <w:rPr>
          <w:rFonts w:ascii="Palatino Linotype" w:eastAsia="MS Gothic" w:hAnsi="Palatino Linotype" w:cs="Times New Roman"/>
          <w:szCs w:val="26"/>
        </w:rPr>
        <w:lastRenderedPageBreak/>
        <w:t xml:space="preserve">los Lineamientos Generales, cuenta con las facultades para </w:t>
      </w:r>
      <w:r w:rsidRPr="008C0982">
        <w:rPr>
          <w:rFonts w:ascii="Palatino Linotype" w:eastAsia="MS Gothic" w:hAnsi="Palatino Linotype" w:cs="Times New Roman"/>
          <w:b/>
          <w:szCs w:val="26"/>
          <w:u w:val="single"/>
        </w:rPr>
        <w:t>confirmar, modificar o revocar</w:t>
      </w:r>
      <w:r w:rsidRPr="008C0982">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8C0982">
        <w:rPr>
          <w:rFonts w:ascii="Palatino Linotype" w:eastAsia="MS Gothic" w:hAnsi="Palatino Linotype" w:cs="Times New Roman"/>
          <w:b/>
          <w:szCs w:val="26"/>
          <w:u w:val="single"/>
        </w:rPr>
        <w:t>no aprueba</w:t>
      </w:r>
      <w:r w:rsidRPr="008C0982">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D15D0"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Evidentemente, esta decisión implica una restricción a un derecho humano, por lo tanto, </w:t>
      </w:r>
      <w:r w:rsidRPr="00053FB7">
        <w:rPr>
          <w:rFonts w:ascii="Palatino Linotype" w:eastAsia="MS Gothic" w:hAnsi="Palatino Linotype" w:cs="Times New Roman"/>
          <w:szCs w:val="26"/>
        </w:rPr>
        <w:t>puede</w:t>
      </w:r>
      <w:r w:rsidRPr="008C0982">
        <w:rPr>
          <w:rFonts w:ascii="Palatino Linotype" w:eastAsia="MS Gothic" w:hAnsi="Palatino Linotype" w:cs="Times New Roman"/>
          <w:szCs w:val="26"/>
        </w:rPr>
        <w:t xml:space="preserve"> generar un agravio al particular y, en consecuencia, es necesario que </w:t>
      </w:r>
      <w:r w:rsidRPr="008C0982">
        <w:rPr>
          <w:rFonts w:ascii="Palatino Linotype" w:eastAsia="MS Gothic" w:hAnsi="Palatino Linotype" w:cs="Times New Roman"/>
          <w:b/>
          <w:szCs w:val="26"/>
          <w:u w:val="single"/>
        </w:rPr>
        <w:t>el acto reúna con los requisitos elementales</w:t>
      </w:r>
      <w:r w:rsidRPr="008C0982">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D15D0" w:rsidRPr="006D15D0" w:rsidRDefault="006D15D0" w:rsidP="006D15D0">
      <w:pPr>
        <w:pStyle w:val="Prrafodelista"/>
        <w:rPr>
          <w:rFonts w:ascii="Palatino Linotype" w:hAnsi="Palatino Linotype" w:cs="Arial"/>
        </w:rPr>
      </w:pP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8C0982">
        <w:rPr>
          <w:rFonts w:ascii="Palatino Linotype" w:eastAsia="MS Gothic" w:hAnsi="Palatino Linotype" w:cs="Times New Roman"/>
          <w:szCs w:val="26"/>
        </w:rPr>
        <w:lastRenderedPageBreak/>
        <w:t>por los titulares de áreas y que son sujetas a control, en primera instancia, por el Comité de Transparencia.</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Default="009F09BC" w:rsidP="009F09BC">
      <w:pPr>
        <w:pStyle w:val="Prrafodelista"/>
        <w:numPr>
          <w:ilvl w:val="0"/>
          <w:numId w:val="30"/>
        </w:numPr>
        <w:tabs>
          <w:tab w:val="left" w:pos="142"/>
          <w:tab w:val="left" w:pos="284"/>
          <w:tab w:val="left" w:pos="426"/>
        </w:tabs>
        <w:spacing w:line="360" w:lineRule="auto"/>
        <w:jc w:val="both"/>
        <w:rPr>
          <w:rFonts w:ascii="Palatino Linotype" w:hAnsi="Palatino Linotype" w:cs="Arial"/>
          <w:b/>
        </w:rPr>
      </w:pPr>
      <w:r w:rsidRPr="008C0982">
        <w:rPr>
          <w:rFonts w:ascii="Palatino Linotype" w:hAnsi="Palatino Linotype" w:cs="Arial"/>
          <w:b/>
        </w:rPr>
        <w:t>Requisitos de fondo del Acuerdo de Clasificación.</w:t>
      </w:r>
    </w:p>
    <w:p w:rsidR="009F09BC" w:rsidRPr="00103D15"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00264C9A" w:rsidRPr="008C0982">
        <w:rPr>
          <w:rFonts w:ascii="Palatino Linotype" w:eastAsia="MS Gothic" w:hAnsi="Palatino Linotype" w:cs="Times New Roman"/>
          <w:szCs w:val="26"/>
        </w:rPr>
        <w:t>Generales, al</w:t>
      </w:r>
      <w:r w:rsidRPr="008C0982">
        <w:rPr>
          <w:rFonts w:ascii="Palatino Linotype" w:eastAsia="MS Gothic" w:hAnsi="Palatino Linotype" w:cs="Times New Roman"/>
          <w:szCs w:val="26"/>
        </w:rPr>
        <w:t xml:space="preserve"> señalar que la carga de la prueba, para justificar las restricciones, corresponde a los sujetos obligados, por lo que deberán fundar y motivar debidamente la clasificación.</w:t>
      </w:r>
    </w:p>
    <w:p w:rsidR="00D20A5F" w:rsidRPr="00D20A5F" w:rsidRDefault="00D20A5F" w:rsidP="00D20A5F">
      <w:pPr>
        <w:spacing w:line="360" w:lineRule="auto"/>
        <w:contextualSpacing/>
        <w:jc w:val="both"/>
        <w:rPr>
          <w:rFonts w:ascii="Palatino Linotype" w:hAnsi="Palatino Linotype" w:cs="Arial"/>
        </w:rPr>
      </w:pPr>
    </w:p>
    <w:p w:rsidR="009F09BC" w:rsidRPr="00C5331A"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 xml:space="preserve">De lo anterior, se desprende </w:t>
      </w:r>
      <w:proofErr w:type="gramStart"/>
      <w:r w:rsidRPr="008C0982">
        <w:rPr>
          <w:rFonts w:ascii="Palatino Linotype" w:eastAsia="MS Gothic" w:hAnsi="Palatino Linotype" w:cs="Times New Roman"/>
          <w:szCs w:val="26"/>
        </w:rPr>
        <w:t>que</w:t>
      </w:r>
      <w:proofErr w:type="gramEnd"/>
      <w:r w:rsidRPr="008C0982">
        <w:rPr>
          <w:rFonts w:ascii="Palatino Linotype" w:eastAsia="MS Gothic" w:hAnsi="Palatino Linotype" w:cs="Times New Roman"/>
          <w:szCs w:val="26"/>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F09BC" w:rsidRPr="00C5331A" w:rsidRDefault="009F09BC" w:rsidP="009F09BC">
      <w:pPr>
        <w:pStyle w:val="Prrafodelista"/>
        <w:rPr>
          <w:rFonts w:ascii="Palatino Linotype" w:hAnsi="Palatino Linotype" w:cs="Arial"/>
        </w:rPr>
      </w:pPr>
    </w:p>
    <w:p w:rsidR="009F09BC" w:rsidRPr="00EE2A79"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8C0982">
        <w:rPr>
          <w:rFonts w:ascii="Palatino Linotype" w:eastAsia="MS Gothic" w:hAnsi="Palatino Linotype" w:cs="Times New Roman"/>
          <w:i/>
          <w:szCs w:val="26"/>
        </w:rPr>
        <w:t xml:space="preserve">la garantía de fundamentación impone a las autoridades el deber de precisar </w:t>
      </w:r>
      <w:r w:rsidRPr="008C0982">
        <w:rPr>
          <w:rFonts w:ascii="Palatino Linotype" w:eastAsia="MS Gothic" w:hAnsi="Palatino Linotype" w:cs="Times New Roman"/>
          <w:i/>
          <w:szCs w:val="26"/>
        </w:rPr>
        <w:lastRenderedPageBreak/>
        <w:t>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C0982">
        <w:rPr>
          <w:rFonts w:ascii="Palatino Linotype" w:eastAsia="MS Gothic" w:hAnsi="Palatino Linotype" w:cs="Times New Roman"/>
          <w:szCs w:val="26"/>
        </w:rPr>
        <w:t>....”</w:t>
      </w:r>
      <w:r w:rsidRPr="008C0982">
        <w:rPr>
          <w:rFonts w:ascii="Palatino Linotype" w:eastAsia="MS Gothic" w:hAnsi="Palatino Linotype" w:cs="Times New Roman"/>
          <w:szCs w:val="26"/>
          <w:vertAlign w:val="superscript"/>
        </w:rPr>
        <w:footnoteReference w:id="13"/>
      </w:r>
    </w:p>
    <w:p w:rsidR="009F09BC" w:rsidRPr="00EE2A79" w:rsidRDefault="009F09BC" w:rsidP="009F09BC">
      <w:pPr>
        <w:pStyle w:val="Prrafodelista"/>
        <w:rPr>
          <w:rFonts w:ascii="Palatino Linotype" w:hAnsi="Palatino Linotype" w:cs="Arial"/>
        </w:rPr>
      </w:pP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s="Arial"/>
        </w:rPr>
        <w:t xml:space="preserve"> </w:t>
      </w:r>
      <w:r w:rsidRPr="008C0982">
        <w:rPr>
          <w:rFonts w:ascii="Palatino Linotype" w:hAnsi="Palatino Linotype" w:cs="Arial"/>
        </w:rPr>
        <w:t>Por su parte, el intérprete judicial del país ha establecido una jurisprudencia respecto a qué debe entenderse por fundamentación y motivación, en los siguientes términos:</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E68D3" w:rsidP="009E68D3">
      <w:pPr>
        <w:spacing w:line="276" w:lineRule="auto"/>
        <w:ind w:left="567" w:right="618"/>
        <w:contextualSpacing/>
        <w:jc w:val="both"/>
        <w:rPr>
          <w:rFonts w:ascii="Palatino Linotype" w:hAnsi="Palatino Linotype" w:cs="Arial"/>
          <w:i/>
          <w:color w:val="000000"/>
        </w:rPr>
      </w:pPr>
      <w:r>
        <w:rPr>
          <w:rFonts w:ascii="Palatino Linotype" w:hAnsi="Palatino Linotype" w:cs="Arial"/>
          <w:b/>
          <w:i/>
          <w:color w:val="000000"/>
        </w:rPr>
        <w:t>“</w:t>
      </w:r>
      <w:r w:rsidR="009F09BC" w:rsidRPr="008C0982">
        <w:rPr>
          <w:rFonts w:ascii="Palatino Linotype" w:hAnsi="Palatino Linotype" w:cs="Arial"/>
          <w:b/>
          <w:i/>
          <w:color w:val="000000"/>
        </w:rPr>
        <w:t>FUNDAMENTACIÓN Y MOTIVACIÓN.</w:t>
      </w:r>
      <w:r w:rsidR="009F09BC" w:rsidRPr="008C0982">
        <w:rPr>
          <w:rFonts w:ascii="Palatino Linotype" w:hAnsi="Palatino Linotype" w:cs="Arial"/>
          <w:i/>
          <w:color w:val="000000"/>
        </w:rPr>
        <w:t xml:space="preserve"> “La </w:t>
      </w:r>
      <w:r w:rsidR="009F09BC" w:rsidRPr="008C0982">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009F09BC" w:rsidRPr="008C0982">
        <w:rPr>
          <w:rFonts w:ascii="Palatino Linotype" w:hAnsi="Palatino Linotype" w:cs="Arial"/>
          <w:i/>
          <w:color w:val="000000"/>
        </w:rPr>
        <w:t>.”</w:t>
      </w:r>
    </w:p>
    <w:p w:rsidR="009F09BC" w:rsidRPr="008C0982" w:rsidRDefault="009F09BC" w:rsidP="009E68D3">
      <w:pPr>
        <w:spacing w:line="360" w:lineRule="auto"/>
        <w:ind w:left="567" w:right="618"/>
        <w:contextualSpacing/>
        <w:jc w:val="both"/>
        <w:rPr>
          <w:rFonts w:ascii="Palatino Linotype" w:hAnsi="Palatino Linotype" w:cs="Arial"/>
          <w:i/>
          <w:color w:val="000000"/>
        </w:rPr>
      </w:pPr>
      <w:r w:rsidRPr="008C0982">
        <w:rPr>
          <w:rFonts w:ascii="Palatino Linotype" w:hAnsi="Palatino Linotype" w:cs="Arial"/>
          <w:i/>
          <w:color w:val="000000"/>
        </w:rPr>
        <w:t>SEGUNDO TRIBUNAL COLEGIADO DEL SEXTO CIRCUITO.</w:t>
      </w:r>
    </w:p>
    <w:p w:rsidR="009F09BC" w:rsidRPr="008C0982" w:rsidRDefault="009F09BC" w:rsidP="009E68D3">
      <w:pPr>
        <w:spacing w:line="360" w:lineRule="auto"/>
        <w:ind w:left="567" w:right="618"/>
        <w:contextualSpacing/>
        <w:jc w:val="both"/>
        <w:rPr>
          <w:rFonts w:ascii="Palatino Linotype" w:hAnsi="Palatino Linotype" w:cs="Arial"/>
          <w:i/>
          <w:color w:val="000000"/>
        </w:rPr>
      </w:pPr>
      <w:r w:rsidRPr="008C0982">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9F09BC" w:rsidRPr="008C0982" w:rsidRDefault="009F09BC" w:rsidP="009E68D3">
      <w:pPr>
        <w:spacing w:line="360" w:lineRule="auto"/>
        <w:ind w:left="567" w:right="618"/>
        <w:contextualSpacing/>
        <w:jc w:val="both"/>
        <w:rPr>
          <w:rFonts w:ascii="Palatino Linotype" w:hAnsi="Palatino Linotype" w:cs="Arial"/>
          <w:i/>
          <w:color w:val="000000"/>
        </w:rPr>
      </w:pPr>
      <w:r w:rsidRPr="008C0982">
        <w:rPr>
          <w:rFonts w:ascii="Palatino Linotype" w:hAnsi="Palatino Linotype" w:cs="Arial"/>
          <w:i/>
          <w:color w:val="000000"/>
        </w:rPr>
        <w:lastRenderedPageBreak/>
        <w:t xml:space="preserve">Revisión fiscal 103/88. Instituto Mexicano del Seguro Social. 18 de octubre de 1988. Unanimidad de votos. Ponente: Arnoldo Nájera Virgen. Secretario: Alejandro </w:t>
      </w:r>
      <w:proofErr w:type="spellStart"/>
      <w:r w:rsidRPr="008C0982">
        <w:rPr>
          <w:rFonts w:ascii="Palatino Linotype" w:hAnsi="Palatino Linotype" w:cs="Arial"/>
          <w:i/>
          <w:color w:val="000000"/>
        </w:rPr>
        <w:t>Esponda</w:t>
      </w:r>
      <w:proofErr w:type="spellEnd"/>
      <w:r w:rsidRPr="008C0982">
        <w:rPr>
          <w:rFonts w:ascii="Palatino Linotype" w:hAnsi="Palatino Linotype" w:cs="Arial"/>
          <w:i/>
          <w:color w:val="000000"/>
        </w:rPr>
        <w:t xml:space="preserve"> Rincón.</w:t>
      </w:r>
    </w:p>
    <w:p w:rsidR="009F09BC" w:rsidRPr="008C0982" w:rsidRDefault="009F09BC" w:rsidP="009E68D3">
      <w:pPr>
        <w:spacing w:line="360" w:lineRule="auto"/>
        <w:ind w:left="567" w:right="618"/>
        <w:contextualSpacing/>
        <w:jc w:val="both"/>
        <w:rPr>
          <w:rFonts w:ascii="Palatino Linotype" w:hAnsi="Palatino Linotype" w:cs="Arial"/>
          <w:i/>
          <w:color w:val="000000"/>
        </w:rPr>
      </w:pPr>
      <w:r w:rsidRPr="008C0982">
        <w:rPr>
          <w:rFonts w:ascii="Palatino Linotype" w:hAnsi="Palatino Linotype" w:cs="Arial"/>
          <w:i/>
          <w:color w:val="000000"/>
        </w:rPr>
        <w:t xml:space="preserve">Amparo en revisión 333/88. </w:t>
      </w:r>
      <w:proofErr w:type="spellStart"/>
      <w:r w:rsidRPr="008C0982">
        <w:rPr>
          <w:rFonts w:ascii="Palatino Linotype" w:hAnsi="Palatino Linotype" w:cs="Arial"/>
          <w:i/>
          <w:color w:val="000000"/>
        </w:rPr>
        <w:t>Adilia</w:t>
      </w:r>
      <w:proofErr w:type="spellEnd"/>
      <w:r w:rsidRPr="008C0982">
        <w:rPr>
          <w:rFonts w:ascii="Palatino Linotype" w:hAnsi="Palatino Linotype" w:cs="Arial"/>
          <w:i/>
          <w:color w:val="000000"/>
        </w:rPr>
        <w:t xml:space="preserve"> Romero. 26 de octubre de 1988. Unanimidad de votos. Ponente: Arnoldo Nájera Virgen. Secretario: Enrique Crispín Campos Ramírez.</w:t>
      </w:r>
    </w:p>
    <w:p w:rsidR="009F09BC" w:rsidRPr="008C0982" w:rsidRDefault="009F09BC" w:rsidP="009E68D3">
      <w:pPr>
        <w:spacing w:line="360" w:lineRule="auto"/>
        <w:ind w:left="567" w:right="618"/>
        <w:contextualSpacing/>
        <w:jc w:val="both"/>
        <w:rPr>
          <w:rFonts w:ascii="Palatino Linotype" w:hAnsi="Palatino Linotype" w:cs="Arial"/>
          <w:i/>
          <w:color w:val="000000"/>
        </w:rPr>
      </w:pPr>
      <w:r w:rsidRPr="008C0982">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8C0982">
        <w:rPr>
          <w:rFonts w:ascii="Palatino Linotype" w:hAnsi="Palatino Linotype" w:cs="Arial"/>
          <w:i/>
          <w:color w:val="000000"/>
        </w:rPr>
        <w:t>Goyzueta</w:t>
      </w:r>
      <w:proofErr w:type="spellEnd"/>
      <w:r w:rsidRPr="008C0982">
        <w:rPr>
          <w:rFonts w:ascii="Palatino Linotype" w:hAnsi="Palatino Linotype" w:cs="Arial"/>
          <w:i/>
          <w:color w:val="000000"/>
        </w:rPr>
        <w:t>. Secretario: Gonzalo Carrera Molina.</w:t>
      </w:r>
    </w:p>
    <w:p w:rsidR="009F09BC" w:rsidRDefault="009F09BC" w:rsidP="009E68D3">
      <w:pPr>
        <w:spacing w:line="360" w:lineRule="auto"/>
        <w:ind w:left="567" w:right="618"/>
        <w:contextualSpacing/>
        <w:jc w:val="both"/>
        <w:rPr>
          <w:rFonts w:ascii="Palatino Linotype" w:hAnsi="Palatino Linotype" w:cs="Arial"/>
          <w:i/>
          <w:color w:val="000000"/>
        </w:rPr>
      </w:pPr>
      <w:r w:rsidRPr="008C0982">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8C0982">
        <w:rPr>
          <w:rFonts w:ascii="Palatino Linotype" w:hAnsi="Palatino Linotype" w:cs="Arial"/>
          <w:i/>
          <w:color w:val="000000"/>
        </w:rPr>
        <w:t>Baigts</w:t>
      </w:r>
      <w:proofErr w:type="spellEnd"/>
      <w:r w:rsidRPr="008C0982">
        <w:rPr>
          <w:rFonts w:ascii="Palatino Linotype" w:hAnsi="Palatino Linotype" w:cs="Arial"/>
          <w:i/>
          <w:color w:val="000000"/>
        </w:rPr>
        <w:t xml:space="preserve"> Muñoz.</w:t>
      </w:r>
      <w:r w:rsidR="009E68D3">
        <w:rPr>
          <w:rFonts w:ascii="Palatino Linotype" w:hAnsi="Palatino Linotype" w:cs="Arial"/>
          <w:i/>
          <w:color w:val="000000"/>
        </w:rPr>
        <w:t>”</w:t>
      </w:r>
    </w:p>
    <w:p w:rsidR="009F09BC" w:rsidRPr="008C0982" w:rsidRDefault="009F09BC" w:rsidP="009F09BC">
      <w:pPr>
        <w:spacing w:line="360" w:lineRule="auto"/>
        <w:ind w:left="851" w:right="618"/>
        <w:contextualSpacing/>
        <w:jc w:val="both"/>
        <w:rPr>
          <w:rFonts w:ascii="Palatino Linotype" w:hAnsi="Palatino Linotype" w:cs="Arial"/>
          <w:i/>
          <w:color w:val="000000"/>
        </w:rPr>
      </w:pP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Pr>
          <w:rFonts w:ascii="Palatino Linotype" w:eastAsia="MS Gothic" w:hAnsi="Palatino Linotype" w:cs="Times New Roman"/>
        </w:rPr>
        <w:t xml:space="preserve"> </w:t>
      </w:r>
      <w:r w:rsidRPr="00053FB7">
        <w:rPr>
          <w:rFonts w:ascii="Palatino Linotype" w:hAnsi="Palatino Linotype" w:cs="Arial"/>
        </w:rPr>
        <w:t>Así</w:t>
      </w:r>
      <w:r w:rsidRPr="008C0982">
        <w:rPr>
          <w:rFonts w:ascii="Palatino Linotype" w:eastAsia="MS Gothic" w:hAnsi="Palatino Linotype" w:cs="Times New Roman"/>
        </w:rPr>
        <w:t>,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Pr>
          <w:rFonts w:ascii="Palatino Linotype" w:eastAsia="MS Gothic" w:hAnsi="Palatino Linotype" w:cs="Times New Roman"/>
        </w:rPr>
        <w:t xml:space="preserve"> </w:t>
      </w:r>
      <w:r w:rsidRPr="008C0982">
        <w:rPr>
          <w:rFonts w:ascii="Palatino Linotype" w:eastAsia="MS Gothic" w:hAnsi="Palatino Linotype" w:cs="Times New Roman"/>
        </w:rPr>
        <w:t xml:space="preserve">En consecuencia, la fundamentación y motivación implica que, en el acto de autoridad, además de contenerse los supuestos jurídicos aplicables se expliquen </w:t>
      </w:r>
      <w:r w:rsidRPr="00053FB7">
        <w:rPr>
          <w:rFonts w:ascii="Palatino Linotype" w:hAnsi="Palatino Linotype" w:cs="Arial"/>
        </w:rPr>
        <w:t>claramente</w:t>
      </w:r>
      <w:r w:rsidRPr="008C0982">
        <w:rPr>
          <w:rFonts w:ascii="Palatino Linotype" w:eastAsia="MS Gothic" w:hAnsi="Palatino Linotype" w:cs="Times New Roman"/>
        </w:rPr>
        <w:t xml:space="preserve"> por qué a través de la utilización de la norma se emitió el acto. De este modo, la persona que se sienta afectada pueda impugnar la decisión, permitiéndole una real y auténtica defensa.</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AC6DB5" w:rsidRDefault="009F09BC" w:rsidP="00053FB7">
      <w:pPr>
        <w:numPr>
          <w:ilvl w:val="0"/>
          <w:numId w:val="15"/>
        </w:numPr>
        <w:spacing w:line="360" w:lineRule="auto"/>
        <w:ind w:left="0" w:firstLine="0"/>
        <w:contextualSpacing/>
        <w:jc w:val="both"/>
        <w:rPr>
          <w:rFonts w:ascii="Palatino Linotype" w:hAnsi="Palatino Linotype" w:cs="Arial"/>
        </w:rPr>
      </w:pPr>
      <w:r>
        <w:rPr>
          <w:rFonts w:ascii="Palatino Linotype" w:eastAsia="MS Gothic" w:hAnsi="Palatino Linotype" w:cs="Times New Roman"/>
        </w:rPr>
        <w:lastRenderedPageBreak/>
        <w:t xml:space="preserve"> </w:t>
      </w:r>
      <w:r w:rsidRPr="008C0982">
        <w:rPr>
          <w:rFonts w:ascii="Palatino Linotype" w:eastAsia="MS Gothic" w:hAnsi="Palatino Linotype" w:cs="Times New Roman"/>
        </w:rPr>
        <w:t xml:space="preserve">En ese mismo sentido, el numeral trigésimo tercero fracción V de los </w:t>
      </w:r>
      <w:r w:rsidRPr="00053FB7">
        <w:rPr>
          <w:rFonts w:ascii="Palatino Linotype" w:hAnsi="Palatino Linotype" w:cs="Arial"/>
        </w:rPr>
        <w:t>Lineamientos</w:t>
      </w:r>
      <w:r w:rsidRPr="008C0982">
        <w:rPr>
          <w:rFonts w:ascii="Palatino Linotype" w:eastAsia="MS Gothic" w:hAnsi="Palatino Linotype" w:cs="Times New Roman"/>
        </w:rPr>
        <w:t xml:space="preserve"> Generales, precisa que para motivar la clasificación se deben acreditar las circunstancias de tiempo, modo y lugar.</w:t>
      </w:r>
    </w:p>
    <w:p w:rsidR="00AC6DB5" w:rsidRDefault="00AC6DB5" w:rsidP="00AC6DB5">
      <w:pPr>
        <w:pStyle w:val="Prrafodelista"/>
        <w:rPr>
          <w:rFonts w:ascii="Palatino Linotype" w:hAnsi="Palatino Linotype" w:cs="Arial"/>
        </w:rPr>
      </w:pPr>
    </w:p>
    <w:p w:rsidR="009F09BC" w:rsidRPr="008C0982"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rPr>
        <w:t xml:space="preserve">Ahora bien, </w:t>
      </w:r>
      <w:r w:rsidRPr="008C0982">
        <w:rPr>
          <w:rFonts w:ascii="Palatino Linotype" w:eastAsia="MS Gothic" w:hAnsi="Palatino Linotype" w:cs="Times New Roman"/>
          <w:b/>
          <w:u w:val="single"/>
        </w:rPr>
        <w:t>para cada caso además de fundar y motivar</w:t>
      </w:r>
      <w:r w:rsidRPr="008C0982">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8C0982">
        <w:rPr>
          <w:rFonts w:ascii="Palatino Linotype" w:eastAsia="MS Gothic" w:hAnsi="Palatino Linotype" w:cs="Times New Roman"/>
          <w:vertAlign w:val="superscript"/>
        </w:rPr>
        <w:footnoteReference w:id="14"/>
      </w:r>
      <w:r w:rsidRPr="008C0982">
        <w:rPr>
          <w:rFonts w:ascii="Palatino Linotype" w:eastAsia="MS Gothic" w:hAnsi="Palatino Linotype" w:cs="Times New Roman"/>
        </w:rPr>
        <w:t xml:space="preserve"> del servidor público que no tienen ninguna injerencia en el tema de la transparencia y la rendición de cuentas, por ejemplo, </w:t>
      </w:r>
      <w:r w:rsidRPr="008C0982">
        <w:rPr>
          <w:rFonts w:ascii="Palatino Linotype" w:eastAsia="MS Gothic" w:hAnsi="Palatino Linotype" w:cs="Times New Roman"/>
          <w:lang w:val="es-ES"/>
        </w:rPr>
        <w:t>Clave Única de Registro de Población (CURP), Registro Federal de Contribuyentes (R.F.C.), son datos  susceptibles de clasificarse como confidenciales mediante una versión pública que deje a la vista los datos que ofrezcan la información requerida.</w:t>
      </w:r>
    </w:p>
    <w:p w:rsidR="009F09BC" w:rsidRPr="008C0982"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6017DD" w:rsidRDefault="009F09BC" w:rsidP="00053FB7">
      <w:pPr>
        <w:numPr>
          <w:ilvl w:val="0"/>
          <w:numId w:val="15"/>
        </w:numPr>
        <w:spacing w:line="360" w:lineRule="auto"/>
        <w:ind w:left="0" w:firstLine="0"/>
        <w:contextualSpacing/>
        <w:jc w:val="both"/>
        <w:rPr>
          <w:rFonts w:ascii="Palatino Linotype" w:hAnsi="Palatino Linotype" w:cs="Arial"/>
        </w:rPr>
      </w:pPr>
      <w:r w:rsidRPr="008C0982">
        <w:rPr>
          <w:rFonts w:ascii="Palatino Linotype" w:eastAsia="MS Gothic" w:hAnsi="Palatino Linotype" w:cs="Times New Roman"/>
        </w:rPr>
        <w:t xml:space="preserve">Otro </w:t>
      </w:r>
      <w:r w:rsidRPr="008C0982">
        <w:rPr>
          <w:rFonts w:ascii="Palatino Linotype" w:eastAsia="MS Gothic" w:hAnsi="Palatino Linotype" w:cs="Times New Roman"/>
          <w:lang w:val="es-ES"/>
        </w:rPr>
        <w:t xml:space="preserve">tipo de información confidencial constituyen los secretos bancario, fiduciario, </w:t>
      </w:r>
      <w:r w:rsidRPr="00053FB7">
        <w:rPr>
          <w:rFonts w:ascii="Palatino Linotype" w:eastAsia="MS Gothic" w:hAnsi="Palatino Linotype" w:cs="Times New Roman"/>
        </w:rPr>
        <w:t>industrial</w:t>
      </w:r>
      <w:r w:rsidRPr="008C0982">
        <w:rPr>
          <w:rFonts w:ascii="Palatino Linotype" w:eastAsia="MS Gothic" w:hAnsi="Palatino Linotype" w:cs="Times New Roman"/>
          <w:lang w:val="es-ES"/>
        </w:rPr>
        <w:t xml:space="preserve">, comercial, fiscal, bursátil y postal, </w:t>
      </w:r>
      <w:r w:rsidRPr="002C3821">
        <w:rPr>
          <w:rFonts w:ascii="Palatino Linotype" w:eastAsia="MS Gothic" w:hAnsi="Palatino Linotype" w:cs="Times New Roman"/>
          <w:b/>
          <w:lang w:val="es-ES"/>
        </w:rPr>
        <w:t>cuya titularidad corresponda a particulares</w:t>
      </w:r>
      <w:r w:rsidRPr="008C0982">
        <w:rPr>
          <w:rFonts w:ascii="Palatino Linotype" w:eastAsia="MS Gothic" w:hAnsi="Palatino Linotype" w:cs="Times New Roman"/>
          <w:lang w:val="es-ES"/>
        </w:rPr>
        <w:t>, sujetos de derecho internacional o a sujetos obligados cuando no involucren el ejercicio de recursos públicos, así lo define la fracción XXI del artículo 3 de la Ley Estatal.</w:t>
      </w:r>
    </w:p>
    <w:p w:rsidR="009F09BC" w:rsidRDefault="009F09BC" w:rsidP="009F09BC">
      <w:pPr>
        <w:pStyle w:val="Prrafodelista"/>
        <w:rPr>
          <w:rFonts w:ascii="Palatino Linotype" w:hAnsi="Palatino Linotype" w:cs="Arial"/>
        </w:rPr>
      </w:pPr>
    </w:p>
    <w:p w:rsidR="009F09BC" w:rsidRDefault="009F09BC" w:rsidP="009F09BC">
      <w:pPr>
        <w:pStyle w:val="Ttulo2"/>
        <w:numPr>
          <w:ilvl w:val="0"/>
          <w:numId w:val="25"/>
        </w:numPr>
        <w:spacing w:line="259" w:lineRule="auto"/>
        <w:rPr>
          <w:rFonts w:ascii="Palatino Linotype" w:hAnsi="Palatino Linotype"/>
          <w:b/>
          <w:color w:val="000000" w:themeColor="text1"/>
          <w:sz w:val="24"/>
        </w:rPr>
      </w:pPr>
      <w:bookmarkStart w:id="205" w:name="_Toc70082953"/>
      <w:bookmarkStart w:id="206" w:name="_Toc70593361"/>
      <w:bookmarkStart w:id="207" w:name="_Toc71674125"/>
      <w:bookmarkStart w:id="208" w:name="_Toc83128594"/>
      <w:r w:rsidRPr="00733123">
        <w:rPr>
          <w:rFonts w:ascii="Palatino Linotype" w:hAnsi="Palatino Linotype"/>
          <w:b/>
          <w:color w:val="000000" w:themeColor="text1"/>
          <w:sz w:val="24"/>
        </w:rPr>
        <w:t>Determinación</w:t>
      </w:r>
      <w:bookmarkEnd w:id="205"/>
      <w:bookmarkEnd w:id="206"/>
      <w:bookmarkEnd w:id="207"/>
      <w:bookmarkEnd w:id="208"/>
    </w:p>
    <w:p w:rsidR="009F09BC" w:rsidRPr="00733123" w:rsidRDefault="009F09BC" w:rsidP="009F09BC">
      <w:pPr>
        <w:rPr>
          <w:lang w:val="es-MX" w:eastAsia="en-US"/>
        </w:rPr>
      </w:pPr>
    </w:p>
    <w:p w:rsidR="009F09BC" w:rsidRDefault="009F09BC" w:rsidP="00053FB7">
      <w:pPr>
        <w:numPr>
          <w:ilvl w:val="0"/>
          <w:numId w:val="15"/>
        </w:numPr>
        <w:spacing w:line="360" w:lineRule="auto"/>
        <w:ind w:left="0" w:firstLine="0"/>
        <w:contextualSpacing/>
        <w:jc w:val="both"/>
        <w:rPr>
          <w:rFonts w:ascii="Palatino Linotype" w:hAnsi="Palatino Linotype"/>
          <w:color w:val="000000" w:themeColor="text1"/>
        </w:rPr>
      </w:pPr>
      <w:r w:rsidRPr="000D3320">
        <w:rPr>
          <w:rFonts w:ascii="Palatino Linotype" w:hAnsi="Palatino Linotype"/>
        </w:rPr>
        <w:lastRenderedPageBreak/>
        <w:t>Por lo anteriormente expuesto, este Órgano Garante considera</w:t>
      </w:r>
      <w:r>
        <w:rPr>
          <w:rFonts w:ascii="Palatino Linotype" w:hAnsi="Palatino Linotype"/>
        </w:rPr>
        <w:t xml:space="preserve"> </w:t>
      </w:r>
      <w:r w:rsidRPr="000D3320">
        <w:rPr>
          <w:rFonts w:ascii="Palatino Linotype" w:hAnsi="Palatino Linotype"/>
        </w:rPr>
        <w:t xml:space="preserve">fundadas </w:t>
      </w:r>
      <w:r w:rsidRPr="00053FB7">
        <w:rPr>
          <w:rFonts w:ascii="Palatino Linotype" w:eastAsia="MS Gothic" w:hAnsi="Palatino Linotype" w:cs="Times New Roman"/>
        </w:rPr>
        <w:t>las</w:t>
      </w:r>
      <w:r w:rsidRPr="000D3320">
        <w:rPr>
          <w:rFonts w:ascii="Palatino Linotype" w:hAnsi="Palatino Linotype"/>
        </w:rPr>
        <w:t xml:space="preserve"> razones o motivo</w:t>
      </w:r>
      <w:r>
        <w:rPr>
          <w:rFonts w:ascii="Palatino Linotype" w:hAnsi="Palatino Linotype"/>
        </w:rPr>
        <w:t xml:space="preserve">s de inconformidad que plantea </w:t>
      </w:r>
      <w:r w:rsidR="009A2251">
        <w:rPr>
          <w:rFonts w:ascii="Palatino Linotype" w:hAnsi="Palatino Linotype"/>
        </w:rPr>
        <w:t>e</w:t>
      </w:r>
      <w:r w:rsidRPr="000D3320">
        <w:rPr>
          <w:rFonts w:ascii="Palatino Linotype" w:hAnsi="Palatino Linotype"/>
        </w:rPr>
        <w:t>l</w:t>
      </w:r>
      <w:r w:rsidRPr="000D3320">
        <w:rPr>
          <w:rFonts w:ascii="Palatino Linotype" w:hAnsi="Palatino Linotype"/>
          <w:b/>
        </w:rPr>
        <w:t xml:space="preserve"> RECURRENTE</w:t>
      </w:r>
      <w:r w:rsidRPr="000D3320">
        <w:rPr>
          <w:rFonts w:ascii="Palatino Linotype" w:hAnsi="Palatino Linotype"/>
        </w:rPr>
        <w:t xml:space="preserve">, </w:t>
      </w:r>
      <w:r>
        <w:rPr>
          <w:rFonts w:ascii="Palatino Linotype" w:hAnsi="Palatino Linotype"/>
        </w:rPr>
        <w:t>determinando</w:t>
      </w:r>
      <w:r w:rsidRPr="000D3320">
        <w:rPr>
          <w:rFonts w:ascii="Palatino Linotype" w:hAnsi="Palatino Linotype"/>
        </w:rPr>
        <w:t xml:space="preserve"> </w:t>
      </w:r>
      <w:r>
        <w:rPr>
          <w:rFonts w:ascii="Palatino Linotype" w:hAnsi="Palatino Linotype"/>
          <w:b/>
        </w:rPr>
        <w:t>REVOCAR</w:t>
      </w:r>
      <w:r w:rsidRPr="000D3320">
        <w:rPr>
          <w:rFonts w:ascii="Palatino Linotype" w:hAnsi="Palatino Linotype"/>
        </w:rPr>
        <w:t xml:space="preserve"> la respuesta del </w:t>
      </w:r>
      <w:r w:rsidRPr="000D3320">
        <w:rPr>
          <w:rFonts w:ascii="Palatino Linotype" w:hAnsi="Palatino Linotype"/>
          <w:b/>
        </w:rPr>
        <w:t>SUJETO OBLIGADO</w:t>
      </w:r>
      <w:r w:rsidRPr="000D3320">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0D3320">
        <w:rPr>
          <w:rFonts w:ascii="Palatino Linotype" w:hAnsi="Palatino Linotype"/>
          <w:color w:val="000000" w:themeColor="text1"/>
          <w:lang w:val="es-ES" w:eastAsia="es-MX"/>
        </w:rPr>
        <w:t xml:space="preserve">este </w:t>
      </w:r>
      <w:r w:rsidRPr="000D3320">
        <w:rPr>
          <w:rFonts w:ascii="Palatino Linotype" w:hAnsi="Palatino Linotype"/>
          <w:b/>
          <w:bCs/>
          <w:color w:val="000000" w:themeColor="text1"/>
          <w:lang w:val="es-ES" w:eastAsia="es-MX"/>
        </w:rPr>
        <w:t>ÓRGANO GARANTE</w:t>
      </w:r>
      <w:r w:rsidRPr="000D3320">
        <w:rPr>
          <w:rFonts w:ascii="Palatino Linotype" w:hAnsi="Palatino Linotype"/>
          <w:color w:val="000000" w:themeColor="text1"/>
          <w:lang w:val="es-ES" w:eastAsia="es-MX"/>
        </w:rPr>
        <w:t xml:space="preserve"> emite los siguientes</w:t>
      </w:r>
      <w:r w:rsidRPr="00FB1E46">
        <w:rPr>
          <w:rFonts w:ascii="Palatino Linotype" w:hAnsi="Palatino Linotype"/>
          <w:color w:val="000000" w:themeColor="text1"/>
        </w:rPr>
        <w:t>.</w:t>
      </w:r>
    </w:p>
    <w:p w:rsidR="00D20A5F" w:rsidRDefault="00D20A5F" w:rsidP="00CE7B83">
      <w:pPr>
        <w:pStyle w:val="Ttulo1"/>
        <w:spacing w:before="0" w:line="360" w:lineRule="auto"/>
        <w:jc w:val="center"/>
        <w:rPr>
          <w:rFonts w:ascii="Palatino Linotype" w:eastAsia="Calibri" w:hAnsi="Palatino Linotype"/>
          <w:b/>
          <w:color w:val="000000" w:themeColor="text1"/>
          <w:sz w:val="24"/>
          <w:szCs w:val="24"/>
          <w:lang w:val="es-ES"/>
        </w:rPr>
      </w:pPr>
      <w:bookmarkStart w:id="209" w:name="_Toc504500693"/>
      <w:bookmarkStart w:id="210" w:name="_Toc534742545"/>
      <w:bookmarkStart w:id="211" w:name="_Toc2248738"/>
      <w:bookmarkStart w:id="212" w:name="_Toc34819440"/>
      <w:bookmarkStart w:id="213" w:name="_Toc51259595"/>
      <w:bookmarkStart w:id="214" w:name="_Toc83128595"/>
    </w:p>
    <w:p w:rsidR="009F09BC" w:rsidRDefault="009F09BC" w:rsidP="00CE7B83">
      <w:pPr>
        <w:pStyle w:val="Ttulo1"/>
        <w:spacing w:before="0" w:line="360" w:lineRule="auto"/>
        <w:jc w:val="center"/>
        <w:rPr>
          <w:rFonts w:ascii="Palatino Linotype" w:eastAsia="Calibri" w:hAnsi="Palatino Linotype"/>
          <w:b/>
          <w:color w:val="000000" w:themeColor="text1"/>
          <w:sz w:val="24"/>
          <w:szCs w:val="24"/>
          <w:lang w:val="es-ES"/>
        </w:rPr>
      </w:pPr>
      <w:r w:rsidRPr="009F09BC">
        <w:rPr>
          <w:rFonts w:ascii="Palatino Linotype" w:eastAsia="Calibri" w:hAnsi="Palatino Linotype"/>
          <w:b/>
          <w:color w:val="000000" w:themeColor="text1"/>
          <w:sz w:val="24"/>
          <w:szCs w:val="24"/>
          <w:lang w:val="es-ES"/>
        </w:rPr>
        <w:t>R E S O L U T I V O S</w:t>
      </w:r>
      <w:bookmarkEnd w:id="209"/>
      <w:bookmarkEnd w:id="210"/>
      <w:bookmarkEnd w:id="211"/>
      <w:bookmarkEnd w:id="212"/>
      <w:bookmarkEnd w:id="213"/>
      <w:bookmarkEnd w:id="214"/>
    </w:p>
    <w:p w:rsidR="00CE7B83" w:rsidRPr="00CE7B83" w:rsidRDefault="00CE7B83" w:rsidP="00CE7B83">
      <w:pPr>
        <w:rPr>
          <w:lang w:val="es-ES"/>
        </w:rPr>
      </w:pPr>
    </w:p>
    <w:p w:rsidR="009F09BC" w:rsidRDefault="009F09BC" w:rsidP="00CE7B83">
      <w:pPr>
        <w:spacing w:line="360" w:lineRule="auto"/>
        <w:jc w:val="both"/>
        <w:rPr>
          <w:rFonts w:ascii="Palatino Linotype" w:eastAsia="Times New Roman" w:hAnsi="Palatino Linotype" w:cs="Arial"/>
          <w:lang w:val="es-ES"/>
        </w:rPr>
      </w:pPr>
      <w:r w:rsidRPr="003171A7">
        <w:rPr>
          <w:rFonts w:ascii="Palatino Linotype" w:eastAsia="Times New Roman" w:hAnsi="Palatino Linotype" w:cs="Arial"/>
          <w:b/>
        </w:rPr>
        <w:t>PRIMERO</w:t>
      </w:r>
      <w:r w:rsidRPr="003171A7">
        <w:rPr>
          <w:rFonts w:ascii="Palatino Linotype" w:eastAsia="Times New Roman" w:hAnsi="Palatino Linotype" w:cs="Arial"/>
          <w:lang w:val="es-ES"/>
        </w:rPr>
        <w:t xml:space="preserve">. Resultan fundadas las razones </w:t>
      </w:r>
      <w:r>
        <w:rPr>
          <w:rFonts w:ascii="Palatino Linotype" w:eastAsia="Times New Roman" w:hAnsi="Palatino Linotype" w:cs="Arial"/>
          <w:lang w:val="es-ES"/>
        </w:rPr>
        <w:t>o</w:t>
      </w:r>
      <w:r w:rsidRPr="003171A7">
        <w:rPr>
          <w:rFonts w:ascii="Palatino Linotype" w:eastAsia="Times New Roman" w:hAnsi="Palatino Linotype" w:cs="Arial"/>
          <w:lang w:val="es-ES"/>
        </w:rPr>
        <w:t xml:space="preserve"> motivos de inconformidad hechos valer en</w:t>
      </w:r>
      <w:r w:rsidR="009A2251">
        <w:rPr>
          <w:rFonts w:ascii="Palatino Linotype" w:eastAsia="Times New Roman" w:hAnsi="Palatino Linotype" w:cs="Arial"/>
          <w:lang w:val="es-ES"/>
        </w:rPr>
        <w:t xml:space="preserve"> el</w:t>
      </w:r>
      <w:r>
        <w:rPr>
          <w:rFonts w:ascii="Palatino Linotype" w:eastAsia="Times New Roman" w:hAnsi="Palatino Linotype" w:cs="Arial"/>
          <w:lang w:val="es-ES"/>
        </w:rPr>
        <w:t xml:space="preserve"> R</w:t>
      </w:r>
      <w:r w:rsidRPr="003171A7">
        <w:rPr>
          <w:rFonts w:ascii="Palatino Linotype" w:eastAsia="Times New Roman" w:hAnsi="Palatino Linotype" w:cs="Arial"/>
          <w:lang w:val="es-ES"/>
        </w:rPr>
        <w:t>ecurso</w:t>
      </w:r>
      <w:r>
        <w:rPr>
          <w:rFonts w:ascii="Palatino Linotype" w:eastAsia="Times New Roman" w:hAnsi="Palatino Linotype" w:cs="Arial"/>
          <w:lang w:val="es-ES"/>
        </w:rPr>
        <w:t xml:space="preserve"> de R</w:t>
      </w:r>
      <w:r w:rsidRPr="003171A7">
        <w:rPr>
          <w:rFonts w:ascii="Palatino Linotype" w:eastAsia="Times New Roman" w:hAnsi="Palatino Linotype" w:cs="Arial"/>
          <w:lang w:val="es-ES"/>
        </w:rPr>
        <w:t xml:space="preserve">evisión </w:t>
      </w:r>
      <w:r w:rsidR="006D36F8">
        <w:rPr>
          <w:rFonts w:ascii="Palatino Linotype" w:hAnsi="Palatino Linotype"/>
          <w:b/>
        </w:rPr>
        <w:t>06783</w:t>
      </w:r>
      <w:r w:rsidR="00652937">
        <w:rPr>
          <w:rFonts w:ascii="Palatino Linotype" w:hAnsi="Palatino Linotype"/>
          <w:b/>
        </w:rPr>
        <w:t>/INFOEM/IP/RR/2022</w:t>
      </w:r>
      <w:r>
        <w:rPr>
          <w:rFonts w:ascii="Palatino Linotype" w:hAnsi="Palatino Linotype"/>
        </w:rPr>
        <w:t>,</w:t>
      </w:r>
      <w:r>
        <w:rPr>
          <w:rFonts w:ascii="Palatino Linotype" w:eastAsia="Times New Roman" w:hAnsi="Palatino Linotype" w:cs="Arial"/>
          <w:b/>
          <w:lang w:val="es-ES"/>
        </w:rPr>
        <w:t xml:space="preserve"> </w:t>
      </w:r>
      <w:r>
        <w:rPr>
          <w:rFonts w:ascii="Palatino Linotype" w:eastAsia="Times New Roman" w:hAnsi="Palatino Linotype" w:cs="Arial"/>
          <w:lang w:val="es-ES"/>
        </w:rPr>
        <w:t>en términos de los C</w:t>
      </w:r>
      <w:r w:rsidRPr="003171A7">
        <w:rPr>
          <w:rFonts w:ascii="Palatino Linotype" w:eastAsia="Times New Roman" w:hAnsi="Palatino Linotype" w:cs="Arial"/>
          <w:lang w:val="es-ES"/>
        </w:rPr>
        <w:t xml:space="preserve">onsiderandos </w:t>
      </w:r>
      <w:r w:rsidRPr="003171A7">
        <w:rPr>
          <w:rFonts w:ascii="Palatino Linotype" w:eastAsia="Times New Roman" w:hAnsi="Palatino Linotype" w:cs="Arial"/>
          <w:b/>
          <w:lang w:val="es-ES"/>
        </w:rPr>
        <w:t xml:space="preserve">CUARTO </w:t>
      </w:r>
      <w:r w:rsidRPr="003D4B5F">
        <w:rPr>
          <w:rFonts w:ascii="Palatino Linotype" w:eastAsia="Times New Roman" w:hAnsi="Palatino Linotype" w:cs="Arial"/>
          <w:lang w:val="es-ES"/>
        </w:rPr>
        <w:t>y</w:t>
      </w:r>
      <w:r w:rsidRPr="003171A7">
        <w:rPr>
          <w:rFonts w:ascii="Palatino Linotype" w:eastAsia="Times New Roman" w:hAnsi="Palatino Linotype" w:cs="Arial"/>
          <w:b/>
          <w:lang w:val="es-ES"/>
        </w:rPr>
        <w:t xml:space="preserve"> QUINTO </w:t>
      </w:r>
      <w:r w:rsidRPr="003171A7">
        <w:rPr>
          <w:rFonts w:ascii="Palatino Linotype" w:eastAsia="Times New Roman" w:hAnsi="Palatino Linotype" w:cs="Arial"/>
          <w:lang w:val="es-ES"/>
        </w:rPr>
        <w:t xml:space="preserve">de la presente resolución. </w:t>
      </w:r>
    </w:p>
    <w:p w:rsidR="00CE7B83" w:rsidRPr="003171A7" w:rsidRDefault="00CE7B83" w:rsidP="00CE7B83">
      <w:pPr>
        <w:spacing w:line="360" w:lineRule="auto"/>
        <w:jc w:val="both"/>
        <w:rPr>
          <w:rFonts w:ascii="Palatino Linotype" w:eastAsia="Times New Roman" w:hAnsi="Palatino Linotype" w:cs="Arial"/>
          <w:lang w:val="es-ES"/>
        </w:rPr>
      </w:pPr>
    </w:p>
    <w:p w:rsidR="009F09BC" w:rsidRDefault="009F09BC" w:rsidP="00CE7B83">
      <w:pPr>
        <w:spacing w:line="360" w:lineRule="auto"/>
        <w:jc w:val="both"/>
        <w:rPr>
          <w:rFonts w:ascii="Palatino Linotype" w:eastAsia="MS Mincho" w:hAnsi="Palatino Linotype" w:cs="Times New Roman"/>
          <w:color w:val="000000" w:themeColor="text1"/>
        </w:rPr>
      </w:pPr>
      <w:bookmarkStart w:id="215" w:name="_Toc503891607"/>
      <w:bookmarkStart w:id="216" w:name="_Toc511647757"/>
      <w:bookmarkStart w:id="217" w:name="_Toc511647818"/>
      <w:bookmarkStart w:id="218" w:name="_Toc477891768"/>
      <w:bookmarkStart w:id="219" w:name="_Toc477891858"/>
      <w:bookmarkStart w:id="220" w:name="_Toc481576259"/>
      <w:bookmarkStart w:id="221" w:name="_Toc492590391"/>
      <w:bookmarkStart w:id="222" w:name="_Toc462653937"/>
      <w:bookmarkStart w:id="223" w:name="_Toc453696502"/>
      <w:bookmarkStart w:id="224" w:name="_Toc454301155"/>
      <w:r w:rsidRPr="003171A7">
        <w:rPr>
          <w:rFonts w:ascii="Palatino Linotype" w:eastAsia="Times New Roman" w:hAnsi="Palatino Linotype" w:cs="Times New Roman"/>
          <w:b/>
        </w:rPr>
        <w:t>SEGUNDO.</w:t>
      </w:r>
      <w:bookmarkEnd w:id="215"/>
      <w:bookmarkEnd w:id="216"/>
      <w:bookmarkEnd w:id="217"/>
      <w:r w:rsidRPr="003171A7">
        <w:rPr>
          <w:rFonts w:ascii="Palatino Linotype" w:eastAsia="Times New Roman" w:hAnsi="Palatino Linotype" w:cs="Times New Roman"/>
          <w:b/>
        </w:rPr>
        <w:t xml:space="preserve"> </w:t>
      </w:r>
      <w:bookmarkEnd w:id="218"/>
      <w:bookmarkEnd w:id="219"/>
      <w:bookmarkEnd w:id="220"/>
      <w:bookmarkEnd w:id="221"/>
      <w:bookmarkEnd w:id="222"/>
      <w:bookmarkEnd w:id="223"/>
      <w:bookmarkEnd w:id="224"/>
      <w:r w:rsidRPr="00E83E79">
        <w:rPr>
          <w:rFonts w:ascii="Palatino Linotype" w:eastAsia="MS Mincho" w:hAnsi="Palatino Linotype" w:cs="Times New Roman"/>
          <w:color w:val="000000" w:themeColor="text1"/>
        </w:rPr>
        <w:t xml:space="preserve">Se </w:t>
      </w:r>
      <w:r>
        <w:rPr>
          <w:rFonts w:ascii="Palatino Linotype" w:eastAsia="MS Mincho" w:hAnsi="Palatino Linotype" w:cs="Times New Roman"/>
          <w:b/>
          <w:color w:val="000000" w:themeColor="text1"/>
        </w:rPr>
        <w:t>REVOCA</w:t>
      </w:r>
      <w:r w:rsidRPr="00D90769">
        <w:rPr>
          <w:rFonts w:ascii="Palatino Linotype" w:eastAsia="MS Mincho" w:hAnsi="Palatino Linotype" w:cs="Times New Roman"/>
          <w:b/>
          <w:color w:val="000000" w:themeColor="text1"/>
        </w:rPr>
        <w:t xml:space="preserve"> </w:t>
      </w:r>
      <w:r w:rsidRPr="00D90769">
        <w:rPr>
          <w:rFonts w:ascii="Palatino Linotype" w:eastAsia="MS Mincho" w:hAnsi="Palatino Linotype" w:cs="Times New Roman"/>
          <w:color w:val="000000" w:themeColor="text1"/>
        </w:rPr>
        <w:t xml:space="preserve">la respuesta emitida por </w:t>
      </w:r>
      <w:r w:rsidR="002453DA">
        <w:rPr>
          <w:rFonts w:ascii="Palatino Linotype" w:eastAsia="MS Mincho" w:hAnsi="Palatino Linotype" w:cs="Times New Roman"/>
          <w:color w:val="000000" w:themeColor="text1"/>
        </w:rPr>
        <w:t xml:space="preserve">el </w:t>
      </w:r>
      <w:r w:rsidR="00D20A5F">
        <w:rPr>
          <w:rFonts w:ascii="Palatino Linotype" w:eastAsia="MS Mincho" w:hAnsi="Palatino Linotype" w:cs="Times New Roman"/>
          <w:b/>
          <w:color w:val="000000" w:themeColor="text1"/>
        </w:rPr>
        <w:t>SUJETO OBLIGADO</w:t>
      </w:r>
      <w:r w:rsidRPr="00D90769">
        <w:rPr>
          <w:rFonts w:ascii="Palatino Linotype" w:eastAsia="MS Mincho" w:hAnsi="Palatino Linotype" w:cs="Times New Roman"/>
          <w:b/>
          <w:color w:val="000000" w:themeColor="text1"/>
        </w:rPr>
        <w:t xml:space="preserve"> </w:t>
      </w:r>
      <w:r w:rsidRPr="00D90769">
        <w:rPr>
          <w:rFonts w:ascii="Palatino Linotype" w:eastAsia="MS Mincho" w:hAnsi="Palatino Linotype" w:cs="Times New Roman"/>
          <w:color w:val="000000" w:themeColor="text1"/>
        </w:rPr>
        <w:t xml:space="preserve">y se </w:t>
      </w:r>
      <w:r w:rsidRPr="00D90769">
        <w:rPr>
          <w:rFonts w:ascii="Palatino Linotype" w:eastAsia="MS Mincho" w:hAnsi="Palatino Linotype" w:cs="Times New Roman"/>
          <w:b/>
          <w:color w:val="000000" w:themeColor="text1"/>
        </w:rPr>
        <w:t>ORDENA</w:t>
      </w:r>
      <w:r w:rsidRPr="00D90769">
        <w:rPr>
          <w:rFonts w:ascii="Palatino Linotype" w:eastAsia="MS Mincho" w:hAnsi="Palatino Linotype" w:cs="Times New Roman"/>
          <w:color w:val="000000" w:themeColor="text1"/>
        </w:rPr>
        <w:t xml:space="preserve"> entregar </w:t>
      </w:r>
      <w:r w:rsidRPr="00E83E79">
        <w:rPr>
          <w:rFonts w:ascii="Palatino Linotype" w:eastAsia="MS Mincho" w:hAnsi="Palatino Linotype" w:cs="Times New Roman"/>
          <w:color w:val="000000" w:themeColor="text1"/>
        </w:rPr>
        <w:t xml:space="preserve">vía Sistema de Acceso a la Información Mexiquense </w:t>
      </w:r>
      <w:r>
        <w:rPr>
          <w:rFonts w:ascii="Palatino Linotype" w:eastAsia="MS Mincho" w:hAnsi="Palatino Linotype" w:cs="Times New Roman"/>
          <w:b/>
          <w:color w:val="000000" w:themeColor="text1"/>
        </w:rPr>
        <w:t>(SAIMEX)</w:t>
      </w:r>
      <w:r w:rsidRPr="00E83E79">
        <w:rPr>
          <w:rFonts w:ascii="Palatino Linotype" w:eastAsia="MS Mincho" w:hAnsi="Palatino Linotype" w:cs="Times New Roman"/>
          <w:color w:val="000000" w:themeColor="text1"/>
        </w:rPr>
        <w:t xml:space="preserve">, </w:t>
      </w:r>
      <w:r w:rsidRPr="00CE7B83">
        <w:rPr>
          <w:rFonts w:ascii="Palatino Linotype" w:eastAsia="MS Mincho" w:hAnsi="Palatino Linotype" w:cs="Times New Roman"/>
          <w:color w:val="000000" w:themeColor="text1"/>
        </w:rPr>
        <w:t xml:space="preserve">en versión pública, </w:t>
      </w:r>
      <w:r w:rsidR="0074110E" w:rsidRPr="00CE7B83">
        <w:rPr>
          <w:rFonts w:ascii="Palatino Linotype" w:eastAsia="MS Mincho" w:hAnsi="Palatino Linotype" w:cs="Times New Roman"/>
          <w:color w:val="000000" w:themeColor="text1"/>
        </w:rPr>
        <w:t>la</w:t>
      </w:r>
      <w:r w:rsidR="0074110E">
        <w:rPr>
          <w:rFonts w:ascii="Palatino Linotype" w:eastAsia="MS Mincho" w:hAnsi="Palatino Linotype" w:cs="Times New Roman"/>
          <w:color w:val="000000" w:themeColor="text1"/>
        </w:rPr>
        <w:t xml:space="preserve"> siguiente información</w:t>
      </w:r>
      <w:r w:rsidR="001E755B">
        <w:rPr>
          <w:rFonts w:ascii="Palatino Linotype" w:eastAsia="MS Mincho" w:hAnsi="Palatino Linotype" w:cs="Times New Roman"/>
          <w:color w:val="000000" w:themeColor="text1"/>
        </w:rPr>
        <w:t xml:space="preserve"> </w:t>
      </w:r>
      <w:r w:rsidR="00D20A5F">
        <w:rPr>
          <w:rFonts w:ascii="Palatino Linotype" w:eastAsia="MS Mincho" w:hAnsi="Palatino Linotype" w:cs="Times New Roman"/>
          <w:color w:val="000000" w:themeColor="text1"/>
        </w:rPr>
        <w:t>de</w:t>
      </w:r>
      <w:r w:rsidR="00261B09">
        <w:rPr>
          <w:rFonts w:ascii="Palatino Linotype" w:eastAsia="MS Mincho" w:hAnsi="Palatino Linotype" w:cs="Times New Roman"/>
          <w:color w:val="000000" w:themeColor="text1"/>
        </w:rPr>
        <w:t>l</w:t>
      </w:r>
      <w:r w:rsidR="00D20A5F">
        <w:rPr>
          <w:rFonts w:ascii="Palatino Linotype" w:eastAsia="MS Mincho" w:hAnsi="Palatino Linotype" w:cs="Times New Roman"/>
          <w:color w:val="000000" w:themeColor="text1"/>
        </w:rPr>
        <w:t xml:space="preserve"> personal </w:t>
      </w:r>
      <w:r w:rsidR="00261B09">
        <w:rPr>
          <w:rFonts w:ascii="Palatino Linotype" w:eastAsia="MS Mincho" w:hAnsi="Palatino Linotype" w:cs="Times New Roman"/>
          <w:color w:val="000000" w:themeColor="text1"/>
        </w:rPr>
        <w:t xml:space="preserve">sindicalizado y de confianza </w:t>
      </w:r>
      <w:r w:rsidR="00D20A5F">
        <w:rPr>
          <w:rFonts w:ascii="Palatino Linotype" w:eastAsia="MS Mincho" w:hAnsi="Palatino Linotype" w:cs="Times New Roman"/>
          <w:color w:val="000000" w:themeColor="text1"/>
        </w:rPr>
        <w:t>adscrito al Ayuntamiento de Amecameca</w:t>
      </w:r>
      <w:r w:rsidR="00CE7B83">
        <w:rPr>
          <w:rFonts w:ascii="Palatino Linotype" w:eastAsia="MS Mincho" w:hAnsi="Palatino Linotype" w:cs="Times New Roman"/>
          <w:color w:val="000000" w:themeColor="text1"/>
        </w:rPr>
        <w:t>:</w:t>
      </w:r>
    </w:p>
    <w:p w:rsidR="00CE7B83" w:rsidRDefault="00CE7B83" w:rsidP="00CE7B83">
      <w:pPr>
        <w:spacing w:line="360" w:lineRule="auto"/>
        <w:jc w:val="both"/>
        <w:rPr>
          <w:rFonts w:ascii="Palatino Linotype" w:eastAsia="MS Mincho" w:hAnsi="Palatino Linotype" w:cs="Times New Roman"/>
          <w:color w:val="000000" w:themeColor="text1"/>
        </w:rPr>
      </w:pPr>
    </w:p>
    <w:p w:rsidR="009A2251" w:rsidRDefault="00D20A5F" w:rsidP="00D20A5F">
      <w:pPr>
        <w:pStyle w:val="Prrafodelista"/>
        <w:numPr>
          <w:ilvl w:val="0"/>
          <w:numId w:val="35"/>
        </w:numPr>
        <w:spacing w:line="360" w:lineRule="auto"/>
        <w:ind w:left="851"/>
        <w:jc w:val="both"/>
        <w:rPr>
          <w:rFonts w:ascii="Palatino Linotype" w:hAnsi="Palatino Linotype" w:cs="Arial"/>
          <w:b/>
        </w:rPr>
      </w:pPr>
      <w:bookmarkStart w:id="225" w:name="_Toc503891610"/>
      <w:bookmarkStart w:id="226" w:name="_Toc453696503"/>
      <w:bookmarkStart w:id="227" w:name="_Toc454301156"/>
      <w:bookmarkStart w:id="228" w:name="_Toc462653938"/>
      <w:bookmarkStart w:id="229" w:name="_Toc477891769"/>
      <w:bookmarkStart w:id="230" w:name="_Toc477891859"/>
      <w:bookmarkStart w:id="231" w:name="_Toc481576260"/>
      <w:bookmarkStart w:id="232" w:name="_Toc492590392"/>
      <w:r>
        <w:rPr>
          <w:rFonts w:ascii="Palatino Linotype" w:hAnsi="Palatino Linotype" w:cs="Arial"/>
          <w:b/>
        </w:rPr>
        <w:t>N</w:t>
      </w:r>
      <w:r w:rsidRPr="00D20A5F">
        <w:rPr>
          <w:rFonts w:ascii="Palatino Linotype" w:hAnsi="Palatino Linotype" w:cs="Arial"/>
          <w:b/>
        </w:rPr>
        <w:t>ómina de la primera y segunda quincena de los meses de diciembre de 2021 y enero de 20</w:t>
      </w:r>
      <w:r>
        <w:rPr>
          <w:rFonts w:ascii="Palatino Linotype" w:hAnsi="Palatino Linotype" w:cs="Arial"/>
          <w:b/>
        </w:rPr>
        <w:t>2</w:t>
      </w:r>
      <w:r w:rsidRPr="00D20A5F">
        <w:rPr>
          <w:rFonts w:ascii="Palatino Linotype" w:hAnsi="Palatino Linotype" w:cs="Arial"/>
          <w:b/>
        </w:rPr>
        <w:t>2</w:t>
      </w:r>
      <w:r w:rsidR="009E68D3">
        <w:rPr>
          <w:rFonts w:ascii="Palatino Linotype" w:hAnsi="Palatino Linotype" w:cs="Arial"/>
          <w:b/>
        </w:rPr>
        <w:t>.</w:t>
      </w:r>
    </w:p>
    <w:p w:rsidR="00CE7B83" w:rsidRPr="00CE7B83" w:rsidRDefault="00CE7B83" w:rsidP="00CE7B83">
      <w:pPr>
        <w:spacing w:line="360" w:lineRule="auto"/>
        <w:jc w:val="both"/>
        <w:rPr>
          <w:rFonts w:ascii="Palatino Linotype" w:hAnsi="Palatino Linotype" w:cs="Arial"/>
          <w:b/>
        </w:rPr>
      </w:pPr>
    </w:p>
    <w:p w:rsidR="009F09BC" w:rsidRDefault="009F09BC" w:rsidP="00CE7B83">
      <w:pPr>
        <w:spacing w:line="360" w:lineRule="auto"/>
        <w:jc w:val="both"/>
        <w:rPr>
          <w:rFonts w:ascii="Palatino Linotype" w:eastAsia="Calibri" w:hAnsi="Palatino Linotype" w:cs="Arial"/>
          <w:b/>
        </w:rPr>
      </w:pPr>
      <w:r w:rsidRPr="003171A7">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3171A7">
        <w:rPr>
          <w:rFonts w:ascii="Palatino Linotype" w:eastAsia="Calibri" w:hAnsi="Palatino Linotype" w:cs="Arial"/>
        </w:rPr>
        <w:lastRenderedPageBreak/>
        <w:t>Transparencia y Acceso a la Información Pública del Estado de México y Municipios, en el que funde y motive las razones sobre los datos que se supriman o eliminen dentro del soporte documental respectivo objeto de las versiones públicas que se formulen</w:t>
      </w:r>
      <w:r>
        <w:rPr>
          <w:rFonts w:ascii="Palatino Linotype" w:eastAsia="Calibri" w:hAnsi="Palatino Linotype" w:cs="Arial"/>
        </w:rPr>
        <w:t xml:space="preserve"> y se pongan a disposición de </w:t>
      </w:r>
      <w:r w:rsidRPr="003D4B5F">
        <w:rPr>
          <w:rFonts w:ascii="Palatino Linotype" w:eastAsia="Calibri" w:hAnsi="Palatino Linotype" w:cs="Arial"/>
          <w:b/>
        </w:rPr>
        <w:t>EL RECURRENTE</w:t>
      </w:r>
      <w:r w:rsidRPr="00CE7B83">
        <w:rPr>
          <w:rFonts w:ascii="Palatino Linotype" w:eastAsia="Calibri" w:hAnsi="Palatino Linotype" w:cs="Arial"/>
        </w:rPr>
        <w:t>.</w:t>
      </w:r>
    </w:p>
    <w:p w:rsidR="00CE7B83" w:rsidRDefault="00CE7B83" w:rsidP="00CE7B83">
      <w:pPr>
        <w:spacing w:line="360" w:lineRule="auto"/>
        <w:jc w:val="both"/>
        <w:rPr>
          <w:rFonts w:ascii="Palatino Linotype" w:eastAsia="Calibri" w:hAnsi="Palatino Linotype" w:cs="Arial"/>
          <w:b/>
        </w:rPr>
      </w:pPr>
    </w:p>
    <w:p w:rsidR="009F09BC" w:rsidRDefault="009F09BC" w:rsidP="00CE7B83">
      <w:pPr>
        <w:tabs>
          <w:tab w:val="left" w:pos="8080"/>
        </w:tabs>
        <w:spacing w:line="360" w:lineRule="auto"/>
        <w:ind w:right="49"/>
        <w:jc w:val="both"/>
        <w:rPr>
          <w:rFonts w:ascii="Palatino Linotype" w:eastAsia="Times New Roman" w:hAnsi="Palatino Linotype" w:cs="Times New Roman"/>
          <w:shd w:val="clear" w:color="auto" w:fill="FFFFFF"/>
        </w:rPr>
      </w:pPr>
      <w:bookmarkStart w:id="233" w:name="_Toc511647758"/>
      <w:bookmarkStart w:id="234" w:name="_Toc511647819"/>
      <w:r w:rsidRPr="003171A7">
        <w:rPr>
          <w:rFonts w:ascii="Palatino Linotype" w:eastAsia="Times New Roman" w:hAnsi="Palatino Linotype" w:cs="Times New Roman"/>
          <w:b/>
        </w:rPr>
        <w:t>TERCERO.</w:t>
      </w:r>
      <w:bookmarkEnd w:id="225"/>
      <w:bookmarkEnd w:id="233"/>
      <w:bookmarkEnd w:id="234"/>
      <w:r w:rsidRPr="003171A7">
        <w:rPr>
          <w:rFonts w:ascii="Palatino Linotype" w:eastAsia="Times New Roman" w:hAnsi="Palatino Linotype" w:cs="Times New Roman"/>
          <w:b/>
        </w:rPr>
        <w:t xml:space="preserve"> </w:t>
      </w:r>
      <w:bookmarkEnd w:id="226"/>
      <w:bookmarkEnd w:id="227"/>
      <w:bookmarkEnd w:id="228"/>
      <w:bookmarkEnd w:id="229"/>
      <w:bookmarkEnd w:id="230"/>
      <w:bookmarkEnd w:id="231"/>
      <w:bookmarkEnd w:id="232"/>
      <w:r w:rsidRPr="003171A7">
        <w:rPr>
          <w:rFonts w:ascii="Palatino Linotype" w:eastAsia="Palatino Linotype" w:hAnsi="Palatino Linotype" w:cs="Palatino Linotype"/>
          <w:b/>
        </w:rPr>
        <w:t xml:space="preserve">Notifíquese </w:t>
      </w:r>
      <w:r w:rsidRPr="003171A7">
        <w:rPr>
          <w:rFonts w:ascii="Palatino Linotype" w:eastAsia="Palatino Linotype" w:hAnsi="Palatino Linotype" w:cs="Palatino Linotype"/>
        </w:rPr>
        <w:t xml:space="preserve">al Titular de la Unidad de Transparencia del </w:t>
      </w:r>
      <w:r w:rsidRPr="003171A7">
        <w:rPr>
          <w:rFonts w:ascii="Palatino Linotype" w:eastAsia="Palatino Linotype" w:hAnsi="Palatino Linotype" w:cs="Palatino Linotype"/>
          <w:b/>
        </w:rPr>
        <w:t>SUJETO OBLIGADO</w:t>
      </w:r>
      <w:r w:rsidR="00CE7B83">
        <w:rPr>
          <w:rFonts w:ascii="Palatino Linotype" w:eastAsia="Palatino Linotype" w:hAnsi="Palatino Linotype" w:cs="Palatino Linotype"/>
          <w:b/>
        </w:rPr>
        <w:t xml:space="preserve"> </w:t>
      </w:r>
      <w:r w:rsidR="00CE7B83" w:rsidRPr="00CE7B83">
        <w:rPr>
          <w:rFonts w:ascii="Palatino Linotype" w:eastAsia="Palatino Linotype" w:hAnsi="Palatino Linotype" w:cs="Palatino Linotype"/>
        </w:rPr>
        <w:t>vía SAIMEX</w:t>
      </w:r>
      <w:r w:rsidRPr="003171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171A7">
        <w:rPr>
          <w:rFonts w:ascii="Palatino Linotype" w:eastAsia="Times New Roman" w:hAnsi="Palatino Linotype" w:cs="Times New Roman"/>
          <w:shd w:val="clear" w:color="auto" w:fill="FFFFFF"/>
        </w:rPr>
        <w:t xml:space="preserve">vigente, dé cumplimiento a lo ordenado dentro del plazo de </w:t>
      </w:r>
      <w:r w:rsidR="00782A12">
        <w:rPr>
          <w:rFonts w:ascii="Palatino Linotype" w:eastAsia="Times New Roman" w:hAnsi="Palatino Linotype" w:cs="Times New Roman"/>
          <w:b/>
          <w:shd w:val="clear" w:color="auto" w:fill="FFFFFF"/>
        </w:rPr>
        <w:t>diez</w:t>
      </w:r>
      <w:r w:rsidRPr="002524C2">
        <w:rPr>
          <w:rFonts w:ascii="Palatino Linotype" w:eastAsia="Times New Roman" w:hAnsi="Palatino Linotype" w:cs="Times New Roman"/>
          <w:b/>
          <w:shd w:val="clear" w:color="auto" w:fill="FFFFFF"/>
        </w:rPr>
        <w:t xml:space="preserve"> días hábiles</w:t>
      </w:r>
      <w:r w:rsidRPr="003171A7">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57514F" w:rsidRPr="0057514F" w:rsidRDefault="0057514F" w:rsidP="00CE7B83">
      <w:pPr>
        <w:spacing w:line="360" w:lineRule="auto"/>
        <w:jc w:val="both"/>
        <w:rPr>
          <w:rFonts w:ascii="Palatino Linotype" w:hAnsi="Palatino Linotype" w:cs="Arial"/>
          <w:b/>
          <w:sz w:val="20"/>
        </w:rPr>
      </w:pPr>
    </w:p>
    <w:p w:rsidR="0057514F" w:rsidRDefault="0057514F" w:rsidP="00CE7B83">
      <w:pPr>
        <w:spacing w:line="360" w:lineRule="auto"/>
        <w:jc w:val="both"/>
        <w:rPr>
          <w:rFonts w:ascii="Palatino Linotype" w:eastAsia="Calibri" w:hAnsi="Palatino Linotype" w:cs="Arial"/>
          <w:bCs/>
        </w:rPr>
      </w:pPr>
      <w:r w:rsidRPr="008815BA">
        <w:rPr>
          <w:rFonts w:ascii="Palatino Linotype" w:hAnsi="Palatino Linotype" w:cs="Arial"/>
          <w:b/>
        </w:rPr>
        <w:t xml:space="preserve">CUARTO. </w:t>
      </w:r>
      <w:r w:rsidRPr="008815BA">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57514F">
        <w:rPr>
          <w:rFonts w:ascii="Palatino Linotype" w:eastAsia="Calibri" w:hAnsi="Palatino Linotype" w:cs="Arial"/>
          <w:b/>
          <w:bCs/>
        </w:rPr>
        <w:t>SUJETO OBLIGADO</w:t>
      </w:r>
      <w:r w:rsidRPr="008815BA">
        <w:rPr>
          <w:rFonts w:ascii="Palatino Linotype" w:eastAsia="Calibri" w:hAnsi="Palatino Linotype" w:cs="Arial"/>
          <w:bCs/>
        </w:rPr>
        <w:t xml:space="preserve"> de manera fundada y motivada, podrá solicitar una ampliación de plazo para el cumplimiento de la presente resolución.</w:t>
      </w:r>
    </w:p>
    <w:p w:rsidR="00CE7B83" w:rsidRDefault="00CE7B83" w:rsidP="00CE7B83">
      <w:pPr>
        <w:spacing w:line="360" w:lineRule="auto"/>
        <w:jc w:val="both"/>
        <w:rPr>
          <w:rFonts w:ascii="Palatino Linotype" w:eastAsia="Calibri" w:hAnsi="Palatino Linotype" w:cs="Arial"/>
          <w:bCs/>
        </w:rPr>
      </w:pPr>
    </w:p>
    <w:p w:rsidR="009F09BC" w:rsidRDefault="0057514F" w:rsidP="00CE7B83">
      <w:pPr>
        <w:tabs>
          <w:tab w:val="left" w:pos="8080"/>
        </w:tabs>
        <w:spacing w:line="360" w:lineRule="auto"/>
        <w:ind w:right="49"/>
        <w:jc w:val="both"/>
        <w:rPr>
          <w:rFonts w:ascii="Palatino Linotype" w:eastAsia="Times New Roman" w:hAnsi="Palatino Linotype" w:cs="Times New Roman"/>
          <w:lang w:val="es-ES" w:eastAsia="es-MX"/>
        </w:rPr>
      </w:pPr>
      <w:bookmarkStart w:id="235" w:name="_Toc492590393"/>
      <w:bookmarkStart w:id="236" w:name="_Toc503891611"/>
      <w:bookmarkStart w:id="237" w:name="_Toc511647759"/>
      <w:bookmarkStart w:id="238" w:name="_Toc511647820"/>
      <w:r>
        <w:rPr>
          <w:rFonts w:ascii="Palatino Linotype" w:eastAsia="Times New Roman" w:hAnsi="Palatino Linotype" w:cs="Times New Roman"/>
          <w:b/>
        </w:rPr>
        <w:t>QUIN</w:t>
      </w:r>
      <w:r w:rsidR="009F09BC" w:rsidRPr="003171A7">
        <w:rPr>
          <w:rFonts w:ascii="Palatino Linotype" w:eastAsia="Times New Roman" w:hAnsi="Palatino Linotype" w:cs="Times New Roman"/>
          <w:b/>
        </w:rPr>
        <w:t xml:space="preserve">TO. </w:t>
      </w:r>
      <w:r w:rsidR="009F09BC" w:rsidRPr="003171A7">
        <w:rPr>
          <w:rFonts w:ascii="Palatino Linotype" w:eastAsia="Times New Roman" w:hAnsi="Palatino Linotype" w:cs="Times New Roman"/>
        </w:rPr>
        <w:t>Notifíquese</w:t>
      </w:r>
      <w:bookmarkEnd w:id="235"/>
      <w:bookmarkEnd w:id="236"/>
      <w:bookmarkEnd w:id="237"/>
      <w:bookmarkEnd w:id="238"/>
      <w:r w:rsidR="009F09BC" w:rsidRPr="003171A7">
        <w:rPr>
          <w:rFonts w:ascii="Palatino Linotype" w:eastAsia="Times New Roman" w:hAnsi="Palatino Linotype" w:cs="Times New Roman"/>
        </w:rPr>
        <w:t xml:space="preserve"> a</w:t>
      </w:r>
      <w:r w:rsidR="009F09BC">
        <w:rPr>
          <w:rFonts w:ascii="Palatino Linotype" w:eastAsia="Times New Roman" w:hAnsi="Palatino Linotype" w:cs="Times New Roman"/>
        </w:rPr>
        <w:t xml:space="preserve"> </w:t>
      </w:r>
      <w:r w:rsidR="009F09BC" w:rsidRPr="003D4B5F">
        <w:rPr>
          <w:rFonts w:ascii="Palatino Linotype" w:eastAsia="Times New Roman" w:hAnsi="Palatino Linotype" w:cs="Times New Roman"/>
          <w:b/>
        </w:rPr>
        <w:t>EL RECURRENTE</w:t>
      </w:r>
      <w:r w:rsidR="009F09BC" w:rsidRPr="003171A7">
        <w:rPr>
          <w:rFonts w:ascii="Palatino Linotype" w:eastAsia="Times New Roman" w:hAnsi="Palatino Linotype" w:cs="Times New Roman"/>
        </w:rPr>
        <w:t xml:space="preserve"> la presente</w:t>
      </w:r>
      <w:r w:rsidR="009F09BC" w:rsidRPr="003171A7">
        <w:rPr>
          <w:rFonts w:ascii="Palatino Linotype" w:eastAsia="Times New Roman" w:hAnsi="Palatino Linotype" w:cs="Times New Roman"/>
          <w:lang w:val="es-ES" w:eastAsia="es-MX"/>
        </w:rPr>
        <w:t xml:space="preserve"> resolución</w:t>
      </w:r>
      <w:r w:rsidR="00CE7B83">
        <w:rPr>
          <w:rFonts w:ascii="Palatino Linotype" w:eastAsia="Times New Roman" w:hAnsi="Palatino Linotype" w:cs="Times New Roman"/>
          <w:lang w:val="es-ES" w:eastAsia="es-MX"/>
        </w:rPr>
        <w:t>, vía SAIMEX</w:t>
      </w:r>
      <w:r w:rsidR="006D15D0">
        <w:rPr>
          <w:rFonts w:ascii="Palatino Linotype" w:eastAsia="Times New Roman" w:hAnsi="Palatino Linotype" w:cs="Times New Roman"/>
          <w:lang w:val="es-ES" w:eastAsia="es-MX"/>
        </w:rPr>
        <w:t>.</w:t>
      </w:r>
    </w:p>
    <w:p w:rsidR="00CE7B83" w:rsidRPr="003171A7" w:rsidRDefault="00CE7B83" w:rsidP="00CE7B83">
      <w:pPr>
        <w:tabs>
          <w:tab w:val="left" w:pos="8080"/>
        </w:tabs>
        <w:spacing w:line="360" w:lineRule="auto"/>
        <w:ind w:right="49"/>
        <w:jc w:val="both"/>
        <w:rPr>
          <w:rFonts w:ascii="Palatino Linotype" w:eastAsia="Times New Roman" w:hAnsi="Palatino Linotype" w:cs="Arial"/>
          <w:b/>
          <w:lang w:val="es-ES"/>
        </w:rPr>
      </w:pPr>
    </w:p>
    <w:p w:rsidR="009F09BC" w:rsidRDefault="0057514F" w:rsidP="00CE7B83">
      <w:pPr>
        <w:shd w:val="clear" w:color="auto" w:fill="FFFFFF"/>
        <w:spacing w:line="360" w:lineRule="auto"/>
        <w:jc w:val="both"/>
        <w:rPr>
          <w:rFonts w:ascii="Palatino Linotype" w:eastAsia="Times New Roman" w:hAnsi="Palatino Linotype" w:cs="Times New Roman"/>
          <w:lang w:val="es-ES" w:eastAsia="es-MX"/>
        </w:rPr>
      </w:pPr>
      <w:r>
        <w:rPr>
          <w:rFonts w:ascii="Palatino Linotype" w:eastAsia="Calibri" w:hAnsi="Palatino Linotype" w:cs="Times New Roman"/>
          <w:b/>
          <w:lang w:val="es-MX" w:eastAsia="en-US"/>
        </w:rPr>
        <w:t>SEX</w:t>
      </w:r>
      <w:r w:rsidR="009F09BC" w:rsidRPr="003171A7">
        <w:rPr>
          <w:rFonts w:ascii="Palatino Linotype" w:eastAsia="Calibri" w:hAnsi="Palatino Linotype" w:cs="Times New Roman"/>
          <w:b/>
          <w:lang w:val="es-MX" w:eastAsia="en-US"/>
        </w:rPr>
        <w:t>TO.</w:t>
      </w:r>
      <w:r w:rsidR="009F09BC" w:rsidRPr="003171A7">
        <w:rPr>
          <w:rFonts w:ascii="Palatino Linotype" w:eastAsia="Calibri" w:hAnsi="Palatino Linotype" w:cs="Times New Roman"/>
          <w:lang w:val="es-MX" w:eastAsia="en-US"/>
        </w:rPr>
        <w:t xml:space="preserve"> </w:t>
      </w:r>
      <w:r w:rsidR="009F09BC" w:rsidRPr="003171A7">
        <w:rPr>
          <w:rFonts w:ascii="Palatino Linotype" w:eastAsia="Times New Roman" w:hAnsi="Palatino Linotype" w:cs="Times New Roman"/>
          <w:lang w:val="es-ES" w:eastAsia="es-MX"/>
        </w:rPr>
        <w:t>Se hace del conocimiento de</w:t>
      </w:r>
      <w:r w:rsidR="009F09BC">
        <w:rPr>
          <w:rFonts w:ascii="Palatino Linotype" w:eastAsia="Times New Roman" w:hAnsi="Palatino Linotype" w:cs="Times New Roman"/>
          <w:lang w:val="es-ES" w:eastAsia="es-MX"/>
        </w:rPr>
        <w:t xml:space="preserve"> </w:t>
      </w:r>
      <w:r w:rsidR="009F09BC" w:rsidRPr="003D4B5F">
        <w:rPr>
          <w:rFonts w:ascii="Palatino Linotype" w:eastAsia="Times New Roman" w:hAnsi="Palatino Linotype" w:cs="Times New Roman"/>
          <w:b/>
          <w:lang w:val="es-ES" w:eastAsia="es-MX"/>
        </w:rPr>
        <w:t>EL RECURRENTE</w:t>
      </w:r>
      <w:r w:rsidR="009F09BC" w:rsidRPr="003171A7">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3171A7">
        <w:rPr>
          <w:rFonts w:ascii="Palatino Linotype" w:eastAsia="Times New Roman" w:hAnsi="Palatino Linotype" w:cs="Times New Roman"/>
          <w:bCs/>
          <w:lang w:val="es-ES" w:eastAsia="es-MX"/>
        </w:rPr>
        <w:t xml:space="preserve">vía juicio de </w:t>
      </w:r>
      <w:r w:rsidR="009F09BC" w:rsidRPr="002B5F45">
        <w:rPr>
          <w:rFonts w:ascii="Palatino Linotype" w:eastAsia="Times New Roman" w:hAnsi="Palatino Linotype" w:cs="Times New Roman"/>
          <w:bCs/>
          <w:lang w:val="es-ES" w:eastAsia="es-MX"/>
        </w:rPr>
        <w:t>amparo</w:t>
      </w:r>
      <w:r w:rsidR="009F09BC" w:rsidRPr="002B5F45">
        <w:rPr>
          <w:rFonts w:ascii="Palatino Linotype" w:eastAsia="Times New Roman" w:hAnsi="Palatino Linotype" w:cs="Times New Roman"/>
          <w:lang w:val="es-ES" w:eastAsia="es-MX"/>
        </w:rPr>
        <w:t> en los términos de las leyes aplicables.</w:t>
      </w:r>
    </w:p>
    <w:p w:rsidR="00C4157D" w:rsidRDefault="00C4157D" w:rsidP="00C4157D">
      <w:pPr>
        <w:spacing w:before="240" w:after="240" w:line="360" w:lineRule="auto"/>
        <w:ind w:firstLine="1"/>
        <w:jc w:val="both"/>
        <w:rPr>
          <w:rFonts w:ascii="Palatino Linotype" w:hAnsi="Palatino Linotype"/>
        </w:rPr>
      </w:pPr>
      <w:r w:rsidRPr="00A0054B">
        <w:rPr>
          <w:rFonts w:ascii="Palatino Linotype" w:hAnsi="Palatino Linotype"/>
        </w:rPr>
        <w:lastRenderedPageBreak/>
        <w:t xml:space="preserve">ASÍ LO RESUELVE, POR </w:t>
      </w:r>
      <w:r w:rsidR="00974910">
        <w:rPr>
          <w:rFonts w:ascii="Palatino Linotype" w:hAnsi="Palatino Linotype"/>
        </w:rPr>
        <w:t>MAYORÍA</w:t>
      </w:r>
      <w:r w:rsidRPr="00A0054B">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w:t>
      </w:r>
      <w:r w:rsidR="00974910">
        <w:rPr>
          <w:rFonts w:ascii="Palatino Linotype" w:hAnsi="Palatino Linotype"/>
        </w:rPr>
        <w:t xml:space="preserve"> EMITIENDO VOTO PARTICULAR</w:t>
      </w:r>
      <w:r w:rsidRPr="00A0054B">
        <w:rPr>
          <w:rFonts w:ascii="Palatino Linotype" w:hAnsi="Palatino Linotype"/>
        </w:rPr>
        <w:t>; MARÍA DEL ROSARIO MEJÍA AYALA; SHARON CRISTINA MORALES MARTÍNEZ</w:t>
      </w:r>
      <w:r w:rsidR="00974910">
        <w:rPr>
          <w:rFonts w:ascii="Palatino Linotype" w:hAnsi="Palatino Linotype"/>
        </w:rPr>
        <w:t xml:space="preserve"> EMITIENDO VOTO DISIDENTE</w:t>
      </w:r>
      <w:r>
        <w:rPr>
          <w:rFonts w:ascii="Palatino Linotype" w:hAnsi="Palatino Linotype"/>
        </w:rPr>
        <w:t xml:space="preserve">; </w:t>
      </w:r>
      <w:r w:rsidRPr="00A0054B">
        <w:rPr>
          <w:rFonts w:ascii="Palatino Linotype" w:hAnsi="Palatino Linotype"/>
        </w:rPr>
        <w:t>LUIS GUSTAVO PARRA NORIEGA</w:t>
      </w:r>
      <w:r w:rsidR="00974910">
        <w:rPr>
          <w:rFonts w:ascii="Palatino Linotype" w:hAnsi="Palatino Linotype"/>
        </w:rPr>
        <w:t xml:space="preserve"> EMITIENDO VOTO PARTICULAR</w:t>
      </w:r>
      <w:r w:rsidRPr="00A0054B">
        <w:rPr>
          <w:rFonts w:ascii="Palatino Linotype" w:hAnsi="Palatino Linotype"/>
        </w:rPr>
        <w:t xml:space="preserve"> Y GUADALUPE RAMÍREZ PEÑA EN LA </w:t>
      </w:r>
      <w:r>
        <w:rPr>
          <w:rFonts w:ascii="Palatino Linotype" w:hAnsi="Palatino Linotype"/>
        </w:rPr>
        <w:t xml:space="preserve">VIGÉSIMA SEGUNDA </w:t>
      </w:r>
      <w:r w:rsidRPr="00A0054B">
        <w:rPr>
          <w:rFonts w:ascii="Palatino Linotype" w:hAnsi="Palatino Linotype"/>
        </w:rPr>
        <w:t xml:space="preserve">SESIÓN ORDINARIA CELEBRADA EL </w:t>
      </w:r>
      <w:r>
        <w:rPr>
          <w:rFonts w:ascii="Palatino Linotype" w:hAnsi="Palatino Linotype"/>
        </w:rPr>
        <w:t>QUINCE (15)</w:t>
      </w:r>
      <w:r w:rsidRPr="00A0054B">
        <w:rPr>
          <w:rFonts w:ascii="Palatino Linotype" w:hAnsi="Palatino Linotype"/>
        </w:rPr>
        <w:t xml:space="preserve"> DE </w:t>
      </w:r>
      <w:r>
        <w:rPr>
          <w:rFonts w:ascii="Palatino Linotype" w:hAnsi="Palatino Linotype"/>
        </w:rPr>
        <w:t>JUNIO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Default="009F09BC" w:rsidP="009F09BC"/>
    <w:p w:rsidR="009F09BC" w:rsidRDefault="009F09BC" w:rsidP="009F09BC">
      <w:pPr>
        <w:tabs>
          <w:tab w:val="left" w:pos="3374"/>
        </w:tabs>
      </w:pPr>
      <w:r>
        <w:tab/>
      </w: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Pr="009F09BC" w:rsidRDefault="00053FB7" w:rsidP="009F09BC">
      <w:pPr>
        <w:tabs>
          <w:tab w:val="left" w:pos="3374"/>
        </w:tabs>
      </w:pPr>
    </w:p>
    <w:sectPr w:rsidR="00053FB7" w:rsidRPr="009F09BC" w:rsidSect="00002D49">
      <w:pgSz w:w="12240" w:h="15840"/>
      <w:pgMar w:top="2268"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AD7" w:rsidRDefault="00766AD7" w:rsidP="003B7751">
      <w:r>
        <w:separator/>
      </w:r>
    </w:p>
  </w:endnote>
  <w:endnote w:type="continuationSeparator" w:id="0">
    <w:p w:rsidR="00766AD7" w:rsidRDefault="00766AD7"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220982" w:rsidRPr="002D6DD8" w:rsidRDefault="00220982"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E6086">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E6086">
              <w:rPr>
                <w:rFonts w:ascii="Palatino Linotype" w:hAnsi="Palatino Linotype"/>
                <w:bCs/>
                <w:noProof/>
                <w:sz w:val="20"/>
              </w:rPr>
              <w:t>42</w:t>
            </w:r>
            <w:r>
              <w:rPr>
                <w:rFonts w:ascii="Palatino Linotype" w:hAnsi="Palatino Linotype"/>
                <w:bCs/>
                <w:noProof/>
                <w:sz w:val="20"/>
              </w:rPr>
              <w:fldChar w:fldCharType="end"/>
            </w:r>
          </w:p>
        </w:sdtContent>
      </w:sdt>
    </w:sdtContent>
  </w:sdt>
  <w:p w:rsidR="00220982" w:rsidRDefault="0022098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982" w:rsidRPr="000B69FA" w:rsidRDefault="00220982"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E608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E6086">
      <w:rPr>
        <w:rFonts w:ascii="Palatino Linotype" w:hAnsi="Palatino Linotype"/>
        <w:bCs/>
        <w:noProof/>
        <w:sz w:val="20"/>
      </w:rPr>
      <w:t>42</w:t>
    </w:r>
    <w:r>
      <w:rPr>
        <w:rFonts w:ascii="Palatino Linotype" w:hAnsi="Palatino Linotype"/>
        <w:bCs/>
        <w:noProof/>
        <w:sz w:val="20"/>
      </w:rPr>
      <w:fldChar w:fldCharType="end"/>
    </w:r>
  </w:p>
  <w:p w:rsidR="00220982" w:rsidRDefault="0022098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AD7" w:rsidRDefault="00766AD7" w:rsidP="003B7751">
      <w:r>
        <w:separator/>
      </w:r>
    </w:p>
  </w:footnote>
  <w:footnote w:type="continuationSeparator" w:id="0">
    <w:p w:rsidR="00766AD7" w:rsidRDefault="00766AD7" w:rsidP="003B7751">
      <w:r>
        <w:continuationSeparator/>
      </w:r>
    </w:p>
  </w:footnote>
  <w:footnote w:id="1">
    <w:p w:rsidR="00220982" w:rsidRPr="009C43C2" w:rsidRDefault="00220982"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rsidR="00220982" w:rsidRPr="009C43C2" w:rsidRDefault="00220982"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rsidR="00220982" w:rsidRPr="009C43C2" w:rsidRDefault="00220982"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220982" w:rsidRDefault="00220982" w:rsidP="005B6702">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rsidR="0073715D" w:rsidRPr="00BD5044" w:rsidRDefault="0073715D" w:rsidP="0073715D">
      <w:pPr>
        <w:pStyle w:val="Textonotapie"/>
        <w:rPr>
          <w:rFonts w:ascii="Palatino Linotype" w:hAnsi="Palatino Linotype"/>
          <w:sz w:val="16"/>
          <w:szCs w:val="16"/>
        </w:rPr>
      </w:pPr>
      <w:r>
        <w:rPr>
          <w:rStyle w:val="Refdenotaalpie"/>
        </w:rPr>
        <w:footnoteRef/>
      </w:r>
      <w:r>
        <w:t xml:space="preserve"> </w:t>
      </w:r>
      <w:r w:rsidRPr="00BD5044">
        <w:rPr>
          <w:rFonts w:ascii="Palatino Linotype" w:hAnsi="Palatino Linotype"/>
          <w:sz w:val="16"/>
          <w:szCs w:val="16"/>
        </w:rPr>
        <w:t>El precepto legal en cita establece que los Municipios son sujetos de fiscalización.</w:t>
      </w:r>
    </w:p>
  </w:footnote>
  <w:footnote w:id="6">
    <w:p w:rsidR="0073715D" w:rsidRPr="00A876A6" w:rsidRDefault="0073715D" w:rsidP="0073715D">
      <w:pPr>
        <w:pStyle w:val="Textonotapie"/>
        <w:rPr>
          <w:rFonts w:ascii="Palatino Linotype" w:hAnsi="Palatino Linotype"/>
          <w:sz w:val="18"/>
          <w:szCs w:val="18"/>
        </w:rPr>
      </w:pPr>
      <w:r w:rsidRPr="00A876A6">
        <w:rPr>
          <w:rStyle w:val="Refdenotaalpie"/>
          <w:rFonts w:ascii="Palatino Linotype" w:hAnsi="Palatino Linotype"/>
          <w:sz w:val="18"/>
          <w:szCs w:val="18"/>
        </w:rPr>
        <w:footnoteRef/>
      </w:r>
      <w:r w:rsidRPr="00A876A6">
        <w:rPr>
          <w:rFonts w:ascii="Palatino Linotype" w:hAnsi="Palatino Linotype"/>
          <w:sz w:val="18"/>
          <w:szCs w:val="18"/>
        </w:rPr>
        <w:t xml:space="preserve"> A partir del</w:t>
      </w:r>
      <w:r>
        <w:rPr>
          <w:rFonts w:ascii="Palatino Linotype" w:hAnsi="Palatino Linotype"/>
          <w:sz w:val="18"/>
          <w:szCs w:val="18"/>
        </w:rPr>
        <w:t xml:space="preserve"> ejercicio fiscal de 2021, son</w:t>
      </w:r>
      <w:r w:rsidRPr="00A876A6">
        <w:rPr>
          <w:rFonts w:ascii="Palatino Linotype" w:hAnsi="Palatino Linotype"/>
          <w:sz w:val="18"/>
          <w:szCs w:val="18"/>
        </w:rPr>
        <w:t xml:space="preserve"> informes trimestrales.</w:t>
      </w:r>
    </w:p>
  </w:footnote>
  <w:footnote w:id="7">
    <w:p w:rsidR="0073715D" w:rsidRDefault="0073715D" w:rsidP="0073715D">
      <w:pPr>
        <w:pStyle w:val="Textonotapie"/>
        <w:jc w:val="both"/>
      </w:pPr>
      <w:r w:rsidRPr="00A876A6">
        <w:rPr>
          <w:rStyle w:val="Refdenotaalpie"/>
          <w:sz w:val="18"/>
          <w:szCs w:val="18"/>
        </w:rPr>
        <w:footnoteRef/>
      </w:r>
      <w:r w:rsidRPr="00A876A6">
        <w:rPr>
          <w:sz w:val="18"/>
          <w:szCs w:val="18"/>
        </w:rPr>
        <w:t xml:space="preserve"> Página 11 del acuerdo 008/2021 por el que se emiten las políticas, fechas de capacitación y calendarización de entrega de los informes trimestrales de los </w:t>
      </w:r>
      <w:proofErr w:type="spellStart"/>
      <w:r w:rsidRPr="00A876A6">
        <w:rPr>
          <w:sz w:val="18"/>
          <w:szCs w:val="18"/>
        </w:rPr>
        <w:t>Fujetos</w:t>
      </w:r>
      <w:proofErr w:type="spellEnd"/>
      <w:r w:rsidRPr="00A876A6">
        <w:rPr>
          <w:sz w:val="18"/>
          <w:szCs w:val="18"/>
        </w:rPr>
        <w:t xml:space="preserve"> de Fiscalización del Estado de México, del ejercicio fiscal 2021</w:t>
      </w:r>
    </w:p>
  </w:footnote>
  <w:footnote w:id="8">
    <w:p w:rsidR="0073715D" w:rsidRPr="00A876A6" w:rsidRDefault="0073715D" w:rsidP="0073715D">
      <w:pPr>
        <w:pStyle w:val="Textonotapie"/>
        <w:rPr>
          <w:sz w:val="18"/>
        </w:rPr>
      </w:pPr>
      <w:r w:rsidRPr="00A876A6">
        <w:rPr>
          <w:rStyle w:val="Refdenotaalpie"/>
          <w:sz w:val="18"/>
        </w:rPr>
        <w:footnoteRef/>
      </w:r>
      <w:r w:rsidRPr="00A876A6">
        <w:rPr>
          <w:sz w:val="18"/>
        </w:rPr>
        <w:t xml:space="preserve"> Se precisa que los lineamientos aplicables son los pertenecientes al año 2021, toda vez que al momento de que el particular formuló su solicitud, no se encontraban vigentes los correspondientes al año en curso.</w:t>
      </w:r>
    </w:p>
  </w:footnote>
  <w:footnote w:id="9">
    <w:p w:rsidR="0073715D" w:rsidRDefault="0073715D" w:rsidP="0073715D">
      <w:pPr>
        <w:pStyle w:val="Textonotapie"/>
        <w:jc w:val="both"/>
      </w:pPr>
      <w:r>
        <w:rPr>
          <w:rStyle w:val="Refdenotaalpie"/>
        </w:rPr>
        <w:footnoteRef/>
      </w:r>
      <w:r>
        <w:t xml:space="preserve"> </w:t>
      </w:r>
      <w:r w:rsidRPr="00A876A6">
        <w:rPr>
          <w:sz w:val="18"/>
        </w:rPr>
        <w:t>Páginas 26 y 27 del acuerdo 008/2021 por el que se emiten las políticas, fechas de capacitación y calendarización de entrega de los informes trimestrales de los Sujetos de Fiscalización del Estado de México, del ejercicio fiscal 2021.</w:t>
      </w:r>
    </w:p>
  </w:footnote>
  <w:footnote w:id="10">
    <w:p w:rsidR="00220982" w:rsidRDefault="00220982" w:rsidP="009F09BC">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w:t>
      </w:r>
      <w:proofErr w:type="gramStart"/>
      <w:r>
        <w:rPr>
          <w:rFonts w:ascii="Palatino Linotype" w:hAnsi="Palatino Linotype"/>
          <w:sz w:val="14"/>
        </w:rPr>
        <w:t>y</w:t>
      </w:r>
      <w:proofErr w:type="gramEnd"/>
      <w:r>
        <w:rPr>
          <w:rFonts w:ascii="Palatino Linotype" w:hAnsi="Palatino Linotype"/>
          <w:sz w:val="14"/>
        </w:rPr>
        <w:t xml:space="preserve">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220982" w:rsidRDefault="00220982" w:rsidP="009F09BC">
      <w:pPr>
        <w:pStyle w:val="Textonotapie"/>
        <w:jc w:val="both"/>
        <w:rPr>
          <w:rFonts w:ascii="Palatino Linotype" w:hAnsi="Palatino Linotype"/>
          <w:sz w:val="14"/>
        </w:rPr>
      </w:pPr>
      <w:r>
        <w:rPr>
          <w:rFonts w:ascii="Palatino Linotype" w:hAnsi="Palatino Linotype"/>
          <w:sz w:val="14"/>
        </w:rPr>
        <w:t xml:space="preserve">1a./J.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w:t>
      </w:r>
      <w:proofErr w:type="gramStart"/>
      <w:r>
        <w:rPr>
          <w:rFonts w:ascii="Palatino Linotype" w:hAnsi="Palatino Linotype"/>
          <w:sz w:val="14"/>
        </w:rPr>
        <w:t>Febrero</w:t>
      </w:r>
      <w:proofErr w:type="gramEnd"/>
      <w:r>
        <w:rPr>
          <w:rFonts w:ascii="Palatino Linotype" w:hAnsi="Palatino Linotype"/>
          <w:sz w:val="14"/>
        </w:rPr>
        <w:t xml:space="preserve">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11">
    <w:p w:rsidR="00220982" w:rsidRDefault="00220982" w:rsidP="009F09BC">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2">
    <w:p w:rsidR="00220982" w:rsidRDefault="00220982"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rFonts w:ascii="Palatino Linotype" w:hAnsi="Palatino Linotype"/>
          <w:sz w:val="18"/>
          <w:lang w:val="es-ES"/>
        </w:rPr>
        <w:t>propiedades  a</w:t>
      </w:r>
      <w:proofErr w:type="gramEnd"/>
      <w:r>
        <w:rPr>
          <w:rFonts w:ascii="Palatino Linotype" w:hAnsi="Palatino Linotype"/>
          <w:sz w:val="18"/>
          <w:lang w:val="es-ES"/>
        </w:rPr>
        <w:t>, b, c y d diremos que no es un J. Todo esto, en verdad, son obviedades, casi perogrulladas, pero veremos que conviene aquí explicitarlas e ir paso a paso.</w:t>
      </w:r>
    </w:p>
    <w:p w:rsidR="00220982" w:rsidRDefault="00220982" w:rsidP="009F09BC">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220982" w:rsidRDefault="00220982" w:rsidP="009F09BC">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13">
    <w:p w:rsidR="00220982" w:rsidRDefault="00220982"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w:t>
      </w:r>
      <w:proofErr w:type="gramStart"/>
      <w:r>
        <w:rPr>
          <w:rFonts w:ascii="Palatino Linotype" w:hAnsi="Palatino Linotype"/>
          <w:sz w:val="18"/>
          <w:lang w:val="es-ES"/>
        </w:rPr>
        <w:t>http://sjf.scjn.gob.mx/sjfsist/Documentos/Tesis/203/203143.pdf  el</w:t>
      </w:r>
      <w:proofErr w:type="gramEnd"/>
      <w:r>
        <w:rPr>
          <w:rFonts w:ascii="Palatino Linotype" w:hAnsi="Palatino Linotype"/>
          <w:sz w:val="18"/>
          <w:lang w:val="es-ES"/>
        </w:rPr>
        <w:t xml:space="preserve"> viernes 16 de junio de 2017.</w:t>
      </w:r>
    </w:p>
  </w:footnote>
  <w:footnote w:id="14">
    <w:p w:rsidR="00220982" w:rsidRDefault="00220982" w:rsidP="009F09BC">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220982" w:rsidRDefault="00220982" w:rsidP="009F09BC">
      <w:pPr>
        <w:pStyle w:val="Textonotapie"/>
        <w:jc w:val="both"/>
        <w:rPr>
          <w:rFonts w:ascii="Palatino Linotype" w:hAnsi="Palatino Linotype"/>
          <w:sz w:val="18"/>
        </w:rPr>
      </w:pPr>
      <w:r>
        <w:rPr>
          <w:rFonts w:ascii="Palatino Linotype" w:hAnsi="Palatino Linotype"/>
          <w:sz w:val="18"/>
        </w:rPr>
        <w:t xml:space="preserve"> (…)</w:t>
      </w:r>
    </w:p>
    <w:p w:rsidR="00220982" w:rsidRDefault="00220982" w:rsidP="009F09BC">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982" w:rsidRDefault="00766AD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220982" w:rsidTr="006A04B6">
      <w:trPr>
        <w:trHeight w:val="227"/>
      </w:trPr>
      <w:tc>
        <w:tcPr>
          <w:tcW w:w="2976" w:type="dxa"/>
          <w:vAlign w:val="center"/>
          <w:hideMark/>
        </w:tcPr>
        <w:p w:rsidR="00220982" w:rsidRPr="00674A46" w:rsidRDefault="00220982"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220982" w:rsidRPr="00485ED8" w:rsidRDefault="00220982" w:rsidP="008759B2">
          <w:pPr>
            <w:pStyle w:val="Encabezado"/>
            <w:rPr>
              <w:rFonts w:ascii="Palatino Linotype" w:hAnsi="Palatino Linotype"/>
              <w:b/>
              <w:sz w:val="22"/>
              <w:szCs w:val="22"/>
            </w:rPr>
          </w:pPr>
          <w:r>
            <w:rPr>
              <w:rFonts w:ascii="Palatino Linotype" w:hAnsi="Palatino Linotype" w:cs="Arial"/>
              <w:b/>
              <w:bCs/>
              <w:sz w:val="22"/>
              <w:szCs w:val="22"/>
              <w:lang w:eastAsia="es-MX"/>
            </w:rPr>
            <w:t>0</w:t>
          </w:r>
          <w:r w:rsidR="008759B2">
            <w:rPr>
              <w:rFonts w:ascii="Palatino Linotype" w:hAnsi="Palatino Linotype" w:cs="Arial"/>
              <w:b/>
              <w:bCs/>
              <w:sz w:val="22"/>
              <w:szCs w:val="22"/>
              <w:lang w:eastAsia="es-MX"/>
            </w:rPr>
            <w:t>6783</w:t>
          </w:r>
          <w:r w:rsidRPr="00485ED8">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220982" w:rsidTr="006A04B6">
      <w:trPr>
        <w:trHeight w:val="242"/>
      </w:trPr>
      <w:tc>
        <w:tcPr>
          <w:tcW w:w="2976" w:type="dxa"/>
          <w:vAlign w:val="center"/>
          <w:hideMark/>
        </w:tcPr>
        <w:p w:rsidR="00220982" w:rsidRPr="00674A46" w:rsidRDefault="00220982"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220982" w:rsidRPr="00485ED8" w:rsidRDefault="00220982" w:rsidP="008759B2">
          <w:pPr>
            <w:pStyle w:val="Encabezado"/>
            <w:jc w:val="both"/>
            <w:rPr>
              <w:rFonts w:ascii="Palatino Linotype" w:hAnsi="Palatino Linotype"/>
              <w:b/>
              <w:sz w:val="22"/>
              <w:szCs w:val="22"/>
            </w:rPr>
          </w:pPr>
          <w:r w:rsidRPr="00652937">
            <w:rPr>
              <w:rFonts w:ascii="Palatino Linotype" w:hAnsi="Palatino Linotype"/>
              <w:b/>
              <w:bCs/>
              <w:color w:val="000000"/>
              <w:sz w:val="22"/>
              <w:szCs w:val="22"/>
            </w:rPr>
            <w:t xml:space="preserve">Ayuntamiento de </w:t>
          </w:r>
          <w:r w:rsidR="008759B2">
            <w:rPr>
              <w:rFonts w:ascii="Palatino Linotype" w:hAnsi="Palatino Linotype"/>
              <w:b/>
              <w:bCs/>
              <w:color w:val="000000"/>
              <w:sz w:val="22"/>
              <w:szCs w:val="22"/>
            </w:rPr>
            <w:t>Amecameca</w:t>
          </w:r>
        </w:p>
      </w:tc>
    </w:tr>
    <w:tr w:rsidR="00220982" w:rsidTr="006A04B6">
      <w:trPr>
        <w:trHeight w:val="342"/>
      </w:trPr>
      <w:tc>
        <w:tcPr>
          <w:tcW w:w="2976" w:type="dxa"/>
          <w:vAlign w:val="center"/>
          <w:hideMark/>
        </w:tcPr>
        <w:p w:rsidR="00220982" w:rsidRPr="00674A46" w:rsidRDefault="00220982"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220982" w:rsidRPr="00485ED8" w:rsidRDefault="00220982"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220982" w:rsidRPr="00AE046A" w:rsidRDefault="00766AD7"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220982" w:rsidTr="006A04B6">
      <w:trPr>
        <w:trHeight w:val="227"/>
      </w:trPr>
      <w:tc>
        <w:tcPr>
          <w:tcW w:w="2977" w:type="dxa"/>
          <w:vAlign w:val="center"/>
          <w:hideMark/>
        </w:tcPr>
        <w:p w:rsidR="00220982" w:rsidRPr="00674A46" w:rsidRDefault="00220982"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220982" w:rsidRPr="00485ED8" w:rsidRDefault="00FA06F6" w:rsidP="008A699B">
          <w:pPr>
            <w:pStyle w:val="Encabezado"/>
            <w:rPr>
              <w:rFonts w:ascii="Palatino Linotype" w:hAnsi="Palatino Linotype"/>
              <w:b/>
              <w:sz w:val="22"/>
              <w:szCs w:val="22"/>
            </w:rPr>
          </w:pPr>
          <w:r>
            <w:rPr>
              <w:rFonts w:ascii="Palatino Linotype" w:hAnsi="Palatino Linotype" w:cs="Arial"/>
              <w:b/>
              <w:bCs/>
              <w:sz w:val="22"/>
              <w:szCs w:val="22"/>
              <w:lang w:eastAsia="es-MX"/>
            </w:rPr>
            <w:t>0678</w:t>
          </w:r>
          <w:r w:rsidR="00220982">
            <w:rPr>
              <w:rFonts w:ascii="Palatino Linotype" w:hAnsi="Palatino Linotype" w:cs="Arial"/>
              <w:b/>
              <w:bCs/>
              <w:sz w:val="22"/>
              <w:szCs w:val="22"/>
              <w:lang w:eastAsia="es-MX"/>
            </w:rPr>
            <w:t>3</w:t>
          </w:r>
          <w:r w:rsidR="00220982" w:rsidRPr="00DE2F5A">
            <w:rPr>
              <w:rFonts w:ascii="Palatino Linotype" w:hAnsi="Palatino Linotype" w:cs="Arial"/>
              <w:b/>
              <w:bCs/>
              <w:sz w:val="22"/>
              <w:szCs w:val="22"/>
              <w:lang w:eastAsia="es-MX"/>
            </w:rPr>
            <w:t>/INFOEM/IP/RR/2022</w:t>
          </w:r>
        </w:p>
      </w:tc>
    </w:tr>
    <w:tr w:rsidR="00220982" w:rsidTr="00652937">
      <w:trPr>
        <w:trHeight w:val="242"/>
      </w:trPr>
      <w:tc>
        <w:tcPr>
          <w:tcW w:w="2977" w:type="dxa"/>
          <w:vAlign w:val="center"/>
          <w:hideMark/>
        </w:tcPr>
        <w:p w:rsidR="00220982" w:rsidRPr="00674A46" w:rsidRDefault="00220982"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220982" w:rsidRPr="00B75F20" w:rsidRDefault="00AE6086" w:rsidP="009F09BC">
          <w:pPr>
            <w:pStyle w:val="Encabezado"/>
            <w:tabs>
              <w:tab w:val="left" w:pos="521"/>
            </w:tabs>
            <w:rPr>
              <w:rFonts w:ascii="Palatino Linotype" w:hAnsi="Palatino Linotype"/>
              <w:b/>
              <w:sz w:val="22"/>
              <w:szCs w:val="22"/>
            </w:rPr>
          </w:pPr>
          <w:proofErr w:type="spellStart"/>
          <w:r>
            <w:rPr>
              <w:rFonts w:ascii="Palatino Linotype" w:hAnsi="Palatino Linotype"/>
              <w:b/>
              <w:sz w:val="22"/>
              <w:szCs w:val="22"/>
            </w:rPr>
            <w:t>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220982" w:rsidTr="006A04B6">
      <w:trPr>
        <w:trHeight w:val="342"/>
      </w:trPr>
      <w:tc>
        <w:tcPr>
          <w:tcW w:w="2977" w:type="dxa"/>
          <w:vAlign w:val="center"/>
        </w:tcPr>
        <w:p w:rsidR="00220982" w:rsidRPr="00674A46" w:rsidRDefault="00220982"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220982" w:rsidRPr="00674A46" w:rsidRDefault="00604C2F" w:rsidP="009F09BC">
          <w:pPr>
            <w:pStyle w:val="Encabezado"/>
            <w:jc w:val="both"/>
            <w:rPr>
              <w:rFonts w:ascii="Palatino Linotype" w:hAnsi="Palatino Linotype"/>
              <w:b/>
              <w:sz w:val="22"/>
              <w:szCs w:val="22"/>
            </w:rPr>
          </w:pPr>
          <w:r>
            <w:rPr>
              <w:rFonts w:ascii="Palatino Linotype" w:hAnsi="Palatino Linotype"/>
              <w:b/>
              <w:bCs/>
              <w:color w:val="000000"/>
              <w:sz w:val="22"/>
              <w:szCs w:val="22"/>
            </w:rPr>
            <w:t>Ayuntamiento de Amecameca</w:t>
          </w:r>
        </w:p>
      </w:tc>
    </w:tr>
    <w:tr w:rsidR="00220982" w:rsidTr="006A04B6">
      <w:trPr>
        <w:trHeight w:val="342"/>
      </w:trPr>
      <w:tc>
        <w:tcPr>
          <w:tcW w:w="2977" w:type="dxa"/>
          <w:vAlign w:val="center"/>
        </w:tcPr>
        <w:p w:rsidR="00220982" w:rsidRPr="00674A46" w:rsidRDefault="00220982"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220982" w:rsidRPr="00674A46" w:rsidRDefault="00220982"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220982" w:rsidRPr="00C222C0" w:rsidRDefault="00766AD7">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44252B"/>
    <w:multiLevelType w:val="hybridMultilevel"/>
    <w:tmpl w:val="17F8D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3B275B"/>
    <w:multiLevelType w:val="hybridMultilevel"/>
    <w:tmpl w:val="EB1C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4"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15C4C1B"/>
    <w:multiLevelType w:val="hybridMultilevel"/>
    <w:tmpl w:val="DBD29A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2" w15:restartNumberingAfterBreak="0">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6"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2B190D"/>
    <w:multiLevelType w:val="hybridMultilevel"/>
    <w:tmpl w:val="1D26B320"/>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3"/>
  </w:num>
  <w:num w:numId="8">
    <w:abstractNumId w:val="0"/>
  </w:num>
  <w:num w:numId="9">
    <w:abstractNumId w:val="34"/>
  </w:num>
  <w:num w:numId="10">
    <w:abstractNumId w:val="21"/>
  </w:num>
  <w:num w:numId="11">
    <w:abstractNumId w:val="14"/>
  </w:num>
  <w:num w:numId="12">
    <w:abstractNumId w:val="25"/>
  </w:num>
  <w:num w:numId="13">
    <w:abstractNumId w:val="35"/>
  </w:num>
  <w:num w:numId="14">
    <w:abstractNumId w:val="5"/>
  </w:num>
  <w:num w:numId="15">
    <w:abstractNumId w:val="18"/>
  </w:num>
  <w:num w:numId="16">
    <w:abstractNumId w:val="30"/>
  </w:num>
  <w:num w:numId="17">
    <w:abstractNumId w:val="10"/>
  </w:num>
  <w:num w:numId="18">
    <w:abstractNumId w:val="27"/>
  </w:num>
  <w:num w:numId="19">
    <w:abstractNumId w:val="36"/>
  </w:num>
  <w:num w:numId="20">
    <w:abstractNumId w:val="19"/>
  </w:num>
  <w:num w:numId="21">
    <w:abstractNumId w:val="24"/>
  </w:num>
  <w:num w:numId="22">
    <w:abstractNumId w:val="15"/>
  </w:num>
  <w:num w:numId="23">
    <w:abstractNumId w:val="39"/>
  </w:num>
  <w:num w:numId="24">
    <w:abstractNumId w:val="8"/>
  </w:num>
  <w:num w:numId="25">
    <w:abstractNumId w:val="32"/>
  </w:num>
  <w:num w:numId="26">
    <w:abstractNumId w:val="23"/>
  </w:num>
  <w:num w:numId="27">
    <w:abstractNumId w:val="6"/>
  </w:num>
  <w:num w:numId="28">
    <w:abstractNumId w:val="33"/>
  </w:num>
  <w:num w:numId="29">
    <w:abstractNumId w:val="29"/>
  </w:num>
  <w:num w:numId="30">
    <w:abstractNumId w:val="26"/>
  </w:num>
  <w:num w:numId="31">
    <w:abstractNumId w:val="38"/>
  </w:num>
  <w:num w:numId="32">
    <w:abstractNumId w:val="20"/>
  </w:num>
  <w:num w:numId="33">
    <w:abstractNumId w:val="9"/>
  </w:num>
  <w:num w:numId="34">
    <w:abstractNumId w:val="13"/>
  </w:num>
  <w:num w:numId="35">
    <w:abstractNumId w:val="7"/>
  </w:num>
  <w:num w:numId="36">
    <w:abstractNumId w:val="37"/>
  </w:num>
  <w:num w:numId="37">
    <w:abstractNumId w:val="28"/>
  </w:num>
  <w:num w:numId="38">
    <w:abstractNumId w:val="22"/>
  </w:num>
  <w:num w:numId="39">
    <w:abstractNumId w:val="1"/>
  </w:num>
  <w:num w:numId="40">
    <w:abstractNumId w:val="2"/>
  </w:num>
  <w:num w:numId="41">
    <w:abstractNumId w:val="31"/>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2D49"/>
    <w:rsid w:val="000067B3"/>
    <w:rsid w:val="00010C43"/>
    <w:rsid w:val="0001674C"/>
    <w:rsid w:val="00020780"/>
    <w:rsid w:val="00025C53"/>
    <w:rsid w:val="00030FBC"/>
    <w:rsid w:val="00036137"/>
    <w:rsid w:val="000373F6"/>
    <w:rsid w:val="00051287"/>
    <w:rsid w:val="00053FB7"/>
    <w:rsid w:val="000803F7"/>
    <w:rsid w:val="0008243D"/>
    <w:rsid w:val="000A7690"/>
    <w:rsid w:val="000E1A02"/>
    <w:rsid w:val="000E4891"/>
    <w:rsid w:val="000F1081"/>
    <w:rsid w:val="00114502"/>
    <w:rsid w:val="00124FD1"/>
    <w:rsid w:val="00132DB1"/>
    <w:rsid w:val="001352F5"/>
    <w:rsid w:val="00170D82"/>
    <w:rsid w:val="00173F2B"/>
    <w:rsid w:val="001A18E7"/>
    <w:rsid w:val="001A460D"/>
    <w:rsid w:val="001C4290"/>
    <w:rsid w:val="001D23C1"/>
    <w:rsid w:val="001D373F"/>
    <w:rsid w:val="001D5404"/>
    <w:rsid w:val="001D630C"/>
    <w:rsid w:val="001E2093"/>
    <w:rsid w:val="001E755B"/>
    <w:rsid w:val="00220982"/>
    <w:rsid w:val="00223C06"/>
    <w:rsid w:val="00237FA4"/>
    <w:rsid w:val="002453DA"/>
    <w:rsid w:val="00261B09"/>
    <w:rsid w:val="00263D0F"/>
    <w:rsid w:val="00264C9A"/>
    <w:rsid w:val="002650A0"/>
    <w:rsid w:val="00272CA2"/>
    <w:rsid w:val="00277FAC"/>
    <w:rsid w:val="002901F4"/>
    <w:rsid w:val="00291500"/>
    <w:rsid w:val="002A3B71"/>
    <w:rsid w:val="002C0D3C"/>
    <w:rsid w:val="002C3821"/>
    <w:rsid w:val="002C4997"/>
    <w:rsid w:val="002D294C"/>
    <w:rsid w:val="0030094A"/>
    <w:rsid w:val="00312281"/>
    <w:rsid w:val="00323FFD"/>
    <w:rsid w:val="003437D9"/>
    <w:rsid w:val="00353F1D"/>
    <w:rsid w:val="003662EE"/>
    <w:rsid w:val="0037157C"/>
    <w:rsid w:val="003833B3"/>
    <w:rsid w:val="003933C4"/>
    <w:rsid w:val="003A15C8"/>
    <w:rsid w:val="003B7751"/>
    <w:rsid w:val="003C13F1"/>
    <w:rsid w:val="003E66D2"/>
    <w:rsid w:val="00403D64"/>
    <w:rsid w:val="00407FDA"/>
    <w:rsid w:val="004118FA"/>
    <w:rsid w:val="00425842"/>
    <w:rsid w:val="00437672"/>
    <w:rsid w:val="00456CFF"/>
    <w:rsid w:val="004E4EE6"/>
    <w:rsid w:val="004E6CE4"/>
    <w:rsid w:val="004F34D1"/>
    <w:rsid w:val="004F468E"/>
    <w:rsid w:val="0050702D"/>
    <w:rsid w:val="0051715A"/>
    <w:rsid w:val="005331D8"/>
    <w:rsid w:val="00541549"/>
    <w:rsid w:val="005432D0"/>
    <w:rsid w:val="00546076"/>
    <w:rsid w:val="00547ACE"/>
    <w:rsid w:val="005507B0"/>
    <w:rsid w:val="00554A21"/>
    <w:rsid w:val="00556E0A"/>
    <w:rsid w:val="00563F2E"/>
    <w:rsid w:val="0057514F"/>
    <w:rsid w:val="00575E75"/>
    <w:rsid w:val="00583A39"/>
    <w:rsid w:val="005B076D"/>
    <w:rsid w:val="005B6702"/>
    <w:rsid w:val="005C5021"/>
    <w:rsid w:val="005D2F1C"/>
    <w:rsid w:val="005D4C57"/>
    <w:rsid w:val="005E2813"/>
    <w:rsid w:val="00604C2F"/>
    <w:rsid w:val="0062406B"/>
    <w:rsid w:val="00647F7C"/>
    <w:rsid w:val="00652937"/>
    <w:rsid w:val="00657639"/>
    <w:rsid w:val="006672E1"/>
    <w:rsid w:val="00680C93"/>
    <w:rsid w:val="006A04B6"/>
    <w:rsid w:val="006A2B78"/>
    <w:rsid w:val="006A6390"/>
    <w:rsid w:val="006D15D0"/>
    <w:rsid w:val="006D36F8"/>
    <w:rsid w:val="006D6CC1"/>
    <w:rsid w:val="006E7397"/>
    <w:rsid w:val="006E7C94"/>
    <w:rsid w:val="00711062"/>
    <w:rsid w:val="007142AB"/>
    <w:rsid w:val="007142D6"/>
    <w:rsid w:val="00716BCA"/>
    <w:rsid w:val="00720371"/>
    <w:rsid w:val="0073715D"/>
    <w:rsid w:val="0074110E"/>
    <w:rsid w:val="00742823"/>
    <w:rsid w:val="00764727"/>
    <w:rsid w:val="00766AD7"/>
    <w:rsid w:val="00775EB2"/>
    <w:rsid w:val="00782A12"/>
    <w:rsid w:val="007851DB"/>
    <w:rsid w:val="007A33A8"/>
    <w:rsid w:val="007A460E"/>
    <w:rsid w:val="007A6A1A"/>
    <w:rsid w:val="00804DAA"/>
    <w:rsid w:val="0082142B"/>
    <w:rsid w:val="008227A9"/>
    <w:rsid w:val="008450AB"/>
    <w:rsid w:val="008468BF"/>
    <w:rsid w:val="008526F4"/>
    <w:rsid w:val="008563C8"/>
    <w:rsid w:val="008573BF"/>
    <w:rsid w:val="00866F92"/>
    <w:rsid w:val="0086792A"/>
    <w:rsid w:val="00873EB6"/>
    <w:rsid w:val="008759B2"/>
    <w:rsid w:val="008A699B"/>
    <w:rsid w:val="008B0637"/>
    <w:rsid w:val="008C1ED7"/>
    <w:rsid w:val="008E330F"/>
    <w:rsid w:val="008E6574"/>
    <w:rsid w:val="008F5B26"/>
    <w:rsid w:val="008F6998"/>
    <w:rsid w:val="008F6D18"/>
    <w:rsid w:val="00911A75"/>
    <w:rsid w:val="009126F1"/>
    <w:rsid w:val="00923231"/>
    <w:rsid w:val="009335F9"/>
    <w:rsid w:val="00945135"/>
    <w:rsid w:val="00974910"/>
    <w:rsid w:val="009972BB"/>
    <w:rsid w:val="009A2251"/>
    <w:rsid w:val="009D5A32"/>
    <w:rsid w:val="009E68D3"/>
    <w:rsid w:val="009F09BC"/>
    <w:rsid w:val="00A23E82"/>
    <w:rsid w:val="00A305ED"/>
    <w:rsid w:val="00A35946"/>
    <w:rsid w:val="00A44DA0"/>
    <w:rsid w:val="00A5389C"/>
    <w:rsid w:val="00A626EB"/>
    <w:rsid w:val="00AC6DB5"/>
    <w:rsid w:val="00AD316E"/>
    <w:rsid w:val="00AD63B4"/>
    <w:rsid w:val="00AE6086"/>
    <w:rsid w:val="00AF4BBC"/>
    <w:rsid w:val="00B07BF8"/>
    <w:rsid w:val="00B11CDD"/>
    <w:rsid w:val="00B530E8"/>
    <w:rsid w:val="00B66F80"/>
    <w:rsid w:val="00B86242"/>
    <w:rsid w:val="00BA4537"/>
    <w:rsid w:val="00BF3FB5"/>
    <w:rsid w:val="00C03BA3"/>
    <w:rsid w:val="00C0715F"/>
    <w:rsid w:val="00C105CC"/>
    <w:rsid w:val="00C14F2A"/>
    <w:rsid w:val="00C21FAE"/>
    <w:rsid w:val="00C242A7"/>
    <w:rsid w:val="00C4157D"/>
    <w:rsid w:val="00C41B2B"/>
    <w:rsid w:val="00C41E57"/>
    <w:rsid w:val="00C47C3D"/>
    <w:rsid w:val="00C54D99"/>
    <w:rsid w:val="00C63AD7"/>
    <w:rsid w:val="00C64C68"/>
    <w:rsid w:val="00C85E64"/>
    <w:rsid w:val="00C87396"/>
    <w:rsid w:val="00C90814"/>
    <w:rsid w:val="00C91F0F"/>
    <w:rsid w:val="00CA1063"/>
    <w:rsid w:val="00CB757D"/>
    <w:rsid w:val="00CC5B2F"/>
    <w:rsid w:val="00CE7B83"/>
    <w:rsid w:val="00CF0D2B"/>
    <w:rsid w:val="00D021A5"/>
    <w:rsid w:val="00D16FC7"/>
    <w:rsid w:val="00D20A5F"/>
    <w:rsid w:val="00D31FC8"/>
    <w:rsid w:val="00D41237"/>
    <w:rsid w:val="00D47231"/>
    <w:rsid w:val="00D6224B"/>
    <w:rsid w:val="00D81329"/>
    <w:rsid w:val="00D84DEA"/>
    <w:rsid w:val="00D96104"/>
    <w:rsid w:val="00DA6D37"/>
    <w:rsid w:val="00DB753F"/>
    <w:rsid w:val="00DE2F5A"/>
    <w:rsid w:val="00DF03A5"/>
    <w:rsid w:val="00E118BA"/>
    <w:rsid w:val="00E17429"/>
    <w:rsid w:val="00E56172"/>
    <w:rsid w:val="00E5636B"/>
    <w:rsid w:val="00E566C9"/>
    <w:rsid w:val="00E61C13"/>
    <w:rsid w:val="00E61DA9"/>
    <w:rsid w:val="00E92E04"/>
    <w:rsid w:val="00ED1D6B"/>
    <w:rsid w:val="00ED3A35"/>
    <w:rsid w:val="00ED6E75"/>
    <w:rsid w:val="00F24A04"/>
    <w:rsid w:val="00F35B0C"/>
    <w:rsid w:val="00F42ADB"/>
    <w:rsid w:val="00F52E40"/>
    <w:rsid w:val="00F72588"/>
    <w:rsid w:val="00F7371C"/>
    <w:rsid w:val="00F946B5"/>
    <w:rsid w:val="00F965E3"/>
    <w:rsid w:val="00FA06F6"/>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1DE325"/>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87328-A265-40DB-96BE-8B9F0D5EC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7673</Words>
  <Characters>42203</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Lenovo</cp:lastModifiedBy>
  <cp:revision>6</cp:revision>
  <dcterms:created xsi:type="dcterms:W3CDTF">2022-06-14T20:39:00Z</dcterms:created>
  <dcterms:modified xsi:type="dcterms:W3CDTF">2022-07-12T19:57:00Z</dcterms:modified>
</cp:coreProperties>
</file>