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CE2" w:rsidRDefault="00F67CE2" w:rsidP="00F67CE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w:t>
      </w:r>
      <w:r w:rsidR="000C3CF7">
        <w:rPr>
          <w:rFonts w:ascii="Palatino Linotype" w:eastAsia="Palatino Linotype" w:hAnsi="Palatino Linotype" w:cs="Palatino Linotype"/>
          <w:color w:val="000000"/>
          <w:sz w:val="24"/>
          <w:szCs w:val="24"/>
        </w:rPr>
        <w:t xml:space="preserve"> diecisiete de agosto </w:t>
      </w:r>
      <w:r>
        <w:rPr>
          <w:rFonts w:ascii="Palatino Linotype" w:eastAsia="Palatino Linotype" w:hAnsi="Palatino Linotype" w:cs="Palatino Linotype"/>
          <w:color w:val="000000"/>
          <w:sz w:val="24"/>
          <w:szCs w:val="24"/>
        </w:rPr>
        <w:t>de dos mil veintidós.</w:t>
      </w:r>
    </w:p>
    <w:p w:rsidR="00F67CE2" w:rsidRDefault="00F67CE2" w:rsidP="00F67CE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F67CE2" w:rsidRDefault="00F67CE2" w:rsidP="00F67CE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Pr>
          <w:rFonts w:ascii="Palatino Linotype" w:eastAsia="Palatino Linotype" w:hAnsi="Palatino Linotype" w:cs="Palatino Linotype"/>
          <w:b/>
          <w:color w:val="000000"/>
          <w:sz w:val="24"/>
          <w:szCs w:val="24"/>
        </w:rPr>
        <w:t>012410/INFOEM/IP/RR/2022</w:t>
      </w:r>
      <w:r>
        <w:rPr>
          <w:rFonts w:ascii="Palatino Linotype" w:eastAsia="Palatino Linotype" w:hAnsi="Palatino Linotype" w:cs="Palatino Linotype"/>
          <w:color w:val="000000"/>
          <w:sz w:val="24"/>
          <w:szCs w:val="24"/>
        </w:rPr>
        <w:t xml:space="preserve">, interpuesto por </w:t>
      </w:r>
      <w:r w:rsidR="00904231">
        <w:rPr>
          <w:rFonts w:ascii="Palatino Linotype" w:eastAsia="Palatino Linotype" w:hAnsi="Palatino Linotype" w:cs="Palatino Linotype"/>
          <w:b/>
          <w:color w:val="000000"/>
          <w:sz w:val="24"/>
          <w:szCs w:val="24"/>
        </w:rPr>
        <w:t>XXXXXXXXXXXXXXXX</w:t>
      </w:r>
      <w:bookmarkStart w:id="0" w:name="_GoBack"/>
      <w:bookmarkEnd w:id="0"/>
      <w:r>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en contra de la respuesta del </w:t>
      </w:r>
      <w:r w:rsidRPr="00560A25">
        <w:rPr>
          <w:rFonts w:ascii="Palatino Linotype" w:hAnsi="Palatino Linotype" w:cs="Arial"/>
          <w:b/>
          <w:sz w:val="24"/>
          <w:szCs w:val="24"/>
        </w:rPr>
        <w:t>Ayuntamiento de Metepec</w:t>
      </w:r>
      <w:r w:rsidRPr="0051074E">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en lo subsecuente</w:t>
      </w:r>
      <w:r>
        <w:rPr>
          <w:rFonts w:ascii="Palatino Linotype" w:eastAsia="Palatino Linotype" w:hAnsi="Palatino Linotype" w:cs="Palatino Linotype"/>
          <w:b/>
          <w:color w:val="000000"/>
          <w:sz w:val="24"/>
          <w:szCs w:val="24"/>
        </w:rPr>
        <w:t xml:space="preserve"> </w:t>
      </w:r>
      <w:r w:rsidRPr="00D31865">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rsidR="00F67CE2" w:rsidRDefault="00F67CE2" w:rsidP="00F67CE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F67CE2" w:rsidRDefault="00F67CE2" w:rsidP="00F67CE2">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rsidR="00F67CE2" w:rsidRPr="00B54BC7" w:rsidRDefault="00F67CE2" w:rsidP="00F67CE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F67CE2" w:rsidRDefault="00F67CE2" w:rsidP="00F67CE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rsidR="00F67CE2" w:rsidRDefault="00F67CE2" w:rsidP="00F67CE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veinticuatro de mayo de dos mil veintidós, el </w:t>
      </w:r>
      <w:r w:rsidRPr="00560A25">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presentó mediante el Sistema de Acceso a la Información </w:t>
      </w:r>
      <w:r w:rsidRPr="00B54BC7">
        <w:rPr>
          <w:rFonts w:ascii="Palatino Linotype" w:eastAsia="Palatino Linotype" w:hAnsi="Palatino Linotype" w:cs="Palatino Linotype"/>
          <w:color w:val="000000"/>
          <w:sz w:val="24"/>
          <w:szCs w:val="24"/>
        </w:rPr>
        <w:t>Mexiquense (SAIMEX)</w:t>
      </w:r>
      <w:r>
        <w:rPr>
          <w:rFonts w:ascii="Palatino Linotype" w:eastAsia="Palatino Linotype" w:hAnsi="Palatino Linotype" w:cs="Palatino Linotype"/>
          <w:color w:val="000000"/>
          <w:sz w:val="24"/>
          <w:szCs w:val="24"/>
        </w:rPr>
        <w:t>, solicitud de información registrada con el número de expediente</w:t>
      </w:r>
      <w:r>
        <w:rPr>
          <w:rFonts w:ascii="Palatino Linotype" w:eastAsia="Palatino Linotype" w:hAnsi="Palatino Linotype" w:cs="Palatino Linotype"/>
          <w:b/>
          <w:color w:val="000000"/>
          <w:sz w:val="24"/>
          <w:szCs w:val="24"/>
        </w:rPr>
        <w:t xml:space="preserve"> </w:t>
      </w:r>
      <w:r w:rsidRPr="00F67CE2">
        <w:rPr>
          <w:rFonts w:ascii="Palatino Linotype" w:eastAsia="Palatino Linotype" w:hAnsi="Palatino Linotype" w:cs="Palatino Linotype"/>
          <w:b/>
          <w:bCs/>
          <w:color w:val="000000"/>
          <w:sz w:val="24"/>
          <w:szCs w:val="24"/>
        </w:rPr>
        <w:t>03511/METEPEC/IP/2022</w:t>
      </w:r>
      <w:r w:rsidRPr="003A7D55">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mediante la cual solicitó información en el tenor siguiente:</w:t>
      </w:r>
    </w:p>
    <w:p w:rsidR="00F67CE2" w:rsidRDefault="00F67CE2" w:rsidP="00F67CE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F67CE2" w:rsidRDefault="00F67CE2" w:rsidP="00F67CE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Pr="00F67CE2">
        <w:rPr>
          <w:rFonts w:ascii="Palatino Linotype" w:eastAsia="Palatino Linotype" w:hAnsi="Palatino Linotype" w:cs="Palatino Linotype"/>
          <w:i/>
          <w:color w:val="000000"/>
        </w:rPr>
        <w:t xml:space="preserve">Con fundamento en la ley de transparencia y acceso a la información, solicitamos EN VERSIÓN PUBLICA, todos y cada uno de los curriculumS vitae y solicitudes de empleo, de los servidores públicos, que integraron la plantilla completa de personal desde el coordinador general hasta el ultimo personal de intendencia que laboraron o laboran para el instituto municipal de cultura física y deporte de metepec, así mismo solicitamos,s se nos proporcione el monto de los ingresos quincenales netos, gratificaciones, bonos,liquidaciones finiquitos, aguinaldos o cualquier otra o prestación socio económica que recibieron todos y cada uno de los trabajadores, que integran la plantilla. así como el comprobante generado por la erogacion o egreso económico a favor de los trabajadores esto por el periodo </w:t>
      </w:r>
      <w:r w:rsidRPr="00F67CE2">
        <w:rPr>
          <w:rFonts w:ascii="Palatino Linotype" w:eastAsia="Palatino Linotype" w:hAnsi="Palatino Linotype" w:cs="Palatino Linotype"/>
          <w:i/>
          <w:color w:val="000000"/>
        </w:rPr>
        <w:lastRenderedPageBreak/>
        <w:t>comprendido del 01 de ENERO al 24 DE MAYO de 2022 . LA INFORMACIÓN ES CONTABLE Y DEBE SER TRANSPARENTADA, YA QUE COBRAN DEL PRESUPUESTO ASIGNADO Y SON CONTRIBUCIONES DE LOS MEXICANOS BIEN NACIDOS Y COMPROMETIDOS CON SU NACIÓN</w:t>
      </w:r>
      <w:r>
        <w:rPr>
          <w:rFonts w:ascii="Palatino Linotype" w:eastAsia="Palatino Linotype" w:hAnsi="Palatino Linotype" w:cs="Palatino Linotype"/>
          <w:i/>
          <w:color w:val="000000"/>
        </w:rPr>
        <w:t>” (Sic)</w:t>
      </w:r>
    </w:p>
    <w:p w:rsidR="00F67CE2" w:rsidRDefault="00F67CE2" w:rsidP="00F67CE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F67CE2" w:rsidRDefault="00F67CE2" w:rsidP="00F67CE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r w:rsidRPr="00CE69EC">
        <w:rPr>
          <w:rFonts w:ascii="Palatino Linotype" w:eastAsia="Palatino Linotype" w:hAnsi="Palatino Linotype" w:cs="Palatino Linotype"/>
          <w:color w:val="000000"/>
          <w:sz w:val="24"/>
          <w:szCs w:val="24"/>
        </w:rPr>
        <w:t>.</w:t>
      </w:r>
    </w:p>
    <w:p w:rsidR="00F67CE2" w:rsidRDefault="00F67CE2" w:rsidP="00F67CE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F67CE2" w:rsidRDefault="00F67CE2" w:rsidP="00F67CE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F67CE2" w:rsidRDefault="00F67CE2" w:rsidP="00F67CE2">
      <w:pPr>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b/>
          <w:sz w:val="28"/>
          <w:szCs w:val="24"/>
          <w:lang w:eastAsia="en-US"/>
        </w:rPr>
        <w:t>SEGUNDO</w:t>
      </w:r>
      <w:r w:rsidRPr="00560A25">
        <w:rPr>
          <w:rFonts w:ascii="Palatino Linotype" w:eastAsiaTheme="minorHAnsi" w:hAnsi="Palatino Linotype" w:cs="Arial"/>
          <w:b/>
          <w:sz w:val="24"/>
          <w:szCs w:val="24"/>
          <w:lang w:eastAsia="en-US"/>
        </w:rPr>
        <w:t xml:space="preserve">. </w:t>
      </w:r>
      <w:r w:rsidRPr="00560A25">
        <w:rPr>
          <w:rFonts w:ascii="Palatino Linotype" w:eastAsiaTheme="minorHAnsi" w:hAnsi="Palatino Linotype" w:cs="Arial"/>
          <w:sz w:val="24"/>
          <w:szCs w:val="24"/>
          <w:lang w:eastAsia="en-US"/>
        </w:rPr>
        <w:t xml:space="preserve">De las constancias que integran el expediente virtual, se observa que, en fecha </w:t>
      </w:r>
      <w:r>
        <w:rPr>
          <w:rFonts w:ascii="Palatino Linotype" w:eastAsiaTheme="minorHAnsi" w:hAnsi="Palatino Linotype" w:cs="Arial"/>
          <w:sz w:val="24"/>
          <w:szCs w:val="24"/>
          <w:lang w:eastAsia="en-US"/>
        </w:rPr>
        <w:t xml:space="preserve">catorce de junio </w:t>
      </w:r>
      <w:r w:rsidRPr="00560A25">
        <w:rPr>
          <w:rFonts w:ascii="Palatino Linotype" w:eastAsiaTheme="minorHAnsi" w:hAnsi="Palatino Linotype" w:cs="Arial"/>
          <w:sz w:val="24"/>
          <w:szCs w:val="24"/>
          <w:lang w:eastAsia="en-US"/>
        </w:rPr>
        <w:t xml:space="preserve">de dos mil veintidós, el </w:t>
      </w:r>
      <w:r w:rsidRPr="00560A25">
        <w:rPr>
          <w:rFonts w:ascii="Palatino Linotype" w:eastAsiaTheme="minorHAnsi" w:hAnsi="Palatino Linotype" w:cs="Arial"/>
          <w:b/>
          <w:sz w:val="24"/>
          <w:szCs w:val="24"/>
          <w:lang w:eastAsia="en-US"/>
        </w:rPr>
        <w:t>Sujeto Obligado</w:t>
      </w:r>
      <w:r w:rsidRPr="00560A25">
        <w:rPr>
          <w:rFonts w:ascii="Palatino Linotype" w:eastAsiaTheme="minorHAnsi" w:hAnsi="Palatino Linotype" w:cs="Arial"/>
          <w:sz w:val="24"/>
          <w:szCs w:val="24"/>
          <w:lang w:eastAsia="en-US"/>
        </w:rPr>
        <w:t xml:space="preserve"> notificó al </w:t>
      </w:r>
      <w:r w:rsidRPr="00560A25">
        <w:rPr>
          <w:rFonts w:ascii="Palatino Linotype" w:eastAsiaTheme="minorHAnsi" w:hAnsi="Palatino Linotype" w:cs="Arial"/>
          <w:b/>
          <w:sz w:val="24"/>
          <w:szCs w:val="24"/>
          <w:lang w:eastAsia="en-US"/>
        </w:rPr>
        <w:t>Recurrente</w:t>
      </w:r>
      <w:r w:rsidRPr="00560A25">
        <w:rPr>
          <w:rFonts w:ascii="Palatino Linotype" w:eastAsiaTheme="minorHAnsi" w:hAnsi="Palatino Linotype" w:cs="Arial"/>
          <w:sz w:val="24"/>
          <w:szCs w:val="24"/>
          <w:lang w:eastAsia="en-US"/>
        </w:rPr>
        <w:t xml:space="preserve"> el documento denominado “</w:t>
      </w:r>
      <w:r w:rsidRPr="00F67CE2">
        <w:rPr>
          <w:rFonts w:ascii="Palatino Linotype" w:eastAsiaTheme="minorHAnsi" w:hAnsi="Palatino Linotype" w:cs="Arial"/>
          <w:sz w:val="24"/>
          <w:szCs w:val="24"/>
          <w:lang w:eastAsia="en-US"/>
        </w:rPr>
        <w:t>Acta 05-EXT-2022.PDF</w:t>
      </w:r>
      <w:r w:rsidRPr="00560A25">
        <w:rPr>
          <w:rFonts w:ascii="Palatino Linotype" w:eastAsiaTheme="minorHAnsi" w:hAnsi="Palatino Linotype" w:cs="Arial"/>
          <w:sz w:val="24"/>
          <w:szCs w:val="24"/>
          <w:lang w:eastAsia="en-US"/>
        </w:rPr>
        <w:t>”, consistente en el Acta</w:t>
      </w:r>
      <w:r>
        <w:rPr>
          <w:rFonts w:ascii="Palatino Linotype" w:eastAsiaTheme="minorHAnsi" w:hAnsi="Palatino Linotype" w:cs="Arial"/>
          <w:sz w:val="24"/>
          <w:szCs w:val="24"/>
          <w:lang w:eastAsia="en-US"/>
        </w:rPr>
        <w:t xml:space="preserve"> No.</w:t>
      </w:r>
      <w:r w:rsidRPr="00560A25">
        <w:rPr>
          <w:rFonts w:ascii="Palatino Linotype" w:eastAsiaTheme="minorHAnsi" w:hAnsi="Palatino Linotype" w:cs="Arial"/>
          <w:sz w:val="24"/>
          <w:szCs w:val="24"/>
          <w:lang w:eastAsia="en-US"/>
        </w:rPr>
        <w:t xml:space="preserve"> CT/MET/</w:t>
      </w:r>
      <w:r>
        <w:rPr>
          <w:rFonts w:ascii="Palatino Linotype" w:eastAsiaTheme="minorHAnsi" w:hAnsi="Palatino Linotype" w:cs="Arial"/>
          <w:sz w:val="24"/>
          <w:szCs w:val="24"/>
          <w:lang w:eastAsia="en-US"/>
        </w:rPr>
        <w:t>EXT-05</w:t>
      </w:r>
      <w:r w:rsidRPr="00560A25">
        <w:rPr>
          <w:rFonts w:ascii="Palatino Linotype" w:eastAsiaTheme="minorHAnsi" w:hAnsi="Palatino Linotype" w:cs="Arial"/>
          <w:sz w:val="24"/>
          <w:szCs w:val="24"/>
          <w:lang w:eastAsia="en-US"/>
        </w:rPr>
        <w:t>/2022 de la</w:t>
      </w:r>
      <w:r>
        <w:rPr>
          <w:rFonts w:ascii="Palatino Linotype" w:eastAsiaTheme="minorHAnsi" w:hAnsi="Palatino Linotype" w:cs="Arial"/>
          <w:sz w:val="24"/>
          <w:szCs w:val="24"/>
          <w:lang w:eastAsia="en-US"/>
        </w:rPr>
        <w:t xml:space="preserve"> Quinta</w:t>
      </w:r>
      <w:r w:rsidRPr="00560A25">
        <w:rPr>
          <w:rFonts w:ascii="Palatino Linotype" w:eastAsiaTheme="minorHAnsi" w:hAnsi="Palatino Linotype" w:cs="Arial"/>
          <w:sz w:val="24"/>
          <w:szCs w:val="24"/>
          <w:lang w:eastAsia="en-US"/>
        </w:rPr>
        <w:t xml:space="preserve"> Sesión </w:t>
      </w:r>
      <w:r>
        <w:rPr>
          <w:rFonts w:ascii="Palatino Linotype" w:eastAsiaTheme="minorHAnsi" w:hAnsi="Palatino Linotype" w:cs="Arial"/>
          <w:sz w:val="24"/>
          <w:szCs w:val="24"/>
          <w:lang w:eastAsia="en-US"/>
        </w:rPr>
        <w:t>Extraordinaria</w:t>
      </w:r>
      <w:r w:rsidRPr="00560A25">
        <w:rPr>
          <w:rFonts w:ascii="Palatino Linotype" w:eastAsiaTheme="minorHAnsi" w:hAnsi="Palatino Linotype" w:cs="Arial"/>
          <w:sz w:val="24"/>
          <w:szCs w:val="24"/>
          <w:lang w:eastAsia="en-US"/>
        </w:rPr>
        <w:t xml:space="preserve"> de su Comité de Transparencia, de fecha </w:t>
      </w:r>
      <w:r>
        <w:rPr>
          <w:rFonts w:ascii="Palatino Linotype" w:eastAsiaTheme="minorHAnsi" w:hAnsi="Palatino Linotype" w:cs="Arial"/>
          <w:sz w:val="24"/>
          <w:szCs w:val="24"/>
          <w:lang w:eastAsia="en-US"/>
        </w:rPr>
        <w:t xml:space="preserve">veintiséis de mayo </w:t>
      </w:r>
      <w:r w:rsidRPr="00560A25">
        <w:rPr>
          <w:rFonts w:ascii="Palatino Linotype" w:eastAsiaTheme="minorHAnsi" w:hAnsi="Palatino Linotype" w:cs="Arial"/>
          <w:sz w:val="24"/>
          <w:szCs w:val="24"/>
          <w:lang w:eastAsia="en-US"/>
        </w:rPr>
        <w:t xml:space="preserve">de dos mil veintidós, a través de la cual aprobó </w:t>
      </w:r>
      <w:r>
        <w:rPr>
          <w:rFonts w:ascii="Palatino Linotype" w:eastAsiaTheme="minorHAnsi" w:hAnsi="Palatino Linotype" w:cs="Arial"/>
          <w:sz w:val="24"/>
          <w:szCs w:val="24"/>
          <w:lang w:eastAsia="en-US"/>
        </w:rPr>
        <w:t xml:space="preserve">la aprobación como información confidencial y emisión de la versión pública de diversas solicitudes, así como la prórroga para dar contestación a las solicitudes de información con folios de 03427/METEPEC/IP/2022 a la </w:t>
      </w:r>
      <w:r w:rsidRPr="00F67CE2">
        <w:rPr>
          <w:rFonts w:ascii="Palatino Linotype" w:eastAsiaTheme="minorHAnsi" w:hAnsi="Palatino Linotype" w:cs="Arial"/>
          <w:sz w:val="24"/>
          <w:szCs w:val="24"/>
          <w:lang w:eastAsia="en-US"/>
        </w:rPr>
        <w:t>03514/METEPEC/IP/2022</w:t>
      </w:r>
      <w:r>
        <w:rPr>
          <w:rFonts w:ascii="Palatino Linotype" w:eastAsiaTheme="minorHAnsi" w:hAnsi="Palatino Linotype" w:cs="Arial"/>
          <w:sz w:val="24"/>
          <w:szCs w:val="24"/>
          <w:lang w:eastAsia="en-US"/>
        </w:rPr>
        <w:t xml:space="preserve">, encontrándose dentro de dicho parámetro la solicitud </w:t>
      </w:r>
      <w:r w:rsidRPr="00FC7D10">
        <w:rPr>
          <w:rFonts w:ascii="Palatino Linotype" w:eastAsiaTheme="minorHAnsi" w:hAnsi="Palatino Linotype" w:cs="Arial"/>
          <w:b/>
          <w:sz w:val="24"/>
          <w:szCs w:val="24"/>
          <w:lang w:eastAsia="en-US"/>
        </w:rPr>
        <w:t>03</w:t>
      </w:r>
      <w:r>
        <w:rPr>
          <w:rFonts w:ascii="Palatino Linotype" w:eastAsiaTheme="minorHAnsi" w:hAnsi="Palatino Linotype" w:cs="Arial"/>
          <w:b/>
          <w:sz w:val="24"/>
          <w:szCs w:val="24"/>
          <w:lang w:eastAsia="en-US"/>
        </w:rPr>
        <w:t>511</w:t>
      </w:r>
      <w:r w:rsidRPr="00FC7D10">
        <w:rPr>
          <w:rFonts w:ascii="Palatino Linotype" w:eastAsiaTheme="minorHAnsi" w:hAnsi="Palatino Linotype" w:cs="Arial"/>
          <w:b/>
          <w:sz w:val="24"/>
          <w:szCs w:val="24"/>
          <w:lang w:eastAsia="en-US"/>
        </w:rPr>
        <w:t>/METEPEC/IP/2022</w:t>
      </w:r>
      <w:r>
        <w:rPr>
          <w:rFonts w:ascii="Palatino Linotype" w:eastAsiaTheme="minorHAnsi" w:hAnsi="Palatino Linotype" w:cs="Arial"/>
          <w:sz w:val="24"/>
          <w:szCs w:val="24"/>
          <w:lang w:eastAsia="en-US"/>
        </w:rPr>
        <w:t xml:space="preserve"> correspondiente a la solicitud de información origen del recurso de revisión en que se emite la presente resolución.</w:t>
      </w:r>
    </w:p>
    <w:p w:rsidR="00F67CE2" w:rsidRDefault="00F67CE2" w:rsidP="00F67CE2">
      <w:pPr>
        <w:spacing w:after="0" w:line="360" w:lineRule="auto"/>
        <w:jc w:val="both"/>
        <w:rPr>
          <w:rFonts w:ascii="Palatino Linotype" w:eastAsiaTheme="minorHAnsi" w:hAnsi="Palatino Linotype" w:cs="Arial"/>
          <w:sz w:val="24"/>
          <w:szCs w:val="24"/>
          <w:lang w:eastAsia="en-US"/>
        </w:rPr>
      </w:pPr>
    </w:p>
    <w:p w:rsidR="00F67CE2" w:rsidRPr="00560A25" w:rsidRDefault="00F67CE2" w:rsidP="00F67CE2">
      <w:pPr>
        <w:spacing w:after="0" w:line="360" w:lineRule="auto"/>
        <w:jc w:val="both"/>
        <w:rPr>
          <w:rFonts w:ascii="Palatino Linotype" w:eastAsiaTheme="minorHAnsi" w:hAnsi="Palatino Linotype" w:cs="Arial"/>
          <w:b/>
          <w:sz w:val="24"/>
          <w:szCs w:val="24"/>
          <w:lang w:eastAsia="en-US"/>
        </w:rPr>
      </w:pPr>
    </w:p>
    <w:p w:rsidR="00F67CE2" w:rsidRDefault="00F67CE2" w:rsidP="00F67CE2">
      <w:pPr>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b/>
          <w:sz w:val="28"/>
          <w:szCs w:val="28"/>
          <w:lang w:eastAsia="en-US"/>
        </w:rPr>
        <w:t xml:space="preserve">TERCERO. </w:t>
      </w:r>
      <w:r w:rsidRPr="00560A25">
        <w:rPr>
          <w:rFonts w:ascii="Palatino Linotype" w:eastAsiaTheme="minorHAnsi" w:hAnsi="Palatino Linotype" w:cs="Arial"/>
          <w:sz w:val="24"/>
          <w:szCs w:val="24"/>
          <w:lang w:eastAsia="en-US"/>
        </w:rPr>
        <w:t xml:space="preserve">Una vez transcurridos tanto el término normal como el término ampliado para dar respuesta a la solicitud de información de mérito, con base en las </w:t>
      </w:r>
      <w:r w:rsidRPr="00560A25">
        <w:rPr>
          <w:rFonts w:ascii="Palatino Linotype" w:eastAsiaTheme="minorHAnsi" w:hAnsi="Palatino Linotype" w:cs="Arial"/>
          <w:sz w:val="24"/>
          <w:szCs w:val="24"/>
          <w:lang w:eastAsia="en-US"/>
        </w:rPr>
        <w:lastRenderedPageBreak/>
        <w:t xml:space="preserve">constancias contenidas en el expediente virtual del </w:t>
      </w:r>
      <w:r w:rsidRPr="00560A25">
        <w:rPr>
          <w:rFonts w:ascii="Palatino Linotype" w:eastAsiaTheme="minorHAnsi" w:hAnsi="Palatino Linotype" w:cs="Arial"/>
          <w:b/>
          <w:sz w:val="24"/>
          <w:szCs w:val="24"/>
          <w:lang w:eastAsia="en-US"/>
        </w:rPr>
        <w:t>SAIMEX,</w:t>
      </w:r>
      <w:r w:rsidRPr="00560A25">
        <w:rPr>
          <w:rFonts w:ascii="Palatino Linotype" w:eastAsiaTheme="minorHAnsi" w:hAnsi="Palatino Linotype" w:cs="Arial"/>
          <w:sz w:val="24"/>
          <w:szCs w:val="24"/>
          <w:lang w:eastAsia="en-US"/>
        </w:rPr>
        <w:t xml:space="preserve"> se aprecia que el</w:t>
      </w:r>
      <w:r w:rsidRPr="00560A25">
        <w:rPr>
          <w:rFonts w:ascii="Palatino Linotype" w:eastAsiaTheme="minorHAnsi" w:hAnsi="Palatino Linotype" w:cs="Arial"/>
          <w:b/>
          <w:sz w:val="24"/>
          <w:szCs w:val="24"/>
          <w:lang w:eastAsia="en-US"/>
        </w:rPr>
        <w:t xml:space="preserve"> Sujeto Obligado</w:t>
      </w:r>
      <w:r w:rsidRPr="00560A25">
        <w:rPr>
          <w:rFonts w:ascii="Palatino Linotype" w:eastAsiaTheme="minorHAnsi" w:hAnsi="Palatino Linotype" w:cs="Arial"/>
          <w:sz w:val="24"/>
          <w:szCs w:val="24"/>
          <w:lang w:eastAsia="en-US"/>
        </w:rPr>
        <w:t xml:space="preserve"> no dio </w:t>
      </w:r>
      <w:r>
        <w:rPr>
          <w:rFonts w:ascii="Palatino Linotype" w:eastAsiaTheme="minorHAnsi" w:hAnsi="Palatino Linotype" w:cs="Arial"/>
          <w:sz w:val="24"/>
          <w:szCs w:val="24"/>
          <w:lang w:eastAsia="en-US"/>
        </w:rPr>
        <w:t>respuesta a la solicitud de información.</w:t>
      </w:r>
    </w:p>
    <w:p w:rsidR="00F67CE2" w:rsidRDefault="00F67CE2" w:rsidP="00F67CE2">
      <w:pPr>
        <w:spacing w:after="0" w:line="360" w:lineRule="auto"/>
        <w:jc w:val="both"/>
        <w:rPr>
          <w:rFonts w:ascii="Palatino Linotype" w:eastAsiaTheme="minorHAnsi" w:hAnsi="Palatino Linotype" w:cs="Arial"/>
          <w:sz w:val="24"/>
          <w:szCs w:val="24"/>
          <w:lang w:eastAsia="en-US"/>
        </w:rPr>
      </w:pPr>
    </w:p>
    <w:p w:rsidR="00F67CE2" w:rsidRPr="00560A25" w:rsidRDefault="00F67CE2" w:rsidP="00F67CE2">
      <w:pPr>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 xml:space="preserve"> </w:t>
      </w:r>
    </w:p>
    <w:p w:rsidR="00F67CE2" w:rsidRPr="00560A25" w:rsidRDefault="00F67CE2" w:rsidP="00F67CE2">
      <w:pPr>
        <w:spacing w:after="0" w:line="360" w:lineRule="auto"/>
        <w:jc w:val="both"/>
        <w:rPr>
          <w:rFonts w:ascii="Palatino Linotype" w:eastAsiaTheme="minorHAnsi" w:hAnsi="Palatino Linotype" w:cs="Arial"/>
          <w:sz w:val="24"/>
          <w:szCs w:val="24"/>
          <w:lang w:eastAsia="en-US"/>
        </w:rPr>
      </w:pPr>
      <w:r w:rsidRPr="00560A25">
        <w:rPr>
          <w:rFonts w:ascii="Palatino Linotype" w:eastAsia="Times New Roman" w:hAnsi="Palatino Linotype" w:cs="Arial"/>
          <w:b/>
          <w:sz w:val="28"/>
          <w:lang w:eastAsia="es-ES"/>
        </w:rPr>
        <w:t>CUARTO</w:t>
      </w:r>
      <w:r w:rsidRPr="00560A25">
        <w:rPr>
          <w:rFonts w:ascii="Palatino Linotype" w:eastAsiaTheme="minorHAnsi" w:hAnsi="Palatino Linotype" w:cs="Arial"/>
          <w:sz w:val="24"/>
          <w:szCs w:val="24"/>
          <w:lang w:eastAsia="en-US"/>
        </w:rPr>
        <w:t xml:space="preserve">. Inconforme ante la falta de respuesta por parte del </w:t>
      </w:r>
      <w:r w:rsidRPr="00560A25">
        <w:rPr>
          <w:rFonts w:ascii="Palatino Linotype" w:eastAsiaTheme="minorHAnsi" w:hAnsi="Palatino Linotype" w:cs="Arial"/>
          <w:b/>
          <w:sz w:val="24"/>
          <w:szCs w:val="24"/>
          <w:lang w:eastAsia="en-US"/>
        </w:rPr>
        <w:t>Sujeto Obligado</w:t>
      </w:r>
      <w:r w:rsidRPr="00560A25">
        <w:rPr>
          <w:rFonts w:ascii="Palatino Linotype" w:eastAsiaTheme="minorHAnsi" w:hAnsi="Palatino Linotype" w:cs="Arial"/>
          <w:sz w:val="24"/>
          <w:szCs w:val="24"/>
          <w:lang w:eastAsia="en-US"/>
        </w:rPr>
        <w:t xml:space="preserve">, el ahora </w:t>
      </w:r>
      <w:r w:rsidRPr="00560A25">
        <w:rPr>
          <w:rFonts w:ascii="Palatino Linotype" w:eastAsiaTheme="minorHAnsi" w:hAnsi="Palatino Linotype" w:cs="Arial"/>
          <w:b/>
          <w:sz w:val="24"/>
          <w:szCs w:val="24"/>
          <w:lang w:eastAsia="en-US"/>
        </w:rPr>
        <w:t>Recurrente</w:t>
      </w:r>
      <w:r w:rsidRPr="00560A25">
        <w:rPr>
          <w:rFonts w:ascii="Palatino Linotype" w:eastAsiaTheme="minorHAnsi" w:hAnsi="Palatino Linotype" w:cs="Arial"/>
          <w:sz w:val="24"/>
          <w:szCs w:val="24"/>
          <w:lang w:eastAsia="en-US"/>
        </w:rPr>
        <w:t xml:space="preserve"> en fecha </w:t>
      </w:r>
      <w:r w:rsidR="00B71459">
        <w:rPr>
          <w:rFonts w:ascii="Palatino Linotype" w:eastAsiaTheme="minorHAnsi" w:hAnsi="Palatino Linotype" w:cs="Arial"/>
          <w:sz w:val="24"/>
          <w:szCs w:val="24"/>
          <w:lang w:eastAsia="en-US"/>
        </w:rPr>
        <w:t xml:space="preserve">cinco de julio </w:t>
      </w:r>
      <w:r w:rsidRPr="00560A25">
        <w:rPr>
          <w:rFonts w:ascii="Palatino Linotype" w:eastAsiaTheme="minorHAnsi" w:hAnsi="Palatino Linotype" w:cs="Arial"/>
          <w:sz w:val="24"/>
          <w:szCs w:val="24"/>
          <w:lang w:eastAsia="en-US"/>
        </w:rPr>
        <w:t>de dos mil veintidós, interpuso recurso de revisión, que fue registrado</w:t>
      </w:r>
      <w:r w:rsidRPr="00560A25">
        <w:rPr>
          <w:rFonts w:ascii="Palatino Linotype" w:eastAsiaTheme="minorHAnsi" w:hAnsi="Palatino Linotype" w:cs="Arial"/>
          <w:b/>
          <w:sz w:val="24"/>
          <w:szCs w:val="24"/>
          <w:lang w:eastAsia="en-US"/>
        </w:rPr>
        <w:t xml:space="preserve"> </w:t>
      </w:r>
      <w:r w:rsidRPr="00560A25">
        <w:rPr>
          <w:rFonts w:ascii="Palatino Linotype" w:eastAsiaTheme="minorHAnsi" w:hAnsi="Palatino Linotype" w:cs="Arial"/>
          <w:sz w:val="24"/>
          <w:szCs w:val="24"/>
          <w:lang w:eastAsia="en-US"/>
        </w:rPr>
        <w:t xml:space="preserve">en el sistema electrónico con número de expediente </w:t>
      </w:r>
      <w:r w:rsidRPr="00560A25">
        <w:rPr>
          <w:rFonts w:ascii="Palatino Linotype" w:eastAsiaTheme="minorHAnsi" w:hAnsi="Palatino Linotype" w:cs="Arial"/>
          <w:b/>
          <w:bCs/>
          <w:sz w:val="24"/>
          <w:szCs w:val="24"/>
        </w:rPr>
        <w:t>0</w:t>
      </w:r>
      <w:r>
        <w:rPr>
          <w:rFonts w:ascii="Palatino Linotype" w:eastAsiaTheme="minorHAnsi" w:hAnsi="Palatino Linotype" w:cs="Arial"/>
          <w:b/>
          <w:bCs/>
          <w:sz w:val="24"/>
          <w:szCs w:val="24"/>
        </w:rPr>
        <w:t>1</w:t>
      </w:r>
      <w:r w:rsidR="00B71459">
        <w:rPr>
          <w:rFonts w:ascii="Palatino Linotype" w:eastAsiaTheme="minorHAnsi" w:hAnsi="Palatino Linotype" w:cs="Arial"/>
          <w:b/>
          <w:bCs/>
          <w:sz w:val="24"/>
          <w:szCs w:val="24"/>
        </w:rPr>
        <w:t>2410</w:t>
      </w:r>
      <w:r w:rsidRPr="00560A25">
        <w:rPr>
          <w:rFonts w:ascii="Palatino Linotype" w:eastAsiaTheme="minorHAnsi" w:hAnsi="Palatino Linotype" w:cs="Arial"/>
          <w:b/>
          <w:bCs/>
          <w:sz w:val="24"/>
          <w:szCs w:val="24"/>
        </w:rPr>
        <w:t>/INFOEM/IP/RR/2022</w:t>
      </w:r>
      <w:r w:rsidRPr="00560A25">
        <w:rPr>
          <w:rFonts w:ascii="Palatino Linotype" w:eastAsiaTheme="minorHAnsi" w:hAnsi="Palatino Linotype" w:cs="Arial"/>
          <w:sz w:val="24"/>
          <w:szCs w:val="24"/>
          <w:lang w:eastAsia="en-US"/>
        </w:rPr>
        <w:t>, aduciendo como acto impugnado y razones o motivos de inconformidad, los siguientes:</w:t>
      </w:r>
    </w:p>
    <w:p w:rsidR="00F67CE2" w:rsidRPr="00560A25" w:rsidRDefault="00F67CE2" w:rsidP="00F67CE2">
      <w:pPr>
        <w:spacing w:after="0" w:line="360" w:lineRule="auto"/>
        <w:jc w:val="both"/>
        <w:rPr>
          <w:rFonts w:ascii="Palatino Linotype" w:eastAsiaTheme="minorHAnsi" w:hAnsi="Palatino Linotype" w:cs="Arial"/>
          <w:b/>
          <w:sz w:val="24"/>
          <w:szCs w:val="24"/>
          <w:lang w:eastAsia="en-US"/>
        </w:rPr>
      </w:pPr>
    </w:p>
    <w:p w:rsidR="00F67CE2" w:rsidRDefault="00F67CE2" w:rsidP="00F67CE2">
      <w:pPr>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b/>
          <w:sz w:val="24"/>
          <w:szCs w:val="24"/>
          <w:lang w:val="es-ES" w:eastAsia="es-ES"/>
        </w:rPr>
        <w:t>Acto Impugnado:</w:t>
      </w:r>
    </w:p>
    <w:p w:rsidR="00F67CE2" w:rsidRPr="00FC7D10" w:rsidRDefault="00F67CE2" w:rsidP="00F67CE2">
      <w:pPr>
        <w:spacing w:after="0" w:line="360" w:lineRule="auto"/>
        <w:jc w:val="both"/>
        <w:rPr>
          <w:rFonts w:ascii="Palatino Linotype" w:eastAsia="Times New Roman" w:hAnsi="Palatino Linotype" w:cs="Arial"/>
          <w:sz w:val="24"/>
          <w:szCs w:val="24"/>
          <w:lang w:val="es-ES" w:eastAsia="es-ES"/>
        </w:rPr>
      </w:pPr>
    </w:p>
    <w:p w:rsidR="00F67CE2" w:rsidRPr="00560A25" w:rsidRDefault="00F67CE2" w:rsidP="00F67CE2">
      <w:pPr>
        <w:spacing w:after="0" w:line="240" w:lineRule="auto"/>
        <w:ind w:left="567" w:right="567"/>
        <w:jc w:val="both"/>
        <w:rPr>
          <w:rFonts w:ascii="Palatino Linotype" w:eastAsiaTheme="minorHAnsi" w:hAnsi="Palatino Linotype" w:cstheme="minorBidi"/>
          <w:i/>
          <w:color w:val="000000"/>
          <w:lang w:eastAsia="en-US"/>
        </w:rPr>
      </w:pPr>
      <w:r w:rsidRPr="00560A25">
        <w:rPr>
          <w:rFonts w:ascii="Palatino Linotype" w:eastAsiaTheme="minorHAnsi" w:hAnsi="Palatino Linotype" w:cs="Arial"/>
          <w:i/>
          <w:lang w:eastAsia="en-US"/>
        </w:rPr>
        <w:t>“</w:t>
      </w:r>
      <w:r w:rsidR="00B71459" w:rsidRPr="00B71459">
        <w:rPr>
          <w:rFonts w:ascii="Palatino Linotype" w:eastAsiaTheme="minorHAnsi" w:hAnsi="Palatino Linotype" w:cstheme="minorBidi"/>
          <w:i/>
          <w:color w:val="000000"/>
          <w:lang w:eastAsia="en-US"/>
        </w:rPr>
        <w:t>SE IMPUGNA EL ACTO</w:t>
      </w:r>
      <w:r w:rsidRPr="00560A25">
        <w:rPr>
          <w:rFonts w:ascii="Palatino Linotype" w:eastAsiaTheme="minorHAnsi" w:hAnsi="Palatino Linotype" w:cstheme="minorBidi"/>
          <w:i/>
          <w:color w:val="000000"/>
          <w:lang w:eastAsia="en-US"/>
        </w:rPr>
        <w:t>” (sic)</w:t>
      </w:r>
    </w:p>
    <w:p w:rsidR="00F67CE2" w:rsidRPr="00560A25" w:rsidRDefault="00F67CE2" w:rsidP="00F67CE2">
      <w:pPr>
        <w:spacing w:after="0" w:line="360" w:lineRule="auto"/>
        <w:jc w:val="both"/>
        <w:rPr>
          <w:rFonts w:ascii="Palatino Linotype" w:eastAsiaTheme="minorHAnsi" w:hAnsi="Palatino Linotype" w:cs="Arial"/>
          <w:sz w:val="24"/>
          <w:szCs w:val="24"/>
          <w:lang w:eastAsia="en-US"/>
        </w:rPr>
      </w:pPr>
    </w:p>
    <w:p w:rsidR="00F67CE2" w:rsidRPr="00560A25" w:rsidRDefault="00F67CE2" w:rsidP="00F67CE2">
      <w:pPr>
        <w:spacing w:after="0" w:line="360" w:lineRule="auto"/>
        <w:jc w:val="both"/>
        <w:rPr>
          <w:rFonts w:ascii="Palatino Linotype" w:eastAsiaTheme="minorHAnsi" w:hAnsi="Palatino Linotype" w:cs="Arial"/>
          <w:sz w:val="28"/>
          <w:szCs w:val="24"/>
          <w:lang w:eastAsia="en-US"/>
        </w:rPr>
      </w:pPr>
      <w:r w:rsidRPr="00560A25">
        <w:rPr>
          <w:rFonts w:ascii="Palatino Linotype" w:eastAsiaTheme="minorHAnsi" w:hAnsi="Palatino Linotype" w:cs="Arial"/>
          <w:b/>
          <w:sz w:val="24"/>
          <w:lang w:eastAsia="en-US"/>
        </w:rPr>
        <w:t>Razones o motivos de inconformidad:</w:t>
      </w:r>
    </w:p>
    <w:p w:rsidR="00F67CE2" w:rsidRPr="00560A25" w:rsidRDefault="00F67CE2" w:rsidP="00F67CE2">
      <w:pPr>
        <w:spacing w:after="0" w:line="360" w:lineRule="auto"/>
        <w:jc w:val="both"/>
        <w:rPr>
          <w:rFonts w:ascii="Palatino Linotype" w:eastAsiaTheme="minorHAnsi" w:hAnsi="Palatino Linotype" w:cs="Arial"/>
          <w:sz w:val="24"/>
          <w:szCs w:val="24"/>
          <w:lang w:eastAsia="en-US"/>
        </w:rPr>
      </w:pPr>
    </w:p>
    <w:p w:rsidR="00F67CE2" w:rsidRPr="00560A25" w:rsidRDefault="00F67CE2" w:rsidP="00F67CE2">
      <w:pPr>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i/>
          <w:szCs w:val="24"/>
          <w:lang w:eastAsia="en-US"/>
        </w:rPr>
        <w:t>“</w:t>
      </w:r>
      <w:r w:rsidR="00B71459" w:rsidRPr="00B71459">
        <w:rPr>
          <w:rFonts w:ascii="Palatino Linotype" w:eastAsiaTheme="minorHAnsi" w:hAnsi="Palatino Linotype" w:cs="Arial"/>
          <w:i/>
          <w:szCs w:val="24"/>
          <w:lang w:eastAsia="en-US"/>
        </w:rPr>
        <w:t>A LOS DIRECTIVOS NO LES GUSTA LA RENDICIÓN DE CUENTAS SE BURLAN DEL INFOEM Y USUARIOS</w:t>
      </w:r>
      <w:r>
        <w:rPr>
          <w:rFonts w:ascii="Palatino Linotype" w:eastAsiaTheme="minorHAnsi" w:hAnsi="Palatino Linotype" w:cs="Arial"/>
          <w:i/>
          <w:szCs w:val="24"/>
          <w:lang w:eastAsia="en-US"/>
        </w:rPr>
        <w:t>”</w:t>
      </w:r>
    </w:p>
    <w:p w:rsidR="00F67CE2" w:rsidRDefault="00F67CE2" w:rsidP="00F67CE2">
      <w:pPr>
        <w:spacing w:after="0" w:line="360" w:lineRule="auto"/>
        <w:jc w:val="both"/>
        <w:rPr>
          <w:rFonts w:ascii="Palatino Linotype" w:eastAsiaTheme="minorHAnsi" w:hAnsi="Palatino Linotype" w:cs="Arial"/>
          <w:sz w:val="24"/>
          <w:szCs w:val="24"/>
          <w:lang w:eastAsia="en-US"/>
        </w:rPr>
      </w:pPr>
    </w:p>
    <w:p w:rsidR="00F67CE2" w:rsidRPr="00560A25" w:rsidRDefault="00F67CE2" w:rsidP="00F67CE2">
      <w:pPr>
        <w:spacing w:after="0" w:line="360" w:lineRule="auto"/>
        <w:jc w:val="both"/>
        <w:rPr>
          <w:rFonts w:ascii="Palatino Linotype" w:eastAsiaTheme="minorHAnsi" w:hAnsi="Palatino Linotype" w:cs="Arial"/>
          <w:sz w:val="24"/>
          <w:szCs w:val="24"/>
          <w:lang w:eastAsia="en-US"/>
        </w:rPr>
      </w:pPr>
    </w:p>
    <w:p w:rsidR="00F67CE2" w:rsidRPr="00560A25" w:rsidRDefault="00F67CE2" w:rsidP="00F67CE2">
      <w:pPr>
        <w:spacing w:after="0" w:line="360" w:lineRule="auto"/>
        <w:ind w:right="49"/>
        <w:jc w:val="both"/>
        <w:rPr>
          <w:rFonts w:ascii="Palatino Linotype" w:eastAsia="Times New Roman" w:hAnsi="Palatino Linotype" w:cs="Arial"/>
          <w:sz w:val="24"/>
          <w:szCs w:val="24"/>
          <w:lang w:val="es-ES_tradnl" w:eastAsia="es-ES"/>
        </w:rPr>
      </w:pPr>
      <w:r w:rsidRPr="00560A25">
        <w:rPr>
          <w:rFonts w:ascii="Palatino Linotype" w:eastAsia="Times New Roman" w:hAnsi="Palatino Linotype" w:cs="Arial"/>
          <w:b/>
          <w:sz w:val="28"/>
          <w:lang w:eastAsia="es-ES"/>
        </w:rPr>
        <w:t xml:space="preserve">QUINTO. </w:t>
      </w:r>
      <w:r w:rsidRPr="00560A25">
        <w:rPr>
          <w:rFonts w:ascii="Palatino Linotype" w:eastAsia="Times New Roman" w:hAnsi="Palatino Linotype" w:cs="Arial"/>
          <w:sz w:val="24"/>
          <w:szCs w:val="24"/>
          <w:lang w:val="es-ES" w:eastAsia="es-ES"/>
        </w:rPr>
        <w:t xml:space="preserve">En fecha </w:t>
      </w:r>
      <w:r w:rsidR="00B71459">
        <w:rPr>
          <w:rFonts w:ascii="Palatino Linotype" w:eastAsiaTheme="minorHAnsi" w:hAnsi="Palatino Linotype" w:cs="Arial"/>
          <w:sz w:val="24"/>
          <w:szCs w:val="24"/>
          <w:lang w:eastAsia="en-US"/>
        </w:rPr>
        <w:t xml:space="preserve">cinco de julio </w:t>
      </w:r>
      <w:r w:rsidRPr="00560A25">
        <w:rPr>
          <w:rFonts w:ascii="Palatino Linotype" w:eastAsiaTheme="minorHAnsi" w:hAnsi="Palatino Linotype" w:cs="Arial"/>
          <w:sz w:val="24"/>
          <w:szCs w:val="24"/>
          <w:lang w:eastAsia="en-US"/>
        </w:rPr>
        <w:t>de dos mil veintidós</w:t>
      </w:r>
      <w:r w:rsidRPr="00560A25">
        <w:rPr>
          <w:rFonts w:ascii="Palatino Linotype" w:eastAsia="Times New Roman" w:hAnsi="Palatino Linotype" w:cs="Arial"/>
          <w:sz w:val="24"/>
          <w:szCs w:val="24"/>
          <w:lang w:val="es-ES" w:eastAsia="es-ES"/>
        </w:rPr>
        <w:t xml:space="preserve">, el </w:t>
      </w:r>
      <w:r w:rsidRPr="00560A25">
        <w:rPr>
          <w:rFonts w:ascii="Palatino Linotype" w:eastAsia="Times New Roman" w:hAnsi="Palatino Linotype" w:cs="Arial"/>
          <w:sz w:val="24"/>
          <w:szCs w:val="24"/>
          <w:lang w:val="es-ES_tradnl" w:eastAsia="es-ES"/>
        </w:rPr>
        <w:t>recurso de que</w:t>
      </w:r>
      <w:r w:rsidRPr="00560A25">
        <w:rPr>
          <w:rFonts w:ascii="Palatino Linotype" w:eastAsia="Times New Roman" w:hAnsi="Palatino Linotype" w:cs="Arial"/>
          <w:sz w:val="24"/>
          <w:szCs w:val="24"/>
          <w:lang w:val="es-ES" w:eastAsia="es-ES"/>
        </w:rPr>
        <w:t xml:space="preserve"> se trata</w:t>
      </w:r>
      <w:r w:rsidRPr="00560A25">
        <w:rPr>
          <w:rFonts w:ascii="Palatino Linotype" w:eastAsia="Times New Roman" w:hAnsi="Palatino Linotype" w:cs="Arial"/>
          <w:sz w:val="24"/>
          <w:szCs w:val="24"/>
          <w:lang w:val="es-ES_tradnl" w:eastAsia="es-ES"/>
        </w:rPr>
        <w:t xml:space="preserve"> se envió electrónicamente al Instituto de </w:t>
      </w:r>
      <w:r w:rsidRPr="00560A25">
        <w:rPr>
          <w:rFonts w:ascii="Palatino Linotype" w:eastAsia="Arial Unicode MS" w:hAnsi="Palatino Linotype" w:cs="Arial"/>
          <w:sz w:val="24"/>
          <w:szCs w:val="24"/>
          <w:lang w:val="es-ES" w:eastAsia="es-ES"/>
        </w:rPr>
        <w:t>Transparencia</w:t>
      </w:r>
      <w:r w:rsidRPr="00560A25">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560A25">
        <w:rPr>
          <w:rFonts w:ascii="Palatino Linotype" w:eastAsia="Times New Roman" w:hAnsi="Palatino Linotype" w:cs="Times New Roman"/>
          <w:sz w:val="24"/>
          <w:szCs w:val="24"/>
          <w:lang w:val="es-ES" w:eastAsia="es-ES"/>
        </w:rPr>
        <w:t xml:space="preserve">Ley de Transparencia y Acceso a la </w:t>
      </w:r>
      <w:r w:rsidRPr="00560A25">
        <w:rPr>
          <w:rFonts w:ascii="Palatino Linotype" w:eastAsia="Times New Roman" w:hAnsi="Palatino Linotype" w:cs="Times New Roman"/>
          <w:sz w:val="24"/>
          <w:szCs w:val="24"/>
          <w:lang w:val="es-ES" w:eastAsia="es-ES"/>
        </w:rPr>
        <w:lastRenderedPageBreak/>
        <w:t>Información Pública del Estado de México y Municipios</w:t>
      </w:r>
      <w:r w:rsidRPr="00560A25">
        <w:rPr>
          <w:rFonts w:ascii="Palatino Linotype" w:eastAsia="Times New Roman" w:hAnsi="Palatino Linotype" w:cs="Arial"/>
          <w:sz w:val="24"/>
          <w:szCs w:val="24"/>
          <w:lang w:val="es-ES_tradnl" w:eastAsia="es-ES"/>
        </w:rPr>
        <w:t>, se turnó a través del</w:t>
      </w:r>
      <w:r w:rsidRPr="00560A25">
        <w:rPr>
          <w:rFonts w:ascii="Palatino Linotype" w:eastAsia="Arial Unicode MS" w:hAnsi="Palatino Linotype" w:cs="Arial"/>
          <w:sz w:val="24"/>
          <w:szCs w:val="24"/>
          <w:lang w:val="es-ES_tradnl" w:eastAsia="es-ES"/>
        </w:rPr>
        <w:t xml:space="preserve"> </w:t>
      </w:r>
      <w:r w:rsidRPr="00560A25">
        <w:rPr>
          <w:rFonts w:ascii="Palatino Linotype" w:eastAsia="Arial Unicode MS" w:hAnsi="Palatino Linotype" w:cs="Arial"/>
          <w:b/>
          <w:sz w:val="24"/>
          <w:szCs w:val="24"/>
          <w:lang w:val="es-ES_tradnl" w:eastAsia="es-ES"/>
        </w:rPr>
        <w:t>SAIMEX</w:t>
      </w:r>
      <w:r w:rsidRPr="00560A25">
        <w:rPr>
          <w:rFonts w:ascii="Palatino Linotype" w:eastAsia="Times New Roman" w:hAnsi="Palatino Linotype" w:cs="Times New Roman"/>
          <w:sz w:val="24"/>
          <w:szCs w:val="24"/>
          <w:lang w:val="es-ES" w:eastAsia="es-ES"/>
        </w:rPr>
        <w:t xml:space="preserve"> al </w:t>
      </w:r>
      <w:r w:rsidRPr="00560A25">
        <w:rPr>
          <w:rFonts w:ascii="Palatino Linotype" w:eastAsia="Times New Roman" w:hAnsi="Palatino Linotype" w:cs="Arial"/>
          <w:sz w:val="24"/>
          <w:szCs w:val="24"/>
          <w:lang w:val="es-ES_tradnl" w:eastAsia="es-ES"/>
        </w:rPr>
        <w:t xml:space="preserve">Comisionado </w:t>
      </w:r>
      <w:r w:rsidRPr="00560A25">
        <w:rPr>
          <w:rFonts w:ascii="Palatino Linotype" w:eastAsia="Times New Roman" w:hAnsi="Palatino Linotype" w:cs="Arial"/>
          <w:b/>
          <w:sz w:val="24"/>
          <w:szCs w:val="24"/>
          <w:lang w:val="es-ES_tradnl" w:eastAsia="es-ES"/>
        </w:rPr>
        <w:t xml:space="preserve">JOSÉ MARTÍNEZ VILCHIS, </w:t>
      </w:r>
      <w:r w:rsidRPr="00560A25">
        <w:rPr>
          <w:rFonts w:ascii="Palatino Linotype" w:eastAsia="Times New Roman" w:hAnsi="Palatino Linotype" w:cs="Arial"/>
          <w:sz w:val="24"/>
          <w:szCs w:val="24"/>
          <w:lang w:val="es-ES_tradnl" w:eastAsia="es-ES"/>
        </w:rPr>
        <w:t>a efecto de que decretara su admisión o desechamiento.</w:t>
      </w:r>
    </w:p>
    <w:p w:rsidR="00F67CE2" w:rsidRDefault="00F67CE2" w:rsidP="00F67CE2">
      <w:pPr>
        <w:spacing w:after="0" w:line="360" w:lineRule="auto"/>
        <w:ind w:right="49"/>
        <w:jc w:val="both"/>
        <w:rPr>
          <w:rFonts w:ascii="Palatino Linotype" w:eastAsia="Times New Roman" w:hAnsi="Palatino Linotype" w:cs="Arial"/>
          <w:sz w:val="24"/>
          <w:szCs w:val="24"/>
          <w:lang w:val="es-ES_tradnl" w:eastAsia="es-ES"/>
        </w:rPr>
      </w:pPr>
    </w:p>
    <w:p w:rsidR="00F67CE2" w:rsidRPr="00560A25" w:rsidRDefault="00F67CE2" w:rsidP="00F67CE2">
      <w:pPr>
        <w:spacing w:after="0" w:line="360" w:lineRule="auto"/>
        <w:ind w:right="49"/>
        <w:jc w:val="both"/>
        <w:rPr>
          <w:rFonts w:ascii="Palatino Linotype" w:eastAsia="Times New Roman" w:hAnsi="Palatino Linotype" w:cs="Arial"/>
          <w:sz w:val="24"/>
          <w:szCs w:val="24"/>
          <w:lang w:val="es-ES_tradnl" w:eastAsia="es-ES"/>
        </w:rPr>
      </w:pPr>
    </w:p>
    <w:p w:rsidR="00F67CE2" w:rsidRPr="00560A25" w:rsidRDefault="00F67CE2" w:rsidP="00F67CE2">
      <w:pPr>
        <w:spacing w:after="0" w:line="360" w:lineRule="auto"/>
        <w:ind w:right="49"/>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b/>
          <w:sz w:val="28"/>
          <w:szCs w:val="28"/>
          <w:lang w:val="es-ES_tradnl" w:eastAsia="es-ES"/>
        </w:rPr>
        <w:t xml:space="preserve">SEXTO. </w:t>
      </w:r>
      <w:r w:rsidRPr="00560A25">
        <w:rPr>
          <w:rFonts w:ascii="Palatino Linotype" w:eastAsia="Times New Roman" w:hAnsi="Palatino Linotype" w:cs="Arial"/>
          <w:sz w:val="24"/>
          <w:szCs w:val="24"/>
          <w:lang w:val="es-ES_tradnl" w:eastAsia="es-ES"/>
        </w:rPr>
        <w:t>E</w:t>
      </w:r>
      <w:r w:rsidRPr="00560A25">
        <w:rPr>
          <w:rFonts w:ascii="Palatino Linotype" w:eastAsia="Times New Roman" w:hAnsi="Palatino Linotype" w:cs="Arial"/>
          <w:sz w:val="24"/>
          <w:szCs w:val="24"/>
          <w:lang w:val="es-ES" w:eastAsia="es-ES"/>
        </w:rPr>
        <w:t xml:space="preserve">n fecha </w:t>
      </w:r>
      <w:r w:rsidR="00B71459">
        <w:rPr>
          <w:rFonts w:ascii="Palatino Linotype" w:eastAsia="Times New Roman" w:hAnsi="Palatino Linotype" w:cs="Arial"/>
          <w:sz w:val="24"/>
          <w:szCs w:val="24"/>
          <w:lang w:val="es-ES" w:eastAsia="es-ES"/>
        </w:rPr>
        <w:t xml:space="preserve">ocho de julio </w:t>
      </w:r>
      <w:r w:rsidRPr="00560A25">
        <w:rPr>
          <w:rFonts w:ascii="Palatino Linotype" w:eastAsia="Times New Roman" w:hAnsi="Palatino Linotype" w:cs="Arial"/>
          <w:sz w:val="24"/>
          <w:szCs w:val="24"/>
          <w:lang w:val="es-ES" w:eastAsia="es-ES"/>
        </w:rPr>
        <w:t xml:space="preserve">de dos mil veintidós, atento a lo dispuesto en el </w:t>
      </w:r>
      <w:r w:rsidRPr="00560A25">
        <w:rPr>
          <w:rFonts w:ascii="Palatino Linotype" w:eastAsia="Times New Roman" w:hAnsi="Palatino Linotype" w:cs="Arial"/>
          <w:sz w:val="24"/>
          <w:szCs w:val="24"/>
          <w:lang w:val="es-ES_tradnl" w:eastAsia="es-ES"/>
        </w:rPr>
        <w:t>artículo</w:t>
      </w:r>
      <w:r w:rsidRPr="00560A25">
        <w:rPr>
          <w:rFonts w:ascii="Palatino Linotype" w:eastAsia="Times New Roman" w:hAnsi="Palatino Linotype" w:cs="Arial"/>
          <w:sz w:val="24"/>
          <w:szCs w:val="24"/>
          <w:lang w:val="es-ES" w:eastAsia="es-ES"/>
        </w:rPr>
        <w:t xml:space="preserve"> 185 fracciones I, II y IV </w:t>
      </w:r>
      <w:r w:rsidRPr="00560A25">
        <w:rPr>
          <w:rFonts w:ascii="Palatino Linotype" w:eastAsia="Times New Roman" w:hAnsi="Palatino Linotype" w:cs="Arial"/>
          <w:sz w:val="24"/>
          <w:szCs w:val="24"/>
          <w:lang w:val="es-ES_tradnl" w:eastAsia="es-ES"/>
        </w:rPr>
        <w:t xml:space="preserve">de la </w:t>
      </w:r>
      <w:r w:rsidRPr="00560A25">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0A25">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F67CE2" w:rsidRDefault="00F67CE2" w:rsidP="00F67CE2">
      <w:pPr>
        <w:spacing w:after="0" w:line="360" w:lineRule="auto"/>
        <w:jc w:val="both"/>
        <w:rPr>
          <w:rFonts w:ascii="Palatino Linotype" w:eastAsiaTheme="minorHAnsi" w:hAnsi="Palatino Linotype" w:cs="Arial"/>
          <w:sz w:val="24"/>
          <w:szCs w:val="28"/>
          <w:lang w:val="es-ES" w:eastAsia="en-US"/>
        </w:rPr>
      </w:pPr>
    </w:p>
    <w:p w:rsidR="00F67CE2" w:rsidRPr="00560A25" w:rsidRDefault="00F67CE2" w:rsidP="00F67CE2">
      <w:pPr>
        <w:spacing w:after="0" w:line="360" w:lineRule="auto"/>
        <w:jc w:val="both"/>
        <w:rPr>
          <w:rFonts w:ascii="Palatino Linotype" w:eastAsiaTheme="minorHAnsi" w:hAnsi="Palatino Linotype" w:cs="Arial"/>
          <w:sz w:val="24"/>
          <w:szCs w:val="28"/>
          <w:lang w:val="es-ES" w:eastAsia="en-US"/>
        </w:rPr>
      </w:pPr>
    </w:p>
    <w:p w:rsidR="00F67CE2" w:rsidRPr="002B0B59" w:rsidRDefault="00F67CE2" w:rsidP="00F67CE2">
      <w:pPr>
        <w:spacing w:after="0" w:line="360" w:lineRule="auto"/>
        <w:jc w:val="both"/>
        <w:rPr>
          <w:rFonts w:ascii="Palatino Linotype" w:eastAsiaTheme="minorHAnsi" w:hAnsi="Palatino Linotype" w:cs="Arial"/>
          <w:sz w:val="24"/>
          <w:szCs w:val="24"/>
          <w:lang w:eastAsia="en-US"/>
        </w:rPr>
      </w:pPr>
      <w:r>
        <w:rPr>
          <w:rFonts w:ascii="Palatino Linotype" w:eastAsia="Times New Roman" w:hAnsi="Palatino Linotype" w:cs="Arial"/>
          <w:b/>
          <w:sz w:val="28"/>
          <w:szCs w:val="28"/>
          <w:lang w:val="es-ES_tradnl" w:eastAsia="es-ES"/>
        </w:rPr>
        <w:t>SÉPTIMO</w:t>
      </w:r>
      <w:r w:rsidRPr="002B0B59">
        <w:rPr>
          <w:rFonts w:ascii="Palatino Linotype" w:eastAsiaTheme="minorHAnsi" w:hAnsi="Palatino Linotype" w:cs="Arial"/>
          <w:b/>
          <w:sz w:val="28"/>
          <w:szCs w:val="28"/>
          <w:lang w:eastAsia="en-US"/>
        </w:rPr>
        <w:t xml:space="preserve">. </w:t>
      </w:r>
      <w:r w:rsidRPr="002B0B59">
        <w:rPr>
          <w:rFonts w:ascii="Palatino Linotype" w:eastAsiaTheme="minorHAnsi" w:hAnsi="Palatino Linotype" w:cs="Arial"/>
          <w:sz w:val="24"/>
          <w:szCs w:val="24"/>
          <w:lang w:eastAsia="en-US"/>
        </w:rPr>
        <w:t xml:space="preserve">Una vez abierta la etapa de instrucción, se advierte que tanto el </w:t>
      </w:r>
      <w:r w:rsidRPr="002B0B59">
        <w:rPr>
          <w:rFonts w:ascii="Palatino Linotype" w:eastAsiaTheme="minorHAnsi" w:hAnsi="Palatino Linotype" w:cs="Arial"/>
          <w:b/>
          <w:sz w:val="24"/>
          <w:szCs w:val="24"/>
          <w:lang w:eastAsia="en-US"/>
        </w:rPr>
        <w:t>Sujeto Obligado</w:t>
      </w:r>
      <w:r w:rsidRPr="002B0B59">
        <w:rPr>
          <w:rFonts w:ascii="Palatino Linotype" w:eastAsiaTheme="minorHAnsi" w:hAnsi="Palatino Linotype" w:cs="Arial"/>
          <w:sz w:val="24"/>
          <w:szCs w:val="24"/>
          <w:lang w:eastAsia="en-US"/>
        </w:rPr>
        <w:t xml:space="preserve"> como </w:t>
      </w:r>
      <w:r>
        <w:rPr>
          <w:rFonts w:ascii="Palatino Linotype" w:eastAsiaTheme="minorHAnsi" w:hAnsi="Palatino Linotype" w:cs="Arial"/>
          <w:sz w:val="24"/>
          <w:szCs w:val="24"/>
          <w:lang w:eastAsia="en-US"/>
        </w:rPr>
        <w:t>el</w:t>
      </w:r>
      <w:r w:rsidRPr="002B0B59">
        <w:rPr>
          <w:rFonts w:ascii="Palatino Linotype" w:eastAsiaTheme="minorHAnsi" w:hAnsi="Palatino Linotype" w:cs="Arial"/>
          <w:sz w:val="24"/>
          <w:szCs w:val="24"/>
          <w:lang w:eastAsia="en-US"/>
        </w:rPr>
        <w:t xml:space="preserve"> </w:t>
      </w:r>
      <w:r w:rsidRPr="002B0B59">
        <w:rPr>
          <w:rFonts w:ascii="Palatino Linotype" w:eastAsiaTheme="minorHAnsi" w:hAnsi="Palatino Linotype" w:cs="Arial"/>
          <w:b/>
          <w:sz w:val="24"/>
          <w:szCs w:val="24"/>
          <w:lang w:eastAsia="en-US"/>
        </w:rPr>
        <w:t>Recurrente,</w:t>
      </w:r>
      <w:r w:rsidRPr="002B0B59">
        <w:rPr>
          <w:rFonts w:ascii="Palatino Linotype" w:eastAsiaTheme="minorHAnsi" w:hAnsi="Palatino Linotype" w:cs="Arial"/>
          <w:sz w:val="24"/>
          <w:szCs w:val="24"/>
          <w:lang w:eastAsia="en-US"/>
        </w:rPr>
        <w:t xml:space="preserve"> fueron omisos en rendir dentro del término de Ley, su informe justificado y sus a efecto que presentara las manifestaciones que a sus intereses conviniera, respectivamente.</w:t>
      </w:r>
    </w:p>
    <w:p w:rsidR="00F67CE2" w:rsidRPr="002B0B59" w:rsidRDefault="00F67CE2" w:rsidP="00F67CE2">
      <w:pPr>
        <w:spacing w:after="0" w:line="360" w:lineRule="auto"/>
        <w:jc w:val="both"/>
        <w:rPr>
          <w:rFonts w:ascii="Palatino Linotype" w:eastAsiaTheme="minorHAnsi" w:hAnsi="Palatino Linotype" w:cs="Arial"/>
          <w:sz w:val="24"/>
          <w:szCs w:val="24"/>
          <w:lang w:eastAsia="en-US"/>
        </w:rPr>
      </w:pPr>
    </w:p>
    <w:p w:rsidR="00F67CE2" w:rsidRPr="002B0B59" w:rsidRDefault="00F67CE2" w:rsidP="00F67CE2">
      <w:pPr>
        <w:spacing w:after="0" w:line="360" w:lineRule="auto"/>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Así mismo se aprecia que no se llevaron a cabo audiencias durante la sustanciación del recurso de revisión, ni se ofrecieron pruebas por parte del hoy </w:t>
      </w:r>
      <w:r w:rsidRPr="002B0B59">
        <w:rPr>
          <w:rFonts w:ascii="Palatino Linotype" w:eastAsiaTheme="minorHAnsi" w:hAnsi="Palatino Linotype" w:cs="Arial"/>
          <w:b/>
          <w:sz w:val="24"/>
          <w:szCs w:val="24"/>
          <w:lang w:eastAsia="en-US"/>
        </w:rPr>
        <w:t>Recurrente</w:t>
      </w:r>
      <w:r w:rsidRPr="002B0B59">
        <w:rPr>
          <w:rFonts w:ascii="Palatino Linotype" w:eastAsiaTheme="minorHAnsi" w:hAnsi="Palatino Linotype" w:cs="Arial"/>
          <w:sz w:val="24"/>
          <w:szCs w:val="24"/>
          <w:lang w:eastAsia="en-US"/>
        </w:rPr>
        <w:t xml:space="preserve">; todo lo </w:t>
      </w:r>
      <w:r w:rsidRPr="002B0B59">
        <w:rPr>
          <w:rFonts w:ascii="Palatino Linotype" w:eastAsiaTheme="minorHAnsi" w:hAnsi="Palatino Linotype" w:cs="Arial"/>
          <w:sz w:val="24"/>
          <w:szCs w:val="24"/>
          <w:lang w:eastAsia="en-US"/>
        </w:rPr>
        <w:lastRenderedPageBreak/>
        <w:t>anterior en términos de los artículos 185 fracciones II y IV, y 195 de la Ley de Transparencia y Acceso a la Información Pública del Estado de México y Municipios.</w:t>
      </w:r>
    </w:p>
    <w:p w:rsidR="00F67CE2" w:rsidRDefault="00F67CE2" w:rsidP="00F67CE2">
      <w:pPr>
        <w:spacing w:after="0" w:line="360" w:lineRule="auto"/>
        <w:jc w:val="both"/>
        <w:rPr>
          <w:rFonts w:ascii="Palatino Linotype" w:eastAsiaTheme="minorHAnsi" w:hAnsi="Palatino Linotype" w:cs="Arial"/>
          <w:sz w:val="24"/>
          <w:szCs w:val="24"/>
          <w:lang w:eastAsia="en-US"/>
        </w:rPr>
      </w:pPr>
    </w:p>
    <w:p w:rsidR="00F67CE2" w:rsidRPr="002B0B59" w:rsidRDefault="00F67CE2" w:rsidP="00F67CE2">
      <w:pPr>
        <w:spacing w:after="0" w:line="360" w:lineRule="auto"/>
        <w:jc w:val="both"/>
        <w:rPr>
          <w:rFonts w:ascii="Palatino Linotype" w:eastAsiaTheme="minorHAnsi" w:hAnsi="Palatino Linotype" w:cs="Arial"/>
          <w:sz w:val="24"/>
          <w:szCs w:val="24"/>
          <w:lang w:eastAsia="en-US"/>
        </w:rPr>
      </w:pPr>
    </w:p>
    <w:p w:rsidR="00F67CE2" w:rsidRPr="002B0B59" w:rsidRDefault="00F67CE2" w:rsidP="00F67CE2">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b/>
          <w:sz w:val="28"/>
          <w:szCs w:val="28"/>
          <w:lang w:eastAsia="en-US"/>
        </w:rPr>
        <w:t>OCTAVO</w:t>
      </w:r>
      <w:r w:rsidRPr="002B0B59">
        <w:rPr>
          <w:rFonts w:ascii="Palatino Linotype" w:eastAsiaTheme="minorHAnsi" w:hAnsi="Palatino Linotype" w:cs="Arial"/>
          <w:b/>
          <w:sz w:val="28"/>
          <w:szCs w:val="28"/>
          <w:lang w:eastAsia="en-US"/>
        </w:rPr>
        <w:t xml:space="preserve">. </w:t>
      </w:r>
      <w:r w:rsidRPr="002B0B59">
        <w:rPr>
          <w:rFonts w:ascii="Palatino Linotype" w:eastAsiaTheme="minorHAnsi" w:hAnsi="Palatino Linotype" w:cs="Arial"/>
          <w:sz w:val="24"/>
          <w:szCs w:val="24"/>
          <w:lang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B71459">
        <w:rPr>
          <w:rFonts w:ascii="Palatino Linotype" w:eastAsiaTheme="minorHAnsi" w:hAnsi="Palatino Linotype" w:cs="Arial"/>
          <w:sz w:val="24"/>
          <w:szCs w:val="24"/>
          <w:lang w:eastAsia="en-US"/>
        </w:rPr>
        <w:t>tres</w:t>
      </w:r>
      <w:r>
        <w:rPr>
          <w:rFonts w:ascii="Palatino Linotype" w:eastAsiaTheme="minorHAnsi" w:hAnsi="Palatino Linotype" w:cs="Arial"/>
          <w:sz w:val="24"/>
          <w:szCs w:val="24"/>
          <w:lang w:eastAsia="en-US"/>
        </w:rPr>
        <w:t xml:space="preserve"> de </w:t>
      </w:r>
      <w:r w:rsidR="00B71459">
        <w:rPr>
          <w:rFonts w:ascii="Palatino Linotype" w:eastAsiaTheme="minorHAnsi" w:hAnsi="Palatino Linotype" w:cs="Arial"/>
          <w:sz w:val="24"/>
          <w:szCs w:val="24"/>
          <w:lang w:eastAsia="en-US"/>
        </w:rPr>
        <w:t>agosto</w:t>
      </w:r>
      <w:r>
        <w:rPr>
          <w:rFonts w:ascii="Palatino Linotype" w:eastAsiaTheme="minorHAnsi" w:hAnsi="Palatino Linotype" w:cs="Arial"/>
          <w:sz w:val="24"/>
          <w:szCs w:val="24"/>
          <w:lang w:eastAsia="en-US"/>
        </w:rPr>
        <w:t xml:space="preserve"> </w:t>
      </w:r>
      <w:r w:rsidRPr="002B0B59">
        <w:rPr>
          <w:rFonts w:ascii="Palatino Linotype" w:eastAsiaTheme="minorHAnsi" w:hAnsi="Palatino Linotype" w:cs="Arial"/>
          <w:sz w:val="24"/>
          <w:szCs w:val="24"/>
          <w:lang w:eastAsia="en-US"/>
        </w:rPr>
        <w:t>de dos mil veintidós, en términos del artículo 185 fracción VI de la Ley de Transparencia y Acceso a la Información Pública del Estado de México y Municipios, ordenándose turnar los expedientes a la resolución que en derecho proceda.</w:t>
      </w:r>
    </w:p>
    <w:p w:rsidR="00F67CE2" w:rsidRPr="002B0B59" w:rsidRDefault="00F67CE2" w:rsidP="00F67CE2">
      <w:pPr>
        <w:spacing w:after="0" w:line="360" w:lineRule="auto"/>
        <w:jc w:val="both"/>
        <w:rPr>
          <w:rFonts w:ascii="Palatino Linotype" w:eastAsiaTheme="minorHAnsi" w:hAnsi="Palatino Linotype" w:cs="Arial"/>
          <w:sz w:val="24"/>
          <w:szCs w:val="24"/>
          <w:lang w:eastAsia="en-US"/>
        </w:rPr>
      </w:pPr>
    </w:p>
    <w:p w:rsidR="00F67CE2" w:rsidRPr="00560A25" w:rsidRDefault="00F67CE2" w:rsidP="00F67CE2">
      <w:pPr>
        <w:spacing w:after="0" w:line="360" w:lineRule="auto"/>
        <w:jc w:val="both"/>
        <w:rPr>
          <w:rFonts w:ascii="Palatino Linotype" w:eastAsiaTheme="minorHAnsi" w:hAnsi="Palatino Linotype" w:cs="Arial"/>
          <w:sz w:val="24"/>
          <w:szCs w:val="24"/>
          <w:lang w:eastAsia="en-US"/>
        </w:rPr>
      </w:pPr>
    </w:p>
    <w:p w:rsidR="00F67CE2" w:rsidRPr="00560A25" w:rsidRDefault="00F67CE2" w:rsidP="00F67CE2">
      <w:pPr>
        <w:spacing w:after="0" w:line="360" w:lineRule="auto"/>
        <w:jc w:val="center"/>
        <w:rPr>
          <w:rFonts w:ascii="Palatino Linotype" w:eastAsiaTheme="minorHAnsi" w:hAnsi="Palatino Linotype" w:cs="Arial"/>
          <w:sz w:val="24"/>
          <w:szCs w:val="24"/>
          <w:lang w:eastAsia="en-US"/>
        </w:rPr>
      </w:pPr>
      <w:r w:rsidRPr="00560A25">
        <w:rPr>
          <w:rFonts w:ascii="Palatino Linotype" w:eastAsiaTheme="minorHAnsi" w:hAnsi="Palatino Linotype" w:cs="Arial"/>
          <w:b/>
          <w:sz w:val="28"/>
          <w:szCs w:val="24"/>
          <w:lang w:eastAsia="en-US"/>
        </w:rPr>
        <w:t xml:space="preserve">C O N S I D E R A N D O </w:t>
      </w:r>
    </w:p>
    <w:p w:rsidR="00F67CE2" w:rsidRPr="00560A25" w:rsidRDefault="00F67CE2" w:rsidP="00F67CE2">
      <w:pPr>
        <w:spacing w:after="0" w:line="360" w:lineRule="auto"/>
        <w:jc w:val="center"/>
        <w:rPr>
          <w:rFonts w:ascii="Palatino Linotype" w:eastAsiaTheme="minorHAnsi" w:hAnsi="Palatino Linotype" w:cs="Arial"/>
          <w:sz w:val="24"/>
          <w:szCs w:val="24"/>
          <w:lang w:eastAsia="en-US"/>
        </w:rPr>
      </w:pPr>
    </w:p>
    <w:p w:rsidR="00F67CE2" w:rsidRPr="00560A25" w:rsidRDefault="00F67CE2" w:rsidP="00F67CE2">
      <w:pPr>
        <w:spacing w:after="0" w:line="360" w:lineRule="auto"/>
        <w:jc w:val="both"/>
        <w:rPr>
          <w:rFonts w:ascii="Palatino Linotype" w:eastAsiaTheme="minorHAnsi" w:hAnsi="Palatino Linotype" w:cs="Arial"/>
          <w:sz w:val="28"/>
          <w:szCs w:val="28"/>
          <w:lang w:eastAsia="en-US"/>
        </w:rPr>
      </w:pPr>
      <w:r w:rsidRPr="00560A25">
        <w:rPr>
          <w:rFonts w:ascii="Palatino Linotype" w:eastAsiaTheme="minorHAnsi" w:hAnsi="Palatino Linotype" w:cs="Arial"/>
          <w:b/>
          <w:sz w:val="28"/>
          <w:szCs w:val="28"/>
          <w:lang w:eastAsia="en-US"/>
        </w:rPr>
        <w:t xml:space="preserve">PRIMERO. </w:t>
      </w:r>
      <w:r w:rsidRPr="00560A25">
        <w:rPr>
          <w:rFonts w:ascii="Palatino Linotype" w:eastAsiaTheme="minorHAnsi" w:hAnsi="Palatino Linotype" w:cs="Arial"/>
          <w:b/>
          <w:sz w:val="26"/>
          <w:szCs w:val="26"/>
          <w:lang w:eastAsia="en-US"/>
        </w:rPr>
        <w:t>De la competencia</w:t>
      </w:r>
      <w:r w:rsidRPr="00560A25">
        <w:rPr>
          <w:rFonts w:ascii="Palatino Linotype" w:eastAsiaTheme="minorHAnsi" w:hAnsi="Palatino Linotype" w:cs="Arial"/>
          <w:sz w:val="26"/>
          <w:szCs w:val="26"/>
          <w:lang w:eastAsia="en-US"/>
        </w:rPr>
        <w:t>.</w:t>
      </w:r>
    </w:p>
    <w:p w:rsidR="00F67CE2" w:rsidRPr="00560A25" w:rsidRDefault="00F67CE2" w:rsidP="00F67CE2">
      <w:pPr>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 xml:space="preserve">Este Instituto de Transparencia, Acceso a la Información Pública y Protección de Datos Personales del Estado de México y Municipios, es competente para conocer y resolver el presente recurso de revisión interpuesto por el ahora </w:t>
      </w:r>
      <w:r w:rsidRPr="00560A25">
        <w:rPr>
          <w:rFonts w:ascii="Palatino Linotype" w:eastAsiaTheme="minorHAnsi" w:hAnsi="Palatino Linotype" w:cs="Arial"/>
          <w:b/>
          <w:sz w:val="24"/>
          <w:szCs w:val="24"/>
          <w:lang w:eastAsia="en-US"/>
        </w:rPr>
        <w:t>Recurrente</w:t>
      </w:r>
      <w:r w:rsidRPr="00560A25">
        <w:rPr>
          <w:rFonts w:ascii="Palatino Linotype" w:eastAsiaTheme="minorHAnsi" w:hAnsi="Palatino Linotype" w:cs="Arial"/>
          <w:sz w:val="24"/>
          <w:szCs w:val="24"/>
          <w:lang w:eastAsia="en-US"/>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w:t>
      </w:r>
      <w:r w:rsidRPr="00560A25">
        <w:rPr>
          <w:rFonts w:ascii="Palatino Linotype" w:eastAsiaTheme="minorHAnsi" w:hAnsi="Palatino Linotype" w:cs="Arial"/>
          <w:sz w:val="24"/>
          <w:szCs w:val="24"/>
          <w:lang w:eastAsia="en-US"/>
        </w:rPr>
        <w:lastRenderedPageBreak/>
        <w:t>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F67CE2" w:rsidRDefault="00F67CE2" w:rsidP="00F67CE2">
      <w:pPr>
        <w:spacing w:after="0" w:line="360" w:lineRule="auto"/>
        <w:jc w:val="both"/>
        <w:rPr>
          <w:rFonts w:ascii="Palatino Linotype" w:eastAsiaTheme="minorHAnsi" w:hAnsi="Palatino Linotype" w:cs="Arial"/>
          <w:sz w:val="24"/>
          <w:szCs w:val="24"/>
          <w:lang w:eastAsia="en-US"/>
        </w:rPr>
      </w:pPr>
    </w:p>
    <w:p w:rsidR="00F67CE2" w:rsidRPr="00560A25" w:rsidRDefault="00F67CE2" w:rsidP="00F67CE2">
      <w:pPr>
        <w:spacing w:after="0" w:line="360" w:lineRule="auto"/>
        <w:jc w:val="both"/>
        <w:rPr>
          <w:rFonts w:ascii="Palatino Linotype" w:eastAsiaTheme="minorHAnsi" w:hAnsi="Palatino Linotype" w:cs="Arial"/>
          <w:sz w:val="24"/>
          <w:szCs w:val="24"/>
          <w:lang w:eastAsia="en-US"/>
        </w:rPr>
      </w:pPr>
    </w:p>
    <w:p w:rsidR="00F67CE2" w:rsidRPr="00560A25" w:rsidRDefault="00F67CE2" w:rsidP="00F67CE2">
      <w:pPr>
        <w:autoSpaceDE w:val="0"/>
        <w:autoSpaceDN w:val="0"/>
        <w:adjustRightInd w:val="0"/>
        <w:spacing w:after="0" w:line="360" w:lineRule="auto"/>
        <w:jc w:val="both"/>
        <w:rPr>
          <w:rFonts w:ascii="Palatino Linotype" w:eastAsiaTheme="minorHAnsi" w:hAnsi="Palatino Linotype" w:cs="Arial"/>
          <w:b/>
          <w:sz w:val="28"/>
          <w:szCs w:val="28"/>
          <w:lang w:eastAsia="en-US"/>
        </w:rPr>
      </w:pPr>
      <w:r w:rsidRPr="00560A25">
        <w:rPr>
          <w:rFonts w:ascii="Palatino Linotype" w:eastAsiaTheme="minorHAnsi" w:hAnsi="Palatino Linotype" w:cs="Arial"/>
          <w:b/>
          <w:sz w:val="28"/>
          <w:szCs w:val="28"/>
          <w:lang w:eastAsia="en-US"/>
        </w:rPr>
        <w:t xml:space="preserve">SEGUNDO. </w:t>
      </w:r>
      <w:r w:rsidRPr="00560A25">
        <w:rPr>
          <w:rFonts w:ascii="Palatino Linotype" w:eastAsiaTheme="minorHAnsi" w:hAnsi="Palatino Linotype" w:cs="Arial"/>
          <w:b/>
          <w:sz w:val="26"/>
          <w:szCs w:val="26"/>
          <w:lang w:eastAsia="en-US"/>
        </w:rPr>
        <w:t>Alcance del recurso de revisión.</w:t>
      </w:r>
      <w:r w:rsidRPr="00560A25">
        <w:rPr>
          <w:rFonts w:ascii="Palatino Linotype" w:eastAsiaTheme="minorHAnsi" w:hAnsi="Palatino Linotype" w:cs="Arial"/>
          <w:b/>
          <w:sz w:val="28"/>
          <w:szCs w:val="28"/>
          <w:lang w:eastAsia="en-US"/>
        </w:rPr>
        <w:t xml:space="preserve"> </w:t>
      </w:r>
    </w:p>
    <w:p w:rsidR="00F67CE2" w:rsidRPr="00560A25" w:rsidRDefault="00F67CE2" w:rsidP="00F67C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67CE2" w:rsidRPr="00560A25" w:rsidRDefault="00F67CE2" w:rsidP="00F67C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67CE2" w:rsidRPr="00560A25" w:rsidRDefault="00F67CE2" w:rsidP="00F67CE2">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Es de precisar que la Ley de Transparencia y Acceso a la Información Pública del Estado de México y Municipios, describe el mecanismo de procedencia de los recursos de revisión, en ese sentido en su artículo 163 se indica lo siguiente:</w:t>
      </w:r>
    </w:p>
    <w:p w:rsidR="00F67CE2" w:rsidRPr="00560A25" w:rsidRDefault="00F67CE2" w:rsidP="00F67CE2">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F67CE2" w:rsidRPr="00560A25" w:rsidRDefault="00F67CE2" w:rsidP="00F67CE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60A25">
        <w:rPr>
          <w:rFonts w:ascii="Palatino Linotype" w:eastAsia="Times New Roman" w:hAnsi="Palatino Linotype" w:cs="Arial"/>
          <w:i/>
          <w:lang w:val="es-ES" w:eastAsia="es-ES"/>
        </w:rPr>
        <w:t>“</w:t>
      </w:r>
      <w:r w:rsidRPr="00560A25">
        <w:rPr>
          <w:rFonts w:ascii="Palatino Linotype" w:eastAsia="Times New Roman" w:hAnsi="Palatino Linotype" w:cs="Arial"/>
          <w:b/>
          <w:i/>
          <w:lang w:val="es-ES" w:eastAsia="es-ES"/>
        </w:rPr>
        <w:t>Artículo 163.</w:t>
      </w:r>
      <w:r w:rsidRPr="00560A25">
        <w:rPr>
          <w:rFonts w:ascii="Palatino Linotype" w:eastAsia="Times New Roman" w:hAnsi="Palatino Linotype" w:cs="Arial"/>
          <w:i/>
          <w:lang w:val="es-ES" w:eastAsia="es-ES"/>
        </w:rPr>
        <w:t xml:space="preserve"> </w:t>
      </w:r>
      <w:r w:rsidRPr="00560A25">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F67CE2" w:rsidRPr="00560A25" w:rsidRDefault="00F67CE2" w:rsidP="00F67CE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60A25">
        <w:rPr>
          <w:rFonts w:ascii="Palatino Linotype" w:eastAsia="Times New Roman" w:hAnsi="Palatino Linotype" w:cs="Arial"/>
          <w:i/>
          <w:lang w:val="es-ES" w:eastAsia="es-ES"/>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F67CE2" w:rsidRPr="00560A25" w:rsidRDefault="00F67CE2" w:rsidP="00F67CE2">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560A25">
        <w:rPr>
          <w:rFonts w:ascii="Palatino Linotype" w:eastAsia="Times New Roman" w:hAnsi="Palatino Linotype" w:cs="Arial"/>
          <w:lang w:val="es-ES" w:eastAsia="es-ES"/>
        </w:rPr>
        <w:t>(Énfasis añadido)</w:t>
      </w:r>
    </w:p>
    <w:p w:rsidR="00F67CE2" w:rsidRPr="00560A25" w:rsidRDefault="00F67CE2" w:rsidP="00F67CE2">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F67CE2" w:rsidRPr="00560A25" w:rsidRDefault="00F67CE2" w:rsidP="00F67CE2">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 xml:space="preserve">De la interpretación al precepto legal inserto, se advierte que el plazo que les asiste a los </w:t>
      </w:r>
      <w:r w:rsidRPr="00560A25">
        <w:rPr>
          <w:rFonts w:ascii="Palatino Linotype" w:eastAsiaTheme="minorHAnsi" w:hAnsi="Palatino Linotype" w:cs="Arial"/>
          <w:b/>
          <w:sz w:val="24"/>
          <w:szCs w:val="24"/>
          <w:lang w:eastAsia="en-US"/>
        </w:rPr>
        <w:t>sujetos</w:t>
      </w:r>
      <w:r w:rsidRPr="00560A25">
        <w:rPr>
          <w:rFonts w:ascii="Palatino Linotype" w:eastAsiaTheme="minorHAnsi" w:hAnsi="Palatino Linotype" w:cs="Arial"/>
          <w:sz w:val="24"/>
          <w:szCs w:val="24"/>
          <w:lang w:eastAsia="en-US"/>
        </w:rPr>
        <w:t xml:space="preserve"> </w:t>
      </w:r>
      <w:r w:rsidRPr="00560A25">
        <w:rPr>
          <w:rFonts w:ascii="Palatino Linotype" w:eastAsiaTheme="minorHAnsi" w:hAnsi="Palatino Linotype" w:cs="Arial"/>
          <w:b/>
          <w:sz w:val="24"/>
          <w:szCs w:val="24"/>
          <w:lang w:eastAsia="en-US"/>
        </w:rPr>
        <w:t>obligados</w:t>
      </w:r>
      <w:r w:rsidRPr="00560A25">
        <w:rPr>
          <w:rFonts w:ascii="Palatino Linotype" w:eastAsiaTheme="minorHAnsi" w:hAnsi="Palatino Linotype" w:cs="Arial"/>
          <w:sz w:val="24"/>
          <w:szCs w:val="24"/>
          <w:lang w:eastAsia="en-US"/>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F67CE2" w:rsidRPr="00560A25" w:rsidRDefault="00F67CE2" w:rsidP="00F67CE2">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F67CE2" w:rsidRPr="00560A25" w:rsidRDefault="00F67CE2" w:rsidP="00F67CE2">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 xml:space="preserve">Se constituye la figura jurídica de la </w:t>
      </w:r>
      <w:r w:rsidRPr="00560A25">
        <w:rPr>
          <w:rFonts w:ascii="Palatino Linotype" w:eastAsiaTheme="minorHAnsi" w:hAnsi="Palatino Linotype" w:cs="Arial"/>
          <w:b/>
          <w:i/>
          <w:sz w:val="24"/>
          <w:szCs w:val="24"/>
          <w:lang w:eastAsia="en-US"/>
        </w:rPr>
        <w:t>NEGATIVA FICTA</w:t>
      </w:r>
      <w:r w:rsidRPr="00560A25">
        <w:rPr>
          <w:rFonts w:ascii="Palatino Linotype" w:eastAsiaTheme="minorHAnsi" w:hAnsi="Palatino Linotype" w:cs="Arial"/>
          <w:sz w:val="24"/>
          <w:szCs w:val="24"/>
          <w:lang w:eastAsia="en-US"/>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F67CE2" w:rsidRPr="00560A25" w:rsidRDefault="00F67CE2" w:rsidP="00F67CE2">
      <w:pPr>
        <w:spacing w:after="0" w:line="240" w:lineRule="auto"/>
        <w:rPr>
          <w:rFonts w:ascii="Palatino Linotype" w:eastAsiaTheme="minorHAnsi" w:hAnsi="Palatino Linotype" w:cstheme="minorBidi"/>
          <w:lang w:eastAsia="en-US"/>
        </w:rPr>
      </w:pPr>
    </w:p>
    <w:p w:rsidR="00F67CE2" w:rsidRPr="00560A25" w:rsidRDefault="00F67CE2" w:rsidP="00F67CE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60A25">
        <w:rPr>
          <w:rFonts w:ascii="Palatino Linotype" w:eastAsia="Times New Roman" w:hAnsi="Palatino Linotype" w:cs="Arial"/>
          <w:i/>
          <w:lang w:val="es-ES" w:eastAsia="es-ES"/>
        </w:rPr>
        <w:t>“</w:t>
      </w:r>
      <w:r w:rsidRPr="00560A25">
        <w:rPr>
          <w:rFonts w:ascii="Palatino Linotype" w:eastAsia="Times New Roman" w:hAnsi="Palatino Linotype" w:cs="Arial"/>
          <w:b/>
          <w:i/>
          <w:lang w:val="es-ES" w:eastAsia="es-ES"/>
        </w:rPr>
        <w:t>Artículo 178.</w:t>
      </w:r>
      <w:r w:rsidRPr="00560A25">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67CE2" w:rsidRPr="00560A25" w:rsidRDefault="00F67CE2" w:rsidP="00F67CE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67CE2" w:rsidRPr="00560A25" w:rsidRDefault="00F67CE2" w:rsidP="000C3CF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60A25">
        <w:rPr>
          <w:rFonts w:ascii="Palatino Linotype" w:eastAsia="Times New Roman" w:hAnsi="Palatino Linotype" w:cs="Arial"/>
          <w:b/>
          <w:i/>
          <w:lang w:val="es-ES" w:eastAsia="es-ES"/>
        </w:rPr>
        <w:lastRenderedPageBreak/>
        <w:t>A falta de respuesta del Sujeto Obligado, dentro de los plazos establecidos en esta Ley, a una solicitud de acceso a la información pública, el recurso podrá ser interpuesto en cualquier momento</w:t>
      </w:r>
      <w:r w:rsidRPr="00560A25">
        <w:rPr>
          <w:rFonts w:ascii="Palatino Linotype" w:eastAsia="Times New Roman" w:hAnsi="Palatino Linotype" w:cs="Arial"/>
          <w:i/>
          <w:lang w:val="es-ES" w:eastAsia="es-ES"/>
        </w:rPr>
        <w:t>, acompañado con el documento que pruebe la fecha en que presentó la solicitud.</w:t>
      </w:r>
    </w:p>
    <w:p w:rsidR="00F67CE2" w:rsidRPr="00560A25" w:rsidRDefault="00F67CE2" w:rsidP="000C3CF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67CE2" w:rsidRPr="00560A25" w:rsidRDefault="00F67CE2" w:rsidP="000C3CF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60A25">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F67CE2" w:rsidRPr="00560A25" w:rsidRDefault="00F67CE2" w:rsidP="00F67CE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67CE2" w:rsidRPr="00560A25" w:rsidRDefault="00F67CE2" w:rsidP="00F67CE2">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560A25">
        <w:rPr>
          <w:rFonts w:ascii="Palatino Linotype" w:eastAsia="Times New Roman" w:hAnsi="Palatino Linotype" w:cs="Arial"/>
          <w:lang w:val="es-ES" w:eastAsia="es-ES"/>
        </w:rPr>
        <w:t>(Énfasis añadido)</w:t>
      </w:r>
    </w:p>
    <w:p w:rsidR="00F67CE2" w:rsidRPr="00560A25" w:rsidRDefault="00F67CE2" w:rsidP="00F67CE2">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F67CE2" w:rsidRPr="00560A25" w:rsidRDefault="00F67CE2" w:rsidP="00F67CE2">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560A25">
        <w:rPr>
          <w:rFonts w:ascii="Palatino Linotype" w:eastAsiaTheme="minorHAnsi" w:hAnsi="Palatino Linotype" w:cs="Arial"/>
          <w:b/>
          <w:sz w:val="24"/>
          <w:szCs w:val="24"/>
          <w:lang w:eastAsia="en-US"/>
        </w:rPr>
        <w:t>Sujeto Obligado</w:t>
      </w:r>
      <w:r w:rsidRPr="00560A25">
        <w:rPr>
          <w:rFonts w:ascii="Palatino Linotype" w:eastAsiaTheme="minorHAnsi" w:hAnsi="Palatino Linotype" w:cs="Arial"/>
          <w:sz w:val="24"/>
          <w:szCs w:val="24"/>
          <w:lang w:eastAsia="en-US"/>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F67CE2" w:rsidRDefault="00F67CE2" w:rsidP="00F67C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67CE2" w:rsidRPr="00560A25" w:rsidRDefault="00F67CE2" w:rsidP="00F67C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67CE2" w:rsidRPr="00560A25" w:rsidRDefault="00F67CE2" w:rsidP="00F67CE2">
      <w:pPr>
        <w:spacing w:after="0" w:line="360" w:lineRule="auto"/>
        <w:ind w:right="49"/>
        <w:jc w:val="both"/>
        <w:rPr>
          <w:rFonts w:ascii="Palatino Linotype" w:eastAsia="Times New Roman" w:hAnsi="Palatino Linotype" w:cs="Arial"/>
          <w:b/>
          <w:sz w:val="28"/>
          <w:szCs w:val="28"/>
          <w:lang w:val="es-ES" w:eastAsia="es-ES"/>
        </w:rPr>
      </w:pPr>
      <w:r w:rsidRPr="00560A25">
        <w:rPr>
          <w:rFonts w:ascii="Palatino Linotype" w:eastAsia="Times New Roman" w:hAnsi="Palatino Linotype" w:cs="Arial"/>
          <w:b/>
          <w:sz w:val="28"/>
          <w:szCs w:val="28"/>
          <w:lang w:val="es-ES" w:eastAsia="es-ES"/>
        </w:rPr>
        <w:t>TERCERO.</w:t>
      </w:r>
      <w:r w:rsidRPr="00560A25">
        <w:rPr>
          <w:rFonts w:ascii="Palatino Linotype" w:eastAsia="Times New Roman" w:hAnsi="Palatino Linotype" w:cs="Arial"/>
          <w:sz w:val="28"/>
          <w:szCs w:val="28"/>
          <w:lang w:val="es-ES" w:eastAsia="es-ES"/>
        </w:rPr>
        <w:t xml:space="preserve"> </w:t>
      </w:r>
      <w:r w:rsidRPr="00560A25">
        <w:rPr>
          <w:rFonts w:ascii="Palatino Linotype" w:eastAsia="Times New Roman" w:hAnsi="Palatino Linotype" w:cs="Arial"/>
          <w:b/>
          <w:sz w:val="28"/>
          <w:szCs w:val="28"/>
          <w:lang w:val="es-ES" w:eastAsia="es-ES"/>
        </w:rPr>
        <w:t xml:space="preserve">De las causas de improcedencia. </w:t>
      </w:r>
    </w:p>
    <w:p w:rsidR="00F67CE2" w:rsidRPr="00560A25" w:rsidRDefault="00F67CE2" w:rsidP="00F67CE2">
      <w:pPr>
        <w:spacing w:after="0" w:line="360" w:lineRule="auto"/>
        <w:ind w:right="49"/>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560A25">
        <w:rPr>
          <w:rFonts w:ascii="Palatino Linotype" w:eastAsia="Times New Roman" w:hAnsi="Palatino Linotype" w:cs="Arial"/>
          <w:sz w:val="24"/>
          <w:szCs w:val="24"/>
          <w:lang w:val="es-ES" w:eastAsia="es-ES"/>
        </w:rPr>
        <w:lastRenderedPageBreak/>
        <w:t>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60A25">
        <w:rPr>
          <w:rFonts w:ascii="Palatino Linotype" w:eastAsia="Times New Roman" w:hAnsi="Palatino Linotype" w:cs="Arial"/>
          <w:sz w:val="24"/>
          <w:szCs w:val="24"/>
          <w:vertAlign w:val="superscript"/>
          <w:lang w:val="es-ES" w:eastAsia="es-ES"/>
        </w:rPr>
        <w:footnoteReference w:id="1"/>
      </w:r>
      <w:r w:rsidRPr="00560A25">
        <w:rPr>
          <w:rFonts w:ascii="Palatino Linotype" w:eastAsia="Times New Roman" w:hAnsi="Palatino Linotype" w:cs="Arial"/>
          <w:sz w:val="24"/>
          <w:szCs w:val="24"/>
          <w:lang w:val="es-ES" w:eastAsia="es-ES"/>
        </w:rPr>
        <w:t>.</w:t>
      </w:r>
    </w:p>
    <w:p w:rsidR="00F67CE2" w:rsidRPr="00560A25" w:rsidRDefault="00F67CE2" w:rsidP="00F67CE2">
      <w:pPr>
        <w:spacing w:after="0" w:line="360" w:lineRule="auto"/>
        <w:ind w:right="49"/>
        <w:jc w:val="both"/>
        <w:rPr>
          <w:rFonts w:ascii="Palatino Linotype" w:eastAsia="Times New Roman" w:hAnsi="Palatino Linotype" w:cs="Arial"/>
          <w:sz w:val="24"/>
          <w:szCs w:val="24"/>
          <w:lang w:val="es-ES" w:eastAsia="es-ES"/>
        </w:rPr>
      </w:pPr>
    </w:p>
    <w:p w:rsidR="00F67CE2" w:rsidRPr="00560A25" w:rsidRDefault="00F67CE2" w:rsidP="00F67C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F67CE2" w:rsidRPr="00560A25" w:rsidRDefault="00F67CE2" w:rsidP="00F67CE2">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560A25">
        <w:rPr>
          <w:rFonts w:ascii="Palatino Linotype" w:eastAsia="Times New Roman" w:hAnsi="Palatino Linotype" w:cs="Arial"/>
          <w:b/>
          <w:sz w:val="28"/>
          <w:szCs w:val="28"/>
          <w:lang w:val="es-ES" w:eastAsia="es-ES"/>
        </w:rPr>
        <w:lastRenderedPageBreak/>
        <w:t>CUARTO. Estudio y resolución del asunto</w:t>
      </w:r>
      <w:r w:rsidRPr="00560A25">
        <w:rPr>
          <w:rFonts w:ascii="Palatino Linotype" w:eastAsia="Times New Roman" w:hAnsi="Palatino Linotype" w:cs="Times New Roman"/>
          <w:b/>
          <w:sz w:val="28"/>
          <w:szCs w:val="28"/>
          <w:lang w:val="es-ES" w:eastAsia="es-ES"/>
        </w:rPr>
        <w:t xml:space="preserve">. </w:t>
      </w:r>
    </w:p>
    <w:p w:rsidR="00F67CE2" w:rsidRPr="00560A25" w:rsidRDefault="00F67CE2" w:rsidP="00F67C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67CE2" w:rsidRPr="00560A25" w:rsidRDefault="00F67CE2" w:rsidP="00F67C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67CE2" w:rsidRPr="00560A25" w:rsidRDefault="00F67CE2" w:rsidP="00F67C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 xml:space="preserve">En primera instancia, al referirnos a los actos impugnados por el </w:t>
      </w:r>
      <w:r w:rsidRPr="00560A25">
        <w:rPr>
          <w:rFonts w:ascii="Palatino Linotype" w:eastAsia="Times New Roman" w:hAnsi="Palatino Linotype" w:cs="Arial"/>
          <w:b/>
          <w:sz w:val="24"/>
          <w:szCs w:val="24"/>
          <w:lang w:val="es-ES" w:eastAsia="es-ES"/>
        </w:rPr>
        <w:t>Recurrente</w:t>
      </w:r>
      <w:r w:rsidRPr="00560A25">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560A25">
        <w:rPr>
          <w:rFonts w:ascii="Palatino Linotype" w:hAnsi="Palatino Linotype" w:cs="Arial"/>
          <w:color w:val="000000" w:themeColor="text1"/>
          <w:sz w:val="24"/>
          <w:szCs w:val="24"/>
          <w:lang w:val="es-ES" w:eastAsia="es-ES"/>
        </w:rPr>
        <w:t xml:space="preserve">establecido en la fracción VII del artículo 179 de la </w:t>
      </w:r>
      <w:r w:rsidRPr="00560A25">
        <w:rPr>
          <w:rFonts w:ascii="Palatino Linotype" w:hAnsi="Palatino Linotype" w:cs="Arial"/>
          <w:b/>
          <w:color w:val="000000" w:themeColor="text1"/>
          <w:sz w:val="24"/>
          <w:szCs w:val="24"/>
          <w:lang w:val="es-ES" w:eastAsia="es-ES"/>
        </w:rPr>
        <w:t>Ley de Transparencia y Acceso a la Información Pública del Estado de México y Municipios</w:t>
      </w:r>
      <w:r w:rsidRPr="00560A25">
        <w:rPr>
          <w:rFonts w:ascii="Palatino Linotype" w:hAnsi="Palatino Linotype" w:cs="Arial"/>
          <w:color w:val="000000" w:themeColor="text1"/>
          <w:sz w:val="24"/>
          <w:szCs w:val="24"/>
          <w:lang w:val="es-ES" w:eastAsia="es-ES"/>
        </w:rPr>
        <w:t>,</w:t>
      </w:r>
      <w:r w:rsidRPr="00560A25">
        <w:rPr>
          <w:rFonts w:ascii="Palatino Linotype" w:hAnsi="Palatino Linotype" w:cs="Arial"/>
          <w:b/>
          <w:color w:val="000000" w:themeColor="text1"/>
          <w:sz w:val="24"/>
          <w:szCs w:val="24"/>
          <w:lang w:val="es-ES" w:eastAsia="es-ES"/>
        </w:rPr>
        <w:t xml:space="preserve"> </w:t>
      </w:r>
      <w:r w:rsidRPr="00560A25">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F67CE2" w:rsidRPr="00560A25" w:rsidRDefault="00F67CE2" w:rsidP="00F67C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67CE2" w:rsidRPr="00560A25" w:rsidRDefault="00F67CE2" w:rsidP="00F67C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 xml:space="preserve">Establecido lo anterior, resulta evidente que las razones o motivos de </w:t>
      </w:r>
      <w:r w:rsidRPr="00560A25">
        <w:rPr>
          <w:rFonts w:ascii="Palatino Linotype" w:eastAsia="Times New Roman" w:hAnsi="Palatino Linotype" w:cs="Times New Roman"/>
          <w:sz w:val="24"/>
          <w:szCs w:val="24"/>
          <w:lang w:val="es-ES" w:eastAsia="es-ES"/>
        </w:rPr>
        <w:t xml:space="preserve">inconformidad hechos valer, resultan </w:t>
      </w:r>
      <w:r w:rsidRPr="00560A25">
        <w:rPr>
          <w:rFonts w:ascii="Palatino Linotype" w:eastAsia="Times New Roman" w:hAnsi="Palatino Linotype" w:cs="Times New Roman"/>
          <w:b/>
          <w:sz w:val="24"/>
          <w:szCs w:val="24"/>
          <w:lang w:val="es-ES" w:eastAsia="es-ES"/>
        </w:rPr>
        <w:t>fundadas y procedentes</w:t>
      </w:r>
      <w:r w:rsidRPr="00560A25">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560A25">
        <w:rPr>
          <w:rFonts w:ascii="Palatino Linotype" w:eastAsia="Times New Roman" w:hAnsi="Palatino Linotype" w:cs="Arial"/>
          <w:b/>
          <w:sz w:val="24"/>
          <w:szCs w:val="24"/>
          <w:lang w:val="es-ES"/>
        </w:rPr>
        <w:t>Sujeto Obligado</w:t>
      </w:r>
      <w:r w:rsidRPr="00560A25">
        <w:rPr>
          <w:rFonts w:ascii="Palatino Linotype" w:eastAsia="Times New Roman" w:hAnsi="Palatino Linotype" w:cs="Arial"/>
          <w:sz w:val="24"/>
          <w:szCs w:val="24"/>
          <w:lang w:val="es-ES"/>
        </w:rPr>
        <w:t xml:space="preserve"> fue omiso en responder la solicitud de información hecha por el </w:t>
      </w:r>
      <w:r w:rsidRPr="00560A25">
        <w:rPr>
          <w:rFonts w:ascii="Palatino Linotype" w:eastAsia="Times New Roman" w:hAnsi="Palatino Linotype" w:cs="Arial"/>
          <w:b/>
          <w:sz w:val="24"/>
          <w:szCs w:val="24"/>
          <w:lang w:val="es-ES"/>
        </w:rPr>
        <w:t>Recurrente</w:t>
      </w:r>
      <w:r w:rsidRPr="00560A25">
        <w:rPr>
          <w:rFonts w:ascii="Palatino Linotype" w:eastAsia="Times New Roman" w:hAnsi="Palatino Linotype" w:cs="Arial"/>
          <w:sz w:val="24"/>
          <w:szCs w:val="24"/>
          <w:lang w:val="es-ES"/>
        </w:rPr>
        <w:t>.</w:t>
      </w:r>
    </w:p>
    <w:p w:rsidR="00F67CE2" w:rsidRPr="00560A25" w:rsidRDefault="00F67CE2" w:rsidP="00F67C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67CE2" w:rsidRPr="00560A25" w:rsidRDefault="00F67CE2" w:rsidP="00F67CE2">
      <w:pPr>
        <w:spacing w:after="0" w:line="360" w:lineRule="auto"/>
        <w:contextualSpacing/>
        <w:jc w:val="both"/>
        <w:rPr>
          <w:rFonts w:ascii="Palatino Linotype" w:eastAsia="Times New Roman" w:hAnsi="Palatino Linotype" w:cs="Times New Roman"/>
          <w:sz w:val="24"/>
          <w:szCs w:val="24"/>
          <w:lang w:val="es-ES"/>
        </w:rPr>
      </w:pPr>
      <w:r w:rsidRPr="00560A25">
        <w:rPr>
          <w:rFonts w:ascii="Palatino Linotype" w:eastAsia="Times New Roman" w:hAnsi="Palatino Linotype" w:cs="Times New Roman"/>
          <w:sz w:val="24"/>
          <w:szCs w:val="24"/>
          <w:lang w:val="es-ES"/>
        </w:rPr>
        <w:lastRenderedPageBreak/>
        <w:t xml:space="preserve">De tal manera que se hace patente que la falta de respuesta del </w:t>
      </w:r>
      <w:r w:rsidRPr="00560A25">
        <w:rPr>
          <w:rFonts w:ascii="Palatino Linotype" w:eastAsia="Times New Roman" w:hAnsi="Palatino Linotype" w:cs="Times New Roman"/>
          <w:b/>
          <w:sz w:val="24"/>
          <w:szCs w:val="24"/>
          <w:lang w:val="es-ES"/>
        </w:rPr>
        <w:t>Sujeto Obligado</w:t>
      </w:r>
      <w:r w:rsidRPr="00560A25">
        <w:rPr>
          <w:rFonts w:ascii="Palatino Linotype" w:eastAsia="Times New Roman" w:hAnsi="Palatino Linotype" w:cs="Times New Roman"/>
          <w:sz w:val="24"/>
          <w:szCs w:val="24"/>
          <w:lang w:val="es-ES"/>
        </w:rPr>
        <w:t xml:space="preserve"> a la solicitud de información se traducen en el hecho de que fue omiso en dar atención a las peticiones en términos de la Ley de la materia, es decir, incumplió las obligaciones que dicho cuerpo legal le impone como </w:t>
      </w:r>
      <w:r w:rsidRPr="00560A25">
        <w:rPr>
          <w:rFonts w:ascii="Palatino Linotype" w:eastAsia="Times New Roman" w:hAnsi="Palatino Linotype" w:cs="Times New Roman"/>
          <w:b/>
          <w:sz w:val="24"/>
          <w:szCs w:val="24"/>
          <w:lang w:val="es-ES"/>
        </w:rPr>
        <w:t>Sujeto Obligado</w:t>
      </w:r>
      <w:r w:rsidRPr="00560A25">
        <w:rPr>
          <w:rFonts w:ascii="Palatino Linotype" w:eastAsia="Times New Roman" w:hAnsi="Palatino Linotype" w:cs="Times New Roman"/>
          <w:sz w:val="24"/>
          <w:szCs w:val="24"/>
          <w:lang w:val="es-ES"/>
        </w:rPr>
        <w:t xml:space="preserve"> de la misma, tal y como lo constituye los artículos 4, 12, 23 fracción IV, 24 último párrafo y 160 de la Ley de Transparencia del Estado de México, que a la letra dice:</w:t>
      </w:r>
    </w:p>
    <w:p w:rsidR="00F67CE2" w:rsidRPr="00560A25" w:rsidRDefault="00F67CE2" w:rsidP="00F67CE2">
      <w:pPr>
        <w:spacing w:after="0" w:line="360" w:lineRule="auto"/>
        <w:contextualSpacing/>
        <w:jc w:val="both"/>
        <w:rPr>
          <w:rFonts w:ascii="Palatino Linotype" w:eastAsia="Times New Roman" w:hAnsi="Palatino Linotype" w:cs="Times New Roman"/>
          <w:sz w:val="24"/>
          <w:szCs w:val="24"/>
          <w:lang w:val="es-ES"/>
        </w:rPr>
      </w:pPr>
    </w:p>
    <w:p w:rsidR="00F67CE2" w:rsidRPr="00560A25" w:rsidRDefault="00F67CE2" w:rsidP="000C3CF7">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w:t>
      </w:r>
      <w:r w:rsidRPr="00560A25">
        <w:rPr>
          <w:rFonts w:ascii="Palatino Linotype" w:eastAsiaTheme="minorHAnsi" w:hAnsi="Palatino Linotype" w:cs="Arial"/>
          <w:b/>
          <w:bCs/>
          <w:i/>
          <w:lang w:eastAsia="en-US"/>
        </w:rPr>
        <w:t>Artículo 4.</w:t>
      </w:r>
      <w:r w:rsidRPr="00560A25">
        <w:rPr>
          <w:rFonts w:ascii="Palatino Linotype" w:eastAsiaTheme="minorHAnsi" w:hAnsi="Palatino Linotype" w:cs="Arial"/>
          <w:bCs/>
          <w:i/>
          <w:lang w:eastAsia="en-US"/>
        </w:rPr>
        <w:t xml:space="preserve"> </w:t>
      </w:r>
      <w:r w:rsidRPr="00560A25">
        <w:rPr>
          <w:rFonts w:ascii="Palatino Linotype" w:eastAsiaTheme="minorHAnsi" w:hAnsi="Palatino Linotype" w:cs="Arial"/>
          <w:bCs/>
          <w:i/>
          <w:u w:val="single"/>
          <w:lang w:eastAsia="en-US"/>
        </w:rPr>
        <w:t>El derecho humano de acceso a la información pública</w:t>
      </w:r>
      <w:r w:rsidRPr="00560A25">
        <w:rPr>
          <w:rFonts w:ascii="Palatino Linotype" w:eastAsiaTheme="minorHAnsi" w:hAnsi="Palatino Linotype" w:cs="Arial"/>
          <w:bCs/>
          <w:i/>
          <w:lang w:eastAsia="en-US"/>
        </w:rPr>
        <w:t xml:space="preserve"> es la prerrogativa de las personas para buscar, difundir, investigar, recabar, recibir y solicitar información pública, sin necesidad de acreditar personalidad ni interés jurídico.</w:t>
      </w:r>
    </w:p>
    <w:p w:rsidR="00F67CE2" w:rsidRPr="00560A25" w:rsidRDefault="00F67CE2" w:rsidP="000C3CF7">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u w:val="single"/>
          <w:lang w:eastAsia="en-US"/>
        </w:rPr>
        <w:t>Toda la información generada, obtenida, adquirida, transformada, administrada o en posesión de los sujetos obligados es pública y accesible de manera permanente a cualquier persona</w:t>
      </w:r>
      <w:r w:rsidRPr="00560A25">
        <w:rPr>
          <w:rFonts w:ascii="Palatino Linotype" w:eastAsiaTheme="minorHAnsi" w:hAnsi="Palatino Linotype" w:cs="Arial"/>
          <w:bCs/>
          <w:i/>
          <w:lang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67CE2" w:rsidRPr="00560A25" w:rsidRDefault="00F67CE2" w:rsidP="00F67CE2">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Los sujetos obligados deben poner en práctica, políticas y programas de acceso a la información que se apeguen a criterios de publicidad, veracidad, oportunidad, precisión y suficiencia en beneficio de los solicitantes.</w:t>
      </w:r>
    </w:p>
    <w:p w:rsidR="00F67CE2" w:rsidRDefault="00F67CE2" w:rsidP="00F67CE2">
      <w:pPr>
        <w:spacing w:after="0" w:line="240" w:lineRule="auto"/>
        <w:ind w:left="709" w:right="567"/>
        <w:jc w:val="both"/>
        <w:rPr>
          <w:rFonts w:ascii="Palatino Linotype" w:eastAsiaTheme="minorHAnsi" w:hAnsi="Palatino Linotype" w:cs="Arial"/>
          <w:bCs/>
          <w:i/>
          <w:lang w:eastAsia="en-US"/>
        </w:rPr>
      </w:pPr>
    </w:p>
    <w:p w:rsidR="00F67CE2" w:rsidRPr="00560A25" w:rsidRDefault="00F67CE2" w:rsidP="00F67CE2">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
          <w:bCs/>
          <w:i/>
          <w:lang w:eastAsia="en-US"/>
        </w:rPr>
        <w:t>Artículo 12.</w:t>
      </w:r>
      <w:r w:rsidRPr="00560A25">
        <w:rPr>
          <w:rFonts w:ascii="Palatino Linotype" w:eastAsiaTheme="minorHAnsi" w:hAnsi="Palatino Linotype" w:cs="Arial"/>
          <w:bCs/>
          <w:i/>
          <w:lang w:eastAsia="en-US"/>
        </w:rPr>
        <w:t xml:space="preserve"> Quienes generen, recopilen, administren, manejen, procesen, archiven o conserven información pública serán responsables de la misma en los términos de las disposiciones jurídicas aplicables.</w:t>
      </w:r>
    </w:p>
    <w:p w:rsidR="00F67CE2" w:rsidRPr="00560A25" w:rsidRDefault="00F67CE2" w:rsidP="00F67CE2">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u w:val="single"/>
          <w:lang w:eastAsia="en-US"/>
        </w:rPr>
        <w:t>Los sujetos obligados sólo proporcionarán la información pública que se les requiera y que obre en sus archivos y en el estado en que ésta se encuentre.</w:t>
      </w:r>
      <w:r w:rsidRPr="00560A25">
        <w:rPr>
          <w:rFonts w:ascii="Palatino Linotype" w:eastAsiaTheme="minorHAnsi" w:hAnsi="Palatino Linotype" w:cs="Arial"/>
          <w:bCs/>
          <w:i/>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F67CE2" w:rsidRPr="00560A25" w:rsidRDefault="00F67CE2" w:rsidP="00F67CE2">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w:t>
      </w:r>
    </w:p>
    <w:p w:rsidR="00F67CE2" w:rsidRPr="0017387F" w:rsidRDefault="00F67CE2" w:rsidP="00F67CE2">
      <w:pPr>
        <w:spacing w:after="0" w:line="240" w:lineRule="auto"/>
        <w:ind w:left="709" w:right="567"/>
        <w:jc w:val="both"/>
        <w:rPr>
          <w:rFonts w:ascii="Palatino Linotype" w:eastAsiaTheme="minorHAnsi" w:hAnsi="Palatino Linotype" w:cs="Arial"/>
          <w:bCs/>
          <w:i/>
          <w:lang w:eastAsia="en-US"/>
        </w:rPr>
      </w:pPr>
    </w:p>
    <w:p w:rsidR="00F67CE2" w:rsidRPr="00560A25" w:rsidRDefault="00F67CE2" w:rsidP="000C3CF7">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
          <w:bCs/>
          <w:i/>
          <w:lang w:eastAsia="en-US"/>
        </w:rPr>
        <w:lastRenderedPageBreak/>
        <w:t>Artículo 23</w:t>
      </w:r>
      <w:r w:rsidRPr="00560A25">
        <w:rPr>
          <w:rFonts w:ascii="Palatino Linotype" w:eastAsiaTheme="minorHAnsi" w:hAnsi="Palatino Linotype" w:cs="Arial"/>
          <w:bCs/>
          <w:i/>
          <w:lang w:eastAsia="en-US"/>
        </w:rPr>
        <w:t xml:space="preserve">. </w:t>
      </w:r>
      <w:r w:rsidRPr="00560A25">
        <w:rPr>
          <w:rFonts w:ascii="Palatino Linotype" w:eastAsiaTheme="minorHAnsi" w:hAnsi="Palatino Linotype" w:cs="Arial"/>
          <w:b/>
          <w:bCs/>
          <w:i/>
          <w:lang w:eastAsia="en-US"/>
        </w:rPr>
        <w:t>Son sujetos obligados</w:t>
      </w:r>
      <w:r w:rsidRPr="00560A25">
        <w:rPr>
          <w:rFonts w:ascii="Palatino Linotype" w:eastAsiaTheme="minorHAnsi" w:hAnsi="Palatino Linotype" w:cs="Arial"/>
          <w:bCs/>
          <w:i/>
          <w:lang w:eastAsia="en-US"/>
        </w:rPr>
        <w:t xml:space="preserve"> a transparentar y permitir el acceso a su información y proteger los datos personales que obren en su poder: </w:t>
      </w:r>
    </w:p>
    <w:p w:rsidR="00F67CE2" w:rsidRPr="00560A25" w:rsidRDefault="00F67CE2" w:rsidP="000C3CF7">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w:t>
      </w:r>
    </w:p>
    <w:p w:rsidR="00F67CE2" w:rsidRPr="00560A25" w:rsidRDefault="00F67CE2" w:rsidP="000C3CF7">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
          <w:bCs/>
          <w:i/>
          <w:lang w:eastAsia="en-US"/>
        </w:rPr>
        <w:t xml:space="preserve">IV. </w:t>
      </w:r>
      <w:r w:rsidRPr="00560A25">
        <w:rPr>
          <w:rFonts w:ascii="Palatino Linotype" w:eastAsiaTheme="minorHAnsi" w:hAnsi="Palatino Linotype" w:cs="Arial"/>
          <w:bCs/>
          <w:i/>
          <w:lang w:eastAsia="en-US"/>
        </w:rPr>
        <w:t>Los ayuntamientos y las dependencias, organismos,</w:t>
      </w:r>
      <w:r w:rsidRPr="00560A25">
        <w:rPr>
          <w:rFonts w:ascii="Palatino Linotype" w:eastAsiaTheme="minorHAnsi" w:hAnsi="Palatino Linotype" w:cs="Arial"/>
          <w:b/>
          <w:bCs/>
          <w:i/>
          <w:u w:val="single"/>
          <w:lang w:eastAsia="en-US"/>
        </w:rPr>
        <w:t xml:space="preserve"> órganos y entidades de la administración municipal;</w:t>
      </w:r>
    </w:p>
    <w:p w:rsidR="00F67CE2" w:rsidRPr="00560A25" w:rsidRDefault="00F67CE2" w:rsidP="000C3CF7">
      <w:pPr>
        <w:spacing w:after="0" w:line="240" w:lineRule="auto"/>
        <w:ind w:left="709" w:right="567"/>
        <w:jc w:val="both"/>
        <w:rPr>
          <w:rFonts w:ascii="Palatino Linotype" w:eastAsiaTheme="minorHAnsi" w:hAnsi="Palatino Linotype" w:cs="Arial"/>
          <w:bCs/>
          <w:i/>
          <w:lang w:eastAsia="en-US"/>
        </w:rPr>
      </w:pPr>
    </w:p>
    <w:p w:rsidR="00F67CE2" w:rsidRPr="00560A25" w:rsidRDefault="00F67CE2" w:rsidP="000C3CF7">
      <w:pPr>
        <w:spacing w:after="0" w:line="240" w:lineRule="auto"/>
        <w:ind w:left="709" w:right="567"/>
        <w:jc w:val="both"/>
        <w:rPr>
          <w:rFonts w:ascii="Palatino Linotype" w:eastAsiaTheme="minorHAnsi" w:hAnsi="Palatino Linotype" w:cs="Arial"/>
          <w:b/>
          <w:bCs/>
          <w:i/>
          <w:lang w:eastAsia="en-US"/>
        </w:rPr>
      </w:pPr>
      <w:r w:rsidRPr="00560A25">
        <w:rPr>
          <w:rFonts w:ascii="Palatino Linotype" w:eastAsiaTheme="minorHAnsi" w:hAnsi="Palatino Linotype" w:cs="Arial"/>
          <w:b/>
          <w:bCs/>
          <w:i/>
          <w:lang w:eastAsia="en-US"/>
        </w:rPr>
        <w:t xml:space="preserve">Artículo 24. </w:t>
      </w:r>
    </w:p>
    <w:p w:rsidR="00F67CE2" w:rsidRPr="00560A25" w:rsidRDefault="00F67CE2" w:rsidP="000C3CF7">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w:t>
      </w:r>
    </w:p>
    <w:p w:rsidR="00F67CE2" w:rsidRPr="00560A25" w:rsidRDefault="00F67CE2" w:rsidP="000C3CF7">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Los sujetos obligados solo proporcionarán la información pública que generen, administren o posean en el ejercicio de sus atribuciones.”</w:t>
      </w:r>
    </w:p>
    <w:p w:rsidR="00F67CE2" w:rsidRPr="00560A25" w:rsidRDefault="00F67CE2" w:rsidP="000C3CF7">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w:t>
      </w:r>
    </w:p>
    <w:p w:rsidR="00F67CE2" w:rsidRPr="00560A25" w:rsidRDefault="00F67CE2" w:rsidP="000C3CF7">
      <w:pPr>
        <w:spacing w:after="0" w:line="240" w:lineRule="auto"/>
        <w:ind w:left="709" w:right="567"/>
        <w:jc w:val="both"/>
        <w:rPr>
          <w:rFonts w:ascii="Palatino Linotype" w:eastAsiaTheme="minorHAnsi" w:hAnsi="Palatino Linotype" w:cs="Arial"/>
          <w:bCs/>
          <w:i/>
          <w:lang w:eastAsia="en-US"/>
        </w:rPr>
      </w:pPr>
    </w:p>
    <w:p w:rsidR="00F67CE2" w:rsidRPr="00560A25" w:rsidRDefault="00F67CE2" w:rsidP="000C3CF7">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
          <w:bCs/>
          <w:i/>
          <w:lang w:eastAsia="en-US"/>
        </w:rPr>
        <w:t>Artículo 160.</w:t>
      </w:r>
      <w:r w:rsidRPr="00560A25">
        <w:rPr>
          <w:rFonts w:ascii="Palatino Linotype" w:eastAsiaTheme="minorHAnsi" w:hAnsi="Palatino Linotype" w:cs="Arial"/>
          <w:bCs/>
          <w:i/>
          <w:lang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F67CE2" w:rsidRPr="00560A25" w:rsidRDefault="00F67CE2" w:rsidP="000C3CF7">
      <w:pPr>
        <w:spacing w:after="0" w:line="240" w:lineRule="auto"/>
        <w:ind w:left="709" w:right="567"/>
        <w:jc w:val="both"/>
        <w:rPr>
          <w:rFonts w:ascii="Palatino Linotype" w:eastAsiaTheme="minorHAnsi" w:hAnsi="Palatino Linotype" w:cs="Arial"/>
          <w:bCs/>
          <w:i/>
          <w:lang w:eastAsia="en-US"/>
        </w:rPr>
      </w:pPr>
    </w:p>
    <w:p w:rsidR="00F67CE2" w:rsidRPr="00560A25" w:rsidRDefault="00F67CE2" w:rsidP="000C3CF7">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En caso que la información solicitada consista en bases de datos se deberá privilegiar la entrega de la misma en formatos abiertos.</w:t>
      </w:r>
    </w:p>
    <w:p w:rsidR="00F67CE2" w:rsidRPr="00560A25" w:rsidRDefault="00F67CE2" w:rsidP="000C3CF7">
      <w:pPr>
        <w:spacing w:after="0" w:line="240" w:lineRule="auto"/>
        <w:ind w:left="709" w:right="567"/>
        <w:jc w:val="right"/>
        <w:rPr>
          <w:rFonts w:ascii="Palatino Linotype" w:eastAsiaTheme="minorHAnsi" w:hAnsi="Palatino Linotype" w:cs="Arial"/>
          <w:lang w:eastAsia="en-US"/>
        </w:rPr>
      </w:pPr>
      <w:r w:rsidRPr="00560A25">
        <w:rPr>
          <w:rFonts w:ascii="Palatino Linotype" w:eastAsiaTheme="minorHAnsi" w:hAnsi="Palatino Linotype" w:cs="Arial"/>
          <w:bCs/>
          <w:lang w:eastAsia="en-US"/>
        </w:rPr>
        <w:t>(Énfasis añadido)</w:t>
      </w:r>
    </w:p>
    <w:p w:rsidR="00F67CE2" w:rsidRPr="00560A25" w:rsidRDefault="00F67CE2" w:rsidP="000C3CF7">
      <w:pPr>
        <w:spacing w:after="0" w:line="360" w:lineRule="auto"/>
        <w:contextualSpacing/>
        <w:jc w:val="both"/>
        <w:rPr>
          <w:rFonts w:ascii="Palatino Linotype" w:eastAsia="MS Mincho" w:hAnsi="Palatino Linotype" w:cs="Times New Roman"/>
          <w:sz w:val="24"/>
          <w:szCs w:val="24"/>
          <w:lang w:val="es-ES_tradnl" w:eastAsia="es-ES"/>
        </w:rPr>
      </w:pPr>
    </w:p>
    <w:p w:rsidR="00F67CE2" w:rsidRPr="002B0B59" w:rsidRDefault="00F67CE2" w:rsidP="00F67CE2">
      <w:pPr>
        <w:spacing w:after="0" w:line="360" w:lineRule="auto"/>
        <w:contextualSpacing/>
        <w:jc w:val="both"/>
        <w:rPr>
          <w:rFonts w:ascii="Palatino Linotype" w:eastAsia="Times New Roman" w:hAnsi="Palatino Linotype" w:cs="Arial"/>
          <w:color w:val="000000"/>
          <w:sz w:val="24"/>
          <w:szCs w:val="24"/>
          <w:lang w:val="es-ES_tradnl" w:eastAsia="es-ES"/>
        </w:rPr>
      </w:pPr>
      <w:r w:rsidRPr="002B0B59">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2B0B59">
        <w:rPr>
          <w:rFonts w:ascii="Palatino Linotype" w:eastAsia="Times New Roman" w:hAnsi="Palatino Linotype" w:cs="Arial"/>
          <w:color w:val="000000"/>
          <w:sz w:val="24"/>
          <w:szCs w:val="24"/>
          <w:lang w:val="es-ES_tradnl"/>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2B0B59">
        <w:rPr>
          <w:rFonts w:ascii="Palatino Linotype" w:eastAsia="Times New Roman" w:hAnsi="Palatino Linotype" w:cs="Arial"/>
          <w:color w:val="000000"/>
          <w:sz w:val="24"/>
          <w:szCs w:val="24"/>
          <w:lang w:val="es-ES_tradnl" w:eastAsia="es-ES"/>
        </w:rPr>
        <w:t xml:space="preserve"> </w:t>
      </w:r>
      <w:r w:rsidRPr="002B0B59">
        <w:rPr>
          <w:rFonts w:ascii="Palatino Linotype" w:eastAsia="Times New Roman" w:hAnsi="Palatino Linotype" w:cs="Arial"/>
          <w:b/>
          <w:color w:val="000000"/>
          <w:sz w:val="24"/>
          <w:szCs w:val="24"/>
          <w:lang w:val="es-ES_tradnl" w:eastAsia="es-ES"/>
        </w:rPr>
        <w:t>Sujeto Obligado</w:t>
      </w:r>
      <w:r w:rsidRPr="002B0B5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B0B59">
        <w:rPr>
          <w:rFonts w:ascii="Palatino Linotype" w:eastAsia="Times New Roman" w:hAnsi="Palatino Linotype" w:cs="Arial"/>
          <w:b/>
          <w:color w:val="000000"/>
          <w:sz w:val="24"/>
          <w:szCs w:val="24"/>
          <w:lang w:val="es-ES_tradnl" w:eastAsia="es-ES"/>
        </w:rPr>
        <w:t xml:space="preserve">Constitución Política de los Estados Unidos Mexicanos </w:t>
      </w:r>
      <w:r w:rsidRPr="002B0B59">
        <w:rPr>
          <w:rFonts w:ascii="Palatino Linotype" w:eastAsia="Times New Roman" w:hAnsi="Palatino Linotype" w:cs="Arial"/>
          <w:color w:val="000000"/>
          <w:sz w:val="24"/>
          <w:szCs w:val="24"/>
          <w:lang w:val="es-ES_tradnl" w:eastAsia="es-ES"/>
        </w:rPr>
        <w:t xml:space="preserve">al señalar la obligación de “promover, </w:t>
      </w:r>
      <w:r w:rsidRPr="002B0B59">
        <w:rPr>
          <w:rFonts w:ascii="Palatino Linotype" w:eastAsia="Times New Roman" w:hAnsi="Palatino Linotype" w:cs="Arial"/>
          <w:b/>
          <w:color w:val="000000"/>
          <w:sz w:val="24"/>
          <w:szCs w:val="24"/>
          <w:lang w:val="es-ES_tradnl" w:eastAsia="es-ES"/>
        </w:rPr>
        <w:lastRenderedPageBreak/>
        <w:t>respetar</w:t>
      </w:r>
      <w:r w:rsidRPr="002B0B59">
        <w:rPr>
          <w:rFonts w:ascii="Palatino Linotype" w:eastAsia="Times New Roman" w:hAnsi="Palatino Linotype" w:cs="Arial"/>
          <w:color w:val="000000"/>
          <w:sz w:val="24"/>
          <w:szCs w:val="24"/>
          <w:lang w:val="es-ES_tradnl" w:eastAsia="es-ES"/>
        </w:rPr>
        <w:t xml:space="preserve">, </w:t>
      </w:r>
      <w:r w:rsidRPr="002B0B59">
        <w:rPr>
          <w:rFonts w:ascii="Palatino Linotype" w:eastAsia="Times New Roman" w:hAnsi="Palatino Linotype" w:cs="Arial"/>
          <w:b/>
          <w:color w:val="000000"/>
          <w:sz w:val="24"/>
          <w:szCs w:val="24"/>
          <w:lang w:val="es-ES_tradnl" w:eastAsia="es-ES"/>
        </w:rPr>
        <w:t>proteger</w:t>
      </w:r>
      <w:r w:rsidRPr="002B0B59">
        <w:rPr>
          <w:rFonts w:ascii="Palatino Linotype" w:eastAsia="Times New Roman" w:hAnsi="Palatino Linotype" w:cs="Arial"/>
          <w:color w:val="000000"/>
          <w:sz w:val="24"/>
          <w:szCs w:val="24"/>
          <w:lang w:val="es-ES_tradnl" w:eastAsia="es-ES"/>
        </w:rPr>
        <w:t xml:space="preserve"> y </w:t>
      </w:r>
      <w:r w:rsidRPr="002B0B59">
        <w:rPr>
          <w:rFonts w:ascii="Palatino Linotype" w:eastAsia="Times New Roman" w:hAnsi="Palatino Linotype" w:cs="Arial"/>
          <w:b/>
          <w:color w:val="000000"/>
          <w:sz w:val="24"/>
          <w:szCs w:val="24"/>
          <w:lang w:val="es-ES_tradnl" w:eastAsia="es-ES"/>
        </w:rPr>
        <w:t>garantizar</w:t>
      </w:r>
      <w:r w:rsidRPr="002B0B59">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F67CE2" w:rsidRPr="002B0B59" w:rsidRDefault="00F67CE2" w:rsidP="00F67CE2">
      <w:pPr>
        <w:spacing w:after="0" w:line="360" w:lineRule="auto"/>
        <w:contextualSpacing/>
        <w:jc w:val="both"/>
        <w:rPr>
          <w:rFonts w:ascii="Palatino Linotype" w:eastAsia="Times New Roman" w:hAnsi="Palatino Linotype" w:cs="Arial"/>
          <w:color w:val="000000"/>
          <w:sz w:val="24"/>
          <w:szCs w:val="24"/>
          <w:lang w:val="es-ES_tradnl" w:eastAsia="es-ES"/>
        </w:rPr>
      </w:pPr>
    </w:p>
    <w:p w:rsidR="00F67CE2" w:rsidRPr="002B0B59" w:rsidRDefault="00F67CE2" w:rsidP="00F67CE2">
      <w:pPr>
        <w:spacing w:after="0" w:line="360" w:lineRule="auto"/>
        <w:contextualSpacing/>
        <w:jc w:val="both"/>
        <w:rPr>
          <w:rFonts w:ascii="Palatino Linotype" w:eastAsia="Times New Roman" w:hAnsi="Palatino Linotype" w:cs="Arial"/>
          <w:color w:val="000000"/>
          <w:sz w:val="24"/>
          <w:szCs w:val="24"/>
          <w:lang w:val="es-ES_tradnl" w:eastAsia="es-ES"/>
        </w:rPr>
      </w:pPr>
      <w:r w:rsidRPr="002B0B59">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F67CE2" w:rsidRPr="002B0B59" w:rsidRDefault="00F67CE2" w:rsidP="00F67CE2">
      <w:pPr>
        <w:spacing w:after="0" w:line="360" w:lineRule="auto"/>
        <w:contextualSpacing/>
        <w:jc w:val="both"/>
        <w:rPr>
          <w:rFonts w:ascii="Palatino Linotype" w:eastAsia="MS Mincho" w:hAnsi="Palatino Linotype" w:cs="Times New Roman"/>
          <w:sz w:val="24"/>
          <w:szCs w:val="24"/>
          <w:lang w:val="es-ES_tradnl" w:eastAsia="es-ES"/>
        </w:rPr>
      </w:pPr>
    </w:p>
    <w:p w:rsidR="00F67CE2" w:rsidRPr="002B0B59" w:rsidRDefault="00F67CE2" w:rsidP="00F67CE2">
      <w:pPr>
        <w:spacing w:after="0" w:line="360" w:lineRule="auto"/>
        <w:contextualSpacing/>
        <w:jc w:val="both"/>
        <w:rPr>
          <w:rFonts w:ascii="Palatino Linotype" w:eastAsia="MS Mincho" w:hAnsi="Palatino Linotype" w:cs="Times New Roman"/>
          <w:sz w:val="24"/>
          <w:szCs w:val="24"/>
          <w:lang w:val="es-ES_tradnl" w:eastAsia="es-ES"/>
        </w:rPr>
      </w:pPr>
      <w:r w:rsidRPr="002B0B59">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2B0B59">
        <w:rPr>
          <w:rFonts w:ascii="Palatino Linotype" w:eastAsia="MS Mincho" w:hAnsi="Palatino Linotype" w:cs="Times New Roman"/>
          <w:b/>
          <w:sz w:val="24"/>
          <w:szCs w:val="24"/>
          <w:lang w:val="es-ES_tradnl" w:eastAsia="es-ES"/>
        </w:rPr>
        <w:t>Sujeto Obligado</w:t>
      </w:r>
      <w:r w:rsidRPr="002B0B59">
        <w:rPr>
          <w:rFonts w:ascii="Palatino Linotype" w:eastAsia="MS Mincho" w:hAnsi="Palatino Linotype" w:cs="Times New Roman"/>
          <w:sz w:val="24"/>
          <w:szCs w:val="24"/>
          <w:lang w:val="es-ES_tradnl" w:eastAsia="es-ES"/>
        </w:rPr>
        <w:t>s.</w:t>
      </w:r>
    </w:p>
    <w:p w:rsidR="00F67CE2" w:rsidRPr="002B0B59" w:rsidRDefault="00F67CE2" w:rsidP="00F67CE2">
      <w:pPr>
        <w:spacing w:after="0" w:line="360" w:lineRule="auto"/>
        <w:contextualSpacing/>
        <w:jc w:val="both"/>
        <w:rPr>
          <w:rFonts w:ascii="Palatino Linotype" w:eastAsia="Times New Roman" w:hAnsi="Palatino Linotype" w:cs="Times New Roman"/>
          <w:sz w:val="24"/>
          <w:szCs w:val="24"/>
          <w:lang w:val="es-ES"/>
        </w:rPr>
      </w:pPr>
    </w:p>
    <w:p w:rsidR="00F67CE2" w:rsidRPr="002B0B59" w:rsidRDefault="00F67CE2" w:rsidP="00F67CE2">
      <w:pPr>
        <w:spacing w:after="0" w:line="360" w:lineRule="auto"/>
        <w:contextualSpacing/>
        <w:jc w:val="both"/>
        <w:rPr>
          <w:rFonts w:ascii="Palatino Linotype" w:eastAsia="Times New Roman" w:hAnsi="Palatino Linotype" w:cs="Arial"/>
          <w:sz w:val="24"/>
          <w:szCs w:val="24"/>
          <w:lang w:val="es-ES" w:eastAsia="es-ES"/>
        </w:rPr>
      </w:pPr>
      <w:r w:rsidRPr="002B0B59">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w:t>
      </w:r>
      <w:r w:rsidRPr="002B0B59">
        <w:rPr>
          <w:rFonts w:ascii="Palatino Linotype" w:eastAsia="Times New Roman" w:hAnsi="Palatino Linotype" w:cs="Arial"/>
          <w:sz w:val="24"/>
          <w:szCs w:val="24"/>
          <w:lang w:val="es-ES" w:eastAsia="es-ES"/>
        </w:rPr>
        <w:lastRenderedPageBreak/>
        <w:t>permitir el acceso a la información pública que posean, y están obligados a documentar todo acto que derive del ejercicio de sus facultades, competencias o funciones. En ese sentido, debe privilegiarse en todo momento el principio de máxima publicidad.</w:t>
      </w:r>
    </w:p>
    <w:p w:rsidR="00F67CE2" w:rsidRPr="002B0B59" w:rsidRDefault="00F67CE2" w:rsidP="00F67CE2">
      <w:pPr>
        <w:spacing w:after="0" w:line="360" w:lineRule="auto"/>
        <w:contextualSpacing/>
        <w:jc w:val="both"/>
        <w:rPr>
          <w:rFonts w:ascii="Palatino Linotype" w:eastAsia="Times New Roman" w:hAnsi="Palatino Linotype" w:cs="Arial"/>
          <w:sz w:val="24"/>
          <w:szCs w:val="24"/>
          <w:lang w:val="es-ES" w:eastAsia="es-ES"/>
        </w:rPr>
      </w:pPr>
    </w:p>
    <w:p w:rsidR="00F67CE2" w:rsidRPr="002B0B59" w:rsidRDefault="00F67CE2" w:rsidP="00F67C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B0B59">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2B0B59">
        <w:rPr>
          <w:rFonts w:ascii="Palatino Linotype" w:eastAsia="Times New Roman" w:hAnsi="Palatino Linotype" w:cs="Arial"/>
          <w:b/>
          <w:sz w:val="24"/>
          <w:szCs w:val="24"/>
          <w:lang w:val="es-ES" w:eastAsia="es-ES"/>
        </w:rPr>
        <w:t>Sujeto Obligado</w:t>
      </w:r>
      <w:r w:rsidRPr="002B0B59">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2B0B59">
        <w:rPr>
          <w:rFonts w:ascii="Palatino Linotype" w:eastAsia="Times New Roman" w:hAnsi="Palatino Linotype" w:cs="Arial"/>
          <w:b/>
          <w:sz w:val="24"/>
          <w:szCs w:val="24"/>
          <w:lang w:val="es-ES" w:eastAsia="es-ES"/>
        </w:rPr>
        <w:t>Sujeto Obligado</w:t>
      </w:r>
      <w:r w:rsidRPr="002B0B59">
        <w:rPr>
          <w:rFonts w:ascii="Palatino Linotype" w:eastAsia="Times New Roman" w:hAnsi="Palatino Linotype" w:cs="Arial"/>
          <w:sz w:val="24"/>
          <w:szCs w:val="24"/>
          <w:lang w:val="es-ES" w:eastAsia="es-ES"/>
        </w:rPr>
        <w:t xml:space="preserve"> fue omiso en dar respuesta a la solicitud.</w:t>
      </w:r>
    </w:p>
    <w:p w:rsidR="00F67CE2" w:rsidRPr="002B0B59" w:rsidRDefault="00F67CE2" w:rsidP="00F67C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67CE2" w:rsidRPr="002B0B59" w:rsidRDefault="00F67CE2" w:rsidP="00F67C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B0B59">
        <w:rPr>
          <w:rFonts w:ascii="Palatino Linotype"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F67CE2" w:rsidRPr="002B0B59" w:rsidRDefault="00F67CE2" w:rsidP="00F67C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67CE2" w:rsidRPr="002B0B59" w:rsidRDefault="00F67CE2" w:rsidP="00F67CE2">
      <w:pPr>
        <w:autoSpaceDE w:val="0"/>
        <w:autoSpaceDN w:val="0"/>
        <w:adjustRightInd w:val="0"/>
        <w:spacing w:after="0" w:line="360" w:lineRule="auto"/>
        <w:jc w:val="both"/>
        <w:rPr>
          <w:rFonts w:ascii="Palatino Linotype" w:hAnsi="Palatino Linotype" w:cs="Times New Roman"/>
          <w:sz w:val="24"/>
          <w:szCs w:val="24"/>
          <w:lang w:val="es-ES" w:eastAsia="es-ES"/>
        </w:rPr>
      </w:pPr>
      <w:r w:rsidRPr="002B0B59">
        <w:rPr>
          <w:rFonts w:ascii="Palatino Linotype" w:hAnsi="Palatino Linotype" w:cs="Times New Roman"/>
          <w:sz w:val="24"/>
          <w:szCs w:val="24"/>
          <w:lang w:val="es-ES" w:eastAsia="es-ES"/>
        </w:rPr>
        <w:t xml:space="preserve">No sobra decir que, al actuar de esta forma, el </w:t>
      </w:r>
      <w:r w:rsidRPr="002B0B59">
        <w:rPr>
          <w:rFonts w:ascii="Palatino Linotype" w:hAnsi="Palatino Linotype" w:cs="Times New Roman"/>
          <w:b/>
          <w:sz w:val="24"/>
          <w:szCs w:val="24"/>
          <w:lang w:val="es-ES" w:eastAsia="es-ES"/>
        </w:rPr>
        <w:t>Sujeto Obligado</w:t>
      </w:r>
      <w:r w:rsidRPr="002B0B59">
        <w:rPr>
          <w:rFonts w:ascii="Palatino Linotype"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2B0B59">
        <w:rPr>
          <w:rFonts w:ascii="Palatino Linotype" w:hAnsi="Palatino Linotype" w:cs="Times New Roman"/>
          <w:i/>
          <w:sz w:val="24"/>
          <w:szCs w:val="24"/>
          <w:lang w:val="es-ES" w:eastAsia="es-ES"/>
        </w:rPr>
        <w:t xml:space="preserve">en el ámbito de sus atribuciones, de promover, respetar, proteger y </w:t>
      </w:r>
      <w:r w:rsidRPr="002B0B59">
        <w:rPr>
          <w:rFonts w:ascii="Palatino Linotype" w:hAnsi="Palatino Linotype" w:cs="Times New Roman"/>
          <w:b/>
          <w:i/>
          <w:sz w:val="24"/>
          <w:szCs w:val="24"/>
          <w:lang w:val="es-ES" w:eastAsia="es-ES"/>
        </w:rPr>
        <w:t>garantizar</w:t>
      </w:r>
      <w:r w:rsidRPr="002B0B59">
        <w:rPr>
          <w:rFonts w:ascii="Palatino Linotype" w:hAnsi="Palatino Linotype" w:cs="Times New Roman"/>
          <w:i/>
          <w:sz w:val="24"/>
          <w:szCs w:val="24"/>
          <w:lang w:val="es-ES" w:eastAsia="es-ES"/>
        </w:rPr>
        <w:t xml:space="preserve"> los derechos humanos</w:t>
      </w:r>
      <w:r w:rsidRPr="002B0B59">
        <w:rPr>
          <w:rFonts w:ascii="Palatino Linotype" w:hAnsi="Palatino Linotype" w:cs="Times New Roman"/>
          <w:sz w:val="24"/>
          <w:szCs w:val="24"/>
          <w:lang w:val="es-ES" w:eastAsia="es-ES"/>
        </w:rPr>
        <w:t xml:space="preserve">. En este contexto, debe considerarse que según lo dispuesto por el artículo 150 de la Ley </w:t>
      </w:r>
      <w:r w:rsidRPr="002B0B59">
        <w:rPr>
          <w:rFonts w:ascii="Palatino Linotype" w:hAnsi="Palatino Linotype" w:cs="Times New Roman"/>
          <w:sz w:val="24"/>
          <w:szCs w:val="24"/>
          <w:lang w:val="es-ES" w:eastAsia="es-ES"/>
        </w:rPr>
        <w:lastRenderedPageBreak/>
        <w:t xml:space="preserve">de Transparencia y Acceso a la Información Pública del Estado de México y Municipios, el </w:t>
      </w:r>
      <w:r w:rsidRPr="002B0B59">
        <w:rPr>
          <w:rFonts w:ascii="Palatino Linotype" w:hAnsi="Palatino Linotype" w:cs="Times New Roman"/>
          <w:i/>
          <w:sz w:val="24"/>
          <w:szCs w:val="24"/>
          <w:lang w:val="es-ES" w:eastAsia="es-ES"/>
        </w:rPr>
        <w:t>procedimiento de acceso a la información es la garantía primaria del derecho en cuestión.</w:t>
      </w:r>
      <w:r w:rsidRPr="002B0B59">
        <w:rPr>
          <w:rFonts w:ascii="Palatino Linotype" w:hAnsi="Palatino Linotype" w:cs="Times New Roman"/>
          <w:sz w:val="24"/>
          <w:szCs w:val="24"/>
          <w:lang w:val="es-ES" w:eastAsia="es-ES"/>
        </w:rPr>
        <w:t xml:space="preserve"> Por lo tanto, la falta de respuesta a una solicitud de acceso a la información constituye un incumplimiento del </w:t>
      </w:r>
      <w:r w:rsidRPr="002B0B59">
        <w:rPr>
          <w:rFonts w:ascii="Palatino Linotype" w:hAnsi="Palatino Linotype" w:cs="Times New Roman"/>
          <w:b/>
          <w:sz w:val="24"/>
          <w:szCs w:val="24"/>
          <w:lang w:val="es-ES" w:eastAsia="es-ES"/>
        </w:rPr>
        <w:t>Sujeto Obligado</w:t>
      </w:r>
      <w:r w:rsidRPr="002B0B59">
        <w:rPr>
          <w:rFonts w:ascii="Palatino Linotype"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2B0B59">
        <w:rPr>
          <w:rFonts w:ascii="Palatino Linotype" w:hAnsi="Palatino Linotype" w:cs="Times New Roman"/>
          <w:i/>
          <w:sz w:val="24"/>
          <w:szCs w:val="24"/>
          <w:lang w:val="es-ES" w:eastAsia="es-ES"/>
        </w:rPr>
        <w:t>investigar, sancionar y reparar las violaciones a los derechos humanos.</w:t>
      </w:r>
    </w:p>
    <w:p w:rsidR="00F67CE2" w:rsidRPr="002B0B59" w:rsidRDefault="00F67CE2" w:rsidP="00F67C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67CE2" w:rsidRPr="002B0B59" w:rsidRDefault="00F67CE2" w:rsidP="00F67C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B0B59">
        <w:rPr>
          <w:rFonts w:ascii="Palatino Linotype" w:eastAsia="Times New Roman" w:hAnsi="Palatino Linotype" w:cs="Arial"/>
          <w:sz w:val="24"/>
          <w:szCs w:val="24"/>
          <w:lang w:val="es-ES" w:eastAsia="es-ES"/>
        </w:rPr>
        <w:t xml:space="preserve">Por lo que en cumplimiento a esta resolución, el </w:t>
      </w:r>
      <w:r w:rsidRPr="002B0B59">
        <w:rPr>
          <w:rFonts w:ascii="Palatino Linotype" w:eastAsia="Times New Roman" w:hAnsi="Palatino Linotype" w:cs="Arial"/>
          <w:b/>
          <w:sz w:val="24"/>
          <w:szCs w:val="24"/>
          <w:lang w:val="es-ES" w:eastAsia="es-ES"/>
        </w:rPr>
        <w:t xml:space="preserve">Sujeto Obligado </w:t>
      </w:r>
      <w:r w:rsidRPr="002B0B59">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F67CE2" w:rsidRPr="002B0B59" w:rsidRDefault="00F67CE2" w:rsidP="00F67C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67CE2" w:rsidRPr="002B0B59" w:rsidRDefault="00F67CE2" w:rsidP="00F67CE2">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2B0B59">
        <w:rPr>
          <w:rFonts w:ascii="Palatino Linotype" w:eastAsia="Times New Roman" w:hAnsi="Palatino Linotype" w:cs="Arial"/>
          <w:b/>
          <w:i/>
          <w:sz w:val="28"/>
          <w:szCs w:val="24"/>
          <w:lang w:val="es-ES" w:eastAsia="es-ES"/>
        </w:rPr>
        <w:t>De la versión pública</w:t>
      </w:r>
    </w:p>
    <w:p w:rsidR="00F67CE2" w:rsidRPr="002B0B59"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p>
    <w:p w:rsidR="00F67CE2" w:rsidRPr="002B0B59"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2B0B59">
        <w:rPr>
          <w:rFonts w:ascii="Palatino Linotype" w:eastAsiaTheme="minorHAnsi" w:hAnsi="Palatino Linotype" w:cs="Arial"/>
          <w:sz w:val="24"/>
          <w:szCs w:val="24"/>
          <w:lang w:eastAsia="en-US"/>
        </w:rPr>
        <w:lastRenderedPageBreak/>
        <w:t>y XLV; 4, 51, 91, 137 y 143 de la Ley de Transparencia y Acceso a la Información Pública del Estado de México y Municipios.</w:t>
      </w:r>
    </w:p>
    <w:p w:rsidR="00F67CE2" w:rsidRPr="002B0B59"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p>
    <w:p w:rsidR="00F67CE2" w:rsidRPr="002B0B59"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F67CE2" w:rsidRPr="002B0B59"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p>
    <w:p w:rsidR="00F67CE2"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71459" w:rsidRPr="002B0B59" w:rsidRDefault="00B71459" w:rsidP="00F67CE2">
      <w:pPr>
        <w:tabs>
          <w:tab w:val="left" w:pos="8647"/>
        </w:tabs>
        <w:spacing w:after="0" w:line="360" w:lineRule="auto"/>
        <w:ind w:right="51"/>
        <w:jc w:val="both"/>
        <w:rPr>
          <w:rFonts w:ascii="Palatino Linotype" w:eastAsiaTheme="minorHAnsi" w:hAnsi="Palatino Linotype" w:cs="Arial"/>
          <w:sz w:val="24"/>
          <w:szCs w:val="24"/>
          <w:lang w:eastAsia="en-US"/>
        </w:rPr>
      </w:pPr>
    </w:p>
    <w:p w:rsidR="00F67CE2" w:rsidRPr="002B0B59"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2B0B59">
        <w:rPr>
          <w:rFonts w:ascii="Palatino Linotype" w:eastAsiaTheme="minorHAnsi" w:hAnsi="Palatino Linotype" w:cs="Arial"/>
          <w:b/>
          <w:sz w:val="24"/>
          <w:szCs w:val="24"/>
          <w:lang w:eastAsia="en-US"/>
        </w:rPr>
        <w:t>Registro Federal de Contribuyentes</w:t>
      </w:r>
      <w:r w:rsidRPr="002B0B59">
        <w:rPr>
          <w:rFonts w:ascii="Palatino Linotype" w:eastAsiaTheme="minorHAnsi" w:hAnsi="Palatino Linotype" w:cs="Arial"/>
          <w:sz w:val="24"/>
          <w:szCs w:val="24"/>
          <w:lang w:eastAsia="en-US"/>
        </w:rPr>
        <w:t xml:space="preserve"> (RFC), la </w:t>
      </w:r>
      <w:r w:rsidRPr="002B0B59">
        <w:rPr>
          <w:rFonts w:ascii="Palatino Linotype" w:eastAsiaTheme="minorHAnsi" w:hAnsi="Palatino Linotype" w:cs="Arial"/>
          <w:b/>
          <w:sz w:val="24"/>
          <w:szCs w:val="24"/>
          <w:lang w:eastAsia="en-US"/>
        </w:rPr>
        <w:t>Clave Única de Registro de Población</w:t>
      </w:r>
      <w:r w:rsidRPr="002B0B59">
        <w:rPr>
          <w:rFonts w:ascii="Palatino Linotype" w:eastAsiaTheme="minorHAnsi" w:hAnsi="Palatino Linotype" w:cs="Arial"/>
          <w:sz w:val="24"/>
          <w:szCs w:val="24"/>
          <w:lang w:eastAsia="en-US"/>
        </w:rPr>
        <w:t xml:space="preserve"> (CURP), la </w:t>
      </w:r>
      <w:r w:rsidRPr="002B0B59">
        <w:rPr>
          <w:rFonts w:ascii="Palatino Linotype" w:eastAsiaTheme="minorHAnsi" w:hAnsi="Palatino Linotype" w:cs="Arial"/>
          <w:b/>
          <w:sz w:val="24"/>
          <w:szCs w:val="24"/>
          <w:lang w:eastAsia="en-US"/>
        </w:rPr>
        <w:t>Clave de cualquier tipo de seguridad social</w:t>
      </w:r>
      <w:r w:rsidRPr="002B0B59">
        <w:rPr>
          <w:rFonts w:ascii="Palatino Linotype" w:eastAsiaTheme="minorHAnsi" w:hAnsi="Palatino Linotype" w:cs="Arial"/>
          <w:sz w:val="24"/>
          <w:szCs w:val="24"/>
          <w:lang w:eastAsia="en-US"/>
        </w:rPr>
        <w:t xml:space="preserve"> (ISSEMYM, u otros), así como, </w:t>
      </w:r>
      <w:r w:rsidRPr="002B0B59">
        <w:rPr>
          <w:rFonts w:ascii="Palatino Linotype" w:eastAsiaTheme="minorHAnsi" w:hAnsi="Palatino Linotype" w:cs="Arial"/>
          <w:sz w:val="24"/>
          <w:szCs w:val="24"/>
          <w:lang w:eastAsia="en-US"/>
        </w:rPr>
        <w:lastRenderedPageBreak/>
        <w:t xml:space="preserve">los </w:t>
      </w:r>
      <w:r w:rsidRPr="002B0B59">
        <w:rPr>
          <w:rFonts w:ascii="Palatino Linotype" w:eastAsiaTheme="minorHAnsi" w:hAnsi="Palatino Linotype" w:cs="Arial"/>
          <w:b/>
          <w:sz w:val="24"/>
          <w:szCs w:val="24"/>
          <w:lang w:eastAsia="en-US"/>
        </w:rPr>
        <w:t>préstamos o descuentos</w:t>
      </w:r>
      <w:r w:rsidRPr="002B0B59">
        <w:rPr>
          <w:rFonts w:ascii="Palatino Linotype" w:eastAsiaTheme="minorHAnsi" w:hAnsi="Palatino Linotype" w:cs="Arial"/>
          <w:sz w:val="24"/>
          <w:szCs w:val="24"/>
          <w:lang w:eastAsia="en-US"/>
        </w:rPr>
        <w:t xml:space="preserve"> que se le hagan a la persona y que no tengan relación con los impuestos o la cuota por seguridad social.</w:t>
      </w:r>
    </w:p>
    <w:p w:rsidR="00F67CE2" w:rsidRPr="002B0B59"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p>
    <w:p w:rsidR="00F67CE2" w:rsidRPr="002B0B59"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F67CE2" w:rsidRPr="002B0B59"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p>
    <w:p w:rsidR="00F67CE2" w:rsidRPr="002B0B59"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Lo anterior, es compartido por el entonces Instituto Federal de Acceso a la Información Protección de Datos (IFAI) a través del Criterio 09/2009, el cual es del tenor literal siguiente:</w:t>
      </w:r>
    </w:p>
    <w:p w:rsidR="00F67CE2" w:rsidRPr="002B0B59"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p>
    <w:p w:rsidR="00F67CE2" w:rsidRPr="002B0B59" w:rsidRDefault="00F67CE2" w:rsidP="000C3CF7">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
          <w:bCs/>
          <w:i/>
          <w:lang w:eastAsia="en-US"/>
        </w:rPr>
        <w:t xml:space="preserve">“Registro Federal de Contribuyentes (RFC) de las personas físicas es un dato personal confidencial. </w:t>
      </w:r>
      <w:r w:rsidRPr="002B0B59">
        <w:rPr>
          <w:rFonts w:ascii="Palatino Linotype" w:eastAsiaTheme="minorHAnsi" w:hAnsi="Palatino Linotype" w:cs="Arial"/>
          <w:i/>
          <w:lang w:eastAsia="en-US"/>
        </w:rPr>
        <w:t>De conformidad con lo establecido en el artículo 18,</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fracción II de la Ley Federal de Transparencia y Acceso a la Información Pública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 xml:space="preserve">Gubernamental </w:t>
      </w:r>
      <w:r w:rsidRPr="002B0B59">
        <w:rPr>
          <w:rFonts w:ascii="Palatino Linotype" w:eastAsiaTheme="minorHAnsi" w:hAnsi="Palatino Linotype" w:cs="Arial"/>
          <w:i/>
          <w:u w:val="single"/>
          <w:lang w:eastAsia="en-US"/>
        </w:rPr>
        <w:t>se considera información confidencial los datos personales que</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requieren el consentimiento de los individuos para su difusión, distribución o</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comercialización en los términos de esta Ley. Por su parte, según dispone el</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artículo 3, fracción II de la Ley Federal de Transparencia y Acceso a la Información</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Pública Gubernamental, dato personal es toda aquella información concerniente a</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una persona física identificada o identificable</w:t>
      </w:r>
      <w:r w:rsidRPr="002B0B59">
        <w:rPr>
          <w:rFonts w:ascii="Palatino Linotype" w:eastAsiaTheme="minorHAnsi" w:hAnsi="Palatino Linotype" w:cs="Arial"/>
          <w:i/>
          <w:lang w:eastAsia="en-US"/>
        </w:rPr>
        <w:t xml:space="preserve">. Para </w:t>
      </w:r>
      <w:r w:rsidRPr="002B0B59">
        <w:rPr>
          <w:rFonts w:ascii="Palatino Linotype" w:eastAsiaTheme="minorHAnsi" w:hAnsi="Palatino Linotype" w:cs="Arial"/>
          <w:i/>
          <w:u w:val="single"/>
          <w:lang w:eastAsia="en-US"/>
        </w:rPr>
        <w:t>obtener el RFC es necesario</w:t>
      </w:r>
      <w:r w:rsidRPr="002B0B59">
        <w:rPr>
          <w:rFonts w:ascii="Palatino Linotype" w:eastAsiaTheme="minorHAnsi" w:hAnsi="Palatino Linotype" w:cs="Arial"/>
          <w:b/>
          <w:bCs/>
          <w:i/>
          <w:u w:val="single"/>
          <w:lang w:eastAsia="en-US"/>
        </w:rPr>
        <w:t xml:space="preserve"> </w:t>
      </w:r>
      <w:r w:rsidRPr="002B0B59">
        <w:rPr>
          <w:rFonts w:ascii="Palatino Linotype" w:eastAsiaTheme="minorHAnsi" w:hAnsi="Palatino Linotype" w:cs="Arial"/>
          <w:i/>
          <w:u w:val="single"/>
          <w:lang w:eastAsia="en-US"/>
        </w:rPr>
        <w:t>acreditar previamente mediante documentos oficiales (pasaporte, acta de</w:t>
      </w:r>
      <w:r w:rsidRPr="002B0B59">
        <w:rPr>
          <w:rFonts w:ascii="Palatino Linotype" w:eastAsiaTheme="minorHAnsi" w:hAnsi="Palatino Linotype" w:cs="Arial"/>
          <w:b/>
          <w:bCs/>
          <w:i/>
          <w:u w:val="single"/>
          <w:lang w:eastAsia="en-US"/>
        </w:rPr>
        <w:t xml:space="preserve"> </w:t>
      </w:r>
      <w:r w:rsidRPr="002B0B59">
        <w:rPr>
          <w:rFonts w:ascii="Palatino Linotype" w:eastAsiaTheme="minorHAnsi" w:hAnsi="Palatino Linotype" w:cs="Arial"/>
          <w:i/>
          <w:u w:val="single"/>
          <w:lang w:eastAsia="en-US"/>
        </w:rPr>
        <w:t>nacimiento, etc.) la identidad de la persona, su fecha y lugar de nacimiento, entre</w:t>
      </w:r>
      <w:r w:rsidRPr="002B0B59">
        <w:rPr>
          <w:rFonts w:ascii="Palatino Linotype" w:eastAsiaTheme="minorHAnsi" w:hAnsi="Palatino Linotype" w:cs="Arial"/>
          <w:b/>
          <w:bCs/>
          <w:i/>
          <w:u w:val="single"/>
          <w:lang w:eastAsia="en-US"/>
        </w:rPr>
        <w:t xml:space="preserve"> </w:t>
      </w:r>
      <w:r w:rsidRPr="002B0B59">
        <w:rPr>
          <w:rFonts w:ascii="Palatino Linotype" w:eastAsiaTheme="minorHAnsi" w:hAnsi="Palatino Linotype" w:cs="Arial"/>
          <w:i/>
          <w:u w:val="single"/>
          <w:lang w:eastAsia="en-US"/>
        </w:rPr>
        <w:t xml:space="preserve">otros. </w:t>
      </w:r>
      <w:r w:rsidRPr="002B0B59">
        <w:rPr>
          <w:rFonts w:ascii="Palatino Linotype" w:eastAsiaTheme="minorHAnsi" w:hAnsi="Palatino Linotype" w:cs="Arial"/>
          <w:i/>
          <w:lang w:eastAsia="en-US"/>
        </w:rPr>
        <w:t>De acuerdo con la legislación tributaria, las personas físicas tramitan su</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inscripción en el Registro Federal de Contribuyentes con el único propósito de</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realizar mediante esa clave de identificación, operaciones o actividades de</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naturaleza tributaria. En este sentido, el artículo 79 del Código Fiscal de la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 xml:space="preserve">Federación prevé que la utilización de una clave de registro no </w:t>
      </w:r>
      <w:r w:rsidRPr="002B0B59">
        <w:rPr>
          <w:rFonts w:ascii="Palatino Linotype" w:eastAsiaTheme="minorHAnsi" w:hAnsi="Palatino Linotype" w:cs="Arial"/>
          <w:i/>
          <w:lang w:eastAsia="en-US"/>
        </w:rPr>
        <w:lastRenderedPageBreak/>
        <w:t>asignada por la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autoridad constituye como una infracción en materia fiscal. De acuerdo con lo</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antes apuntado, el RFC vinculado al nombre de su titular, permite identificar la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edad de la persona, así como su homoclave, siendo esta última única e irrepetible,</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por lo que es posible concluir que el RFC constituye un dato personal y, por tanto,</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información confidencial, de conformidad con los previsto en el artículo 18,</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fracción II de la Ley Federal de Transparencia y Acceso a la Información Pública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Gubernamental</w:t>
      </w:r>
      <w:r w:rsidRPr="002B0B59">
        <w:rPr>
          <w:rFonts w:ascii="Palatino Linotype" w:eastAsiaTheme="minorHAnsi" w:hAnsi="Palatino Linotype" w:cs="Arial"/>
          <w:bCs/>
          <w:i/>
          <w:lang w:eastAsia="en-US"/>
        </w:rPr>
        <w:t xml:space="preserve">…” </w:t>
      </w:r>
    </w:p>
    <w:p w:rsidR="00F67CE2" w:rsidRPr="002B0B59" w:rsidRDefault="00F67CE2" w:rsidP="00F67CE2">
      <w:pPr>
        <w:tabs>
          <w:tab w:val="left" w:pos="8647"/>
        </w:tabs>
        <w:spacing w:after="0" w:line="240" w:lineRule="auto"/>
        <w:ind w:left="567" w:right="567"/>
        <w:jc w:val="both"/>
        <w:rPr>
          <w:rFonts w:ascii="Palatino Linotype" w:eastAsiaTheme="minorHAnsi" w:hAnsi="Palatino Linotype" w:cs="Arial"/>
          <w:bCs/>
          <w:lang w:eastAsia="en-US"/>
        </w:rPr>
      </w:pPr>
    </w:p>
    <w:p w:rsidR="00F67CE2" w:rsidRPr="002B0B59" w:rsidRDefault="00F67CE2" w:rsidP="00F67CE2">
      <w:pPr>
        <w:tabs>
          <w:tab w:val="left" w:pos="8647"/>
        </w:tabs>
        <w:spacing w:after="0" w:line="240" w:lineRule="auto"/>
        <w:ind w:left="567" w:right="284"/>
        <w:jc w:val="right"/>
        <w:rPr>
          <w:rFonts w:ascii="Palatino Linotype" w:eastAsiaTheme="minorHAnsi" w:hAnsi="Palatino Linotype" w:cs="Arial"/>
          <w:lang w:eastAsia="en-US"/>
        </w:rPr>
      </w:pPr>
      <w:r w:rsidRPr="002B0B59">
        <w:rPr>
          <w:rFonts w:ascii="Palatino Linotype" w:eastAsiaTheme="minorHAnsi" w:hAnsi="Palatino Linotype" w:cs="Arial"/>
          <w:lang w:eastAsia="en-US"/>
        </w:rPr>
        <w:t>(Énfasis añadido)</w:t>
      </w:r>
    </w:p>
    <w:p w:rsidR="00F67CE2" w:rsidRPr="002B0B59"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p>
    <w:p w:rsidR="00F67CE2" w:rsidRPr="002B0B59"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F67CE2" w:rsidRPr="002B0B59"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p>
    <w:p w:rsidR="00F67CE2" w:rsidRPr="002B0B59"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2B0B59">
        <w:rPr>
          <w:rFonts w:ascii="Palatino Linotype" w:eastAsiaTheme="minorHAnsi" w:hAnsi="Palatino Linotype" w:cs="Arial"/>
          <w:b/>
          <w:bCs/>
          <w:sz w:val="24"/>
          <w:szCs w:val="24"/>
          <w:lang w:eastAsia="en-US"/>
        </w:rPr>
        <w:t xml:space="preserve">Instituto Federal de Acceso a la Información y Protección de Datos (IFAI), conforme al </w:t>
      </w:r>
      <w:r w:rsidRPr="002B0B59">
        <w:rPr>
          <w:rFonts w:ascii="Palatino Linotype" w:eastAsiaTheme="minorHAnsi" w:hAnsi="Palatino Linotype" w:cs="Arial"/>
          <w:sz w:val="24"/>
          <w:szCs w:val="24"/>
          <w:lang w:eastAsia="en-US"/>
        </w:rPr>
        <w:t xml:space="preserve">criterio número 0003-10, el cual refiere: </w:t>
      </w:r>
    </w:p>
    <w:p w:rsidR="00F67CE2" w:rsidRPr="002B0B59"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p>
    <w:p w:rsidR="00F67CE2" w:rsidRPr="002B0B59" w:rsidRDefault="00F67CE2" w:rsidP="000C3CF7">
      <w:pPr>
        <w:tabs>
          <w:tab w:val="left" w:pos="8505"/>
        </w:tabs>
        <w:spacing w:after="0" w:line="240" w:lineRule="auto"/>
        <w:ind w:left="567" w:right="567"/>
        <w:jc w:val="both"/>
        <w:rPr>
          <w:rFonts w:ascii="Palatino Linotype" w:eastAsiaTheme="minorHAnsi" w:hAnsi="Palatino Linotype" w:cs="Arial"/>
          <w:i/>
          <w:lang w:eastAsia="en-US"/>
        </w:rPr>
      </w:pPr>
      <w:r w:rsidRPr="002B0B59">
        <w:rPr>
          <w:rFonts w:ascii="Palatino Linotype" w:eastAsiaTheme="minorHAnsi" w:hAnsi="Palatino Linotype" w:cs="Arial"/>
          <w:b/>
          <w:bCs/>
          <w:i/>
          <w:lang w:eastAsia="en-US"/>
        </w:rPr>
        <w:t xml:space="preserve">“Clave Única de Registro de Población (CURP) es un dato personal confidencial. </w:t>
      </w:r>
      <w:r w:rsidRPr="002B0B59">
        <w:rPr>
          <w:rFonts w:ascii="Palatino Linotype" w:eastAsiaTheme="minorHAnsi" w:hAnsi="Palatino Linotype" w:cs="Arial"/>
          <w:i/>
          <w:lang w:eastAsia="en-US"/>
        </w:rPr>
        <w:t xml:space="preserve">De conformidad con lo establecido en el artículo 3, fracción II de la Ley Federal de Transparencia y Acceso a la Información Pública Gubernamental, dato personal es toda </w:t>
      </w:r>
      <w:r w:rsidRPr="002B0B59">
        <w:rPr>
          <w:rFonts w:ascii="Palatino Linotype" w:eastAsiaTheme="minorHAnsi" w:hAnsi="Palatino Linotype" w:cs="Arial"/>
          <w:i/>
          <w:lang w:eastAsia="en-US"/>
        </w:rPr>
        <w:lastRenderedPageBreak/>
        <w:t>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2B0B59">
        <w:rPr>
          <w:rFonts w:ascii="Palatino Linotype" w:eastAsiaTheme="minorHAnsi" w:hAnsi="Palatino Linotype" w:cs="Arial"/>
          <w:b/>
          <w:bCs/>
          <w:i/>
          <w:lang w:eastAsia="en-US"/>
        </w:rPr>
        <w:t>..</w:t>
      </w:r>
      <w:r w:rsidRPr="002B0B59">
        <w:rPr>
          <w:rFonts w:ascii="Palatino Linotype" w:eastAsiaTheme="minorHAnsi" w:hAnsi="Palatino Linotype" w:cs="Arial"/>
          <w:i/>
          <w:lang w:eastAsia="en-US"/>
        </w:rPr>
        <w:t>.” (Sic)</w:t>
      </w:r>
    </w:p>
    <w:p w:rsidR="00F67CE2" w:rsidRPr="002B0B59" w:rsidRDefault="00F67CE2" w:rsidP="00F67CE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F67CE2" w:rsidRPr="002B0B59" w:rsidRDefault="00F67CE2" w:rsidP="00F67CE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2B0B59">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F67CE2" w:rsidRPr="002B0B59" w:rsidRDefault="00F67CE2" w:rsidP="00F67CE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F67CE2" w:rsidRPr="002B0B59"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F67CE2" w:rsidRPr="002B0B59"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p>
    <w:p w:rsidR="00F67CE2" w:rsidRPr="002B0B59"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Por su parte, los Lineamientos Generales en materia de Clasificación y Desclasificación de la información, así como para la elaboración de versiones públicas, emitidos por el </w:t>
      </w:r>
      <w:r w:rsidRPr="002B0B59">
        <w:rPr>
          <w:rFonts w:ascii="Palatino Linotype" w:eastAsiaTheme="minorHAnsi" w:hAnsi="Palatino Linotype" w:cs="Arial"/>
          <w:sz w:val="24"/>
          <w:szCs w:val="24"/>
          <w:lang w:eastAsia="en-US"/>
        </w:rPr>
        <w:lastRenderedPageBreak/>
        <w:t>Sistema Nacional de Transparencia, Acceso a la Información Pública y Protección de Datos Personales, establecen lo siguiente:</w:t>
      </w:r>
    </w:p>
    <w:p w:rsidR="00F67CE2" w:rsidRPr="002B0B59"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p>
    <w:p w:rsidR="00F67CE2" w:rsidRPr="002B0B59" w:rsidRDefault="00F67CE2" w:rsidP="000C3CF7">
      <w:pPr>
        <w:tabs>
          <w:tab w:val="left" w:pos="8505"/>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w:t>
      </w:r>
      <w:r w:rsidRPr="002B0B59">
        <w:rPr>
          <w:rFonts w:ascii="Palatino Linotype" w:eastAsiaTheme="minorHAnsi" w:hAnsi="Palatino Linotype" w:cs="Arial"/>
          <w:b/>
          <w:bCs/>
          <w:i/>
          <w:lang w:eastAsia="en-US"/>
        </w:rPr>
        <w:t>Cuarto</w:t>
      </w:r>
      <w:r w:rsidRPr="002B0B59">
        <w:rPr>
          <w:rFonts w:ascii="Palatino Linotype" w:eastAsiaTheme="minorHAnsi" w:hAnsi="Palatino Linotype" w:cs="Arial"/>
          <w:bCs/>
          <w:i/>
          <w:lang w:eastAsia="en-US"/>
        </w:rPr>
        <w:t xml:space="preserve">. </w:t>
      </w:r>
      <w:r w:rsidRPr="002B0B59">
        <w:rPr>
          <w:rFonts w:ascii="Palatino Linotype" w:eastAsiaTheme="minorHAnsi" w:hAnsi="Palatino Linotype" w:cs="Arial"/>
          <w:b/>
          <w:bCs/>
          <w:i/>
          <w:u w:val="single"/>
          <w:lang w:eastAsia="en-US"/>
        </w:rPr>
        <w:t>Para clasificar la información como reservada o confidencial,</w:t>
      </w:r>
      <w:r w:rsidRPr="002B0B59">
        <w:rPr>
          <w:rFonts w:ascii="Palatino Linotype" w:eastAsiaTheme="minorHAnsi" w:hAnsi="Palatino Linotype" w:cs="Arial"/>
          <w:bCs/>
          <w:i/>
          <w:lang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67CE2" w:rsidRPr="002B0B59" w:rsidRDefault="00F67CE2" w:rsidP="000C3CF7">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Los sujetos obligados deberán aplicar, de manera estricta, las excepciones al derecho de acceso a la información y sólo podrán invocarlas cuando acrediten su procedencia.</w:t>
      </w:r>
    </w:p>
    <w:p w:rsidR="00F67CE2" w:rsidRPr="002B0B59" w:rsidRDefault="00F67CE2" w:rsidP="000C3CF7">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w:t>
      </w:r>
    </w:p>
    <w:p w:rsidR="00F67CE2" w:rsidRPr="002B0B59" w:rsidRDefault="00F67CE2" w:rsidP="000C3CF7">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
          <w:bCs/>
          <w:i/>
          <w:lang w:eastAsia="en-US"/>
        </w:rPr>
        <w:t>Quinto</w:t>
      </w:r>
      <w:r w:rsidRPr="002B0B59">
        <w:rPr>
          <w:rFonts w:ascii="Palatino Linotype" w:eastAsiaTheme="minorHAnsi" w:hAnsi="Palatino Linotype" w:cs="Arial"/>
          <w:bCs/>
          <w:i/>
          <w:lang w:eastAsia="en-US"/>
        </w:rPr>
        <w:t xml:space="preserve">. </w:t>
      </w:r>
      <w:r w:rsidRPr="002B0B59">
        <w:rPr>
          <w:rFonts w:ascii="Palatino Linotype" w:eastAsiaTheme="minorHAnsi" w:hAnsi="Palatino Linotype" w:cs="Arial"/>
          <w:b/>
          <w:bCs/>
          <w:i/>
          <w:lang w:eastAsia="en-US"/>
        </w:rPr>
        <w:t xml:space="preserve">La carga de la prueba para justificar toda negativa de acceso a la información, </w:t>
      </w:r>
      <w:r w:rsidRPr="002B0B59">
        <w:rPr>
          <w:rFonts w:ascii="Palatino Linotype" w:eastAsiaTheme="minorHAnsi" w:hAnsi="Palatino Linotype" w:cs="Arial"/>
          <w:bCs/>
          <w:i/>
          <w:lang w:eastAsia="en-US"/>
        </w:rPr>
        <w:t>por actualizarse cualquiera de los supuestos de clasificación previstos en la Ley General, la Ley Federal y leyes estatales, corresponderá</w:t>
      </w:r>
      <w:r w:rsidRPr="002B0B59">
        <w:rPr>
          <w:rFonts w:ascii="Palatino Linotype" w:eastAsiaTheme="minorHAnsi" w:hAnsi="Palatino Linotype" w:cs="Arial"/>
          <w:b/>
          <w:bCs/>
          <w:i/>
          <w:lang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2B0B59">
        <w:rPr>
          <w:rFonts w:ascii="Palatino Linotype" w:eastAsiaTheme="minorHAnsi" w:hAnsi="Palatino Linotype" w:cs="Arial"/>
          <w:bCs/>
          <w:i/>
          <w:lang w:eastAsia="en-US"/>
        </w:rPr>
        <w:t>, observando lo dispuesto en la Ley General y las demás disposiciones aplicables en la materia.</w:t>
      </w:r>
    </w:p>
    <w:p w:rsidR="00F67CE2" w:rsidRPr="002B0B59" w:rsidRDefault="00F67CE2" w:rsidP="000C3CF7">
      <w:pPr>
        <w:tabs>
          <w:tab w:val="left" w:pos="8647"/>
        </w:tabs>
        <w:spacing w:after="0" w:line="240" w:lineRule="auto"/>
        <w:ind w:left="567" w:right="567"/>
        <w:jc w:val="both"/>
        <w:rPr>
          <w:rFonts w:ascii="Palatino Linotype" w:eastAsiaTheme="minorHAnsi" w:hAnsi="Palatino Linotype" w:cs="Arial"/>
          <w:bCs/>
          <w:i/>
          <w:lang w:eastAsia="en-US"/>
        </w:rPr>
      </w:pPr>
    </w:p>
    <w:p w:rsidR="00F67CE2" w:rsidRPr="002B0B59" w:rsidRDefault="00F67CE2" w:rsidP="000C3CF7">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
          <w:bCs/>
          <w:i/>
          <w:lang w:eastAsia="en-US"/>
        </w:rPr>
        <w:t>Octavo</w:t>
      </w:r>
      <w:r w:rsidRPr="002B0B59">
        <w:rPr>
          <w:rFonts w:ascii="Palatino Linotype" w:eastAsiaTheme="minorHAnsi" w:hAnsi="Palatino Linotype" w:cs="Arial"/>
          <w:bCs/>
          <w:i/>
          <w:lang w:eastAsia="en-US"/>
        </w:rPr>
        <w:t xml:space="preserve">. </w:t>
      </w:r>
      <w:r w:rsidRPr="002B0B59">
        <w:rPr>
          <w:rFonts w:ascii="Palatino Linotype" w:eastAsiaTheme="minorHAnsi" w:hAnsi="Palatino Linotype" w:cs="Arial"/>
          <w:bCs/>
          <w:i/>
          <w:u w:val="single"/>
          <w:lang w:eastAsia="en-US"/>
        </w:rPr>
        <w:t>Para fundar la clasificación de la información se debe señalar el artículo, fracción, inciso, párrafo o numeral de la ley o tratado internacional</w:t>
      </w:r>
      <w:r w:rsidRPr="002B0B59">
        <w:rPr>
          <w:rFonts w:ascii="Palatino Linotype" w:eastAsiaTheme="minorHAnsi" w:hAnsi="Palatino Linotype" w:cs="Arial"/>
          <w:bCs/>
          <w:i/>
          <w:lang w:eastAsia="en-US"/>
        </w:rPr>
        <w:t xml:space="preserve"> suscrito por el Estado mexicano que expresamente le otorga el carácter de reservada o confidencial.</w:t>
      </w:r>
    </w:p>
    <w:p w:rsidR="00F67CE2" w:rsidRPr="002B0B59" w:rsidRDefault="00F67CE2" w:rsidP="000C3CF7">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Para motivar la clasificación se deberán señalar las razones o circunstancias especiales que lo llevaron a concluir que el caso particular se ajusta al supuesto previsto por la norma legal invocada como fundamento.</w:t>
      </w:r>
    </w:p>
    <w:p w:rsidR="00F67CE2" w:rsidRPr="002B0B59" w:rsidRDefault="00F67CE2" w:rsidP="000C3CF7">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w:t>
      </w:r>
    </w:p>
    <w:p w:rsidR="00F67CE2" w:rsidRPr="002B0B59" w:rsidRDefault="00F67CE2" w:rsidP="000C3CF7">
      <w:pPr>
        <w:tabs>
          <w:tab w:val="left" w:pos="8647"/>
        </w:tabs>
        <w:spacing w:after="0" w:line="240" w:lineRule="auto"/>
        <w:ind w:left="567" w:right="567"/>
        <w:jc w:val="both"/>
        <w:rPr>
          <w:rFonts w:ascii="Palatino Linotype" w:eastAsiaTheme="minorHAnsi" w:hAnsi="Palatino Linotype" w:cs="Arial"/>
          <w:b/>
          <w:bCs/>
          <w:i/>
          <w:lang w:eastAsia="en-US"/>
        </w:rPr>
      </w:pPr>
      <w:r w:rsidRPr="002B0B59">
        <w:rPr>
          <w:rFonts w:ascii="Palatino Linotype" w:eastAsiaTheme="minorHAnsi" w:hAnsi="Palatino Linotype" w:cs="Arial"/>
          <w:b/>
          <w:bCs/>
          <w:i/>
          <w:lang w:eastAsia="en-US"/>
        </w:rPr>
        <w:t>DE LA INFORMACIÓN CONFIDENCIAL</w:t>
      </w:r>
    </w:p>
    <w:p w:rsidR="00F67CE2" w:rsidRPr="002B0B59" w:rsidRDefault="00F67CE2" w:rsidP="000C3CF7">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
          <w:bCs/>
          <w:i/>
          <w:lang w:eastAsia="en-US"/>
        </w:rPr>
        <w:t xml:space="preserve">Trigésimo octavo. </w:t>
      </w:r>
      <w:r w:rsidRPr="002B0B59">
        <w:rPr>
          <w:rFonts w:ascii="Palatino Linotype" w:eastAsiaTheme="minorHAnsi" w:hAnsi="Palatino Linotype" w:cs="Arial"/>
          <w:bCs/>
          <w:i/>
          <w:lang w:eastAsia="en-US"/>
        </w:rPr>
        <w:t>Se considera información confidencial:</w:t>
      </w:r>
    </w:p>
    <w:p w:rsidR="00F67CE2" w:rsidRPr="002B0B59" w:rsidRDefault="00F67CE2" w:rsidP="000C3CF7">
      <w:pPr>
        <w:tabs>
          <w:tab w:val="left" w:pos="8647"/>
        </w:tabs>
        <w:spacing w:after="0" w:line="240" w:lineRule="auto"/>
        <w:ind w:left="567" w:right="567"/>
        <w:jc w:val="both"/>
        <w:rPr>
          <w:rFonts w:ascii="Palatino Linotype" w:eastAsiaTheme="minorHAnsi" w:hAnsi="Palatino Linotype" w:cs="Arial"/>
          <w:b/>
          <w:bCs/>
          <w:i/>
          <w:lang w:eastAsia="en-US"/>
        </w:rPr>
      </w:pPr>
      <w:r w:rsidRPr="002B0B59">
        <w:rPr>
          <w:rFonts w:ascii="Palatino Linotype" w:eastAsiaTheme="minorHAnsi" w:hAnsi="Palatino Linotype" w:cs="Arial"/>
          <w:bCs/>
          <w:i/>
          <w:lang w:eastAsia="en-US"/>
        </w:rPr>
        <w:t xml:space="preserve">I. </w:t>
      </w:r>
      <w:r w:rsidRPr="002B0B59">
        <w:rPr>
          <w:rFonts w:ascii="Palatino Linotype" w:eastAsiaTheme="minorHAnsi" w:hAnsi="Palatino Linotype" w:cs="Arial"/>
          <w:b/>
          <w:bCs/>
          <w:i/>
          <w:u w:val="single"/>
          <w:lang w:eastAsia="en-US"/>
        </w:rPr>
        <w:t>Los datos personales en los términos de la norma aplicable</w:t>
      </w:r>
      <w:r w:rsidRPr="002B0B59">
        <w:rPr>
          <w:rFonts w:ascii="Palatino Linotype" w:eastAsiaTheme="minorHAnsi" w:hAnsi="Palatino Linotype" w:cs="Arial"/>
          <w:b/>
          <w:bCs/>
          <w:i/>
          <w:lang w:eastAsia="en-US"/>
        </w:rPr>
        <w:t>;</w:t>
      </w:r>
    </w:p>
    <w:p w:rsidR="00F67CE2" w:rsidRPr="002B0B59" w:rsidRDefault="00F67CE2" w:rsidP="000C3CF7">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F67CE2" w:rsidRPr="002B0B59" w:rsidRDefault="00F67CE2" w:rsidP="000C3CF7">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III …</w:t>
      </w:r>
    </w:p>
    <w:p w:rsidR="00F67CE2" w:rsidRPr="002B0B59" w:rsidRDefault="00F67CE2" w:rsidP="000C3CF7">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lastRenderedPageBreak/>
        <w:t>La información confidencial no estará sujeta a temporalidad alguna y sólo podrán tener acceso a ella los titulares de la misma, sus representantes y los servidores públicos facultados para ello.”</w:t>
      </w:r>
    </w:p>
    <w:p w:rsidR="00F67CE2" w:rsidRPr="002B0B59" w:rsidRDefault="00F67CE2" w:rsidP="000C3CF7">
      <w:pPr>
        <w:tabs>
          <w:tab w:val="left" w:pos="8647"/>
        </w:tabs>
        <w:spacing w:after="0" w:line="240" w:lineRule="auto"/>
        <w:ind w:left="567" w:right="567"/>
        <w:jc w:val="right"/>
        <w:rPr>
          <w:rFonts w:ascii="Palatino Linotype" w:eastAsiaTheme="minorHAnsi" w:hAnsi="Palatino Linotype" w:cs="Arial"/>
          <w:bCs/>
          <w:lang w:eastAsia="en-US"/>
        </w:rPr>
      </w:pPr>
      <w:r w:rsidRPr="002B0B59">
        <w:rPr>
          <w:rFonts w:ascii="Palatino Linotype" w:eastAsiaTheme="minorHAnsi" w:hAnsi="Palatino Linotype" w:cs="Arial"/>
          <w:bCs/>
          <w:lang w:eastAsia="en-US"/>
        </w:rPr>
        <w:t>(Énfasis añadido)</w:t>
      </w:r>
    </w:p>
    <w:p w:rsidR="00F67CE2" w:rsidRPr="002B0B59"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p>
    <w:p w:rsidR="00F67CE2"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C3CF7" w:rsidRPr="002B0B59" w:rsidRDefault="000C3CF7" w:rsidP="00F67CE2">
      <w:pPr>
        <w:tabs>
          <w:tab w:val="left" w:pos="8647"/>
        </w:tabs>
        <w:spacing w:after="0" w:line="360" w:lineRule="auto"/>
        <w:ind w:right="51"/>
        <w:jc w:val="both"/>
        <w:rPr>
          <w:rFonts w:ascii="Palatino Linotype" w:eastAsiaTheme="minorHAnsi" w:hAnsi="Palatino Linotype" w:cs="Arial"/>
          <w:sz w:val="24"/>
          <w:szCs w:val="24"/>
          <w:lang w:eastAsia="en-US"/>
        </w:rPr>
      </w:pPr>
    </w:p>
    <w:p w:rsidR="00F67CE2" w:rsidRPr="002B0B59" w:rsidRDefault="00F67CE2" w:rsidP="00F67CE2">
      <w:pPr>
        <w:autoSpaceDE w:val="0"/>
        <w:autoSpaceDN w:val="0"/>
        <w:adjustRightInd w:val="0"/>
        <w:spacing w:after="0" w:line="360" w:lineRule="auto"/>
        <w:contextualSpacing/>
        <w:jc w:val="both"/>
        <w:rPr>
          <w:rFonts w:ascii="Palatino Linotype" w:eastAsiaTheme="minorHAnsi" w:hAnsi="Palatino Linotype" w:cs="Arial"/>
          <w:sz w:val="24"/>
          <w:lang w:val="es-ES" w:eastAsia="en-US"/>
        </w:rPr>
      </w:pPr>
      <w:r w:rsidRPr="002B0B59">
        <w:rPr>
          <w:rFonts w:ascii="Palatino Linotype" w:eastAsia="Times New Roman" w:hAnsi="Palatino Linotype" w:cs="Arial"/>
          <w:sz w:val="24"/>
          <w:szCs w:val="24"/>
          <w:lang w:val="es-ES" w:eastAsia="es-ES"/>
        </w:rPr>
        <w:t xml:space="preserve">Entonces, el </w:t>
      </w:r>
      <w:r w:rsidRPr="002B0B59">
        <w:rPr>
          <w:rFonts w:ascii="Palatino Linotype" w:eastAsia="Times New Roman" w:hAnsi="Palatino Linotype" w:cs="Arial"/>
          <w:b/>
          <w:sz w:val="24"/>
          <w:szCs w:val="24"/>
          <w:lang w:val="es-ES" w:eastAsia="es-ES"/>
        </w:rPr>
        <w:t>Sujeto Obligado</w:t>
      </w:r>
      <w:r w:rsidRPr="002B0B59">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w:t>
      </w:r>
      <w:r w:rsidRPr="002B0B59">
        <w:rPr>
          <w:rFonts w:ascii="Palatino Linotype" w:eastAsia="Times New Roman" w:hAnsi="Palatino Linotype" w:cs="Arial"/>
          <w:sz w:val="24"/>
          <w:szCs w:val="24"/>
          <w:lang w:val="es-ES" w:eastAsia="es-ES"/>
        </w:rPr>
        <w:lastRenderedPageBreak/>
        <w:t>149 de la Ley de Transparencia y Acceso a la Información Pública del Estado de México y Municipios</w:t>
      </w:r>
      <w:r w:rsidRPr="002B0B59">
        <w:rPr>
          <w:rFonts w:ascii="Palatino Linotype" w:eastAsia="Times New Roman" w:hAnsi="Palatino Linotype" w:cs="Arial"/>
          <w:i/>
          <w:iCs/>
          <w:sz w:val="24"/>
          <w:szCs w:val="24"/>
          <w:lang w:val="es-ES" w:eastAsia="es-ES"/>
        </w:rPr>
        <w:t>.</w:t>
      </w:r>
    </w:p>
    <w:p w:rsidR="00F67CE2" w:rsidRPr="002B0B59" w:rsidRDefault="00F67CE2" w:rsidP="00F67CE2">
      <w:pPr>
        <w:spacing w:after="0" w:line="360" w:lineRule="auto"/>
        <w:jc w:val="both"/>
        <w:rPr>
          <w:rFonts w:ascii="Palatino Linotype" w:eastAsiaTheme="minorHAnsi" w:hAnsi="Palatino Linotype" w:cs="Arial"/>
          <w:sz w:val="24"/>
          <w:lang w:eastAsia="en-US"/>
        </w:rPr>
      </w:pPr>
    </w:p>
    <w:p w:rsidR="00F67CE2" w:rsidRPr="002B0B59" w:rsidRDefault="00F67CE2" w:rsidP="00F67CE2">
      <w:pPr>
        <w:numPr>
          <w:ilvl w:val="0"/>
          <w:numId w:val="2"/>
        </w:numPr>
        <w:tabs>
          <w:tab w:val="left" w:pos="709"/>
        </w:tabs>
        <w:spacing w:after="0" w:line="360" w:lineRule="auto"/>
        <w:jc w:val="both"/>
        <w:rPr>
          <w:rFonts w:ascii="Palatino Linotype" w:eastAsia="Times New Roman" w:hAnsi="Palatino Linotype" w:cs="Times New Roman"/>
          <w:i/>
          <w:sz w:val="28"/>
          <w:szCs w:val="24"/>
          <w:lang w:val="es-ES" w:eastAsia="es-ES"/>
        </w:rPr>
      </w:pPr>
      <w:r w:rsidRPr="002B0B59">
        <w:rPr>
          <w:rFonts w:ascii="Palatino Linotype" w:eastAsia="Times New Roman" w:hAnsi="Palatino Linotype" w:cs="Times New Roman"/>
          <w:b/>
          <w:i/>
          <w:sz w:val="28"/>
          <w:szCs w:val="24"/>
          <w:lang w:val="es-ES" w:eastAsia="es-ES"/>
        </w:rPr>
        <w:t>Vista al Órgano de Control Interno</w:t>
      </w:r>
    </w:p>
    <w:p w:rsidR="00F67CE2" w:rsidRPr="002B0B59" w:rsidRDefault="00F67CE2" w:rsidP="00F67CE2">
      <w:pPr>
        <w:tabs>
          <w:tab w:val="left" w:pos="709"/>
        </w:tabs>
        <w:spacing w:after="0" w:line="360" w:lineRule="auto"/>
        <w:jc w:val="both"/>
        <w:rPr>
          <w:rFonts w:ascii="Palatino Linotype" w:eastAsiaTheme="minorHAnsi" w:hAnsi="Palatino Linotype" w:cstheme="minorBidi"/>
          <w:sz w:val="24"/>
          <w:szCs w:val="24"/>
          <w:lang w:eastAsia="en-US"/>
        </w:rPr>
      </w:pPr>
    </w:p>
    <w:p w:rsidR="00F67CE2" w:rsidRPr="002B0B59" w:rsidRDefault="00F67CE2" w:rsidP="00F67CE2">
      <w:pPr>
        <w:tabs>
          <w:tab w:val="left" w:pos="709"/>
        </w:tabs>
        <w:spacing w:after="0" w:line="360" w:lineRule="auto"/>
        <w:jc w:val="both"/>
        <w:rPr>
          <w:rFonts w:ascii="Palatino Linotype" w:eastAsiaTheme="minorHAnsi" w:hAnsi="Palatino Linotype" w:cstheme="minorBidi"/>
          <w:sz w:val="24"/>
          <w:szCs w:val="24"/>
          <w:lang w:eastAsia="en-US"/>
        </w:rPr>
      </w:pPr>
      <w:r w:rsidRPr="002B0B59">
        <w:rPr>
          <w:rFonts w:ascii="Palatino Linotype" w:eastAsiaTheme="minorHAnsi" w:hAnsi="Palatino Linotype" w:cstheme="minorBidi"/>
          <w:sz w:val="24"/>
          <w:szCs w:val="24"/>
          <w:lang w:eastAsia="en-US"/>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2B0B59">
        <w:rPr>
          <w:rFonts w:ascii="Palatino Linotype" w:eastAsiaTheme="minorHAnsi" w:hAnsi="Palatino Linotype" w:cstheme="minorBidi"/>
          <w:b/>
          <w:sz w:val="24"/>
          <w:szCs w:val="24"/>
          <w:lang w:eastAsia="en-US"/>
        </w:rPr>
        <w:t>Sujeto Obligado</w:t>
      </w:r>
      <w:r w:rsidRPr="002B0B59">
        <w:rPr>
          <w:rFonts w:ascii="Palatino Linotype" w:eastAsiaTheme="minorHAnsi" w:hAnsi="Palatino Linotype" w:cstheme="minorBidi"/>
          <w:sz w:val="24"/>
          <w:szCs w:val="24"/>
          <w:lang w:eastAsia="en-US"/>
        </w:rPr>
        <w:t>.</w:t>
      </w:r>
    </w:p>
    <w:p w:rsidR="00F67CE2" w:rsidRPr="002B0B59" w:rsidRDefault="00F67CE2" w:rsidP="00F67CE2">
      <w:pPr>
        <w:tabs>
          <w:tab w:val="left" w:pos="709"/>
        </w:tabs>
        <w:spacing w:after="0" w:line="360" w:lineRule="auto"/>
        <w:jc w:val="both"/>
        <w:rPr>
          <w:rFonts w:ascii="Palatino Linotype" w:eastAsiaTheme="minorHAnsi" w:hAnsi="Palatino Linotype" w:cstheme="minorBidi"/>
          <w:sz w:val="24"/>
          <w:szCs w:val="24"/>
          <w:lang w:eastAsia="en-US"/>
        </w:rPr>
      </w:pPr>
    </w:p>
    <w:p w:rsidR="00F67CE2" w:rsidRPr="002B0B59" w:rsidRDefault="00F67CE2" w:rsidP="00F67CE2">
      <w:pPr>
        <w:tabs>
          <w:tab w:val="left" w:pos="709"/>
        </w:tabs>
        <w:spacing w:after="0" w:line="360" w:lineRule="auto"/>
        <w:jc w:val="both"/>
        <w:rPr>
          <w:rFonts w:ascii="Palatino Linotype" w:eastAsiaTheme="minorHAnsi" w:hAnsi="Palatino Linotype" w:cstheme="minorBidi"/>
          <w:sz w:val="24"/>
          <w:szCs w:val="24"/>
          <w:lang w:eastAsia="en-US"/>
        </w:rPr>
      </w:pPr>
      <w:r w:rsidRPr="002B0B59">
        <w:rPr>
          <w:rFonts w:ascii="Palatino Linotype" w:eastAsiaTheme="minorHAnsi" w:hAnsi="Palatino Linotype" w:cstheme="minorBidi"/>
          <w:sz w:val="24"/>
          <w:szCs w:val="24"/>
          <w:lang w:eastAsia="en-US"/>
        </w:rPr>
        <w:t>Por ello, es conveniente señalar la fracción X, del artículo 36, de la Ley de Transparencia y Acceso a la Información Pública del Estado de México y Municipios, que establece:</w:t>
      </w:r>
    </w:p>
    <w:p w:rsidR="00F67CE2" w:rsidRPr="002B0B59" w:rsidRDefault="00F67CE2" w:rsidP="00F67CE2">
      <w:pPr>
        <w:tabs>
          <w:tab w:val="left" w:pos="709"/>
        </w:tabs>
        <w:spacing w:after="0" w:line="360" w:lineRule="auto"/>
        <w:jc w:val="both"/>
        <w:rPr>
          <w:rFonts w:ascii="Palatino Linotype" w:eastAsiaTheme="minorHAnsi" w:hAnsi="Palatino Linotype" w:cstheme="minorBidi"/>
          <w:sz w:val="24"/>
          <w:szCs w:val="24"/>
          <w:lang w:eastAsia="en-US"/>
        </w:rPr>
      </w:pPr>
    </w:p>
    <w:p w:rsidR="00F67CE2" w:rsidRPr="002B0B59" w:rsidRDefault="00F67CE2" w:rsidP="000C3CF7">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w:t>
      </w:r>
      <w:r w:rsidRPr="002B0B59">
        <w:rPr>
          <w:rFonts w:ascii="Palatino Linotype" w:eastAsiaTheme="minorHAnsi" w:hAnsi="Palatino Linotype" w:cstheme="minorBidi"/>
          <w:b/>
          <w:i/>
          <w:szCs w:val="24"/>
          <w:lang w:eastAsia="en-US"/>
        </w:rPr>
        <w:t>Artículo 36</w:t>
      </w:r>
      <w:r w:rsidRPr="002B0B59">
        <w:rPr>
          <w:rFonts w:ascii="Palatino Linotype" w:eastAsiaTheme="minorHAnsi" w:hAnsi="Palatino Linotype" w:cstheme="minorBidi"/>
          <w:i/>
          <w:szCs w:val="24"/>
          <w:lang w:eastAsia="en-US"/>
        </w:rPr>
        <w:t>. El Instituto tendrá, en el ámbito de su competencia, las siguientes atribuciones:</w:t>
      </w:r>
    </w:p>
    <w:p w:rsidR="00F67CE2" w:rsidRPr="002B0B59" w:rsidRDefault="00F67CE2" w:rsidP="000C3CF7">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w:t>
      </w:r>
    </w:p>
    <w:p w:rsidR="00F67CE2" w:rsidRPr="002B0B59" w:rsidRDefault="00F67CE2" w:rsidP="000C3CF7">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b/>
          <w:i/>
          <w:szCs w:val="24"/>
          <w:lang w:eastAsia="en-US"/>
        </w:rPr>
        <w:t>X</w:t>
      </w:r>
      <w:r w:rsidRPr="002B0B59">
        <w:rPr>
          <w:rFonts w:ascii="Palatino Linotype" w:eastAsiaTheme="minorHAnsi" w:hAnsi="Palatino Linotype" w:cstheme="minorBidi"/>
          <w:i/>
          <w:szCs w:val="24"/>
          <w:lang w:eastAsia="en-US"/>
        </w:rPr>
        <w:t xml:space="preserve">. Hacer del conocimiento del órgano de control interno o equivalente de cada Sujeto Obligado las infracciones a esta Ley; </w:t>
      </w:r>
    </w:p>
    <w:p w:rsidR="00F67CE2" w:rsidRPr="002B0B59" w:rsidRDefault="00F67CE2" w:rsidP="000C3CF7">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w:t>
      </w:r>
    </w:p>
    <w:p w:rsidR="000C3CF7" w:rsidRDefault="000C3CF7" w:rsidP="00F67CE2">
      <w:pPr>
        <w:tabs>
          <w:tab w:val="left" w:pos="709"/>
        </w:tabs>
        <w:spacing w:after="0" w:line="360" w:lineRule="auto"/>
        <w:jc w:val="both"/>
        <w:rPr>
          <w:rFonts w:ascii="Palatino Linotype" w:eastAsiaTheme="minorHAnsi" w:hAnsi="Palatino Linotype" w:cstheme="minorBidi"/>
          <w:sz w:val="24"/>
          <w:szCs w:val="24"/>
          <w:lang w:eastAsia="en-US"/>
        </w:rPr>
      </w:pPr>
    </w:p>
    <w:p w:rsidR="00F67CE2" w:rsidRPr="002B0B59" w:rsidRDefault="00F67CE2" w:rsidP="00F67CE2">
      <w:pPr>
        <w:tabs>
          <w:tab w:val="left" w:pos="709"/>
        </w:tabs>
        <w:spacing w:after="0" w:line="360" w:lineRule="auto"/>
        <w:jc w:val="both"/>
        <w:rPr>
          <w:rFonts w:ascii="Palatino Linotype" w:eastAsiaTheme="minorHAnsi" w:hAnsi="Palatino Linotype" w:cstheme="minorBidi"/>
          <w:sz w:val="24"/>
          <w:szCs w:val="24"/>
          <w:lang w:eastAsia="en-US"/>
        </w:rPr>
      </w:pPr>
      <w:r w:rsidRPr="002B0B59">
        <w:rPr>
          <w:rFonts w:ascii="Palatino Linotype" w:eastAsiaTheme="minorHAnsi" w:hAnsi="Palatino Linotype" w:cstheme="minorBidi"/>
          <w:sz w:val="24"/>
          <w:szCs w:val="24"/>
          <w:lang w:eastAsia="en-US"/>
        </w:rPr>
        <w:t xml:space="preserve">Asimismo, este Pleno hará del conocimiento del órgano de control de este Instituto de las infracciones en que el Sujeto Obligado incurrió, toda vez que la naturaleza de </w:t>
      </w:r>
      <w:r w:rsidRPr="002B0B59">
        <w:rPr>
          <w:rFonts w:ascii="Palatino Linotype" w:eastAsiaTheme="minorHAnsi" w:hAnsi="Palatino Linotype" w:cstheme="minorBidi"/>
          <w:sz w:val="24"/>
          <w:szCs w:val="24"/>
          <w:lang w:eastAsia="en-US"/>
        </w:rPr>
        <w:lastRenderedPageBreak/>
        <w:t>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F67CE2" w:rsidRPr="002B0B59" w:rsidRDefault="00F67CE2" w:rsidP="00F67CE2">
      <w:pPr>
        <w:tabs>
          <w:tab w:val="left" w:pos="709"/>
        </w:tabs>
        <w:spacing w:after="0" w:line="360" w:lineRule="auto"/>
        <w:jc w:val="both"/>
        <w:rPr>
          <w:rFonts w:ascii="Palatino Linotype" w:eastAsiaTheme="minorHAnsi" w:hAnsi="Palatino Linotype" w:cstheme="minorBidi"/>
          <w:sz w:val="24"/>
          <w:szCs w:val="24"/>
          <w:lang w:eastAsia="en-US"/>
        </w:rPr>
      </w:pPr>
    </w:p>
    <w:p w:rsidR="00F67CE2" w:rsidRPr="002B0B59" w:rsidRDefault="00F67CE2" w:rsidP="000C3CF7">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w:t>
      </w:r>
      <w:r w:rsidRPr="002B0B59">
        <w:rPr>
          <w:rFonts w:ascii="Palatino Linotype" w:eastAsiaTheme="minorHAnsi" w:hAnsi="Palatino Linotype" w:cstheme="minorBidi"/>
          <w:b/>
          <w:i/>
          <w:szCs w:val="24"/>
          <w:lang w:eastAsia="en-US"/>
        </w:rPr>
        <w:t>Artículo 190</w:t>
      </w:r>
      <w:r w:rsidRPr="002B0B59">
        <w:rPr>
          <w:rFonts w:ascii="Palatino Linotype" w:eastAsiaTheme="minorHAnsi" w:hAnsi="Palatino Linotype" w:cstheme="minorBidi"/>
          <w:i/>
          <w:szCs w:val="24"/>
          <w:lang w:eastAsia="en-U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F67CE2" w:rsidRPr="002B0B59" w:rsidRDefault="00F67CE2" w:rsidP="000C3CF7">
      <w:pPr>
        <w:tabs>
          <w:tab w:val="left" w:pos="709"/>
        </w:tabs>
        <w:spacing w:after="0" w:line="240" w:lineRule="auto"/>
        <w:ind w:left="567" w:right="567"/>
        <w:jc w:val="both"/>
        <w:rPr>
          <w:rFonts w:ascii="Palatino Linotype" w:eastAsiaTheme="minorHAnsi" w:hAnsi="Palatino Linotype" w:cstheme="minorBidi"/>
          <w:i/>
          <w:szCs w:val="24"/>
          <w:lang w:eastAsia="en-US"/>
        </w:rPr>
      </w:pPr>
    </w:p>
    <w:p w:rsidR="00F67CE2" w:rsidRPr="002B0B59" w:rsidRDefault="00F67CE2" w:rsidP="000C3CF7">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b/>
          <w:i/>
          <w:szCs w:val="24"/>
          <w:lang w:eastAsia="en-US"/>
        </w:rPr>
        <w:t>Artículo 222</w:t>
      </w:r>
      <w:r w:rsidRPr="002B0B59">
        <w:rPr>
          <w:rFonts w:ascii="Palatino Linotype" w:eastAsiaTheme="minorHAnsi" w:hAnsi="Palatino Linotype" w:cstheme="minorBidi"/>
          <w:i/>
          <w:szCs w:val="24"/>
          <w:lang w:eastAsia="en-US"/>
        </w:rPr>
        <w:t>. Son causas de responsabilidad administrativa de los servidores públicos de los sujetos obligados, por incumplimiento de las obligaciones establecidas en la materia de la presente Ley, las siguientes:</w:t>
      </w:r>
    </w:p>
    <w:p w:rsidR="00F67CE2" w:rsidRPr="002B0B59" w:rsidRDefault="00F67CE2" w:rsidP="000C3CF7">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w:t>
      </w:r>
    </w:p>
    <w:p w:rsidR="00F67CE2" w:rsidRPr="002B0B59" w:rsidRDefault="00F67CE2" w:rsidP="000C3CF7">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I. Cualquier acto u omisión que provoque la suspensión o deficiencia en la atención de las solicitudes de información;</w:t>
      </w:r>
    </w:p>
    <w:p w:rsidR="00F67CE2" w:rsidRPr="002B0B59" w:rsidRDefault="00F67CE2" w:rsidP="000C3CF7">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II. La falta de respuesta a las solicitudes de información en los plazos señalados en la normatividad aplicable;</w:t>
      </w:r>
    </w:p>
    <w:p w:rsidR="00F67CE2" w:rsidRPr="002B0B59" w:rsidRDefault="00F67CE2" w:rsidP="000C3CF7">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w:t>
      </w:r>
    </w:p>
    <w:p w:rsidR="00F67CE2" w:rsidRPr="002B0B59" w:rsidRDefault="00F67CE2" w:rsidP="000C3CF7">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b/>
          <w:i/>
          <w:szCs w:val="24"/>
          <w:lang w:eastAsia="en-US"/>
        </w:rPr>
        <w:t>Artículo 223</w:t>
      </w:r>
      <w:r w:rsidRPr="002B0B59">
        <w:rPr>
          <w:rFonts w:ascii="Palatino Linotype" w:eastAsiaTheme="minorHAnsi" w:hAnsi="Palatino Linotype" w:cstheme="minorBidi"/>
          <w:i/>
          <w:szCs w:val="24"/>
          <w:lang w:eastAsia="en-U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F67CE2" w:rsidRPr="002B0B59" w:rsidRDefault="00F67CE2" w:rsidP="00F67CE2">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F67CE2" w:rsidRPr="002B0B59" w:rsidRDefault="00F67CE2" w:rsidP="00F67CE2">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Por lo tanto, en mérito de lo expuesto en líneas anteriores, con fundamento en la fracción IV del artículo 186, de la Ley de Transparencia y Acceso a la Información Pública del Estado de México y Municipios, se </w:t>
      </w:r>
      <w:r w:rsidRPr="002B0B59">
        <w:rPr>
          <w:rFonts w:ascii="Palatino Linotype" w:eastAsiaTheme="minorHAnsi" w:hAnsi="Palatino Linotype" w:cs="Arial"/>
          <w:b/>
          <w:sz w:val="24"/>
          <w:szCs w:val="24"/>
          <w:lang w:eastAsia="en-US"/>
        </w:rPr>
        <w:t>ORDENA</w:t>
      </w:r>
      <w:r w:rsidRPr="002B0B59">
        <w:rPr>
          <w:rFonts w:ascii="Palatino Linotype" w:eastAsiaTheme="minorHAnsi" w:hAnsi="Palatino Linotype" w:cs="Arial"/>
          <w:sz w:val="24"/>
          <w:szCs w:val="24"/>
          <w:lang w:eastAsia="en-US"/>
        </w:rPr>
        <w:t xml:space="preserve"> al </w:t>
      </w:r>
      <w:r w:rsidRPr="002B0B59">
        <w:rPr>
          <w:rFonts w:ascii="Palatino Linotype" w:eastAsiaTheme="minorHAnsi" w:hAnsi="Palatino Linotype" w:cs="Arial"/>
          <w:b/>
          <w:sz w:val="24"/>
          <w:szCs w:val="24"/>
          <w:lang w:eastAsia="en-US"/>
        </w:rPr>
        <w:t>Sujeto Obligado</w:t>
      </w:r>
      <w:r w:rsidRPr="002B0B59">
        <w:rPr>
          <w:rFonts w:ascii="Palatino Linotype" w:eastAsiaTheme="minorHAnsi" w:hAnsi="Palatino Linotype" w:cs="Arial"/>
          <w:sz w:val="24"/>
          <w:szCs w:val="24"/>
          <w:lang w:eastAsia="en-US"/>
        </w:rPr>
        <w:t xml:space="preserve">, atienda la solicitud de información </w:t>
      </w:r>
      <w:r w:rsidR="00B71459" w:rsidRPr="00B71459">
        <w:rPr>
          <w:rFonts w:ascii="Palatino Linotype" w:eastAsiaTheme="minorHAnsi" w:hAnsi="Palatino Linotype" w:cs="Arial"/>
          <w:b/>
          <w:sz w:val="24"/>
          <w:szCs w:val="24"/>
          <w:lang w:eastAsia="en-US"/>
        </w:rPr>
        <w:t>03511/METEPEC/IP/2022</w:t>
      </w:r>
      <w:r w:rsidRPr="002B0B59">
        <w:rPr>
          <w:rFonts w:ascii="Palatino Linotype" w:eastAsia="Times New Roman" w:hAnsi="Palatino Linotype" w:cs="Times New Roman"/>
          <w:b/>
          <w:bCs/>
          <w:sz w:val="24"/>
          <w:szCs w:val="24"/>
          <w:lang w:val="es-ES" w:eastAsia="es-ES"/>
        </w:rPr>
        <w:t>,</w:t>
      </w:r>
      <w:r w:rsidRPr="002B0B59">
        <w:rPr>
          <w:rFonts w:ascii="Palatino Linotype" w:eastAsiaTheme="minorHAnsi" w:hAnsi="Palatino Linotype" w:cs="Arial"/>
          <w:sz w:val="24"/>
          <w:szCs w:val="24"/>
          <w:lang w:eastAsia="en-US"/>
        </w:rPr>
        <w:t xml:space="preserve"> que ha sido materia del presente fallo.</w:t>
      </w:r>
    </w:p>
    <w:p w:rsidR="00F67CE2" w:rsidRPr="002B0B59" w:rsidRDefault="00F67CE2" w:rsidP="00F67CE2">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lastRenderedPageBreak/>
        <w:t>Por lo antes expuesto y fundado es de resolverse y,</w:t>
      </w:r>
    </w:p>
    <w:p w:rsidR="00F67CE2" w:rsidRPr="002B0B59" w:rsidRDefault="00F67CE2" w:rsidP="00F67CE2">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F67CE2" w:rsidRPr="002B0B59" w:rsidRDefault="00F67CE2" w:rsidP="00F67CE2">
      <w:pPr>
        <w:spacing w:after="0" w:line="360" w:lineRule="auto"/>
        <w:ind w:left="426"/>
        <w:jc w:val="center"/>
        <w:rPr>
          <w:rFonts w:ascii="Palatino Linotype" w:eastAsia="Times New Roman" w:hAnsi="Palatino Linotype" w:cs="Times New Roman"/>
          <w:b/>
          <w:color w:val="000000"/>
          <w:sz w:val="28"/>
          <w:szCs w:val="24"/>
          <w:lang w:val="es-ES" w:eastAsia="es-ES"/>
        </w:rPr>
      </w:pPr>
      <w:r w:rsidRPr="002B0B59">
        <w:rPr>
          <w:rFonts w:ascii="Palatino Linotype" w:eastAsia="Times New Roman" w:hAnsi="Palatino Linotype" w:cs="Times New Roman"/>
          <w:b/>
          <w:color w:val="000000"/>
          <w:sz w:val="28"/>
          <w:szCs w:val="24"/>
          <w:lang w:val="es-ES" w:eastAsia="es-ES"/>
        </w:rPr>
        <w:t>SE    RESUELVE</w:t>
      </w:r>
    </w:p>
    <w:p w:rsidR="00F67CE2" w:rsidRPr="002B0B59"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p>
    <w:p w:rsidR="00F67CE2" w:rsidRPr="002B0B59"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b/>
          <w:sz w:val="28"/>
          <w:szCs w:val="24"/>
          <w:lang w:eastAsia="en-US"/>
        </w:rPr>
        <w:t>PRIMERO.</w:t>
      </w:r>
      <w:r w:rsidRPr="002B0B59">
        <w:rPr>
          <w:rFonts w:ascii="Palatino Linotype" w:eastAsiaTheme="minorHAnsi" w:hAnsi="Palatino Linotype" w:cs="Arial"/>
          <w:sz w:val="24"/>
          <w:szCs w:val="24"/>
          <w:lang w:eastAsia="en-US"/>
        </w:rPr>
        <w:t xml:space="preserve"> Resultan fundadas las razones o motivos de inconformidad hechos valer por el </w:t>
      </w:r>
      <w:r w:rsidRPr="002B0B59">
        <w:rPr>
          <w:rFonts w:ascii="Palatino Linotype" w:eastAsiaTheme="minorHAnsi" w:hAnsi="Palatino Linotype" w:cs="Arial"/>
          <w:b/>
          <w:sz w:val="24"/>
          <w:szCs w:val="24"/>
          <w:lang w:eastAsia="en-US"/>
        </w:rPr>
        <w:t>Recurrente,</w:t>
      </w:r>
      <w:r w:rsidRPr="002B0B59">
        <w:rPr>
          <w:rFonts w:ascii="Palatino Linotype" w:eastAsiaTheme="minorHAnsi" w:hAnsi="Palatino Linotype" w:cs="Arial"/>
          <w:sz w:val="24"/>
          <w:szCs w:val="24"/>
          <w:lang w:eastAsia="en-US"/>
        </w:rPr>
        <w:t xml:space="preserve"> en términos del considerando </w:t>
      </w:r>
      <w:r w:rsidRPr="002B0B59">
        <w:rPr>
          <w:rFonts w:ascii="Palatino Linotype" w:eastAsiaTheme="minorHAnsi" w:hAnsi="Palatino Linotype" w:cs="Arial"/>
          <w:b/>
          <w:sz w:val="24"/>
          <w:szCs w:val="24"/>
          <w:lang w:eastAsia="en-US"/>
        </w:rPr>
        <w:t>CUARTO</w:t>
      </w:r>
      <w:r w:rsidRPr="002B0B59">
        <w:rPr>
          <w:rFonts w:ascii="Palatino Linotype" w:eastAsiaTheme="minorHAnsi" w:hAnsi="Palatino Linotype" w:cs="Arial"/>
          <w:sz w:val="24"/>
          <w:szCs w:val="24"/>
          <w:lang w:eastAsia="en-US"/>
        </w:rPr>
        <w:t>, de la presente resolución.</w:t>
      </w:r>
    </w:p>
    <w:p w:rsidR="00F67CE2" w:rsidRPr="002B0B59"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p>
    <w:p w:rsidR="00F67CE2"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b/>
          <w:sz w:val="28"/>
          <w:szCs w:val="24"/>
          <w:lang w:eastAsia="en-US"/>
        </w:rPr>
        <w:t>SEGUNDO.</w:t>
      </w:r>
      <w:r w:rsidRPr="002B0B59">
        <w:rPr>
          <w:rFonts w:ascii="Palatino Linotype" w:eastAsiaTheme="minorHAnsi" w:hAnsi="Palatino Linotype" w:cs="Arial"/>
          <w:sz w:val="24"/>
          <w:szCs w:val="24"/>
          <w:lang w:eastAsia="en-US"/>
        </w:rPr>
        <w:t xml:space="preserve"> Se </w:t>
      </w:r>
      <w:r w:rsidRPr="002B0B59">
        <w:rPr>
          <w:rFonts w:ascii="Palatino Linotype" w:eastAsiaTheme="minorHAnsi" w:hAnsi="Palatino Linotype" w:cs="Arial"/>
          <w:b/>
          <w:sz w:val="24"/>
          <w:szCs w:val="24"/>
          <w:lang w:eastAsia="en-US"/>
        </w:rPr>
        <w:t>ORDENA</w:t>
      </w:r>
      <w:r w:rsidRPr="002B0B59">
        <w:rPr>
          <w:rFonts w:ascii="Palatino Linotype" w:eastAsiaTheme="minorHAnsi" w:hAnsi="Palatino Linotype" w:cs="Arial"/>
          <w:sz w:val="24"/>
          <w:szCs w:val="24"/>
          <w:lang w:eastAsia="en-US"/>
        </w:rPr>
        <w:t xml:space="preserve"> al </w:t>
      </w:r>
      <w:r w:rsidRPr="002B0B59">
        <w:rPr>
          <w:rFonts w:ascii="Palatino Linotype" w:eastAsiaTheme="minorHAnsi" w:hAnsi="Palatino Linotype" w:cs="Arial"/>
          <w:b/>
          <w:sz w:val="24"/>
          <w:szCs w:val="24"/>
          <w:lang w:eastAsia="en-US"/>
        </w:rPr>
        <w:t>Sujeto Obligado</w:t>
      </w:r>
      <w:r w:rsidRPr="002B0B59">
        <w:rPr>
          <w:rFonts w:ascii="Palatino Linotype" w:eastAsiaTheme="minorHAnsi" w:hAnsi="Palatino Linotype" w:cs="Arial"/>
          <w:sz w:val="24"/>
          <w:szCs w:val="24"/>
          <w:lang w:eastAsia="en-US"/>
        </w:rPr>
        <w:t xml:space="preserve"> atienda la solicitud de información </w:t>
      </w:r>
      <w:r w:rsidR="00B71459" w:rsidRPr="00B71459">
        <w:rPr>
          <w:rFonts w:ascii="Palatino Linotype" w:eastAsia="Times New Roman" w:hAnsi="Palatino Linotype" w:cs="Times New Roman"/>
          <w:b/>
          <w:bCs/>
          <w:sz w:val="24"/>
          <w:szCs w:val="24"/>
          <w:lang w:val="es-ES" w:eastAsia="es-ES"/>
        </w:rPr>
        <w:t>03511/METEPEC/IP/2022</w:t>
      </w:r>
      <w:r w:rsidRPr="002B0B59">
        <w:rPr>
          <w:rFonts w:ascii="Palatino Linotype" w:eastAsiaTheme="minorHAnsi" w:hAnsi="Palatino Linotype" w:cs="Arial"/>
          <w:sz w:val="24"/>
          <w:szCs w:val="24"/>
          <w:lang w:eastAsia="en-US"/>
        </w:rPr>
        <w:t xml:space="preserve">, en términos del Considerando </w:t>
      </w:r>
      <w:r w:rsidRPr="002B0B59">
        <w:rPr>
          <w:rFonts w:ascii="Palatino Linotype" w:eastAsiaTheme="minorHAnsi" w:hAnsi="Palatino Linotype" w:cs="Arial"/>
          <w:b/>
          <w:sz w:val="24"/>
          <w:szCs w:val="24"/>
          <w:lang w:eastAsia="en-US"/>
        </w:rPr>
        <w:t xml:space="preserve">CUARTO </w:t>
      </w:r>
      <w:r w:rsidRPr="002B0B59">
        <w:rPr>
          <w:rFonts w:ascii="Palatino Linotype" w:eastAsiaTheme="minorHAnsi" w:hAnsi="Palatino Linotype" w:cs="Arial"/>
          <w:sz w:val="24"/>
          <w:szCs w:val="24"/>
          <w:lang w:eastAsia="en-US"/>
        </w:rPr>
        <w:t>de esta resolución</w:t>
      </w:r>
      <w:r w:rsidRPr="002B0B59">
        <w:rPr>
          <w:rFonts w:ascii="Palatino Linotype" w:eastAsiaTheme="minorHAnsi" w:hAnsi="Palatino Linotype" w:cs="Arial"/>
          <w:b/>
          <w:sz w:val="24"/>
          <w:szCs w:val="24"/>
          <w:lang w:eastAsia="en-US"/>
        </w:rPr>
        <w:t>,</w:t>
      </w:r>
      <w:r w:rsidRPr="002B0B59">
        <w:rPr>
          <w:rFonts w:ascii="Palatino Linotype" w:eastAsiaTheme="minorHAnsi" w:hAnsi="Palatino Linotype" w:cs="Arial"/>
          <w:sz w:val="24"/>
          <w:szCs w:val="24"/>
          <w:lang w:eastAsia="en-US"/>
        </w:rPr>
        <w:t xml:space="preserve"> vía Sistema de Acceso a la Información Mexiquense (SAIMEX).</w:t>
      </w:r>
    </w:p>
    <w:p w:rsidR="00B71459" w:rsidRPr="002B0B59" w:rsidRDefault="00B71459" w:rsidP="00F67CE2">
      <w:pPr>
        <w:tabs>
          <w:tab w:val="left" w:pos="8647"/>
        </w:tabs>
        <w:spacing w:after="0" w:line="360" w:lineRule="auto"/>
        <w:ind w:right="51"/>
        <w:jc w:val="both"/>
        <w:rPr>
          <w:rFonts w:ascii="Palatino Linotype" w:eastAsiaTheme="minorHAnsi" w:hAnsi="Palatino Linotype" w:cs="Arial"/>
          <w:sz w:val="24"/>
          <w:szCs w:val="24"/>
          <w:lang w:eastAsia="en-US"/>
        </w:rPr>
      </w:pPr>
    </w:p>
    <w:p w:rsidR="00F67CE2" w:rsidRPr="002B0B59"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b/>
          <w:sz w:val="28"/>
          <w:szCs w:val="24"/>
          <w:lang w:eastAsia="en-US"/>
        </w:rPr>
        <w:t>TERCERO</w:t>
      </w:r>
      <w:r w:rsidRPr="002B0B59">
        <w:rPr>
          <w:rFonts w:ascii="Palatino Linotype" w:eastAsiaTheme="minorHAnsi" w:hAnsi="Palatino Linotype" w:cs="Arial"/>
          <w:b/>
          <w:sz w:val="24"/>
          <w:szCs w:val="24"/>
          <w:lang w:eastAsia="en-US"/>
        </w:rPr>
        <w:t>.</w:t>
      </w:r>
      <w:r w:rsidRPr="002B0B59">
        <w:rPr>
          <w:rFonts w:ascii="Palatino Linotype" w:eastAsiaTheme="minorHAnsi" w:hAnsi="Palatino Linotype" w:cs="Arial"/>
          <w:sz w:val="24"/>
          <w:szCs w:val="24"/>
          <w:lang w:eastAsia="en-US"/>
        </w:rPr>
        <w:t xml:space="preserve"> </w:t>
      </w:r>
      <w:r w:rsidRPr="002B0B59">
        <w:rPr>
          <w:rFonts w:ascii="Palatino Linotype" w:eastAsiaTheme="minorHAnsi" w:hAnsi="Palatino Linotype" w:cs="Arial"/>
          <w:b/>
          <w:sz w:val="24"/>
          <w:szCs w:val="24"/>
          <w:lang w:eastAsia="en-US"/>
        </w:rPr>
        <w:t>Notifíquese</w:t>
      </w:r>
      <w:r w:rsidRPr="002B0B59">
        <w:rPr>
          <w:rFonts w:ascii="Palatino Linotype" w:eastAsiaTheme="minorHAnsi" w:hAnsi="Palatino Linotype" w:cs="Arial"/>
          <w:b/>
          <w:i/>
          <w:sz w:val="24"/>
          <w:szCs w:val="24"/>
          <w:lang w:eastAsia="en-US"/>
        </w:rPr>
        <w:t xml:space="preserve"> </w:t>
      </w:r>
      <w:r w:rsidRPr="002B0B59">
        <w:rPr>
          <w:rFonts w:ascii="Palatino Linotype" w:eastAsiaTheme="minorHAnsi" w:hAnsi="Palatino Linotype" w:cs="Arial"/>
          <w:sz w:val="24"/>
          <w:szCs w:val="24"/>
          <w:lang w:eastAsia="en-US"/>
        </w:rPr>
        <w:t>al Titular de la Unidad de Transparencia del</w:t>
      </w:r>
      <w:r w:rsidRPr="002B0B59">
        <w:rPr>
          <w:rFonts w:ascii="Palatino Linotype" w:eastAsiaTheme="minorHAnsi" w:hAnsi="Palatino Linotype" w:cs="Arial"/>
          <w:b/>
          <w:sz w:val="24"/>
          <w:szCs w:val="24"/>
          <w:lang w:eastAsia="en-US"/>
        </w:rPr>
        <w:t xml:space="preserve"> Sujeto Obligado</w:t>
      </w:r>
      <w:r w:rsidRPr="002B0B59">
        <w:rPr>
          <w:rFonts w:ascii="Palatino Linotype" w:eastAsiaTheme="minorHAnsi" w:hAnsi="Palatino Linotype" w:cs="Arial"/>
          <w:sz w:val="24"/>
          <w:szCs w:val="24"/>
          <w:lang w:eastAsia="en-US"/>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67CE2" w:rsidRPr="002B0B59" w:rsidRDefault="00F67CE2" w:rsidP="00F67CE2">
      <w:pPr>
        <w:tabs>
          <w:tab w:val="left" w:pos="8647"/>
        </w:tabs>
        <w:spacing w:after="0" w:line="360" w:lineRule="auto"/>
        <w:ind w:right="51"/>
        <w:jc w:val="both"/>
        <w:rPr>
          <w:rFonts w:ascii="Palatino Linotype" w:eastAsiaTheme="minorHAnsi" w:hAnsi="Palatino Linotype" w:cs="Arial"/>
          <w:sz w:val="24"/>
          <w:szCs w:val="24"/>
          <w:lang w:eastAsia="en-US"/>
        </w:rPr>
      </w:pPr>
    </w:p>
    <w:p w:rsidR="00F67CE2" w:rsidRPr="002B0B59" w:rsidRDefault="00F67CE2" w:rsidP="00F67CE2">
      <w:pPr>
        <w:spacing w:after="0" w:line="360" w:lineRule="auto"/>
        <w:jc w:val="both"/>
        <w:rPr>
          <w:rFonts w:ascii="Palatino Linotype" w:hAnsi="Palatino Linotype" w:cs="Times New Roman"/>
          <w:sz w:val="24"/>
          <w:szCs w:val="24"/>
          <w:lang w:eastAsia="es-ES_tradnl"/>
        </w:rPr>
      </w:pPr>
      <w:r w:rsidRPr="002B0B59">
        <w:rPr>
          <w:rFonts w:ascii="Palatino Linotype" w:eastAsia="Times New Roman" w:hAnsi="Palatino Linotype" w:cs="Arial"/>
          <w:b/>
          <w:sz w:val="28"/>
          <w:szCs w:val="24"/>
          <w:lang w:val="es-ES" w:eastAsia="es-ES"/>
        </w:rPr>
        <w:t>CUARTO</w:t>
      </w:r>
      <w:r w:rsidRPr="002B0B59">
        <w:rPr>
          <w:rFonts w:ascii="Palatino Linotype" w:eastAsia="Times New Roman" w:hAnsi="Palatino Linotype" w:cs="Arial"/>
          <w:b/>
          <w:sz w:val="24"/>
          <w:szCs w:val="24"/>
          <w:lang w:val="es-ES" w:eastAsia="es-ES"/>
        </w:rPr>
        <w:t xml:space="preserve">. </w:t>
      </w:r>
      <w:r w:rsidRPr="002B0B59">
        <w:rPr>
          <w:rFonts w:ascii="Palatino Linotype"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2B0B59">
        <w:rPr>
          <w:rFonts w:ascii="Palatino Linotype" w:hAnsi="Palatino Linotype" w:cs="Times New Roman"/>
          <w:b/>
          <w:sz w:val="24"/>
          <w:szCs w:val="24"/>
          <w:lang w:eastAsia="es-ES_tradnl"/>
        </w:rPr>
        <w:t>Sujeto Obligado</w:t>
      </w:r>
      <w:r w:rsidRPr="002B0B59">
        <w:rPr>
          <w:rFonts w:ascii="Palatino Linotype" w:hAnsi="Palatino Linotype" w:cs="Times New Roman"/>
          <w:sz w:val="24"/>
          <w:szCs w:val="24"/>
          <w:lang w:eastAsia="es-ES_tradnl"/>
        </w:rPr>
        <w:t xml:space="preserve"> a que, en caso de negarse a cumplir la presente resolución o hacerlo de </w:t>
      </w:r>
      <w:r w:rsidRPr="002B0B59">
        <w:rPr>
          <w:rFonts w:ascii="Palatino Linotype" w:hAnsi="Palatino Linotype" w:cs="Times New Roman"/>
          <w:sz w:val="24"/>
          <w:szCs w:val="24"/>
          <w:lang w:eastAsia="es-ES_tradnl"/>
        </w:rPr>
        <w:lastRenderedPageBreak/>
        <w:t>manera parcial se actuara de conformidad con lo previsto en los artículos 213, 214, 216 y 217 de dicha Ley.</w:t>
      </w:r>
    </w:p>
    <w:p w:rsidR="00F67CE2" w:rsidRPr="002B0B59" w:rsidRDefault="00F67CE2" w:rsidP="00F67CE2">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F67CE2" w:rsidRPr="002B0B59" w:rsidRDefault="00F67CE2" w:rsidP="00F67C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B0B59">
        <w:rPr>
          <w:rFonts w:ascii="Palatino Linotype" w:eastAsiaTheme="minorHAnsi" w:hAnsi="Palatino Linotype" w:cstheme="minorBidi"/>
          <w:b/>
          <w:sz w:val="28"/>
          <w:szCs w:val="28"/>
          <w:lang w:eastAsia="en-US"/>
        </w:rPr>
        <w:t>QUINTO</w:t>
      </w:r>
      <w:r w:rsidRPr="002B0B59">
        <w:rPr>
          <w:rFonts w:ascii="Palatino Linotype" w:eastAsiaTheme="minorHAnsi" w:hAnsi="Palatino Linotype" w:cstheme="minorBidi"/>
          <w:b/>
          <w:sz w:val="24"/>
          <w:szCs w:val="24"/>
          <w:lang w:eastAsia="en-US"/>
        </w:rPr>
        <w:t xml:space="preserve">. </w:t>
      </w:r>
      <w:r w:rsidRPr="002B0B59">
        <w:rPr>
          <w:rFonts w:ascii="Palatino Linotype" w:eastAsia="Times New Roman" w:hAnsi="Palatino Linotype" w:cs="Arial"/>
          <w:b/>
          <w:sz w:val="24"/>
          <w:szCs w:val="24"/>
          <w:lang w:val="es-ES" w:eastAsia="es-ES"/>
        </w:rPr>
        <w:t>Notifíquese</w:t>
      </w:r>
      <w:r w:rsidRPr="002B0B59">
        <w:rPr>
          <w:rFonts w:ascii="Palatino Linotype" w:eastAsia="Times New Roman" w:hAnsi="Palatino Linotype" w:cs="Arial"/>
          <w:sz w:val="24"/>
          <w:szCs w:val="24"/>
          <w:lang w:val="es-ES" w:eastAsia="es-ES"/>
        </w:rPr>
        <w:t xml:space="preserve"> </w:t>
      </w:r>
      <w:r w:rsidRPr="002B0B59">
        <w:rPr>
          <w:rFonts w:ascii="Palatino Linotype" w:eastAsia="Times New Roman" w:hAnsi="Palatino Linotype" w:cs="Arial"/>
          <w:b/>
          <w:sz w:val="24"/>
          <w:szCs w:val="24"/>
          <w:lang w:val="es-ES" w:eastAsia="es-ES"/>
        </w:rPr>
        <w:t>al Recurrente</w:t>
      </w:r>
      <w:r w:rsidRPr="002B0B59">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F67CE2" w:rsidRPr="002B0B59" w:rsidRDefault="00F67CE2" w:rsidP="00F67CE2">
      <w:pPr>
        <w:spacing w:after="0" w:line="360" w:lineRule="auto"/>
        <w:jc w:val="both"/>
        <w:rPr>
          <w:rFonts w:ascii="Palatino Linotype" w:eastAsiaTheme="minorHAnsi" w:hAnsi="Palatino Linotype" w:cstheme="minorBidi"/>
          <w:sz w:val="24"/>
          <w:szCs w:val="24"/>
          <w:lang w:eastAsia="es-ES_tradnl"/>
        </w:rPr>
      </w:pPr>
    </w:p>
    <w:p w:rsidR="00F67CE2" w:rsidRPr="002B0B59" w:rsidRDefault="00F67CE2" w:rsidP="00F67CE2">
      <w:pPr>
        <w:spacing w:after="0" w:line="360" w:lineRule="auto"/>
        <w:jc w:val="both"/>
        <w:rPr>
          <w:rFonts w:ascii="Palatino Linotype" w:hAnsi="Palatino Linotype" w:cs="Times New Roman"/>
          <w:sz w:val="24"/>
          <w:szCs w:val="24"/>
          <w:lang w:eastAsia="es-ES_tradnl"/>
        </w:rPr>
      </w:pPr>
      <w:r w:rsidRPr="002B0B59">
        <w:rPr>
          <w:rFonts w:ascii="Palatino Linotype" w:hAnsi="Palatino Linotype" w:cs="Times New Roman"/>
          <w:b/>
          <w:sz w:val="28"/>
          <w:szCs w:val="24"/>
          <w:lang w:eastAsia="es-ES_tradnl"/>
        </w:rPr>
        <w:t>SEXTO</w:t>
      </w:r>
      <w:r w:rsidRPr="002B0B59">
        <w:rPr>
          <w:rFonts w:ascii="Palatino Linotype" w:hAnsi="Palatino Linotype" w:cs="Times New Roman"/>
          <w:b/>
          <w:sz w:val="24"/>
          <w:szCs w:val="24"/>
          <w:lang w:eastAsia="es-ES_tradnl"/>
        </w:rPr>
        <w:t>.</w:t>
      </w:r>
      <w:r w:rsidRPr="002B0B59">
        <w:rPr>
          <w:rFonts w:ascii="Palatino Linotype" w:hAnsi="Palatino Linotype" w:cs="Times New Roman"/>
          <w:sz w:val="24"/>
          <w:szCs w:val="24"/>
          <w:lang w:eastAsia="es-ES_tradnl"/>
        </w:rPr>
        <w:t xml:space="preserve"> </w:t>
      </w:r>
      <w:r w:rsidRPr="002B0B59">
        <w:rPr>
          <w:rFonts w:ascii="Palatino Linotype" w:hAnsi="Palatino Linotype" w:cs="Times New Roman"/>
          <w:b/>
          <w:sz w:val="24"/>
          <w:szCs w:val="24"/>
          <w:lang w:eastAsia="es-ES_tradnl"/>
        </w:rPr>
        <w:t>Notifíquese</w:t>
      </w:r>
      <w:r w:rsidRPr="002B0B59">
        <w:rPr>
          <w:rFonts w:ascii="Palatino Linotype" w:hAnsi="Palatino Linotype" w:cs="Times New Roman"/>
          <w:sz w:val="24"/>
          <w:szCs w:val="24"/>
          <w:lang w:eastAsia="es-ES_tradnl"/>
        </w:rPr>
        <w:t xml:space="preserve"> al </w:t>
      </w:r>
      <w:r w:rsidRPr="002B0B59">
        <w:rPr>
          <w:rFonts w:ascii="Palatino Linotype" w:hAnsi="Palatino Linotype" w:cs="Times New Roman"/>
          <w:b/>
          <w:sz w:val="24"/>
          <w:szCs w:val="24"/>
          <w:lang w:eastAsia="es-ES_tradnl"/>
        </w:rPr>
        <w:t>Recurrente</w:t>
      </w:r>
      <w:r w:rsidRPr="002B0B59">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2B0B59">
        <w:rPr>
          <w:rFonts w:ascii="Palatino Linotype" w:hAnsi="Palatino Linotype" w:cs="Times New Roman"/>
          <w:b/>
          <w:sz w:val="24"/>
          <w:szCs w:val="24"/>
          <w:lang w:eastAsia="es-ES_tradnl"/>
        </w:rPr>
        <w:t>Sujeto Obligado</w:t>
      </w:r>
      <w:r w:rsidRPr="002B0B59">
        <w:rPr>
          <w:rFonts w:ascii="Palatino Linotype" w:hAnsi="Palatino Linotype" w:cs="Times New Roman"/>
          <w:sz w:val="24"/>
          <w:szCs w:val="24"/>
          <w:lang w:eastAsia="es-ES_tradnl"/>
        </w:rPr>
        <w:t>, en cumplimiento a esta Resolución.</w:t>
      </w:r>
    </w:p>
    <w:p w:rsidR="00F67CE2" w:rsidRPr="002B0B59" w:rsidRDefault="00F67CE2" w:rsidP="00F67CE2">
      <w:pPr>
        <w:spacing w:after="0" w:line="360" w:lineRule="auto"/>
        <w:jc w:val="both"/>
        <w:rPr>
          <w:rFonts w:ascii="Palatino Linotype" w:hAnsi="Palatino Linotype" w:cs="Times New Roman"/>
          <w:sz w:val="24"/>
          <w:szCs w:val="24"/>
          <w:lang w:eastAsia="es-ES_tradnl"/>
        </w:rPr>
      </w:pPr>
    </w:p>
    <w:p w:rsidR="00F67CE2" w:rsidRPr="002B0B59" w:rsidRDefault="00F67CE2" w:rsidP="00F67CE2">
      <w:pPr>
        <w:spacing w:after="0" w:line="360" w:lineRule="auto"/>
        <w:jc w:val="both"/>
        <w:rPr>
          <w:rFonts w:ascii="Palatino Linotype" w:eastAsiaTheme="minorHAnsi" w:hAnsi="Palatino Linotype" w:cstheme="minorBidi"/>
          <w:sz w:val="24"/>
          <w:szCs w:val="24"/>
          <w:lang w:eastAsia="es-ES_tradnl"/>
        </w:rPr>
      </w:pPr>
      <w:r w:rsidRPr="002B0B59">
        <w:rPr>
          <w:rFonts w:ascii="Palatino Linotype" w:hAnsi="Palatino Linotype" w:cs="Times New Roman"/>
          <w:b/>
          <w:sz w:val="28"/>
          <w:szCs w:val="24"/>
          <w:lang w:eastAsia="es-ES_tradnl"/>
        </w:rPr>
        <w:t>SÉPTIMO</w:t>
      </w:r>
      <w:r w:rsidRPr="002B0B59">
        <w:rPr>
          <w:rFonts w:ascii="Palatino Linotype" w:hAnsi="Palatino Linotype" w:cs="Times New Roman"/>
          <w:b/>
          <w:sz w:val="24"/>
          <w:szCs w:val="24"/>
          <w:lang w:eastAsia="es-ES_tradnl"/>
        </w:rPr>
        <w:t>.-</w:t>
      </w:r>
      <w:r w:rsidRPr="002B0B59">
        <w:rPr>
          <w:rFonts w:ascii="Palatino Linotype" w:hAnsi="Palatino Linotype" w:cs="Times New Roman"/>
          <w:sz w:val="24"/>
          <w:szCs w:val="24"/>
          <w:lang w:eastAsia="es-ES_tradnl"/>
        </w:rPr>
        <w:t xml:space="preserve"> </w:t>
      </w:r>
      <w:r w:rsidRPr="002B0B59">
        <w:rPr>
          <w:rFonts w:ascii="Palatino Linotype" w:eastAsiaTheme="minorHAnsi" w:hAnsi="Palatino Linotype" w:cstheme="minorBidi"/>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F67CE2" w:rsidRDefault="00F67CE2" w:rsidP="00F67CE2">
      <w:pPr>
        <w:spacing w:after="0" w:line="360" w:lineRule="auto"/>
        <w:contextualSpacing/>
        <w:jc w:val="both"/>
        <w:rPr>
          <w:rFonts w:ascii="Palatino Linotype" w:eastAsia="Palatino Linotype" w:hAnsi="Palatino Linotype" w:cs="Palatino Linotype"/>
          <w:sz w:val="24"/>
          <w:szCs w:val="24"/>
        </w:rPr>
      </w:pPr>
    </w:p>
    <w:p w:rsidR="00F67CE2" w:rsidRDefault="00F67CE2" w:rsidP="00F67CE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0C3CF7">
        <w:rPr>
          <w:rFonts w:ascii="Palatino Linotype" w:eastAsia="Palatino Linotype" w:hAnsi="Palatino Linotype" w:cs="Palatino Linotype"/>
          <w:color w:val="000000"/>
          <w:sz w:val="24"/>
          <w:szCs w:val="24"/>
        </w:rPr>
        <w:t>NOVENA</w:t>
      </w:r>
      <w:r>
        <w:rPr>
          <w:rFonts w:ascii="Palatino Linotype" w:eastAsia="Palatino Linotype" w:hAnsi="Palatino Linotype" w:cs="Palatino Linotype"/>
          <w:color w:val="000000"/>
          <w:sz w:val="24"/>
          <w:szCs w:val="24"/>
        </w:rPr>
        <w:t xml:space="preserve"> SESIÓN ORDINARIA CELEBRADA EL</w:t>
      </w:r>
      <w:r w:rsidR="000C3CF7">
        <w:rPr>
          <w:rFonts w:ascii="Palatino Linotype" w:eastAsia="Palatino Linotype" w:hAnsi="Palatino Linotype" w:cs="Palatino Linotype"/>
          <w:color w:val="000000"/>
          <w:sz w:val="24"/>
          <w:szCs w:val="24"/>
        </w:rPr>
        <w:t xml:space="preserve"> DIECISIETE DE AGOSTO </w:t>
      </w:r>
      <w:r>
        <w:rPr>
          <w:rFonts w:ascii="Palatino Linotype" w:eastAsia="Palatino Linotype" w:hAnsi="Palatino Linotype" w:cs="Palatino Linotype"/>
          <w:color w:val="000000"/>
          <w:sz w:val="24"/>
          <w:szCs w:val="24"/>
        </w:rPr>
        <w:t>DE DOS MIL VEINTIDÓS, ANTE EL SECRETARIO TÉCNICO DEL PLENO, ALEXIS TAPIA RAMÍREZ.--------------------------------------------------------------------------------------------------------------------------------------------------------------------------------------------------------------------- ------------------------------------------------------------------------------------------------------------------------------------------------------------------------------------------------------------------------------------</w:t>
      </w:r>
    </w:p>
    <w:p w:rsidR="00F67CE2" w:rsidRDefault="00F67CE2" w:rsidP="00F67CE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rsidR="00B71459" w:rsidRPr="005C6947" w:rsidRDefault="00B71459" w:rsidP="00B7145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B71459" w:rsidRPr="005C6947" w:rsidRDefault="00B71459" w:rsidP="00B7145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B71459" w:rsidRPr="005C6947" w:rsidRDefault="00B71459" w:rsidP="00B7145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B71459" w:rsidRPr="005C6947" w:rsidRDefault="00B71459" w:rsidP="00B7145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B71459" w:rsidRPr="005C6947" w:rsidRDefault="00B71459" w:rsidP="00B7145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B71459" w:rsidRDefault="00B71459" w:rsidP="00B7145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rsidR="000C3CF7" w:rsidRPr="005C6947" w:rsidRDefault="000C3CF7" w:rsidP="000C3CF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0C3CF7" w:rsidRPr="005C6947" w:rsidRDefault="000C3CF7" w:rsidP="000C3CF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0C3CF7" w:rsidRPr="005C6947" w:rsidRDefault="000C3CF7" w:rsidP="000C3CF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F67CE2" w:rsidRDefault="00F67CE2" w:rsidP="00F67CE2">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JMV/CCR/HAP</w:t>
      </w:r>
    </w:p>
    <w:p w:rsidR="00F67CE2" w:rsidRDefault="00F67CE2" w:rsidP="00F67CE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F67CE2" w:rsidRDefault="00F67CE2" w:rsidP="00F67CE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F67CE2" w:rsidRDefault="00F67CE2" w:rsidP="00F67CE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F67CE2" w:rsidRDefault="00F67CE2" w:rsidP="00F67CE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F67CE2" w:rsidRDefault="00F67CE2" w:rsidP="00F67CE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F67CE2" w:rsidRDefault="00F67CE2" w:rsidP="00F67CE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F67CE2" w:rsidRDefault="00F67CE2" w:rsidP="00F67CE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F67CE2" w:rsidRDefault="00F67CE2" w:rsidP="00F67CE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F67CE2" w:rsidRDefault="00F67CE2" w:rsidP="00F67CE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F67CE2" w:rsidRDefault="00F67CE2" w:rsidP="00F67CE2">
      <w:pPr>
        <w:spacing w:after="0"/>
      </w:pPr>
    </w:p>
    <w:p w:rsidR="00F67CE2" w:rsidRDefault="00F67CE2" w:rsidP="00F67CE2"/>
    <w:p w:rsidR="00F67CE2" w:rsidRDefault="00F67CE2" w:rsidP="00F67CE2"/>
    <w:p w:rsidR="00F67CE2" w:rsidRDefault="00F67CE2" w:rsidP="00F67CE2"/>
    <w:p w:rsidR="00EF5006" w:rsidRPr="00F67CE2" w:rsidRDefault="00896401" w:rsidP="00F67CE2"/>
    <w:sectPr w:rsidR="00EF5006" w:rsidRPr="00F67CE2" w:rsidSect="00560A25">
      <w:headerReference w:type="even" r:id="rId7"/>
      <w:headerReference w:type="default" r:id="rId8"/>
      <w:footerReference w:type="default" r:id="rId9"/>
      <w:headerReference w:type="first" r:id="rId10"/>
      <w:footerReference w:type="first" r:id="rId11"/>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401" w:rsidRDefault="00896401" w:rsidP="00F67CE2">
      <w:pPr>
        <w:spacing w:after="0" w:line="240" w:lineRule="auto"/>
      </w:pPr>
      <w:r>
        <w:separator/>
      </w:r>
    </w:p>
  </w:endnote>
  <w:endnote w:type="continuationSeparator" w:id="0">
    <w:p w:rsidR="00896401" w:rsidRDefault="00896401" w:rsidP="00F67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A25" w:rsidRDefault="00F5408F" w:rsidP="00560A25">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04231">
      <w:rPr>
        <w:rFonts w:ascii="Palatino Linotype" w:hAnsi="Palatino Linotype"/>
        <w:b/>
        <w:bCs/>
        <w:noProof/>
        <w:sz w:val="20"/>
      </w:rPr>
      <w:t>27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04231">
      <w:rPr>
        <w:rFonts w:ascii="Palatino Linotype" w:hAnsi="Palatino Linotype"/>
        <w:b/>
        <w:bCs/>
        <w:noProof/>
        <w:sz w:val="20"/>
      </w:rPr>
      <w:t>27</w:t>
    </w:r>
    <w:r w:rsidRPr="00713DD5">
      <w:rPr>
        <w:rFonts w:ascii="Palatino Linotype" w:hAnsi="Palatino Linotype"/>
        <w:b/>
        <w:bCs/>
        <w:sz w:val="20"/>
      </w:rPr>
      <w:fldChar w:fldCharType="end"/>
    </w:r>
  </w:p>
  <w:p w:rsidR="00560A25" w:rsidRPr="000B69FA" w:rsidRDefault="00896401" w:rsidP="00560A25">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A25" w:rsidRDefault="00F5408F" w:rsidP="00560A25">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0423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04231">
      <w:rPr>
        <w:rFonts w:ascii="Palatino Linotype" w:hAnsi="Palatino Linotype"/>
        <w:b/>
        <w:bCs/>
        <w:noProof/>
        <w:sz w:val="20"/>
      </w:rPr>
      <w:t>27</w:t>
    </w:r>
    <w:r w:rsidRPr="00713DD5">
      <w:rPr>
        <w:rFonts w:ascii="Palatino Linotype" w:hAnsi="Palatino Linotype"/>
        <w:b/>
        <w:bCs/>
        <w:sz w:val="20"/>
      </w:rPr>
      <w:fldChar w:fldCharType="end"/>
    </w:r>
  </w:p>
  <w:p w:rsidR="00560A25" w:rsidRPr="000B69FA" w:rsidRDefault="00896401" w:rsidP="00560A25">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401" w:rsidRDefault="00896401" w:rsidP="00F67CE2">
      <w:pPr>
        <w:spacing w:after="0" w:line="240" w:lineRule="auto"/>
      </w:pPr>
      <w:r>
        <w:separator/>
      </w:r>
    </w:p>
  </w:footnote>
  <w:footnote w:type="continuationSeparator" w:id="0">
    <w:p w:rsidR="00896401" w:rsidRDefault="00896401" w:rsidP="00F67CE2">
      <w:pPr>
        <w:spacing w:after="0" w:line="240" w:lineRule="auto"/>
      </w:pPr>
      <w:r>
        <w:continuationSeparator/>
      </w:r>
    </w:p>
  </w:footnote>
  <w:footnote w:id="1">
    <w:p w:rsidR="00F67CE2" w:rsidRPr="00946E1F" w:rsidRDefault="00F67CE2" w:rsidP="00F67CE2">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A25" w:rsidRDefault="0089640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560A25" w:rsidRPr="00B17577" w:rsidTr="00560A25">
      <w:trPr>
        <w:trHeight w:val="227"/>
      </w:trPr>
      <w:tc>
        <w:tcPr>
          <w:tcW w:w="5103" w:type="dxa"/>
          <w:hideMark/>
        </w:tcPr>
        <w:p w:rsidR="00560A25" w:rsidRPr="00B86205" w:rsidRDefault="00F5408F" w:rsidP="00560A25">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560A25" w:rsidRPr="00096248" w:rsidRDefault="00F5408F" w:rsidP="00F67CE2">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w:t>
          </w:r>
          <w:r w:rsidR="00F67CE2">
            <w:rPr>
              <w:rFonts w:ascii="Palatino Linotype" w:hAnsi="Palatino Linotype" w:cs="Arial"/>
              <w:b/>
              <w:bCs/>
              <w:sz w:val="24"/>
              <w:szCs w:val="24"/>
            </w:rPr>
            <w:t>2410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560A25" w:rsidTr="00560A25">
      <w:trPr>
        <w:trHeight w:val="242"/>
      </w:trPr>
      <w:tc>
        <w:tcPr>
          <w:tcW w:w="5103" w:type="dxa"/>
          <w:hideMark/>
        </w:tcPr>
        <w:p w:rsidR="00560A25" w:rsidRPr="00B86205" w:rsidRDefault="00F5408F" w:rsidP="00560A25">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560A25" w:rsidRPr="00B86205" w:rsidRDefault="00F5408F" w:rsidP="00560A25">
          <w:pPr>
            <w:spacing w:line="276" w:lineRule="auto"/>
            <w:ind w:left="-70" w:right="71"/>
            <w:jc w:val="right"/>
            <w:rPr>
              <w:rFonts w:ascii="Palatino Linotype" w:hAnsi="Palatino Linotype" w:cs="Arial"/>
              <w:b/>
              <w:sz w:val="24"/>
              <w:szCs w:val="24"/>
            </w:rPr>
          </w:pPr>
          <w:r w:rsidRPr="00560A25">
            <w:rPr>
              <w:rFonts w:ascii="Palatino Linotype" w:hAnsi="Palatino Linotype" w:cs="Arial"/>
              <w:b/>
              <w:sz w:val="24"/>
              <w:szCs w:val="24"/>
            </w:rPr>
            <w:t>Ayuntamiento de Metepec</w:t>
          </w:r>
        </w:p>
      </w:tc>
    </w:tr>
    <w:tr w:rsidR="00560A25" w:rsidRPr="00F63239" w:rsidTr="00560A25">
      <w:trPr>
        <w:trHeight w:val="342"/>
      </w:trPr>
      <w:tc>
        <w:tcPr>
          <w:tcW w:w="5103" w:type="dxa"/>
          <w:hideMark/>
        </w:tcPr>
        <w:p w:rsidR="00560A25" w:rsidRPr="00B86205" w:rsidRDefault="00F5408F" w:rsidP="00560A25">
          <w:pPr>
            <w:tabs>
              <w:tab w:val="left" w:pos="4892"/>
            </w:tabs>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560A25" w:rsidRPr="00B86205" w:rsidRDefault="00F5408F" w:rsidP="00560A25">
          <w:pPr>
            <w:spacing w:after="0" w:line="360" w:lineRule="auto"/>
            <w:ind w:left="-486" w:right="71"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560A25" w:rsidRDefault="0089640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0.05pt;margin-top:-144.3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560A25" w:rsidTr="00560A25">
      <w:trPr>
        <w:trHeight w:val="227"/>
      </w:trPr>
      <w:tc>
        <w:tcPr>
          <w:tcW w:w="5103" w:type="dxa"/>
          <w:hideMark/>
        </w:tcPr>
        <w:p w:rsidR="00560A25" w:rsidRPr="00B86205" w:rsidRDefault="00F5408F" w:rsidP="00560A25">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560A25" w:rsidRPr="00096248" w:rsidRDefault="00F5408F" w:rsidP="00F67CE2">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w:t>
          </w:r>
          <w:r w:rsidR="00F67CE2">
            <w:rPr>
              <w:rFonts w:ascii="Palatino Linotype" w:hAnsi="Palatino Linotype" w:cs="Arial"/>
              <w:b/>
              <w:bCs/>
              <w:sz w:val="24"/>
              <w:szCs w:val="24"/>
            </w:rPr>
            <w:t>2410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560A25" w:rsidRPr="001F57CD" w:rsidTr="00560A25">
      <w:trPr>
        <w:trHeight w:val="196"/>
      </w:trPr>
      <w:tc>
        <w:tcPr>
          <w:tcW w:w="5103" w:type="dxa"/>
          <w:hideMark/>
        </w:tcPr>
        <w:p w:rsidR="00560A25" w:rsidRPr="00B86205" w:rsidRDefault="00F5408F" w:rsidP="00560A25">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Recurrente:</w:t>
          </w:r>
        </w:p>
      </w:tc>
      <w:tc>
        <w:tcPr>
          <w:tcW w:w="4111" w:type="dxa"/>
          <w:hideMark/>
        </w:tcPr>
        <w:p w:rsidR="00560A25" w:rsidRPr="00560A25" w:rsidRDefault="00904231" w:rsidP="00560A25">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XXXXXXXXXXXXXXXXXXX</w:t>
          </w:r>
        </w:p>
      </w:tc>
    </w:tr>
    <w:tr w:rsidR="00560A25" w:rsidTr="00560A25">
      <w:trPr>
        <w:trHeight w:val="242"/>
      </w:trPr>
      <w:tc>
        <w:tcPr>
          <w:tcW w:w="5103" w:type="dxa"/>
          <w:hideMark/>
        </w:tcPr>
        <w:p w:rsidR="00560A25" w:rsidRPr="00B86205" w:rsidRDefault="00F5408F" w:rsidP="00560A25">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560A25" w:rsidRPr="00B86205" w:rsidRDefault="00F5408F" w:rsidP="00560A25">
          <w:pPr>
            <w:spacing w:line="276" w:lineRule="auto"/>
            <w:ind w:left="-70" w:right="68"/>
            <w:jc w:val="right"/>
            <w:rPr>
              <w:rFonts w:ascii="Palatino Linotype" w:hAnsi="Palatino Linotype" w:cs="Arial"/>
              <w:b/>
              <w:sz w:val="24"/>
              <w:szCs w:val="24"/>
            </w:rPr>
          </w:pPr>
          <w:r w:rsidRPr="00560A25">
            <w:rPr>
              <w:rFonts w:ascii="Palatino Linotype" w:hAnsi="Palatino Linotype" w:cs="Arial"/>
              <w:b/>
              <w:sz w:val="24"/>
              <w:szCs w:val="24"/>
            </w:rPr>
            <w:t>Ayuntamiento de Metepec</w:t>
          </w:r>
        </w:p>
      </w:tc>
    </w:tr>
    <w:tr w:rsidR="00560A25" w:rsidTr="00560A25">
      <w:trPr>
        <w:trHeight w:val="342"/>
      </w:trPr>
      <w:tc>
        <w:tcPr>
          <w:tcW w:w="5103" w:type="dxa"/>
          <w:hideMark/>
        </w:tcPr>
        <w:p w:rsidR="00560A25" w:rsidRPr="00B86205" w:rsidRDefault="00F5408F" w:rsidP="00560A25">
          <w:pPr>
            <w:tabs>
              <w:tab w:val="left" w:pos="4892"/>
            </w:tabs>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560A25" w:rsidRPr="00B86205" w:rsidRDefault="00F5408F" w:rsidP="00560A25">
          <w:pPr>
            <w:spacing w:after="0" w:line="360" w:lineRule="auto"/>
            <w:ind w:left="-486" w:right="68"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560A25" w:rsidRDefault="0089640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1" type="#_x0000_t75" alt="" style="position:absolute;margin-left:-80.8pt;margin-top:-162.9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CE2"/>
    <w:rsid w:val="00036F8B"/>
    <w:rsid w:val="000C3CF7"/>
    <w:rsid w:val="00123996"/>
    <w:rsid w:val="00896401"/>
    <w:rsid w:val="008E530B"/>
    <w:rsid w:val="00904231"/>
    <w:rsid w:val="00B71459"/>
    <w:rsid w:val="00F5408F"/>
    <w:rsid w:val="00F67C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86E077"/>
  <w15:chartTrackingRefBased/>
  <w15:docId w15:val="{97754463-FE04-477D-BB92-01EA7796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CE2"/>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CE2"/>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67CE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67CE2"/>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67CE2"/>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67CE2"/>
    <w:rPr>
      <w:vertAlign w:val="superscript"/>
    </w:rPr>
  </w:style>
  <w:style w:type="character" w:customStyle="1" w:styleId="apple-converted-space">
    <w:name w:val="apple-converted-space"/>
    <w:basedOn w:val="Fuentedeprrafopredeter"/>
    <w:rsid w:val="00F67CE2"/>
  </w:style>
  <w:style w:type="character" w:styleId="Hipervnculo">
    <w:name w:val="Hyperlink"/>
    <w:basedOn w:val="Fuentedeprrafopredeter"/>
    <w:uiPriority w:val="99"/>
    <w:unhideWhenUsed/>
    <w:rsid w:val="00F67C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27</Pages>
  <Words>6321</Words>
  <Characters>34769</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3</cp:revision>
  <dcterms:created xsi:type="dcterms:W3CDTF">2022-07-20T20:08:00Z</dcterms:created>
  <dcterms:modified xsi:type="dcterms:W3CDTF">2022-09-05T00:08:00Z</dcterms:modified>
</cp:coreProperties>
</file>