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8FE62"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diecinueve de octubre de dos mil veintidós. </w:t>
      </w:r>
    </w:p>
    <w:p w14:paraId="4EE3DDC0" w14:textId="3B4B73F2"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b/>
        </w:rPr>
        <w:t>VISTO</w:t>
      </w:r>
      <w:r w:rsidRPr="00BE653B">
        <w:rPr>
          <w:rFonts w:ascii="Palatino Linotype" w:eastAsia="Palatino Linotype" w:hAnsi="Palatino Linotype" w:cs="Palatino Linotype"/>
        </w:rPr>
        <w:t xml:space="preserve"> el expediente formado con motivo del recurso de revisión </w:t>
      </w:r>
      <w:r w:rsidRPr="00BE653B">
        <w:rPr>
          <w:rFonts w:ascii="Palatino Linotype" w:eastAsia="Palatino Linotype" w:hAnsi="Palatino Linotype" w:cs="Palatino Linotype"/>
          <w:b/>
        </w:rPr>
        <w:t>07669/INFOEM/IP/RR/2022</w:t>
      </w:r>
      <w:r w:rsidRPr="00BE653B">
        <w:rPr>
          <w:rFonts w:ascii="Palatino Linotype" w:eastAsia="Palatino Linotype" w:hAnsi="Palatino Linotype" w:cs="Palatino Linotype"/>
        </w:rPr>
        <w:t>, interpuesto por</w:t>
      </w:r>
      <w:r w:rsidR="008D3D3E" w:rsidRPr="00BE653B">
        <w:rPr>
          <w:rFonts w:ascii="Palatino Linotype" w:eastAsia="Palatino Linotype" w:hAnsi="Palatino Linotype" w:cs="Palatino Linotype"/>
          <w:b/>
        </w:rPr>
        <w:t xml:space="preserve"> </w:t>
      </w:r>
      <w:r w:rsidR="002342C0">
        <w:rPr>
          <w:rFonts w:ascii="Palatino Linotype" w:eastAsia="Palatino Linotype" w:hAnsi="Palatino Linotype" w:cs="Palatino Linotype"/>
          <w:b/>
        </w:rPr>
        <w:t>XXXXXX XXXXXXXX XXXXXX</w:t>
      </w:r>
      <w:r w:rsidRPr="00BE653B">
        <w:rPr>
          <w:rFonts w:ascii="Palatino Linotype" w:eastAsia="Palatino Linotype" w:hAnsi="Palatino Linotype" w:cs="Palatino Linotype"/>
        </w:rPr>
        <w:t>, en lo sucesivo</w:t>
      </w:r>
      <w:r w:rsidRPr="00BE653B">
        <w:rPr>
          <w:rFonts w:ascii="Palatino Linotype" w:eastAsia="Palatino Linotype" w:hAnsi="Palatino Linotype" w:cs="Palatino Linotype"/>
          <w:b/>
        </w:rPr>
        <w:t xml:space="preserve"> </w:t>
      </w:r>
      <w:r w:rsidRPr="00BE653B">
        <w:rPr>
          <w:rFonts w:ascii="Palatino Linotype" w:eastAsia="Palatino Linotype" w:hAnsi="Palatino Linotype" w:cs="Palatino Linotype"/>
        </w:rPr>
        <w:t xml:space="preserve">la parte </w:t>
      </w:r>
      <w:r w:rsidRPr="00BE653B">
        <w:rPr>
          <w:rFonts w:ascii="Palatino Linotype" w:eastAsia="Palatino Linotype" w:hAnsi="Palatino Linotype" w:cs="Palatino Linotype"/>
          <w:b/>
        </w:rPr>
        <w:t>Recurrente,</w:t>
      </w:r>
      <w:r w:rsidRPr="00BE653B">
        <w:rPr>
          <w:rFonts w:ascii="Palatino Linotype" w:eastAsia="Palatino Linotype" w:hAnsi="Palatino Linotype" w:cs="Palatino Linotype"/>
        </w:rPr>
        <w:t xml:space="preserve"> en contra de la respuesta a su solicitud por parte del </w:t>
      </w:r>
      <w:r w:rsidRPr="00BE653B">
        <w:rPr>
          <w:rFonts w:ascii="Palatino Linotype" w:eastAsia="Palatino Linotype" w:hAnsi="Palatino Linotype" w:cs="Palatino Linotype"/>
          <w:b/>
        </w:rPr>
        <w:t xml:space="preserve">Ayuntamiento de Metepec, </w:t>
      </w:r>
      <w:r w:rsidRPr="00BE653B">
        <w:rPr>
          <w:rFonts w:ascii="Palatino Linotype" w:eastAsia="Palatino Linotype" w:hAnsi="Palatino Linotype" w:cs="Palatino Linotype"/>
        </w:rPr>
        <w:t xml:space="preserve">en lo sucesivo el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 xml:space="preserve">se procede a dictar la presente resolución con base en los siguientes: </w:t>
      </w:r>
    </w:p>
    <w:p w14:paraId="16BEFB2D" w14:textId="77777777" w:rsidR="00412355" w:rsidRPr="00BE653B" w:rsidRDefault="00DF2EC2">
      <w:pPr>
        <w:spacing w:before="240" w:after="240" w:line="360" w:lineRule="auto"/>
        <w:jc w:val="center"/>
        <w:rPr>
          <w:rFonts w:ascii="Palatino Linotype" w:eastAsia="Palatino Linotype" w:hAnsi="Palatino Linotype" w:cs="Palatino Linotype"/>
          <w:b/>
        </w:rPr>
      </w:pPr>
      <w:r w:rsidRPr="00BE653B">
        <w:rPr>
          <w:rFonts w:ascii="Palatino Linotype" w:eastAsia="Palatino Linotype" w:hAnsi="Palatino Linotype" w:cs="Palatino Linotype"/>
          <w:b/>
        </w:rPr>
        <w:t>I. A N T E C E D E N T E S</w:t>
      </w:r>
    </w:p>
    <w:p w14:paraId="37B69A75"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b/>
        </w:rPr>
        <w:t>1. Solicitud de acceso a la información.</w:t>
      </w:r>
      <w:r w:rsidRPr="00BE653B">
        <w:rPr>
          <w:rFonts w:ascii="Palatino Linotype" w:eastAsia="Palatino Linotype" w:hAnsi="Palatino Linotype" w:cs="Palatino Linotype"/>
        </w:rPr>
        <w:t xml:space="preserve"> Con fecha </w:t>
      </w:r>
      <w:r w:rsidRPr="00BE653B">
        <w:rPr>
          <w:rFonts w:ascii="Palatino Linotype" w:eastAsia="Palatino Linotype" w:hAnsi="Palatino Linotype" w:cs="Palatino Linotype"/>
          <w:b/>
        </w:rPr>
        <w:t>dieciocho de abril de dos mil veintidós,</w:t>
      </w:r>
      <w:r w:rsidRPr="00BE653B">
        <w:rPr>
          <w:rFonts w:ascii="Palatino Linotype" w:eastAsia="Palatino Linotype" w:hAnsi="Palatino Linotype" w:cs="Palatino Linotype"/>
        </w:rPr>
        <w:t xml:space="preserve"> la parte </w:t>
      </w:r>
      <w:r w:rsidRPr="00BE653B">
        <w:rPr>
          <w:rFonts w:ascii="Palatino Linotype" w:eastAsia="Palatino Linotype" w:hAnsi="Palatino Linotype" w:cs="Palatino Linotype"/>
          <w:b/>
        </w:rPr>
        <w:t xml:space="preserve">Recurrente </w:t>
      </w:r>
      <w:r w:rsidRPr="00BE653B">
        <w:rPr>
          <w:rFonts w:ascii="Palatino Linotype" w:eastAsia="Palatino Linotype" w:hAnsi="Palatino Linotype" w:cs="Palatino Linotype"/>
        </w:rPr>
        <w:t xml:space="preserve">presentó, través del Sistema de Acceso a la Información Mexiquense, en lo subsecuente el </w:t>
      </w:r>
      <w:r w:rsidRPr="00BE653B">
        <w:rPr>
          <w:rFonts w:ascii="Palatino Linotype" w:eastAsia="Palatino Linotype" w:hAnsi="Palatino Linotype" w:cs="Palatino Linotype"/>
          <w:b/>
        </w:rPr>
        <w:t>SAIMEX,</w:t>
      </w:r>
      <w:r w:rsidRPr="00BE653B">
        <w:rPr>
          <w:rFonts w:ascii="Palatino Linotype" w:eastAsia="Palatino Linotype" w:hAnsi="Palatino Linotype" w:cs="Palatino Linotype"/>
        </w:rPr>
        <w:t xml:space="preserve"> ante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la solicitud de acceso a la información pública, a la que se le asignó el número</w:t>
      </w:r>
      <w:r w:rsidRPr="00BE653B">
        <w:rPr>
          <w:rFonts w:ascii="Palatino Linotype" w:eastAsia="Palatino Linotype" w:hAnsi="Palatino Linotype" w:cs="Palatino Linotype"/>
          <w:b/>
        </w:rPr>
        <w:t xml:space="preserve"> 03191/METEPEC/IP/2022, </w:t>
      </w:r>
      <w:r w:rsidRPr="00BE653B">
        <w:rPr>
          <w:rFonts w:ascii="Palatino Linotype" w:eastAsia="Palatino Linotype" w:hAnsi="Palatino Linotype" w:cs="Palatino Linotype"/>
        </w:rPr>
        <w:t xml:space="preserve">mediante la cual requirió la información siguiente: </w:t>
      </w:r>
    </w:p>
    <w:p w14:paraId="73503B50" w14:textId="77777777" w:rsidR="00412355" w:rsidRPr="00BE653B" w:rsidRDefault="00DF2EC2">
      <w:pPr>
        <w:spacing w:before="240" w:after="240"/>
        <w:ind w:left="851"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i/>
          <w:sz w:val="22"/>
          <w:szCs w:val="22"/>
        </w:rPr>
        <w:t>“Solicito información del manejo de recursos.” (</w:t>
      </w:r>
      <w:proofErr w:type="gramStart"/>
      <w:r w:rsidRPr="00BE653B">
        <w:rPr>
          <w:rFonts w:ascii="Palatino Linotype" w:eastAsia="Palatino Linotype" w:hAnsi="Palatino Linotype" w:cs="Palatino Linotype"/>
          <w:i/>
          <w:sz w:val="22"/>
          <w:szCs w:val="22"/>
        </w:rPr>
        <w:t>sic</w:t>
      </w:r>
      <w:proofErr w:type="gramEnd"/>
      <w:r w:rsidRPr="00BE653B">
        <w:rPr>
          <w:rFonts w:ascii="Palatino Linotype" w:eastAsia="Palatino Linotype" w:hAnsi="Palatino Linotype" w:cs="Palatino Linotype"/>
          <w:i/>
          <w:sz w:val="22"/>
          <w:szCs w:val="22"/>
        </w:rPr>
        <w:t>)</w:t>
      </w:r>
    </w:p>
    <w:p w14:paraId="680070D5" w14:textId="77777777" w:rsidR="00412355" w:rsidRPr="00BE653B" w:rsidRDefault="00DF2EC2">
      <w:pPr>
        <w:spacing w:before="240" w:after="240" w:line="360" w:lineRule="auto"/>
        <w:ind w:right="900"/>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La parte </w:t>
      </w:r>
      <w:r w:rsidRPr="00BE653B">
        <w:rPr>
          <w:rFonts w:ascii="Palatino Linotype" w:eastAsia="Palatino Linotype" w:hAnsi="Palatino Linotype" w:cs="Palatino Linotype"/>
          <w:b/>
        </w:rPr>
        <w:t>Recurrente</w:t>
      </w:r>
      <w:r w:rsidRPr="00BE653B">
        <w:rPr>
          <w:rFonts w:ascii="Palatino Linotype" w:eastAsia="Palatino Linotype" w:hAnsi="Palatino Linotype" w:cs="Palatino Linotype"/>
        </w:rPr>
        <w:t xml:space="preserve"> adjuntó el archivo: “</w:t>
      </w:r>
      <w:r w:rsidRPr="00BE653B">
        <w:rPr>
          <w:rFonts w:ascii="Palatino Linotype" w:eastAsia="Palatino Linotype" w:hAnsi="Palatino Linotype" w:cs="Palatino Linotype"/>
          <w:i/>
        </w:rPr>
        <w:t>Solicitud de transparencia.docx</w:t>
      </w:r>
      <w:r w:rsidRPr="00BE653B">
        <w:rPr>
          <w:rFonts w:ascii="Palatino Linotype" w:eastAsia="Palatino Linotype" w:hAnsi="Palatino Linotype" w:cs="Palatino Linotype"/>
        </w:rPr>
        <w:t>”, cuyo contenido es el siguiente:</w:t>
      </w:r>
    </w:p>
    <w:p w14:paraId="73F5967C" w14:textId="77777777" w:rsidR="00412355" w:rsidRPr="00BE653B" w:rsidRDefault="00DF2EC2">
      <w:pPr>
        <w:spacing w:before="120" w:after="120"/>
        <w:ind w:left="283" w:right="335" w:hanging="11"/>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“¿Con qué personal cuenta la defensoría municipal de los derechos humanos, nombre, cargo y estudios?</w:t>
      </w:r>
    </w:p>
    <w:p w14:paraId="2F9AFD99" w14:textId="77777777" w:rsidR="00412355" w:rsidRPr="00BE653B" w:rsidRDefault="00DF2EC2">
      <w:pPr>
        <w:spacing w:before="120" w:after="120"/>
        <w:ind w:left="283" w:right="335" w:hanging="11"/>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¿La defensoría Municipal de derechos humanos qué presupuesto tiene?</w:t>
      </w:r>
    </w:p>
    <w:p w14:paraId="67FF9572" w14:textId="77777777" w:rsidR="00412355" w:rsidRPr="00BE653B" w:rsidRDefault="00DF2EC2">
      <w:pPr>
        <w:spacing w:before="120" w:after="120"/>
        <w:ind w:left="283" w:right="335" w:hanging="11"/>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¿La defensoría Municipal de derechos humanos ha realizado alguna recomendación al gobierno municipal?</w:t>
      </w:r>
    </w:p>
    <w:p w14:paraId="53151F76" w14:textId="77777777" w:rsidR="00412355" w:rsidRPr="00BE653B" w:rsidRDefault="00DF2EC2">
      <w:pPr>
        <w:spacing w:before="120" w:after="120"/>
        <w:ind w:left="283" w:right="335" w:hanging="11"/>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lastRenderedPageBreak/>
        <w:t>¿Cuál es el monto de la deuda con la con CFE del h. ayuntamiento?</w:t>
      </w:r>
    </w:p>
    <w:p w14:paraId="6C64E508" w14:textId="77777777" w:rsidR="00412355" w:rsidRPr="00BE653B" w:rsidRDefault="00DF2EC2">
      <w:pPr>
        <w:spacing w:before="120" w:after="120"/>
        <w:ind w:left="283" w:right="335" w:hanging="11"/>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 xml:space="preserve">Solicitud de la copia de la factura de los gastos de la presidencia municipal desde enero de 2022 </w:t>
      </w:r>
    </w:p>
    <w:p w14:paraId="75B344B6" w14:textId="77777777" w:rsidR="00412355" w:rsidRPr="00BE653B" w:rsidRDefault="00DF2EC2">
      <w:pPr>
        <w:spacing w:before="120" w:after="120"/>
        <w:ind w:left="283" w:right="335" w:hanging="11"/>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¿Cuántos pagos se han realizado para publicidad gubernamental, inserciones pagadas u otros relativos a medios de comunicación? Solicito lista de las personas o empresas que recibieron el pago, motivo del mismo, fecha de contrato en caso de existir de cada uno, fecha de pago y modalidad del mismo y principalmente la cantidad de dinero del pago.</w:t>
      </w:r>
    </w:p>
    <w:p w14:paraId="795FEE07" w14:textId="77777777" w:rsidR="00412355" w:rsidRPr="00BE653B" w:rsidRDefault="00DF2EC2">
      <w:pPr>
        <w:spacing w:before="120" w:after="120"/>
        <w:ind w:left="283" w:right="335" w:hanging="11"/>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Solicitud de los expedientes de las licitaciones directas o con invitación a tres proveedores con todo y las actas de las empresas. Desde el inicio de la administración a la fecha</w:t>
      </w:r>
    </w:p>
    <w:p w14:paraId="703B82BE" w14:textId="77777777" w:rsidR="00412355" w:rsidRPr="00BE653B" w:rsidRDefault="00DF2EC2">
      <w:pPr>
        <w:spacing w:before="120" w:after="120"/>
        <w:ind w:left="283" w:right="335" w:hanging="11"/>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¿Cuál es la telefonía local y móvil que se utiliza para el h. ayuntamiento y que costo mensual tiene? Servicio de conmutador, líneas telefónicas, aparatos celulares y de qué marca son. Especificar nombre de la compañía, represéntate legal y montos.</w:t>
      </w:r>
    </w:p>
    <w:p w14:paraId="3613AB22" w14:textId="77777777" w:rsidR="00412355" w:rsidRPr="00BE653B" w:rsidRDefault="00DF2EC2">
      <w:pPr>
        <w:spacing w:before="120" w:after="120"/>
        <w:ind w:left="283" w:right="335" w:hanging="11"/>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¿Existe un sistema de auditoría, seguimiento y control financiero y cuál es?” (</w:t>
      </w:r>
      <w:proofErr w:type="gramStart"/>
      <w:r w:rsidRPr="00BE653B">
        <w:rPr>
          <w:rFonts w:ascii="Palatino Linotype" w:eastAsia="Palatino Linotype" w:hAnsi="Palatino Linotype" w:cs="Palatino Linotype"/>
          <w:i/>
          <w:sz w:val="22"/>
          <w:szCs w:val="22"/>
        </w:rPr>
        <w:t>sic</w:t>
      </w:r>
      <w:proofErr w:type="gramEnd"/>
      <w:r w:rsidRPr="00BE653B">
        <w:rPr>
          <w:rFonts w:ascii="Palatino Linotype" w:eastAsia="Palatino Linotype" w:hAnsi="Palatino Linotype" w:cs="Palatino Linotype"/>
          <w:i/>
          <w:sz w:val="22"/>
          <w:szCs w:val="22"/>
        </w:rPr>
        <w:t>)</w:t>
      </w:r>
    </w:p>
    <w:p w14:paraId="2B9917C9"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b/>
        </w:rPr>
        <w:t>Modalidad de Entrega:</w:t>
      </w:r>
      <w:r w:rsidRPr="00BE653B">
        <w:rPr>
          <w:rFonts w:ascii="Palatino Linotype" w:eastAsia="Palatino Linotype" w:hAnsi="Palatino Linotype" w:cs="Palatino Linotype"/>
        </w:rPr>
        <w:t xml:space="preserve"> A través de SAIMEX.</w:t>
      </w:r>
    </w:p>
    <w:p w14:paraId="2B324B18" w14:textId="77777777" w:rsidR="00412355" w:rsidRPr="00BE653B" w:rsidRDefault="00DF2EC2">
      <w:pPr>
        <w:spacing w:before="240" w:after="240" w:line="360" w:lineRule="auto"/>
        <w:jc w:val="both"/>
        <w:rPr>
          <w:rFonts w:ascii="Palatino Linotype" w:eastAsia="Palatino Linotype" w:hAnsi="Palatino Linotype" w:cs="Palatino Linotype"/>
          <w:b/>
        </w:rPr>
      </w:pPr>
      <w:r w:rsidRPr="00BE653B">
        <w:rPr>
          <w:rFonts w:ascii="Palatino Linotype" w:eastAsia="Palatino Linotype" w:hAnsi="Palatino Linotype" w:cs="Palatino Linotype"/>
          <w:b/>
        </w:rPr>
        <w:t xml:space="preserve">2. Respuesta. </w:t>
      </w:r>
      <w:r w:rsidRPr="00BE653B">
        <w:rPr>
          <w:rFonts w:ascii="Palatino Linotype" w:eastAsia="Palatino Linotype" w:hAnsi="Palatino Linotype" w:cs="Palatino Linotype"/>
        </w:rPr>
        <w:t xml:space="preserve">Con fecha </w:t>
      </w:r>
      <w:r w:rsidRPr="00BE653B">
        <w:rPr>
          <w:rFonts w:ascii="Palatino Linotype" w:eastAsia="Palatino Linotype" w:hAnsi="Palatino Linotype" w:cs="Palatino Linotype"/>
          <w:b/>
        </w:rPr>
        <w:t>veintiocho de abril de dos mil veintidós</w:t>
      </w:r>
      <w:r w:rsidRPr="00BE653B">
        <w:rPr>
          <w:rFonts w:ascii="Palatino Linotype" w:eastAsia="Palatino Linotype" w:hAnsi="Palatino Linotype" w:cs="Palatino Linotype"/>
        </w:rPr>
        <w:t xml:space="preserve">, el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3779FBA" w14:textId="77777777" w:rsidR="00412355" w:rsidRPr="00BE653B" w:rsidRDefault="00DF2EC2">
      <w:pPr>
        <w:spacing w:before="240" w:after="24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w:t>
      </w:r>
      <w:proofErr w:type="gramStart"/>
      <w:r w:rsidRPr="00BE653B">
        <w:rPr>
          <w:rFonts w:ascii="Palatino Linotype" w:eastAsia="Palatino Linotype" w:hAnsi="Palatino Linotype" w:cs="Palatino Linotype"/>
          <w:i/>
          <w:sz w:val="22"/>
          <w:szCs w:val="22"/>
        </w:rPr>
        <w:t>sic</w:t>
      </w:r>
      <w:proofErr w:type="gramEnd"/>
      <w:r w:rsidRPr="00BE653B">
        <w:rPr>
          <w:rFonts w:ascii="Palatino Linotype" w:eastAsia="Palatino Linotype" w:hAnsi="Palatino Linotype" w:cs="Palatino Linotype"/>
          <w:i/>
          <w:sz w:val="22"/>
          <w:szCs w:val="22"/>
        </w:rPr>
        <w:t>)</w:t>
      </w:r>
    </w:p>
    <w:p w14:paraId="5F376B66" w14:textId="77777777" w:rsidR="00412355" w:rsidRPr="00BE653B" w:rsidRDefault="00DF2EC2">
      <w:pPr>
        <w:spacing w:before="240" w:after="240" w:line="360" w:lineRule="auto"/>
        <w:ind w:right="49"/>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rPr>
        <w:t xml:space="preserve">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adjuntó el archivo “</w:t>
      </w:r>
      <w:r w:rsidRPr="00BE653B">
        <w:rPr>
          <w:rFonts w:ascii="Palatino Linotype" w:eastAsia="Palatino Linotype" w:hAnsi="Palatino Linotype" w:cs="Palatino Linotype"/>
          <w:i/>
        </w:rPr>
        <w:t>03191.PDF</w:t>
      </w:r>
      <w:r w:rsidRPr="00BE653B">
        <w:rPr>
          <w:rFonts w:ascii="Palatino Linotype" w:eastAsia="Palatino Linotype" w:hAnsi="Palatino Linotype" w:cs="Palatino Linotype"/>
        </w:rPr>
        <w:t xml:space="preserve">”, que contiene el oficio UT/MET/765/2022 de fecha veintisiete de abril de dos mil veintidós, signado por el titular de la Unidad de Transparencia, mediante el cual hace del conocimiento de la persona solicitante que la información solicitada es una obligación común del Sujeto </w:t>
      </w:r>
      <w:r w:rsidRPr="00BE653B">
        <w:rPr>
          <w:rFonts w:ascii="Palatino Linotype" w:eastAsia="Palatino Linotype" w:hAnsi="Palatino Linotype" w:cs="Palatino Linotype"/>
        </w:rPr>
        <w:lastRenderedPageBreak/>
        <w:t xml:space="preserve">Obligado, conferida en el artículo 92 de la Ley de Transparencia y Acceso a la Información Pública del Estado de México, </w:t>
      </w:r>
      <w:proofErr w:type="spellStart"/>
      <w:r w:rsidRPr="00BE653B">
        <w:rPr>
          <w:rFonts w:ascii="Palatino Linotype" w:eastAsia="Palatino Linotype" w:hAnsi="Palatino Linotype" w:cs="Palatino Linotype"/>
        </w:rPr>
        <w:t>redireccionándole</w:t>
      </w:r>
      <w:proofErr w:type="spellEnd"/>
      <w:r w:rsidRPr="00BE653B">
        <w:rPr>
          <w:rFonts w:ascii="Palatino Linotype" w:eastAsia="Palatino Linotype" w:hAnsi="Palatino Linotype" w:cs="Palatino Linotype"/>
        </w:rPr>
        <w:t xml:space="preserve"> a la página web de la Información Pública de Oficio de los Sujetos Obligados del Estado de México y Municipios, concretamente a la liga: </w:t>
      </w:r>
      <w:hyperlink r:id="rId8">
        <w:r w:rsidRPr="00BE653B">
          <w:rPr>
            <w:rFonts w:ascii="Palatino Linotype" w:eastAsia="Palatino Linotype" w:hAnsi="Palatino Linotype" w:cs="Palatino Linotype"/>
            <w:i/>
            <w:sz w:val="22"/>
            <w:szCs w:val="22"/>
            <w:u w:val="single"/>
          </w:rPr>
          <w:t>https://www.ipomex.org.mx/ipo3/lgt/indice/METEPEC/art_92_xxv_a.web</w:t>
        </w:r>
      </w:hyperlink>
      <w:r w:rsidRPr="00BE653B">
        <w:rPr>
          <w:rFonts w:ascii="Palatino Linotype" w:eastAsia="Palatino Linotype" w:hAnsi="Palatino Linotype" w:cs="Palatino Linotype"/>
          <w:i/>
          <w:sz w:val="22"/>
          <w:szCs w:val="22"/>
        </w:rPr>
        <w:t xml:space="preserve">. </w:t>
      </w:r>
    </w:p>
    <w:p w14:paraId="6C20172C"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Asimismo, refirió que las obligaciones comunes y específicas se encontraban en etapa de actualización de la información del 1º trimestre del año en curso, por lo que la misma podría ser revisada una vez actualizado el periodo correspondiente.</w:t>
      </w:r>
    </w:p>
    <w:p w14:paraId="2625DB23"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b/>
        </w:rPr>
        <w:t xml:space="preserve">3. Interposición del recurso de revisión. </w:t>
      </w:r>
      <w:r w:rsidRPr="00BE653B">
        <w:rPr>
          <w:rFonts w:ascii="Palatino Linotype" w:eastAsia="Palatino Linotype" w:hAnsi="Palatino Linotype" w:cs="Palatino Linotype"/>
        </w:rPr>
        <w:t xml:space="preserve">Inconforme con los términos de la respuesta emitida por parte del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el </w:t>
      </w:r>
      <w:r w:rsidRPr="00BE653B">
        <w:rPr>
          <w:rFonts w:ascii="Palatino Linotype" w:eastAsia="Palatino Linotype" w:hAnsi="Palatino Linotype" w:cs="Palatino Linotype"/>
          <w:b/>
        </w:rPr>
        <w:t>once de mayo dos mil veintidós,</w:t>
      </w:r>
      <w:r w:rsidRPr="00BE653B">
        <w:rPr>
          <w:rFonts w:ascii="Palatino Linotype" w:eastAsia="Palatino Linotype" w:hAnsi="Palatino Linotype" w:cs="Palatino Linotype"/>
        </w:rPr>
        <w:t xml:space="preserve"> la parte recurrente interpuso el recurso de revisión a través de </w:t>
      </w:r>
      <w:r w:rsidRPr="00BE653B">
        <w:rPr>
          <w:rFonts w:ascii="Palatino Linotype" w:eastAsia="Palatino Linotype" w:hAnsi="Palatino Linotype" w:cs="Palatino Linotype"/>
          <w:b/>
        </w:rPr>
        <w:t xml:space="preserve">SAIMEX, </w:t>
      </w:r>
      <w:r w:rsidRPr="00BE653B">
        <w:rPr>
          <w:rFonts w:ascii="Palatino Linotype" w:eastAsia="Palatino Linotype" w:hAnsi="Palatino Linotype" w:cs="Palatino Linotype"/>
        </w:rPr>
        <w:t>en donde se manifestó de la siguiente manera:</w:t>
      </w:r>
    </w:p>
    <w:p w14:paraId="155493C7" w14:textId="77777777" w:rsidR="00412355" w:rsidRPr="00BE653B" w:rsidRDefault="00DF2EC2">
      <w:pPr>
        <w:tabs>
          <w:tab w:val="left" w:pos="2745"/>
        </w:tabs>
        <w:spacing w:before="240" w:after="240" w:line="360" w:lineRule="auto"/>
        <w:jc w:val="both"/>
        <w:rPr>
          <w:rFonts w:ascii="Palatino Linotype" w:eastAsia="Palatino Linotype" w:hAnsi="Palatino Linotype" w:cs="Palatino Linotype"/>
          <w:b/>
        </w:rPr>
      </w:pPr>
      <w:r w:rsidRPr="00BE653B">
        <w:rPr>
          <w:rFonts w:ascii="Palatino Linotype" w:eastAsia="Palatino Linotype" w:hAnsi="Palatino Linotype" w:cs="Palatino Linotype"/>
          <w:b/>
        </w:rPr>
        <w:t xml:space="preserve">Acto impugnado: </w:t>
      </w:r>
    </w:p>
    <w:p w14:paraId="68B5E666" w14:textId="77777777" w:rsidR="00412355" w:rsidRPr="00BE653B" w:rsidRDefault="00DF2EC2">
      <w:pPr>
        <w:tabs>
          <w:tab w:val="left" w:pos="2745"/>
        </w:tabs>
        <w:spacing w:before="240" w:after="240"/>
        <w:ind w:left="851" w:right="616"/>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“Se realizó una solicitud de acceso a la información pública el día 18-04-2022 en la cual se realizaron una serie de preguntas al Ayuntamiento de Metepec, el sujeto obligado. Siendo estas preguntas de carácter administrativo y de orden público. Posterior a ello se presentó por parte del Ayuntamiento de Metepec el L.F.B. GERARDO ARTURO OZUNA MARTINEZ, se responde a la solicitud el día 28 de Abril del 2022 con ciertas deficiencias que impiden ejercer mi derecho al acceso a la información garantizados en los artículos 6 y 8 constitucionales así como los artículos 4 y 6 de la Ley General de Transparencia y Acceso a la Información Pública. Por lo que el sujeto obligado ha incurrido en uno de los motivos para presentar un Recurso de revisión consagrado en el artículo 179 fracción V.” (</w:t>
      </w:r>
      <w:proofErr w:type="gramStart"/>
      <w:r w:rsidRPr="00BE653B">
        <w:rPr>
          <w:rFonts w:ascii="Palatino Linotype" w:eastAsia="Palatino Linotype" w:hAnsi="Palatino Linotype" w:cs="Palatino Linotype"/>
          <w:i/>
          <w:sz w:val="22"/>
          <w:szCs w:val="22"/>
        </w:rPr>
        <w:t>sic</w:t>
      </w:r>
      <w:proofErr w:type="gramEnd"/>
      <w:r w:rsidRPr="00BE653B">
        <w:rPr>
          <w:rFonts w:ascii="Palatino Linotype" w:eastAsia="Palatino Linotype" w:hAnsi="Palatino Linotype" w:cs="Palatino Linotype"/>
          <w:i/>
          <w:sz w:val="22"/>
          <w:szCs w:val="22"/>
        </w:rPr>
        <w:t>)</w:t>
      </w:r>
    </w:p>
    <w:p w14:paraId="2554BE3C" w14:textId="77777777" w:rsidR="00412355" w:rsidRPr="00BE653B" w:rsidRDefault="00DF2EC2">
      <w:pPr>
        <w:spacing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b/>
        </w:rPr>
        <w:t>Y Razones o motivos de inconformidad</w:t>
      </w:r>
      <w:r w:rsidRPr="00BE653B">
        <w:rPr>
          <w:rFonts w:ascii="Palatino Linotype" w:eastAsia="Palatino Linotype" w:hAnsi="Palatino Linotype" w:cs="Palatino Linotype"/>
        </w:rPr>
        <w:t>:</w:t>
      </w:r>
    </w:p>
    <w:p w14:paraId="3F12BBD8" w14:textId="77777777" w:rsidR="00412355" w:rsidRPr="00BE653B" w:rsidRDefault="00DF2EC2">
      <w:pPr>
        <w:ind w:left="851" w:right="902"/>
        <w:jc w:val="both"/>
        <w:rPr>
          <w:rFonts w:ascii="Palatino Linotype" w:eastAsia="Palatino Linotype" w:hAnsi="Palatino Linotype" w:cs="Palatino Linotype"/>
          <w:i/>
          <w:sz w:val="22"/>
          <w:szCs w:val="22"/>
        </w:rPr>
      </w:pPr>
      <w:bookmarkStart w:id="0" w:name="_heading=h.30j0zll" w:colFirst="0" w:colLast="0"/>
      <w:bookmarkEnd w:id="0"/>
      <w:r w:rsidRPr="00BE653B">
        <w:rPr>
          <w:rFonts w:ascii="Palatino Linotype" w:eastAsia="Palatino Linotype" w:hAnsi="Palatino Linotype" w:cs="Palatino Linotype"/>
          <w:i/>
          <w:sz w:val="22"/>
          <w:szCs w:val="22"/>
        </w:rPr>
        <w:t xml:space="preserve"> “1. La resolución incumple con el Artículo 160 de La Ley de Transparencia y Acceso a la Información Pública del Estado de México y Municipios. 2. La resolución incumple con el Artículo 177 de La Ley de Transparencia y Acceso a </w:t>
      </w:r>
      <w:r w:rsidRPr="00BE653B">
        <w:rPr>
          <w:rFonts w:ascii="Palatino Linotype" w:eastAsia="Palatino Linotype" w:hAnsi="Palatino Linotype" w:cs="Palatino Linotype"/>
          <w:i/>
          <w:sz w:val="22"/>
          <w:szCs w:val="22"/>
        </w:rPr>
        <w:lastRenderedPageBreak/>
        <w:t>la Información Pública del Estado de México y Municipios, al no especificar el derecho y plazo que tienen para promover recurso de revisión. 3. De igual manera la resolución incumple con el Articulo 92 de La Ley de Transparencia y Acceso a la Información Pública del Estado de México y Municipios, ya que el sujeto obligado no pone a disposición de una manera clara y sencilla la información solicitada que se especifica en este mismo artículo. 4. Así mismo, el sujeto incurre en una de las causas de incumplimiento de las obligaciones establecidas en la Ley de Transparencia y Acceso a la Información Pública del Estado de México y Municipios, especificada en el Artículo 222, Fracción III y X. 5. Y finalmente el sujeto obligado incumple con su función expresada en el artículo 53 Fracción V de la Ley de Transparencia y Acceso a la Información Pública del Estado de México y Municipios.” (</w:t>
      </w:r>
      <w:proofErr w:type="gramStart"/>
      <w:r w:rsidRPr="00BE653B">
        <w:rPr>
          <w:rFonts w:ascii="Palatino Linotype" w:eastAsia="Palatino Linotype" w:hAnsi="Palatino Linotype" w:cs="Palatino Linotype"/>
          <w:i/>
          <w:sz w:val="22"/>
          <w:szCs w:val="22"/>
        </w:rPr>
        <w:t>sic</w:t>
      </w:r>
      <w:proofErr w:type="gramEnd"/>
      <w:r w:rsidRPr="00BE653B">
        <w:rPr>
          <w:rFonts w:ascii="Palatino Linotype" w:eastAsia="Palatino Linotype" w:hAnsi="Palatino Linotype" w:cs="Palatino Linotype"/>
          <w:i/>
          <w:sz w:val="22"/>
          <w:szCs w:val="22"/>
        </w:rPr>
        <w:t>)</w:t>
      </w:r>
    </w:p>
    <w:p w14:paraId="4CBD2236"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b/>
        </w:rPr>
        <w:t xml:space="preserve">Anexos: </w:t>
      </w:r>
      <w:r w:rsidRPr="00BE653B">
        <w:rPr>
          <w:rFonts w:ascii="Palatino Linotype" w:eastAsia="Palatino Linotype" w:hAnsi="Palatino Linotype" w:cs="Palatino Linotype"/>
        </w:rPr>
        <w:t xml:space="preserve">La parte </w:t>
      </w:r>
      <w:r w:rsidRPr="00BE653B">
        <w:rPr>
          <w:rFonts w:ascii="Palatino Linotype" w:eastAsia="Palatino Linotype" w:hAnsi="Palatino Linotype" w:cs="Palatino Linotype"/>
          <w:b/>
        </w:rPr>
        <w:t>Recurrente</w:t>
      </w:r>
      <w:r w:rsidRPr="00BE653B">
        <w:rPr>
          <w:rFonts w:ascii="Palatino Linotype" w:eastAsia="Palatino Linotype" w:hAnsi="Palatino Linotype" w:cs="Palatino Linotype"/>
        </w:rPr>
        <w:t xml:space="preserve"> adjuntó el archivo “</w:t>
      </w:r>
      <w:r w:rsidRPr="00BE653B">
        <w:rPr>
          <w:rFonts w:ascii="Palatino Linotype" w:eastAsia="Palatino Linotype" w:hAnsi="Palatino Linotype" w:cs="Palatino Linotype"/>
          <w:i/>
        </w:rPr>
        <w:t xml:space="preserve">Recurso de </w:t>
      </w:r>
      <w:proofErr w:type="spellStart"/>
      <w:r w:rsidRPr="00BE653B">
        <w:rPr>
          <w:rFonts w:ascii="Palatino Linotype" w:eastAsia="Palatino Linotype" w:hAnsi="Palatino Linotype" w:cs="Palatino Linotype"/>
          <w:i/>
        </w:rPr>
        <w:t>Revision</w:t>
      </w:r>
      <w:proofErr w:type="spellEnd"/>
      <w:r w:rsidRPr="00BE653B">
        <w:rPr>
          <w:rFonts w:ascii="Palatino Linotype" w:eastAsia="Palatino Linotype" w:hAnsi="Palatino Linotype" w:cs="Palatino Linotype"/>
          <w:i/>
        </w:rPr>
        <w:t xml:space="preserve"> 03191.doc</w:t>
      </w:r>
      <w:r w:rsidRPr="00BE653B">
        <w:rPr>
          <w:rFonts w:ascii="Palatino Linotype" w:eastAsia="Palatino Linotype" w:hAnsi="Palatino Linotype" w:cs="Palatino Linotype"/>
        </w:rPr>
        <w:t>”, cuyo contenido es el siguiente:</w:t>
      </w:r>
    </w:p>
    <w:p w14:paraId="0ED65C2B" w14:textId="77777777" w:rsidR="00412355" w:rsidRPr="00BE653B" w:rsidRDefault="00DF2EC2">
      <w:pPr>
        <w:spacing w:before="120" w:after="120"/>
        <w:ind w:left="850" w:right="629"/>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 xml:space="preserve">“…Que por medio del presente escrito, vengo a interponer el recurso de revisión que contemplan los artículos 178 y 179 de la Ley de Transparencia y Acceso a la Información Pública del Estado de México y Municipios contra la resolución con el folio 03191/METEPEC/IP/2022, con fecha del 18 de Abril del 2022, realizada por medio de la plataforma SAIMEX, emitida por el Ayuntamiento de Metepec, por considerar que el sujeto obligado incurrió en la siguiente conducta: La notificación, entrega o puesta a disposición de información en una modalidad o formato distinto al solicitado y la entrega o puesta a disposición de información en un formato incomprensible y/o no accesible para el solicitante. </w:t>
      </w:r>
    </w:p>
    <w:p w14:paraId="509A9C56" w14:textId="77777777" w:rsidR="00412355" w:rsidRPr="00BE653B" w:rsidRDefault="00DF2EC2">
      <w:pPr>
        <w:spacing w:before="120" w:after="120"/>
        <w:ind w:left="850" w:right="629"/>
        <w:jc w:val="center"/>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EL ACTO QUE SE OCURRE</w:t>
      </w:r>
    </w:p>
    <w:p w14:paraId="566C6A5B" w14:textId="77777777" w:rsidR="00412355" w:rsidRPr="00BE653B" w:rsidRDefault="00DF2EC2">
      <w:pPr>
        <w:spacing w:before="120" w:after="120"/>
        <w:ind w:left="850" w:right="629"/>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Se realizó una solicitud de acceso a la información pública el día 18-04-2022 en la cual se realizaron una serie de preguntas al Ayuntamiento de Metepec, el sujeto obligado. Siendo estas preguntas de carácter  administrativo y de orden público.</w:t>
      </w:r>
      <w:r w:rsidRPr="00BE653B">
        <w:rPr>
          <w:rFonts w:ascii="Palatino Linotype" w:eastAsia="Palatino Linotype" w:hAnsi="Palatino Linotype" w:cs="Palatino Linotype"/>
          <w:i/>
          <w:sz w:val="22"/>
          <w:szCs w:val="22"/>
        </w:rPr>
        <w:br/>
        <w:t xml:space="preserve">Posterior a ello se presentó por parte del Ayuntamiento de Metepec el L.F.B. GERARDO ARTURO OZUNA MARTINEZ, se responde a la solicitud el día 28 de Abril del 2022 con ciertas deficiencias que impiden ejercer mi derecho al acceso a la información garantizados en los artículos 6 y 8 constitucionales así como los artículos 4 y 6 de la Ley General de Transparencia y Acceso a la Información Pública. </w:t>
      </w:r>
    </w:p>
    <w:p w14:paraId="1838FA1B" w14:textId="77777777" w:rsidR="00412355" w:rsidRPr="00BE653B" w:rsidRDefault="00DF2EC2">
      <w:pPr>
        <w:spacing w:before="120" w:after="120"/>
        <w:ind w:left="850" w:right="629"/>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Por lo que el sujeto obligado ha incurrido en uno de los motivos para presentar un Recurso de revisión consagrado en el artículo 179 fracción V.</w:t>
      </w:r>
    </w:p>
    <w:p w14:paraId="5CDF9780" w14:textId="77777777" w:rsidR="00412355" w:rsidRPr="00BE653B" w:rsidRDefault="00412355">
      <w:pPr>
        <w:spacing w:before="120" w:after="120"/>
        <w:ind w:left="850" w:right="629"/>
        <w:jc w:val="center"/>
        <w:rPr>
          <w:rFonts w:ascii="Palatino Linotype" w:eastAsia="Palatino Linotype" w:hAnsi="Palatino Linotype" w:cs="Palatino Linotype"/>
          <w:b/>
          <w:i/>
          <w:sz w:val="22"/>
          <w:szCs w:val="22"/>
        </w:rPr>
      </w:pPr>
    </w:p>
    <w:p w14:paraId="08C40476" w14:textId="77777777" w:rsidR="00412355" w:rsidRPr="00BE653B" w:rsidRDefault="00412355">
      <w:pPr>
        <w:spacing w:before="120" w:after="120"/>
        <w:ind w:left="850" w:right="629"/>
        <w:jc w:val="center"/>
        <w:rPr>
          <w:rFonts w:ascii="Palatino Linotype" w:eastAsia="Palatino Linotype" w:hAnsi="Palatino Linotype" w:cs="Palatino Linotype"/>
          <w:b/>
          <w:i/>
          <w:sz w:val="22"/>
          <w:szCs w:val="22"/>
        </w:rPr>
      </w:pPr>
    </w:p>
    <w:p w14:paraId="62EBD91D" w14:textId="77777777" w:rsidR="00412355" w:rsidRPr="00BE653B" w:rsidRDefault="00DF2EC2">
      <w:pPr>
        <w:spacing w:before="120" w:after="120"/>
        <w:ind w:left="850" w:right="629"/>
        <w:jc w:val="center"/>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AGRAVIOS</w:t>
      </w:r>
    </w:p>
    <w:p w14:paraId="0CF51ADC" w14:textId="77777777" w:rsidR="00412355" w:rsidRPr="00BE653B" w:rsidRDefault="00DF2EC2">
      <w:pPr>
        <w:numPr>
          <w:ilvl w:val="0"/>
          <w:numId w:val="3"/>
        </w:numPr>
        <w:tabs>
          <w:tab w:val="left" w:pos="993"/>
        </w:tabs>
        <w:spacing w:before="120" w:after="120"/>
        <w:ind w:left="850" w:right="629" w:firstLine="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La resolución incumple con el Artículo 160 de La Ley de Transparencia y Acceso a la Información Pública del Estado de México y Municipios.</w:t>
      </w:r>
    </w:p>
    <w:p w14:paraId="32141DEC" w14:textId="77777777" w:rsidR="00412355" w:rsidRPr="00BE653B" w:rsidRDefault="00DF2EC2">
      <w:pPr>
        <w:numPr>
          <w:ilvl w:val="0"/>
          <w:numId w:val="3"/>
        </w:numPr>
        <w:tabs>
          <w:tab w:val="left" w:pos="993"/>
        </w:tabs>
        <w:spacing w:before="120" w:after="120"/>
        <w:ind w:left="850" w:right="629" w:firstLine="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La resolución incumple con el Artículo 177 de La Ley de Transparencia y Acceso a la Información Pública del Estado de México y Municipios, al no especificar el derecho y plazo que tienen para promover recurso de revisión.</w:t>
      </w:r>
    </w:p>
    <w:p w14:paraId="48CCC2D2" w14:textId="77777777" w:rsidR="00412355" w:rsidRPr="00BE653B" w:rsidRDefault="00DF2EC2">
      <w:pPr>
        <w:numPr>
          <w:ilvl w:val="0"/>
          <w:numId w:val="3"/>
        </w:numPr>
        <w:tabs>
          <w:tab w:val="left" w:pos="993"/>
        </w:tabs>
        <w:spacing w:before="120" w:after="120"/>
        <w:ind w:left="850" w:right="629" w:firstLine="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 xml:space="preserve">De igual manera la resolución incumple con el Articulo 92 de La Ley de Transparencia y Acceso a la Información Pública del Estado de México y Municipios, ya que el sujeto obligado no pone a disposición de una manera clara y sencilla la información solicitada que se especifica en este mismo artículo. </w:t>
      </w:r>
    </w:p>
    <w:p w14:paraId="725AD531" w14:textId="77777777" w:rsidR="00412355" w:rsidRPr="00BE653B" w:rsidRDefault="00DF2EC2">
      <w:pPr>
        <w:numPr>
          <w:ilvl w:val="0"/>
          <w:numId w:val="3"/>
        </w:numPr>
        <w:tabs>
          <w:tab w:val="left" w:pos="993"/>
        </w:tabs>
        <w:spacing w:before="120" w:after="120"/>
        <w:ind w:left="850" w:right="629" w:firstLine="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 xml:space="preserve">Así mismo, el sujeto incurre en una de las causas de incumplimiento de las obligaciones establecidas en la Ley de Transparencia y Acceso a la Información Pública del Estado de México y Municipios, especificada en el Artículo 222, Fracción III y X. </w:t>
      </w:r>
    </w:p>
    <w:p w14:paraId="21B1B004" w14:textId="77777777" w:rsidR="00412355" w:rsidRPr="00BE653B" w:rsidRDefault="00DF2EC2">
      <w:pPr>
        <w:numPr>
          <w:ilvl w:val="0"/>
          <w:numId w:val="3"/>
        </w:numPr>
        <w:tabs>
          <w:tab w:val="left" w:pos="993"/>
        </w:tabs>
        <w:spacing w:before="120" w:after="120"/>
        <w:ind w:left="850" w:right="629" w:firstLine="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Y finalmente el sujeto obligado incumple con su función expresada en el artículo 53 Fracción V de la Ley de Transparencia y Acceso a la Información Pública del Estado de México y Municipios.</w:t>
      </w:r>
    </w:p>
    <w:p w14:paraId="38BA3CA1" w14:textId="77777777" w:rsidR="00412355" w:rsidRPr="00BE653B" w:rsidRDefault="00DF2EC2">
      <w:pPr>
        <w:spacing w:before="120" w:after="120"/>
        <w:ind w:left="850" w:right="629"/>
        <w:jc w:val="center"/>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PRUEBAS</w:t>
      </w:r>
    </w:p>
    <w:p w14:paraId="5BB4C8A6" w14:textId="77777777" w:rsidR="00412355" w:rsidRPr="00BE653B" w:rsidRDefault="00DF2EC2">
      <w:pPr>
        <w:spacing w:before="120" w:after="120"/>
        <w:ind w:left="850" w:right="629"/>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Anexo la Respuesta a la solicitud que me fue otorgada en la plataforma SAIMEX</w:t>
      </w:r>
    </w:p>
    <w:p w14:paraId="4182722E" w14:textId="77777777" w:rsidR="00412355" w:rsidRPr="00BE653B" w:rsidRDefault="00DF2EC2">
      <w:pPr>
        <w:spacing w:before="120" w:after="120"/>
        <w:ind w:left="850" w:right="629"/>
        <w:jc w:val="center"/>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roofErr w:type="gramStart"/>
      <w:r w:rsidRPr="00BE653B">
        <w:rPr>
          <w:rFonts w:ascii="Palatino Linotype" w:eastAsia="Palatino Linotype" w:hAnsi="Palatino Linotype" w:cs="Palatino Linotype"/>
          <w:i/>
          <w:sz w:val="22"/>
          <w:szCs w:val="22"/>
        </w:rPr>
        <w:t>se</w:t>
      </w:r>
      <w:proofErr w:type="gramEnd"/>
      <w:r w:rsidRPr="00BE653B">
        <w:rPr>
          <w:rFonts w:ascii="Palatino Linotype" w:eastAsia="Palatino Linotype" w:hAnsi="Palatino Linotype" w:cs="Palatino Linotype"/>
          <w:i/>
          <w:sz w:val="22"/>
          <w:szCs w:val="22"/>
        </w:rPr>
        <w:t xml:space="preserve"> tiene por reproducida]</w:t>
      </w:r>
    </w:p>
    <w:p w14:paraId="44631B70" w14:textId="77777777" w:rsidR="00412355" w:rsidRPr="00BE653B" w:rsidRDefault="00DF2EC2">
      <w:pPr>
        <w:spacing w:before="120" w:after="120"/>
        <w:ind w:left="850" w:right="629"/>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Por lo expuesto y fundado, atentamente solicito que sirva.” (</w:t>
      </w:r>
      <w:proofErr w:type="gramStart"/>
      <w:r w:rsidRPr="00BE653B">
        <w:rPr>
          <w:rFonts w:ascii="Palatino Linotype" w:eastAsia="Palatino Linotype" w:hAnsi="Palatino Linotype" w:cs="Palatino Linotype"/>
          <w:i/>
          <w:sz w:val="22"/>
          <w:szCs w:val="22"/>
        </w:rPr>
        <w:t>sic</w:t>
      </w:r>
      <w:proofErr w:type="gramEnd"/>
      <w:r w:rsidRPr="00BE653B">
        <w:rPr>
          <w:rFonts w:ascii="Palatino Linotype" w:eastAsia="Palatino Linotype" w:hAnsi="Palatino Linotype" w:cs="Palatino Linotype"/>
          <w:i/>
          <w:sz w:val="22"/>
          <w:szCs w:val="22"/>
        </w:rPr>
        <w:t>)</w:t>
      </w:r>
    </w:p>
    <w:p w14:paraId="29207187"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b/>
        </w:rPr>
        <w:t xml:space="preserve">4. Turno. </w:t>
      </w:r>
      <w:r w:rsidRPr="00BE653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E653B">
        <w:rPr>
          <w:rFonts w:ascii="Palatino Linotype" w:eastAsia="Palatino Linotype" w:hAnsi="Palatino Linotype" w:cs="Palatino Linotype"/>
          <w:b/>
        </w:rPr>
        <w:t xml:space="preserve">Guadalupe Ramírez Peña, </w:t>
      </w:r>
      <w:r w:rsidRPr="00BE653B">
        <w:rPr>
          <w:rFonts w:ascii="Palatino Linotype" w:eastAsia="Palatino Linotype" w:hAnsi="Palatino Linotype" w:cs="Palatino Linotype"/>
        </w:rPr>
        <w:t xml:space="preserve">a efecto de que analizara sobre su admisión o su </w:t>
      </w:r>
      <w:proofErr w:type="spellStart"/>
      <w:r w:rsidRPr="00BE653B">
        <w:rPr>
          <w:rFonts w:ascii="Palatino Linotype" w:eastAsia="Palatino Linotype" w:hAnsi="Palatino Linotype" w:cs="Palatino Linotype"/>
        </w:rPr>
        <w:t>desechamiento</w:t>
      </w:r>
      <w:proofErr w:type="spellEnd"/>
      <w:r w:rsidRPr="00BE653B">
        <w:rPr>
          <w:rFonts w:ascii="Palatino Linotype" w:eastAsia="Palatino Linotype" w:hAnsi="Palatino Linotype" w:cs="Palatino Linotype"/>
        </w:rPr>
        <w:t>.</w:t>
      </w:r>
    </w:p>
    <w:p w14:paraId="5CB019B7"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b/>
        </w:rPr>
        <w:t>5. Admisión del Recurso de revisión.</w:t>
      </w:r>
      <w:r w:rsidRPr="00BE653B">
        <w:rPr>
          <w:rFonts w:ascii="Palatino Linotype" w:eastAsia="Palatino Linotype" w:hAnsi="Palatino Linotype" w:cs="Palatino Linotype"/>
        </w:rPr>
        <w:t xml:space="preserve"> Con fecha</w:t>
      </w:r>
      <w:r w:rsidRPr="00BE653B">
        <w:rPr>
          <w:rFonts w:ascii="Palatino Linotype" w:eastAsia="Palatino Linotype" w:hAnsi="Palatino Linotype" w:cs="Palatino Linotype"/>
          <w:b/>
        </w:rPr>
        <w:t xml:space="preserve"> dieciséis de mayo de dos mil veintidós, </w:t>
      </w:r>
      <w:r w:rsidRPr="00BE653B">
        <w:rPr>
          <w:rFonts w:ascii="Palatino Linotype" w:eastAsia="Palatino Linotype" w:hAnsi="Palatino Linotype" w:cs="Palatino Linotype"/>
        </w:rPr>
        <w:t xml:space="preserve">este Instituto de Transparencia, Acceso a la Información Pública y </w:t>
      </w:r>
      <w:r w:rsidRPr="00BE653B">
        <w:rPr>
          <w:rFonts w:ascii="Palatino Linotype" w:eastAsia="Palatino Linotype" w:hAnsi="Palatino Linotype" w:cs="Palatino Linotype"/>
        </w:rPr>
        <w:lastRenderedPageBreak/>
        <w:t xml:space="preserve">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presentara su informe justificado.</w:t>
      </w:r>
    </w:p>
    <w:p w14:paraId="6AD75ADE"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b/>
        </w:rPr>
        <w:t>6. Manifestaciones</w:t>
      </w:r>
      <w:r w:rsidRPr="00BE653B">
        <w:rPr>
          <w:rFonts w:ascii="Palatino Linotype" w:eastAsia="Palatino Linotype" w:hAnsi="Palatino Linotype" w:cs="Palatino Linotype"/>
        </w:rPr>
        <w:t xml:space="preserve">. De las constancias que obran en el expediente electrónico del </w:t>
      </w:r>
      <w:r w:rsidRPr="00BE653B">
        <w:rPr>
          <w:rFonts w:ascii="Palatino Linotype" w:eastAsia="Palatino Linotype" w:hAnsi="Palatino Linotype" w:cs="Palatino Linotype"/>
          <w:b/>
        </w:rPr>
        <w:t>SAIMEX</w:t>
      </w:r>
      <w:r w:rsidRPr="00BE653B">
        <w:rPr>
          <w:rFonts w:ascii="Palatino Linotype" w:eastAsia="Palatino Linotype" w:hAnsi="Palatino Linotype" w:cs="Palatino Linotype"/>
        </w:rPr>
        <w:t xml:space="preserve"> se desprende que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no rindió su informe justificado, del mismo modo la parte </w:t>
      </w:r>
      <w:r w:rsidRPr="00BE653B">
        <w:rPr>
          <w:rFonts w:ascii="Palatino Linotype" w:eastAsia="Palatino Linotype" w:hAnsi="Palatino Linotype" w:cs="Palatino Linotype"/>
          <w:b/>
        </w:rPr>
        <w:t>Recurrente</w:t>
      </w:r>
      <w:r w:rsidRPr="00BE653B">
        <w:rPr>
          <w:rFonts w:ascii="Palatino Linotype" w:eastAsia="Palatino Linotype" w:hAnsi="Palatino Linotype" w:cs="Palatino Linotype"/>
        </w:rPr>
        <w:t xml:space="preserve"> omitió realizar manifestaciones, como se observa a continuación:</w:t>
      </w:r>
    </w:p>
    <w:p w14:paraId="62C5EB3C"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2533693C" wp14:editId="4058F358">
            <wp:extent cx="5600700" cy="1619250"/>
            <wp:effectExtent l="0" t="0" r="0" b="0"/>
            <wp:docPr id="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600700" cy="1619250"/>
                    </a:xfrm>
                    <a:prstGeom prst="rect">
                      <a:avLst/>
                    </a:prstGeom>
                    <a:ln/>
                  </pic:spPr>
                </pic:pic>
              </a:graphicData>
            </a:graphic>
          </wp:inline>
        </w:drawing>
      </w:r>
    </w:p>
    <w:p w14:paraId="5DDE4EE9" w14:textId="77777777" w:rsidR="00412355" w:rsidRPr="00BE653B" w:rsidRDefault="00DF2EC2">
      <w:pPr>
        <w:spacing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b/>
        </w:rPr>
        <w:t xml:space="preserve">7. Cierre de instrucción. </w:t>
      </w:r>
      <w:r w:rsidRPr="00BE653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BE653B">
        <w:rPr>
          <w:rFonts w:ascii="Palatino Linotype" w:eastAsia="Palatino Linotype" w:hAnsi="Palatino Linotype" w:cs="Palatino Linotype"/>
          <w:b/>
        </w:rPr>
        <w:t>siete de junio de dos mil veintidós</w:t>
      </w:r>
      <w:r w:rsidRPr="00BE653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48632FC" w14:textId="77777777" w:rsidR="00412355" w:rsidRPr="00BE653B" w:rsidRDefault="00DF2EC2">
      <w:pPr>
        <w:spacing w:after="240" w:line="360" w:lineRule="auto"/>
        <w:jc w:val="both"/>
        <w:rPr>
          <w:rFonts w:ascii="Palatino Linotype" w:eastAsia="Palatino Linotype" w:hAnsi="Palatino Linotype" w:cs="Palatino Linotype"/>
          <w:b/>
        </w:rPr>
      </w:pPr>
      <w:r w:rsidRPr="00BE653B">
        <w:rPr>
          <w:rFonts w:ascii="Palatino Linotype" w:eastAsia="Palatino Linotype" w:hAnsi="Palatino Linotype" w:cs="Palatino Linotype"/>
          <w:b/>
        </w:rPr>
        <w:t>8. Ampliación del término para resolver</w:t>
      </w:r>
      <w:r w:rsidRPr="00BE653B">
        <w:rPr>
          <w:rFonts w:ascii="Palatino Linotype" w:eastAsia="Palatino Linotype" w:hAnsi="Palatino Linotype" w:cs="Palatino Linotype"/>
        </w:rPr>
        <w:t xml:space="preserve">. En fecha </w:t>
      </w:r>
      <w:r w:rsidRPr="00BE653B">
        <w:rPr>
          <w:rFonts w:ascii="Palatino Linotype" w:eastAsia="Palatino Linotype" w:hAnsi="Palatino Linotype" w:cs="Palatino Linotype"/>
          <w:b/>
        </w:rPr>
        <w:t>veintinueve de junio de dos mil veintidós</w:t>
      </w:r>
      <w:r w:rsidRPr="00BE653B">
        <w:rPr>
          <w:rFonts w:ascii="Palatino Linotype" w:eastAsia="Palatino Linotype" w:hAnsi="Palatino Linotype" w:cs="Palatino Linotype"/>
        </w:rPr>
        <w:t xml:space="preserve">, se amplió el término para resolver el recurso de revisión en términos del </w:t>
      </w:r>
      <w:r w:rsidRPr="00BE653B">
        <w:rPr>
          <w:rFonts w:ascii="Palatino Linotype" w:eastAsia="Palatino Linotype" w:hAnsi="Palatino Linotype" w:cs="Palatino Linotype"/>
        </w:rPr>
        <w:lastRenderedPageBreak/>
        <w:t>artículo 181 párrafo tercero de la Ley de Transparencia y Acceso a la Información Pública del Estado de México y Municipios.</w:t>
      </w:r>
    </w:p>
    <w:p w14:paraId="1B5ECE6F"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F22267B"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C2B1253"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6AEB99"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FDD005B" w14:textId="77777777" w:rsidR="00412355" w:rsidRPr="00BE653B" w:rsidRDefault="00DF2EC2">
      <w:pPr>
        <w:spacing w:before="240" w:after="240" w:line="360" w:lineRule="auto"/>
        <w:jc w:val="both"/>
        <w:rPr>
          <w:rFonts w:ascii="Palatino Linotype" w:eastAsia="Palatino Linotype" w:hAnsi="Palatino Linotype" w:cs="Palatino Linotype"/>
          <w:strike/>
        </w:rPr>
      </w:pPr>
      <w:r w:rsidRPr="00BE653B">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w:t>
      </w:r>
      <w:proofErr w:type="gramStart"/>
      <w:r w:rsidRPr="00BE653B">
        <w:rPr>
          <w:rFonts w:ascii="Palatino Linotype" w:eastAsia="Palatino Linotype" w:hAnsi="Palatino Linotype" w:cs="Palatino Linotype"/>
        </w:rPr>
        <w:t>su resolución atentos</w:t>
      </w:r>
      <w:proofErr w:type="gramEnd"/>
      <w:r w:rsidRPr="00BE653B">
        <w:rPr>
          <w:rFonts w:ascii="Palatino Linotype" w:eastAsia="Palatino Linotype" w:hAnsi="Palatino Linotype" w:cs="Palatino Linotype"/>
        </w:rPr>
        <w:t xml:space="preserve"> a los siguientes criterios: </w:t>
      </w:r>
    </w:p>
    <w:p w14:paraId="0C63909B" w14:textId="77777777" w:rsidR="00412355" w:rsidRPr="00BE653B" w:rsidRDefault="00DF2EC2">
      <w:pPr>
        <w:numPr>
          <w:ilvl w:val="0"/>
          <w:numId w:val="2"/>
        </w:num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2AF535D" w14:textId="77777777" w:rsidR="00412355" w:rsidRPr="00BE653B" w:rsidRDefault="00DF2EC2">
      <w:pPr>
        <w:numPr>
          <w:ilvl w:val="0"/>
          <w:numId w:val="2"/>
        </w:num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Actividad Procesal del interesado. Acciones u omisiones del interesado.</w:t>
      </w:r>
    </w:p>
    <w:p w14:paraId="7B1DF471" w14:textId="77777777" w:rsidR="00412355" w:rsidRPr="00BE653B" w:rsidRDefault="00DF2EC2">
      <w:pPr>
        <w:numPr>
          <w:ilvl w:val="0"/>
          <w:numId w:val="2"/>
        </w:num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Conducta de la Autoridad: Las Acciones u omisiones realizadas en el procedimiento. Así como si la autoridad actuó con la debida diligencia.</w:t>
      </w:r>
    </w:p>
    <w:p w14:paraId="47379533" w14:textId="77777777" w:rsidR="00412355" w:rsidRPr="00BE653B" w:rsidRDefault="00DF2EC2">
      <w:pPr>
        <w:spacing w:before="240" w:after="240" w:line="360" w:lineRule="auto"/>
        <w:ind w:left="567"/>
        <w:jc w:val="both"/>
        <w:rPr>
          <w:rFonts w:ascii="Palatino Linotype" w:eastAsia="Palatino Linotype" w:hAnsi="Palatino Linotype" w:cs="Palatino Linotype"/>
        </w:rPr>
      </w:pPr>
      <w:r w:rsidRPr="00BE653B">
        <w:rPr>
          <w:rFonts w:ascii="Palatino Linotype" w:eastAsia="Palatino Linotype" w:hAnsi="Palatino Linotype" w:cs="Palatino Linotype"/>
        </w:rPr>
        <w:t>d) La afectación generada en la situación jurídica de la persona involucrada en el proceso: Violación a sus derechos humanos.</w:t>
      </w:r>
    </w:p>
    <w:p w14:paraId="3A63B300"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D6C8F0" w14:textId="77777777" w:rsidR="00412355" w:rsidRPr="00BE653B" w:rsidRDefault="00DF2EC2">
      <w:pPr>
        <w:spacing w:before="240" w:after="240" w:line="360" w:lineRule="auto"/>
        <w:jc w:val="both"/>
        <w:rPr>
          <w:rFonts w:ascii="Palatino Linotype" w:eastAsia="Palatino Linotype" w:hAnsi="Palatino Linotype" w:cs="Palatino Linotype"/>
          <w:b/>
        </w:rPr>
      </w:pPr>
      <w:r w:rsidRPr="00BE653B">
        <w:rPr>
          <w:rFonts w:ascii="Palatino Linotype" w:eastAsia="Palatino Linotype" w:hAnsi="Palatino Linotype" w:cs="Palatino Linotype"/>
        </w:rPr>
        <w:t>Argumento que encuentra sustento en la jurisprudencia P</w:t>
      </w:r>
      <w:proofErr w:type="gramStart"/>
      <w:r w:rsidRPr="00BE653B">
        <w:rPr>
          <w:rFonts w:ascii="Palatino Linotype" w:eastAsia="Palatino Linotype" w:hAnsi="Palatino Linotype" w:cs="Palatino Linotype"/>
        </w:rPr>
        <w:t>./</w:t>
      </w:r>
      <w:proofErr w:type="gramEnd"/>
      <w:r w:rsidRPr="00BE653B">
        <w:rPr>
          <w:rFonts w:ascii="Palatino Linotype" w:eastAsia="Palatino Linotype" w:hAnsi="Palatino Linotype" w:cs="Palatino Linotype"/>
        </w:rPr>
        <w:t xml:space="preserve">J. 32/92 emitida por el Pleno de la Suprema Corte de Justicia de la Nación de rubro </w:t>
      </w:r>
      <w:r w:rsidRPr="00BE653B">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BE653B">
        <w:rPr>
          <w:rFonts w:ascii="Palatino Linotype" w:eastAsia="Palatino Linotype" w:hAnsi="Palatino Linotype" w:cs="Palatino Linotype"/>
          <w:i/>
        </w:rPr>
        <w:lastRenderedPageBreak/>
        <w:t>CARACTERÍSTICAS DEL CASO.”</w:t>
      </w:r>
      <w:r w:rsidRPr="00BE653B">
        <w:rPr>
          <w:rFonts w:ascii="Palatino Linotype" w:eastAsia="Palatino Linotype" w:hAnsi="Palatino Linotype" w:cs="Palatino Linotype"/>
        </w:rPr>
        <w:t>, visible en la Gaceta del Seminario Judicial de la Federación con el registro digital 205635.</w:t>
      </w:r>
    </w:p>
    <w:p w14:paraId="53E77308"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134DD8F"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424A71F" w14:textId="77777777" w:rsidR="00412355" w:rsidRPr="00BE653B" w:rsidRDefault="00DF2EC2">
      <w:pPr>
        <w:spacing w:before="240" w:after="240"/>
        <w:ind w:left="851" w:right="902"/>
        <w:jc w:val="both"/>
        <w:rPr>
          <w:rFonts w:ascii="Palatino Linotype" w:eastAsia="Palatino Linotype" w:hAnsi="Palatino Linotype" w:cs="Palatino Linotype"/>
          <w:sz w:val="22"/>
          <w:szCs w:val="22"/>
        </w:rPr>
      </w:pPr>
      <w:r w:rsidRPr="00BE653B">
        <w:rPr>
          <w:rFonts w:ascii="Palatino Linotype" w:eastAsia="Palatino Linotype" w:hAnsi="Palatino Linotype" w:cs="Palatino Linotype"/>
        </w:rPr>
        <w:t xml:space="preserve"> </w:t>
      </w: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PLAZO RAZONABLE PARA RESOLVER. DIMENSIÓN Y EFECTOS DE ESTE CONCEPTO CUANDO SE ADUCE EXCESIVA CARGA DE TRABAJO</w:t>
      </w: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sz w:val="22"/>
          <w:szCs w:val="22"/>
        </w:rPr>
        <w:t xml:space="preserve"> consultable en el Seminario Judicial de la Federación y su gaceta, con el registro digital 2002351.</w:t>
      </w:r>
    </w:p>
    <w:p w14:paraId="5D2C0097" w14:textId="77777777" w:rsidR="00412355" w:rsidRPr="00BE653B" w:rsidRDefault="00DF2EC2">
      <w:pPr>
        <w:spacing w:before="240" w:after="240"/>
        <w:ind w:left="851" w:right="902"/>
        <w:jc w:val="both"/>
        <w:rPr>
          <w:rFonts w:ascii="Palatino Linotype" w:eastAsia="Palatino Linotype" w:hAnsi="Palatino Linotype" w:cs="Palatino Linotype"/>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sz w:val="22"/>
          <w:szCs w:val="22"/>
        </w:rPr>
        <w:t>, visible en el Seminario Judicial de la Federación y su gaceta, con el registro digital 2002350.</w:t>
      </w:r>
    </w:p>
    <w:p w14:paraId="7C1F80C3"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5F9BA5DC"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136CDD9" w14:textId="77777777" w:rsidR="00412355" w:rsidRPr="00BE653B" w:rsidRDefault="00DF2EC2">
      <w:pPr>
        <w:widowControl w:val="0"/>
        <w:spacing w:line="360" w:lineRule="auto"/>
        <w:jc w:val="center"/>
        <w:rPr>
          <w:rFonts w:ascii="Palatino Linotype" w:eastAsia="Palatino Linotype" w:hAnsi="Palatino Linotype" w:cs="Palatino Linotype"/>
          <w:b/>
        </w:rPr>
      </w:pPr>
      <w:r w:rsidRPr="00BE653B">
        <w:rPr>
          <w:rFonts w:ascii="Palatino Linotype" w:eastAsia="Palatino Linotype" w:hAnsi="Palatino Linotype" w:cs="Palatino Linotype"/>
          <w:b/>
        </w:rPr>
        <w:t>II. C O N S I D E R A N D O S</w:t>
      </w:r>
    </w:p>
    <w:p w14:paraId="5E83F15F" w14:textId="77777777" w:rsidR="00412355" w:rsidRPr="00BE653B" w:rsidRDefault="00412355">
      <w:pPr>
        <w:widowControl w:val="0"/>
        <w:spacing w:line="360" w:lineRule="auto"/>
        <w:jc w:val="center"/>
        <w:rPr>
          <w:rFonts w:ascii="Palatino Linotype" w:eastAsia="Palatino Linotype" w:hAnsi="Palatino Linotype" w:cs="Palatino Linotype"/>
          <w:b/>
        </w:rPr>
      </w:pPr>
    </w:p>
    <w:p w14:paraId="06CFA6F3" w14:textId="77777777" w:rsidR="00412355" w:rsidRPr="00BE653B" w:rsidRDefault="00DF2EC2">
      <w:pPr>
        <w:spacing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b/>
        </w:rPr>
        <w:t>Primero. Competencia.</w:t>
      </w:r>
      <w:r w:rsidRPr="00BE653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7447F28" w14:textId="77777777" w:rsidR="00412355" w:rsidRPr="00BE653B" w:rsidRDefault="00DF2EC2">
      <w:pPr>
        <w:spacing w:before="240" w:after="240" w:line="360" w:lineRule="auto"/>
        <w:jc w:val="both"/>
        <w:rPr>
          <w:rFonts w:ascii="Palatino Linotype" w:eastAsia="Palatino Linotype" w:hAnsi="Palatino Linotype" w:cs="Palatino Linotype"/>
        </w:rPr>
      </w:pPr>
      <w:bookmarkStart w:id="1" w:name="_heading=h.tyjcwt" w:colFirst="0" w:colLast="0"/>
      <w:bookmarkEnd w:id="1"/>
      <w:r w:rsidRPr="00BE653B">
        <w:rPr>
          <w:rFonts w:ascii="Palatino Linotype" w:eastAsia="Palatino Linotype" w:hAnsi="Palatino Linotype" w:cs="Palatino Linotype"/>
          <w:b/>
        </w:rPr>
        <w:t xml:space="preserve">Segundo. Oportunidad y </w:t>
      </w:r>
      <w:proofErr w:type="spellStart"/>
      <w:r w:rsidRPr="00BE653B">
        <w:rPr>
          <w:rFonts w:ascii="Palatino Linotype" w:eastAsia="Palatino Linotype" w:hAnsi="Palatino Linotype" w:cs="Palatino Linotype"/>
          <w:b/>
        </w:rPr>
        <w:t>Procedibilidad</w:t>
      </w:r>
      <w:proofErr w:type="spellEnd"/>
      <w:r w:rsidRPr="00BE653B">
        <w:rPr>
          <w:rFonts w:ascii="Palatino Linotype" w:eastAsia="Palatino Linotype" w:hAnsi="Palatino Linotype" w:cs="Palatino Linotype"/>
          <w:b/>
        </w:rPr>
        <w:t xml:space="preserve"> del Recurso de Revisión</w:t>
      </w:r>
      <w:r w:rsidRPr="00BE653B">
        <w:rPr>
          <w:rFonts w:ascii="Palatino Linotype" w:eastAsia="Palatino Linotype" w:hAnsi="Palatino Linotype" w:cs="Palatino Linotype"/>
        </w:rPr>
        <w:t xml:space="preserve">. Previo al estudio del fondo del asunto, se procede a analizar los requisitos de oportunidad y </w:t>
      </w:r>
      <w:proofErr w:type="spellStart"/>
      <w:r w:rsidRPr="00BE653B">
        <w:rPr>
          <w:rFonts w:ascii="Palatino Linotype" w:eastAsia="Palatino Linotype" w:hAnsi="Palatino Linotype" w:cs="Palatino Linotype"/>
        </w:rPr>
        <w:t>procedibilidad</w:t>
      </w:r>
      <w:proofErr w:type="spellEnd"/>
      <w:r w:rsidRPr="00BE653B">
        <w:rPr>
          <w:rFonts w:ascii="Palatino Linotype" w:eastAsia="Palatino Linotype" w:hAnsi="Palatino Linotype" w:cs="Palatino Linotype"/>
        </w:rPr>
        <w:t xml:space="preserve"> que debe reunir el recurso de revisión interpuesto, previstos en los </w:t>
      </w:r>
      <w:r w:rsidRPr="00BE653B">
        <w:rPr>
          <w:rFonts w:ascii="Palatino Linotype" w:eastAsia="Palatino Linotype" w:hAnsi="Palatino Linotype" w:cs="Palatino Linotype"/>
        </w:rPr>
        <w:lastRenderedPageBreak/>
        <w:t>artículos 178 y 180 de la Ley de Transparencia y Acceso a la Información Pública del Estado de México y Municipios.</w:t>
      </w:r>
    </w:p>
    <w:p w14:paraId="49CF1B4A"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 xml:space="preserve">remitió la respuesta a la solicitud de información el día </w:t>
      </w:r>
      <w:r w:rsidRPr="00BE653B">
        <w:rPr>
          <w:rFonts w:ascii="Palatino Linotype" w:eastAsia="Palatino Linotype" w:hAnsi="Palatino Linotype" w:cs="Palatino Linotype"/>
          <w:b/>
        </w:rPr>
        <w:t xml:space="preserve">veintiocho de abril de dos mil veintidós, </w:t>
      </w:r>
      <w:r w:rsidRPr="00BE653B">
        <w:rPr>
          <w:rFonts w:ascii="Palatino Linotype" w:eastAsia="Palatino Linotype" w:hAnsi="Palatino Linotype" w:cs="Palatino Linotype"/>
        </w:rPr>
        <w:t xml:space="preserve">mientras que el recurso de revisión interpuesto por la parte </w:t>
      </w:r>
      <w:r w:rsidRPr="00BE653B">
        <w:rPr>
          <w:rFonts w:ascii="Palatino Linotype" w:eastAsia="Palatino Linotype" w:hAnsi="Palatino Linotype" w:cs="Palatino Linotype"/>
          <w:b/>
        </w:rPr>
        <w:t>Recurrente</w:t>
      </w:r>
      <w:r w:rsidRPr="00BE653B">
        <w:rPr>
          <w:rFonts w:ascii="Palatino Linotype" w:eastAsia="Palatino Linotype" w:hAnsi="Palatino Linotype" w:cs="Palatino Linotype"/>
        </w:rPr>
        <w:t xml:space="preserve">, se tuvo por presentado el día </w:t>
      </w:r>
      <w:r w:rsidRPr="00BE653B">
        <w:rPr>
          <w:rFonts w:ascii="Palatino Linotype" w:eastAsia="Palatino Linotype" w:hAnsi="Palatino Linotype" w:cs="Palatino Linotype"/>
          <w:b/>
        </w:rPr>
        <w:t>once de mayo de dos mil veintidós</w:t>
      </w:r>
      <w:r w:rsidRPr="00BE653B">
        <w:rPr>
          <w:rFonts w:ascii="Palatino Linotype" w:eastAsia="Palatino Linotype" w:hAnsi="Palatino Linotype" w:cs="Palatino Linotype"/>
        </w:rPr>
        <w:t>, esto es, al octavo día hábil posterior en que tuvo conocimiento de la respuesta impugnada.</w:t>
      </w:r>
    </w:p>
    <w:p w14:paraId="2956C618" w14:textId="77777777" w:rsidR="00412355" w:rsidRPr="00BE653B" w:rsidRDefault="00DF2EC2">
      <w:pPr>
        <w:spacing w:before="240" w:after="240" w:line="360" w:lineRule="auto"/>
        <w:jc w:val="both"/>
        <w:rPr>
          <w:rFonts w:ascii="Palatino Linotype" w:eastAsia="Palatino Linotype" w:hAnsi="Palatino Linotype" w:cs="Palatino Linotype"/>
        </w:rPr>
      </w:pPr>
      <w:bookmarkStart w:id="2" w:name="_heading=h.3znysh7" w:colFirst="0" w:colLast="0"/>
      <w:bookmarkEnd w:id="2"/>
      <w:r w:rsidRPr="00BE653B">
        <w:rPr>
          <w:rFonts w:ascii="Palatino Linotype" w:eastAsia="Palatino Linotype" w:hAnsi="Palatino Linotype" w:cs="Palatino Linotype"/>
        </w:rPr>
        <w:t xml:space="preserve">En este sentido, al considerar la fecha en que se formuló la solicitud y la fecha en que respondió a ésta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00FA42E4"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Así también, por cuanto hace a la </w:t>
      </w:r>
      <w:proofErr w:type="spellStart"/>
      <w:r w:rsidRPr="00BE653B">
        <w:rPr>
          <w:rFonts w:ascii="Palatino Linotype" w:eastAsia="Palatino Linotype" w:hAnsi="Palatino Linotype" w:cs="Palatino Linotype"/>
        </w:rPr>
        <w:t>procedibilidad</w:t>
      </w:r>
      <w:proofErr w:type="spellEnd"/>
      <w:r w:rsidRPr="00BE653B">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BE4D2D6"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Finalmente, se advierte que resulta procedente la interposición del recurso, según lo manifestado por la parte Recurrente en sus motivos de inconformidad, de acuerdo al artículo 179, fracciones V y IX del ordenamiento legal citado, que a la letra dice: </w:t>
      </w:r>
    </w:p>
    <w:p w14:paraId="34792373"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lastRenderedPageBreak/>
        <w:t>“</w:t>
      </w:r>
      <w:r w:rsidRPr="00BE653B">
        <w:rPr>
          <w:rFonts w:ascii="Palatino Linotype" w:eastAsia="Palatino Linotype" w:hAnsi="Palatino Linotype" w:cs="Palatino Linotype"/>
          <w:b/>
          <w:i/>
          <w:sz w:val="22"/>
          <w:szCs w:val="22"/>
        </w:rPr>
        <w:t>Artículo 179.</w:t>
      </w:r>
      <w:r w:rsidRPr="00BE653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651D19A" w14:textId="77777777" w:rsidR="00412355" w:rsidRPr="00BE653B" w:rsidRDefault="00DF2EC2">
      <w:pPr>
        <w:spacing w:before="120" w:after="120"/>
        <w:ind w:left="993"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w:t>
      </w:r>
    </w:p>
    <w:p w14:paraId="2BE2C279" w14:textId="77777777" w:rsidR="00412355" w:rsidRPr="00BE653B" w:rsidRDefault="00DF2EC2">
      <w:pPr>
        <w:spacing w:before="120" w:after="120"/>
        <w:ind w:left="993"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V</w:t>
      </w:r>
      <w:r w:rsidRPr="00BE653B">
        <w:rPr>
          <w:rFonts w:ascii="Palatino Linotype" w:eastAsia="Palatino Linotype" w:hAnsi="Palatino Linotype" w:cs="Palatino Linotype"/>
          <w:i/>
          <w:sz w:val="22"/>
          <w:szCs w:val="22"/>
        </w:rPr>
        <w:t>. La entrega de información incompleta;</w:t>
      </w:r>
    </w:p>
    <w:p w14:paraId="354B5CA9" w14:textId="77777777" w:rsidR="00412355" w:rsidRPr="00BE653B" w:rsidRDefault="00DF2EC2">
      <w:pPr>
        <w:spacing w:before="120" w:after="120"/>
        <w:ind w:left="993"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w:t>
      </w:r>
    </w:p>
    <w:p w14:paraId="272E802C" w14:textId="77777777" w:rsidR="00412355" w:rsidRPr="00BE653B" w:rsidRDefault="00DF2EC2">
      <w:pPr>
        <w:spacing w:before="120" w:after="120"/>
        <w:ind w:left="993"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 xml:space="preserve">IX. </w:t>
      </w:r>
      <w:r w:rsidRPr="00BE653B">
        <w:rPr>
          <w:rFonts w:ascii="Palatino Linotype" w:eastAsia="Palatino Linotype" w:hAnsi="Palatino Linotype" w:cs="Palatino Linotype"/>
          <w:i/>
          <w:sz w:val="22"/>
          <w:szCs w:val="22"/>
        </w:rPr>
        <w:t>La entrega o puesta a disposición de información en un formato incomprensible y/o no accesible para el solicitante</w:t>
      </w:r>
      <w:proofErr w:type="gramStart"/>
      <w:r w:rsidRPr="00BE653B">
        <w:rPr>
          <w:rFonts w:ascii="Palatino Linotype" w:eastAsia="Palatino Linotype" w:hAnsi="Palatino Linotype" w:cs="Palatino Linotype"/>
          <w:b/>
          <w:i/>
          <w:sz w:val="22"/>
          <w:szCs w:val="22"/>
        </w:rPr>
        <w:t>;</w:t>
      </w:r>
      <w:r w:rsidRPr="00BE653B">
        <w:rPr>
          <w:rFonts w:ascii="Palatino Linotype" w:eastAsia="Palatino Linotype" w:hAnsi="Palatino Linotype" w:cs="Palatino Linotype"/>
          <w:i/>
          <w:sz w:val="22"/>
          <w:szCs w:val="22"/>
        </w:rPr>
        <w:t>;”</w:t>
      </w:r>
      <w:proofErr w:type="gramEnd"/>
    </w:p>
    <w:p w14:paraId="3DF7DFBB" w14:textId="77777777" w:rsidR="00412355" w:rsidRPr="00BE653B" w:rsidRDefault="00DF2EC2">
      <w:pPr>
        <w:spacing w:before="280" w:after="28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b/>
        </w:rPr>
        <w:t xml:space="preserve">Tercero. Materia de la revisión. </w:t>
      </w:r>
      <w:r w:rsidRPr="00BE653B">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sidRPr="00BE653B">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BE653B">
        <w:rPr>
          <w:rFonts w:ascii="Palatino Linotype" w:eastAsia="Palatino Linotype" w:hAnsi="Palatino Linotype" w:cs="Palatino Linotype"/>
        </w:rPr>
        <w:t xml:space="preserve">de la parte </w:t>
      </w:r>
      <w:r w:rsidRPr="00BE653B">
        <w:rPr>
          <w:rFonts w:ascii="Palatino Linotype" w:eastAsia="Palatino Linotype" w:hAnsi="Palatino Linotype" w:cs="Palatino Linotype"/>
          <w:b/>
        </w:rPr>
        <w:t>Recurrente</w:t>
      </w:r>
      <w:r w:rsidRPr="00BE653B">
        <w:rPr>
          <w:rFonts w:ascii="Palatino Linotype" w:eastAsia="Palatino Linotype" w:hAnsi="Palatino Linotype" w:cs="Palatino Linotype"/>
        </w:rPr>
        <w:t>, o en su defecto, en caso de ser procedente, ordenar la entrega de información oportuna.</w:t>
      </w:r>
    </w:p>
    <w:p w14:paraId="694ECC8E" w14:textId="77777777" w:rsidR="00412355" w:rsidRPr="00BE653B" w:rsidRDefault="00DF2EC2">
      <w:pPr>
        <w:spacing w:before="240" w:after="240" w:line="360" w:lineRule="auto"/>
        <w:ind w:right="51"/>
        <w:jc w:val="both"/>
        <w:rPr>
          <w:rFonts w:ascii="Palatino Linotype" w:eastAsia="Palatino Linotype" w:hAnsi="Palatino Linotype" w:cs="Palatino Linotype"/>
        </w:rPr>
      </w:pPr>
      <w:bookmarkStart w:id="3" w:name="_heading=h.2et92p0" w:colFirst="0" w:colLast="0"/>
      <w:bookmarkEnd w:id="3"/>
      <w:r w:rsidRPr="00BE653B">
        <w:rPr>
          <w:rFonts w:ascii="Palatino Linotype" w:eastAsia="Palatino Linotype" w:hAnsi="Palatino Linotype" w:cs="Palatino Linotype"/>
          <w:b/>
        </w:rPr>
        <w:t xml:space="preserve">Cuarto. Estudio del asunto. </w:t>
      </w:r>
      <w:r w:rsidRPr="00BE653B">
        <w:rPr>
          <w:rFonts w:ascii="Palatino Linotype" w:eastAsia="Palatino Linotype" w:hAnsi="Palatino Linotype" w:cs="Palatino Linotype"/>
        </w:rPr>
        <w:t xml:space="preserve">Del análisis de la solicitud de información, motivo del recurso de revisión que ahora se resuelve se advierte que la parte </w:t>
      </w:r>
      <w:r w:rsidRPr="00BE653B">
        <w:rPr>
          <w:rFonts w:ascii="Palatino Linotype" w:eastAsia="Palatino Linotype" w:hAnsi="Palatino Linotype" w:cs="Palatino Linotype"/>
          <w:b/>
        </w:rPr>
        <w:t>Recurrente</w:t>
      </w:r>
      <w:r w:rsidRPr="00BE653B">
        <w:rPr>
          <w:rFonts w:ascii="Palatino Linotype" w:eastAsia="Palatino Linotype" w:hAnsi="Palatino Linotype" w:cs="Palatino Linotype"/>
        </w:rPr>
        <w:t xml:space="preserve"> requirió al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le proporcione, información consistente en lo siguiente:</w:t>
      </w:r>
    </w:p>
    <w:p w14:paraId="0F0A4DFD"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1. Personal adscrito a la Defensoría Municipal de los Derechos Humanos, nombre, cargo y estudios.</w:t>
      </w:r>
    </w:p>
    <w:p w14:paraId="195E93B1"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2. Presupuesto de la Defensoría Municipal de los Derechos Humanos</w:t>
      </w:r>
    </w:p>
    <w:p w14:paraId="5C54AA4A"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3. ¿La Defensoría Municipal de Derechos Humanos ha realizado alguna recomendación al gobierno municipal?</w:t>
      </w:r>
    </w:p>
    <w:p w14:paraId="3715D38B"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lastRenderedPageBreak/>
        <w:t xml:space="preserve">4. Monto de deuda del Ayuntamiento con la Comisión Federal de Electricidad. </w:t>
      </w:r>
    </w:p>
    <w:p w14:paraId="5B613C3C"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5. Copia de la factura de los gastos de la presidencia municipal desde el uno de enero al dieciocho de abril de 2022.</w:t>
      </w:r>
    </w:p>
    <w:p w14:paraId="3C50A13D"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6. De los pagos realizados para publicidad gubernamental, inserciones pagadas u otros relativos a medios de comunicación:</w:t>
      </w:r>
    </w:p>
    <w:p w14:paraId="7C467A06" w14:textId="77777777" w:rsidR="00412355" w:rsidRPr="00BE653B" w:rsidRDefault="00DF2EC2">
      <w:pPr>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6.1 Lista de las personas o empresas que los recibieron. </w:t>
      </w:r>
    </w:p>
    <w:p w14:paraId="36C4225B" w14:textId="77777777" w:rsidR="00412355" w:rsidRPr="00BE653B" w:rsidRDefault="00DF2EC2">
      <w:pPr>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6.2 Fecha de contrato en caso de existir, de cada uno.</w:t>
      </w:r>
    </w:p>
    <w:p w14:paraId="1D66BF5F" w14:textId="77777777" w:rsidR="00412355" w:rsidRPr="00BE653B" w:rsidRDefault="00DF2EC2">
      <w:pPr>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6.3 Motivo.</w:t>
      </w:r>
    </w:p>
    <w:p w14:paraId="09C86FD7" w14:textId="77777777" w:rsidR="00412355" w:rsidRPr="00BE653B" w:rsidRDefault="00DF2EC2">
      <w:pPr>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6.4 Monto.</w:t>
      </w:r>
    </w:p>
    <w:p w14:paraId="697733CA" w14:textId="77777777" w:rsidR="00412355" w:rsidRPr="00BE653B" w:rsidRDefault="00DF2EC2">
      <w:pPr>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6.5 Fecha de pago.</w:t>
      </w:r>
    </w:p>
    <w:p w14:paraId="1D0ABE6D" w14:textId="77777777" w:rsidR="00412355" w:rsidRPr="00BE653B" w:rsidRDefault="00DF2EC2">
      <w:pPr>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6.6 Modalidad.</w:t>
      </w:r>
    </w:p>
    <w:p w14:paraId="4038209B"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7. Expedientes de las licitaciones directas o con invitación a tres proveedores que incluya las actas de las empresas, desde el uno de enero al dieciocho de abril de 2022.</w:t>
      </w:r>
    </w:p>
    <w:p w14:paraId="4447BF50"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8. Telefonía local y móvil que se utiliza para el Ayuntamiento, costo mensual, servicio de conmutador, líneas telefónicas, aparatos celulares y de qué marca son, -especificar nombre de la compañía, representante legal y montos-.</w:t>
      </w:r>
    </w:p>
    <w:p w14:paraId="0F833436"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9. Sistema de Auditoría, Seguimiento y Control Financiero, con el que cuenta el Ayuntamiento.</w:t>
      </w:r>
    </w:p>
    <w:p w14:paraId="3776AE6B"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respuesta, la Unidad de Transparencia del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 xml:space="preserve">hizo del conocimiento de la persona solicitante que la información solicitada es una obligación común del Sujeto Obligado, conferida en el artículo 92 de la Ley de </w:t>
      </w:r>
      <w:r w:rsidRPr="00BE653B">
        <w:rPr>
          <w:rFonts w:ascii="Palatino Linotype" w:eastAsia="Palatino Linotype" w:hAnsi="Palatino Linotype" w:cs="Palatino Linotype"/>
        </w:rPr>
        <w:lastRenderedPageBreak/>
        <w:t xml:space="preserve">Transparencia y Acceso a la Información Pública del Estado de México, sugiriendo consultar la información en la página web de la Información Pública de Oficio de los Sujetos Obligados del Estado de México y Municipios, concretamente en la liga: </w:t>
      </w:r>
      <w:hyperlink r:id="rId10">
        <w:r w:rsidRPr="00BE653B">
          <w:rPr>
            <w:rFonts w:ascii="Palatino Linotype" w:eastAsia="Palatino Linotype" w:hAnsi="Palatino Linotype" w:cs="Palatino Linotype"/>
            <w:i/>
            <w:sz w:val="22"/>
            <w:szCs w:val="22"/>
            <w:u w:val="single"/>
          </w:rPr>
          <w:t>https://www.ipomex.org.mx/ipo3/lgt/indice/METEPEC/art_92_xxv_a.web</w:t>
        </w:r>
      </w:hyperlink>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rPr>
        <w:t>Asimismo, refirió que las obligaciones comunes y específicas se encontraban en etapa de actualización de la información del 1º trimestre del año en curso, por lo que la misma podría ser revisada una vez actualizado el periodo correspondiente.</w:t>
      </w:r>
    </w:p>
    <w:p w14:paraId="5F0E1E8E" w14:textId="77777777" w:rsidR="00412355" w:rsidRPr="00BE653B" w:rsidRDefault="00DF2EC2">
      <w:pPr>
        <w:spacing w:before="240" w:after="240" w:line="360" w:lineRule="auto"/>
        <w:jc w:val="both"/>
        <w:rPr>
          <w:rFonts w:ascii="Palatino Linotype" w:eastAsia="Palatino Linotype" w:hAnsi="Palatino Linotype" w:cs="Palatino Linotype"/>
          <w:sz w:val="28"/>
          <w:szCs w:val="28"/>
        </w:rPr>
      </w:pPr>
      <w:r w:rsidRPr="00BE653B">
        <w:rPr>
          <w:rFonts w:ascii="Palatino Linotype" w:eastAsia="Palatino Linotype" w:hAnsi="Palatino Linotype" w:cs="Palatino Linotype"/>
        </w:rPr>
        <w:t xml:space="preserve">Bajo tales argumentos, el particular, al no estar conforme con los términos de los mismos, presentó el recurso de revisión que nos ocupa, mediante el cual señaló, en lo medular, que la respuesta incumplía con lo previsto en los artículos 53, fracción V, 92, 160 y 177, de la Ley de Transparencia, asimismo, que incurría en las causas de incumplimiento de las obligaciones establecidas en la misma Ley, en el artículo 222, fracciones III y X. </w:t>
      </w:r>
    </w:p>
    <w:p w14:paraId="3BB705B4"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Una vez admitido el recurso de revisión, en términos del artículo 185 fracción II</w:t>
      </w:r>
      <w:r w:rsidRPr="00BE653B">
        <w:rPr>
          <w:rFonts w:ascii="Palatino Linotype" w:eastAsia="Palatino Linotype" w:hAnsi="Palatino Linotype" w:cs="Palatino Linotype"/>
          <w:vertAlign w:val="superscript"/>
        </w:rPr>
        <w:footnoteReference w:id="1"/>
      </w:r>
      <w:r w:rsidRPr="00BE653B">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w:t>
      </w:r>
    </w:p>
    <w:p w14:paraId="7762953E" w14:textId="77777777" w:rsidR="00412355" w:rsidRPr="00BE653B" w:rsidRDefault="00DF2EC2">
      <w:pPr>
        <w:spacing w:before="280" w:after="28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esta tesitura, es conveniente resaltar que la Ley de Transparencia de la Entidad, señala expresamente que toda la información generada, administrada o en posesión de los Sujetos Obligados derivado del ejercicio de sus atribuciones debe ser accesible </w:t>
      </w:r>
      <w:r w:rsidRPr="00BE653B">
        <w:rPr>
          <w:rFonts w:ascii="Palatino Linotype" w:eastAsia="Palatino Linotype" w:hAnsi="Palatino Linotype" w:cs="Palatino Linotype"/>
        </w:rPr>
        <w:lastRenderedPageBreak/>
        <w:t>de manera permanente a cualquier persona, ello en privilegio del principio de máxima publicidad, en razón de que tiene el carácter de ser pública, tal y como se lee a continuación:</w:t>
      </w:r>
    </w:p>
    <w:p w14:paraId="1C0456F9" w14:textId="77777777" w:rsidR="00412355" w:rsidRPr="00BE653B" w:rsidRDefault="00DF2EC2">
      <w:pPr>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Artículo 4.</w:t>
      </w:r>
      <w:r w:rsidRPr="00BE653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D895436" w14:textId="77777777" w:rsidR="00412355" w:rsidRPr="00BE653B" w:rsidRDefault="00DF2EC2">
      <w:pPr>
        <w:ind w:left="851" w:right="900"/>
        <w:jc w:val="both"/>
        <w:rPr>
          <w:rFonts w:ascii="Palatino Linotype" w:eastAsia="Palatino Linotype" w:hAnsi="Palatino Linotype" w:cs="Palatino Linotype"/>
        </w:rPr>
      </w:pPr>
      <w:r w:rsidRPr="00BE653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E653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8709FF1" w14:textId="77777777" w:rsidR="00412355" w:rsidRPr="00BE653B" w:rsidRDefault="00DF2EC2">
      <w:pPr>
        <w:spacing w:before="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3B4B200" w14:textId="77777777" w:rsidR="00412355" w:rsidRPr="00BE653B" w:rsidRDefault="00DF2EC2">
      <w:pPr>
        <w:spacing w:after="24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12</w:t>
      </w:r>
      <w:r w:rsidRPr="00BE653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61D6E7C" w14:textId="77777777" w:rsidR="00412355" w:rsidRPr="00BE653B" w:rsidRDefault="00DF2EC2">
      <w:pPr>
        <w:spacing w:before="240" w:after="24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22465A3"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Lo anterior, refiere a que el derecho de acceso a la información pública se satisface en aquellos casos en que se entregue el documento en que conste la información </w:t>
      </w:r>
      <w:r w:rsidRPr="00BE653B">
        <w:rPr>
          <w:rFonts w:ascii="Palatino Linotype" w:eastAsia="Palatino Linotype" w:hAnsi="Palatino Linotype" w:cs="Palatino Linotype"/>
        </w:rPr>
        <w:lastRenderedPageBreak/>
        <w:t>pública, toda vez que, los Sujetos Obligados</w:t>
      </w:r>
      <w:r w:rsidRPr="00BE653B">
        <w:rPr>
          <w:rFonts w:ascii="Palatino Linotype" w:eastAsia="Palatino Linotype" w:hAnsi="Palatino Linotype" w:cs="Palatino Linotype"/>
          <w:b/>
        </w:rPr>
        <w:t xml:space="preserve"> </w:t>
      </w:r>
      <w:r w:rsidRPr="00BE653B">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BE653B">
        <w:rPr>
          <w:rFonts w:ascii="Palatino Linotype" w:eastAsia="Palatino Linotype" w:hAnsi="Palatino Linotype" w:cs="Palatino Linotype"/>
          <w:i/>
        </w:rPr>
        <w:t>ad hoc</w:t>
      </w:r>
      <w:r w:rsidRPr="00BE653B">
        <w:rPr>
          <w:rFonts w:ascii="Palatino Linotype" w:eastAsia="Palatino Linotype" w:hAnsi="Palatino Linotype" w:cs="Palatino Linotype"/>
        </w:rPr>
        <w:t>, para satisfacer el derecho de acceso a la información pública.</w:t>
      </w:r>
    </w:p>
    <w:p w14:paraId="195BE8D9"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Aunado a ello el artículo 24 de la Ley de la materia</w:t>
      </w:r>
      <w:r w:rsidRPr="00BE653B">
        <w:rPr>
          <w:rFonts w:ascii="Palatino Linotype" w:eastAsia="Palatino Linotype" w:hAnsi="Palatino Linotype" w:cs="Palatino Linotype"/>
          <w:vertAlign w:val="superscript"/>
        </w:rPr>
        <w:footnoteReference w:id="2"/>
      </w:r>
      <w:r w:rsidRPr="00BE653B">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6007D02"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BE653B">
        <w:rPr>
          <w:rFonts w:ascii="Palatino Linotype" w:eastAsia="Palatino Linotype" w:hAnsi="Palatino Linotype" w:cs="Palatino Linotype"/>
          <w:b/>
        </w:rPr>
        <w:t>cualquier otro registro que documente el ejercicio de las facultades, funciones y competencias de los Sujetos Obligados</w:t>
      </w:r>
      <w:r w:rsidRPr="00BE653B">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0BC8AE11" w14:textId="77777777" w:rsidR="00412355" w:rsidRPr="00BE653B" w:rsidRDefault="00DF2EC2">
      <w:pPr>
        <w:ind w:left="851" w:right="899"/>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 xml:space="preserve">Artículo 3. </w:t>
      </w:r>
      <w:r w:rsidRPr="00BE653B">
        <w:rPr>
          <w:rFonts w:ascii="Palatino Linotype" w:eastAsia="Palatino Linotype" w:hAnsi="Palatino Linotype" w:cs="Palatino Linotype"/>
          <w:i/>
          <w:sz w:val="22"/>
          <w:szCs w:val="22"/>
        </w:rPr>
        <w:t>Para los efectos de la presente Ley se entenderá por:</w:t>
      </w:r>
    </w:p>
    <w:p w14:paraId="2CCA6ADD" w14:textId="77777777" w:rsidR="00412355" w:rsidRPr="00BE653B" w:rsidRDefault="00DF2EC2">
      <w:pPr>
        <w:ind w:left="1134" w:right="899"/>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
    <w:p w14:paraId="6C726BF6" w14:textId="77777777" w:rsidR="00412355" w:rsidRPr="00BE653B" w:rsidRDefault="00DF2EC2">
      <w:pPr>
        <w:ind w:left="1134" w:right="899"/>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XI. Documento:</w:t>
      </w:r>
      <w:r w:rsidRPr="00BE653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w:t>
      </w:r>
      <w:r w:rsidRPr="00BE653B">
        <w:rPr>
          <w:rFonts w:ascii="Palatino Linotype" w:eastAsia="Palatino Linotype" w:hAnsi="Palatino Linotype" w:cs="Palatino Linotype"/>
          <w:i/>
          <w:sz w:val="22"/>
          <w:szCs w:val="22"/>
        </w:rPr>
        <w:lastRenderedPageBreak/>
        <w:t>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E653B">
        <w:rPr>
          <w:rFonts w:ascii="Palatino Linotype" w:eastAsia="Palatino Linotype" w:hAnsi="Palatino Linotype" w:cs="Palatino Linotype"/>
          <w:b/>
          <w:i/>
          <w:sz w:val="22"/>
          <w:szCs w:val="22"/>
        </w:rPr>
        <w:t>…</w:t>
      </w:r>
      <w:r w:rsidRPr="00BE653B">
        <w:rPr>
          <w:rFonts w:ascii="Palatino Linotype" w:eastAsia="Palatino Linotype" w:hAnsi="Palatino Linotype" w:cs="Palatino Linotype"/>
          <w:i/>
          <w:sz w:val="22"/>
          <w:szCs w:val="22"/>
        </w:rPr>
        <w:t>”</w:t>
      </w:r>
    </w:p>
    <w:p w14:paraId="7CA4A7BC" w14:textId="77777777" w:rsidR="00412355" w:rsidRPr="00BE653B" w:rsidRDefault="00412355">
      <w:pPr>
        <w:ind w:left="851" w:right="899"/>
        <w:jc w:val="both"/>
        <w:rPr>
          <w:rFonts w:ascii="Palatino Linotype" w:eastAsia="Palatino Linotype" w:hAnsi="Palatino Linotype" w:cs="Palatino Linotype"/>
          <w:sz w:val="22"/>
          <w:szCs w:val="22"/>
        </w:rPr>
      </w:pPr>
    </w:p>
    <w:p w14:paraId="53C3E2BD" w14:textId="77777777" w:rsidR="00412355" w:rsidRPr="00BE653B" w:rsidRDefault="00DF2EC2">
      <w:pPr>
        <w:spacing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CDE47DA" w14:textId="77777777" w:rsidR="00412355" w:rsidRPr="00BE653B" w:rsidRDefault="00DF2EC2">
      <w:pPr>
        <w:spacing w:before="120" w:after="120"/>
        <w:ind w:left="851"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sz w:val="22"/>
          <w:szCs w:val="22"/>
        </w:rPr>
        <w:t>“</w:t>
      </w:r>
      <w:r w:rsidRPr="00BE653B">
        <w:rPr>
          <w:rFonts w:ascii="Palatino Linotype" w:eastAsia="Palatino Linotype" w:hAnsi="Palatino Linotype" w:cs="Palatino Linotype"/>
          <w:b/>
          <w:i/>
          <w:sz w:val="22"/>
          <w:szCs w:val="22"/>
        </w:rPr>
        <w:t>CRITERIO 0002-11</w:t>
      </w:r>
    </w:p>
    <w:p w14:paraId="16772BD9"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E653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D9D967"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4763FC0" w14:textId="77777777" w:rsidR="00412355" w:rsidRPr="00BE653B" w:rsidRDefault="00DF2EC2">
      <w:pPr>
        <w:spacing w:before="120" w:after="120"/>
        <w:ind w:left="1134"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1) Que se trate de información registrada en cualquier soporte documental, que en ejercicio de las atribuciones conferidas, sea generada por los Sujetos Obligados;</w:t>
      </w:r>
    </w:p>
    <w:p w14:paraId="277881FE"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551FAD90"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3B52414F" w14:textId="77777777" w:rsidR="00412355" w:rsidRPr="00BE653B" w:rsidRDefault="00DF2EC2">
      <w:pPr>
        <w:spacing w:before="240" w:after="240" w:line="360" w:lineRule="auto"/>
        <w:ind w:right="49"/>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rPr>
        <w:lastRenderedPageBreak/>
        <w:t xml:space="preserve">Acotado lo anterior, recordemos que en atención a la solicitud de información, el Titular de la Unidad de Transparencia refirió que la información, al ser una obligación común de transparencia, se encontraba disponible para su consulta en la dirección electrónica: </w:t>
      </w:r>
      <w:hyperlink r:id="rId11">
        <w:r w:rsidRPr="00BE653B">
          <w:rPr>
            <w:rFonts w:ascii="Palatino Linotype" w:eastAsia="Palatino Linotype" w:hAnsi="Palatino Linotype" w:cs="Palatino Linotype"/>
            <w:i/>
            <w:sz w:val="22"/>
            <w:szCs w:val="22"/>
            <w:u w:val="single"/>
          </w:rPr>
          <w:t>https://www.ipomex.org.mx/ipo3/lgt/indice/METEPEC/art_92_xxv_a.web</w:t>
        </w:r>
      </w:hyperlink>
      <w:r w:rsidRPr="00BE653B">
        <w:rPr>
          <w:rFonts w:ascii="Palatino Linotype" w:eastAsia="Palatino Linotype" w:hAnsi="Palatino Linotype" w:cs="Palatino Linotype"/>
          <w:i/>
          <w:sz w:val="22"/>
          <w:szCs w:val="22"/>
        </w:rPr>
        <w:t xml:space="preserve">. </w:t>
      </w:r>
    </w:p>
    <w:p w14:paraId="5DA03EED"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En tal sentido, debemos traer a colación el contenido del artículo 161</w:t>
      </w:r>
      <w:r w:rsidRPr="00BE653B">
        <w:rPr>
          <w:rFonts w:ascii="Palatino Linotype" w:eastAsia="Palatino Linotype" w:hAnsi="Palatino Linotype" w:cs="Palatino Linotype"/>
          <w:vertAlign w:val="superscript"/>
        </w:rPr>
        <w:footnoteReference w:id="3"/>
      </w:r>
      <w:r w:rsidRPr="00BE653B">
        <w:rPr>
          <w:rFonts w:ascii="Palatino Linotype" w:eastAsia="Palatino Linotype" w:hAnsi="Palatino Linotype" w:cs="Palatino Linotype"/>
        </w:rPr>
        <w:t xml:space="preserve"> de la Ley de Transparencia y Acceso a la Información Pública del Estado de México y Municipios</w:t>
      </w:r>
      <w:r w:rsidRPr="00BE653B">
        <w:rPr>
          <w:rFonts w:ascii="Palatino Linotype" w:eastAsia="Palatino Linotype" w:hAnsi="Palatino Linotype" w:cs="Palatino Linotype"/>
          <w:i/>
        </w:rPr>
        <w:t xml:space="preserve">, </w:t>
      </w:r>
      <w:r w:rsidRPr="00BE653B">
        <w:rPr>
          <w:rFonts w:ascii="Palatino Linotype" w:eastAsia="Palatino Linotype" w:hAnsi="Palatino Linotype" w:cs="Palatino Linotype"/>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79AF205" w14:textId="77777777" w:rsidR="00412355" w:rsidRPr="00BE653B" w:rsidRDefault="00DF2EC2">
      <w:pPr>
        <w:spacing w:before="120" w:after="120" w:line="276"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a) La fuente</w:t>
      </w:r>
    </w:p>
    <w:p w14:paraId="3E43A78C" w14:textId="77777777" w:rsidR="00412355" w:rsidRPr="00BE653B" w:rsidRDefault="00DF2EC2">
      <w:pPr>
        <w:spacing w:before="120" w:after="120" w:line="276"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b) El lugar y</w:t>
      </w:r>
    </w:p>
    <w:p w14:paraId="447F77C2" w14:textId="77777777" w:rsidR="00412355" w:rsidRPr="00BE653B" w:rsidRDefault="00DF2EC2">
      <w:pPr>
        <w:spacing w:before="120" w:after="120" w:line="276"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c) La forma</w:t>
      </w:r>
    </w:p>
    <w:p w14:paraId="69221568"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Asimismo, se establece que la fuente de la información deberá ser:</w:t>
      </w:r>
    </w:p>
    <w:p w14:paraId="5B9C1F01" w14:textId="77777777" w:rsidR="00412355" w:rsidRPr="00BE653B" w:rsidRDefault="00DF2EC2">
      <w:pPr>
        <w:spacing w:before="120" w:after="120" w:line="276"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a) Precisa</w:t>
      </w:r>
    </w:p>
    <w:p w14:paraId="0F5E5C9B" w14:textId="77777777" w:rsidR="00412355" w:rsidRPr="00BE653B" w:rsidRDefault="00DF2EC2">
      <w:pPr>
        <w:spacing w:before="120" w:after="120" w:line="276"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b) Concreta</w:t>
      </w:r>
    </w:p>
    <w:p w14:paraId="321367B9" w14:textId="77777777" w:rsidR="00412355" w:rsidRPr="00BE653B" w:rsidRDefault="00DF2EC2">
      <w:pPr>
        <w:spacing w:before="120" w:after="120" w:line="276"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lastRenderedPageBreak/>
        <w:t>c) Y no debe implicar que el solicitante realice una búsqueda en toda la información que se encuentre disponible.</w:t>
      </w:r>
    </w:p>
    <w:p w14:paraId="2D7EEDA3"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Imperativos legales que establecen el procedimiento que deben seguir los Sujetos Obligados para que pueda tomarse como válida su orientación sobre la forma en que puede consultar la información requerida.</w:t>
      </w:r>
    </w:p>
    <w:p w14:paraId="796F605A"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Derivado de lo anterior, este Organismo Garante procedió a consultar la información contenida en la página electrónica proporcionada por el Sujeto Obligado, en la que se observa lo siguiente:</w:t>
      </w:r>
    </w:p>
    <w:p w14:paraId="40D04A3E" w14:textId="77777777" w:rsidR="00412355" w:rsidRPr="00BE653B" w:rsidRDefault="00DF2EC2">
      <w:pPr>
        <w:spacing w:before="240" w:after="240" w:line="360" w:lineRule="auto"/>
        <w:ind w:right="49"/>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2F7C5AED" wp14:editId="50B8F569">
            <wp:extent cx="4500000" cy="4117340"/>
            <wp:effectExtent l="0" t="0" r="0" b="0"/>
            <wp:docPr id="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500000" cy="4117340"/>
                    </a:xfrm>
                    <a:prstGeom prst="rect">
                      <a:avLst/>
                    </a:prstGeom>
                    <a:ln/>
                  </pic:spPr>
                </pic:pic>
              </a:graphicData>
            </a:graphic>
          </wp:inline>
        </w:drawing>
      </w:r>
    </w:p>
    <w:p w14:paraId="11BCF595"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lastRenderedPageBreak/>
        <w:t xml:space="preserve">Como se advierte la dirección electrónica proporcionada dirige al portal de Información pública de Oficio Mexiquense, IPOMEX, concretamente a la información publicada en cumplimiento a la obligación de transparencia prevista en la fracción XXV apartado A del artículo 92 de la Ley de Transparencia y Acceso a la Información Pública del Estado de México y Municipios, donde se localiza el presupuesto asignado, no obstante, además de que la fuente proporcionada no es precisa ni concreta, pues implica que el particular realice una búsqueda en toda la información que se encuentre disponible en la página electrónica proporcionada, en virtud de que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omitió señalar concretamente el procedimiento mediante el cual podía obtener la información que es de su interés, toda vez que se limitó a  entregar únicamente el link y señaló que la información se encontraba en proceso de actualización respecto del 1er trimestre del ejercicio en curso, en consecuencia, podría ser revisada concluyendo dicho periodo de actualización.</w:t>
      </w:r>
    </w:p>
    <w:p w14:paraId="19260C6E"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Aunado a lo anterior, es imprescindible traer a colación el contenido del precepto legal citado, a saber:</w:t>
      </w:r>
    </w:p>
    <w:p w14:paraId="63B78D62"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Artículo 92</w:t>
      </w:r>
      <w:r w:rsidRPr="00BE653B">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3B7D600"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
    <w:p w14:paraId="0E9978F9"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XXV.</w:t>
      </w:r>
      <w:r w:rsidRPr="00BE653B">
        <w:rPr>
          <w:rFonts w:ascii="Palatino Linotype" w:eastAsia="Palatino Linotype" w:hAnsi="Palatino Linotype" w:cs="Palatino Linotype"/>
          <w:i/>
          <w:sz w:val="22"/>
          <w:szCs w:val="22"/>
        </w:rPr>
        <w:t xml:space="preserve"> La </w:t>
      </w:r>
      <w:r w:rsidRPr="00BE653B">
        <w:rPr>
          <w:rFonts w:ascii="Palatino Linotype" w:eastAsia="Palatino Linotype" w:hAnsi="Palatino Linotype" w:cs="Palatino Linotype"/>
          <w:b/>
          <w:i/>
          <w:sz w:val="22"/>
          <w:szCs w:val="22"/>
        </w:rPr>
        <w:t>información financiera sobre el presupuesto asignado</w:t>
      </w:r>
      <w:r w:rsidRPr="00BE653B">
        <w:rPr>
          <w:rFonts w:ascii="Palatino Linotype" w:eastAsia="Palatino Linotype" w:hAnsi="Palatino Linotype" w:cs="Palatino Linotype"/>
          <w:i/>
          <w:sz w:val="22"/>
          <w:szCs w:val="22"/>
        </w:rPr>
        <w:t xml:space="preserve">, así como los </w:t>
      </w:r>
      <w:r w:rsidRPr="00BE653B">
        <w:rPr>
          <w:rFonts w:ascii="Palatino Linotype" w:eastAsia="Palatino Linotype" w:hAnsi="Palatino Linotype" w:cs="Palatino Linotype"/>
          <w:b/>
          <w:i/>
          <w:sz w:val="22"/>
          <w:szCs w:val="22"/>
        </w:rPr>
        <w:t>informes del ejercicio trimestral del gasto</w:t>
      </w:r>
      <w:r w:rsidRPr="00BE653B">
        <w:rPr>
          <w:rFonts w:ascii="Palatino Linotype" w:eastAsia="Palatino Linotype" w:hAnsi="Palatino Linotype" w:cs="Palatino Linotype"/>
          <w:i/>
          <w:sz w:val="22"/>
          <w:szCs w:val="22"/>
        </w:rPr>
        <w:t>, en términos de la Ley General de Contabilidad Gubernamental y demás disposiciones jurídicas aplicables;”</w:t>
      </w:r>
    </w:p>
    <w:p w14:paraId="30C29A10"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lastRenderedPageBreak/>
        <w:t xml:space="preserve">Como se advierte, la obligación de transparencia a la que se acogió el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además del presupuesto asignado, también contempla la publicación de la información financiera, así como el ejercicio de los egresos presupuestarios, sin embargo, no fue proporcionada la dirección electrónica en la que se advierte la dicha información.</w:t>
      </w:r>
    </w:p>
    <w:p w14:paraId="349D14BB"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este orden de ideas, es claro que la información proporcionada por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es insuficiente para tener por satisfecho el derecho de acceso a la información accionado por la persona solicitante, pues en términos del artículo 166, párrafo primero de la Ley de Transparencia Local, la obligación de acceso a la información pública se tendrá por cumplida cuando el solicitante tenga a su disposición la información requerida, o cuando realice la consulta de la misma en el lugar en el que ésta se localice, situación que en el presente caso no ha acontecido por las razones expuestas.</w:t>
      </w:r>
    </w:p>
    <w:p w14:paraId="09311743"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Siguiendo con el análisis, resulta de suma importancia invocar el contenido de los artículos 162, 163, 164 y 165 de la Ley de Transparencia y Acceso a la Información Pública del Estado de México y Municipios, a saber:</w:t>
      </w:r>
    </w:p>
    <w:p w14:paraId="3B562A33" w14:textId="77777777" w:rsidR="00412355" w:rsidRPr="00BE653B" w:rsidRDefault="00DF2EC2">
      <w:pPr>
        <w:spacing w:after="120"/>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162.</w:t>
      </w:r>
      <w:r w:rsidRPr="00BE653B">
        <w:rPr>
          <w:rFonts w:ascii="Palatino Linotype" w:eastAsia="Palatino Linotype" w:hAnsi="Palatino Linotype" w:cs="Palatino Linotype"/>
          <w:i/>
          <w:sz w:val="22"/>
          <w:szCs w:val="22"/>
        </w:rPr>
        <w:t xml:space="preserve"> Las unidades de transparencia </w:t>
      </w:r>
      <w:r w:rsidRPr="00BE653B">
        <w:rPr>
          <w:rFonts w:ascii="Palatino Linotype" w:eastAsia="Palatino Linotype" w:hAnsi="Palatino Linotype" w:cs="Palatino Linotype"/>
          <w:b/>
          <w:i/>
          <w:sz w:val="22"/>
          <w:szCs w:val="22"/>
        </w:rPr>
        <w:t>deberán garantizar que las solicitudes se turnen a todas las Áreas competentes que cuenten con la información o deban tenerla de acuerdo a sus facultades, competencias y funciones</w:t>
      </w:r>
      <w:r w:rsidRPr="00BE653B">
        <w:rPr>
          <w:rFonts w:ascii="Palatino Linotype" w:eastAsia="Palatino Linotype" w:hAnsi="Palatino Linotype" w:cs="Palatino Linotype"/>
          <w:i/>
          <w:sz w:val="22"/>
          <w:szCs w:val="22"/>
        </w:rPr>
        <w:t xml:space="preserve">, con el objeto de que realicen una búsqueda exhaustiva y razonable de la información solicitada.  </w:t>
      </w:r>
    </w:p>
    <w:p w14:paraId="739DBD97" w14:textId="77777777" w:rsidR="00412355" w:rsidRPr="00BE653B" w:rsidRDefault="00DF2EC2">
      <w:pPr>
        <w:spacing w:after="120"/>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163.</w:t>
      </w:r>
      <w:r w:rsidRPr="00BE653B">
        <w:rPr>
          <w:rFonts w:ascii="Palatino Linotype" w:eastAsia="Palatino Linotype" w:hAnsi="Palatino Linotype" w:cs="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057F4C9C" w14:textId="77777777" w:rsidR="00412355" w:rsidRPr="00BE653B" w:rsidRDefault="00DF2EC2">
      <w:pPr>
        <w:spacing w:after="120"/>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w:t>
      </w:r>
      <w:r w:rsidRPr="00BE653B">
        <w:rPr>
          <w:rFonts w:ascii="Palatino Linotype" w:eastAsia="Palatino Linotype" w:hAnsi="Palatino Linotype" w:cs="Palatino Linotype"/>
          <w:i/>
          <w:sz w:val="22"/>
          <w:szCs w:val="22"/>
        </w:rPr>
        <w:lastRenderedPageBreak/>
        <w:t xml:space="preserve">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7FAAAECC" w14:textId="77777777" w:rsidR="00412355" w:rsidRPr="00BE653B" w:rsidRDefault="00DF2EC2">
      <w:pPr>
        <w:spacing w:after="120"/>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164.</w:t>
      </w:r>
      <w:r w:rsidRPr="00BE653B">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5200B5CE" w14:textId="77777777" w:rsidR="00412355" w:rsidRPr="00BE653B" w:rsidRDefault="00DF2EC2">
      <w:pPr>
        <w:spacing w:after="120"/>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 xml:space="preserve">En cualquier caso, se deberá fundar y motivar la necesidad de ofrecer otras modalidades.  </w:t>
      </w:r>
    </w:p>
    <w:p w14:paraId="004B76AF" w14:textId="77777777" w:rsidR="00412355" w:rsidRPr="00BE653B" w:rsidRDefault="00DF2EC2">
      <w:pPr>
        <w:spacing w:after="120"/>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165.</w:t>
      </w:r>
      <w:r w:rsidRPr="00BE653B">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6A14B8B1"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37FE4315"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Siendo la Unidad de Transparencia la responsable de hacer las notificaciones correspondientes, además de llevar a </w:t>
      </w:r>
      <w:proofErr w:type="gramStart"/>
      <w:r w:rsidRPr="00BE653B">
        <w:rPr>
          <w:rFonts w:ascii="Palatino Linotype" w:eastAsia="Palatino Linotype" w:hAnsi="Palatino Linotype" w:cs="Palatino Linotype"/>
        </w:rPr>
        <w:t>cabo todas</w:t>
      </w:r>
      <w:proofErr w:type="gramEnd"/>
      <w:r w:rsidRPr="00BE653B">
        <w:rPr>
          <w:rFonts w:ascii="Palatino Linotype" w:eastAsia="Palatino Linotype" w:hAnsi="Palatino Linotype" w:cs="Palatino Linotype"/>
        </w:rPr>
        <w:t xml:space="preserve"> las gestiones necesarias para facilitar el acceso a la información; así la respuesta deberá ser notificada al interesado en el menor tiempo posible, que no podrá exceder de quince días hábiles, contados a partir de la presentación de la solicitud.</w:t>
      </w:r>
    </w:p>
    <w:p w14:paraId="30604A42"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En el caso concreto, derivado de las constancias que obran en el expediente en el que se actúa, no se advierte que el Titular de la Unidad de Transparencia, hubiera turnado la solicitud de información a las áreas que de acuerdo con sus atribuciones, competencias o funciones, pudieran haber generado, administren o posean la información, como se muestra a continuación:</w:t>
      </w:r>
    </w:p>
    <w:p w14:paraId="790D8058"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noProof/>
          <w:lang w:val="es-MX"/>
        </w:rPr>
        <w:lastRenderedPageBreak/>
        <w:drawing>
          <wp:inline distT="0" distB="0" distL="0" distR="0" wp14:anchorId="62ABA9A4" wp14:editId="6E97D304">
            <wp:extent cx="5607050" cy="690245"/>
            <wp:effectExtent l="0" t="0" r="0" b="0"/>
            <wp:docPr id="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07050" cy="690245"/>
                    </a:xfrm>
                    <a:prstGeom prst="rect">
                      <a:avLst/>
                    </a:prstGeom>
                    <a:ln/>
                  </pic:spPr>
                </pic:pic>
              </a:graphicData>
            </a:graphic>
          </wp:inline>
        </w:drawing>
      </w:r>
      <w:r w:rsidRPr="00BE653B">
        <w:rPr>
          <w:noProof/>
          <w:lang w:val="es-MX"/>
        </w:rPr>
        <mc:AlternateContent>
          <mc:Choice Requires="wpg">
            <w:drawing>
              <wp:anchor distT="0" distB="0" distL="114300" distR="114300" simplePos="0" relativeHeight="251658240" behindDoc="0" locked="0" layoutInCell="1" hidden="0" allowOverlap="1" wp14:anchorId="51872382" wp14:editId="486A1129">
                <wp:simplePos x="0" y="0"/>
                <wp:positionH relativeFrom="column">
                  <wp:posOffset>1600200</wp:posOffset>
                </wp:positionH>
                <wp:positionV relativeFrom="paragraph">
                  <wp:posOffset>-101599</wp:posOffset>
                </wp:positionV>
                <wp:extent cx="384954" cy="306609"/>
                <wp:effectExtent l="0" t="0" r="0" b="0"/>
                <wp:wrapNone/>
                <wp:docPr id="88" name="Conector recto de flecha 88"/>
                <wp:cNvGraphicFramePr/>
                <a:graphic xmlns:a="http://schemas.openxmlformats.org/drawingml/2006/main">
                  <a:graphicData uri="http://schemas.microsoft.com/office/word/2010/wordprocessingShape">
                    <wps:wsp>
                      <wps:cNvCnPr/>
                      <wps:spPr>
                        <a:xfrm flipH="1">
                          <a:off x="5182098" y="3655271"/>
                          <a:ext cx="327804" cy="249459"/>
                        </a:xfrm>
                        <a:prstGeom prst="straightConnector1">
                          <a:avLst/>
                        </a:prstGeom>
                        <a:noFill/>
                        <a:ln w="57150" cap="flat" cmpd="sng">
                          <a:solidFill>
                            <a:srgbClr val="C00000"/>
                          </a:solidFill>
                          <a:prstDash val="solid"/>
                          <a:round/>
                          <a:headEnd type="none" w="sm" len="sm"/>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1600200</wp:posOffset>
                </wp:positionH>
                <wp:positionV relativeFrom="paragraph">
                  <wp:posOffset>-101599</wp:posOffset>
                </wp:positionV>
                <wp:extent cx="384954" cy="306609"/>
                <wp:effectExtent b="0" l="0" r="0" t="0"/>
                <wp:wrapNone/>
                <wp:docPr id="88"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384954" cy="306609"/>
                        </a:xfrm>
                        <a:prstGeom prst="rect"/>
                        <a:ln/>
                      </pic:spPr>
                    </pic:pic>
                  </a:graphicData>
                </a:graphic>
              </wp:anchor>
            </w:drawing>
          </mc:Fallback>
        </mc:AlternateContent>
      </w:r>
    </w:p>
    <w:p w14:paraId="16019CEB" w14:textId="77777777" w:rsidR="00412355" w:rsidRPr="00BE653B" w:rsidRDefault="00DF2EC2">
      <w:pPr>
        <w:spacing w:before="240" w:after="240" w:line="360" w:lineRule="auto"/>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2821310E" wp14:editId="1C63B3CA">
            <wp:extent cx="4320000" cy="3189259"/>
            <wp:effectExtent l="0" t="0" r="0" b="0"/>
            <wp:docPr id="1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t="19351"/>
                    <a:stretch>
                      <a:fillRect/>
                    </a:stretch>
                  </pic:blipFill>
                  <pic:spPr>
                    <a:xfrm>
                      <a:off x="0" y="0"/>
                      <a:ext cx="4320000" cy="3189259"/>
                    </a:xfrm>
                    <a:prstGeom prst="rect">
                      <a:avLst/>
                    </a:prstGeom>
                    <a:ln/>
                  </pic:spPr>
                </pic:pic>
              </a:graphicData>
            </a:graphic>
          </wp:inline>
        </w:drawing>
      </w:r>
      <w:r w:rsidRPr="00BE653B">
        <w:rPr>
          <w:noProof/>
          <w:lang w:val="es-MX"/>
        </w:rPr>
        <mc:AlternateContent>
          <mc:Choice Requires="wpg">
            <w:drawing>
              <wp:anchor distT="0" distB="0" distL="114300" distR="114300" simplePos="0" relativeHeight="251659264" behindDoc="0" locked="0" layoutInCell="1" hidden="0" allowOverlap="1" wp14:anchorId="37F50DB9" wp14:editId="4F1C34AB">
                <wp:simplePos x="0" y="0"/>
                <wp:positionH relativeFrom="column">
                  <wp:posOffset>3111500</wp:posOffset>
                </wp:positionH>
                <wp:positionV relativeFrom="paragraph">
                  <wp:posOffset>2616200</wp:posOffset>
                </wp:positionV>
                <wp:extent cx="384954" cy="306609"/>
                <wp:effectExtent l="0" t="0" r="0" b="0"/>
                <wp:wrapNone/>
                <wp:docPr id="87" name="Conector recto de flecha 87"/>
                <wp:cNvGraphicFramePr/>
                <a:graphic xmlns:a="http://schemas.openxmlformats.org/drawingml/2006/main">
                  <a:graphicData uri="http://schemas.microsoft.com/office/word/2010/wordprocessingShape">
                    <wps:wsp>
                      <wps:cNvCnPr/>
                      <wps:spPr>
                        <a:xfrm flipH="1">
                          <a:off x="5182098" y="3655271"/>
                          <a:ext cx="327804" cy="249459"/>
                        </a:xfrm>
                        <a:prstGeom prst="straightConnector1">
                          <a:avLst/>
                        </a:prstGeom>
                        <a:noFill/>
                        <a:ln w="57150" cap="flat" cmpd="sng">
                          <a:solidFill>
                            <a:srgbClr val="C00000"/>
                          </a:solidFill>
                          <a:prstDash val="solid"/>
                          <a:round/>
                          <a:headEnd type="none" w="sm" len="sm"/>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3111500</wp:posOffset>
                </wp:positionH>
                <wp:positionV relativeFrom="paragraph">
                  <wp:posOffset>2616200</wp:posOffset>
                </wp:positionV>
                <wp:extent cx="384954" cy="306609"/>
                <wp:effectExtent b="0" l="0" r="0" t="0"/>
                <wp:wrapNone/>
                <wp:docPr id="87"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384954" cy="306609"/>
                        </a:xfrm>
                        <a:prstGeom prst="rect"/>
                        <a:ln/>
                      </pic:spPr>
                    </pic:pic>
                  </a:graphicData>
                </a:graphic>
              </wp:anchor>
            </w:drawing>
          </mc:Fallback>
        </mc:AlternateContent>
      </w:r>
    </w:p>
    <w:p w14:paraId="56ED9B0B" w14:textId="32A36F9B"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tal sentido, es evidente que la Unidad de Transparencia incumplió con el procedimiento previsto en los artículos 53 fracciones II y IV </w:t>
      </w:r>
      <w:r w:rsidRPr="00BE653B">
        <w:rPr>
          <w:rFonts w:ascii="Palatino Linotype" w:eastAsia="Palatino Linotype" w:hAnsi="Palatino Linotype" w:cs="Palatino Linotype"/>
          <w:vertAlign w:val="superscript"/>
        </w:rPr>
        <w:footnoteReference w:id="4"/>
      </w:r>
      <w:r w:rsidRPr="00BE653B">
        <w:rPr>
          <w:rFonts w:ascii="Palatino Linotype" w:eastAsia="Palatino Linotype" w:hAnsi="Palatino Linotype" w:cs="Palatino Linotype"/>
        </w:rPr>
        <w:t xml:space="preserve"> y 162</w:t>
      </w:r>
      <w:r w:rsidRPr="00BE653B">
        <w:rPr>
          <w:rFonts w:ascii="Palatino Linotype" w:eastAsia="Palatino Linotype" w:hAnsi="Palatino Linotype" w:cs="Palatino Linotype"/>
          <w:vertAlign w:val="superscript"/>
        </w:rPr>
        <w:footnoteReference w:id="5"/>
      </w:r>
      <w:r w:rsidRPr="00BE653B">
        <w:rPr>
          <w:rFonts w:ascii="Palatino Linotype" w:eastAsia="Palatino Linotype" w:hAnsi="Palatino Linotype" w:cs="Palatino Linotype"/>
        </w:rPr>
        <w:t xml:space="preserve"> de la Ley de la Materia, vulnerando así el Derecho de acceso a la información de la persona solicitante, al no haber observado las disposiciones que la normatividad establece  en la atención de las solicitudes de información.</w:t>
      </w:r>
    </w:p>
    <w:p w14:paraId="7461CD42"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lastRenderedPageBreak/>
        <w:t>En esta tesitura, se estima dable ordenar, previa búsqueda exhaustiva y razonable, la entrega del soporte documental, a la persona solicitante, que dé cuenta de la información solicitada, en versión pública, de ser procedente, conforme al considerando siguiente, siendo necesario hacer las siguientes precisiones para tal efecto:</w:t>
      </w:r>
    </w:p>
    <w:p w14:paraId="670C5C21"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Respecto del </w:t>
      </w:r>
      <w:r w:rsidRPr="00BE653B">
        <w:rPr>
          <w:rFonts w:ascii="Palatino Linotype" w:eastAsia="Palatino Linotype" w:hAnsi="Palatino Linotype" w:cs="Palatino Linotype"/>
          <w:b/>
        </w:rPr>
        <w:t>punto 1,</w:t>
      </w:r>
      <w:r w:rsidRPr="00BE653B">
        <w:rPr>
          <w:rFonts w:ascii="Palatino Linotype" w:eastAsia="Palatino Linotype" w:hAnsi="Palatino Linotype" w:cs="Palatino Linotype"/>
        </w:rPr>
        <w:t xml:space="preserve"> mediante el cual se solicita información sobre el </w:t>
      </w:r>
      <w:r w:rsidRPr="00BE653B">
        <w:rPr>
          <w:rFonts w:ascii="Palatino Linotype" w:eastAsia="Palatino Linotype" w:hAnsi="Palatino Linotype" w:cs="Palatino Linotype"/>
          <w:b/>
        </w:rPr>
        <w:t xml:space="preserve">personal adscrito a la Defensoría Municipal de los Derechos Humanos, nombre, cargo y estudios, </w:t>
      </w:r>
      <w:r w:rsidRPr="00BE653B">
        <w:rPr>
          <w:rFonts w:ascii="Palatino Linotype" w:eastAsia="Palatino Linotype" w:hAnsi="Palatino Linotype" w:cs="Palatino Linotype"/>
        </w:rPr>
        <w:t>es oportuno referir que de conformidad con el artículo 2 del Reglamento de Organización y Funcionamiento de las Defensorías Municipales de Derechos Humanos, las Defensorías Municipales son órganos creados por los ayuntamientos de la entidad, con autonomía en sus decisiones y en el ejercicio presupuestal, que en el cumplimiento de sus atribuciones deben coordinarse con la Comisión de Derechos Humanos del Estado; y tienen por objeto la promoción, divulgación, estudio y colaboración en la defensa de los derechos humanos en el municipio que les corresponda, de conformidad con lo dispuesto por la Ley Orgánica Municipal del Estado de México, la Ley de la Comisión de Derechos Humanos del Estado de México y demás disposiciones aplicables.</w:t>
      </w:r>
    </w:p>
    <w:p w14:paraId="60374144"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Por su parte, los artículos 8 y 9 del referido Reglamento disponen que las Defensorías se integraran por su titular, así como con el personal profesional, técnico, administrativo, y los servidores públicos autorizados por el ayuntamiento, necesarios para el cumplimiento de su encargo, siendo atribución de las Defensorías Proponer el nombramiento y remoción de su personal, a saber:</w:t>
      </w:r>
    </w:p>
    <w:p w14:paraId="42CFC164"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lastRenderedPageBreak/>
        <w:t>“</w:t>
      </w:r>
      <w:r w:rsidRPr="00BE653B">
        <w:rPr>
          <w:rFonts w:ascii="Palatino Linotype" w:eastAsia="Palatino Linotype" w:hAnsi="Palatino Linotype" w:cs="Palatino Linotype"/>
          <w:b/>
          <w:i/>
          <w:sz w:val="22"/>
          <w:szCs w:val="22"/>
        </w:rPr>
        <w:t>Artículo 8.-</w:t>
      </w:r>
      <w:r w:rsidRPr="00BE653B">
        <w:rPr>
          <w:rFonts w:ascii="Palatino Linotype" w:eastAsia="Palatino Linotype" w:hAnsi="Palatino Linotype" w:cs="Palatino Linotype"/>
          <w:i/>
          <w:sz w:val="22"/>
          <w:szCs w:val="22"/>
        </w:rPr>
        <w:t xml:space="preserve"> Las Defensorías Municipales están integradas por su titular, así como con el personal profesional, técnico, administrativo y los servidores públicos autorizados por el ayuntamiento, necesarios para el cumplimiento de su encargo. </w:t>
      </w:r>
    </w:p>
    <w:p w14:paraId="373B048D"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9</w:t>
      </w:r>
      <w:r w:rsidRPr="00BE653B">
        <w:rPr>
          <w:rFonts w:ascii="Palatino Linotype" w:eastAsia="Palatino Linotype" w:hAnsi="Palatino Linotype" w:cs="Palatino Linotype"/>
          <w:i/>
          <w:sz w:val="22"/>
          <w:szCs w:val="22"/>
        </w:rPr>
        <w:t>.- Las Defensorías Municipales, además de las establecidas en la Ley Orgánica, tienen las atribuciones siguientes:</w:t>
      </w:r>
    </w:p>
    <w:p w14:paraId="6E2A6C49"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
    <w:p w14:paraId="6C892F44"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V</w:t>
      </w:r>
      <w:r w:rsidRPr="00BE653B">
        <w:rPr>
          <w:rFonts w:ascii="Palatino Linotype" w:eastAsia="Palatino Linotype" w:hAnsi="Palatino Linotype" w:cs="Palatino Linotype"/>
          <w:i/>
          <w:sz w:val="22"/>
          <w:szCs w:val="22"/>
        </w:rPr>
        <w:t>. Proponer el nombramiento y remoción de su personal, en términos de la normatividad aplicable;”</w:t>
      </w:r>
    </w:p>
    <w:p w14:paraId="65E7428E"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En este tenor, el artículo 147 A de la Ley Orgánica del Estado de México y Municipios, señala que cada municipio, mediante acuerdo de cabildo, debe expedir una convocatoria abierta a la población para designar al Defensor Municipal de Derechos Humanos.</w:t>
      </w:r>
    </w:p>
    <w:p w14:paraId="73F12F5A"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Siendo requisitos para ocupar el cargo de Defensor Municipal de Derechos Humanos, los siguientes de conformidad con el artículo 147 I de la misma Ley:</w:t>
      </w:r>
    </w:p>
    <w:p w14:paraId="06B293DF"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Artículo 147 I</w:t>
      </w:r>
      <w:r w:rsidRPr="00BE653B">
        <w:rPr>
          <w:rFonts w:ascii="Palatino Linotype" w:eastAsia="Palatino Linotype" w:hAnsi="Palatino Linotype" w:cs="Palatino Linotype"/>
          <w:i/>
          <w:sz w:val="22"/>
          <w:szCs w:val="22"/>
        </w:rPr>
        <w:t>.- La o el Defensor Municipal de Derechos Humanos debe reunir los requisitos siguientes:</w:t>
      </w:r>
    </w:p>
    <w:p w14:paraId="0BDF9560"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w:t>
      </w:r>
      <w:r w:rsidRPr="00BE653B">
        <w:rPr>
          <w:rFonts w:ascii="Palatino Linotype" w:eastAsia="Palatino Linotype" w:hAnsi="Palatino Linotype" w:cs="Palatino Linotype"/>
          <w:i/>
          <w:sz w:val="22"/>
          <w:szCs w:val="22"/>
        </w:rPr>
        <w:t xml:space="preserve"> Ser mexicano en pleno goce y ejercicio de sus derechos políticos y civiles;</w:t>
      </w:r>
    </w:p>
    <w:p w14:paraId="1B7242AB"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II.</w:t>
      </w:r>
      <w:r w:rsidRPr="00BE653B">
        <w:rPr>
          <w:rFonts w:ascii="Palatino Linotype" w:eastAsia="Palatino Linotype" w:hAnsi="Palatino Linotype" w:cs="Palatino Linotype"/>
          <w:i/>
          <w:sz w:val="22"/>
          <w:szCs w:val="22"/>
        </w:rPr>
        <w:t xml:space="preserve"> Tener residencia efectiva en el municipio no menor a tres años;</w:t>
      </w:r>
    </w:p>
    <w:p w14:paraId="097455D8" w14:textId="77777777" w:rsidR="00412355" w:rsidRPr="00BE653B" w:rsidRDefault="00DF2EC2">
      <w:pPr>
        <w:spacing w:before="120" w:after="120"/>
        <w:ind w:left="1134"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III</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 xml:space="preserve">Contar </w:t>
      </w:r>
      <w:r w:rsidRPr="00BE653B">
        <w:rPr>
          <w:rFonts w:ascii="Palatino Linotype" w:eastAsia="Palatino Linotype" w:hAnsi="Palatino Linotype" w:cs="Palatino Linotype"/>
          <w:b/>
          <w:i/>
          <w:sz w:val="22"/>
          <w:szCs w:val="22"/>
          <w:u w:val="single"/>
        </w:rPr>
        <w:t>preferentemente</w:t>
      </w:r>
      <w:r w:rsidRPr="00BE653B">
        <w:rPr>
          <w:rFonts w:ascii="Palatino Linotype" w:eastAsia="Palatino Linotype" w:hAnsi="Palatino Linotype" w:cs="Palatino Linotype"/>
          <w:b/>
          <w:i/>
          <w:sz w:val="22"/>
          <w:szCs w:val="22"/>
        </w:rPr>
        <w:t xml:space="preserve"> con título de licenciado en derecho o disciplinas afines, así como experiencia o estudios en derechos humanos; </w:t>
      </w:r>
    </w:p>
    <w:p w14:paraId="4F0DEA07"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IV</w:t>
      </w:r>
      <w:r w:rsidRPr="00BE653B">
        <w:rPr>
          <w:rFonts w:ascii="Palatino Linotype" w:eastAsia="Palatino Linotype" w:hAnsi="Palatino Linotype" w:cs="Palatino Linotype"/>
          <w:i/>
          <w:sz w:val="22"/>
          <w:szCs w:val="22"/>
        </w:rPr>
        <w:t xml:space="preserve">. Tener más de 23 años al momento de su designación; </w:t>
      </w:r>
    </w:p>
    <w:p w14:paraId="63D7EEF9"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V</w:t>
      </w:r>
      <w:r w:rsidRPr="00BE653B">
        <w:rPr>
          <w:rFonts w:ascii="Palatino Linotype" w:eastAsia="Palatino Linotype" w:hAnsi="Palatino Linotype" w:cs="Palatino Linotype"/>
          <w:i/>
          <w:sz w:val="22"/>
          <w:szCs w:val="22"/>
        </w:rPr>
        <w:t xml:space="preserve">. Gozar de buena fama pública y no haber sido condenado por sentencia ejecutoriada por delito intencional. </w:t>
      </w:r>
    </w:p>
    <w:p w14:paraId="6DF7BDE4"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VI</w:t>
      </w:r>
      <w:r w:rsidRPr="00BE653B">
        <w:rPr>
          <w:rFonts w:ascii="Palatino Linotype" w:eastAsia="Palatino Linotype" w:hAnsi="Palatino Linotype" w:cs="Palatino Linotype"/>
          <w:i/>
          <w:sz w:val="22"/>
          <w:szCs w:val="22"/>
        </w:rPr>
        <w:t>. No haber sido sancionado en el desempeño de empleo, cargo o comisión en los servicios públicos federal, estatal o municipal, con motivo de alguna recomendación emitida por organismos públicos de derechos humanos; y</w:t>
      </w:r>
    </w:p>
    <w:p w14:paraId="543CC232"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VII.</w:t>
      </w:r>
      <w:r w:rsidRPr="00BE653B">
        <w:rPr>
          <w:rFonts w:ascii="Palatino Linotype" w:eastAsia="Palatino Linotype" w:hAnsi="Palatino Linotype" w:cs="Palatino Linotype"/>
          <w:i/>
          <w:sz w:val="22"/>
          <w:szCs w:val="22"/>
        </w:rPr>
        <w:t xml:space="preserve"> No haber sido objeto de sanción de inhabilitación o destitución administrativas para el desempeño de empleo, cargo o comisión en el servicio público, mediante resolución que haya causado estado. </w:t>
      </w:r>
    </w:p>
    <w:p w14:paraId="39F2E76F"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lastRenderedPageBreak/>
        <w:t>VIII</w:t>
      </w:r>
      <w:r w:rsidRPr="00BE653B">
        <w:rPr>
          <w:rFonts w:ascii="Palatino Linotype" w:eastAsia="Palatino Linotype" w:hAnsi="Palatino Linotype" w:cs="Palatino Linotype"/>
          <w:i/>
          <w:sz w:val="22"/>
          <w:szCs w:val="22"/>
        </w:rPr>
        <w:t>. Certificación en materia de derechos humanos, que para tal efecto emita la Comisión de Derechos Humanos del Estado de México. Durante el tiempo de su encargo, el Defensor Municipal de Derechos Humanos no podrá desempeñar otro empleo cargo o comisión públicos, ni realizar cualquier actividad proselitista, excluyéndose las tareas académicas que no riñan con su quehacer.</w:t>
      </w:r>
    </w:p>
    <w:p w14:paraId="36A55D0C"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Del precepto citado se desprende que para ocupar el cargo de Defensor Municipal de Derechos Humanos, se debe contar preferentemente con título de licenciado en derecho o disciplinas afines, así como experiencia o estudios en derechos humanos.</w:t>
      </w:r>
    </w:p>
    <w:p w14:paraId="00EF7965"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Por otro lado, respecto del personal adscrito a la Defensoría Municipal resulta aplicable el contenido del artículo 47 de la Ley del Trabajo de los Servidores Públicos del Estado de México y Municipios, que en su parte conducente señala lo siguiente:</w:t>
      </w:r>
    </w:p>
    <w:p w14:paraId="7E10B79B"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47</w:t>
      </w:r>
      <w:r w:rsidRPr="00BE653B">
        <w:rPr>
          <w:rFonts w:ascii="Palatino Linotype" w:eastAsia="Palatino Linotype" w:hAnsi="Palatino Linotype" w:cs="Palatino Linotype"/>
          <w:i/>
          <w:sz w:val="22"/>
          <w:szCs w:val="22"/>
        </w:rPr>
        <w:t xml:space="preserve">. Para ingresar al servicio público se requiere: </w:t>
      </w:r>
    </w:p>
    <w:p w14:paraId="354DE6CA"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
    <w:p w14:paraId="089B927A"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VIII</w:t>
      </w:r>
      <w:r w:rsidRPr="00BE653B">
        <w:rPr>
          <w:rFonts w:ascii="Palatino Linotype" w:eastAsia="Palatino Linotype" w:hAnsi="Palatino Linotype" w:cs="Palatino Linotype"/>
          <w:i/>
          <w:sz w:val="22"/>
          <w:szCs w:val="22"/>
        </w:rPr>
        <w:t xml:space="preserve">. Cumplir con los requisitos que se establezcan para los diferentes puestos; </w:t>
      </w:r>
    </w:p>
    <w:p w14:paraId="534F038C"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IX</w:t>
      </w:r>
      <w:r w:rsidRPr="00BE653B">
        <w:rPr>
          <w:rFonts w:ascii="Palatino Linotype" w:eastAsia="Palatino Linotype" w:hAnsi="Palatino Linotype" w:cs="Palatino Linotype"/>
          <w:i/>
          <w:sz w:val="22"/>
          <w:szCs w:val="22"/>
        </w:rPr>
        <w:t>. Acreditar por medio de los exámenes correspondientes los conocimientos y aptitudes necesarios para el desempeño del puesto; y“</w:t>
      </w:r>
    </w:p>
    <w:p w14:paraId="1947F8AA"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Del precepto transcritos podemos advertir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w:t>
      </w:r>
      <w:r w:rsidRPr="00BE653B">
        <w:rPr>
          <w:rFonts w:ascii="Palatino Linotype" w:eastAsia="Palatino Linotype" w:hAnsi="Palatino Linotype" w:cs="Palatino Linotype"/>
          <w:i/>
        </w:rPr>
        <w:t xml:space="preserve">, </w:t>
      </w:r>
      <w:r w:rsidRPr="00BE653B">
        <w:rPr>
          <w:rFonts w:ascii="Palatino Linotype" w:eastAsia="Palatino Linotype" w:hAnsi="Palatino Linotype" w:cs="Palatino Linotype"/>
        </w:rPr>
        <w:t>que es del tenor literal siguiente:</w:t>
      </w:r>
    </w:p>
    <w:p w14:paraId="791B4D53"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ARTÍCULO 98</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Son obligaciones de las instituciones públicas</w:t>
      </w:r>
      <w:r w:rsidRPr="00BE653B">
        <w:rPr>
          <w:rFonts w:ascii="Palatino Linotype" w:eastAsia="Palatino Linotype" w:hAnsi="Palatino Linotype" w:cs="Palatino Linotype"/>
          <w:i/>
          <w:sz w:val="22"/>
          <w:szCs w:val="22"/>
        </w:rPr>
        <w:t>:</w:t>
      </w:r>
    </w:p>
    <w:p w14:paraId="27725281"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
    <w:p w14:paraId="67D3E153"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lastRenderedPageBreak/>
        <w:t>XVII. Integrar los expedientes de los servidores públicos</w:t>
      </w:r>
      <w:r w:rsidRPr="00BE653B">
        <w:rPr>
          <w:rFonts w:ascii="Palatino Linotype" w:eastAsia="Palatino Linotype" w:hAnsi="Palatino Linotype" w:cs="Palatino Linotype"/>
          <w:i/>
          <w:sz w:val="22"/>
          <w:szCs w:val="22"/>
        </w:rPr>
        <w:t xml:space="preserve"> y proporcionar las constancias que éstos soliciten para el trámite de los asuntos de su interés en los términos que señalen los ordenamientos respectivos.”</w:t>
      </w:r>
    </w:p>
    <w:p w14:paraId="46780B69"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este contexto, es claro que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debe integrar los expedientes laborales de los servidores públicos que se encuentren adscritos a cualquiera de las unidades administrativas que integren su estructura orgánica, de conformidad con la normativa laboral aplicable, por lo que se estima que para colmar el requerimiento de información en estudio, el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previa búsqueda exhaustiva y razonable deberá entregar, en versión pública de ser necesario, el o los documentos que den cuenta del nombre, cargo y estudios del personal adscrito a la Defensoría Municipal de Derechos Humanos, pudiendo ser de manera enunciativa, más no limitativa, respecto del nombre y cargo, el documento mediante el cual se estableció la relación laboral, como el nombramiento, el Formato Único de Movimiento de Personal o FUMP, el contrato o cualquier documento</w:t>
      </w:r>
      <w:r w:rsidRPr="00BE653B">
        <w:rPr>
          <w:rFonts w:ascii="Palatino Linotype" w:eastAsia="Palatino Linotype" w:hAnsi="Palatino Linotype" w:cs="Palatino Linotype"/>
          <w:i/>
        </w:rPr>
        <w:t xml:space="preserve"> </w:t>
      </w:r>
      <w:r w:rsidRPr="00BE653B">
        <w:rPr>
          <w:rFonts w:ascii="Palatino Linotype" w:eastAsia="Palatino Linotype" w:hAnsi="Palatino Linotype" w:cs="Palatino Linotype"/>
        </w:rPr>
        <w:t>que acredite la relación de trabajo entre esta y el Organismo, al ser  documentos que contienen, entre otros datos, el nombre y cargo de los servidores públicos, así como el área de adscripción, según se lee en el artículo 49, fracciones I y II de la  Ley del Trabajo de los Servidores Públicos, a saber:</w:t>
      </w:r>
    </w:p>
    <w:p w14:paraId="065AA852"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49.- Los nombramientos, contratos o formato único de Movimientos de Personal</w:t>
      </w:r>
      <w:r w:rsidRPr="00BE653B">
        <w:rPr>
          <w:rFonts w:ascii="Palatino Linotype" w:eastAsia="Palatino Linotype" w:hAnsi="Palatino Linotype" w:cs="Palatino Linotype"/>
          <w:i/>
          <w:sz w:val="22"/>
          <w:szCs w:val="22"/>
        </w:rPr>
        <w:t xml:space="preserve"> de los servidores públicos deberán contener:</w:t>
      </w:r>
    </w:p>
    <w:p w14:paraId="5EF7F7DA"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Nombre completo del servidor público</w:t>
      </w:r>
      <w:r w:rsidRPr="00BE653B">
        <w:rPr>
          <w:rFonts w:ascii="Palatino Linotype" w:eastAsia="Palatino Linotype" w:hAnsi="Palatino Linotype" w:cs="Palatino Linotype"/>
          <w:i/>
          <w:sz w:val="22"/>
          <w:szCs w:val="22"/>
        </w:rPr>
        <w:t>;</w:t>
      </w:r>
    </w:p>
    <w:p w14:paraId="69EC4A86" w14:textId="77777777" w:rsidR="00412355" w:rsidRPr="00BE653B" w:rsidRDefault="00DF2EC2">
      <w:pPr>
        <w:spacing w:before="120" w:after="120"/>
        <w:ind w:left="1134"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II</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Cargo para el que es designado</w:t>
      </w:r>
      <w:r w:rsidRPr="00BE653B">
        <w:rPr>
          <w:rFonts w:ascii="Palatino Linotype" w:eastAsia="Palatino Linotype" w:hAnsi="Palatino Linotype" w:cs="Palatino Linotype"/>
          <w:i/>
          <w:sz w:val="22"/>
          <w:szCs w:val="22"/>
        </w:rPr>
        <w:t xml:space="preserve">, fecha de inicio de sus servicios </w:t>
      </w:r>
      <w:r w:rsidRPr="00BE653B">
        <w:rPr>
          <w:rFonts w:ascii="Palatino Linotype" w:eastAsia="Palatino Linotype" w:hAnsi="Palatino Linotype" w:cs="Palatino Linotype"/>
          <w:b/>
          <w:i/>
          <w:sz w:val="22"/>
          <w:szCs w:val="22"/>
        </w:rPr>
        <w:t>y lugar de adscripción</w:t>
      </w:r>
      <w:r w:rsidRPr="00BE653B">
        <w:rPr>
          <w:rFonts w:ascii="Palatino Linotype" w:eastAsia="Palatino Linotype" w:hAnsi="Palatino Linotype" w:cs="Palatino Linotype"/>
          <w:i/>
          <w:sz w:val="22"/>
          <w:szCs w:val="22"/>
        </w:rPr>
        <w:t>”</w:t>
      </w:r>
    </w:p>
    <w:p w14:paraId="28F3D8D6"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Por otro lado, respecto de los estudios del personal adscrito a la Defensoría Municipal, se estima que el documento que pudiera dar cuenta de su trayectoria académica pudiera ser la solicitud de empleo, currículum vitae o cualquier </w:t>
      </w:r>
      <w:r w:rsidRPr="00BE653B">
        <w:rPr>
          <w:rFonts w:ascii="Palatino Linotype" w:eastAsia="Palatino Linotype" w:hAnsi="Palatino Linotype" w:cs="Palatino Linotype"/>
        </w:rPr>
        <w:lastRenderedPageBreak/>
        <w:t>documento análogo que por su naturaleza debe formar parte del expediente personal de cada servidor público, aunado al hecho de que la información curricular es considerada como una obligación de transparencia de conformidad con el artículo 92, fracción XXI de la Ley de Transparencia y Acceso a la Información Pública del Estado de México y Municipios, a saber:</w:t>
      </w:r>
    </w:p>
    <w:p w14:paraId="2DD261A2" w14:textId="77777777" w:rsidR="00412355" w:rsidRPr="00BE653B" w:rsidRDefault="00DF2EC2">
      <w:pPr>
        <w:spacing w:before="120" w:after="120"/>
        <w:ind w:left="851"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“Artículo 92</w:t>
      </w:r>
      <w:r w:rsidRPr="00BE653B">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AF86029" w14:textId="77777777" w:rsidR="00412355" w:rsidRPr="00BE653B" w:rsidRDefault="00DF2EC2">
      <w:pPr>
        <w:spacing w:before="120" w:after="120"/>
        <w:ind w:left="1134"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w:t>
      </w:r>
    </w:p>
    <w:p w14:paraId="258DFCB5"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XXI.</w:t>
      </w:r>
      <w:r w:rsidRPr="00BE653B">
        <w:rPr>
          <w:rFonts w:ascii="Palatino Linotype" w:eastAsia="Palatino Linotype" w:hAnsi="Palatino Linotype" w:cs="Palatino Linotype"/>
          <w:i/>
          <w:sz w:val="22"/>
          <w:szCs w:val="22"/>
        </w:rPr>
        <w:t xml:space="preserve"> La </w:t>
      </w:r>
      <w:r w:rsidRPr="00BE653B">
        <w:rPr>
          <w:rFonts w:ascii="Palatino Linotype" w:eastAsia="Palatino Linotype" w:hAnsi="Palatino Linotype" w:cs="Palatino Linotype"/>
          <w:b/>
          <w:i/>
          <w:sz w:val="22"/>
          <w:szCs w:val="22"/>
        </w:rPr>
        <w:t>información curricular</w:t>
      </w:r>
      <w:r w:rsidRPr="00BE653B">
        <w:rPr>
          <w:rFonts w:ascii="Palatino Linotype" w:eastAsia="Palatino Linotype" w:hAnsi="Palatino Linotype" w:cs="Palatino Linotype"/>
          <w:i/>
          <w:sz w:val="22"/>
          <w:szCs w:val="22"/>
        </w:rPr>
        <w:t>, desde el nivel de jefe de departamento o equivalente, hasta el titular del sujeto obligado, así como, en su caso, las sanciones administrativas de que haya sido objeto;”</w:t>
      </w:r>
    </w:p>
    <w:p w14:paraId="53247050"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Asimismo para sustentar lo anterior, es dable mencionar que el </w:t>
      </w:r>
      <w:proofErr w:type="spellStart"/>
      <w:r w:rsidRPr="00BE653B">
        <w:rPr>
          <w:rFonts w:ascii="Palatino Linotype" w:eastAsia="Palatino Linotype" w:hAnsi="Palatino Linotype" w:cs="Palatino Linotype"/>
        </w:rPr>
        <w:t>curriculum</w:t>
      </w:r>
      <w:proofErr w:type="spellEnd"/>
      <w:r w:rsidRPr="00BE653B">
        <w:rPr>
          <w:rFonts w:ascii="Palatino Linotype" w:eastAsia="Palatino Linotype" w:hAnsi="Palatino Linotype" w:cs="Palatino Linotype"/>
        </w:rPr>
        <w:t xml:space="preserve"> vitae es información que reviste el carácter de información pública de conformidad con el criterio de interpretación con clave de control SO/003/2009,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37F58E9F" w14:textId="77777777" w:rsidR="00412355" w:rsidRPr="00BE653B" w:rsidRDefault="00DF2EC2">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rPr>
        <w:t xml:space="preserve"> </w:t>
      </w:r>
      <w:r w:rsidRPr="00BE653B">
        <w:rPr>
          <w:rFonts w:ascii="Palatino Linotype" w:eastAsia="Palatino Linotype" w:hAnsi="Palatino Linotype" w:cs="Palatino Linotype"/>
          <w:b/>
          <w:i/>
          <w:sz w:val="22"/>
          <w:szCs w:val="22"/>
        </w:rPr>
        <w:t>“</w:t>
      </w:r>
      <w:proofErr w:type="spellStart"/>
      <w:r w:rsidRPr="00BE653B">
        <w:rPr>
          <w:rFonts w:ascii="Palatino Linotype" w:eastAsia="Palatino Linotype" w:hAnsi="Palatino Linotype" w:cs="Palatino Linotype"/>
          <w:b/>
          <w:i/>
          <w:sz w:val="22"/>
          <w:szCs w:val="22"/>
        </w:rPr>
        <w:t>Curriculum</w:t>
      </w:r>
      <w:proofErr w:type="spellEnd"/>
      <w:r w:rsidRPr="00BE653B">
        <w:rPr>
          <w:rFonts w:ascii="Palatino Linotype" w:eastAsia="Palatino Linotype" w:hAnsi="Palatino Linotype" w:cs="Palatino Linotype"/>
          <w:b/>
          <w:i/>
          <w:sz w:val="22"/>
          <w:szCs w:val="22"/>
        </w:rPr>
        <w:t xml:space="preserve"> Vitae de servidores públicos.</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Es obligación de los sujetos obligados otorgar acceso a versiones públicas de los mismos ante una solicitud de acceso.</w:t>
      </w:r>
      <w:r w:rsidRPr="00BE653B">
        <w:rPr>
          <w:rFonts w:ascii="Palatino Linotype" w:eastAsia="Palatino Linotype" w:hAnsi="Palatino Linotype" w:cs="Palatino Linotype"/>
          <w:i/>
          <w:sz w:val="22"/>
          <w:szCs w:val="22"/>
        </w:rPr>
        <w:t xml:space="preserve"> Uno de los objetivos de la Ley Federal de Transparencia y </w:t>
      </w:r>
      <w:r w:rsidRPr="00BE653B">
        <w:rPr>
          <w:rFonts w:ascii="Palatino Linotype" w:eastAsia="Palatino Linotype" w:hAnsi="Palatino Linotype" w:cs="Palatino Linotype"/>
          <w:i/>
          <w:sz w:val="22"/>
          <w:szCs w:val="22"/>
        </w:rPr>
        <w:lastRenderedPageBreak/>
        <w:t xml:space="preserve">Acceso a la Información Pública Gubernamental, de acuerdo con su artículo 4, fracción IV, es favorecer la rendición de cuentas a las personas, de manera que puedan valorar el desempeño de los sujetos obligados. Si bien en el </w:t>
      </w:r>
      <w:proofErr w:type="spellStart"/>
      <w:r w:rsidRPr="00BE653B">
        <w:rPr>
          <w:rFonts w:ascii="Palatino Linotype" w:eastAsia="Palatino Linotype" w:hAnsi="Palatino Linotype" w:cs="Palatino Linotype"/>
          <w:i/>
          <w:sz w:val="22"/>
          <w:szCs w:val="22"/>
        </w:rPr>
        <w:t>curriculum</w:t>
      </w:r>
      <w:proofErr w:type="spellEnd"/>
      <w:r w:rsidRPr="00BE653B">
        <w:rPr>
          <w:rFonts w:ascii="Palatino Linotype" w:eastAsia="Palatino Linotype" w:hAnsi="Palatino Linotype" w:cs="Palatino Linotype"/>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BE653B">
        <w:rPr>
          <w:rFonts w:ascii="Palatino Linotype" w:eastAsia="Palatino Linotype" w:hAnsi="Palatino Linotype" w:cs="Palatino Linotype"/>
          <w:i/>
          <w:sz w:val="22"/>
          <w:szCs w:val="22"/>
        </w:rPr>
        <w:t>curriculum</w:t>
      </w:r>
      <w:proofErr w:type="spellEnd"/>
      <w:r w:rsidRPr="00BE653B">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w:t>
      </w:r>
    </w:p>
    <w:p w14:paraId="626D3044" w14:textId="77777777" w:rsidR="00412355" w:rsidRPr="00BE653B" w:rsidRDefault="00412355">
      <w:pPr>
        <w:pBdr>
          <w:top w:val="nil"/>
          <w:left w:val="nil"/>
          <w:bottom w:val="nil"/>
          <w:right w:val="nil"/>
          <w:between w:val="nil"/>
        </w:pBdr>
        <w:ind w:left="851" w:right="900"/>
        <w:jc w:val="both"/>
        <w:rPr>
          <w:rFonts w:ascii="Palatino Linotype" w:eastAsia="Palatino Linotype" w:hAnsi="Palatino Linotype" w:cs="Palatino Linotype"/>
          <w:i/>
          <w:sz w:val="22"/>
          <w:szCs w:val="22"/>
        </w:rPr>
      </w:pPr>
    </w:p>
    <w:p w14:paraId="11E19DFD" w14:textId="77777777" w:rsidR="00412355" w:rsidRPr="00BE653B" w:rsidRDefault="00DF2EC2">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 xml:space="preserve">En esa tesitura, entre los datos personales del </w:t>
      </w:r>
      <w:proofErr w:type="spellStart"/>
      <w:r w:rsidRPr="00BE653B">
        <w:rPr>
          <w:rFonts w:ascii="Palatino Linotype" w:eastAsia="Palatino Linotype" w:hAnsi="Palatino Linotype" w:cs="Palatino Linotype"/>
          <w:i/>
          <w:sz w:val="22"/>
          <w:szCs w:val="22"/>
        </w:rPr>
        <w:t>curriculum</w:t>
      </w:r>
      <w:proofErr w:type="spellEnd"/>
      <w:r w:rsidRPr="00BE653B">
        <w:rPr>
          <w:rFonts w:ascii="Palatino Linotype" w:eastAsia="Palatino Linotype" w:hAnsi="Palatino Linotype" w:cs="Palatino Linotype"/>
          <w:i/>
          <w:sz w:val="22"/>
          <w:szCs w:val="22"/>
        </w:rPr>
        <w:t xml:space="preserve"> vitae de un servidor público susceptibles de hacerse del conocimiento público, ante una solicitud de acceso, </w:t>
      </w:r>
      <w:r w:rsidRPr="00BE653B">
        <w:rPr>
          <w:rFonts w:ascii="Palatino Linotype" w:eastAsia="Palatino Linotype" w:hAnsi="Palatino Linotype" w:cs="Palatino Linotype"/>
          <w:b/>
          <w:i/>
          <w:sz w:val="22"/>
          <w:szCs w:val="22"/>
        </w:rPr>
        <w:t>se encuentran los relativos a su trayectoria académica, profesional, laboral, así como todos aquellos que acrediten su capacidad, habilidades o pericia para ocupar el cargo público.</w:t>
      </w:r>
      <w:r w:rsidRPr="00BE653B">
        <w:rPr>
          <w:rFonts w:ascii="Palatino Linotype" w:eastAsia="Palatino Linotype" w:hAnsi="Palatino Linotype" w:cs="Palatino Linotype"/>
          <w:i/>
          <w:sz w:val="22"/>
          <w:szCs w:val="22"/>
        </w:rPr>
        <w:t>”</w:t>
      </w:r>
    </w:p>
    <w:p w14:paraId="17769B00" w14:textId="77777777" w:rsidR="00412355" w:rsidRPr="00BE653B" w:rsidRDefault="00DF2EC2">
      <w:pPr>
        <w:spacing w:before="240" w:after="36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w:t>
      </w:r>
      <w:r w:rsidRPr="00BE653B">
        <w:rPr>
          <w:rFonts w:ascii="Palatino Linotype" w:eastAsia="Palatino Linotype" w:hAnsi="Palatino Linotype" w:cs="Palatino Linotype"/>
          <w:i/>
        </w:rPr>
        <w:t>contribuye a la evaluación de sus aptitudes de acuerdo a su nivel profesional y laboral</w:t>
      </w:r>
      <w:r w:rsidRPr="00BE653B">
        <w:rPr>
          <w:rFonts w:ascii="Palatino Linotype" w:eastAsia="Palatino Linotype" w:hAnsi="Palatino Linotype" w:cs="Palatino Linotype"/>
        </w:rPr>
        <w:t>, para el desempeño de sus funciones  en el cargo que ostenten, razón que resulta suficiente para que sean de conocimiento público.</w:t>
      </w:r>
    </w:p>
    <w:p w14:paraId="3C25094B"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Y, si bien es cierto que no existe disposición legal que ordene de manera expresa que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deba contar en sus archivos con un documento denominado “</w:t>
      </w:r>
      <w:r w:rsidRPr="00BE653B">
        <w:rPr>
          <w:rFonts w:ascii="Palatino Linotype" w:eastAsia="Palatino Linotype" w:hAnsi="Palatino Linotype" w:cs="Palatino Linotype"/>
          <w:i/>
        </w:rPr>
        <w:t>currículum vitae</w:t>
      </w:r>
      <w:r w:rsidRPr="00BE653B">
        <w:rPr>
          <w:rFonts w:ascii="Palatino Linotype" w:eastAsia="Palatino Linotype" w:hAnsi="Palatino Linotype" w:cs="Palatino Linotype"/>
        </w:rPr>
        <w:t xml:space="preserve">” de sus servidores públicos, también lo es que para el desempeño de un empleo, cargo o comisión en el servició público sí es requisito, </w:t>
      </w:r>
      <w:r w:rsidRPr="00BE653B">
        <w:rPr>
          <w:rFonts w:ascii="Palatino Linotype" w:eastAsia="Palatino Linotype" w:hAnsi="Palatino Linotype" w:cs="Palatino Linotype"/>
        </w:rPr>
        <w:lastRenderedPageBreak/>
        <w:t xml:space="preserve">entre otros, presentar una solicitud del empleo, como se desprende del artículo 47 fracción I de la Ley del Trabajo para los Servidores Públicos del Estado y Municipios. </w:t>
      </w:r>
    </w:p>
    <w:p w14:paraId="73E26838"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Así, la solicitud de empleo es el documento en el que se localiza información relativa a los datos personales, formación académica, formación extra académica, experiencia profesional, y hábitos personales; información que resulta coincidente con la que es asentada en un currículum vite.</w:t>
      </w:r>
    </w:p>
    <w:p w14:paraId="4FC534B6"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De manera que,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podría atender el requerimiento relativo a los estudios del personal adscrito a la Defensoría Municipal a través de la entrega del currículum vitae, la solicitud de empleo o cualquier documento análogo en el que se advierta la formación académica en razón de que se trata de documentos que se encuentran en su posesión derivado de su facultad para establecer relaciones de trabajo, y que resultan ser los documentos idóneos para satisfacer el requerimiento planteada, de acuerdo a sus características.</w:t>
      </w:r>
    </w:p>
    <w:p w14:paraId="5B841A6F"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No obsta mencionar que de conformidad con el artículo 3.98, fracciones I y IX del Código de Reglamentación Municipal de Metepec, la Dirección de Administración es la dependencia encargada de coordinar y dirigir los sistemas de reclutamiento, selección, contratación y desarrollo de personal de las diferentes unidades administrativas de la administración pública municipal, así como coordinar el resguardo y actualización del archivo de personal, por lo que se deberá efectuar la búsqueda de los documentos que satisfagan el requerimiento en estudio en los archivos de dicha dependencia.</w:t>
      </w:r>
    </w:p>
    <w:p w14:paraId="75F6F8E0"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lastRenderedPageBreak/>
        <w:t xml:space="preserve">Tocante al </w:t>
      </w:r>
      <w:r w:rsidRPr="00BE653B">
        <w:rPr>
          <w:rFonts w:ascii="Palatino Linotype" w:eastAsia="Palatino Linotype" w:hAnsi="Palatino Linotype" w:cs="Palatino Linotype"/>
          <w:b/>
        </w:rPr>
        <w:t xml:space="preserve">punto 2, </w:t>
      </w:r>
      <w:r w:rsidRPr="00BE653B">
        <w:rPr>
          <w:rFonts w:ascii="Palatino Linotype" w:eastAsia="Palatino Linotype" w:hAnsi="Palatino Linotype" w:cs="Palatino Linotype"/>
        </w:rPr>
        <w:t xml:space="preserve">mediante el cual se solicita el </w:t>
      </w:r>
      <w:r w:rsidRPr="00BE653B">
        <w:rPr>
          <w:rFonts w:ascii="Palatino Linotype" w:eastAsia="Palatino Linotype" w:hAnsi="Palatino Linotype" w:cs="Palatino Linotype"/>
          <w:b/>
        </w:rPr>
        <w:t xml:space="preserve">presupuesto de la Defensoría Municipal de los Derechos Humanos, </w:t>
      </w:r>
      <w:r w:rsidRPr="00BE653B">
        <w:rPr>
          <w:rFonts w:ascii="Palatino Linotype" w:eastAsia="Palatino Linotype" w:hAnsi="Palatino Linotype" w:cs="Palatino Linotype"/>
        </w:rPr>
        <w:t>como refiere el artículo 2 del Reglamento de Organización y Funcionamiento de las Defensorías Municipales de Derechos Humanos, las Defensorías Municipales son órganos con autonomía en el ejercicio presupuestal.</w:t>
      </w:r>
    </w:p>
    <w:p w14:paraId="1EB6A070"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En tal sentido, de conformidad con artículo 147 M de la Ley Orgánica Municipal, el Defensor Municipal de Derechos Humanos cuenta con la atribución de ejercer el presupuesto que le asigne el Ayuntamiento, debiendo este último incluir anualmente en su presupuesto de egresos, las partidas correspondientes a la operatividad de la Defensoría Municipal de Derechos Humanos, a saber:</w:t>
      </w:r>
    </w:p>
    <w:p w14:paraId="5F35B44A"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t>“</w:t>
      </w:r>
      <w:r w:rsidRPr="00BE653B">
        <w:rPr>
          <w:rFonts w:ascii="Palatino Linotype" w:eastAsia="Palatino Linotype" w:hAnsi="Palatino Linotype" w:cs="Palatino Linotype"/>
          <w:b/>
          <w:i/>
          <w:sz w:val="22"/>
          <w:szCs w:val="22"/>
        </w:rPr>
        <w:t>Artículo 147 M</w:t>
      </w:r>
      <w:r w:rsidRPr="00BE653B">
        <w:rPr>
          <w:rFonts w:ascii="Palatino Linotype" w:eastAsia="Palatino Linotype" w:hAnsi="Palatino Linotype" w:cs="Palatino Linotype"/>
          <w:i/>
          <w:sz w:val="22"/>
          <w:szCs w:val="22"/>
        </w:rPr>
        <w:t xml:space="preserve">.- El Defensor Municipal de Derechos Humanos ejercerá el presupuesto que le asigne el ayuntamiento, con sujeción a políticas de racionalidad, austeridad y disciplina presupuestal. </w:t>
      </w:r>
    </w:p>
    <w:p w14:paraId="2A525F4A" w14:textId="77777777" w:rsidR="00412355" w:rsidRPr="00BE653B" w:rsidRDefault="00DF2EC2">
      <w:pPr>
        <w:spacing w:before="120" w:after="120"/>
        <w:ind w:left="851"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i/>
          <w:sz w:val="22"/>
          <w:szCs w:val="22"/>
        </w:rPr>
        <w:t xml:space="preserve">Para tal efecto, </w:t>
      </w:r>
      <w:r w:rsidRPr="00BE653B">
        <w:rPr>
          <w:rFonts w:ascii="Palatino Linotype" w:eastAsia="Palatino Linotype" w:hAnsi="Palatino Linotype" w:cs="Palatino Linotype"/>
          <w:b/>
          <w:i/>
          <w:sz w:val="22"/>
          <w:szCs w:val="22"/>
        </w:rPr>
        <w:t>el ayuntamiento anualmente deberá incluir en su presupuesto de egresos, las partidas correspondientes a la operatividad de la Defensoría Municipal de Derechos Humanos.”</w:t>
      </w:r>
    </w:p>
    <w:p w14:paraId="351E5CA5" w14:textId="42FD5491"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Derivado de lo anterior, se advierte que el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debe contar con el soporte documental que dé cuenta del presupuesto asignado a la Defensoría Municipal de los Derechos Humanos, por lo tanto</w:t>
      </w:r>
      <w:r w:rsidR="008D3D3E" w:rsidRPr="00BE653B">
        <w:rPr>
          <w:rFonts w:ascii="Palatino Linotype" w:eastAsia="Palatino Linotype" w:hAnsi="Palatino Linotype" w:cs="Palatino Linotype"/>
        </w:rPr>
        <w:t>,</w:t>
      </w:r>
      <w:r w:rsidRPr="00BE653B">
        <w:rPr>
          <w:rFonts w:ascii="Palatino Linotype" w:eastAsia="Palatino Linotype" w:hAnsi="Palatino Linotype" w:cs="Palatino Linotype"/>
        </w:rPr>
        <w:t xml:space="preserve"> se estima procedente ordenar la entrega del mismo a la persona solicitante para satisfacer su derecho de acceso a la información respecto del punto en análisis.</w:t>
      </w:r>
    </w:p>
    <w:p w14:paraId="68D4F9B6" w14:textId="77777777" w:rsidR="00412355" w:rsidRPr="00BE653B" w:rsidRDefault="00DF2EC2">
      <w:pPr>
        <w:spacing w:before="240" w:after="240" w:line="360" w:lineRule="auto"/>
        <w:ind w:right="51"/>
        <w:jc w:val="both"/>
        <w:rPr>
          <w:rFonts w:ascii="Palatino Linotype" w:eastAsia="Palatino Linotype" w:hAnsi="Palatino Linotype" w:cs="Palatino Linotype"/>
          <w:b/>
        </w:rPr>
      </w:pPr>
      <w:r w:rsidRPr="00BE653B">
        <w:rPr>
          <w:rFonts w:ascii="Palatino Linotype" w:eastAsia="Palatino Linotype" w:hAnsi="Palatino Linotype" w:cs="Palatino Linotype"/>
        </w:rPr>
        <w:t xml:space="preserve">Para tal efecto, es imprescindible mencionar que el presupuesto de egresos es el instrumento jurídico, de política económica y de política de gasto, que aprueba el ayuntamiento, en el cual se establece el ejercicio, control del gasto público y evaluación del desempeño de las dependencias, de acuerdo con su naturaleza </w:t>
      </w:r>
      <w:r w:rsidRPr="00BE653B">
        <w:rPr>
          <w:rFonts w:ascii="Palatino Linotype" w:eastAsia="Palatino Linotype" w:hAnsi="Palatino Linotype" w:cs="Palatino Linotype"/>
        </w:rPr>
        <w:lastRenderedPageBreak/>
        <w:t xml:space="preserve">jurídica y según corresponda, con base en los objetivos, parámetros e indicadores de desempeño y programas derivados del Plan de Desarrollo Municipal, durante el ejercicio fiscal correspondiente y en apego a lo establecido en la legislación aplicable. </w:t>
      </w:r>
    </w:p>
    <w:p w14:paraId="4D7C97CE"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De conformidad con el artículo 290, párrafo tercero del Código Financiero del Estado de México, corresponde a la Tesorería Municipal integrar el presupuesto de egresos, y someterlo a consideración del presidente municipal.</w:t>
      </w:r>
    </w:p>
    <w:p w14:paraId="3FD887C3"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Por su parte el artículo 293 del referido ordenamiento dispone lo siguiente:</w:t>
      </w:r>
    </w:p>
    <w:p w14:paraId="70DD1A14" w14:textId="77777777" w:rsidR="00412355" w:rsidRPr="00BE653B" w:rsidRDefault="00DF2EC2">
      <w:pPr>
        <w:tabs>
          <w:tab w:val="left" w:pos="709"/>
        </w:tabs>
        <w:spacing w:before="120" w:after="120"/>
        <w:ind w:left="851" w:right="76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293</w:t>
      </w:r>
      <w:r w:rsidRPr="00BE653B">
        <w:rPr>
          <w:rFonts w:ascii="Palatino Linotype" w:eastAsia="Palatino Linotype" w:hAnsi="Palatino Linotype" w:cs="Palatino Linotype"/>
          <w:i/>
          <w:sz w:val="22"/>
          <w:szCs w:val="22"/>
        </w:rPr>
        <w:t xml:space="preserve">.- Los capítulos de gasto se </w:t>
      </w:r>
      <w:r w:rsidRPr="00BE653B">
        <w:rPr>
          <w:rFonts w:ascii="Palatino Linotype" w:eastAsia="Palatino Linotype" w:hAnsi="Palatino Linotype" w:cs="Palatino Linotype"/>
          <w:b/>
          <w:i/>
          <w:sz w:val="22"/>
          <w:szCs w:val="22"/>
        </w:rPr>
        <w:t>dividirán en concepto, partida genérica y partida específica, que representarán las autorizaciones específicas del presupuesto</w:t>
      </w:r>
      <w:r w:rsidRPr="00BE653B">
        <w:rPr>
          <w:rFonts w:ascii="Palatino Linotype" w:eastAsia="Palatino Linotype" w:hAnsi="Palatino Linotype" w:cs="Palatino Linotype"/>
          <w:i/>
          <w:sz w:val="22"/>
          <w:szCs w:val="22"/>
        </w:rPr>
        <w:t>, las cuales se encuentran contenidas en el clasificador por objeto de gasto que emita el Consejo Nacional de Armonización Contable y el Consejo de Armonización Contable del Estado de México.</w:t>
      </w:r>
    </w:p>
    <w:p w14:paraId="6D3E7417" w14:textId="77777777" w:rsidR="00412355" w:rsidRPr="00BE653B" w:rsidRDefault="00DF2EC2">
      <w:pPr>
        <w:tabs>
          <w:tab w:val="left" w:pos="709"/>
        </w:tabs>
        <w:spacing w:before="120" w:after="120"/>
        <w:ind w:left="851" w:right="76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 xml:space="preserve">En el caso de los municipios, </w:t>
      </w:r>
      <w:r w:rsidRPr="00BE653B">
        <w:rPr>
          <w:rFonts w:ascii="Palatino Linotype" w:eastAsia="Palatino Linotype" w:hAnsi="Palatino Linotype" w:cs="Palatino Linotype"/>
          <w:b/>
          <w:i/>
          <w:sz w:val="22"/>
          <w:szCs w:val="22"/>
        </w:rPr>
        <w:t>corresponderá a su Tesorería emitir el Clasificador por Objeto del Gasto</w:t>
      </w:r>
      <w:r w:rsidRPr="00BE653B">
        <w:rPr>
          <w:rFonts w:ascii="Palatino Linotype" w:eastAsia="Palatino Linotype" w:hAnsi="Palatino Linotype" w:cs="Palatino Linotype"/>
          <w:i/>
          <w:sz w:val="22"/>
          <w:szCs w:val="22"/>
        </w:rPr>
        <w:t>, el cual deberá guardar congruencia y homogeneidad con el señalado en el párrafo anterior.”</w:t>
      </w:r>
    </w:p>
    <w:p w14:paraId="0FF875E4"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Como se advierte, es atribución de la Tesorería Municipal generar, administrar o poseer el soporte documental que dé cuenta del presupuesto que fue asignado a la Defensoría Municipal de los Derechos Humanos, siendo procedente ordenar la búsqueda exhaustiva y razonable del mismo.</w:t>
      </w:r>
    </w:p>
    <w:p w14:paraId="49CF7615"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Sin contrariar lo anterior, no obsta mencionar que no pasa desapercibido para este Organismo Garante que la persona solicitante omitió señalar de manera concreta la temporalidad sobre la cual requería la información, no obstante, atendiendo a la literalidad del requerimiento, toda vez que solicita el presupuesto “que tiene” la Defensoría, se entiende que su interés se relaciona con la información del ejercicio </w:t>
      </w:r>
      <w:r w:rsidRPr="00BE653B">
        <w:rPr>
          <w:rFonts w:ascii="Palatino Linotype" w:eastAsia="Palatino Linotype" w:hAnsi="Palatino Linotype" w:cs="Palatino Linotype"/>
        </w:rPr>
        <w:lastRenderedPageBreak/>
        <w:t>en curso, por lo que deberá proporcionarse la información que corresponda con el ejercicio 2022.</w:t>
      </w:r>
    </w:p>
    <w:p w14:paraId="36F1DDB2" w14:textId="631502D3"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Respecto del </w:t>
      </w:r>
      <w:r w:rsidRPr="00BE653B">
        <w:rPr>
          <w:rFonts w:ascii="Palatino Linotype" w:eastAsia="Palatino Linotype" w:hAnsi="Palatino Linotype" w:cs="Palatino Linotype"/>
          <w:b/>
        </w:rPr>
        <w:t>punto 3</w:t>
      </w:r>
      <w:r w:rsidRPr="00BE653B">
        <w:rPr>
          <w:rFonts w:ascii="Palatino Linotype" w:eastAsia="Palatino Linotype" w:hAnsi="Palatino Linotype" w:cs="Palatino Linotype"/>
        </w:rPr>
        <w:t xml:space="preserve">, mediante el cual se solicitaron las </w:t>
      </w:r>
      <w:r w:rsidRPr="00BE653B">
        <w:rPr>
          <w:rFonts w:ascii="Palatino Linotype" w:eastAsia="Palatino Linotype" w:hAnsi="Palatino Linotype" w:cs="Palatino Linotype"/>
          <w:b/>
        </w:rPr>
        <w:t>¿la Defensoría Municipal de Derechos Humanos ha realizado alguna recomendación al gobierno municipal?</w:t>
      </w:r>
    </w:p>
    <w:p w14:paraId="77D2B5E0" w14:textId="37A55C75" w:rsidR="00412355" w:rsidRPr="00BE653B" w:rsidRDefault="005C7C28">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En primer lugar</w:t>
      </w:r>
      <w:r w:rsidR="00DF2EC2" w:rsidRPr="00BE653B">
        <w:rPr>
          <w:rFonts w:ascii="Palatino Linotype" w:eastAsia="Palatino Linotype" w:hAnsi="Palatino Linotype" w:cs="Palatino Linotype"/>
        </w:rPr>
        <w:t>, no pasa desapercibido para este Organismo Garante que el particular, al no ser experto en la materia, omitió señalar de manera concreta el o los documentos a los que pretende acceder, no obstante,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w:t>
      </w:r>
    </w:p>
    <w:p w14:paraId="699845C3"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14:paraId="11B93F8E" w14:textId="77777777" w:rsidR="00412355" w:rsidRPr="00BE653B" w:rsidRDefault="00DF2EC2">
      <w:pPr>
        <w:spacing w:after="120"/>
        <w:ind w:left="851" w:right="902"/>
        <w:jc w:val="both"/>
        <w:rPr>
          <w:rFonts w:ascii="Palatino Linotype" w:eastAsia="Palatino Linotype" w:hAnsi="Palatino Linotype" w:cs="Palatino Linotype"/>
          <w:sz w:val="22"/>
          <w:szCs w:val="22"/>
        </w:rPr>
      </w:pPr>
      <w:r w:rsidRPr="00BE653B">
        <w:rPr>
          <w:sz w:val="22"/>
          <w:szCs w:val="22"/>
        </w:rPr>
        <w:t xml:space="preserve"> “</w:t>
      </w:r>
      <w:r w:rsidRPr="00BE653B">
        <w:rPr>
          <w:rFonts w:ascii="Palatino Linotype" w:eastAsia="Palatino Linotype" w:hAnsi="Palatino Linotype" w:cs="Palatino Linotype"/>
          <w:b/>
          <w:i/>
          <w:sz w:val="22"/>
          <w:szCs w:val="22"/>
        </w:rPr>
        <w:t xml:space="preserve">Expresión documental. </w:t>
      </w:r>
      <w:r w:rsidRPr="00BE653B">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32ACE5D2" w14:textId="77777777" w:rsidR="00412355" w:rsidRPr="00BE653B" w:rsidRDefault="00DF2EC2">
      <w:pPr>
        <w:spacing w:line="360" w:lineRule="auto"/>
        <w:jc w:val="both"/>
        <w:rPr>
          <w:rFonts w:ascii="Palatino Linotype" w:eastAsia="Palatino Linotype" w:hAnsi="Palatino Linotype" w:cs="Palatino Linotype"/>
        </w:rPr>
      </w:pPr>
      <w:bookmarkStart w:id="4" w:name="_heading=h.gjdgxs" w:colFirst="0" w:colLast="0"/>
      <w:bookmarkStart w:id="5" w:name="_heading=h.xjmkqg9w2p0k" w:colFirst="0" w:colLast="0"/>
      <w:bookmarkEnd w:id="4"/>
      <w:bookmarkEnd w:id="5"/>
      <w:r w:rsidRPr="00BE653B">
        <w:rPr>
          <w:rFonts w:ascii="Palatino Linotype" w:eastAsia="Palatino Linotype" w:hAnsi="Palatino Linotype" w:cs="Palatino Linotype"/>
        </w:rPr>
        <w:lastRenderedPageBreak/>
        <w:t>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2DF9696E" w14:textId="08112917" w:rsidR="00412355" w:rsidRPr="00BE653B" w:rsidRDefault="005C7C28" w:rsidP="005C7C28">
      <w:pPr>
        <w:spacing w:before="120" w:after="120"/>
        <w:ind w:left="851" w:right="902"/>
        <w:jc w:val="both"/>
        <w:rPr>
          <w:rFonts w:ascii="Palatino Linotype" w:eastAsia="Palatino Linotype" w:hAnsi="Palatino Linotype" w:cs="Palatino Linotype"/>
          <w:i/>
          <w:sz w:val="22"/>
          <w:szCs w:val="22"/>
        </w:rPr>
      </w:pPr>
      <w:bookmarkStart w:id="6" w:name="_heading=h.3t7oiuyqdcb2" w:colFirst="0" w:colLast="0"/>
      <w:bookmarkEnd w:id="6"/>
      <w:r w:rsidRPr="00BE653B">
        <w:rPr>
          <w:rFonts w:ascii="Palatino Linotype" w:eastAsia="Palatino Linotype" w:hAnsi="Palatino Linotype" w:cs="Palatino Linotype"/>
          <w:i/>
          <w:sz w:val="22"/>
          <w:szCs w:val="22"/>
        </w:rPr>
        <w:t>“</w:t>
      </w:r>
      <w:r w:rsidR="00DF2EC2" w:rsidRPr="00BE653B">
        <w:rPr>
          <w:rFonts w:ascii="Palatino Linotype" w:eastAsia="Palatino Linotype" w:hAnsi="Palatino Linotype" w:cs="Palatino Linotype"/>
          <w:b/>
          <w:bCs/>
          <w:i/>
          <w:sz w:val="22"/>
          <w:szCs w:val="22"/>
        </w:rPr>
        <w:t>Artículo 18</w:t>
      </w:r>
      <w:r w:rsidR="00DF2EC2" w:rsidRPr="00BE653B">
        <w:rPr>
          <w:rFonts w:ascii="Palatino Linotype" w:eastAsia="Palatino Linotype" w:hAnsi="Palatino Linotype" w:cs="Palatino Linotype"/>
          <w:i/>
          <w:sz w:val="22"/>
          <w:szCs w:val="22"/>
        </w:rPr>
        <w:t>. Los sujetos obligados deberán documentar todo acto que derive del ejercicio de sus facultades, competencias o funciones, considerando desde su origen la eventual publicidad y reutilización de la información que generen.</w:t>
      </w:r>
      <w:r w:rsidRPr="00BE653B">
        <w:rPr>
          <w:rFonts w:ascii="Palatino Linotype" w:eastAsia="Palatino Linotype" w:hAnsi="Palatino Linotype" w:cs="Palatino Linotype"/>
          <w:i/>
          <w:sz w:val="22"/>
          <w:szCs w:val="22"/>
        </w:rPr>
        <w:t>”</w:t>
      </w:r>
    </w:p>
    <w:p w14:paraId="544E6705"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Precisado lo anterior se procede al análisis del ámbito competencial del Sujeto Obligado a fin de determinar si genera, posee o administra la información solicitada, para lo cual es oportuno mencionar que, una recomendación, según la definición disponible en la página oficial</w:t>
      </w:r>
      <w:r w:rsidRPr="00BE653B">
        <w:rPr>
          <w:rFonts w:ascii="Palatino Linotype" w:eastAsia="Palatino Linotype" w:hAnsi="Palatino Linotype" w:cs="Palatino Linotype"/>
          <w:vertAlign w:val="superscript"/>
        </w:rPr>
        <w:footnoteReference w:id="6"/>
      </w:r>
      <w:r w:rsidRPr="00BE653B">
        <w:rPr>
          <w:rFonts w:ascii="Palatino Linotype" w:eastAsia="Palatino Linotype" w:hAnsi="Palatino Linotype" w:cs="Palatino Linotype"/>
        </w:rPr>
        <w:t xml:space="preserve"> de la Comisión de Derechos Humanos del Estado de México, es una resolución derivada de una investigación en la que se acreditan violaciones a derechos humanos. El documento incluye la descripción de los hechos, las evidencias reunidas </w:t>
      </w:r>
      <w:r w:rsidRPr="00BE653B">
        <w:rPr>
          <w:rFonts w:ascii="Palatino Linotype" w:eastAsia="Palatino Linotype" w:hAnsi="Palatino Linotype" w:cs="Palatino Linotype"/>
          <w:b/>
        </w:rPr>
        <w:t xml:space="preserve">resultado de las diversas diligencias practicadas por personal adscrito a las </w:t>
      </w:r>
      <w:proofErr w:type="spellStart"/>
      <w:r w:rsidRPr="00BE653B">
        <w:rPr>
          <w:rFonts w:ascii="Palatino Linotype" w:eastAsia="Palatino Linotype" w:hAnsi="Palatino Linotype" w:cs="Palatino Linotype"/>
          <w:b/>
        </w:rPr>
        <w:t>Visitadurías</w:t>
      </w:r>
      <w:proofErr w:type="spellEnd"/>
      <w:r w:rsidRPr="00BE653B">
        <w:rPr>
          <w:rFonts w:ascii="Palatino Linotype" w:eastAsia="Palatino Linotype" w:hAnsi="Palatino Linotype" w:cs="Palatino Linotype"/>
          <w:b/>
        </w:rPr>
        <w:t xml:space="preserve"> del Organismo,</w:t>
      </w:r>
      <w:r w:rsidRPr="00BE653B">
        <w:rPr>
          <w:rFonts w:ascii="Palatino Linotype" w:eastAsia="Palatino Linotype" w:hAnsi="Palatino Linotype" w:cs="Palatino Linotype"/>
        </w:rPr>
        <w:t xml:space="preserve"> así como las ponderaciones, que describen y argumentan los derechos humanos vulnerados a las personas por actos u omisiones de las autoridades y servidores públicos en ejercicio de sus funciones. Al final, se incluyen puntos recomendatorios con fines específicos tendentes a hacer prevalecer los derechos fundamentales de la personas, y si bien no son vinculantes, su probada oportunidad, implicaciones éticas y basamento en los derechos humanos la erigen en un instrumento público que permite el correcto </w:t>
      </w:r>
      <w:r w:rsidRPr="00BE653B">
        <w:rPr>
          <w:rFonts w:ascii="Palatino Linotype" w:eastAsia="Palatino Linotype" w:hAnsi="Palatino Linotype" w:cs="Palatino Linotype"/>
        </w:rPr>
        <w:lastRenderedPageBreak/>
        <w:t>funcionamiento de las instituciones al revelar el abuso e irregularidades cometidas por servidores públicos municipales y estatales, así como alternativas que permitan erradicar dichas conductas con el distintivo enfoque del respeto a la dignidad humana.</w:t>
      </w:r>
    </w:p>
    <w:p w14:paraId="5ED2FE49"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Al respecto, es de mencionar que de las atribuciones conferidas a la Defensoría Municipal de Derechos Humanos, a través de los artículos 147 K de Ley Orgánica Municipal del Estado de México, 9 del Reglamento  de Organización y Funcionamiento de las Defensorías Municipales de Derechos Humanos  y 3.323 del Código de Reglamentación Municipal de Metepec, no se advierte que dicho Organismo esté facultado para emitir recomendaciones relacionadas con violaciones a Derechos Humanos, pues dichos ordenamientos únicamente le facultan para </w:t>
      </w:r>
      <w:r w:rsidRPr="00BE653B">
        <w:rPr>
          <w:rFonts w:ascii="Palatino Linotype" w:eastAsia="Palatino Linotype" w:hAnsi="Palatino Linotype" w:cs="Palatino Linotype"/>
          <w:b/>
        </w:rPr>
        <w:t>coadyuvar a la Comisión de Derechos Humanos del Estado de México en el seguimiento de recomendaciones que este Organismo</w:t>
      </w:r>
      <w:r w:rsidRPr="00BE653B">
        <w:rPr>
          <w:rFonts w:ascii="Palatino Linotype" w:eastAsia="Palatino Linotype" w:hAnsi="Palatino Linotype" w:cs="Palatino Linotype"/>
        </w:rPr>
        <w:t xml:space="preserve"> </w:t>
      </w:r>
      <w:r w:rsidRPr="00BE653B">
        <w:rPr>
          <w:rFonts w:ascii="Palatino Linotype" w:eastAsia="Palatino Linotype" w:hAnsi="Palatino Linotype" w:cs="Palatino Linotype"/>
          <w:b/>
        </w:rPr>
        <w:t>dicte</w:t>
      </w:r>
      <w:r w:rsidRPr="00BE653B">
        <w:rPr>
          <w:rFonts w:ascii="Palatino Linotype" w:eastAsia="Palatino Linotype" w:hAnsi="Palatino Linotype" w:cs="Palatino Linotype"/>
        </w:rPr>
        <w:t xml:space="preserve"> en contra de autoridades o servidores públicos que residan o ejerzan funciones dentro del municipio, como se lee enseguida:</w:t>
      </w:r>
    </w:p>
    <w:p w14:paraId="5F721DB2" w14:textId="77777777" w:rsidR="00412355" w:rsidRPr="00BE653B" w:rsidRDefault="00DF2EC2">
      <w:pPr>
        <w:spacing w:before="120" w:after="120"/>
        <w:ind w:left="851"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Ley Orgánica Municipal del Estado de México</w:t>
      </w:r>
    </w:p>
    <w:p w14:paraId="4A8AD356" w14:textId="77777777" w:rsidR="005C7C28"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147 K.-</w:t>
      </w:r>
      <w:r w:rsidRPr="00BE653B">
        <w:rPr>
          <w:rFonts w:ascii="Palatino Linotype" w:eastAsia="Palatino Linotype" w:hAnsi="Palatino Linotype" w:cs="Palatino Linotype"/>
          <w:i/>
          <w:sz w:val="22"/>
          <w:szCs w:val="22"/>
        </w:rPr>
        <w:t xml:space="preserve"> Son atribuciones del Defensor Municipal de Derechos Humanos:</w:t>
      </w:r>
    </w:p>
    <w:p w14:paraId="37EA1413" w14:textId="4ADA57F1" w:rsidR="00412355" w:rsidRPr="00BE653B" w:rsidRDefault="00DF2EC2" w:rsidP="005C7C28">
      <w:pPr>
        <w:spacing w:before="120" w:after="120"/>
        <w:ind w:left="1134"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i/>
          <w:sz w:val="22"/>
          <w:szCs w:val="22"/>
        </w:rPr>
        <w:t>…</w:t>
      </w:r>
    </w:p>
    <w:p w14:paraId="2A10F1A6" w14:textId="77777777" w:rsidR="00412355" w:rsidRPr="00BE653B" w:rsidRDefault="00DF2EC2" w:rsidP="005C7C28">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VII.</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Coadyuvar</w:t>
      </w:r>
      <w:r w:rsidRPr="00BE653B">
        <w:rPr>
          <w:rFonts w:ascii="Palatino Linotype" w:eastAsia="Palatino Linotype" w:hAnsi="Palatino Linotype" w:cs="Palatino Linotype"/>
          <w:i/>
          <w:sz w:val="22"/>
          <w:szCs w:val="22"/>
        </w:rPr>
        <w:t xml:space="preserve"> con la Comisión de Derechos Humanos del Estado de México </w:t>
      </w:r>
      <w:r w:rsidRPr="00BE653B">
        <w:rPr>
          <w:rFonts w:ascii="Palatino Linotype" w:eastAsia="Palatino Linotype" w:hAnsi="Palatino Linotype" w:cs="Palatino Linotype"/>
          <w:b/>
          <w:i/>
          <w:sz w:val="22"/>
          <w:szCs w:val="22"/>
        </w:rPr>
        <w:t>en el seguimiento de las recomendaciones que el organismo dicte</w:t>
      </w:r>
      <w:r w:rsidRPr="00BE653B">
        <w:rPr>
          <w:rFonts w:ascii="Palatino Linotype" w:eastAsia="Palatino Linotype" w:hAnsi="Palatino Linotype" w:cs="Palatino Linotype"/>
          <w:i/>
          <w:sz w:val="22"/>
          <w:szCs w:val="22"/>
        </w:rPr>
        <w:t xml:space="preserve"> en contra de autoridades o servidores públicos que residan o ejerzan funciones dentro del Municipio;”</w:t>
      </w:r>
    </w:p>
    <w:p w14:paraId="6713317D" w14:textId="77777777" w:rsidR="00412355" w:rsidRPr="00BE653B" w:rsidRDefault="00412355">
      <w:pPr>
        <w:spacing w:before="120" w:after="120"/>
        <w:ind w:left="851" w:right="902"/>
        <w:jc w:val="both"/>
        <w:rPr>
          <w:rFonts w:ascii="Palatino Linotype" w:eastAsia="Palatino Linotype" w:hAnsi="Palatino Linotype" w:cs="Palatino Linotype"/>
          <w:i/>
          <w:sz w:val="22"/>
          <w:szCs w:val="22"/>
        </w:rPr>
      </w:pPr>
    </w:p>
    <w:p w14:paraId="665E6D7D" w14:textId="77777777" w:rsidR="00412355" w:rsidRPr="00BE653B" w:rsidRDefault="00412355">
      <w:pPr>
        <w:spacing w:before="120" w:after="120"/>
        <w:ind w:left="851" w:right="902"/>
        <w:jc w:val="both"/>
        <w:rPr>
          <w:rFonts w:ascii="Palatino Linotype" w:eastAsia="Palatino Linotype" w:hAnsi="Palatino Linotype" w:cs="Palatino Linotype"/>
          <w:b/>
          <w:i/>
          <w:sz w:val="22"/>
          <w:szCs w:val="22"/>
        </w:rPr>
      </w:pPr>
    </w:p>
    <w:p w14:paraId="4F9B2F86" w14:textId="5DD8BFE1" w:rsidR="00412355" w:rsidRPr="00BE653B" w:rsidRDefault="00DF2EC2">
      <w:pPr>
        <w:spacing w:before="120" w:after="120"/>
        <w:ind w:left="851"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lastRenderedPageBreak/>
        <w:t xml:space="preserve">Reglamento de Organización y Funcionamiento de las Defensorías Municipales de Derechos Humanos </w:t>
      </w:r>
    </w:p>
    <w:p w14:paraId="0F7AFCBA" w14:textId="77777777" w:rsidR="00412355" w:rsidRPr="00BE653B" w:rsidRDefault="00DF2EC2">
      <w:pPr>
        <w:spacing w:before="120" w:after="120"/>
        <w:ind w:left="851"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Artículo 26.-</w:t>
      </w:r>
      <w:r w:rsidRPr="00BE653B">
        <w:rPr>
          <w:rFonts w:ascii="Palatino Linotype" w:eastAsia="Palatino Linotype" w:hAnsi="Palatino Linotype" w:cs="Palatino Linotype"/>
          <w:i/>
          <w:sz w:val="22"/>
          <w:szCs w:val="22"/>
        </w:rPr>
        <w:t xml:space="preserve"> Las </w:t>
      </w:r>
      <w:r w:rsidRPr="00BE653B">
        <w:rPr>
          <w:rFonts w:ascii="Palatino Linotype" w:eastAsia="Palatino Linotype" w:hAnsi="Palatino Linotype" w:cs="Palatino Linotype"/>
          <w:b/>
          <w:i/>
          <w:sz w:val="22"/>
          <w:szCs w:val="22"/>
        </w:rPr>
        <w:t>Defensorías Municipales deben dar seguimiento a las recomendaciones que se emitan</w:t>
      </w:r>
      <w:r w:rsidRPr="00BE653B">
        <w:rPr>
          <w:rFonts w:ascii="Palatino Linotype" w:eastAsia="Palatino Linotype" w:hAnsi="Palatino Linotype" w:cs="Palatino Linotype"/>
          <w:i/>
          <w:sz w:val="22"/>
          <w:szCs w:val="22"/>
        </w:rPr>
        <w:t xml:space="preserve"> en relación con autoridades o servidores públicos que residan o ejerzan funciones dentro del municipio, </w:t>
      </w:r>
      <w:r w:rsidRPr="00BE653B">
        <w:rPr>
          <w:rFonts w:ascii="Palatino Linotype" w:eastAsia="Palatino Linotype" w:hAnsi="Palatino Linotype" w:cs="Palatino Linotype"/>
          <w:b/>
          <w:i/>
          <w:sz w:val="22"/>
          <w:szCs w:val="22"/>
        </w:rPr>
        <w:t>de conformidad con lo establecido por la Comisión.</w:t>
      </w:r>
    </w:p>
    <w:p w14:paraId="7C3E2543" w14:textId="77777777" w:rsidR="00412355" w:rsidRPr="00BE653B" w:rsidRDefault="00412355">
      <w:pPr>
        <w:spacing w:before="120" w:after="120"/>
        <w:ind w:left="851" w:right="902"/>
        <w:jc w:val="both"/>
        <w:rPr>
          <w:rFonts w:ascii="Palatino Linotype" w:eastAsia="Palatino Linotype" w:hAnsi="Palatino Linotype" w:cs="Palatino Linotype"/>
          <w:b/>
          <w:i/>
          <w:sz w:val="22"/>
          <w:szCs w:val="22"/>
        </w:rPr>
      </w:pPr>
    </w:p>
    <w:p w14:paraId="7728764B" w14:textId="77777777" w:rsidR="00412355" w:rsidRPr="00BE653B" w:rsidRDefault="00DF2EC2">
      <w:pPr>
        <w:spacing w:before="120" w:after="120"/>
        <w:ind w:left="851"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Código de Reglamentación Municipal de Metepec</w:t>
      </w:r>
    </w:p>
    <w:p w14:paraId="664F1E4B"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3.323</w:t>
      </w:r>
      <w:r w:rsidRPr="00BE653B">
        <w:rPr>
          <w:rFonts w:ascii="Palatino Linotype" w:eastAsia="Palatino Linotype" w:hAnsi="Palatino Linotype" w:cs="Palatino Linotype"/>
          <w:i/>
          <w:sz w:val="22"/>
          <w:szCs w:val="22"/>
        </w:rPr>
        <w:t>. Son atribuciones del Defensor Municipal de los Derechos Humanos:</w:t>
      </w:r>
    </w:p>
    <w:p w14:paraId="044A179D" w14:textId="77777777" w:rsidR="00412355" w:rsidRPr="00BE653B" w:rsidRDefault="00DF2EC2" w:rsidP="005C7C28">
      <w:pPr>
        <w:spacing w:before="120" w:after="120"/>
        <w:ind w:left="1134"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w:t>
      </w:r>
    </w:p>
    <w:p w14:paraId="297898E2" w14:textId="77777777" w:rsidR="00412355" w:rsidRPr="00BE653B" w:rsidRDefault="00DF2EC2" w:rsidP="005C7C28">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VII.</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Coadyuvar</w:t>
      </w:r>
      <w:r w:rsidRPr="00BE653B">
        <w:rPr>
          <w:rFonts w:ascii="Palatino Linotype" w:eastAsia="Palatino Linotype" w:hAnsi="Palatino Linotype" w:cs="Palatino Linotype"/>
          <w:i/>
          <w:sz w:val="22"/>
          <w:szCs w:val="22"/>
        </w:rPr>
        <w:t xml:space="preserve"> con la Comisión de Derechos Humanos del Estado de México </w:t>
      </w:r>
      <w:r w:rsidRPr="00BE653B">
        <w:rPr>
          <w:rFonts w:ascii="Palatino Linotype" w:eastAsia="Palatino Linotype" w:hAnsi="Palatino Linotype" w:cs="Palatino Linotype"/>
          <w:b/>
          <w:i/>
          <w:sz w:val="22"/>
          <w:szCs w:val="22"/>
        </w:rPr>
        <w:t>en el seguimiento de las recomendaciones que el organismo dicte</w:t>
      </w:r>
      <w:r w:rsidRPr="00BE653B">
        <w:rPr>
          <w:rFonts w:ascii="Palatino Linotype" w:eastAsia="Palatino Linotype" w:hAnsi="Palatino Linotype" w:cs="Palatino Linotype"/>
          <w:i/>
          <w:sz w:val="22"/>
          <w:szCs w:val="22"/>
        </w:rPr>
        <w:t xml:space="preserve"> en contra de autoridades o servidores públicos que residan o ejerzan funciones dentro del Municipio;”</w:t>
      </w:r>
    </w:p>
    <w:p w14:paraId="128DEE72"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esta tesitura, se precisa que es la Comisión de Derechos Humanos del Estado de México el organismo facultado para formular recomendaciones públicas no vinculatorias, derivado de la comprobación de violaciones a derechos humanos, tal y como se lee en los artículos 16, párrafos primero y tercero de la Constitución Política del Estado Libre y Soberano de México y 13, fracciones VIII y IX de la Ley de la Comisión de Derechos Humanos del Estado de México </w:t>
      </w:r>
    </w:p>
    <w:p w14:paraId="6A0144CF"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16.-</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La Legislatura del Estado establecerá un organismo autónomo para la protección de los derechos humanos</w:t>
      </w:r>
      <w:r w:rsidRPr="00BE653B">
        <w:rPr>
          <w:rFonts w:ascii="Palatino Linotype" w:eastAsia="Palatino Linotype" w:hAnsi="Palatino Linotype" w:cs="Palatino Linotype"/>
          <w:i/>
          <w:sz w:val="22"/>
          <w:szCs w:val="22"/>
        </w:rPr>
        <w:t xml:space="preserve"> que reconoce el orden jurídico mexicano, el cual conocerá de quejas en contra de actos u omisiones de naturaleza administrativa, provenientes de cualquier autoridad o servidor público del Estado, o de los municipios que violen los derechos humanos. </w:t>
      </w:r>
      <w:r w:rsidRPr="00BE653B">
        <w:rPr>
          <w:rFonts w:ascii="Palatino Linotype" w:eastAsia="Palatino Linotype" w:hAnsi="Palatino Linotype" w:cs="Palatino Linotype"/>
          <w:b/>
          <w:i/>
          <w:sz w:val="22"/>
          <w:szCs w:val="22"/>
        </w:rPr>
        <w:t>Este organismo formulará recomendaciones públicas</w:t>
      </w:r>
      <w:r w:rsidRPr="00BE653B">
        <w:rPr>
          <w:rFonts w:ascii="Palatino Linotype" w:eastAsia="Palatino Linotype" w:hAnsi="Palatino Linotype" w:cs="Palatino Linotype"/>
          <w:i/>
          <w:sz w:val="22"/>
          <w:szCs w:val="22"/>
        </w:rPr>
        <w:t xml:space="preserve"> no vinculatorias, así como denuncias y quejas ante las autoridades respectivas.</w:t>
      </w:r>
    </w:p>
    <w:p w14:paraId="4DB99848"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
    <w:p w14:paraId="6413EF40"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
    <w:p w14:paraId="6BCE5612"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lastRenderedPageBreak/>
        <w:t>El organismo que establecerá la Legislatura del Estado se denominará Comisión de Derechos Humanos del Estado de México</w:t>
      </w:r>
      <w:r w:rsidRPr="00BE653B">
        <w:rPr>
          <w:rFonts w:ascii="Palatino Linotype" w:eastAsia="Palatino Linotype" w:hAnsi="Palatino Linotype" w:cs="Palatino Linotype"/>
          <w:i/>
          <w:sz w:val="22"/>
          <w:szCs w:val="22"/>
        </w:rPr>
        <w:t>, contará con autonomía de gestión y presupuestaria, personalidad jurídica y patrimonio propio.”</w:t>
      </w:r>
    </w:p>
    <w:p w14:paraId="65C8D8FD" w14:textId="77777777" w:rsidR="00412355" w:rsidRPr="00BE653B" w:rsidRDefault="00412355">
      <w:pPr>
        <w:spacing w:before="120" w:after="120"/>
        <w:ind w:left="851" w:right="902"/>
        <w:jc w:val="both"/>
        <w:rPr>
          <w:rFonts w:ascii="Palatino Linotype" w:eastAsia="Palatino Linotype" w:hAnsi="Palatino Linotype" w:cs="Palatino Linotype"/>
          <w:i/>
          <w:sz w:val="22"/>
          <w:szCs w:val="22"/>
        </w:rPr>
      </w:pPr>
    </w:p>
    <w:p w14:paraId="653943D7"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Artículo 13</w:t>
      </w:r>
      <w:r w:rsidRPr="00BE653B">
        <w:rPr>
          <w:rFonts w:ascii="Palatino Linotype" w:eastAsia="Palatino Linotype" w:hAnsi="Palatino Linotype" w:cs="Palatino Linotype"/>
          <w:i/>
          <w:sz w:val="22"/>
          <w:szCs w:val="22"/>
        </w:rPr>
        <w:t>.- Para el cumplimiento de sus objetivos la Comisión tiene las atribuciones siguientes:</w:t>
      </w:r>
    </w:p>
    <w:p w14:paraId="60EC7874" w14:textId="77777777" w:rsidR="00412355" w:rsidRPr="00BE653B" w:rsidRDefault="00DF2EC2">
      <w:pPr>
        <w:spacing w:before="120" w:after="120"/>
        <w:ind w:left="1134"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w:t>
      </w:r>
    </w:p>
    <w:p w14:paraId="6AD5E2D0"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VIII</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Formular recomendaciones</w:t>
      </w:r>
      <w:r w:rsidRPr="00BE653B">
        <w:rPr>
          <w:rFonts w:ascii="Palatino Linotype" w:eastAsia="Palatino Linotype" w:hAnsi="Palatino Linotype" w:cs="Palatino Linotype"/>
          <w:i/>
          <w:sz w:val="22"/>
          <w:szCs w:val="22"/>
        </w:rPr>
        <w:t xml:space="preserve"> públicas no vinculatorias y demás resoluciones que contemple esta Ley; </w:t>
      </w:r>
    </w:p>
    <w:p w14:paraId="2A6B3C40"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IX</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 xml:space="preserve">Emitir </w:t>
      </w:r>
      <w:r w:rsidRPr="00BE653B">
        <w:rPr>
          <w:rFonts w:ascii="Palatino Linotype" w:eastAsia="Palatino Linotype" w:hAnsi="Palatino Linotype" w:cs="Palatino Linotype"/>
          <w:i/>
          <w:sz w:val="22"/>
          <w:szCs w:val="22"/>
        </w:rPr>
        <w:t xml:space="preserve">Pronunciamientos, </w:t>
      </w:r>
      <w:r w:rsidRPr="00BE653B">
        <w:rPr>
          <w:rFonts w:ascii="Palatino Linotype" w:eastAsia="Palatino Linotype" w:hAnsi="Palatino Linotype" w:cs="Palatino Linotype"/>
          <w:b/>
          <w:i/>
          <w:sz w:val="22"/>
          <w:szCs w:val="22"/>
        </w:rPr>
        <w:t xml:space="preserve">Recomendaciones </w:t>
      </w:r>
      <w:r w:rsidRPr="00BE653B">
        <w:rPr>
          <w:rFonts w:ascii="Palatino Linotype" w:eastAsia="Palatino Linotype" w:hAnsi="Palatino Linotype" w:cs="Palatino Linotype"/>
          <w:i/>
          <w:sz w:val="22"/>
          <w:szCs w:val="22"/>
        </w:rPr>
        <w:t>y Criterios, de carácter general, conducentes a una mejor protección de los derechos humanos;</w:t>
      </w:r>
    </w:p>
    <w:p w14:paraId="6EF3324C"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Acotado lo anterior, es evidente que no existe fuente obligacional que constriña a la Defensoría Municipal de los Derechos Humanos del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a emitir recomendaciones, por lo tanto, no se estima procedente ordenar la entrega de información alguna para atender el punto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BE653B">
        <w:rPr>
          <w:rFonts w:ascii="Palatino Linotype" w:eastAsia="Palatino Linotype" w:hAnsi="Palatino Linotype" w:cs="Palatino Linotype"/>
          <w:i/>
        </w:rPr>
        <w:t xml:space="preserve"> contrario sensu</w:t>
      </w:r>
      <w:r w:rsidRPr="00BE653B">
        <w:rPr>
          <w:rFonts w:ascii="Palatino Linotype" w:eastAsia="Palatino Linotype" w:hAnsi="Palatino Linotype" w:cs="Palatino Linotype"/>
        </w:rPr>
        <w:t xml:space="preserve"> significa que no se está obligado a proporcionar lo que no obre en sus archivos.</w:t>
      </w:r>
    </w:p>
    <w:p w14:paraId="02DD7FA8" w14:textId="77777777" w:rsidR="00412355" w:rsidRPr="00BE653B" w:rsidRDefault="00DF2EC2">
      <w:pPr>
        <w:spacing w:before="240" w:after="360" w:line="360" w:lineRule="auto"/>
        <w:ind w:right="18"/>
        <w:jc w:val="both"/>
        <w:rPr>
          <w:rFonts w:ascii="Palatino Linotype" w:eastAsia="Palatino Linotype" w:hAnsi="Palatino Linotype" w:cs="Palatino Linotype"/>
        </w:rPr>
      </w:pPr>
      <w:r w:rsidRPr="00BE653B">
        <w:rPr>
          <w:rFonts w:ascii="Palatino Linotype" w:eastAsia="Palatino Linotype" w:hAnsi="Palatino Linotype" w:cs="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0676EED5" w14:textId="1658A276"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lastRenderedPageBreak/>
        <w:t xml:space="preserve">Respecto al </w:t>
      </w:r>
      <w:r w:rsidRPr="00BE653B">
        <w:rPr>
          <w:rFonts w:ascii="Palatino Linotype" w:eastAsia="Palatino Linotype" w:hAnsi="Palatino Linotype" w:cs="Palatino Linotype"/>
          <w:b/>
        </w:rPr>
        <w:t xml:space="preserve">punto 4, </w:t>
      </w:r>
      <w:r w:rsidRPr="00BE653B">
        <w:rPr>
          <w:rFonts w:ascii="Palatino Linotype" w:eastAsia="Palatino Linotype" w:hAnsi="Palatino Linotype" w:cs="Palatino Linotype"/>
        </w:rPr>
        <w:t xml:space="preserve">mediante el cual se solicitó el </w:t>
      </w:r>
      <w:r w:rsidRPr="00BE653B">
        <w:rPr>
          <w:rFonts w:ascii="Palatino Linotype" w:eastAsia="Palatino Linotype" w:hAnsi="Palatino Linotype" w:cs="Palatino Linotype"/>
          <w:b/>
        </w:rPr>
        <w:t>monto de deuda del Ayuntamiento con la Comisión Federal de Electricidad,</w:t>
      </w:r>
      <w:r w:rsidRPr="00BE653B">
        <w:rPr>
          <w:rFonts w:ascii="Palatino Linotype" w:eastAsia="Palatino Linotype" w:hAnsi="Palatino Linotype" w:cs="Palatino Linotype"/>
        </w:rPr>
        <w:t xml:space="preserve"> es </w:t>
      </w:r>
      <w:r w:rsidR="000E02DA" w:rsidRPr="00BE653B">
        <w:rPr>
          <w:rFonts w:ascii="Palatino Linotype" w:eastAsia="Palatino Linotype" w:hAnsi="Palatino Linotype" w:cs="Palatino Linotype"/>
        </w:rPr>
        <w:t xml:space="preserve">alusivo </w:t>
      </w:r>
      <w:r w:rsidRPr="00BE653B">
        <w:rPr>
          <w:rFonts w:ascii="Palatino Linotype" w:eastAsia="Palatino Linotype" w:hAnsi="Palatino Linotype" w:cs="Palatino Linotype"/>
        </w:rPr>
        <w:t>el Manual Único de Contabilidad Gubernamental para las Dependencias y Entidades Públicas del Gobierno y Municipios del Estado de México</w:t>
      </w:r>
      <w:r w:rsidRPr="00BE653B">
        <w:rPr>
          <w:rFonts w:ascii="Palatino Linotype" w:eastAsia="Palatino Linotype" w:hAnsi="Palatino Linotype" w:cs="Palatino Linotype"/>
          <w:vertAlign w:val="superscript"/>
        </w:rPr>
        <w:footnoteReference w:id="7"/>
      </w:r>
      <w:r w:rsidRPr="00BE653B">
        <w:rPr>
          <w:rFonts w:ascii="Palatino Linotype" w:eastAsia="Palatino Linotype" w:hAnsi="Palatino Linotype" w:cs="Palatino Linotype"/>
        </w:rPr>
        <w:t>, al proporcionar los elementos necesarios para que los entes públicos contabilicen sus operaciones al establecer criterios en materia de contabilidad, mediante un conjunto de conceptos homogéneos que facilitan distinguir y formar agrupaciones generales para detallar los distintos conceptos de cargo y abono por los que cada cuenta deberá ser afectada, indicando el número respectivo, su denominación, clasificación y naturaleza, así como la representatividad de su saldo, y para ello establece un lista de cuentas autorizadas, entre las que se encuentra los conceptos siguientes:</w:t>
      </w:r>
    </w:p>
    <w:p w14:paraId="1BB50799" w14:textId="77777777" w:rsidR="00412355" w:rsidRPr="00BE653B" w:rsidRDefault="00DF2EC2">
      <w:pPr>
        <w:spacing w:before="240" w:after="240" w:line="360" w:lineRule="auto"/>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081D6262" wp14:editId="6A541068">
            <wp:extent cx="4680000" cy="460578"/>
            <wp:effectExtent l="0" t="0" r="0" b="0"/>
            <wp:docPr id="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680000" cy="460578"/>
                    </a:xfrm>
                    <a:prstGeom prst="rect">
                      <a:avLst/>
                    </a:prstGeom>
                    <a:ln/>
                  </pic:spPr>
                </pic:pic>
              </a:graphicData>
            </a:graphic>
          </wp:inline>
        </w:drawing>
      </w:r>
    </w:p>
    <w:p w14:paraId="0AF1351E" w14:textId="77777777" w:rsidR="00412355" w:rsidRPr="00BE653B" w:rsidRDefault="00DF2EC2">
      <w:pPr>
        <w:spacing w:before="240" w:after="36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Ahora bien, en términos del artículo 93 de la Ley Orgánica Municipal, es la Tesorería Municipal el órgano encargado de la recaudación de los ingresos municipales y responsable de realizar las erogaciones que haga el Ayuntamiento, por tanto, le compete a éste, rendir anualmente los informes de resultados y la situación fiscal del ejercicio fiscal inmediato anterior de la cuenta pública, en cuyo contenido debe encontrarse inmersa la información económica, patrimonial, administrativa, presupuestal, programática, cualitativa y cuantitativa que muestra los resultados de la ejecución de la Ley de Ingresos y Presupuestos de Egresos.</w:t>
      </w:r>
    </w:p>
    <w:p w14:paraId="628F817F"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lastRenderedPageBreak/>
        <w:t xml:space="preserve">Dentro de esta perspectiva, los informes deben rendirse al Órgano Superior de Fiscalización del Estado de México, para su análisis y evaluación, según lo prescrito en el artículo 350 del Código Financiero del Estado de México y Municipios, acatando lo dispuesto en los Lineamientos para la integración y entrega del Informe Trimestral Municipal, que entre otras cosas regulan lo relativo a la </w:t>
      </w:r>
      <w:r w:rsidRPr="00BE653B">
        <w:rPr>
          <w:rFonts w:ascii="Palatino Linotype" w:eastAsia="Palatino Linotype" w:hAnsi="Palatino Linotype" w:cs="Palatino Linotype"/>
          <w:b/>
        </w:rPr>
        <w:t>Deuda Pública</w:t>
      </w:r>
      <w:r w:rsidRPr="00BE653B">
        <w:rPr>
          <w:rFonts w:ascii="Palatino Linotype" w:eastAsia="Palatino Linotype" w:hAnsi="Palatino Linotype" w:cs="Palatino Linotype"/>
        </w:rPr>
        <w:t>, según las siguientes imágenes que se agregan de forma ilustrativa:</w:t>
      </w:r>
    </w:p>
    <w:p w14:paraId="3667D32B" w14:textId="77777777" w:rsidR="00412355" w:rsidRPr="00BE653B" w:rsidRDefault="00DF2EC2" w:rsidP="000E02DA">
      <w:pPr>
        <w:spacing w:before="240" w:after="240" w:line="360" w:lineRule="auto"/>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36065893" wp14:editId="1CAFFB23">
            <wp:extent cx="5040000" cy="5400000"/>
            <wp:effectExtent l="0" t="0" r="8255" b="0"/>
            <wp:docPr id="1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040000" cy="5400000"/>
                    </a:xfrm>
                    <a:prstGeom prst="rect">
                      <a:avLst/>
                    </a:prstGeom>
                    <a:ln/>
                  </pic:spPr>
                </pic:pic>
              </a:graphicData>
            </a:graphic>
          </wp:inline>
        </w:drawing>
      </w:r>
    </w:p>
    <w:p w14:paraId="481CFBAD"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noProof/>
          <w:lang w:val="es-MX"/>
        </w:rPr>
        <w:lastRenderedPageBreak/>
        <w:drawing>
          <wp:inline distT="0" distB="0" distL="0" distR="0" wp14:anchorId="61EDA14E" wp14:editId="74520539">
            <wp:extent cx="5607050" cy="5038090"/>
            <wp:effectExtent l="0" t="0" r="0" b="0"/>
            <wp:docPr id="1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607050" cy="5038090"/>
                    </a:xfrm>
                    <a:prstGeom prst="rect">
                      <a:avLst/>
                    </a:prstGeom>
                    <a:ln/>
                  </pic:spPr>
                </pic:pic>
              </a:graphicData>
            </a:graphic>
          </wp:inline>
        </w:drawing>
      </w:r>
    </w:p>
    <w:p w14:paraId="1AEFFAA2"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Derivado de lo anterior, es posible afirmar que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genera documentos tales como el Estado Analítico de la Deuda y otros Pasivos a través del Tesorero Municipal, que concentra las obligaciones insolutas de los entes públicos al inicio y fin de cada periodo derivadas de endeudamiento interno y externo, razón por la cual resulta procedente ordenar la búsqueda exhaustiva y razonable del soporte documental que dé cuenta del monto de la deuda del Ayuntamiento a la </w:t>
      </w:r>
      <w:r w:rsidRPr="00BE653B">
        <w:rPr>
          <w:rFonts w:ascii="Palatino Linotype" w:eastAsia="Palatino Linotype" w:hAnsi="Palatino Linotype" w:cs="Palatino Linotype"/>
        </w:rPr>
        <w:lastRenderedPageBreak/>
        <w:t>Comisión Federal de Electricidad, vigente al dieciocho de abril de dos mil veintidós,   para tener por atendido el requerimiento en cuestión.</w:t>
      </w:r>
    </w:p>
    <w:p w14:paraId="036EEA14" w14:textId="77777777" w:rsidR="00412355" w:rsidRPr="00BE653B" w:rsidRDefault="00DF2EC2">
      <w:pPr>
        <w:spacing w:before="240" w:after="240" w:line="360" w:lineRule="auto"/>
        <w:jc w:val="both"/>
        <w:rPr>
          <w:rFonts w:ascii="Palatino Linotype" w:eastAsia="Palatino Linotype" w:hAnsi="Palatino Linotype" w:cs="Palatino Linotype"/>
        </w:rPr>
      </w:pPr>
      <w:bookmarkStart w:id="7" w:name="_heading=h.2s8eyo1" w:colFirst="0" w:colLast="0"/>
      <w:bookmarkEnd w:id="7"/>
      <w:r w:rsidRPr="00BE653B">
        <w:rPr>
          <w:rFonts w:ascii="Palatino Linotype" w:eastAsia="Palatino Linotype" w:hAnsi="Palatino Linotype" w:cs="Palatino Linotype"/>
        </w:rPr>
        <w:t xml:space="preserve">Por cuanto hace a los </w:t>
      </w:r>
      <w:r w:rsidRPr="00BE653B">
        <w:rPr>
          <w:rFonts w:ascii="Palatino Linotype" w:eastAsia="Palatino Linotype" w:hAnsi="Palatino Linotype" w:cs="Palatino Linotype"/>
          <w:b/>
        </w:rPr>
        <w:t xml:space="preserve">puntos 5, 6.5 y 6.6, </w:t>
      </w:r>
      <w:r w:rsidRPr="00BE653B">
        <w:rPr>
          <w:rFonts w:ascii="Palatino Linotype" w:eastAsia="Palatino Linotype" w:hAnsi="Palatino Linotype" w:cs="Palatino Linotype"/>
        </w:rPr>
        <w:t xml:space="preserve"> mediante los cuales se solicita </w:t>
      </w:r>
      <w:r w:rsidRPr="00BE653B">
        <w:rPr>
          <w:rFonts w:ascii="Palatino Linotype" w:eastAsia="Palatino Linotype" w:hAnsi="Palatino Linotype" w:cs="Palatino Linotype"/>
          <w:b/>
        </w:rPr>
        <w:t xml:space="preserve">copia de la factura de los gastos de la presidencia municipal desde el uno de enero al dieciocho de abril de 2022; </w:t>
      </w:r>
      <w:r w:rsidRPr="00BE653B">
        <w:rPr>
          <w:rFonts w:ascii="Palatino Linotype" w:eastAsia="Palatino Linotype" w:hAnsi="Palatino Linotype" w:cs="Palatino Linotype"/>
        </w:rPr>
        <w:t xml:space="preserve">y de los pagos realizados para publicidad gubernamental, inserciones pagadas u otros relativos a medios de comunicación, </w:t>
      </w:r>
      <w:r w:rsidRPr="00BE653B">
        <w:rPr>
          <w:rFonts w:ascii="Palatino Linotype" w:eastAsia="Palatino Linotype" w:hAnsi="Palatino Linotype" w:cs="Palatino Linotype"/>
          <w:b/>
        </w:rPr>
        <w:t xml:space="preserve">fecha de pago y modalidad, </w:t>
      </w:r>
      <w:r w:rsidRPr="00BE653B">
        <w:rPr>
          <w:rFonts w:ascii="Palatino Linotype" w:eastAsia="Palatino Linotype" w:hAnsi="Palatino Linotype" w:cs="Palatino Linotype"/>
        </w:rPr>
        <w:t>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5116B0D8" w14:textId="77777777" w:rsidR="00412355" w:rsidRPr="00BE653B" w:rsidRDefault="00DF2EC2">
      <w:pPr>
        <w:spacing w:before="120" w:after="120"/>
        <w:ind w:left="862" w:right="86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Artículo 342.-</w:t>
      </w:r>
      <w:r w:rsidRPr="00BE653B">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BE653B">
        <w:rPr>
          <w:rFonts w:ascii="Palatino Linotype" w:eastAsia="Palatino Linotype" w:hAnsi="Palatino Linotype" w:cs="Palatino Linotype"/>
          <w:i/>
          <w:sz w:val="22"/>
          <w:szCs w:val="22"/>
        </w:rPr>
        <w:t>presupuestación</w:t>
      </w:r>
      <w:proofErr w:type="spellEnd"/>
      <w:r w:rsidRPr="00BE653B">
        <w:rPr>
          <w:rFonts w:ascii="Palatino Linotype" w:eastAsia="Palatino Linotype" w:hAnsi="Palatino Linotype" w:cs="Palatino Linotype"/>
          <w:i/>
          <w:sz w:val="22"/>
          <w:szCs w:val="22"/>
        </w:rPr>
        <w:t>, evaluación y contabilidad gubernamental.</w:t>
      </w:r>
    </w:p>
    <w:p w14:paraId="6E8B356B" w14:textId="77777777" w:rsidR="00412355" w:rsidRPr="00BE653B" w:rsidRDefault="00DF2EC2">
      <w:pPr>
        <w:spacing w:before="120" w:after="120"/>
        <w:ind w:left="862" w:right="86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En el caso de los municipios,</w:t>
      </w:r>
      <w:r w:rsidRPr="00BE653B">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BE653B">
        <w:rPr>
          <w:rFonts w:ascii="Palatino Linotype" w:eastAsia="Palatino Linotype" w:hAnsi="Palatino Linotype" w:cs="Palatino Linotype"/>
          <w:b/>
          <w:i/>
          <w:sz w:val="22"/>
          <w:szCs w:val="22"/>
        </w:rPr>
        <w:t xml:space="preserve">planeación, programación, </w:t>
      </w:r>
      <w:proofErr w:type="spellStart"/>
      <w:r w:rsidRPr="00BE653B">
        <w:rPr>
          <w:rFonts w:ascii="Palatino Linotype" w:eastAsia="Palatino Linotype" w:hAnsi="Palatino Linotype" w:cs="Palatino Linotype"/>
          <w:b/>
          <w:i/>
          <w:sz w:val="22"/>
          <w:szCs w:val="22"/>
        </w:rPr>
        <w:t>presupuestación</w:t>
      </w:r>
      <w:proofErr w:type="spellEnd"/>
      <w:r w:rsidRPr="00BE653B">
        <w:rPr>
          <w:rFonts w:ascii="Palatino Linotype" w:eastAsia="Palatino Linotype" w:hAnsi="Palatino Linotype" w:cs="Palatino Linotype"/>
          <w:b/>
          <w:i/>
          <w:sz w:val="22"/>
          <w:szCs w:val="22"/>
        </w:rPr>
        <w:t>, evaluación y contabilidad gubernamental</w:t>
      </w:r>
      <w:r w:rsidRPr="00BE653B">
        <w:rPr>
          <w:rFonts w:ascii="Palatino Linotype" w:eastAsia="Palatino Linotype" w:hAnsi="Palatino Linotype" w:cs="Palatino Linotype"/>
          <w:i/>
          <w:sz w:val="22"/>
          <w:szCs w:val="22"/>
        </w:rPr>
        <w:t>, que se aprueben en el marco del Sistema de Coordinación Hacendaria del Estado de México.</w:t>
      </w:r>
    </w:p>
    <w:p w14:paraId="6D8D39BD" w14:textId="77777777" w:rsidR="00412355" w:rsidRPr="00BE653B" w:rsidRDefault="00DF2EC2">
      <w:pPr>
        <w:spacing w:before="120" w:after="120"/>
        <w:ind w:left="862" w:right="86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343.-</w:t>
      </w:r>
      <w:r w:rsidRPr="00BE653B">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5DECE8D7" w14:textId="77777777" w:rsidR="00412355" w:rsidRPr="00BE653B" w:rsidRDefault="00DF2EC2">
      <w:pPr>
        <w:spacing w:before="120" w:after="120"/>
        <w:ind w:left="862" w:right="86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64AD7092" w14:textId="77777777" w:rsidR="00412355" w:rsidRPr="00BE653B" w:rsidRDefault="00DF2EC2">
      <w:pPr>
        <w:spacing w:before="120" w:after="120"/>
        <w:ind w:left="862" w:right="86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BE653B">
        <w:rPr>
          <w:rFonts w:ascii="Palatino Linotype" w:eastAsia="Palatino Linotype" w:hAnsi="Palatino Linotype" w:cs="Palatino Linotype"/>
          <w:b/>
          <w:i/>
          <w:sz w:val="22"/>
          <w:szCs w:val="22"/>
          <w:u w:val="single"/>
        </w:rPr>
        <w:t xml:space="preserve">registrarán contablemente el efecto patrimonial y presupuestal de las operaciones financieras que realicen, en el momento </w:t>
      </w:r>
      <w:r w:rsidRPr="00BE653B">
        <w:rPr>
          <w:rFonts w:ascii="Palatino Linotype" w:eastAsia="Palatino Linotype" w:hAnsi="Palatino Linotype" w:cs="Palatino Linotype"/>
          <w:b/>
          <w:i/>
          <w:sz w:val="22"/>
          <w:szCs w:val="22"/>
          <w:u w:val="single"/>
        </w:rPr>
        <w:lastRenderedPageBreak/>
        <w:t>en que ocurran, con base en el sistema y políticas de registro establecidas, en el caso de los Municipios, se hará por la Tesorería</w:t>
      </w:r>
      <w:r w:rsidRPr="00BE653B">
        <w:rPr>
          <w:rFonts w:ascii="Palatino Linotype" w:eastAsia="Palatino Linotype" w:hAnsi="Palatino Linotype" w:cs="Palatino Linotype"/>
          <w:b/>
          <w:i/>
          <w:sz w:val="22"/>
          <w:szCs w:val="22"/>
        </w:rPr>
        <w:t>.</w:t>
      </w:r>
    </w:p>
    <w:p w14:paraId="6CC48387" w14:textId="77777777" w:rsidR="00412355" w:rsidRPr="00BE653B" w:rsidRDefault="00DF2EC2">
      <w:pPr>
        <w:spacing w:before="120" w:after="120"/>
        <w:ind w:left="862" w:right="86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BE653B">
        <w:rPr>
          <w:rFonts w:ascii="Palatino Linotype" w:eastAsia="Palatino Linotype" w:hAnsi="Palatino Linotype" w:cs="Palatino Linotype"/>
          <w:i/>
          <w:sz w:val="22"/>
          <w:szCs w:val="22"/>
        </w:rPr>
        <w:t xml:space="preserve">según corresponda, así como de los órganos internos de control, </w:t>
      </w:r>
      <w:r w:rsidRPr="00BE653B">
        <w:rPr>
          <w:rFonts w:ascii="Palatino Linotype" w:eastAsia="Palatino Linotype" w:hAnsi="Palatino Linotype" w:cs="Palatino Linotype"/>
          <w:b/>
          <w:i/>
          <w:sz w:val="22"/>
          <w:szCs w:val="22"/>
        </w:rPr>
        <w:t>por un término de cinco años,</w:t>
      </w:r>
      <w:r w:rsidRPr="00BE653B">
        <w:rPr>
          <w:rFonts w:ascii="Palatino Linotype" w:eastAsia="Palatino Linotype" w:hAnsi="Palatino Linotype" w:cs="Palatino Linotype"/>
          <w:i/>
          <w:sz w:val="22"/>
          <w:szCs w:val="22"/>
        </w:rPr>
        <w:t xml:space="preserve"> contados a partir del ejercicio presupuestal siguiente al que corresponda,</w:t>
      </w:r>
      <w:r w:rsidRPr="00BE653B">
        <w:rPr>
          <w:rFonts w:ascii="Palatino Linotype" w:eastAsia="Palatino Linotype" w:hAnsi="Palatino Linotype" w:cs="Palatino Linotype"/>
          <w:b/>
          <w:i/>
          <w:sz w:val="22"/>
          <w:szCs w:val="22"/>
        </w:rPr>
        <w:t xml:space="preserve"> en el caso de los Municipios, dicha obligación corresponderá a la Tesorería.</w:t>
      </w:r>
    </w:p>
    <w:p w14:paraId="49F6C0DD" w14:textId="77777777" w:rsidR="00412355" w:rsidRPr="00BE653B" w:rsidRDefault="00DF2EC2">
      <w:pPr>
        <w:spacing w:before="120" w:after="120"/>
        <w:ind w:left="862" w:right="86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Tratándose de documentos de carácter histórico, se estará a lo dispuesto por la legislación de la materia.</w:t>
      </w:r>
    </w:p>
    <w:p w14:paraId="1A51AAA4" w14:textId="77777777" w:rsidR="00412355" w:rsidRPr="00BE653B" w:rsidRDefault="00DF2EC2">
      <w:pPr>
        <w:spacing w:before="120" w:after="120"/>
        <w:ind w:left="862" w:right="86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
    <w:p w14:paraId="4A0C0C93" w14:textId="77777777" w:rsidR="00412355" w:rsidRPr="00BE653B" w:rsidRDefault="00DF2EC2">
      <w:pPr>
        <w:spacing w:before="120" w:after="120"/>
        <w:ind w:left="862" w:right="86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Artículo 345.-</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BE653B">
        <w:rPr>
          <w:rFonts w:ascii="Palatino Linotype" w:eastAsia="Palatino Linotype" w:hAnsi="Palatino Linotype" w:cs="Palatino Linotype"/>
          <w:b/>
          <w:i/>
          <w:sz w:val="22"/>
          <w:szCs w:val="22"/>
          <w:u w:val="single"/>
        </w:rPr>
        <w:t>Tratándose de los comprobantes fiscales digitales, estos deberán estar agregados en forma electrónica a cada póliza de registro contable</w:t>
      </w:r>
      <w:r w:rsidRPr="00BE653B">
        <w:rPr>
          <w:rFonts w:ascii="Palatino Linotype" w:eastAsia="Palatino Linotype" w:hAnsi="Palatino Linotype" w:cs="Palatino Linotype"/>
          <w:b/>
          <w:i/>
          <w:sz w:val="22"/>
          <w:szCs w:val="22"/>
        </w:rPr>
        <w:t>.</w:t>
      </w:r>
    </w:p>
    <w:p w14:paraId="4B4B49AE" w14:textId="77777777" w:rsidR="00412355" w:rsidRPr="00BE653B" w:rsidRDefault="00DF2EC2">
      <w:pPr>
        <w:spacing w:before="120" w:after="120"/>
        <w:ind w:left="862" w:right="86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BE653B">
        <w:rPr>
          <w:rFonts w:ascii="Palatino Linotype" w:eastAsia="Palatino Linotype" w:hAnsi="Palatino Linotype" w:cs="Palatino Linotype"/>
          <w:b/>
          <w:i/>
          <w:sz w:val="22"/>
          <w:szCs w:val="22"/>
        </w:rPr>
        <w:t>deberán estar agregados en forma electrónica a cada póliza de registro contable</w:t>
      </w:r>
      <w:r w:rsidRPr="00BE653B">
        <w:rPr>
          <w:rFonts w:ascii="Palatino Linotype" w:eastAsia="Palatino Linotype" w:hAnsi="Palatino Linotype" w:cs="Palatino Linotype"/>
          <w:i/>
          <w:sz w:val="22"/>
          <w:szCs w:val="22"/>
        </w:rPr>
        <w:t>.</w:t>
      </w:r>
    </w:p>
    <w:p w14:paraId="22566FBB" w14:textId="77777777" w:rsidR="00412355" w:rsidRPr="00BE653B" w:rsidRDefault="00DF2EC2">
      <w:pPr>
        <w:spacing w:before="120" w:after="120"/>
        <w:ind w:left="862" w:right="86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BE653B">
        <w:rPr>
          <w:rFonts w:ascii="Palatino Linotype" w:eastAsia="Palatino Linotype" w:hAnsi="Palatino Linotype" w:cs="Palatino Linotype"/>
          <w:b/>
          <w:i/>
          <w:sz w:val="22"/>
          <w:szCs w:val="22"/>
        </w:rPr>
        <w:t>”</w:t>
      </w:r>
    </w:p>
    <w:p w14:paraId="69091267"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De una interpretación sistemática de los artículos transcritos, se desprende primeramente que el registro contable del efecto patrimonial y presupuestal de las operaciones financieras se realizará conforme al sistema y a las disposiciones que se </w:t>
      </w:r>
      <w:r w:rsidRPr="00BE653B">
        <w:rPr>
          <w:rFonts w:ascii="Palatino Linotype" w:eastAsia="Palatino Linotype" w:hAnsi="Palatino Linotype" w:cs="Palatino Linotype"/>
        </w:rPr>
        <w:lastRenderedPageBreak/>
        <w:t xml:space="preserve">aprueben en materia de planeación, programación, </w:t>
      </w:r>
      <w:proofErr w:type="spellStart"/>
      <w:r w:rsidRPr="00BE653B">
        <w:rPr>
          <w:rFonts w:ascii="Palatino Linotype" w:eastAsia="Palatino Linotype" w:hAnsi="Palatino Linotype" w:cs="Palatino Linotype"/>
        </w:rPr>
        <w:t>presupuestación</w:t>
      </w:r>
      <w:proofErr w:type="spellEnd"/>
      <w:r w:rsidRPr="00BE653B">
        <w:rPr>
          <w:rFonts w:ascii="Palatino Linotype" w:eastAsia="Palatino Linotype" w:hAnsi="Palatino Linotype" w:cs="Palatino Linotype"/>
        </w:rPr>
        <w:t>, evaluación y contabilidad gubernamental.</w:t>
      </w:r>
    </w:p>
    <w:p w14:paraId="1C13DF79"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Pr="00BE653B">
        <w:rPr>
          <w:rFonts w:ascii="Palatino Linotype" w:eastAsia="Palatino Linotype" w:hAnsi="Palatino Linotype" w:cs="Palatino Linotype"/>
        </w:rPr>
        <w:t>Presupuestación</w:t>
      </w:r>
      <w:proofErr w:type="spellEnd"/>
      <w:r w:rsidRPr="00BE653B">
        <w:rPr>
          <w:rFonts w:ascii="Palatino Linotype" w:eastAsia="Palatino Linotype" w:hAnsi="Palatino Linotype" w:cs="Palatino Linotype"/>
        </w:rPr>
        <w:t xml:space="preserve"> y Evaluación en la Administración Pública”</w:t>
      </w:r>
      <w:r w:rsidRPr="00BE653B">
        <w:rPr>
          <w:rFonts w:ascii="Palatino Linotype" w:eastAsia="Palatino Linotype" w:hAnsi="Palatino Linotype" w:cs="Palatino Linotype"/>
          <w:vertAlign w:val="superscript"/>
        </w:rPr>
        <w:footnoteReference w:id="8"/>
      </w:r>
      <w:r w:rsidRPr="00BE653B">
        <w:rPr>
          <w:rFonts w:ascii="Palatino Linotype" w:eastAsia="Palatino Linotype" w:hAnsi="Palatino Linotype" w:cs="Palatino Linotype"/>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4170E792" w14:textId="77777777" w:rsidR="00412355" w:rsidRPr="00BE653B" w:rsidRDefault="00DF2EC2">
      <w:pPr>
        <w:spacing w:before="120" w:after="120"/>
        <w:ind w:left="851" w:right="900" w:hanging="9"/>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“REGISTRO CONTABLE</w:t>
      </w:r>
    </w:p>
    <w:p w14:paraId="237091E0" w14:textId="77777777" w:rsidR="00412355" w:rsidRPr="00BE653B" w:rsidRDefault="00DF2EC2">
      <w:pPr>
        <w:spacing w:before="120" w:after="120"/>
        <w:ind w:left="851" w:right="900" w:hanging="9"/>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3098FCF1" w14:textId="77777777" w:rsidR="00412355" w:rsidRPr="00BE653B" w:rsidRDefault="00DF2EC2">
      <w:pPr>
        <w:spacing w:before="120" w:after="120"/>
        <w:ind w:left="851" w:right="900" w:hanging="9"/>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“REGISTRO PRESUPUESTARIO</w:t>
      </w:r>
    </w:p>
    <w:p w14:paraId="782C76B9" w14:textId="77777777" w:rsidR="00412355" w:rsidRPr="00BE653B" w:rsidRDefault="00DF2EC2">
      <w:pPr>
        <w:spacing w:before="120" w:after="120"/>
        <w:ind w:left="851" w:right="900" w:hanging="9"/>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5CD39ADB"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Como bien se desprende de las definiciones, los registros contables y presupuestarios son asientos o anotaciones contables que se realizan tanto de los </w:t>
      </w:r>
      <w:r w:rsidRPr="00BE653B">
        <w:rPr>
          <w:rFonts w:ascii="Palatino Linotype" w:eastAsia="Palatino Linotype" w:hAnsi="Palatino Linotype" w:cs="Palatino Linotype"/>
        </w:rPr>
        <w:lastRenderedPageBreak/>
        <w:t>ingresos como de los egresos, a decir se trata de un control financiero en el que se reconoce la obligación del Tesorero de llevar dicho registro.</w:t>
      </w:r>
    </w:p>
    <w:p w14:paraId="3CE8A2F1"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43BFDA28"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32210BDF"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Correlativo a lo anterior, es preciso referir una definición de </w:t>
      </w:r>
      <w:r w:rsidRPr="00BE653B">
        <w:rPr>
          <w:rFonts w:ascii="Palatino Linotype" w:eastAsia="Palatino Linotype" w:hAnsi="Palatino Linotype" w:cs="Palatino Linotype"/>
          <w:i/>
        </w:rPr>
        <w:t>póliza contable</w:t>
      </w:r>
      <w:r w:rsidRPr="00BE653B">
        <w:rPr>
          <w:rFonts w:ascii="Palatino Linotype" w:eastAsia="Palatino Linotype" w:hAnsi="Palatino Linotype" w:cs="Palatino Linotype"/>
        </w:rPr>
        <w:t>, la cual, primeramente, no está definida en el Código Financiero del Estado de México y Municipios; no obstante, el ya mencionado Glosario la define como:</w:t>
      </w:r>
    </w:p>
    <w:p w14:paraId="38D12D99" w14:textId="77777777" w:rsidR="00412355" w:rsidRPr="00BE653B" w:rsidRDefault="00DF2EC2">
      <w:pPr>
        <w:spacing w:before="120" w:after="120"/>
        <w:ind w:left="862"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PÓLIZA CONTABLE</w:t>
      </w:r>
    </w:p>
    <w:p w14:paraId="4BCF1A47" w14:textId="77777777" w:rsidR="00412355" w:rsidRPr="00BE653B" w:rsidRDefault="00DF2EC2">
      <w:pPr>
        <w:spacing w:before="120" w:after="120"/>
        <w:ind w:left="862"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 xml:space="preserve">Documento en el cual se asientan en forma individual todas y cada una de las operaciones desarrolladas por una institución, así como la información necesaria para la identificación de dichas operaciones.” </w:t>
      </w:r>
    </w:p>
    <w:p w14:paraId="632FEB82" w14:textId="77777777" w:rsidR="00412355" w:rsidRPr="00BE653B" w:rsidRDefault="00DF2EC2">
      <w:pPr>
        <w:spacing w:before="240" w:after="240" w:line="360" w:lineRule="auto"/>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rPr>
        <w:t xml:space="preserve">Así, se advierte que la </w:t>
      </w:r>
      <w:r w:rsidRPr="00BE653B">
        <w:rPr>
          <w:rFonts w:ascii="Palatino Linotype" w:eastAsia="Palatino Linotype" w:hAnsi="Palatino Linotype" w:cs="Palatino Linotype"/>
          <w:i/>
        </w:rPr>
        <w:t>póliza contable</w:t>
      </w:r>
      <w:r w:rsidRPr="00BE653B">
        <w:rPr>
          <w:rFonts w:ascii="Palatino Linotype" w:eastAsia="Palatino Linotype" w:hAnsi="Palatino Linotype" w:cs="Palatino Linotype"/>
        </w:rPr>
        <w:t xml:space="preserve"> constituye un registro contable y presupuestal con el que cuentan los Municipios para el registro de operaciones relacionadas con </w:t>
      </w:r>
      <w:r w:rsidRPr="00BE653B">
        <w:rPr>
          <w:rFonts w:ascii="Palatino Linotype" w:eastAsia="Palatino Linotype" w:hAnsi="Palatino Linotype" w:cs="Palatino Linotype"/>
          <w:u w:val="single"/>
        </w:rPr>
        <w:t>ingresos y egresos</w:t>
      </w:r>
      <w:r w:rsidRPr="00BE653B">
        <w:rPr>
          <w:rFonts w:ascii="Palatino Linotype" w:eastAsia="Palatino Linotype" w:hAnsi="Palatino Linotype" w:cs="Palatino Linotype"/>
        </w:rPr>
        <w:t xml:space="preserve"> y se anexan los documentos o comprobantes que justifiquen las anotaciones y cantidades en ellas registradas, lo que permite la identificación plena de dichas operaciones.</w:t>
      </w:r>
    </w:p>
    <w:p w14:paraId="406AD2A3"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este sentido, existen diversos tipos de pólizas contables de acuerdo a las operaciones realizadas, dentro de las cuales, encontramos las </w:t>
      </w:r>
      <w:r w:rsidRPr="00BE653B">
        <w:rPr>
          <w:rFonts w:ascii="Palatino Linotype" w:eastAsia="Palatino Linotype" w:hAnsi="Palatino Linotype" w:cs="Palatino Linotype"/>
          <w:i/>
        </w:rPr>
        <w:t>pólizas de egresos e ingresos</w:t>
      </w:r>
      <w:r w:rsidRPr="00BE653B">
        <w:rPr>
          <w:rFonts w:ascii="Palatino Linotype" w:eastAsia="Palatino Linotype" w:hAnsi="Palatino Linotype" w:cs="Palatino Linotype"/>
        </w:rPr>
        <w:t xml:space="preserve">, </w:t>
      </w:r>
      <w:r w:rsidRPr="00BE653B">
        <w:rPr>
          <w:rFonts w:ascii="Palatino Linotype" w:eastAsia="Palatino Linotype" w:hAnsi="Palatino Linotype" w:cs="Palatino Linotype"/>
          <w:b/>
        </w:rPr>
        <w:t xml:space="preserve">las primeras son aquellas en las cuales </w:t>
      </w:r>
      <w:r w:rsidRPr="00BE653B">
        <w:rPr>
          <w:rFonts w:ascii="Palatino Linotype" w:eastAsia="Palatino Linotype" w:hAnsi="Palatino Linotype" w:cs="Palatino Linotype"/>
          <w:b/>
          <w:u w:val="single"/>
        </w:rPr>
        <w:t xml:space="preserve">se anotan diariamente las </w:t>
      </w:r>
      <w:r w:rsidRPr="00BE653B">
        <w:rPr>
          <w:rFonts w:ascii="Palatino Linotype" w:eastAsia="Palatino Linotype" w:hAnsi="Palatino Linotype" w:cs="Palatino Linotype"/>
          <w:b/>
          <w:u w:val="single"/>
        </w:rPr>
        <w:lastRenderedPageBreak/>
        <w:t>operaciones que representan gastos, es decir, salidas de dinero</w:t>
      </w:r>
      <w:r w:rsidRPr="00BE653B">
        <w:rPr>
          <w:rFonts w:ascii="Palatino Linotype" w:eastAsia="Palatino Linotype" w:hAnsi="Palatino Linotype" w:cs="Palatino Linotype"/>
        </w:rPr>
        <w:t xml:space="preserve"> para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las que además, </w:t>
      </w:r>
      <w:r w:rsidRPr="00BE653B">
        <w:rPr>
          <w:rFonts w:ascii="Palatino Linotype" w:eastAsia="Palatino Linotype" w:hAnsi="Palatino Linotype" w:cs="Palatino Linotype"/>
          <w:b/>
        </w:rPr>
        <w:t>deben encontrarse acompañadas de las documentales que sirven de soporte de dicho movimiento</w:t>
      </w:r>
      <w:r w:rsidRPr="00BE653B">
        <w:rPr>
          <w:rFonts w:ascii="Palatino Linotype" w:eastAsia="Palatino Linotype" w:hAnsi="Palatino Linotype" w:cs="Palatino Linotype"/>
        </w:rPr>
        <w:t>, en atención a las segundas, registran todas la entradas de dinero independientemente de la modalidad, ya sea en efectivo, transferencia, cheque o pagaré, mediante la expedición de facturas.</w:t>
      </w:r>
    </w:p>
    <w:p w14:paraId="5D1F8D15"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1E743E9D"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Así, se puede advertir que, de la información requerida, los documentos que pueden satisfacer el requerimiento del particular serían precisamente los registros contables acompañados de los documentos o comprobantes que justifiquen las anotaciones y cantidades en ellas registradas.</w:t>
      </w:r>
    </w:p>
    <w:p w14:paraId="6C92DAA9"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este sentido, cabe referir que la Ley de Fiscalización Superior del Estado de México, toda vez que señala que los municipios que conforman el Estado de México, entre ellos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es considerado como ente fiscalizable, como así lo señala el artículo 4 fracción II de la Ley de Fiscalización Superior del Estado de México, el cual señala:</w:t>
      </w:r>
    </w:p>
    <w:p w14:paraId="58DB6620" w14:textId="77777777" w:rsidR="00412355" w:rsidRPr="00BE653B" w:rsidRDefault="00412355">
      <w:pPr>
        <w:spacing w:before="240" w:after="240" w:line="360" w:lineRule="auto"/>
        <w:jc w:val="both"/>
        <w:rPr>
          <w:rFonts w:ascii="Palatino Linotype" w:eastAsia="Palatino Linotype" w:hAnsi="Palatino Linotype" w:cs="Palatino Linotype"/>
        </w:rPr>
      </w:pPr>
    </w:p>
    <w:p w14:paraId="73E9C6A5"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lastRenderedPageBreak/>
        <w:t>“</w:t>
      </w:r>
      <w:r w:rsidRPr="00BE653B">
        <w:rPr>
          <w:rFonts w:ascii="Palatino Linotype" w:eastAsia="Palatino Linotype" w:hAnsi="Palatino Linotype" w:cs="Palatino Linotype"/>
          <w:b/>
          <w:i/>
          <w:sz w:val="22"/>
          <w:szCs w:val="22"/>
        </w:rPr>
        <w:t>Artículo 4</w:t>
      </w:r>
      <w:r w:rsidRPr="00BE653B">
        <w:rPr>
          <w:rFonts w:ascii="Palatino Linotype" w:eastAsia="Palatino Linotype" w:hAnsi="Palatino Linotype" w:cs="Palatino Linotype"/>
          <w:i/>
          <w:sz w:val="22"/>
          <w:szCs w:val="22"/>
        </w:rPr>
        <w:t>. Son sujetos de fiscalización:</w:t>
      </w:r>
    </w:p>
    <w:p w14:paraId="6A768CCB"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
    <w:p w14:paraId="61043477"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u w:val="single"/>
        </w:rPr>
        <w:t>Los municipios del Estado de México</w:t>
      </w:r>
      <w:r w:rsidRPr="00BE653B">
        <w:rPr>
          <w:rFonts w:ascii="Palatino Linotype" w:eastAsia="Palatino Linotype" w:hAnsi="Palatino Linotype" w:cs="Palatino Linotype"/>
          <w:i/>
          <w:sz w:val="22"/>
          <w:szCs w:val="22"/>
        </w:rPr>
        <w:t>…”</w:t>
      </w:r>
    </w:p>
    <w:p w14:paraId="795DA892" w14:textId="77777777" w:rsidR="00412355" w:rsidRPr="00BE653B" w:rsidRDefault="00DF2EC2">
      <w:pPr>
        <w:spacing w:before="240" w:after="240"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Asimismo, el ordenamiento legal referido señala en su artículo 8, fracción XI, lo siguiente: </w:t>
      </w:r>
    </w:p>
    <w:p w14:paraId="1918E619" w14:textId="77777777" w:rsidR="00412355" w:rsidRPr="00BE653B" w:rsidRDefault="00DF2EC2">
      <w:pPr>
        <w:spacing w:before="120" w:after="120"/>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8</w:t>
      </w:r>
      <w:r w:rsidRPr="00BE653B">
        <w:rPr>
          <w:rFonts w:ascii="Palatino Linotype" w:eastAsia="Palatino Linotype" w:hAnsi="Palatino Linotype" w:cs="Palatino Linotype"/>
          <w:i/>
          <w:sz w:val="22"/>
          <w:szCs w:val="22"/>
        </w:rPr>
        <w:t>. El Órgano Superior tendrá las siguientes atribuciones:</w:t>
      </w:r>
    </w:p>
    <w:p w14:paraId="6B4006B3" w14:textId="77777777" w:rsidR="00412355" w:rsidRPr="00BE653B" w:rsidRDefault="00DF2EC2">
      <w:pPr>
        <w:spacing w:before="120" w:after="120"/>
        <w:ind w:left="1134"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
    <w:p w14:paraId="124DF505" w14:textId="77777777" w:rsidR="00412355" w:rsidRPr="00BE653B" w:rsidRDefault="00DF2EC2">
      <w:pPr>
        <w:spacing w:before="120" w:after="120"/>
        <w:ind w:left="1134"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XI.</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Establecer los lineamientos, criterios, procedimientos, métodos y sistemas para las acciones de control y evaluación, necesarios para la fiscalización de las cuentas públicas y los informes trimestrales</w:t>
      </w:r>
      <w:r w:rsidRPr="00BE653B">
        <w:rPr>
          <w:rFonts w:ascii="Palatino Linotype" w:eastAsia="Palatino Linotype" w:hAnsi="Palatino Linotype" w:cs="Palatino Linotype"/>
          <w:i/>
          <w:sz w:val="22"/>
          <w:szCs w:val="22"/>
        </w:rPr>
        <w:t>…”</w:t>
      </w:r>
    </w:p>
    <w:p w14:paraId="53BD7B2F"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En esta tesitura, los “Lineamientos para la integración y entrega del Informe Trimestral Municipal 2022”, emitidos por el Órgano Superior de Fiscalización del Estado de México, OSFEM, mismos que establecen los criterios, formatos y documentación necesaria para presentar los informes trimestrales por parte de los entes fiscalizables, integrando la información en cuatro Módulos que contienen la información que se detalla a continuación:</w:t>
      </w:r>
    </w:p>
    <w:p w14:paraId="272BA706" w14:textId="77777777" w:rsidR="00412355" w:rsidRPr="00BE653B" w:rsidRDefault="00DF2EC2">
      <w:pPr>
        <w:spacing w:before="240" w:after="240" w:line="360" w:lineRule="auto"/>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099F5E63" wp14:editId="41F4A70C">
            <wp:extent cx="3240000" cy="1722565"/>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t="5011" b="4799"/>
                    <a:stretch>
                      <a:fillRect/>
                    </a:stretch>
                  </pic:blipFill>
                  <pic:spPr>
                    <a:xfrm>
                      <a:off x="0" y="0"/>
                      <a:ext cx="3240000" cy="1722565"/>
                    </a:xfrm>
                    <a:prstGeom prst="rect">
                      <a:avLst/>
                    </a:prstGeom>
                    <a:ln/>
                  </pic:spPr>
                </pic:pic>
              </a:graphicData>
            </a:graphic>
          </wp:inline>
        </w:drawing>
      </w:r>
    </w:p>
    <w:p w14:paraId="50B348B3"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A su vez los Módulos se dividen en </w:t>
      </w:r>
      <w:proofErr w:type="spellStart"/>
      <w:r w:rsidRPr="00BE653B">
        <w:rPr>
          <w:rFonts w:ascii="Palatino Linotype" w:eastAsia="Palatino Linotype" w:hAnsi="Palatino Linotype" w:cs="Palatino Linotype"/>
        </w:rPr>
        <w:t>submódulos</w:t>
      </w:r>
      <w:proofErr w:type="spellEnd"/>
      <w:r w:rsidRPr="00BE653B">
        <w:rPr>
          <w:rFonts w:ascii="Palatino Linotype" w:eastAsia="Palatino Linotype" w:hAnsi="Palatino Linotype" w:cs="Palatino Linotype"/>
        </w:rPr>
        <w:t xml:space="preserve">, de los que destaca, en relación con el análisis que nos ocupa, el </w:t>
      </w:r>
      <w:proofErr w:type="spellStart"/>
      <w:r w:rsidRPr="00BE653B">
        <w:rPr>
          <w:rFonts w:ascii="Palatino Linotype" w:eastAsia="Palatino Linotype" w:hAnsi="Palatino Linotype" w:cs="Palatino Linotype"/>
        </w:rPr>
        <w:t>submódulo</w:t>
      </w:r>
      <w:proofErr w:type="spellEnd"/>
      <w:r w:rsidRPr="00BE653B">
        <w:rPr>
          <w:rFonts w:ascii="Palatino Linotype" w:eastAsia="Palatino Linotype" w:hAnsi="Palatino Linotype" w:cs="Palatino Linotype"/>
        </w:rPr>
        <w:t xml:space="preserve"> relativo a “Pólizas”, del Módulo 1:</w:t>
      </w:r>
    </w:p>
    <w:p w14:paraId="08F8EBB9" w14:textId="77777777" w:rsidR="00412355" w:rsidRPr="00BE653B" w:rsidRDefault="00DF2EC2">
      <w:pPr>
        <w:spacing w:before="240" w:after="240" w:line="360" w:lineRule="auto"/>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lastRenderedPageBreak/>
        <w:drawing>
          <wp:inline distT="0" distB="0" distL="0" distR="0" wp14:anchorId="61B96235" wp14:editId="1FF965D8">
            <wp:extent cx="5148000" cy="3031829"/>
            <wp:effectExtent l="0" t="0" r="0" b="0"/>
            <wp:docPr id="10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148000" cy="3031829"/>
                    </a:xfrm>
                    <a:prstGeom prst="rect">
                      <a:avLst/>
                    </a:prstGeom>
                    <a:ln/>
                  </pic:spPr>
                </pic:pic>
              </a:graphicData>
            </a:graphic>
          </wp:inline>
        </w:drawing>
      </w:r>
      <w:r w:rsidRPr="00BE653B">
        <w:rPr>
          <w:noProof/>
          <w:lang w:val="es-MX"/>
        </w:rPr>
        <mc:AlternateContent>
          <mc:Choice Requires="wps">
            <w:drawing>
              <wp:anchor distT="0" distB="0" distL="114300" distR="114300" simplePos="0" relativeHeight="251660288" behindDoc="0" locked="0" layoutInCell="1" hidden="0" allowOverlap="1" wp14:anchorId="3DC4DA19" wp14:editId="43EFC7A0">
                <wp:simplePos x="0" y="0"/>
                <wp:positionH relativeFrom="column">
                  <wp:posOffset>482600</wp:posOffset>
                </wp:positionH>
                <wp:positionV relativeFrom="paragraph">
                  <wp:posOffset>2235200</wp:posOffset>
                </wp:positionV>
                <wp:extent cx="4875654" cy="770957"/>
                <wp:effectExtent l="0" t="0" r="0" b="0"/>
                <wp:wrapNone/>
                <wp:docPr id="89" name="Rectángulo 89"/>
                <wp:cNvGraphicFramePr/>
                <a:graphic xmlns:a="http://schemas.openxmlformats.org/drawingml/2006/main">
                  <a:graphicData uri="http://schemas.microsoft.com/office/word/2010/wordprocessingShape">
                    <wps:wsp>
                      <wps:cNvSpPr/>
                      <wps:spPr>
                        <a:xfrm>
                          <a:off x="2951036" y="3437384"/>
                          <a:ext cx="4789929" cy="685232"/>
                        </a:xfrm>
                        <a:prstGeom prst="rect">
                          <a:avLst/>
                        </a:prstGeom>
                        <a:noFill/>
                        <a:ln w="28575" cap="flat" cmpd="sng">
                          <a:solidFill>
                            <a:srgbClr val="C00000"/>
                          </a:solidFill>
                          <a:prstDash val="solid"/>
                          <a:round/>
                          <a:headEnd type="none" w="sm" len="sm"/>
                          <a:tailEnd type="none" w="sm" len="sm"/>
                        </a:ln>
                      </wps:spPr>
                      <wps:txbx>
                        <w:txbxContent>
                          <w:p w14:paraId="462863B4" w14:textId="77777777" w:rsidR="002342C0" w:rsidRDefault="002342C0">
                            <w:pPr>
                              <w:textDirection w:val="btLr"/>
                            </w:pPr>
                          </w:p>
                        </w:txbxContent>
                      </wps:txbx>
                      <wps:bodyPr spcFirstLastPara="1" wrap="square" lIns="91425" tIns="91425" rIns="91425" bIns="91425" anchor="ctr" anchorCtr="0">
                        <a:noAutofit/>
                      </wps:bodyPr>
                    </wps:wsp>
                  </a:graphicData>
                </a:graphic>
              </wp:anchor>
            </w:drawing>
          </mc:Choice>
          <mc:Fallback>
            <w:pict>
              <v:rect w14:anchorId="3DC4DA19" id="Rectángulo 89" o:spid="_x0000_s1026" style="position:absolute;left:0;text-align:left;margin-left:38pt;margin-top:176pt;width:383.9pt;height:60.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" filled="f" strokecolor="#c00000" strokeweight="2.25pt">
                <v:stroke startarrowwidth="narrow" startarrowlength="short" endarrowwidth="narrow" endarrowlength="short" joinstyle="round"/>
                <v:textbox inset="2.53958mm,2.53958mm,2.53958mm,2.53958mm">
                  <w:txbxContent>
                    <w:p w14:paraId="462863B4" w14:textId="77777777" w:rsidR="002342C0" w:rsidRDefault="002342C0">
                      <w:pPr>
                        <w:textDirection w:val="btLr"/>
                      </w:pPr>
                    </w:p>
                  </w:txbxContent>
                </v:textbox>
              </v:rect>
            </w:pict>
          </mc:Fallback>
        </mc:AlternateContent>
      </w:r>
    </w:p>
    <w:p w14:paraId="5077D2E0"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Como se advierte en la imagen anterior, el </w:t>
      </w:r>
      <w:proofErr w:type="spellStart"/>
      <w:r w:rsidRPr="00BE653B">
        <w:rPr>
          <w:rFonts w:ascii="Palatino Linotype" w:eastAsia="Palatino Linotype" w:hAnsi="Palatino Linotype" w:cs="Palatino Linotype"/>
        </w:rPr>
        <w:t>submódulo</w:t>
      </w:r>
      <w:proofErr w:type="spellEnd"/>
      <w:r w:rsidRPr="00BE653B">
        <w:rPr>
          <w:rFonts w:ascii="Palatino Linotype" w:eastAsia="Palatino Linotype" w:hAnsi="Palatino Linotype" w:cs="Palatino Linotype"/>
        </w:rPr>
        <w:t xml:space="preserve"> “Pólizas”, se integra por las pólizas de ingresos, las pólizas de diario, y las pólizas de egresos y las pólizas de cheque, cada tipo con los respectivos documentos comprobatorios, información que se debe grabar en 3 discos compactos, cada uno con un mes del trimestre.</w:t>
      </w:r>
    </w:p>
    <w:p w14:paraId="1FE1BDD5" w14:textId="77777777" w:rsidR="00412355" w:rsidRPr="00BE653B" w:rsidRDefault="00DF2EC2">
      <w:pPr>
        <w:spacing w:before="240" w:after="240" w:line="360" w:lineRule="auto"/>
        <w:jc w:val="both"/>
        <w:rPr>
          <w:rFonts w:ascii="Palatino Linotype" w:eastAsia="Palatino Linotype" w:hAnsi="Palatino Linotype" w:cs="Palatino Linotype"/>
        </w:rPr>
      </w:pPr>
      <w:bookmarkStart w:id="8" w:name="_heading=h.17dp8vu" w:colFirst="0" w:colLast="0"/>
      <w:bookmarkEnd w:id="8"/>
      <w:r w:rsidRPr="00BE653B">
        <w:rPr>
          <w:rFonts w:ascii="Palatino Linotype" w:eastAsia="Palatino Linotype" w:hAnsi="Palatino Linotype" w:cs="Palatino Linotype"/>
        </w:rPr>
        <w:t>Derivado de la interpretación del requerimiento de información, se considera que la persona solicitante se encuentra interesada en las pólizas de egresos o en las pólizas de cheque, teniendo por finalidad las primeras la de registrar cualquier operación contable en la que se produzca una salida de efectivo o erogaciones, y las segundas en caso de tratarse de una erogación que se realiza a través de un cheque, por lo que es necesario señalar que el Instructivo del Módulo 1, establece los formatos así como el instructivo de llenado para el adecuado cumplimiento de la presentación del Informe, como a continuación se ilustra para un mejor entendimiento:</w:t>
      </w:r>
    </w:p>
    <w:p w14:paraId="323C61C8" w14:textId="77777777" w:rsidR="00412355" w:rsidRPr="00BE653B" w:rsidRDefault="00412355">
      <w:pPr>
        <w:spacing w:before="240" w:after="240" w:line="360" w:lineRule="auto"/>
        <w:jc w:val="both"/>
        <w:rPr>
          <w:rFonts w:ascii="Palatino Linotype" w:eastAsia="Palatino Linotype" w:hAnsi="Palatino Linotype" w:cs="Palatino Linotype"/>
        </w:rPr>
      </w:pPr>
    </w:p>
    <w:p w14:paraId="5180017C" w14:textId="77777777" w:rsidR="00412355" w:rsidRPr="00BE653B" w:rsidRDefault="00DF2EC2">
      <w:pPr>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lastRenderedPageBreak/>
        <w:drawing>
          <wp:inline distT="0" distB="0" distL="0" distR="0" wp14:anchorId="60CA1718" wp14:editId="43E4E8FB">
            <wp:extent cx="4500000" cy="1224000"/>
            <wp:effectExtent l="0" t="0" r="0" b="0"/>
            <wp:docPr id="10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b="70028"/>
                    <a:stretch>
                      <a:fillRect/>
                    </a:stretch>
                  </pic:blipFill>
                  <pic:spPr>
                    <a:xfrm>
                      <a:off x="0" y="0"/>
                      <a:ext cx="4500000" cy="1224000"/>
                    </a:xfrm>
                    <a:prstGeom prst="rect">
                      <a:avLst/>
                    </a:prstGeom>
                    <a:ln/>
                  </pic:spPr>
                </pic:pic>
              </a:graphicData>
            </a:graphic>
          </wp:inline>
        </w:drawing>
      </w:r>
    </w:p>
    <w:p w14:paraId="36C5C4FE" w14:textId="77777777" w:rsidR="00412355" w:rsidRPr="00BE653B" w:rsidRDefault="00412355">
      <w:pPr>
        <w:jc w:val="center"/>
        <w:rPr>
          <w:rFonts w:ascii="Palatino Linotype" w:eastAsia="Palatino Linotype" w:hAnsi="Palatino Linotype" w:cs="Palatino Linotype"/>
        </w:rPr>
      </w:pPr>
    </w:p>
    <w:p w14:paraId="5C232109" w14:textId="77777777" w:rsidR="00412355" w:rsidRPr="00BE653B" w:rsidRDefault="00DF2EC2">
      <w:pPr>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3FCAC94A" wp14:editId="6198E922">
            <wp:extent cx="4680000" cy="2700000"/>
            <wp:effectExtent l="0" t="0" r="0" b="0"/>
            <wp:docPr id="10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t="32665"/>
                    <a:stretch>
                      <a:fillRect/>
                    </a:stretch>
                  </pic:blipFill>
                  <pic:spPr>
                    <a:xfrm>
                      <a:off x="0" y="0"/>
                      <a:ext cx="4680000" cy="2700000"/>
                    </a:xfrm>
                    <a:prstGeom prst="rect">
                      <a:avLst/>
                    </a:prstGeom>
                    <a:ln/>
                  </pic:spPr>
                </pic:pic>
              </a:graphicData>
            </a:graphic>
          </wp:inline>
        </w:drawing>
      </w:r>
    </w:p>
    <w:p w14:paraId="4AB72B2A" w14:textId="77777777" w:rsidR="00412355" w:rsidRPr="00BE653B" w:rsidRDefault="00412355">
      <w:pPr>
        <w:jc w:val="center"/>
        <w:rPr>
          <w:rFonts w:ascii="Palatino Linotype" w:eastAsia="Palatino Linotype" w:hAnsi="Palatino Linotype" w:cs="Palatino Linotype"/>
        </w:rPr>
      </w:pPr>
    </w:p>
    <w:p w14:paraId="6FFFBC60" w14:textId="77777777" w:rsidR="00412355" w:rsidRPr="00BE653B" w:rsidRDefault="00DF2EC2">
      <w:pPr>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4234A19B" wp14:editId="7828927E">
            <wp:extent cx="4500000" cy="3240000"/>
            <wp:effectExtent l="0" t="0" r="0" b="0"/>
            <wp:docPr id="10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b="42856"/>
                    <a:stretch>
                      <a:fillRect/>
                    </a:stretch>
                  </pic:blipFill>
                  <pic:spPr>
                    <a:xfrm>
                      <a:off x="0" y="0"/>
                      <a:ext cx="4500000" cy="3240000"/>
                    </a:xfrm>
                    <a:prstGeom prst="rect">
                      <a:avLst/>
                    </a:prstGeom>
                    <a:ln/>
                  </pic:spPr>
                </pic:pic>
              </a:graphicData>
            </a:graphic>
          </wp:inline>
        </w:drawing>
      </w:r>
    </w:p>
    <w:p w14:paraId="40EAB213" w14:textId="77777777" w:rsidR="00412355" w:rsidRPr="00BE653B" w:rsidRDefault="00412355">
      <w:pPr>
        <w:jc w:val="both"/>
        <w:rPr>
          <w:rFonts w:ascii="Palatino Linotype" w:eastAsia="Palatino Linotype" w:hAnsi="Palatino Linotype" w:cs="Palatino Linotype"/>
        </w:rPr>
      </w:pPr>
    </w:p>
    <w:p w14:paraId="06BE5ED8" w14:textId="77777777" w:rsidR="00412355" w:rsidRPr="00BE653B" w:rsidRDefault="00DF2EC2">
      <w:pPr>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4788EE26" wp14:editId="6B2503BD">
            <wp:extent cx="5040000" cy="2592000"/>
            <wp:effectExtent l="0" t="0" r="0" b="0"/>
            <wp:docPr id="1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t="57445"/>
                    <a:stretch>
                      <a:fillRect/>
                    </a:stretch>
                  </pic:blipFill>
                  <pic:spPr>
                    <a:xfrm>
                      <a:off x="0" y="0"/>
                      <a:ext cx="5040000" cy="2592000"/>
                    </a:xfrm>
                    <a:prstGeom prst="rect">
                      <a:avLst/>
                    </a:prstGeom>
                    <a:ln/>
                  </pic:spPr>
                </pic:pic>
              </a:graphicData>
            </a:graphic>
          </wp:inline>
        </w:drawing>
      </w:r>
    </w:p>
    <w:p w14:paraId="50493313" w14:textId="77777777" w:rsidR="00412355" w:rsidRPr="00BE653B" w:rsidRDefault="00DF2EC2">
      <w:pPr>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060D64FF" wp14:editId="4AE83D83">
            <wp:extent cx="4932000" cy="3628909"/>
            <wp:effectExtent l="0" t="0" r="0" b="0"/>
            <wp:docPr id="1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4932000" cy="3628909"/>
                    </a:xfrm>
                    <a:prstGeom prst="rect">
                      <a:avLst/>
                    </a:prstGeom>
                    <a:ln/>
                  </pic:spPr>
                </pic:pic>
              </a:graphicData>
            </a:graphic>
          </wp:inline>
        </w:drawing>
      </w:r>
    </w:p>
    <w:p w14:paraId="233938FF" w14:textId="77777777" w:rsidR="00412355" w:rsidRPr="00BE653B" w:rsidRDefault="00412355">
      <w:pPr>
        <w:jc w:val="both"/>
        <w:rPr>
          <w:rFonts w:ascii="Palatino Linotype" w:eastAsia="Palatino Linotype" w:hAnsi="Palatino Linotype" w:cs="Palatino Linotype"/>
        </w:rPr>
      </w:pPr>
    </w:p>
    <w:p w14:paraId="654C40FD" w14:textId="77777777" w:rsidR="00412355" w:rsidRPr="00BE653B" w:rsidRDefault="00412355">
      <w:pPr>
        <w:jc w:val="both"/>
        <w:rPr>
          <w:rFonts w:ascii="Palatino Linotype" w:eastAsia="Palatino Linotype" w:hAnsi="Palatino Linotype" w:cs="Palatino Linotype"/>
        </w:rPr>
      </w:pPr>
    </w:p>
    <w:p w14:paraId="39660626" w14:textId="77777777" w:rsidR="00412355" w:rsidRPr="00BE653B" w:rsidRDefault="00412355">
      <w:pPr>
        <w:jc w:val="both"/>
        <w:rPr>
          <w:rFonts w:ascii="Palatino Linotype" w:eastAsia="Palatino Linotype" w:hAnsi="Palatino Linotype" w:cs="Palatino Linotype"/>
        </w:rPr>
      </w:pPr>
    </w:p>
    <w:p w14:paraId="1A06AA49" w14:textId="77777777" w:rsidR="00412355" w:rsidRPr="00BE653B" w:rsidRDefault="00DF2EC2">
      <w:pPr>
        <w:spacing w:line="360" w:lineRule="auto"/>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lastRenderedPageBreak/>
        <w:drawing>
          <wp:inline distT="0" distB="0" distL="0" distR="0" wp14:anchorId="4A8CB13E" wp14:editId="12786B85">
            <wp:extent cx="5040000" cy="1141166"/>
            <wp:effectExtent l="0" t="0" r="0" b="0"/>
            <wp:docPr id="1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b="76666"/>
                    <a:stretch>
                      <a:fillRect/>
                    </a:stretch>
                  </pic:blipFill>
                  <pic:spPr>
                    <a:xfrm>
                      <a:off x="0" y="0"/>
                      <a:ext cx="5040000" cy="1141166"/>
                    </a:xfrm>
                    <a:prstGeom prst="rect">
                      <a:avLst/>
                    </a:prstGeom>
                    <a:ln/>
                  </pic:spPr>
                </pic:pic>
              </a:graphicData>
            </a:graphic>
          </wp:inline>
        </w:drawing>
      </w:r>
    </w:p>
    <w:p w14:paraId="0CBF7B21" w14:textId="77777777" w:rsidR="00412355" w:rsidRPr="00BE653B" w:rsidRDefault="00412355">
      <w:pPr>
        <w:spacing w:line="360" w:lineRule="auto"/>
        <w:jc w:val="center"/>
        <w:rPr>
          <w:rFonts w:ascii="Palatino Linotype" w:eastAsia="Palatino Linotype" w:hAnsi="Palatino Linotype" w:cs="Palatino Linotype"/>
        </w:rPr>
      </w:pPr>
    </w:p>
    <w:p w14:paraId="28E354D7" w14:textId="77777777" w:rsidR="00412355" w:rsidRPr="00BE653B" w:rsidRDefault="00DF2EC2">
      <w:pPr>
        <w:spacing w:line="360" w:lineRule="auto"/>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30C1988C" wp14:editId="0E05F46D">
            <wp:extent cx="5040000" cy="3268323"/>
            <wp:effectExtent l="0" t="0" r="0" b="0"/>
            <wp:docPr id="1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t="30898" b="2271"/>
                    <a:stretch>
                      <a:fillRect/>
                    </a:stretch>
                  </pic:blipFill>
                  <pic:spPr>
                    <a:xfrm>
                      <a:off x="0" y="0"/>
                      <a:ext cx="5040000" cy="3268323"/>
                    </a:xfrm>
                    <a:prstGeom prst="rect">
                      <a:avLst/>
                    </a:prstGeom>
                    <a:ln/>
                  </pic:spPr>
                </pic:pic>
              </a:graphicData>
            </a:graphic>
          </wp:inline>
        </w:drawing>
      </w:r>
    </w:p>
    <w:p w14:paraId="343A8A42" w14:textId="77777777" w:rsidR="00412355" w:rsidRPr="00BE653B" w:rsidRDefault="00412355">
      <w:pPr>
        <w:spacing w:line="360" w:lineRule="auto"/>
        <w:jc w:val="center"/>
        <w:rPr>
          <w:rFonts w:ascii="Palatino Linotype" w:eastAsia="Palatino Linotype" w:hAnsi="Palatino Linotype" w:cs="Palatino Linotype"/>
        </w:rPr>
      </w:pPr>
    </w:p>
    <w:p w14:paraId="44D6CAC3" w14:textId="77777777" w:rsidR="00412355" w:rsidRPr="00BE653B" w:rsidRDefault="00412355">
      <w:pPr>
        <w:spacing w:line="360" w:lineRule="auto"/>
        <w:jc w:val="center"/>
        <w:rPr>
          <w:rFonts w:ascii="Palatino Linotype" w:eastAsia="Palatino Linotype" w:hAnsi="Palatino Linotype" w:cs="Palatino Linotype"/>
        </w:rPr>
      </w:pPr>
    </w:p>
    <w:p w14:paraId="7F2D6AEF" w14:textId="77777777" w:rsidR="00412355" w:rsidRPr="00BE653B" w:rsidRDefault="00DF2EC2">
      <w:pPr>
        <w:spacing w:line="360" w:lineRule="auto"/>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157EAA9B" wp14:editId="3763A7D8">
            <wp:extent cx="5040000" cy="1952166"/>
            <wp:effectExtent l="0" t="0" r="0" b="0"/>
            <wp:docPr id="1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t="-1" b="69736"/>
                    <a:stretch>
                      <a:fillRect/>
                    </a:stretch>
                  </pic:blipFill>
                  <pic:spPr>
                    <a:xfrm>
                      <a:off x="0" y="0"/>
                      <a:ext cx="5040000" cy="1952166"/>
                    </a:xfrm>
                    <a:prstGeom prst="rect">
                      <a:avLst/>
                    </a:prstGeom>
                    <a:ln/>
                  </pic:spPr>
                </pic:pic>
              </a:graphicData>
            </a:graphic>
          </wp:inline>
        </w:drawing>
      </w:r>
    </w:p>
    <w:p w14:paraId="0C6C59B3" w14:textId="77777777" w:rsidR="00412355" w:rsidRPr="00BE653B" w:rsidRDefault="00DF2EC2">
      <w:pPr>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lastRenderedPageBreak/>
        <w:drawing>
          <wp:inline distT="0" distB="0" distL="0" distR="0" wp14:anchorId="052AD167" wp14:editId="56B01E47">
            <wp:extent cx="4464000" cy="3965612"/>
            <wp:effectExtent l="0" t="0" r="0" b="0"/>
            <wp:docPr id="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t="29986" b="599"/>
                    <a:stretch>
                      <a:fillRect/>
                    </a:stretch>
                  </pic:blipFill>
                  <pic:spPr>
                    <a:xfrm>
                      <a:off x="0" y="0"/>
                      <a:ext cx="4464000" cy="3965612"/>
                    </a:xfrm>
                    <a:prstGeom prst="rect">
                      <a:avLst/>
                    </a:prstGeom>
                    <a:ln/>
                  </pic:spPr>
                </pic:pic>
              </a:graphicData>
            </a:graphic>
          </wp:inline>
        </w:drawing>
      </w:r>
    </w:p>
    <w:p w14:paraId="33B9D9B5" w14:textId="77777777" w:rsidR="00412355" w:rsidRPr="00BE653B" w:rsidRDefault="00DF2EC2">
      <w:pPr>
        <w:spacing w:line="360" w:lineRule="auto"/>
        <w:jc w:val="center"/>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3D867D08" wp14:editId="6B7783AE">
            <wp:extent cx="4464000" cy="2012466"/>
            <wp:effectExtent l="0" t="0" r="0" b="0"/>
            <wp:docPr id="9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4464000" cy="2012466"/>
                    </a:xfrm>
                    <a:prstGeom prst="rect">
                      <a:avLst/>
                    </a:prstGeom>
                    <a:ln/>
                  </pic:spPr>
                </pic:pic>
              </a:graphicData>
            </a:graphic>
          </wp:inline>
        </w:drawing>
      </w:r>
    </w:p>
    <w:p w14:paraId="7BE1B8A3"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Por lo antes señalado, el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 xml:space="preserve">a través de la Tesorería Municipal, aplica el sistema de contabilidad gubernamental para el registro contable y presupuestal de las operaciones financieras que realizan las áreas de la administración pública municipal, por lo cual se advierte que genera, administra y posee la información </w:t>
      </w:r>
      <w:r w:rsidRPr="00BE653B">
        <w:rPr>
          <w:rFonts w:ascii="Palatino Linotype" w:eastAsia="Palatino Linotype" w:hAnsi="Palatino Linotype" w:cs="Palatino Linotype"/>
        </w:rPr>
        <w:lastRenderedPageBreak/>
        <w:t xml:space="preserve">solicitada por la parte </w:t>
      </w:r>
      <w:r w:rsidRPr="00BE653B">
        <w:rPr>
          <w:rFonts w:ascii="Palatino Linotype" w:eastAsia="Palatino Linotype" w:hAnsi="Palatino Linotype" w:cs="Palatino Linotype"/>
          <w:b/>
        </w:rPr>
        <w:t>Recurrente</w:t>
      </w:r>
      <w:r w:rsidRPr="00BE653B">
        <w:rPr>
          <w:rFonts w:ascii="Palatino Linotype" w:eastAsia="Palatino Linotype" w:hAnsi="Palatino Linotype" w:cs="Palatino Linotype"/>
        </w:rPr>
        <w:t>, siendo procedente ordenar la búsqueda exhaustiva y razonable del soporte documental que dé cuenta de lo requerido, a efecto de satisfacer el requerimiento de la persona solicitante.</w:t>
      </w:r>
    </w:p>
    <w:p w14:paraId="1D7534C9" w14:textId="77777777" w:rsidR="00412355" w:rsidRPr="00BE653B" w:rsidRDefault="00DF2EC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No obstante, si derivado de la búsqueda que se ordena, el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 xml:space="preserve">no llegara a localizar información por no haberse generado, al estar supeditada a la existencia de erogaciones,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3476C854"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Artículo 19</w:t>
      </w:r>
      <w:r w:rsidRPr="00BE653B">
        <w:rPr>
          <w:rFonts w:ascii="Palatino Linotype" w:eastAsia="Palatino Linotype" w:hAnsi="Palatino Linotype" w:cs="Palatino Linotype"/>
          <w:i/>
          <w:sz w:val="22"/>
          <w:szCs w:val="22"/>
        </w:rPr>
        <w:t>…</w:t>
      </w:r>
    </w:p>
    <w:p w14:paraId="4BF01907"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54FD0B91"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Respecto de los </w:t>
      </w:r>
      <w:r w:rsidRPr="00BE653B">
        <w:rPr>
          <w:rFonts w:ascii="Palatino Linotype" w:eastAsia="Palatino Linotype" w:hAnsi="Palatino Linotype" w:cs="Palatino Linotype"/>
          <w:b/>
        </w:rPr>
        <w:t xml:space="preserve">puntos 6.1, 6.2, 6.3, 6.4, 7 y 8, </w:t>
      </w:r>
      <w:r w:rsidRPr="00BE653B">
        <w:rPr>
          <w:rFonts w:ascii="Palatino Linotype" w:eastAsia="Palatino Linotype" w:hAnsi="Palatino Linotype" w:cs="Palatino Linotype"/>
        </w:rPr>
        <w:t xml:space="preserve">mediante los cuales se requiere lista de las personas o empresas que recibieron pagos realizados para publicidad gubernamental, inserciones pagadas u otros relativos a medios de comunicación, fecha del (los) contrato (s), en caso de existir, motivo, monto; los expedientes de las licitaciones directas o con invitación a tres proveedores que incluya las actas de las empresas, desde el uno de enero al dieciocho de abril de 2022; y telefonía local y móvil que se utiliza para el Ayuntamiento, costo mensual, servicio de conmutador, líneas telefónicas, aparatos celulares y de qué marca son, -especificar nombre de la compañía, represéntate legal y montos-, conviene hacer alusión a lo dispuesto en la Ley de Contratación Pública del Estado de México y Municipios, la cual tiene por objeto regular los actos relativos a la </w:t>
      </w:r>
      <w:r w:rsidRPr="00BE653B">
        <w:rPr>
          <w:rFonts w:ascii="Palatino Linotype" w:eastAsia="Palatino Linotype" w:hAnsi="Palatino Linotype" w:cs="Palatino Linotype"/>
          <w:b/>
          <w:u w:val="single"/>
        </w:rPr>
        <w:t xml:space="preserve">planeación, programación, </w:t>
      </w:r>
      <w:proofErr w:type="spellStart"/>
      <w:r w:rsidRPr="00BE653B">
        <w:rPr>
          <w:rFonts w:ascii="Palatino Linotype" w:eastAsia="Palatino Linotype" w:hAnsi="Palatino Linotype" w:cs="Palatino Linotype"/>
          <w:b/>
          <w:u w:val="single"/>
        </w:rPr>
        <w:t>presupuestación</w:t>
      </w:r>
      <w:proofErr w:type="spellEnd"/>
      <w:r w:rsidRPr="00BE653B">
        <w:rPr>
          <w:rFonts w:ascii="Palatino Linotype" w:eastAsia="Palatino Linotype" w:hAnsi="Palatino Linotype" w:cs="Palatino Linotype"/>
        </w:rPr>
        <w:t xml:space="preserve">, </w:t>
      </w:r>
      <w:r w:rsidRPr="00BE653B">
        <w:rPr>
          <w:rFonts w:ascii="Palatino Linotype" w:eastAsia="Palatino Linotype" w:hAnsi="Palatino Linotype" w:cs="Palatino Linotype"/>
        </w:rPr>
        <w:lastRenderedPageBreak/>
        <w:t xml:space="preserve">ejecución y control de la </w:t>
      </w:r>
      <w:r w:rsidRPr="00BE653B">
        <w:rPr>
          <w:rFonts w:ascii="Palatino Linotype" w:eastAsia="Palatino Linotype" w:hAnsi="Palatino Linotype" w:cs="Palatino Linotype"/>
          <w:b/>
          <w:u w:val="single"/>
        </w:rPr>
        <w:t>adquisición</w:t>
      </w:r>
      <w:r w:rsidRPr="00BE653B">
        <w:rPr>
          <w:rFonts w:ascii="Palatino Linotype" w:eastAsia="Palatino Linotype" w:hAnsi="Palatino Linotype" w:cs="Palatino Linotype"/>
        </w:rPr>
        <w:t xml:space="preserve">, enajenación y arrendamiento de bienes, y la </w:t>
      </w:r>
      <w:r w:rsidRPr="00BE653B">
        <w:rPr>
          <w:rFonts w:ascii="Palatino Linotype" w:eastAsia="Palatino Linotype" w:hAnsi="Palatino Linotype" w:cs="Palatino Linotype"/>
          <w:b/>
          <w:u w:val="single"/>
        </w:rPr>
        <w:t>contratación de servicios de cualquier naturaleza, que realicen los Ayuntamientos del Estado</w:t>
      </w:r>
      <w:r w:rsidRPr="00BE653B">
        <w:rPr>
          <w:rFonts w:ascii="Palatino Linotype" w:eastAsia="Palatino Linotype" w:hAnsi="Palatino Linotype" w:cs="Palatino Linotype"/>
        </w:rPr>
        <w:t>; entre ellos el sujeto obligado, los cuales se adjudicarán a través de licitación pública, invitación restringida o adjudicación directa, mediante convocatoria pública, tal y como lo establecen los artículos 4, 26 y 27 de dicha Ley, los cuales son del tenor siguiente:</w:t>
      </w:r>
    </w:p>
    <w:p w14:paraId="0AB19458"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4.-</w:t>
      </w:r>
      <w:r w:rsidRPr="00BE653B">
        <w:rPr>
          <w:rFonts w:ascii="Palatino Linotype" w:eastAsia="Palatino Linotype" w:hAnsi="Palatino Linotype" w:cs="Palatino Linotype"/>
          <w:i/>
          <w:sz w:val="22"/>
          <w:szCs w:val="22"/>
        </w:rPr>
        <w:t xml:space="preserve"> Para los efectos de esta Ley, </w:t>
      </w:r>
      <w:r w:rsidRPr="00BE653B">
        <w:rPr>
          <w:rFonts w:ascii="Palatino Linotype" w:eastAsia="Palatino Linotype" w:hAnsi="Palatino Linotype" w:cs="Palatino Linotype"/>
          <w:b/>
          <w:i/>
          <w:sz w:val="22"/>
          <w:szCs w:val="22"/>
        </w:rPr>
        <w:t>en las adquisiciones, enajenaciones, arrendamientos y servicios, quedan comprendidos</w:t>
      </w:r>
      <w:r w:rsidRPr="00BE653B">
        <w:rPr>
          <w:rFonts w:ascii="Palatino Linotype" w:eastAsia="Palatino Linotype" w:hAnsi="Palatino Linotype" w:cs="Palatino Linotype"/>
          <w:i/>
          <w:sz w:val="22"/>
          <w:szCs w:val="22"/>
        </w:rPr>
        <w:t>:</w:t>
      </w:r>
    </w:p>
    <w:p w14:paraId="59949F33"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w:t>
      </w:r>
      <w:r w:rsidRPr="00BE653B">
        <w:rPr>
          <w:rFonts w:ascii="Palatino Linotype" w:eastAsia="Palatino Linotype" w:hAnsi="Palatino Linotype" w:cs="Palatino Linotype"/>
          <w:i/>
          <w:sz w:val="22"/>
          <w:szCs w:val="22"/>
        </w:rPr>
        <w:t xml:space="preserve"> La adquisición de bienes muebles.</w:t>
      </w:r>
    </w:p>
    <w:p w14:paraId="35AC6050"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II</w:t>
      </w:r>
      <w:r w:rsidRPr="00BE653B">
        <w:rPr>
          <w:rFonts w:ascii="Palatino Linotype" w:eastAsia="Palatino Linotype" w:hAnsi="Palatino Linotype" w:cs="Palatino Linotype"/>
          <w:i/>
          <w:sz w:val="22"/>
          <w:szCs w:val="22"/>
        </w:rPr>
        <w:t>. La adquisición de bienes inmuebles, a través de compraventa.</w:t>
      </w:r>
    </w:p>
    <w:p w14:paraId="30F7AF69"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III.</w:t>
      </w:r>
      <w:r w:rsidRPr="00BE653B">
        <w:rPr>
          <w:rFonts w:ascii="Palatino Linotype" w:eastAsia="Palatino Linotype" w:hAnsi="Palatino Linotype" w:cs="Palatino Linotype"/>
          <w:i/>
          <w:sz w:val="22"/>
          <w:szCs w:val="22"/>
        </w:rPr>
        <w:t xml:space="preserve"> La enajenación de bienes muebles e inmuebles.</w:t>
      </w:r>
    </w:p>
    <w:p w14:paraId="29111A86"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IV.</w:t>
      </w:r>
      <w:r w:rsidRPr="00BE653B">
        <w:rPr>
          <w:rFonts w:ascii="Palatino Linotype" w:eastAsia="Palatino Linotype" w:hAnsi="Palatino Linotype" w:cs="Palatino Linotype"/>
          <w:i/>
          <w:sz w:val="22"/>
          <w:szCs w:val="22"/>
        </w:rPr>
        <w:t xml:space="preserve"> El arrendamiento de bienes muebles e inmuebles. </w:t>
      </w:r>
    </w:p>
    <w:p w14:paraId="1033562F"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V</w:t>
      </w:r>
      <w:r w:rsidRPr="00BE653B">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14:paraId="1C7DF1D6"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VI.</w:t>
      </w:r>
      <w:r w:rsidRPr="00BE653B">
        <w:rPr>
          <w:rFonts w:ascii="Palatino Linotype" w:eastAsia="Palatino Linotype" w:hAnsi="Palatino Linotype" w:cs="Palatino Linotype"/>
          <w:i/>
          <w:sz w:val="22"/>
          <w:szCs w:val="22"/>
        </w:rPr>
        <w:t xml:space="preserve"> La contratación de los servicios de reconstrucción y mantenimiento de bienes muebles. </w:t>
      </w:r>
    </w:p>
    <w:p w14:paraId="26B37164"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VII.</w:t>
      </w:r>
      <w:r w:rsidRPr="00BE653B">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14:paraId="4D11CA37"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VIII.</w:t>
      </w:r>
      <w:r w:rsidRPr="00BE653B">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3E87855C"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En general, otros actos que impliquen la contratación de servicios de cualquier naturaleza</w:t>
      </w:r>
    </w:p>
    <w:p w14:paraId="7013EB0B"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26.-</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Las adquisiciones, arrendamientos y servicios se adjudicarán a través de licitaciones públicas</w:t>
      </w:r>
      <w:r w:rsidRPr="00BE653B">
        <w:rPr>
          <w:rFonts w:ascii="Palatino Linotype" w:eastAsia="Palatino Linotype" w:hAnsi="Palatino Linotype" w:cs="Palatino Linotype"/>
          <w:i/>
          <w:sz w:val="22"/>
          <w:szCs w:val="22"/>
        </w:rPr>
        <w:t xml:space="preserve">, mediante convocatoria pública. </w:t>
      </w:r>
    </w:p>
    <w:p w14:paraId="472CEFEB"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27.</w:t>
      </w:r>
      <w:r w:rsidRPr="00BE653B">
        <w:rPr>
          <w:rFonts w:ascii="Palatino Linotype" w:eastAsia="Palatino Linotype" w:hAnsi="Palatino Linotype" w:cs="Palatino Linotype"/>
          <w:i/>
          <w:sz w:val="22"/>
          <w:szCs w:val="22"/>
        </w:rPr>
        <w:t xml:space="preserve">- La Secretaría, las entidades, los tribunales administrativos y los ayuntamientos podrán </w:t>
      </w:r>
      <w:r w:rsidRPr="00BE653B">
        <w:rPr>
          <w:rFonts w:ascii="Palatino Linotype" w:eastAsia="Palatino Linotype" w:hAnsi="Palatino Linotype" w:cs="Palatino Linotype"/>
          <w:b/>
          <w:i/>
          <w:sz w:val="22"/>
          <w:szCs w:val="22"/>
        </w:rPr>
        <w:t>adjudicar adquisiciones, arrendamientos y servicios, mediante las excepciones al procedimiento de licitación</w:t>
      </w:r>
      <w:r w:rsidRPr="00BE653B">
        <w:rPr>
          <w:rFonts w:ascii="Palatino Linotype" w:eastAsia="Palatino Linotype" w:hAnsi="Palatino Linotype" w:cs="Palatino Linotype"/>
          <w:i/>
          <w:sz w:val="22"/>
          <w:szCs w:val="22"/>
        </w:rPr>
        <w:t xml:space="preserve"> que a continuación se señalan:</w:t>
      </w:r>
    </w:p>
    <w:p w14:paraId="21FCEC01"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lastRenderedPageBreak/>
        <w:t>I</w:t>
      </w:r>
      <w:r w:rsidRPr="00BE653B">
        <w:rPr>
          <w:rFonts w:ascii="Palatino Linotype" w:eastAsia="Palatino Linotype" w:hAnsi="Palatino Linotype" w:cs="Palatino Linotype"/>
          <w:i/>
          <w:sz w:val="22"/>
          <w:szCs w:val="22"/>
        </w:rPr>
        <w:t>. Invitación restringida.</w:t>
      </w:r>
    </w:p>
    <w:p w14:paraId="7EF6AFD6"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II.</w:t>
      </w:r>
      <w:r w:rsidRPr="00BE653B">
        <w:rPr>
          <w:rFonts w:ascii="Palatino Linotype" w:eastAsia="Palatino Linotype" w:hAnsi="Palatino Linotype" w:cs="Palatino Linotype"/>
          <w:i/>
          <w:sz w:val="22"/>
          <w:szCs w:val="22"/>
        </w:rPr>
        <w:t xml:space="preserve"> Adjudicación directa.”</w:t>
      </w:r>
    </w:p>
    <w:p w14:paraId="58C49DE6"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Ahora bien, en relación con lo solicitado resulta necesario mencionar que el Particular requirió información relativa a “licitaciones directas”, sin embargo, de conformidad con la Ley de Contrataciones Estatal, está modalidad </w:t>
      </w:r>
      <w:r w:rsidRPr="00BE653B">
        <w:rPr>
          <w:rFonts w:ascii="Palatino Linotype" w:eastAsia="Palatino Linotype" w:hAnsi="Palatino Linotype" w:cs="Palatino Linotype"/>
          <w:b/>
        </w:rPr>
        <w:t>no existe</w:t>
      </w:r>
      <w:r w:rsidRPr="00BE653B">
        <w:rPr>
          <w:rFonts w:ascii="Palatino Linotype" w:eastAsia="Palatino Linotype" w:hAnsi="Palatino Linotype" w:cs="Palatino Linotype"/>
        </w:rPr>
        <w:t>, ya que como se señaló, las entidades públicas únicamente pueden adjudicar adquisiciones, arrendamientos y servicios a través de: Licitación Pública, Invitación Restringida y Adjudicación Directa.</w:t>
      </w:r>
    </w:p>
    <w:p w14:paraId="09EA75D2"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 En ese sentido, es de señalar que los particulares no son expertos en la materia, por lo que, de conformidad con el artículo 13 de la Ley de Transparencia del Estado de México y Municipios, este Instituto en el ámbito de sus atribuciones, deberá suplir cualquier deficiencia para garantizar el ejercicio del derecho de acceso a la información, de tal manera, que se colige que la pretensión del ahora Recurrente es </w:t>
      </w:r>
      <w:r w:rsidRPr="00BE653B">
        <w:rPr>
          <w:rFonts w:ascii="Palatino Linotype" w:eastAsia="Palatino Linotype" w:hAnsi="Palatino Linotype" w:cs="Palatino Linotype"/>
          <w:b/>
        </w:rPr>
        <w:t>obtener información relacionada con los expedientes de procesos de adjudicación directa e invitación restringida</w:t>
      </w:r>
      <w:r w:rsidRPr="00BE653B">
        <w:rPr>
          <w:rFonts w:ascii="Palatino Linotype" w:eastAsia="Palatino Linotype" w:hAnsi="Palatino Linotype" w:cs="Palatino Linotype"/>
        </w:rPr>
        <w:t xml:space="preserve">, </w:t>
      </w:r>
      <w:r w:rsidRPr="00BE653B">
        <w:rPr>
          <w:rFonts w:ascii="Palatino Linotype" w:eastAsia="Palatino Linotype" w:hAnsi="Palatino Linotype" w:cs="Palatino Linotype"/>
          <w:b/>
        </w:rPr>
        <w:t>así como las actas de las empresas, esto desde el inicio de actual administración municipal a la fecha de la solicitud de información</w:t>
      </w:r>
      <w:r w:rsidRPr="00BE653B">
        <w:rPr>
          <w:rFonts w:ascii="Palatino Linotype" w:eastAsia="Palatino Linotype" w:hAnsi="Palatino Linotype" w:cs="Palatino Linotype"/>
        </w:rPr>
        <w:t xml:space="preserve">. </w:t>
      </w:r>
    </w:p>
    <w:p w14:paraId="02B6B709"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 procedimientos que son materia de la solicitud presentada por el particular.</w:t>
      </w:r>
    </w:p>
    <w:p w14:paraId="12B991CA" w14:textId="32C99BE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lastRenderedPageBreak/>
        <w:t xml:space="preserve">Por ello, de acuerdo con el artículo 44 de la Ley de Contratación Pública del Estado de México y Municipios, las entidades públicas, entre ellas los Ayuntamientos podrán adquirir y contratar servicios mediante invitación restringida en los siguientes casos: </w:t>
      </w:r>
    </w:p>
    <w:p w14:paraId="741ABE35" w14:textId="2D98FBBE" w:rsidR="00412355" w:rsidRPr="00BE653B" w:rsidRDefault="000E02DA" w:rsidP="000E02DA">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w:t>
      </w:r>
      <w:r w:rsidR="00DF2EC2" w:rsidRPr="00BE653B">
        <w:rPr>
          <w:rFonts w:ascii="Palatino Linotype" w:eastAsia="Palatino Linotype" w:hAnsi="Palatino Linotype" w:cs="Palatino Linotype"/>
          <w:b/>
          <w:i/>
          <w:sz w:val="22"/>
          <w:szCs w:val="22"/>
        </w:rPr>
        <w:t>Artículo 44.-</w:t>
      </w:r>
      <w:r w:rsidR="00DF2EC2" w:rsidRPr="00BE653B">
        <w:rPr>
          <w:rFonts w:ascii="Palatino Linotype" w:eastAsia="Palatino Linotype" w:hAnsi="Palatino Linotype" w:cs="Palatino Linotype"/>
          <w:i/>
          <w:sz w:val="22"/>
          <w:szCs w:val="22"/>
        </w:rPr>
        <w:t xml:space="preserve"> La Secretaría, las entidades, los tribunales administrativos y los ayuntamientos podrán adquirir y contratar servicios mediante invitación restringida, cuando:</w:t>
      </w:r>
    </w:p>
    <w:p w14:paraId="35BCA126" w14:textId="77777777" w:rsidR="00412355" w:rsidRPr="00BE653B" w:rsidRDefault="00DF2EC2" w:rsidP="000E02DA">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bCs/>
          <w:i/>
          <w:sz w:val="22"/>
          <w:szCs w:val="22"/>
        </w:rPr>
        <w:t>I.</w:t>
      </w:r>
      <w:r w:rsidRPr="00BE653B">
        <w:rPr>
          <w:rFonts w:ascii="Palatino Linotype" w:eastAsia="Palatino Linotype" w:hAnsi="Palatino Linotype" w:cs="Palatino Linotype"/>
          <w:i/>
          <w:sz w:val="22"/>
          <w:szCs w:val="22"/>
        </w:rPr>
        <w:t xml:space="preserve"> Se hubiere declarado desierto un procedimiento de licitación, o</w:t>
      </w:r>
    </w:p>
    <w:p w14:paraId="207F0AAB" w14:textId="77777777" w:rsidR="00412355" w:rsidRPr="00BE653B" w:rsidRDefault="00DF2EC2" w:rsidP="000E02DA">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bCs/>
          <w:i/>
          <w:sz w:val="22"/>
          <w:szCs w:val="22"/>
        </w:rPr>
        <w:t>II</w:t>
      </w:r>
      <w:r w:rsidRPr="00BE653B">
        <w:rPr>
          <w:rFonts w:ascii="Palatino Linotype" w:eastAsia="Palatino Linotype" w:hAnsi="Palatino Linotype" w:cs="Palatino Linotype"/>
          <w:i/>
          <w:sz w:val="22"/>
          <w:szCs w:val="22"/>
        </w:rPr>
        <w:t>. El importe de la operación no exceda de los montos establecidos por el Presupuesto de Egresos del Gobierno del Estado de México del ejercicio correspondiente.</w:t>
      </w:r>
    </w:p>
    <w:p w14:paraId="707C5278" w14:textId="3C1CD411" w:rsidR="00412355" w:rsidRPr="00BE653B" w:rsidRDefault="00DF2EC2" w:rsidP="000E02DA">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569B7771" w14:textId="43B7D664" w:rsidR="00412355" w:rsidRPr="00BE653B" w:rsidRDefault="00DF2EC2" w:rsidP="000E02DA">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En la invitación deberá especificarse si en el proceso de asignación aplicará la modalidad de subasta inversa.</w:t>
      </w:r>
      <w:r w:rsidR="000E02DA" w:rsidRPr="00BE653B">
        <w:rPr>
          <w:rFonts w:ascii="Palatino Linotype" w:eastAsia="Palatino Linotype" w:hAnsi="Palatino Linotype" w:cs="Palatino Linotype"/>
          <w:i/>
          <w:sz w:val="22"/>
          <w:szCs w:val="22"/>
        </w:rPr>
        <w:t>”</w:t>
      </w:r>
    </w:p>
    <w:p w14:paraId="72737E4A" w14:textId="3C269856" w:rsidR="00412355" w:rsidRPr="00BE653B" w:rsidRDefault="00DF2EC2" w:rsidP="007E45F7">
      <w:pPr>
        <w:spacing w:before="240" w:after="240"/>
        <w:ind w:right="49"/>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rPr>
        <w:t>Asimismo, el artículo 46 de la Ley referida, menciona que:</w:t>
      </w:r>
    </w:p>
    <w:p w14:paraId="2550D062" w14:textId="4806F573" w:rsidR="00412355" w:rsidRPr="00BE653B" w:rsidRDefault="00DF2EC2" w:rsidP="000E02DA">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sz w:val="22"/>
          <w:szCs w:val="22"/>
        </w:rPr>
        <w:t xml:space="preserve"> </w:t>
      </w:r>
      <w:r w:rsidR="000E02DA" w:rsidRPr="00BE653B">
        <w:rPr>
          <w:rFonts w:ascii="Palatino Linotype" w:eastAsia="Palatino Linotype" w:hAnsi="Palatino Linotype" w:cs="Palatino Linotype"/>
          <w:sz w:val="22"/>
          <w:szCs w:val="22"/>
        </w:rPr>
        <w:t>“</w:t>
      </w:r>
      <w:r w:rsidRPr="00BE653B">
        <w:rPr>
          <w:rFonts w:ascii="Palatino Linotype" w:eastAsia="Palatino Linotype" w:hAnsi="Palatino Linotype" w:cs="Palatino Linotype"/>
          <w:b/>
          <w:i/>
          <w:sz w:val="22"/>
          <w:szCs w:val="22"/>
        </w:rPr>
        <w:t>Artículo 46.-</w:t>
      </w:r>
      <w:r w:rsidRPr="00BE653B">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w:t>
      </w:r>
      <w:r w:rsidR="000E02DA" w:rsidRPr="00BE653B">
        <w:rPr>
          <w:rFonts w:ascii="Palatino Linotype" w:eastAsia="Palatino Linotype" w:hAnsi="Palatino Linotype" w:cs="Palatino Linotype"/>
          <w:i/>
          <w:sz w:val="22"/>
          <w:szCs w:val="22"/>
        </w:rPr>
        <w:t>”</w:t>
      </w:r>
    </w:p>
    <w:p w14:paraId="047A130D" w14:textId="0547E1F5" w:rsidR="00412355" w:rsidRPr="00BE653B" w:rsidRDefault="00DF2EC2" w:rsidP="007E45F7">
      <w:pPr>
        <w:spacing w:line="360" w:lineRule="auto"/>
        <w:ind w:right="49"/>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Por otra parte, el artículo 48 de la Ley en cita precisa que, respecto a los procedimientos de Adjudicación Directa, las entidades públicas podrán adquirir bienes, arrendar bienes muebles e inmuebles y contratar servicios mediante adjudicación directa cuando: </w:t>
      </w:r>
    </w:p>
    <w:p w14:paraId="5A3979DE" w14:textId="1EFEB10A" w:rsidR="00412355" w:rsidRPr="00BE653B" w:rsidRDefault="007E45F7" w:rsidP="007E45F7">
      <w:pPr>
        <w:tabs>
          <w:tab w:val="left" w:pos="7938"/>
        </w:tabs>
        <w:spacing w:before="120" w:after="120"/>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w:t>
      </w:r>
      <w:r w:rsidR="00DF2EC2" w:rsidRPr="00BE653B">
        <w:rPr>
          <w:rFonts w:ascii="Palatino Linotype" w:eastAsia="Palatino Linotype" w:hAnsi="Palatino Linotype" w:cs="Palatino Linotype"/>
          <w:b/>
          <w:i/>
          <w:sz w:val="22"/>
          <w:szCs w:val="22"/>
        </w:rPr>
        <w:t>Artículo 48.-</w:t>
      </w:r>
      <w:r w:rsidR="00DF2EC2" w:rsidRPr="00BE653B">
        <w:rPr>
          <w:rFonts w:ascii="Palatino Linotype" w:eastAsia="Palatino Linotype" w:hAnsi="Palatino Linotype" w:cs="Palatino Linotype"/>
          <w:i/>
          <w:sz w:val="22"/>
          <w:szCs w:val="22"/>
        </w:rPr>
        <w:t xml:space="preserve"> La Secretaría, las entidades, los tribunales administrativos y los ayuntamientos podrán adquirir bienes, arrendar bienes muebles e inmuebles y contratar servicios, mediante adjudicación directa, cuando:</w:t>
      </w:r>
    </w:p>
    <w:p w14:paraId="6A051090" w14:textId="77777777" w:rsidR="00412355" w:rsidRPr="00BE653B" w:rsidRDefault="00DF2EC2" w:rsidP="007E45F7">
      <w:pPr>
        <w:tabs>
          <w:tab w:val="left" w:pos="7938"/>
        </w:tabs>
        <w:spacing w:before="120" w:after="120"/>
        <w:ind w:left="1134"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bCs/>
          <w:i/>
          <w:sz w:val="22"/>
          <w:szCs w:val="22"/>
        </w:rPr>
        <w:lastRenderedPageBreak/>
        <w:t>I</w:t>
      </w:r>
      <w:r w:rsidRPr="00BE653B">
        <w:rPr>
          <w:rFonts w:ascii="Palatino Linotype" w:eastAsia="Palatino Linotype" w:hAnsi="Palatino Linotype" w:cs="Palatino Linotype"/>
          <w:i/>
          <w:sz w:val="22"/>
          <w:szCs w:val="22"/>
        </w:rPr>
        <w:t>. La adquisición o el servicio sólo puedan realizarse con una determinada persona, por tratarse de obras de arte, titularidad de patentes, registros, marcas específicas, derechos de autor u otros derechos exclusivos.</w:t>
      </w:r>
    </w:p>
    <w:p w14:paraId="5F595920" w14:textId="77777777" w:rsidR="00412355" w:rsidRPr="00BE653B" w:rsidRDefault="00DF2EC2" w:rsidP="007E45F7">
      <w:pPr>
        <w:tabs>
          <w:tab w:val="left" w:pos="7938"/>
        </w:tabs>
        <w:spacing w:before="120" w:after="120"/>
        <w:ind w:left="1134"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bCs/>
          <w:i/>
          <w:sz w:val="22"/>
          <w:szCs w:val="22"/>
        </w:rPr>
        <w:t>II</w:t>
      </w:r>
      <w:r w:rsidRPr="00BE653B">
        <w:rPr>
          <w:rFonts w:ascii="Palatino Linotype" w:eastAsia="Palatino Linotype" w:hAnsi="Palatino Linotype" w:cs="Palatino Linotype"/>
          <w:i/>
          <w:sz w:val="22"/>
          <w:szCs w:val="22"/>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01BD0149" w14:textId="77777777" w:rsidR="00412355" w:rsidRPr="00BE653B" w:rsidRDefault="00DF2EC2" w:rsidP="007E45F7">
      <w:pPr>
        <w:tabs>
          <w:tab w:val="left" w:pos="7938"/>
        </w:tabs>
        <w:spacing w:before="120" w:after="120"/>
        <w:ind w:left="1134"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bCs/>
          <w:i/>
          <w:sz w:val="22"/>
          <w:szCs w:val="22"/>
        </w:rPr>
        <w:t>III.</w:t>
      </w:r>
      <w:r w:rsidRPr="00BE653B">
        <w:rPr>
          <w:rFonts w:ascii="Palatino Linotype" w:eastAsia="Palatino Linotype" w:hAnsi="Palatino Linotype" w:cs="Palatino Linotype"/>
          <w:i/>
          <w:sz w:val="22"/>
          <w:szCs w:val="22"/>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4AE70D22" w14:textId="77777777" w:rsidR="00412355" w:rsidRPr="00BE653B" w:rsidRDefault="00DF2EC2" w:rsidP="007E45F7">
      <w:pPr>
        <w:tabs>
          <w:tab w:val="left" w:pos="7938"/>
        </w:tabs>
        <w:spacing w:before="120" w:after="120"/>
        <w:ind w:left="1134"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bCs/>
          <w:i/>
          <w:sz w:val="22"/>
          <w:szCs w:val="22"/>
        </w:rPr>
        <w:t>IV.</w:t>
      </w:r>
      <w:r w:rsidRPr="00BE653B">
        <w:rPr>
          <w:rFonts w:ascii="Palatino Linotype" w:eastAsia="Palatino Linotype" w:hAnsi="Palatino Linotype" w:cs="Palatino Linotype"/>
          <w:i/>
          <w:sz w:val="22"/>
          <w:szCs w:val="22"/>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1CEFB35D" w14:textId="71787BF0" w:rsidR="00412355" w:rsidRPr="00BE653B" w:rsidRDefault="00DF2EC2" w:rsidP="007E45F7">
      <w:pPr>
        <w:tabs>
          <w:tab w:val="left" w:pos="7938"/>
        </w:tabs>
        <w:spacing w:before="120" w:after="120"/>
        <w:ind w:left="1134"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bCs/>
          <w:i/>
          <w:sz w:val="22"/>
          <w:szCs w:val="22"/>
        </w:rPr>
        <w:t>V</w:t>
      </w:r>
      <w:r w:rsidRPr="00BE653B">
        <w:rPr>
          <w:rFonts w:ascii="Palatino Linotype" w:eastAsia="Palatino Linotype" w:hAnsi="Palatino Linotype" w:cs="Palatino Linotype"/>
          <w:i/>
          <w:sz w:val="22"/>
          <w:szCs w:val="22"/>
        </w:rPr>
        <w:t>. Existan circunstancias que puedan provocar pérdidas o costos adicionales importantes al erario.</w:t>
      </w:r>
    </w:p>
    <w:p w14:paraId="32C0B161" w14:textId="77777777" w:rsidR="00412355" w:rsidRPr="00BE653B" w:rsidRDefault="00DF2EC2" w:rsidP="007E45F7">
      <w:pPr>
        <w:tabs>
          <w:tab w:val="left" w:pos="7938"/>
        </w:tabs>
        <w:spacing w:before="120" w:after="120"/>
        <w:ind w:left="1134"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bCs/>
          <w:i/>
          <w:sz w:val="22"/>
          <w:szCs w:val="22"/>
        </w:rPr>
        <w:t>VI</w:t>
      </w:r>
      <w:r w:rsidRPr="00BE653B">
        <w:rPr>
          <w:rFonts w:ascii="Palatino Linotype" w:eastAsia="Palatino Linotype" w:hAnsi="Palatino Linotype" w:cs="Palatino Linotype"/>
          <w:i/>
          <w:sz w:val="22"/>
          <w:szCs w:val="22"/>
        </w:rPr>
        <w:t>. Pueda comprometerse información de naturaleza confidencial para el Estado o municipios, por razones de seguridad pública.</w:t>
      </w:r>
    </w:p>
    <w:p w14:paraId="2561B1BA" w14:textId="77777777" w:rsidR="00412355" w:rsidRPr="00BE653B" w:rsidRDefault="00DF2EC2" w:rsidP="007E45F7">
      <w:pPr>
        <w:tabs>
          <w:tab w:val="left" w:pos="7938"/>
        </w:tabs>
        <w:spacing w:before="120" w:after="120"/>
        <w:ind w:left="1134"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bCs/>
          <w:i/>
          <w:sz w:val="22"/>
          <w:szCs w:val="22"/>
        </w:rPr>
        <w:t>VII</w:t>
      </w:r>
      <w:r w:rsidRPr="00BE653B">
        <w:rPr>
          <w:rFonts w:ascii="Palatino Linotype" w:eastAsia="Palatino Linotype" w:hAnsi="Palatino Linotype" w:cs="Palatino Linotype"/>
          <w:i/>
          <w:sz w:val="22"/>
          <w:szCs w:val="22"/>
        </w:rPr>
        <w:t>. Existan circunstancias extraordinarias o imprevisibles derivadas de riesgo o desastre. En este supuesto, la adquisición, arrendamiento y servicio deberá limitarse a lo estrictamente necesario para enfrentar tal eventualidad.</w:t>
      </w:r>
    </w:p>
    <w:p w14:paraId="2FEBFE18" w14:textId="77777777" w:rsidR="00412355" w:rsidRPr="00BE653B" w:rsidRDefault="00DF2EC2" w:rsidP="007E45F7">
      <w:pPr>
        <w:tabs>
          <w:tab w:val="left" w:pos="7938"/>
        </w:tabs>
        <w:spacing w:before="120" w:after="120"/>
        <w:ind w:left="1134"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bCs/>
          <w:i/>
          <w:sz w:val="22"/>
          <w:szCs w:val="22"/>
        </w:rPr>
        <w:t>VIII</w:t>
      </w:r>
      <w:r w:rsidRPr="00BE653B">
        <w:rPr>
          <w:rFonts w:ascii="Palatino Linotype" w:eastAsia="Palatino Linotype" w:hAnsi="Palatino Linotype" w:cs="Palatino Linotype"/>
          <w:i/>
          <w:sz w:val="22"/>
          <w:szCs w:val="22"/>
        </w:rPr>
        <w:t xml:space="preserve">.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w:t>
      </w:r>
      <w:proofErr w:type="gramStart"/>
      <w:r w:rsidRPr="00BE653B">
        <w:rPr>
          <w:rFonts w:ascii="Palatino Linotype" w:eastAsia="Palatino Linotype" w:hAnsi="Palatino Linotype" w:cs="Palatino Linotype"/>
          <w:i/>
          <w:sz w:val="22"/>
          <w:szCs w:val="22"/>
        </w:rPr>
        <w:t>podrá</w:t>
      </w:r>
      <w:proofErr w:type="gramEnd"/>
      <w:r w:rsidRPr="00BE653B">
        <w:rPr>
          <w:rFonts w:ascii="Palatino Linotype" w:eastAsia="Palatino Linotype" w:hAnsi="Palatino Linotype" w:cs="Palatino Linotype"/>
          <w:i/>
          <w:sz w:val="22"/>
          <w:szCs w:val="22"/>
        </w:rPr>
        <w:t xml:space="preserve"> adjudicar el contrato al licitante que haya presentado la propuesta solvente más cercana a la ganadora y así, sucesivamente. En todo caso, la diferencia de precio no deberá de ser superior al diez por ciento, respecto de la propuesta ganadora.</w:t>
      </w:r>
    </w:p>
    <w:p w14:paraId="0B7FAA2D" w14:textId="77777777" w:rsidR="00412355" w:rsidRPr="00BE653B" w:rsidRDefault="00DF2EC2" w:rsidP="007E45F7">
      <w:pPr>
        <w:tabs>
          <w:tab w:val="left" w:pos="7938"/>
        </w:tabs>
        <w:spacing w:before="120" w:after="120"/>
        <w:ind w:left="1134"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bCs/>
          <w:i/>
          <w:sz w:val="22"/>
          <w:szCs w:val="22"/>
        </w:rPr>
        <w:t>IX</w:t>
      </w:r>
      <w:r w:rsidRPr="00BE653B">
        <w:rPr>
          <w:rFonts w:ascii="Palatino Linotype" w:eastAsia="Palatino Linotype" w:hAnsi="Palatino Linotype" w:cs="Palatino Linotype"/>
          <w:i/>
          <w:sz w:val="22"/>
          <w:szCs w:val="22"/>
        </w:rPr>
        <w:t>. Se hubiere declarado desierto un procedimiento de invitación restringida.</w:t>
      </w:r>
    </w:p>
    <w:p w14:paraId="3BB03074" w14:textId="77777777" w:rsidR="00412355" w:rsidRPr="00BE653B" w:rsidRDefault="00DF2EC2" w:rsidP="007E45F7">
      <w:pPr>
        <w:tabs>
          <w:tab w:val="left" w:pos="7938"/>
        </w:tabs>
        <w:spacing w:before="120" w:after="120"/>
        <w:ind w:left="1134"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bCs/>
          <w:i/>
          <w:sz w:val="22"/>
          <w:szCs w:val="22"/>
        </w:rPr>
        <w:t>X</w:t>
      </w:r>
      <w:r w:rsidRPr="00BE653B">
        <w:rPr>
          <w:rFonts w:ascii="Palatino Linotype" w:eastAsia="Palatino Linotype" w:hAnsi="Palatino Linotype" w:cs="Palatino Linotype"/>
          <w:i/>
          <w:sz w:val="22"/>
          <w:szCs w:val="22"/>
        </w:rPr>
        <w:t xml:space="preserve">. Cuando se aseguren condiciones financieras que permitan al Estado o a los municipios cumplir con la obligación de pago de manera diferida, sin que ello </w:t>
      </w:r>
      <w:r w:rsidRPr="00BE653B">
        <w:rPr>
          <w:rFonts w:ascii="Palatino Linotype" w:eastAsia="Palatino Linotype" w:hAnsi="Palatino Linotype" w:cs="Palatino Linotype"/>
          <w:i/>
          <w:sz w:val="22"/>
          <w:szCs w:val="22"/>
        </w:rPr>
        <w:lastRenderedPageBreak/>
        <w:t>implique un costo financiero adicional o que habiéndolo, sea inferior al del mercado, o</w:t>
      </w:r>
    </w:p>
    <w:p w14:paraId="713F9D24" w14:textId="77777777" w:rsidR="00412355" w:rsidRPr="00BE653B" w:rsidRDefault="00DF2EC2" w:rsidP="007E45F7">
      <w:pPr>
        <w:tabs>
          <w:tab w:val="left" w:pos="7938"/>
        </w:tabs>
        <w:spacing w:before="120" w:after="120"/>
        <w:ind w:left="1134"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bCs/>
          <w:i/>
          <w:sz w:val="22"/>
          <w:szCs w:val="22"/>
        </w:rPr>
        <w:t>XI</w:t>
      </w:r>
      <w:r w:rsidRPr="00BE653B">
        <w:rPr>
          <w:rFonts w:ascii="Palatino Linotype" w:eastAsia="Palatino Linotype" w:hAnsi="Palatino Linotype" w:cs="Palatino Linotype"/>
          <w:i/>
          <w:sz w:val="22"/>
          <w:szCs w:val="22"/>
        </w:rPr>
        <w:t>.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307C6777" w14:textId="77777777" w:rsidR="00412355" w:rsidRPr="00BE653B" w:rsidRDefault="00DF2EC2" w:rsidP="007E45F7">
      <w:pPr>
        <w:tabs>
          <w:tab w:val="left" w:pos="7938"/>
        </w:tabs>
        <w:spacing w:before="120" w:after="120"/>
        <w:ind w:left="1134"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bCs/>
          <w:i/>
          <w:sz w:val="22"/>
          <w:szCs w:val="22"/>
        </w:rPr>
        <w:t>XII</w:t>
      </w:r>
      <w:r w:rsidRPr="00BE653B">
        <w:rPr>
          <w:rFonts w:ascii="Palatino Linotype" w:eastAsia="Palatino Linotype" w:hAnsi="Palatino Linotype" w:cs="Palatino Linotype"/>
          <w:i/>
          <w:sz w:val="22"/>
          <w:szCs w:val="22"/>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41A2A75B" w14:textId="4B05D5C6" w:rsidR="00412355" w:rsidRPr="00BE653B" w:rsidRDefault="00DF2EC2" w:rsidP="007E45F7">
      <w:pPr>
        <w:tabs>
          <w:tab w:val="left" w:pos="7938"/>
        </w:tabs>
        <w:spacing w:before="120" w:after="120"/>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49.-</w:t>
      </w:r>
      <w:r w:rsidRPr="00BE653B">
        <w:rPr>
          <w:rFonts w:ascii="Palatino Linotype" w:eastAsia="Palatino Linotype" w:hAnsi="Palatino Linotype" w:cs="Palatino Linotype"/>
          <w:i/>
          <w:sz w:val="22"/>
          <w:szCs w:val="22"/>
        </w:rPr>
        <w:t xml:space="preserve"> El procedimiento de adjudicación directa se substanciará con arreglo a el reglamento de esta Ley.</w:t>
      </w:r>
      <w:r w:rsidR="007E45F7" w:rsidRPr="00BE653B">
        <w:rPr>
          <w:rFonts w:ascii="Palatino Linotype" w:eastAsia="Palatino Linotype" w:hAnsi="Palatino Linotype" w:cs="Palatino Linotype"/>
          <w:i/>
          <w:sz w:val="22"/>
          <w:szCs w:val="22"/>
        </w:rPr>
        <w:t>”</w:t>
      </w:r>
    </w:p>
    <w:p w14:paraId="17FB208F"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Ahora bien, a través del cumplimiento a la obligación de transparencia señalada en la fracción 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a saber:</w:t>
      </w:r>
    </w:p>
    <w:p w14:paraId="181CC0E7" w14:textId="77777777" w:rsidR="00412355" w:rsidRPr="00BE653B" w:rsidRDefault="00DF2EC2">
      <w:pPr>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Artículo 92</w:t>
      </w:r>
      <w:r w:rsidRPr="00BE653B">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221252D" w14:textId="77777777" w:rsidR="00412355" w:rsidRPr="00BE653B" w:rsidRDefault="00DF2EC2">
      <w:pPr>
        <w:tabs>
          <w:tab w:val="left" w:pos="426"/>
        </w:tabs>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
    <w:p w14:paraId="6C9BFF38" w14:textId="77777777" w:rsidR="00412355" w:rsidRPr="00BE653B" w:rsidRDefault="00DF2EC2">
      <w:pPr>
        <w:tabs>
          <w:tab w:val="left" w:pos="426"/>
        </w:tabs>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XXIX.</w:t>
      </w:r>
      <w:r w:rsidRPr="00BE653B">
        <w:rPr>
          <w:rFonts w:ascii="Palatino Linotype" w:eastAsia="Palatino Linotype" w:hAnsi="Palatino Linotype" w:cs="Palatino Linotype"/>
          <w:i/>
          <w:sz w:val="22"/>
          <w:szCs w:val="22"/>
        </w:rPr>
        <w:t xml:space="preserve"> La </w:t>
      </w:r>
      <w:r w:rsidRPr="00BE653B">
        <w:rPr>
          <w:rFonts w:ascii="Palatino Linotype" w:eastAsia="Palatino Linotype" w:hAnsi="Palatino Linotype" w:cs="Palatino Linotype"/>
          <w:b/>
          <w:i/>
          <w:sz w:val="22"/>
          <w:szCs w:val="22"/>
        </w:rPr>
        <w:t xml:space="preserve">información sobre los procesos y resultados </w:t>
      </w:r>
      <w:r w:rsidRPr="00BE653B">
        <w:rPr>
          <w:rFonts w:ascii="Palatino Linotype" w:eastAsia="Palatino Linotype" w:hAnsi="Palatino Linotype" w:cs="Palatino Linotype"/>
          <w:b/>
          <w:i/>
          <w:sz w:val="22"/>
          <w:szCs w:val="22"/>
          <w:u w:val="single"/>
        </w:rPr>
        <w:t xml:space="preserve">sobre procedimientos de adjudicación directa, invitación restringida y </w:t>
      </w:r>
      <w:r w:rsidRPr="00BE653B">
        <w:rPr>
          <w:rFonts w:ascii="Palatino Linotype" w:eastAsia="Palatino Linotype" w:hAnsi="Palatino Linotype" w:cs="Palatino Linotype"/>
          <w:b/>
          <w:i/>
          <w:sz w:val="22"/>
          <w:szCs w:val="22"/>
          <w:u w:val="single"/>
        </w:rPr>
        <w:lastRenderedPageBreak/>
        <w:t>licitación de cualquier naturaleza</w:t>
      </w:r>
      <w:r w:rsidRPr="00BE653B">
        <w:rPr>
          <w:rFonts w:ascii="Palatino Linotype" w:eastAsia="Palatino Linotype" w:hAnsi="Palatino Linotype" w:cs="Palatino Linotype"/>
          <w:i/>
          <w:sz w:val="22"/>
          <w:szCs w:val="22"/>
          <w:u w:val="single"/>
        </w:rPr>
        <w:t xml:space="preserve">, </w:t>
      </w:r>
      <w:r w:rsidRPr="00BE653B">
        <w:rPr>
          <w:rFonts w:ascii="Palatino Linotype" w:eastAsia="Palatino Linotype" w:hAnsi="Palatino Linotype" w:cs="Palatino Linotype"/>
          <w:b/>
          <w:i/>
          <w:sz w:val="22"/>
          <w:szCs w:val="22"/>
        </w:rPr>
        <w:t>incluyendo la versión pública</w:t>
      </w:r>
      <w:r w:rsidRPr="00BE653B">
        <w:rPr>
          <w:rFonts w:ascii="Palatino Linotype" w:eastAsia="Palatino Linotype" w:hAnsi="Palatino Linotype" w:cs="Palatino Linotype"/>
          <w:i/>
          <w:sz w:val="22"/>
          <w:szCs w:val="22"/>
        </w:rPr>
        <w:t xml:space="preserve"> del expediente respectivo y </w:t>
      </w:r>
      <w:r w:rsidRPr="00BE653B">
        <w:rPr>
          <w:rFonts w:ascii="Palatino Linotype" w:eastAsia="Palatino Linotype" w:hAnsi="Palatino Linotype" w:cs="Palatino Linotype"/>
          <w:b/>
          <w:i/>
          <w:sz w:val="22"/>
          <w:szCs w:val="22"/>
        </w:rPr>
        <w:t>de los contratos celebrados</w:t>
      </w:r>
      <w:r w:rsidRPr="00BE653B">
        <w:rPr>
          <w:rFonts w:ascii="Palatino Linotype" w:eastAsia="Palatino Linotype" w:hAnsi="Palatino Linotype" w:cs="Palatino Linotype"/>
          <w:i/>
          <w:sz w:val="22"/>
          <w:szCs w:val="22"/>
        </w:rPr>
        <w:t>, que deberán contener, por los menos, lo siguiente:</w:t>
      </w:r>
    </w:p>
    <w:p w14:paraId="379AF94F" w14:textId="77777777" w:rsidR="00412355" w:rsidRPr="00BE653B" w:rsidRDefault="00DF2EC2">
      <w:pPr>
        <w:tabs>
          <w:tab w:val="left" w:pos="426"/>
        </w:tabs>
        <w:spacing w:before="120" w:after="120"/>
        <w:ind w:left="1418"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a) De licitaciones públicas o procedimientos de invitación restringida:</w:t>
      </w:r>
    </w:p>
    <w:p w14:paraId="4F5B302D"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1)</w:t>
      </w:r>
      <w:r w:rsidRPr="00BE653B">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78541E70"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2)</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Los nombres de los participantes o invitados</w:t>
      </w:r>
      <w:r w:rsidRPr="00BE653B">
        <w:rPr>
          <w:rFonts w:ascii="Palatino Linotype" w:eastAsia="Palatino Linotype" w:hAnsi="Palatino Linotype" w:cs="Palatino Linotype"/>
          <w:i/>
          <w:sz w:val="22"/>
          <w:szCs w:val="22"/>
        </w:rPr>
        <w:t>;</w:t>
      </w:r>
    </w:p>
    <w:p w14:paraId="4E20A4B3"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3)</w:t>
      </w:r>
      <w:r w:rsidRPr="00BE653B">
        <w:rPr>
          <w:rFonts w:ascii="Palatino Linotype" w:eastAsia="Palatino Linotype" w:hAnsi="Palatino Linotype" w:cs="Palatino Linotype"/>
          <w:i/>
          <w:sz w:val="22"/>
          <w:szCs w:val="22"/>
        </w:rPr>
        <w:t xml:space="preserve"> El nombre del ganador y las razones que lo justifican;</w:t>
      </w:r>
    </w:p>
    <w:p w14:paraId="555B442A"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4)</w:t>
      </w:r>
      <w:r w:rsidRPr="00BE653B">
        <w:rPr>
          <w:rFonts w:ascii="Palatino Linotype" w:eastAsia="Palatino Linotype" w:hAnsi="Palatino Linotype" w:cs="Palatino Linotype"/>
          <w:i/>
          <w:sz w:val="22"/>
          <w:szCs w:val="22"/>
        </w:rPr>
        <w:t xml:space="preserve"> El área solicitante y la responsable de su ejecución;</w:t>
      </w:r>
    </w:p>
    <w:p w14:paraId="2952D0A2"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5)</w:t>
      </w:r>
      <w:r w:rsidRPr="00BE653B">
        <w:rPr>
          <w:rFonts w:ascii="Palatino Linotype" w:eastAsia="Palatino Linotype" w:hAnsi="Palatino Linotype" w:cs="Palatino Linotype"/>
          <w:i/>
          <w:sz w:val="22"/>
          <w:szCs w:val="22"/>
        </w:rPr>
        <w:t xml:space="preserve"> Las convocatorias e invitaciones emitidas; </w:t>
      </w:r>
    </w:p>
    <w:p w14:paraId="691A945E"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6)</w:t>
      </w:r>
      <w:r w:rsidRPr="00BE653B">
        <w:rPr>
          <w:rFonts w:ascii="Palatino Linotype" w:eastAsia="Palatino Linotype" w:hAnsi="Palatino Linotype" w:cs="Palatino Linotype"/>
          <w:i/>
          <w:sz w:val="22"/>
          <w:szCs w:val="22"/>
        </w:rPr>
        <w:t xml:space="preserve"> Los dictámenes y fallo de adjudicación;</w:t>
      </w:r>
    </w:p>
    <w:p w14:paraId="3BBAB8DC"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7) El contrato y, en su caso, sus anexos</w:t>
      </w:r>
      <w:r w:rsidRPr="00BE653B">
        <w:rPr>
          <w:rFonts w:ascii="Palatino Linotype" w:eastAsia="Palatino Linotype" w:hAnsi="Palatino Linotype" w:cs="Palatino Linotype"/>
          <w:i/>
          <w:sz w:val="22"/>
          <w:szCs w:val="22"/>
        </w:rPr>
        <w:t xml:space="preserve">; </w:t>
      </w:r>
    </w:p>
    <w:p w14:paraId="05529A2E"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8)</w:t>
      </w:r>
      <w:r w:rsidRPr="00BE653B">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4CF18A69"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9)</w:t>
      </w:r>
      <w:r w:rsidRPr="00BE653B">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6957C4B8"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10)</w:t>
      </w:r>
      <w:r w:rsidRPr="00BE653B">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6722BA3B"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11)</w:t>
      </w:r>
      <w:r w:rsidRPr="00BE653B">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3A4F5F26"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12)</w:t>
      </w:r>
      <w:r w:rsidRPr="00BE653B">
        <w:rPr>
          <w:rFonts w:ascii="Palatino Linotype" w:eastAsia="Palatino Linotype" w:hAnsi="Palatino Linotype" w:cs="Palatino Linotype"/>
          <w:i/>
          <w:sz w:val="22"/>
          <w:szCs w:val="22"/>
        </w:rPr>
        <w:t xml:space="preserve"> Los informes de avance físico y financiero sobre las obras o servicios contratados; </w:t>
      </w:r>
    </w:p>
    <w:p w14:paraId="1201F5FF"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13)</w:t>
      </w:r>
      <w:r w:rsidRPr="00BE653B">
        <w:rPr>
          <w:rFonts w:ascii="Palatino Linotype" w:eastAsia="Palatino Linotype" w:hAnsi="Palatino Linotype" w:cs="Palatino Linotype"/>
          <w:i/>
          <w:sz w:val="22"/>
          <w:szCs w:val="22"/>
        </w:rPr>
        <w:t xml:space="preserve"> El convenio de terminación; </w:t>
      </w:r>
    </w:p>
    <w:p w14:paraId="7046EC29"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14)</w:t>
      </w:r>
      <w:r w:rsidRPr="00BE653B">
        <w:rPr>
          <w:rFonts w:ascii="Palatino Linotype" w:eastAsia="Palatino Linotype" w:hAnsi="Palatino Linotype" w:cs="Palatino Linotype"/>
          <w:i/>
          <w:sz w:val="22"/>
          <w:szCs w:val="22"/>
        </w:rPr>
        <w:t xml:space="preserve"> El finiquito.</w:t>
      </w:r>
    </w:p>
    <w:p w14:paraId="6BDEC765" w14:textId="77777777" w:rsidR="00412355" w:rsidRPr="00BE653B" w:rsidRDefault="00DF2EC2">
      <w:pPr>
        <w:tabs>
          <w:tab w:val="left" w:pos="426"/>
        </w:tabs>
        <w:spacing w:before="120" w:after="120"/>
        <w:ind w:left="1418"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 xml:space="preserve">b) De las adjudicaciones directas: </w:t>
      </w:r>
    </w:p>
    <w:p w14:paraId="5C945A1C"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1)</w:t>
      </w:r>
      <w:r w:rsidRPr="00BE653B">
        <w:rPr>
          <w:rFonts w:ascii="Palatino Linotype" w:eastAsia="Palatino Linotype" w:hAnsi="Palatino Linotype" w:cs="Palatino Linotype"/>
          <w:i/>
          <w:sz w:val="22"/>
          <w:szCs w:val="22"/>
        </w:rPr>
        <w:t xml:space="preserve"> La propuesta enviada por el participante; </w:t>
      </w:r>
    </w:p>
    <w:p w14:paraId="4251DE15"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2)</w:t>
      </w:r>
      <w:r w:rsidRPr="00BE653B">
        <w:rPr>
          <w:rFonts w:ascii="Palatino Linotype" w:eastAsia="Palatino Linotype" w:hAnsi="Palatino Linotype" w:cs="Palatino Linotype"/>
          <w:i/>
          <w:sz w:val="22"/>
          <w:szCs w:val="22"/>
        </w:rPr>
        <w:t xml:space="preserve"> Los motivos y fundamentos legales aplicados para llevarla a cabo;</w:t>
      </w:r>
    </w:p>
    <w:p w14:paraId="59C19369"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3)</w:t>
      </w:r>
      <w:r w:rsidRPr="00BE653B">
        <w:rPr>
          <w:rFonts w:ascii="Palatino Linotype" w:eastAsia="Palatino Linotype" w:hAnsi="Palatino Linotype" w:cs="Palatino Linotype"/>
          <w:i/>
          <w:sz w:val="22"/>
          <w:szCs w:val="22"/>
        </w:rPr>
        <w:t xml:space="preserve"> La autorización del ejercicio de la opción; </w:t>
      </w:r>
    </w:p>
    <w:p w14:paraId="7240FD6E"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 xml:space="preserve">4) </w:t>
      </w:r>
      <w:r w:rsidRPr="00BE653B">
        <w:rPr>
          <w:rFonts w:ascii="Palatino Linotype" w:eastAsia="Palatino Linotype" w:hAnsi="Palatino Linotype" w:cs="Palatino Linotype"/>
          <w:i/>
          <w:sz w:val="22"/>
          <w:szCs w:val="22"/>
        </w:rPr>
        <w:t>En su caso, las cotizaciones consideradas, especificando los nombres de los proveedores y sus montos;</w:t>
      </w:r>
      <w:r w:rsidRPr="00BE653B">
        <w:rPr>
          <w:rFonts w:ascii="Palatino Linotype" w:eastAsia="Palatino Linotype" w:hAnsi="Palatino Linotype" w:cs="Palatino Linotype"/>
          <w:b/>
          <w:i/>
          <w:sz w:val="22"/>
          <w:szCs w:val="22"/>
        </w:rPr>
        <w:t xml:space="preserve"> </w:t>
      </w:r>
    </w:p>
    <w:p w14:paraId="42476071"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lastRenderedPageBreak/>
        <w:t>5)</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El nombre de la persona física o jurídica colectiva adjudicada</w:t>
      </w:r>
      <w:r w:rsidRPr="00BE653B">
        <w:rPr>
          <w:rFonts w:ascii="Palatino Linotype" w:eastAsia="Palatino Linotype" w:hAnsi="Palatino Linotype" w:cs="Palatino Linotype"/>
          <w:i/>
          <w:sz w:val="22"/>
          <w:szCs w:val="22"/>
        </w:rPr>
        <w:t xml:space="preserve">; </w:t>
      </w:r>
    </w:p>
    <w:p w14:paraId="474BB614"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6)</w:t>
      </w:r>
      <w:r w:rsidRPr="00BE653B">
        <w:rPr>
          <w:rFonts w:ascii="Palatino Linotype" w:eastAsia="Palatino Linotype" w:hAnsi="Palatino Linotype" w:cs="Palatino Linotype"/>
          <w:i/>
          <w:sz w:val="22"/>
          <w:szCs w:val="22"/>
        </w:rPr>
        <w:t xml:space="preserve"> La unidad administrativa solicitante y la responsable de su ejecución; </w:t>
      </w:r>
    </w:p>
    <w:p w14:paraId="3E94EDBD"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727148A5"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8)</w:t>
      </w:r>
      <w:r w:rsidRPr="00BE653B">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7EFCCBBD"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9)</w:t>
      </w:r>
      <w:r w:rsidRPr="00BE653B">
        <w:rPr>
          <w:rFonts w:ascii="Palatino Linotype" w:eastAsia="Palatino Linotype" w:hAnsi="Palatino Linotype" w:cs="Palatino Linotype"/>
          <w:i/>
          <w:sz w:val="22"/>
          <w:szCs w:val="22"/>
        </w:rPr>
        <w:t xml:space="preserve"> Los informes de avance sobre las obras o servicios contratados; </w:t>
      </w:r>
    </w:p>
    <w:p w14:paraId="4320FDC8"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10)</w:t>
      </w:r>
      <w:r w:rsidRPr="00BE653B">
        <w:rPr>
          <w:rFonts w:ascii="Palatino Linotype" w:eastAsia="Palatino Linotype" w:hAnsi="Palatino Linotype" w:cs="Palatino Linotype"/>
          <w:i/>
          <w:sz w:val="22"/>
          <w:szCs w:val="22"/>
        </w:rPr>
        <w:t xml:space="preserve"> El convenio de terminación; y </w:t>
      </w:r>
    </w:p>
    <w:p w14:paraId="63B4BFB0" w14:textId="77777777" w:rsidR="00412355" w:rsidRPr="00BE653B" w:rsidRDefault="00DF2EC2">
      <w:pPr>
        <w:tabs>
          <w:tab w:val="left" w:pos="426"/>
        </w:tabs>
        <w:spacing w:before="120" w:after="120"/>
        <w:ind w:left="170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11)</w:t>
      </w:r>
      <w:r w:rsidRPr="00BE653B">
        <w:rPr>
          <w:rFonts w:ascii="Palatino Linotype" w:eastAsia="Palatino Linotype" w:hAnsi="Palatino Linotype" w:cs="Palatino Linotype"/>
          <w:i/>
          <w:sz w:val="22"/>
          <w:szCs w:val="22"/>
        </w:rPr>
        <w:t xml:space="preserve"> El finiquito;”</w:t>
      </w:r>
    </w:p>
    <w:p w14:paraId="282AC191" w14:textId="7C4899C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De esto, se advierte que, los </w:t>
      </w:r>
      <w:r w:rsidR="002318F0" w:rsidRPr="00BE653B">
        <w:rPr>
          <w:rFonts w:ascii="Palatino Linotype" w:eastAsia="Palatino Linotype" w:hAnsi="Palatino Linotype" w:cs="Palatino Linotype"/>
        </w:rPr>
        <w:t>S</w:t>
      </w:r>
      <w:r w:rsidRPr="00BE653B">
        <w:rPr>
          <w:rFonts w:ascii="Palatino Linotype" w:eastAsia="Palatino Linotype" w:hAnsi="Palatino Linotype" w:cs="Palatino Linotype"/>
        </w:rPr>
        <w:t xml:space="preserve">ujetos </w:t>
      </w:r>
      <w:r w:rsidR="002318F0" w:rsidRPr="00BE653B">
        <w:rPr>
          <w:rFonts w:ascii="Palatino Linotype" w:eastAsia="Palatino Linotype" w:hAnsi="Palatino Linotype" w:cs="Palatino Linotype"/>
        </w:rPr>
        <w:t>O</w:t>
      </w:r>
      <w:r w:rsidRPr="00BE653B">
        <w:rPr>
          <w:rFonts w:ascii="Palatino Linotype" w:eastAsia="Palatino Linotype" w:hAnsi="Palatino Linotype" w:cs="Palatino Linotype"/>
        </w:rPr>
        <w:t>bligados deberán poner a disposición del público la información relativa a procesos y resultados sobre procedimientos de adjudicación directa, invitación restringida y licitación de cualquier naturaleza, donde se incluya el expediente respectivo y de los contratos celebrados que, para el caso en particular, los expedientes deberán contener:</w:t>
      </w:r>
    </w:p>
    <w:p w14:paraId="0B50B078" w14:textId="77777777" w:rsidR="00412355" w:rsidRPr="00BE653B" w:rsidRDefault="00DF2EC2" w:rsidP="002318F0">
      <w:pPr>
        <w:spacing w:before="240" w:after="240" w:line="360" w:lineRule="auto"/>
        <w:ind w:left="567"/>
        <w:jc w:val="both"/>
        <w:rPr>
          <w:rFonts w:ascii="Palatino Linotype" w:eastAsia="Palatino Linotype" w:hAnsi="Palatino Linotype" w:cs="Palatino Linotype"/>
          <w:sz w:val="22"/>
          <w:szCs w:val="22"/>
        </w:rPr>
      </w:pPr>
      <w:r w:rsidRPr="00BE653B">
        <w:rPr>
          <w:rFonts w:ascii="Noto Sans Symbols" w:eastAsia="Noto Sans Symbols" w:hAnsi="Noto Sans Symbols" w:cs="Noto Sans Symbols"/>
          <w:sz w:val="22"/>
          <w:szCs w:val="22"/>
        </w:rPr>
        <w:t>●</w:t>
      </w:r>
      <w:r w:rsidRPr="00BE653B">
        <w:rPr>
          <w:sz w:val="14"/>
          <w:szCs w:val="14"/>
        </w:rPr>
        <w:t xml:space="preserve">        </w:t>
      </w:r>
      <w:r w:rsidRPr="00BE653B">
        <w:rPr>
          <w:rFonts w:ascii="Palatino Linotype" w:eastAsia="Palatino Linotype" w:hAnsi="Palatino Linotype" w:cs="Palatino Linotype"/>
          <w:b/>
          <w:sz w:val="22"/>
          <w:szCs w:val="22"/>
        </w:rPr>
        <w:t xml:space="preserve">Invitación restringida: </w:t>
      </w:r>
      <w:r w:rsidRPr="00BE653B">
        <w:rPr>
          <w:rFonts w:ascii="Palatino Linotype" w:eastAsia="Palatino Linotype" w:hAnsi="Palatino Linotype" w:cs="Palatino Linotype"/>
          <w:sz w:val="22"/>
          <w:szCs w:val="22"/>
        </w:rPr>
        <w:t>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318EA870" w14:textId="77777777" w:rsidR="00412355" w:rsidRPr="00BE653B" w:rsidRDefault="00DF2EC2" w:rsidP="002318F0">
      <w:pPr>
        <w:spacing w:before="240" w:after="240" w:line="360" w:lineRule="auto"/>
        <w:ind w:left="567"/>
        <w:jc w:val="both"/>
        <w:rPr>
          <w:rFonts w:ascii="Palatino Linotype" w:eastAsia="Palatino Linotype" w:hAnsi="Palatino Linotype" w:cs="Palatino Linotype"/>
          <w:sz w:val="22"/>
          <w:szCs w:val="22"/>
        </w:rPr>
      </w:pPr>
      <w:r w:rsidRPr="00BE653B">
        <w:rPr>
          <w:rFonts w:ascii="Noto Sans Symbols" w:eastAsia="Noto Sans Symbols" w:hAnsi="Noto Sans Symbols" w:cs="Noto Sans Symbols"/>
          <w:sz w:val="22"/>
          <w:szCs w:val="22"/>
        </w:rPr>
        <w:t>●</w:t>
      </w:r>
      <w:r w:rsidRPr="00BE653B">
        <w:rPr>
          <w:sz w:val="14"/>
          <w:szCs w:val="14"/>
        </w:rPr>
        <w:t xml:space="preserve">        </w:t>
      </w:r>
      <w:r w:rsidRPr="00BE653B">
        <w:rPr>
          <w:rFonts w:ascii="Palatino Linotype" w:eastAsia="Palatino Linotype" w:hAnsi="Palatino Linotype" w:cs="Palatino Linotype"/>
          <w:b/>
          <w:sz w:val="22"/>
          <w:szCs w:val="22"/>
        </w:rPr>
        <w:t xml:space="preserve">Adjudicaciones directas: </w:t>
      </w:r>
      <w:r w:rsidRPr="00BE653B">
        <w:rPr>
          <w:rFonts w:ascii="Palatino Linotype" w:eastAsia="Palatino Linotype" w:hAnsi="Palatino Linotype" w:cs="Palatino Linotype"/>
          <w:sz w:val="22"/>
          <w:szCs w:val="22"/>
        </w:rPr>
        <w:t xml:space="preserve">Propuestas enviadas por el participante, motivos y fundamentos legales, autorización del ejercicio de la opción, cotizaciones consideradas, nombre de persona física o jurídica adjudicada, número, fecha, monto </w:t>
      </w:r>
      <w:r w:rsidRPr="00BE653B">
        <w:rPr>
          <w:rFonts w:ascii="Palatino Linotype" w:eastAsia="Palatino Linotype" w:hAnsi="Palatino Linotype" w:cs="Palatino Linotype"/>
          <w:sz w:val="22"/>
          <w:szCs w:val="22"/>
        </w:rPr>
        <w:lastRenderedPageBreak/>
        <w:t xml:space="preserve">del contrato, plazo de entrega o ejecución, mecanismos de vigilancia y supervisión, informes de avance sobre las obras o servicios, convenio de terminación y finiquito. </w:t>
      </w:r>
    </w:p>
    <w:p w14:paraId="48E0970C"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Por ende, de acuerdo a los </w:t>
      </w:r>
      <w:r w:rsidRPr="00BE653B">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BE653B">
        <w:rPr>
          <w:rFonts w:ascii="Palatino Linotype" w:eastAsia="Palatino Linotype" w:hAnsi="Palatino Linotype" w:cs="Palatino Linotype"/>
        </w:rPr>
        <w:t xml:space="preserve">, que deben de difundir los sujetos obligados en los portales de Internet y en la Plataforma Nacional de Transparencia, para el cumplimiento de la obligación de transparencia señalada en el artículo 70  fracción XXVIII de la </w:t>
      </w:r>
      <w:r w:rsidRPr="00BE653B">
        <w:rPr>
          <w:rFonts w:ascii="Palatino Linotype" w:eastAsia="Palatino Linotype" w:hAnsi="Palatino Linotype" w:cs="Palatino Linotype"/>
          <w:i/>
        </w:rPr>
        <w:t>Ley General de Transparencia y Acceso a la Información Pública</w:t>
      </w:r>
      <w:r w:rsidRPr="00BE653B">
        <w:rPr>
          <w:rFonts w:ascii="Palatino Linotype" w:eastAsia="Palatino Linotype" w:hAnsi="Palatino Linotype" w:cs="Palatino Linotype"/>
        </w:rPr>
        <w:t xml:space="preserve">, los sujetos obligados deben publicar información sobre los actos, contratos y convenios celebrados, misma que </w:t>
      </w:r>
      <w:r w:rsidRPr="00BE653B">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BE653B">
        <w:rPr>
          <w:rFonts w:ascii="Palatino Linotype" w:eastAsia="Palatino Linotype" w:hAnsi="Palatino Linotype" w:cs="Palatino Linotype"/>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6B0F7056"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este sentido, se visualiza que la información requerida por la persona solicitante versa sobre una obligación de transparencia de oficio, y que por tal motivo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se encuentra constreñido a poner a disposición del público dicha </w:t>
      </w:r>
      <w:r w:rsidRPr="00BE653B">
        <w:rPr>
          <w:rFonts w:ascii="Palatino Linotype" w:eastAsia="Palatino Linotype" w:hAnsi="Palatino Linotype" w:cs="Palatino Linotype"/>
        </w:rPr>
        <w:lastRenderedPageBreak/>
        <w:t>información, de manera permanente y actualizada a través de los portales de internet y en la Plataforma Nacional de Transparencia,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4A55904C" w14:textId="77777777" w:rsidR="00412355" w:rsidRPr="00BE653B" w:rsidRDefault="00DF2EC2">
      <w:pPr>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Artículo 18.</w:t>
      </w:r>
      <w:r w:rsidRPr="00BE653B">
        <w:rPr>
          <w:rFonts w:ascii="Palatino Linotype" w:eastAsia="Palatino Linotype" w:hAnsi="Palatino Linotype" w:cs="Palatino Linotype"/>
          <w:i/>
          <w:sz w:val="22"/>
          <w:szCs w:val="22"/>
        </w:rPr>
        <w:t xml:space="preserve"> Los sujetos obligados </w:t>
      </w:r>
      <w:r w:rsidRPr="00BE653B">
        <w:rPr>
          <w:rFonts w:ascii="Palatino Linotype" w:eastAsia="Palatino Linotype" w:hAnsi="Palatino Linotype" w:cs="Palatino Linotype"/>
          <w:b/>
          <w:i/>
          <w:sz w:val="22"/>
          <w:szCs w:val="22"/>
        </w:rPr>
        <w:t>deberán documentar todo acto</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que derive del ejercicio de sus facultades, competencias o funciones</w:t>
      </w:r>
      <w:r w:rsidRPr="00BE653B">
        <w:rPr>
          <w:rFonts w:ascii="Palatino Linotype" w:eastAsia="Palatino Linotype" w:hAnsi="Palatino Linotype" w:cs="Palatino Linotype"/>
          <w:i/>
          <w:sz w:val="22"/>
          <w:szCs w:val="22"/>
        </w:rPr>
        <w:t>, considerando desde su origen la eventual publicidad y reutilización de la información que generen.</w:t>
      </w:r>
    </w:p>
    <w:p w14:paraId="4F8D9398" w14:textId="77777777" w:rsidR="00412355" w:rsidRPr="00BE653B" w:rsidRDefault="00DF2EC2">
      <w:pPr>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
    <w:p w14:paraId="0563FBD9" w14:textId="77777777" w:rsidR="00412355" w:rsidRPr="00BE653B" w:rsidRDefault="00DF2EC2">
      <w:pPr>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24.</w:t>
      </w:r>
      <w:r w:rsidRPr="00BE653B">
        <w:rPr>
          <w:rFonts w:ascii="Palatino Linotype" w:eastAsia="Palatino Linotype" w:hAnsi="Palatino Linotype" w:cs="Palatino Linotype"/>
          <w:i/>
          <w:sz w:val="22"/>
          <w:szCs w:val="22"/>
        </w:rPr>
        <w:t xml:space="preserve"> Para el cumplimiento de los objetivos de esta Ley</w:t>
      </w:r>
      <w:r w:rsidRPr="00BE653B">
        <w:rPr>
          <w:rFonts w:ascii="Palatino Linotype" w:eastAsia="Palatino Linotype" w:hAnsi="Palatino Linotype" w:cs="Palatino Linotype"/>
          <w:b/>
          <w:i/>
          <w:sz w:val="22"/>
          <w:szCs w:val="22"/>
        </w:rPr>
        <w:t>, los sujetos obligados deberán cumplir con las siguientes obligaciones</w:t>
      </w:r>
      <w:r w:rsidRPr="00BE653B">
        <w:rPr>
          <w:rFonts w:ascii="Palatino Linotype" w:eastAsia="Palatino Linotype" w:hAnsi="Palatino Linotype" w:cs="Palatino Linotype"/>
          <w:i/>
          <w:sz w:val="22"/>
          <w:szCs w:val="22"/>
        </w:rPr>
        <w:t>, según corresponda, de acuerdo a su naturaleza:</w:t>
      </w:r>
    </w:p>
    <w:p w14:paraId="67C16E33" w14:textId="77777777" w:rsidR="00412355" w:rsidRPr="00BE653B" w:rsidRDefault="00DF2EC2">
      <w:pPr>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
    <w:p w14:paraId="02AD877A" w14:textId="77777777" w:rsidR="00412355" w:rsidRPr="00BE653B" w:rsidRDefault="00DF2EC2">
      <w:pPr>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XXII.</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Documentar todo acto que derive del ejercicio de sus facultades, competencias o funciones</w:t>
      </w:r>
      <w:r w:rsidRPr="00BE653B">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56330AD7"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este orden de ideas, se estima que a través de los contratos, que forman parte de los expedientes de los procedimientos de adquisición de bienes contratación de servicios, la persona solicitante podrá conocer, el caso del servicio de publicidad, inserciones pagadas y demás medios de comunicación la fecha de contratación, el nombre de las personas físicas o jurídico colectivas contratadas, el motivo así como el monto pactado para la contratación, de igual forma, podrá advertir, en el caso del servicio de telefonía, el costo, las características de los aparatos adquiridos, la </w:t>
      </w:r>
      <w:r w:rsidRPr="00BE653B">
        <w:rPr>
          <w:rFonts w:ascii="Palatino Linotype" w:eastAsia="Palatino Linotype" w:hAnsi="Palatino Linotype" w:cs="Palatino Linotype"/>
        </w:rPr>
        <w:lastRenderedPageBreak/>
        <w:t>compañía con la que se contrató el servicio, y el nombre del representante legal, resultando procedente ordenar la entrega del soporte documental que atienda lo solicitado conforme al considerando siguiente.</w:t>
      </w:r>
    </w:p>
    <w:p w14:paraId="7F33CACC"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Aunado a lo anterior, respecto del </w:t>
      </w:r>
      <w:r w:rsidRPr="00BE653B">
        <w:rPr>
          <w:rFonts w:ascii="Palatino Linotype" w:eastAsia="Palatino Linotype" w:hAnsi="Palatino Linotype" w:cs="Palatino Linotype"/>
          <w:b/>
        </w:rPr>
        <w:t>punto 7</w:t>
      </w:r>
      <w:r w:rsidRPr="00BE653B">
        <w:rPr>
          <w:rFonts w:ascii="Palatino Linotype" w:eastAsia="Palatino Linotype" w:hAnsi="Palatino Linotype" w:cs="Palatino Linotype"/>
        </w:rPr>
        <w:t xml:space="preserve"> en el que se solicita, como parte del expediente de las licitaciones directas o con invitación a tres proveedores, el acta de las empresas, es de señalar que la Ley de Contratación, ni la Ley de Transparencia, a través de su artículo 92, fracción XXIX contemplan que el acta constitutiva de las personas morales que participan en los procedimientos de adquisición forme parte del expediente respectivo, sin embargo, el Reglamento de la Ley de Contratación, en su artículo 29 contempla la tramitación de la cédula de proveedores y contratistas, como el documento que contiene los datos generales del proveedor o prestador de servicios, acreditando que éste cumple con todos los requisitos establecidos por la Secretaría y </w:t>
      </w:r>
      <w:r w:rsidRPr="00BE653B">
        <w:rPr>
          <w:rFonts w:ascii="Palatino Linotype" w:eastAsia="Palatino Linotype" w:hAnsi="Palatino Linotype" w:cs="Palatino Linotype"/>
          <w:b/>
        </w:rPr>
        <w:t>permite a su titular participar en los actos adquisitivos o de contratación de servicios</w:t>
      </w:r>
      <w:r w:rsidRPr="00BE653B">
        <w:rPr>
          <w:rFonts w:ascii="Palatino Linotype" w:eastAsia="Palatino Linotype" w:hAnsi="Palatino Linotype" w:cs="Palatino Linotype"/>
        </w:rPr>
        <w:t xml:space="preserve">, que realicen la Secretaría de Finanzas, las dependencias, organismos auxiliares y tribunales administrativos, </w:t>
      </w:r>
      <w:r w:rsidRPr="00BE653B">
        <w:rPr>
          <w:rFonts w:ascii="Palatino Linotype" w:eastAsia="Palatino Linotype" w:hAnsi="Palatino Linotype" w:cs="Palatino Linotype"/>
          <w:b/>
        </w:rPr>
        <w:t>con el beneficio de que con su presentación en original y copia para su cotejo, se sustituya a juicio de la Convocante, la exhibición de los documentos señalados en las fracciones I, II, III, IV, V y VI del artículo 32</w:t>
      </w:r>
      <w:r w:rsidRPr="00BE653B">
        <w:rPr>
          <w:rFonts w:ascii="Palatino Linotype" w:eastAsia="Palatino Linotype" w:hAnsi="Palatino Linotype" w:cs="Palatino Linotype"/>
        </w:rPr>
        <w:t xml:space="preserve"> del mismo ordenamiento, relacionados con su información administrativa, legal y financiera, entre los que se encuentra el acta constitutiva, a saber:</w:t>
      </w:r>
    </w:p>
    <w:p w14:paraId="00F7EC26" w14:textId="77777777" w:rsidR="00412355" w:rsidRPr="00BE653B" w:rsidRDefault="00DF2EC2">
      <w:pPr>
        <w:spacing w:before="120" w:after="120"/>
        <w:ind w:left="851" w:right="51"/>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Artículo 32</w:t>
      </w:r>
      <w:r w:rsidRPr="00BE653B">
        <w:rPr>
          <w:rFonts w:ascii="Palatino Linotype" w:eastAsia="Palatino Linotype" w:hAnsi="Palatino Linotype" w:cs="Palatino Linotype"/>
          <w:i/>
          <w:sz w:val="22"/>
          <w:szCs w:val="22"/>
        </w:rPr>
        <w:t>.-Para obtener la cédula, los interesados deberán presentar solicitud en el formato que establezca la Secretaría y exhibir, en lo conducente, original o copia certificada y copia simple para su cotejo, de los documentos siguientes:</w:t>
      </w:r>
    </w:p>
    <w:p w14:paraId="422B20FB" w14:textId="77777777" w:rsidR="00412355" w:rsidRPr="00BE653B" w:rsidRDefault="00DF2EC2">
      <w:pPr>
        <w:spacing w:before="120" w:after="120"/>
        <w:ind w:left="1134" w:right="51"/>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Acta constitutiva</w:t>
      </w:r>
      <w:r w:rsidRPr="00BE653B">
        <w:rPr>
          <w:rFonts w:ascii="Palatino Linotype" w:eastAsia="Palatino Linotype" w:hAnsi="Palatino Linotype" w:cs="Palatino Linotype"/>
          <w:i/>
          <w:sz w:val="22"/>
          <w:szCs w:val="22"/>
        </w:rPr>
        <w:t xml:space="preserve"> y su última modificación, tratándose de personas jurídicas colectivas; o acta de nacimiento, tratándose de personas físicas;”</w:t>
      </w:r>
    </w:p>
    <w:p w14:paraId="0B9D195A"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lastRenderedPageBreak/>
        <w:t>Sin pasar por alto que de conformidad con el párrafo tercero del artículo 29 de del Reglamento de la Ley de Contratación, en el caso de los municipios, corresponde a sus autoridades emitir las determinaciones correspondientes, por lo que en el caso del Ayuntamiento de Metepec, el trámite de inscripción al padrón de proveedores contempla lo siguiente:</w:t>
      </w:r>
    </w:p>
    <w:p w14:paraId="24E23A4F"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63039A01" wp14:editId="1C37F281">
            <wp:extent cx="5607050" cy="983615"/>
            <wp:effectExtent l="0" t="0" r="0" b="0"/>
            <wp:docPr id="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607050" cy="983615"/>
                    </a:xfrm>
                    <a:prstGeom prst="rect">
                      <a:avLst/>
                    </a:prstGeom>
                    <a:ln/>
                  </pic:spPr>
                </pic:pic>
              </a:graphicData>
            </a:graphic>
          </wp:inline>
        </w:drawing>
      </w:r>
    </w:p>
    <w:p w14:paraId="15E3AD69"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295F060C" wp14:editId="3D77C344">
            <wp:extent cx="5607050" cy="1863306"/>
            <wp:effectExtent l="0" t="0" r="0" b="0"/>
            <wp:docPr id="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b="43309"/>
                    <a:stretch>
                      <a:fillRect/>
                    </a:stretch>
                  </pic:blipFill>
                  <pic:spPr>
                    <a:xfrm>
                      <a:off x="0" y="0"/>
                      <a:ext cx="5607050" cy="1863306"/>
                    </a:xfrm>
                    <a:prstGeom prst="rect">
                      <a:avLst/>
                    </a:prstGeom>
                    <a:ln/>
                  </pic:spPr>
                </pic:pic>
              </a:graphicData>
            </a:graphic>
          </wp:inline>
        </w:drawing>
      </w:r>
    </w:p>
    <w:p w14:paraId="5A805E46"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noProof/>
          <w:lang w:val="es-MX"/>
        </w:rPr>
        <w:drawing>
          <wp:inline distT="0" distB="0" distL="0" distR="0" wp14:anchorId="368AD76D" wp14:editId="077754A1">
            <wp:extent cx="5607050" cy="1819910"/>
            <wp:effectExtent l="0" t="0" r="0" b="0"/>
            <wp:docPr id="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5607050" cy="1819910"/>
                    </a:xfrm>
                    <a:prstGeom prst="rect">
                      <a:avLst/>
                    </a:prstGeom>
                    <a:ln/>
                  </pic:spPr>
                </pic:pic>
              </a:graphicData>
            </a:graphic>
          </wp:inline>
        </w:drawing>
      </w:r>
    </w:p>
    <w:p w14:paraId="09AD8810"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noProof/>
          <w:lang w:val="es-MX"/>
        </w:rPr>
        <w:lastRenderedPageBreak/>
        <w:drawing>
          <wp:inline distT="0" distB="0" distL="0" distR="0" wp14:anchorId="07F66AC6" wp14:editId="136AEFF2">
            <wp:extent cx="5607050" cy="750570"/>
            <wp:effectExtent l="0" t="0" r="0" b="0"/>
            <wp:docPr id="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5607050" cy="750570"/>
                    </a:xfrm>
                    <a:prstGeom prst="rect">
                      <a:avLst/>
                    </a:prstGeom>
                    <a:ln/>
                  </pic:spPr>
                </pic:pic>
              </a:graphicData>
            </a:graphic>
          </wp:inline>
        </w:drawing>
      </w:r>
    </w:p>
    <w:p w14:paraId="61497F1D"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De las imágenes anteriores de desprender que los proveedores interesados en participar en los procedimientos de adquisición de bienes o contratación de servicios </w:t>
      </w:r>
      <w:r w:rsidRPr="00BE653B">
        <w:rPr>
          <w:rFonts w:ascii="Palatino Linotype" w:eastAsia="Palatino Linotype" w:hAnsi="Palatino Linotype" w:cs="Palatino Linotype"/>
          <w:b/>
        </w:rPr>
        <w:t>deben registrarse en el padrón de proveedores</w:t>
      </w:r>
      <w:r w:rsidRPr="00BE653B">
        <w:rPr>
          <w:rFonts w:ascii="Palatino Linotype" w:eastAsia="Palatino Linotype" w:hAnsi="Palatino Linotype" w:cs="Palatino Linotype"/>
        </w:rPr>
        <w:t xml:space="preserve">, para lo cual </w:t>
      </w:r>
      <w:r w:rsidRPr="00BE653B">
        <w:rPr>
          <w:rFonts w:ascii="Palatino Linotype" w:eastAsia="Palatino Linotype" w:hAnsi="Palatino Linotype" w:cs="Palatino Linotype"/>
          <w:b/>
        </w:rPr>
        <w:t>es necesario</w:t>
      </w:r>
      <w:r w:rsidRPr="00BE653B">
        <w:rPr>
          <w:rFonts w:ascii="Palatino Linotype" w:eastAsia="Palatino Linotype" w:hAnsi="Palatino Linotype" w:cs="Palatino Linotype"/>
        </w:rPr>
        <w:t xml:space="preserve"> </w:t>
      </w:r>
      <w:r w:rsidRPr="00BE653B">
        <w:rPr>
          <w:rFonts w:ascii="Palatino Linotype" w:eastAsia="Palatino Linotype" w:hAnsi="Palatino Linotype" w:cs="Palatino Linotype"/>
          <w:b/>
        </w:rPr>
        <w:t>que cumplan</w:t>
      </w:r>
      <w:r w:rsidRPr="00BE653B">
        <w:rPr>
          <w:rFonts w:ascii="Palatino Linotype" w:eastAsia="Palatino Linotype" w:hAnsi="Palatino Linotype" w:cs="Palatino Linotype"/>
        </w:rPr>
        <w:t xml:space="preserve"> </w:t>
      </w:r>
      <w:r w:rsidRPr="00BE653B">
        <w:rPr>
          <w:rFonts w:ascii="Palatino Linotype" w:eastAsia="Palatino Linotype" w:hAnsi="Palatino Linotype" w:cs="Palatino Linotype"/>
          <w:b/>
        </w:rPr>
        <w:t>una serie de requisitos</w:t>
      </w:r>
      <w:r w:rsidRPr="00BE653B">
        <w:rPr>
          <w:rFonts w:ascii="Palatino Linotype" w:eastAsia="Palatino Linotype" w:hAnsi="Palatino Linotype" w:cs="Palatino Linotype"/>
        </w:rPr>
        <w:t xml:space="preserve">, entre los que se encuentra el </w:t>
      </w:r>
      <w:r w:rsidRPr="00BE653B">
        <w:rPr>
          <w:rFonts w:ascii="Palatino Linotype" w:eastAsia="Palatino Linotype" w:hAnsi="Palatino Linotype" w:cs="Palatino Linotype"/>
          <w:b/>
        </w:rPr>
        <w:t>acta constitutiva</w:t>
      </w:r>
      <w:r w:rsidRPr="00BE653B">
        <w:rPr>
          <w:rFonts w:ascii="Palatino Linotype" w:eastAsia="Palatino Linotype" w:hAnsi="Palatino Linotype" w:cs="Palatino Linotype"/>
        </w:rPr>
        <w:t xml:space="preserve"> de la persona jurídico colectiva, presumiéndose la existencia de dicha documental en los archivos del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por lo tanto es dable ordenar la entrega de la misma en los casos en los que se actualice el supuesto, es decir, en las contrataciones de personas jurídico colectivas.</w:t>
      </w:r>
    </w:p>
    <w:p w14:paraId="5B9E694E"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No obstante, si derivado de la búsqueda que se ordena, el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no llegara a localizar información por no haberse generado, toda vez que la normatividad aplicable no establece de manera concreta un plazo o periodo determinado para llevar a cabo procedimientos de adquisición de bienes o contratación de servicios, sino que se trata de una facultad potestativa de los entes públicos, se deberá hacer del conocimiento de la persona solicitante dicha circunstancia en términos del artículo 19, párrafo segundo de la Ley de Transparencia y Acceso a la información Pública del Estado de México y Municipios.</w:t>
      </w:r>
    </w:p>
    <w:p w14:paraId="673AB325" w14:textId="1A39282D"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Finalmente, respecto del </w:t>
      </w:r>
      <w:r w:rsidRPr="00BE653B">
        <w:rPr>
          <w:rFonts w:ascii="Palatino Linotype" w:eastAsia="Palatino Linotype" w:hAnsi="Palatino Linotype" w:cs="Palatino Linotype"/>
          <w:b/>
        </w:rPr>
        <w:t xml:space="preserve">punto 9, </w:t>
      </w:r>
      <w:r w:rsidRPr="00BE653B">
        <w:rPr>
          <w:rFonts w:ascii="Palatino Linotype" w:eastAsia="Palatino Linotype" w:hAnsi="Palatino Linotype" w:cs="Palatino Linotype"/>
        </w:rPr>
        <w:t xml:space="preserve">mediante el cual se solicita información sobre el </w:t>
      </w:r>
      <w:r w:rsidRPr="00BE653B">
        <w:rPr>
          <w:rFonts w:ascii="Palatino Linotype" w:eastAsia="Palatino Linotype" w:hAnsi="Palatino Linotype" w:cs="Palatino Linotype"/>
          <w:b/>
        </w:rPr>
        <w:t>Sistema de Auditoría, Seguimiento y Control Financiero</w:t>
      </w:r>
      <w:r w:rsidRPr="00BE653B">
        <w:rPr>
          <w:rFonts w:ascii="Palatino Linotype" w:eastAsia="Palatino Linotype" w:hAnsi="Palatino Linotype" w:cs="Palatino Linotype"/>
        </w:rPr>
        <w:t xml:space="preserve">, con el que cuenta el Ayuntamiento, resulta oportuno traer a colación el contenido de los artículos 3.71, </w:t>
      </w:r>
      <w:r w:rsidRPr="00BE653B">
        <w:rPr>
          <w:rFonts w:ascii="Palatino Linotype" w:eastAsia="Palatino Linotype" w:hAnsi="Palatino Linotype" w:cs="Palatino Linotype"/>
        </w:rPr>
        <w:lastRenderedPageBreak/>
        <w:t>3.76, 3.77 y 3.78 del Código de Reglamentación Municipal de Metepec, que en su parte conducente establecen lo siguiente:</w:t>
      </w:r>
    </w:p>
    <w:p w14:paraId="51F77C2A" w14:textId="77777777" w:rsidR="00412355" w:rsidRPr="00BE653B" w:rsidRDefault="00DF2EC2">
      <w:pPr>
        <w:spacing w:before="120" w:after="120"/>
        <w:ind w:left="851" w:right="616"/>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Artículo 3.71</w:t>
      </w:r>
      <w:r w:rsidRPr="00BE653B">
        <w:rPr>
          <w:rFonts w:ascii="Palatino Linotype" w:eastAsia="Palatino Linotype" w:hAnsi="Palatino Linotype" w:cs="Palatino Linotype"/>
          <w:i/>
          <w:sz w:val="22"/>
          <w:szCs w:val="22"/>
        </w:rPr>
        <w:t xml:space="preserve">. Para la investigación, estudio, planeación, substanciación, despacho y resolución de los asuntos de su competencia, la Contraloría Interna Municipal se integra por las unidades administrativas siguientes: </w:t>
      </w:r>
    </w:p>
    <w:p w14:paraId="1E633C6A" w14:textId="77777777" w:rsidR="00412355" w:rsidRPr="00BE653B" w:rsidRDefault="00DF2EC2">
      <w:pPr>
        <w:spacing w:before="120" w:after="120"/>
        <w:ind w:left="1134" w:right="616"/>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w:t>
      </w:r>
    </w:p>
    <w:p w14:paraId="60116A39" w14:textId="77777777" w:rsidR="00412355" w:rsidRPr="00BE653B" w:rsidRDefault="00DF2EC2">
      <w:pPr>
        <w:spacing w:before="120" w:after="120"/>
        <w:ind w:left="1134" w:right="616"/>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II</w:t>
      </w:r>
      <w:r w:rsidRPr="00BE653B">
        <w:rPr>
          <w:rFonts w:ascii="Palatino Linotype" w:eastAsia="Palatino Linotype" w:hAnsi="Palatino Linotype" w:cs="Palatino Linotype"/>
          <w:i/>
          <w:sz w:val="22"/>
          <w:szCs w:val="22"/>
        </w:rPr>
        <w:t xml:space="preserve">. </w:t>
      </w:r>
      <w:proofErr w:type="spellStart"/>
      <w:r w:rsidRPr="00BE653B">
        <w:rPr>
          <w:rFonts w:ascii="Palatino Linotype" w:eastAsia="Palatino Linotype" w:hAnsi="Palatino Linotype" w:cs="Palatino Linotype"/>
          <w:i/>
          <w:sz w:val="22"/>
          <w:szCs w:val="22"/>
        </w:rPr>
        <w:t>Subcontraloría</w:t>
      </w:r>
      <w:proofErr w:type="spellEnd"/>
      <w:r w:rsidRPr="00BE653B">
        <w:rPr>
          <w:rFonts w:ascii="Palatino Linotype" w:eastAsia="Palatino Linotype" w:hAnsi="Palatino Linotype" w:cs="Palatino Linotype"/>
          <w:i/>
          <w:sz w:val="22"/>
          <w:szCs w:val="22"/>
        </w:rPr>
        <w:t xml:space="preserve"> de Auditoría; </w:t>
      </w:r>
    </w:p>
    <w:p w14:paraId="172503FF" w14:textId="77777777" w:rsidR="00412355" w:rsidRPr="00BE653B" w:rsidRDefault="00DF2EC2">
      <w:pPr>
        <w:spacing w:before="120" w:after="120"/>
        <w:ind w:left="851" w:right="616"/>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w:t>
      </w:r>
    </w:p>
    <w:p w14:paraId="021707B6" w14:textId="77777777" w:rsidR="00412355" w:rsidRPr="00BE653B" w:rsidRDefault="00DF2EC2">
      <w:pPr>
        <w:spacing w:before="120" w:after="120"/>
        <w:ind w:left="851" w:right="616"/>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3.76.</w:t>
      </w:r>
      <w:r w:rsidRPr="00BE653B">
        <w:rPr>
          <w:rFonts w:ascii="Palatino Linotype" w:eastAsia="Palatino Linotype" w:hAnsi="Palatino Linotype" w:cs="Palatino Linotype"/>
          <w:i/>
          <w:sz w:val="22"/>
          <w:szCs w:val="22"/>
        </w:rPr>
        <w:t xml:space="preserve"> Corresponde a la </w:t>
      </w:r>
      <w:proofErr w:type="spellStart"/>
      <w:r w:rsidRPr="00BE653B">
        <w:rPr>
          <w:rFonts w:ascii="Palatino Linotype" w:eastAsia="Palatino Linotype" w:hAnsi="Palatino Linotype" w:cs="Palatino Linotype"/>
          <w:b/>
          <w:i/>
          <w:sz w:val="22"/>
          <w:szCs w:val="22"/>
        </w:rPr>
        <w:t>Subcontraloría</w:t>
      </w:r>
      <w:proofErr w:type="spellEnd"/>
      <w:r w:rsidRPr="00BE653B">
        <w:rPr>
          <w:rFonts w:ascii="Palatino Linotype" w:eastAsia="Palatino Linotype" w:hAnsi="Palatino Linotype" w:cs="Palatino Linotype"/>
          <w:b/>
          <w:i/>
          <w:sz w:val="22"/>
          <w:szCs w:val="22"/>
        </w:rPr>
        <w:t xml:space="preserve"> de Auditoría</w:t>
      </w:r>
      <w:r w:rsidRPr="00BE653B">
        <w:rPr>
          <w:rFonts w:ascii="Palatino Linotype" w:eastAsia="Palatino Linotype" w:hAnsi="Palatino Linotype" w:cs="Palatino Linotype"/>
          <w:i/>
          <w:sz w:val="22"/>
          <w:szCs w:val="22"/>
        </w:rPr>
        <w:t xml:space="preserve">, a través de su Titular el despacho de las atribuciones siguientes: </w:t>
      </w:r>
    </w:p>
    <w:p w14:paraId="488F7BD3" w14:textId="77777777" w:rsidR="00412355" w:rsidRPr="00BE653B" w:rsidRDefault="00DF2EC2">
      <w:pPr>
        <w:spacing w:before="120" w:after="120"/>
        <w:ind w:left="1134" w:right="616"/>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I.</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Proponer el programa anual de auditorías financiera</w:t>
      </w:r>
      <w:r w:rsidRPr="00BE653B">
        <w:rPr>
          <w:rFonts w:ascii="Palatino Linotype" w:eastAsia="Palatino Linotype" w:hAnsi="Palatino Linotype" w:cs="Palatino Linotype"/>
          <w:i/>
          <w:sz w:val="22"/>
          <w:szCs w:val="22"/>
        </w:rPr>
        <w:t xml:space="preserve">, administrativa y de obra con apego al Plan de Desarrollo Municipal, </w:t>
      </w:r>
      <w:r w:rsidRPr="00BE653B">
        <w:rPr>
          <w:rFonts w:ascii="Palatino Linotype" w:eastAsia="Palatino Linotype" w:hAnsi="Palatino Linotype" w:cs="Palatino Linotype"/>
          <w:b/>
          <w:i/>
          <w:sz w:val="22"/>
          <w:szCs w:val="22"/>
        </w:rPr>
        <w:t>para autorización del titular de la Contraloría Interna Municipal;</w:t>
      </w:r>
    </w:p>
    <w:p w14:paraId="438E3C06" w14:textId="77777777" w:rsidR="00412355" w:rsidRPr="00BE653B" w:rsidRDefault="00DF2EC2">
      <w:pPr>
        <w:spacing w:before="120" w:after="120"/>
        <w:ind w:left="1134" w:right="616"/>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w:t>
      </w:r>
    </w:p>
    <w:p w14:paraId="42A19203" w14:textId="77777777" w:rsidR="00412355" w:rsidRPr="00BE653B" w:rsidRDefault="00DF2EC2">
      <w:pPr>
        <w:spacing w:before="120" w:after="120"/>
        <w:ind w:left="1134" w:right="616"/>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IV</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Coadyuvar en la planeación, coordinación y realización de auditorías en materia</w:t>
      </w:r>
      <w:r w:rsidRPr="00BE653B">
        <w:rPr>
          <w:rFonts w:ascii="Palatino Linotype" w:eastAsia="Palatino Linotype" w:hAnsi="Palatino Linotype" w:cs="Palatino Linotype"/>
          <w:i/>
          <w:sz w:val="22"/>
          <w:szCs w:val="22"/>
        </w:rPr>
        <w:t xml:space="preserve"> de obra pública, </w:t>
      </w:r>
      <w:r w:rsidRPr="00BE653B">
        <w:rPr>
          <w:rFonts w:ascii="Palatino Linotype" w:eastAsia="Palatino Linotype" w:hAnsi="Palatino Linotype" w:cs="Palatino Linotype"/>
          <w:b/>
          <w:i/>
          <w:sz w:val="22"/>
          <w:szCs w:val="22"/>
        </w:rPr>
        <w:t>financiera,</w:t>
      </w:r>
      <w:r w:rsidRPr="00BE653B">
        <w:rPr>
          <w:rFonts w:ascii="Palatino Linotype" w:eastAsia="Palatino Linotype" w:hAnsi="Palatino Linotype" w:cs="Palatino Linotype"/>
          <w:i/>
          <w:sz w:val="22"/>
          <w:szCs w:val="22"/>
        </w:rPr>
        <w:t xml:space="preserve"> administrativa en los organismos municipales;</w:t>
      </w:r>
    </w:p>
    <w:p w14:paraId="4B6B6324" w14:textId="77777777" w:rsidR="00412355" w:rsidRPr="00BE653B" w:rsidRDefault="00DF2EC2">
      <w:pPr>
        <w:spacing w:before="120" w:after="120"/>
        <w:ind w:left="1134" w:right="616"/>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VII.</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Elaborar para firma del Contralor Interno Municipal, el informe y las cédulas de datos de presunto responsables derivadas de auditorías</w:t>
      </w:r>
      <w:r w:rsidRPr="00BE653B">
        <w:rPr>
          <w:rFonts w:ascii="Palatino Linotype" w:eastAsia="Palatino Linotype" w:hAnsi="Palatino Linotype" w:cs="Palatino Linotype"/>
          <w:i/>
          <w:sz w:val="22"/>
          <w:szCs w:val="22"/>
        </w:rPr>
        <w:t xml:space="preserve"> inspecciones y demás intervenciones, cuando se detecten irregularidades por actos u omisiones de servidores públicos en el manejo, decisión, autorización, recepción, aplicación, </w:t>
      </w:r>
      <w:r w:rsidRPr="00BE653B">
        <w:rPr>
          <w:rFonts w:ascii="Palatino Linotype" w:eastAsia="Palatino Linotype" w:hAnsi="Palatino Linotype" w:cs="Palatino Linotype"/>
          <w:b/>
          <w:i/>
          <w:sz w:val="22"/>
          <w:szCs w:val="22"/>
        </w:rPr>
        <w:t>administración de fondos</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valores y de recursos económicos que se traduzcan en daños y perjuicios estimables en diner</w:t>
      </w:r>
      <w:r w:rsidRPr="00BE653B">
        <w:rPr>
          <w:rFonts w:ascii="Palatino Linotype" w:eastAsia="Palatino Linotype" w:hAnsi="Palatino Linotype" w:cs="Palatino Linotype"/>
          <w:i/>
          <w:sz w:val="22"/>
          <w:szCs w:val="22"/>
        </w:rPr>
        <w:t>o</w:t>
      </w:r>
      <w:r w:rsidRPr="00BE653B">
        <w:rPr>
          <w:rFonts w:ascii="Palatino Linotype" w:eastAsia="Palatino Linotype" w:hAnsi="Palatino Linotype" w:cs="Palatino Linotype"/>
          <w:b/>
          <w:i/>
          <w:sz w:val="22"/>
          <w:szCs w:val="22"/>
        </w:rPr>
        <w:t>, causados a la Hacienda Pública Municipal;</w:t>
      </w:r>
    </w:p>
    <w:p w14:paraId="71C7450D" w14:textId="77777777" w:rsidR="00412355" w:rsidRPr="00BE653B" w:rsidRDefault="00DF2EC2">
      <w:pPr>
        <w:spacing w:before="120" w:after="120"/>
        <w:ind w:left="1134" w:right="616"/>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IX</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Verificar el debido cumplimiento de los programas anuales de auditoría</w:t>
      </w:r>
      <w:r w:rsidRPr="00BE653B">
        <w:rPr>
          <w:rFonts w:ascii="Palatino Linotype" w:eastAsia="Palatino Linotype" w:hAnsi="Palatino Linotype" w:cs="Palatino Linotype"/>
          <w:i/>
          <w:sz w:val="22"/>
          <w:szCs w:val="22"/>
        </w:rPr>
        <w:t xml:space="preserve"> de obra, </w:t>
      </w:r>
      <w:r w:rsidRPr="00BE653B">
        <w:rPr>
          <w:rFonts w:ascii="Palatino Linotype" w:eastAsia="Palatino Linotype" w:hAnsi="Palatino Linotype" w:cs="Palatino Linotype"/>
          <w:b/>
          <w:i/>
          <w:sz w:val="22"/>
          <w:szCs w:val="22"/>
        </w:rPr>
        <w:t xml:space="preserve">financiera </w:t>
      </w:r>
      <w:r w:rsidRPr="00BE653B">
        <w:rPr>
          <w:rFonts w:ascii="Palatino Linotype" w:eastAsia="Palatino Linotype" w:hAnsi="Palatino Linotype" w:cs="Palatino Linotype"/>
          <w:i/>
          <w:sz w:val="22"/>
          <w:szCs w:val="22"/>
        </w:rPr>
        <w:t>y administrativa, proyectando las recomendaciones pertinentes para firma del Contralor Interno, en atención a lo que establece la normatividad aplicable;</w:t>
      </w:r>
    </w:p>
    <w:p w14:paraId="04B0EFEC" w14:textId="77777777" w:rsidR="00412355" w:rsidRPr="00BE653B" w:rsidRDefault="00DF2EC2">
      <w:pPr>
        <w:spacing w:before="120" w:after="120"/>
        <w:ind w:left="851" w:right="616"/>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w:t>
      </w:r>
    </w:p>
    <w:p w14:paraId="12F0EF4D" w14:textId="77777777" w:rsidR="00412355" w:rsidRPr="00BE653B" w:rsidRDefault="00DF2EC2">
      <w:pPr>
        <w:spacing w:before="120" w:after="120"/>
        <w:ind w:left="851" w:right="616"/>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3.77.</w:t>
      </w:r>
      <w:r w:rsidRPr="00BE653B">
        <w:rPr>
          <w:rFonts w:ascii="Palatino Linotype" w:eastAsia="Palatino Linotype" w:hAnsi="Palatino Linotype" w:cs="Palatino Linotype"/>
          <w:i/>
          <w:sz w:val="22"/>
          <w:szCs w:val="22"/>
        </w:rPr>
        <w:t xml:space="preserve"> La </w:t>
      </w:r>
      <w:proofErr w:type="spellStart"/>
      <w:r w:rsidRPr="00BE653B">
        <w:rPr>
          <w:rFonts w:ascii="Palatino Linotype" w:eastAsia="Palatino Linotype" w:hAnsi="Palatino Linotype" w:cs="Palatino Linotype"/>
          <w:i/>
          <w:sz w:val="22"/>
          <w:szCs w:val="22"/>
        </w:rPr>
        <w:t>Subcontraloría</w:t>
      </w:r>
      <w:proofErr w:type="spellEnd"/>
      <w:r w:rsidRPr="00BE653B">
        <w:rPr>
          <w:rFonts w:ascii="Palatino Linotype" w:eastAsia="Palatino Linotype" w:hAnsi="Palatino Linotype" w:cs="Palatino Linotype"/>
          <w:i/>
          <w:sz w:val="22"/>
          <w:szCs w:val="22"/>
        </w:rPr>
        <w:t xml:space="preserve"> de Auditoría, para el desempeño de sus funciones contará con las Unidades Administrativas siguientes: </w:t>
      </w:r>
    </w:p>
    <w:p w14:paraId="40192A26" w14:textId="77777777" w:rsidR="00412355" w:rsidRPr="00BE653B" w:rsidRDefault="00DF2EC2">
      <w:pPr>
        <w:spacing w:before="120" w:after="120"/>
        <w:ind w:left="1134" w:right="616"/>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 xml:space="preserve">Departamento de Auditoría Financiera </w:t>
      </w:r>
      <w:r w:rsidRPr="00BE653B">
        <w:rPr>
          <w:rFonts w:ascii="Palatino Linotype" w:eastAsia="Palatino Linotype" w:hAnsi="Palatino Linotype" w:cs="Palatino Linotype"/>
          <w:i/>
          <w:sz w:val="22"/>
          <w:szCs w:val="22"/>
        </w:rPr>
        <w:t>y Administrativa; y</w:t>
      </w:r>
    </w:p>
    <w:p w14:paraId="2072D118" w14:textId="77777777" w:rsidR="00412355" w:rsidRPr="00BE653B" w:rsidRDefault="00DF2EC2">
      <w:pPr>
        <w:spacing w:before="120" w:after="120"/>
        <w:ind w:left="851" w:right="616"/>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w:t>
      </w:r>
    </w:p>
    <w:p w14:paraId="6FCC3EA9" w14:textId="77777777" w:rsidR="00412355" w:rsidRPr="00BE653B" w:rsidRDefault="00DF2EC2">
      <w:pPr>
        <w:spacing w:before="120" w:after="120"/>
        <w:ind w:left="851" w:right="616"/>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lastRenderedPageBreak/>
        <w:t>Artículo 3.78.</w:t>
      </w:r>
      <w:r w:rsidRPr="00BE653B">
        <w:rPr>
          <w:rFonts w:ascii="Palatino Linotype" w:eastAsia="Palatino Linotype" w:hAnsi="Palatino Linotype" w:cs="Palatino Linotype"/>
          <w:i/>
          <w:sz w:val="22"/>
          <w:szCs w:val="22"/>
        </w:rPr>
        <w:t xml:space="preserve"> Corresponde al Jefe del Departamento de Auditoría Financiera y Administrativa, las siguientes actividades: </w:t>
      </w:r>
    </w:p>
    <w:p w14:paraId="098CDB66" w14:textId="77777777" w:rsidR="00412355" w:rsidRPr="00BE653B" w:rsidRDefault="00DF2EC2">
      <w:pPr>
        <w:tabs>
          <w:tab w:val="left" w:pos="993"/>
        </w:tabs>
        <w:spacing w:before="120" w:after="120"/>
        <w:ind w:left="1134" w:right="616"/>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 xml:space="preserve">Auxiliar al Contralor Interno Municipal y </w:t>
      </w:r>
      <w:proofErr w:type="spellStart"/>
      <w:r w:rsidRPr="00BE653B">
        <w:rPr>
          <w:rFonts w:ascii="Palatino Linotype" w:eastAsia="Palatino Linotype" w:hAnsi="Palatino Linotype" w:cs="Palatino Linotype"/>
          <w:b/>
          <w:i/>
          <w:sz w:val="22"/>
          <w:szCs w:val="22"/>
        </w:rPr>
        <w:t>Subcontralor</w:t>
      </w:r>
      <w:proofErr w:type="spellEnd"/>
      <w:r w:rsidRPr="00BE653B">
        <w:rPr>
          <w:rFonts w:ascii="Palatino Linotype" w:eastAsia="Palatino Linotype" w:hAnsi="Palatino Linotype" w:cs="Palatino Linotype"/>
          <w:b/>
          <w:i/>
          <w:sz w:val="22"/>
          <w:szCs w:val="22"/>
        </w:rPr>
        <w:t xml:space="preserve"> de Auditoría,</w:t>
      </w:r>
      <w:r w:rsidRPr="00BE653B">
        <w:rPr>
          <w:rFonts w:ascii="Palatino Linotype" w:eastAsia="Palatino Linotype" w:hAnsi="Palatino Linotype" w:cs="Palatino Linotype"/>
          <w:i/>
          <w:sz w:val="22"/>
          <w:szCs w:val="22"/>
        </w:rPr>
        <w:t xml:space="preserve"> en el </w:t>
      </w:r>
      <w:r w:rsidRPr="00BE653B">
        <w:rPr>
          <w:rFonts w:ascii="Palatino Linotype" w:eastAsia="Palatino Linotype" w:hAnsi="Palatino Linotype" w:cs="Palatino Linotype"/>
          <w:b/>
          <w:i/>
          <w:sz w:val="22"/>
          <w:szCs w:val="22"/>
        </w:rPr>
        <w:t>inicio, desarrollo y conclusión de auditorías</w:t>
      </w:r>
      <w:r w:rsidRPr="00BE653B">
        <w:rPr>
          <w:rFonts w:ascii="Palatino Linotype" w:eastAsia="Palatino Linotype" w:hAnsi="Palatino Linotype" w:cs="Palatino Linotype"/>
          <w:i/>
          <w:sz w:val="22"/>
          <w:szCs w:val="22"/>
        </w:rPr>
        <w:t>, inspecciones y demás intervenciones</w:t>
      </w:r>
      <w:r w:rsidRPr="00BE653B">
        <w:rPr>
          <w:rFonts w:ascii="Palatino Linotype" w:eastAsia="Palatino Linotype" w:hAnsi="Palatino Linotype" w:cs="Palatino Linotype"/>
          <w:b/>
          <w:i/>
          <w:sz w:val="22"/>
          <w:szCs w:val="22"/>
        </w:rPr>
        <w:t xml:space="preserve"> de fiscalización</w:t>
      </w:r>
      <w:r w:rsidRPr="00BE653B">
        <w:rPr>
          <w:rFonts w:ascii="Palatino Linotype" w:eastAsia="Palatino Linotype" w:hAnsi="Palatino Linotype" w:cs="Palatino Linotype"/>
          <w:i/>
          <w:sz w:val="22"/>
          <w:szCs w:val="22"/>
        </w:rPr>
        <w:t xml:space="preserve"> en términos de la normatividad aplicable; </w:t>
      </w:r>
    </w:p>
    <w:p w14:paraId="7BC99139" w14:textId="77777777" w:rsidR="00412355" w:rsidRPr="00BE653B" w:rsidRDefault="00DF2EC2">
      <w:pPr>
        <w:tabs>
          <w:tab w:val="left" w:pos="993"/>
        </w:tabs>
        <w:spacing w:before="120" w:after="120"/>
        <w:ind w:left="1134" w:right="616"/>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II.</w:t>
      </w:r>
      <w:r w:rsidRPr="00BE653B">
        <w:rPr>
          <w:rFonts w:ascii="Palatino Linotype" w:eastAsia="Palatino Linotype" w:hAnsi="Palatino Linotype" w:cs="Palatino Linotype"/>
          <w:i/>
          <w:sz w:val="22"/>
          <w:szCs w:val="22"/>
        </w:rPr>
        <w:t xml:space="preserve"> Ejecutar, previo oficio de comisión que emita el Contralor Interno Municipal las diligencias de inspecciones, supervisiones, arqueos y demás actuaciones que se le encomienden; </w:t>
      </w:r>
    </w:p>
    <w:p w14:paraId="7ED5283F" w14:textId="77777777" w:rsidR="00412355" w:rsidRPr="00BE653B" w:rsidRDefault="00DF2EC2">
      <w:pPr>
        <w:tabs>
          <w:tab w:val="left" w:pos="993"/>
        </w:tabs>
        <w:spacing w:before="120" w:after="120"/>
        <w:ind w:left="1134" w:right="616"/>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III.</w:t>
      </w:r>
      <w:r w:rsidRPr="00BE653B">
        <w:rPr>
          <w:rFonts w:ascii="Palatino Linotype" w:eastAsia="Palatino Linotype" w:hAnsi="Palatino Linotype" w:cs="Palatino Linotype"/>
          <w:i/>
          <w:sz w:val="22"/>
          <w:szCs w:val="22"/>
        </w:rPr>
        <w:t xml:space="preserve"> Auxiliar al Contralor Interno Municipal y </w:t>
      </w:r>
      <w:proofErr w:type="spellStart"/>
      <w:r w:rsidRPr="00BE653B">
        <w:rPr>
          <w:rFonts w:ascii="Palatino Linotype" w:eastAsia="Palatino Linotype" w:hAnsi="Palatino Linotype" w:cs="Palatino Linotype"/>
          <w:i/>
          <w:sz w:val="22"/>
          <w:szCs w:val="22"/>
        </w:rPr>
        <w:t>Subcontralor</w:t>
      </w:r>
      <w:proofErr w:type="spellEnd"/>
      <w:r w:rsidRPr="00BE653B">
        <w:rPr>
          <w:rFonts w:ascii="Palatino Linotype" w:eastAsia="Palatino Linotype" w:hAnsi="Palatino Linotype" w:cs="Palatino Linotype"/>
          <w:i/>
          <w:sz w:val="22"/>
          <w:szCs w:val="22"/>
        </w:rPr>
        <w:t xml:space="preserve"> de Auditoría en el seguimiento y </w:t>
      </w:r>
      <w:proofErr w:type="spellStart"/>
      <w:r w:rsidRPr="00BE653B">
        <w:rPr>
          <w:rFonts w:ascii="Palatino Linotype" w:eastAsia="Palatino Linotype" w:hAnsi="Palatino Linotype" w:cs="Palatino Linotype"/>
          <w:i/>
          <w:sz w:val="22"/>
          <w:szCs w:val="22"/>
        </w:rPr>
        <w:t>solventación</w:t>
      </w:r>
      <w:proofErr w:type="spellEnd"/>
      <w:r w:rsidRPr="00BE653B">
        <w:rPr>
          <w:rFonts w:ascii="Palatino Linotype" w:eastAsia="Palatino Linotype" w:hAnsi="Palatino Linotype" w:cs="Palatino Linotype"/>
          <w:i/>
          <w:sz w:val="22"/>
          <w:szCs w:val="22"/>
        </w:rPr>
        <w:t xml:space="preserve"> de observaciones de auditoría, que al efecto se emitan a este Municipio como entidad fiscalizable, de parte de los entes fiscalizadores del ámbito federal, estatal o municipal; </w:t>
      </w:r>
    </w:p>
    <w:p w14:paraId="5275F27F" w14:textId="77777777" w:rsidR="00412355" w:rsidRPr="00BE653B" w:rsidRDefault="00DF2EC2">
      <w:pPr>
        <w:tabs>
          <w:tab w:val="left" w:pos="993"/>
        </w:tabs>
        <w:spacing w:before="120" w:after="120"/>
        <w:ind w:left="1134" w:right="616"/>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IV</w:t>
      </w:r>
      <w:r w:rsidRPr="00BE653B">
        <w:rPr>
          <w:rFonts w:ascii="Palatino Linotype" w:eastAsia="Palatino Linotype" w:hAnsi="Palatino Linotype" w:cs="Palatino Linotype"/>
          <w:i/>
          <w:sz w:val="22"/>
          <w:szCs w:val="22"/>
        </w:rPr>
        <w:t xml:space="preserve">. Auxiliar a la </w:t>
      </w:r>
      <w:proofErr w:type="spellStart"/>
      <w:r w:rsidRPr="00BE653B">
        <w:rPr>
          <w:rFonts w:ascii="Palatino Linotype" w:eastAsia="Palatino Linotype" w:hAnsi="Palatino Linotype" w:cs="Palatino Linotype"/>
          <w:i/>
          <w:sz w:val="22"/>
          <w:szCs w:val="22"/>
        </w:rPr>
        <w:t>Subcontraloría</w:t>
      </w:r>
      <w:proofErr w:type="spellEnd"/>
      <w:r w:rsidRPr="00BE653B">
        <w:rPr>
          <w:rFonts w:ascii="Palatino Linotype" w:eastAsia="Palatino Linotype" w:hAnsi="Palatino Linotype" w:cs="Palatino Linotype"/>
          <w:i/>
          <w:sz w:val="22"/>
          <w:szCs w:val="22"/>
        </w:rPr>
        <w:t xml:space="preserve"> Social y de Investigación a fin de dar atención y seguimiento en las diligencias relativas al procedimiento de investigación en términos de la Ley de Responsabilidades; y </w:t>
      </w:r>
    </w:p>
    <w:p w14:paraId="11E4C47C" w14:textId="77777777" w:rsidR="00412355" w:rsidRPr="00BE653B" w:rsidRDefault="00DF2EC2">
      <w:pPr>
        <w:tabs>
          <w:tab w:val="left" w:pos="993"/>
        </w:tabs>
        <w:spacing w:before="120" w:after="120"/>
        <w:ind w:left="1134" w:right="616"/>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V</w:t>
      </w:r>
      <w:r w:rsidRPr="00BE653B">
        <w:rPr>
          <w:rFonts w:ascii="Palatino Linotype" w:eastAsia="Palatino Linotype" w:hAnsi="Palatino Linotype" w:cs="Palatino Linotype"/>
          <w:i/>
          <w:sz w:val="22"/>
          <w:szCs w:val="22"/>
        </w:rPr>
        <w:t>. Las demás que le sean encomendadas por la persona titular de la Contraloría Interna Municipal, su superior jerárquico y otras disposiciones legales.”</w:t>
      </w:r>
    </w:p>
    <w:p w14:paraId="4B14E919" w14:textId="5B5B8221" w:rsidR="00412355" w:rsidRPr="00BE653B" w:rsidRDefault="00DF2EC2" w:rsidP="002318F0">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De los preceptos citados se desprende que la </w:t>
      </w:r>
      <w:proofErr w:type="spellStart"/>
      <w:r w:rsidRPr="00BE653B">
        <w:rPr>
          <w:rFonts w:ascii="Palatino Linotype" w:eastAsia="Palatino Linotype" w:hAnsi="Palatino Linotype" w:cs="Palatino Linotype"/>
        </w:rPr>
        <w:t>Subcontraloría</w:t>
      </w:r>
      <w:proofErr w:type="spellEnd"/>
      <w:r w:rsidRPr="00BE653B">
        <w:rPr>
          <w:rFonts w:ascii="Palatino Linotype" w:eastAsia="Palatino Linotype" w:hAnsi="Palatino Linotype" w:cs="Palatino Linotype"/>
        </w:rPr>
        <w:t xml:space="preserve"> de Auditoría, dependiente de la Contraloría Interna Municipal, está facultada para proponer el programa anual de auditoría financiera, coadyuvar en la planeación, coordinación y realización de auditorías en materia financiera, verificar el cumplimiento de los programas anuales de auditoría financiera, entre otras atribuciones, para lo cual se apoya del Departamento de Auditoría Financiera y Administrativa</w:t>
      </w:r>
      <w:r w:rsidRPr="00BE653B">
        <w:rPr>
          <w:rFonts w:ascii="Palatino Linotype" w:eastAsia="Palatino Linotype" w:hAnsi="Palatino Linotype" w:cs="Palatino Linotype"/>
          <w:sz w:val="28"/>
          <w:szCs w:val="28"/>
        </w:rPr>
        <w:t xml:space="preserve">, </w:t>
      </w:r>
      <w:r w:rsidRPr="00BE653B">
        <w:rPr>
          <w:rFonts w:ascii="Palatino Linotype" w:eastAsia="Palatino Linotype" w:hAnsi="Palatino Linotype" w:cs="Palatino Linotype"/>
        </w:rPr>
        <w:t xml:space="preserve">unidad administrativa que tiene a su cargo la realización auditorías financieras, no obstante, no se logra apreciar información relacionada con algún sistema de auditoría, seguimiento y control financiero, ni tampoco el </w:t>
      </w:r>
      <w:r w:rsidRPr="00BE653B">
        <w:rPr>
          <w:rFonts w:ascii="Palatino Linotype" w:eastAsia="Palatino Linotype" w:hAnsi="Palatino Linotype" w:cs="Palatino Linotype"/>
          <w:b/>
          <w:bCs/>
        </w:rPr>
        <w:t>Sujeto Obligado</w:t>
      </w:r>
      <w:r w:rsidRPr="00BE653B">
        <w:rPr>
          <w:rFonts w:ascii="Palatino Linotype" w:eastAsia="Palatino Linotype" w:hAnsi="Palatino Linotype" w:cs="Palatino Linotype"/>
        </w:rPr>
        <w:t xml:space="preserve"> tuvo a bien pronunciarse al respecto, por lo que, resulta indispensable traer a colación lo que establece el Criterio orientador 002/2017 del INAI, y la tesis 1a. CCCCXXVII/2014 </w:t>
      </w:r>
      <w:r w:rsidRPr="00BE653B">
        <w:rPr>
          <w:rFonts w:ascii="Palatino Linotype" w:eastAsia="Palatino Linotype" w:hAnsi="Palatino Linotype" w:cs="Palatino Linotype"/>
        </w:rPr>
        <w:lastRenderedPageBreak/>
        <w:t xml:space="preserve">(10a.) emitida por la Primera Sala de la Suprema Corte de Justicia de la Nación, cuyo tenor es el siguiente: </w:t>
      </w:r>
    </w:p>
    <w:p w14:paraId="7C3F3334" w14:textId="77777777" w:rsidR="00412355" w:rsidRPr="00BE653B" w:rsidRDefault="00DF2EC2" w:rsidP="002318F0">
      <w:pPr>
        <w:spacing w:line="276" w:lineRule="auto"/>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Congruencia y exhaustividad. Sus alcances para garantizar el derecho de acceso a la información.</w:t>
      </w:r>
      <w:r w:rsidRPr="00BE653B">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1F9C4AE7" w14:textId="57F393B4" w:rsidR="00412355" w:rsidRPr="00BE653B" w:rsidRDefault="00DF2EC2">
      <w:pPr>
        <w:spacing w:before="240" w:after="240" w:line="360" w:lineRule="auto"/>
        <w:ind w:right="40"/>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Del criterio citado se desprende que las respuestas de los </w:t>
      </w:r>
      <w:r w:rsidR="002318F0" w:rsidRPr="00BE653B">
        <w:rPr>
          <w:rFonts w:ascii="Palatino Linotype" w:eastAsia="Palatino Linotype" w:hAnsi="Palatino Linotype" w:cs="Palatino Linotype"/>
        </w:rPr>
        <w:t>S</w:t>
      </w:r>
      <w:r w:rsidRPr="00BE653B">
        <w:rPr>
          <w:rFonts w:ascii="Palatino Linotype" w:eastAsia="Palatino Linotype" w:hAnsi="Palatino Linotype" w:cs="Palatino Linotype"/>
        </w:rPr>
        <w:t xml:space="preserve">ujetos </w:t>
      </w:r>
      <w:r w:rsidR="002318F0" w:rsidRPr="00BE653B">
        <w:rPr>
          <w:rFonts w:ascii="Palatino Linotype" w:eastAsia="Palatino Linotype" w:hAnsi="Palatino Linotype" w:cs="Palatino Linotype"/>
        </w:rPr>
        <w:t>O</w:t>
      </w:r>
      <w:r w:rsidRPr="00BE653B">
        <w:rPr>
          <w:rFonts w:ascii="Palatino Linotype" w:eastAsia="Palatino Linotype" w:hAnsi="Palatino Linotype" w:cs="Palatino Linotype"/>
        </w:rPr>
        <w:t xml:space="preserve">bligados deberán contar con dos elementos; la congruencia y la exhaustividad. Entendiendo el primero como una relación entre el requerimiento formulado y la respuesta propiciada y el segundo como atender de manera puntual a cada uno de los pronunciamientos en la solicitud. </w:t>
      </w:r>
    </w:p>
    <w:p w14:paraId="49F240E1"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tal sentido, se estima dable ordenar, previa búsqueda exhaustiva y razonable el documento donde conste la existencia y nombre del sistema de auditoría, seguimiento y control financiero que realiza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w:t>
      </w:r>
    </w:p>
    <w:p w14:paraId="69F68925" w14:textId="6ED183F2" w:rsidR="00412355" w:rsidRPr="00BE653B" w:rsidRDefault="00DF2EC2" w:rsidP="002318F0">
      <w:pPr>
        <w:spacing w:before="240" w:after="240" w:line="360" w:lineRule="auto"/>
        <w:jc w:val="both"/>
        <w:rPr>
          <w:rFonts w:ascii="Palatino Linotype" w:eastAsia="Palatino Linotype" w:hAnsi="Palatino Linotype" w:cs="Palatino Linotype"/>
          <w:sz w:val="22"/>
          <w:szCs w:val="22"/>
        </w:rPr>
      </w:pPr>
      <w:r w:rsidRPr="00BE653B">
        <w:rPr>
          <w:rFonts w:ascii="Palatino Linotype" w:eastAsia="Palatino Linotype" w:hAnsi="Palatino Linotype" w:cs="Palatino Linotype"/>
        </w:rPr>
        <w:t xml:space="preserve">Asimismo, no obsta mencionar que la persona solicitante omitió señalar de manera concreta el o los documentos a los que pretende acceder, no obstante, es obligación de los Sujetos Obligados dar a las solicitudes una interpretación que les dé una </w:t>
      </w:r>
      <w:r w:rsidRPr="00BE653B">
        <w:rPr>
          <w:rFonts w:ascii="Palatino Linotype" w:eastAsia="Palatino Linotype" w:hAnsi="Palatino Linotype" w:cs="Palatino Linotype"/>
        </w:rPr>
        <w:lastRenderedPageBreak/>
        <w:t>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w:t>
      </w:r>
      <w:r w:rsidR="002318F0" w:rsidRPr="00BE653B">
        <w:rPr>
          <w:rFonts w:ascii="Palatino Linotype" w:eastAsia="Palatino Linotype" w:hAnsi="Palatino Linotype" w:cs="Palatino Linotype"/>
        </w:rPr>
        <w:t xml:space="preserve">, conforme al </w:t>
      </w:r>
      <w:r w:rsidRPr="00BE653B">
        <w:rPr>
          <w:rFonts w:ascii="Palatino Linotype" w:eastAsia="Palatino Linotype" w:hAnsi="Palatino Linotype" w:cs="Palatino Linotype"/>
        </w:rPr>
        <w:t xml:space="preserve">Criterio 16/17, emitido por el Instituto Nacional de Transparencia, Acceso a la Información y Protección de Datos Personales, INAI, </w:t>
      </w:r>
      <w:r w:rsidR="002318F0" w:rsidRPr="00BE653B">
        <w:rPr>
          <w:rFonts w:ascii="Palatino Linotype" w:eastAsia="Palatino Linotype" w:hAnsi="Palatino Linotype" w:cs="Palatino Linotype"/>
        </w:rPr>
        <w:t>citado con antelación.</w:t>
      </w:r>
      <w:r w:rsidRPr="00BE653B">
        <w:rPr>
          <w:rFonts w:ascii="Palatino Linotype" w:eastAsia="Palatino Linotype" w:hAnsi="Palatino Linotype" w:cs="Palatino Linotype"/>
        </w:rPr>
        <w:t xml:space="preserve"> </w:t>
      </w:r>
      <w:r w:rsidRPr="00BE653B">
        <w:rPr>
          <w:sz w:val="22"/>
          <w:szCs w:val="22"/>
        </w:rPr>
        <w:t xml:space="preserve"> </w:t>
      </w:r>
    </w:p>
    <w:p w14:paraId="31F83572" w14:textId="77777777" w:rsidR="00412355" w:rsidRPr="00BE653B" w:rsidRDefault="00DF2EC2">
      <w:pPr>
        <w:spacing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Lo anterior en virtud de que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se encuentra constreñido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14:paraId="1A272A90" w14:textId="77777777" w:rsidR="00412355" w:rsidRPr="00BE653B" w:rsidRDefault="00DF2EC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18</w:t>
      </w:r>
      <w:r w:rsidRPr="00BE653B">
        <w:rPr>
          <w:rFonts w:ascii="Palatino Linotype" w:eastAsia="Palatino Linotype" w:hAnsi="Palatino Linotype" w:cs="Palatino Linotype"/>
          <w:i/>
          <w:sz w:val="22"/>
          <w:szCs w:val="22"/>
        </w:rPr>
        <w:t>. Los sujetos obligados deberán documentar todo acto que derive del ejercicio de sus facultades, competencias o funciones, considerando desde su origen la eventual publicidad y reutilización de la información que generen.</w:t>
      </w:r>
    </w:p>
    <w:p w14:paraId="6B98891D" w14:textId="77777777" w:rsidR="00412355" w:rsidRPr="00BE653B" w:rsidRDefault="00DF2EC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p>
    <w:p w14:paraId="55D0FD38" w14:textId="77777777" w:rsidR="00412355" w:rsidRPr="00BE653B" w:rsidRDefault="00DF2EC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Artículo 24.</w:t>
      </w:r>
      <w:r w:rsidRPr="00BE653B">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14:paraId="4D8F2589" w14:textId="77777777" w:rsidR="00412355" w:rsidRPr="00BE653B" w:rsidRDefault="00DF2EC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XXII.</w:t>
      </w:r>
      <w:r w:rsidRPr="00BE653B">
        <w:rPr>
          <w:rFonts w:ascii="Palatino Linotype" w:eastAsia="Palatino Linotype" w:hAnsi="Palatino Linotype" w:cs="Palatino Linotype"/>
          <w:i/>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079FCA98" w14:textId="77777777" w:rsidR="00412355" w:rsidRPr="00BE653B" w:rsidRDefault="00DF2EC2">
      <w:pPr>
        <w:spacing w:before="120" w:after="120"/>
        <w:ind w:left="851" w:right="902"/>
        <w:jc w:val="both"/>
        <w:rPr>
          <w:rFonts w:ascii="Palatino Linotype" w:eastAsia="Palatino Linotype" w:hAnsi="Palatino Linotype" w:cs="Palatino Linotype"/>
          <w:b/>
          <w:i/>
          <w:sz w:val="22"/>
          <w:szCs w:val="22"/>
        </w:rPr>
      </w:pPr>
      <w:r w:rsidRPr="00BE653B">
        <w:rPr>
          <w:rFonts w:ascii="Palatino Linotype" w:eastAsia="Palatino Linotype" w:hAnsi="Palatino Linotype" w:cs="Palatino Linotype"/>
          <w:b/>
          <w:i/>
          <w:sz w:val="22"/>
          <w:szCs w:val="22"/>
        </w:rPr>
        <w:t>…</w:t>
      </w:r>
    </w:p>
    <w:p w14:paraId="182BEA2F" w14:textId="77777777" w:rsidR="00412355" w:rsidRPr="00BE653B" w:rsidRDefault="00DF2EC2">
      <w:pPr>
        <w:spacing w:before="120" w:after="120"/>
        <w:ind w:left="851" w:right="902"/>
        <w:jc w:val="both"/>
        <w:rPr>
          <w:rFonts w:ascii="Palatino Linotype" w:eastAsia="Palatino Linotype" w:hAnsi="Palatino Linotype" w:cs="Palatino Linotype"/>
          <w:i/>
          <w:sz w:val="36"/>
          <w:szCs w:val="36"/>
        </w:rPr>
      </w:pPr>
      <w:r w:rsidRPr="00BE653B">
        <w:rPr>
          <w:rFonts w:ascii="Palatino Linotype" w:eastAsia="Palatino Linotype" w:hAnsi="Palatino Linotype" w:cs="Palatino Linotype"/>
          <w:b/>
          <w:i/>
          <w:sz w:val="22"/>
          <w:szCs w:val="22"/>
        </w:rPr>
        <w:lastRenderedPageBreak/>
        <w:t>Artículo 160</w:t>
      </w:r>
      <w:r w:rsidRPr="00BE653B">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7C3D30E"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Sin contrariar lo anterior, para el caso de que el </w:t>
      </w:r>
      <w:r w:rsidRPr="00BE653B">
        <w:rPr>
          <w:rFonts w:ascii="Palatino Linotype" w:eastAsia="Palatino Linotype" w:hAnsi="Palatino Linotype" w:cs="Palatino Linotype"/>
          <w:b/>
          <w:bCs/>
        </w:rPr>
        <w:t>Sujeto Obligado</w:t>
      </w:r>
      <w:r w:rsidRPr="00BE653B">
        <w:rPr>
          <w:rFonts w:ascii="Palatino Linotype" w:eastAsia="Palatino Linotype" w:hAnsi="Palatino Linotype" w:cs="Palatino Linotype"/>
        </w:rPr>
        <w:t xml:space="preserve"> no cuente con documento alguno por no contar con un sistema de auditoría, seguimiento y control financiero, deberá hacerlo del conocimiento del Particular de manera clara y precisa, en términos del artículo 19, párrafo segundo de la Ley de Transparencia y Acceso a la Información Pública del Estado de México y Municipios, citado con antelación.</w:t>
      </w:r>
    </w:p>
    <w:p w14:paraId="5E84B2F3" w14:textId="77777777" w:rsidR="00412355" w:rsidRPr="00BE653B" w:rsidRDefault="00DF2EC2">
      <w:pPr>
        <w:spacing w:before="240" w:after="240" w:line="360" w:lineRule="auto"/>
        <w:ind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De lo hasta aquí expuesto, se concluye que los motivos de inconformidad de la parte </w:t>
      </w:r>
      <w:r w:rsidRPr="00BE653B">
        <w:rPr>
          <w:rFonts w:ascii="Palatino Linotype" w:eastAsia="Palatino Linotype" w:hAnsi="Palatino Linotype" w:cs="Palatino Linotype"/>
          <w:b/>
        </w:rPr>
        <w:t xml:space="preserve">Recurrente </w:t>
      </w:r>
      <w:r w:rsidRPr="00BE653B">
        <w:rPr>
          <w:rFonts w:ascii="Palatino Linotype" w:eastAsia="Palatino Linotype" w:hAnsi="Palatino Linotype" w:cs="Palatino Linotype"/>
        </w:rPr>
        <w:t xml:space="preserve">devienen fundados, siendo procedente </w:t>
      </w:r>
      <w:r w:rsidRPr="00BE653B">
        <w:rPr>
          <w:rFonts w:ascii="Palatino Linotype" w:eastAsia="Palatino Linotype" w:hAnsi="Palatino Linotype" w:cs="Palatino Linotype"/>
          <w:i/>
        </w:rPr>
        <w:t>Revocar</w:t>
      </w:r>
      <w:r w:rsidRPr="00BE653B">
        <w:rPr>
          <w:rFonts w:ascii="Palatino Linotype" w:eastAsia="Palatino Linotype" w:hAnsi="Palatino Linotype" w:cs="Palatino Linotype"/>
        </w:rPr>
        <w:t xml:space="preserve"> la respuesta proporcionada por el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23D1FF94"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b/>
        </w:rPr>
        <w:t>Quinto. Versión Pública.</w:t>
      </w:r>
      <w:r w:rsidRPr="00BE653B">
        <w:rPr>
          <w:rFonts w:ascii="Palatino Linotype" w:eastAsia="Palatino Linotype" w:hAnsi="Palatino Linotype" w:cs="Palatino Linotype"/>
          <w:sz w:val="28"/>
          <w:szCs w:val="28"/>
        </w:rPr>
        <w:t xml:space="preserve"> </w:t>
      </w:r>
      <w:r w:rsidRPr="00BE653B">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deberá hacer la elaboración de la versión pública de los mismos a fin de satisfacer el derecho de acceso a la información pública de la parte </w:t>
      </w:r>
      <w:r w:rsidRPr="00BE653B">
        <w:rPr>
          <w:rFonts w:ascii="Palatino Linotype" w:eastAsia="Palatino Linotype" w:hAnsi="Palatino Linotype" w:cs="Palatino Linotype"/>
          <w:b/>
        </w:rPr>
        <w:t>Recurrente</w:t>
      </w:r>
      <w:r w:rsidRPr="00BE653B">
        <w:rPr>
          <w:rFonts w:ascii="Palatino Linotype" w:eastAsia="Palatino Linotype" w:hAnsi="Palatino Linotype" w:cs="Palatino Linotype"/>
        </w:rPr>
        <w:t xml:space="preserve"> sin menoscabo al derecho a la protección de los datos personales de terceros.</w:t>
      </w:r>
    </w:p>
    <w:p w14:paraId="4A468870"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proofErr w:type="gramStart"/>
      <w:r w:rsidRPr="00BE653B">
        <w:rPr>
          <w:rFonts w:ascii="Palatino Linotype" w:eastAsia="Palatino Linotype" w:hAnsi="Palatino Linotype" w:cs="Palatino Linotype"/>
        </w:rPr>
        <w:lastRenderedPageBreak/>
        <w:t>fracción</w:t>
      </w:r>
      <w:proofErr w:type="gramEnd"/>
      <w:r w:rsidRPr="00BE653B">
        <w:rPr>
          <w:rFonts w:ascii="Palatino Linotype" w:eastAsia="Palatino Linotype" w:hAnsi="Palatino Linotype" w:cs="Palatino Linotype"/>
        </w:rPr>
        <w:t xml:space="preserve"> I de la Ley de Transparencia y Acceso a la Información Pública del Estado de México y Municipios que establecen:</w:t>
      </w:r>
    </w:p>
    <w:p w14:paraId="0EED08F5" w14:textId="77777777" w:rsidR="00412355" w:rsidRPr="00BE653B" w:rsidRDefault="00DF2EC2">
      <w:pPr>
        <w:spacing w:before="120" w:after="120"/>
        <w:ind w:left="851"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i/>
          <w:sz w:val="21"/>
          <w:szCs w:val="21"/>
        </w:rPr>
        <w:t>“</w:t>
      </w:r>
      <w:r w:rsidRPr="00BE653B">
        <w:rPr>
          <w:rFonts w:ascii="Palatino Linotype" w:eastAsia="Palatino Linotype" w:hAnsi="Palatino Linotype" w:cs="Palatino Linotype"/>
          <w:b/>
          <w:i/>
          <w:sz w:val="21"/>
          <w:szCs w:val="21"/>
        </w:rPr>
        <w:t>Artículo 3</w:t>
      </w:r>
      <w:r w:rsidRPr="00BE653B">
        <w:rPr>
          <w:rFonts w:ascii="Palatino Linotype" w:eastAsia="Palatino Linotype" w:hAnsi="Palatino Linotype" w:cs="Palatino Linotype"/>
          <w:i/>
          <w:sz w:val="21"/>
          <w:szCs w:val="21"/>
        </w:rPr>
        <w:t>. Para los efectos de la presente Ley se entenderá por:</w:t>
      </w:r>
    </w:p>
    <w:p w14:paraId="367D516E" w14:textId="77777777" w:rsidR="00412355" w:rsidRPr="00BE653B" w:rsidRDefault="00DF2EC2">
      <w:pPr>
        <w:spacing w:before="120" w:after="120"/>
        <w:ind w:left="1134"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i/>
          <w:sz w:val="21"/>
          <w:szCs w:val="21"/>
        </w:rPr>
        <w:t>[…]</w:t>
      </w:r>
    </w:p>
    <w:p w14:paraId="00A9CC2C" w14:textId="77777777" w:rsidR="00412355" w:rsidRPr="00BE653B" w:rsidRDefault="00DF2EC2">
      <w:pPr>
        <w:spacing w:before="120" w:after="120"/>
        <w:ind w:left="1134"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b/>
          <w:i/>
          <w:sz w:val="21"/>
          <w:szCs w:val="21"/>
        </w:rPr>
        <w:t>IX. Datos personales</w:t>
      </w:r>
      <w:r w:rsidRPr="00BE653B">
        <w:rPr>
          <w:rFonts w:ascii="Palatino Linotype" w:eastAsia="Palatino Linotype" w:hAnsi="Palatino Linotype" w:cs="Palatino Linotype"/>
          <w:i/>
          <w:sz w:val="21"/>
          <w:szCs w:val="21"/>
        </w:rPr>
        <w:t xml:space="preserve">: La información concerniente a una persona, identificada o identificable según lo dispuesto por la Ley de Protección de Datos Personales del Estado de México; </w:t>
      </w:r>
    </w:p>
    <w:p w14:paraId="0D0A53FB" w14:textId="77777777" w:rsidR="00412355" w:rsidRPr="00BE653B" w:rsidRDefault="00DF2EC2">
      <w:pPr>
        <w:spacing w:before="120" w:after="120"/>
        <w:ind w:left="1134"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b/>
          <w:i/>
          <w:sz w:val="21"/>
          <w:szCs w:val="21"/>
        </w:rPr>
        <w:t>XX. Información clasificada</w:t>
      </w:r>
      <w:r w:rsidRPr="00BE653B">
        <w:rPr>
          <w:rFonts w:ascii="Palatino Linotype" w:eastAsia="Palatino Linotype" w:hAnsi="Palatino Linotype" w:cs="Palatino Linotype"/>
          <w:i/>
          <w:sz w:val="21"/>
          <w:szCs w:val="21"/>
        </w:rPr>
        <w:t>: Aquella considerada por la presente Ley como reservada o confidencial;</w:t>
      </w:r>
    </w:p>
    <w:p w14:paraId="60448D2A" w14:textId="77777777" w:rsidR="00412355" w:rsidRPr="00BE653B" w:rsidRDefault="00DF2EC2">
      <w:pPr>
        <w:spacing w:before="120" w:after="120"/>
        <w:ind w:left="1134"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b/>
          <w:i/>
          <w:sz w:val="21"/>
          <w:szCs w:val="21"/>
        </w:rPr>
        <w:t>XXI. Información confidencial</w:t>
      </w:r>
      <w:r w:rsidRPr="00BE653B">
        <w:rPr>
          <w:rFonts w:ascii="Palatino Linotype" w:eastAsia="Palatino Linotype" w:hAnsi="Palatino Linotype" w:cs="Palatino Linotype"/>
          <w:i/>
          <w:sz w:val="21"/>
          <w:szCs w:val="21"/>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0E86674" w14:textId="77777777" w:rsidR="00412355" w:rsidRPr="00BE653B" w:rsidRDefault="00DF2EC2">
      <w:pPr>
        <w:spacing w:before="120" w:after="120"/>
        <w:ind w:left="1134"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b/>
          <w:i/>
          <w:sz w:val="21"/>
          <w:szCs w:val="21"/>
        </w:rPr>
        <w:t>XLV. Versión pública</w:t>
      </w:r>
      <w:r w:rsidRPr="00BE653B">
        <w:rPr>
          <w:rFonts w:ascii="Palatino Linotype" w:eastAsia="Palatino Linotype" w:hAnsi="Palatino Linotype" w:cs="Palatino Linotype"/>
          <w:i/>
          <w:sz w:val="21"/>
          <w:szCs w:val="21"/>
        </w:rPr>
        <w:t>: Documento en el que se elimine, suprime o borra la información clasificada como reservada o confidencial para permitir su acceso.</w:t>
      </w:r>
    </w:p>
    <w:p w14:paraId="2EAF385F" w14:textId="77777777" w:rsidR="00412355" w:rsidRPr="00BE653B" w:rsidRDefault="00DF2EC2">
      <w:pPr>
        <w:spacing w:before="120" w:after="120"/>
        <w:ind w:left="851"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i/>
          <w:sz w:val="21"/>
          <w:szCs w:val="21"/>
        </w:rPr>
        <w:t>[…]</w:t>
      </w:r>
    </w:p>
    <w:p w14:paraId="13127240" w14:textId="77777777" w:rsidR="00412355" w:rsidRPr="00BE653B" w:rsidRDefault="00DF2EC2">
      <w:pPr>
        <w:spacing w:before="120" w:after="120"/>
        <w:ind w:left="851"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b/>
          <w:i/>
          <w:sz w:val="21"/>
          <w:szCs w:val="21"/>
        </w:rPr>
        <w:t>Artículo 91.</w:t>
      </w:r>
      <w:r w:rsidRPr="00BE653B">
        <w:rPr>
          <w:rFonts w:ascii="Palatino Linotype" w:eastAsia="Palatino Linotype" w:hAnsi="Palatino Linotype" w:cs="Palatino Linotype"/>
          <w:i/>
          <w:sz w:val="21"/>
          <w:szCs w:val="21"/>
        </w:rPr>
        <w:t xml:space="preserve"> El acceso a la información pública será restringido excepcionalmente, cuando ésta sea clasificada como reservada o confidencial.</w:t>
      </w:r>
    </w:p>
    <w:p w14:paraId="45B5BDA4" w14:textId="77777777" w:rsidR="00412355" w:rsidRPr="00BE653B" w:rsidRDefault="00DF2EC2">
      <w:pPr>
        <w:spacing w:before="120" w:after="120"/>
        <w:ind w:left="851"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b/>
          <w:i/>
          <w:sz w:val="21"/>
          <w:szCs w:val="21"/>
        </w:rPr>
        <w:t>Artículo 132</w:t>
      </w:r>
      <w:r w:rsidRPr="00BE653B">
        <w:rPr>
          <w:rFonts w:ascii="Palatino Linotype" w:eastAsia="Palatino Linotype" w:hAnsi="Palatino Linotype" w:cs="Palatino Linotype"/>
          <w:i/>
          <w:sz w:val="21"/>
          <w:szCs w:val="21"/>
        </w:rPr>
        <w:t>. La clasificación de la información se llevará a cabo en el momento en que:</w:t>
      </w:r>
    </w:p>
    <w:p w14:paraId="683925DA" w14:textId="77777777" w:rsidR="00412355" w:rsidRPr="00BE653B" w:rsidRDefault="00DF2EC2">
      <w:pPr>
        <w:spacing w:before="120" w:after="120"/>
        <w:ind w:left="1134"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b/>
          <w:i/>
          <w:sz w:val="21"/>
          <w:szCs w:val="21"/>
        </w:rPr>
        <w:t>I.</w:t>
      </w:r>
      <w:r w:rsidRPr="00BE653B">
        <w:rPr>
          <w:rFonts w:ascii="Palatino Linotype" w:eastAsia="Palatino Linotype" w:hAnsi="Palatino Linotype" w:cs="Palatino Linotype"/>
          <w:i/>
          <w:sz w:val="21"/>
          <w:szCs w:val="21"/>
        </w:rPr>
        <w:t xml:space="preserve"> Se reciba una solicitud de acceso a la información;</w:t>
      </w:r>
    </w:p>
    <w:p w14:paraId="736DFDE6" w14:textId="77777777" w:rsidR="00412355" w:rsidRPr="00BE653B" w:rsidRDefault="00DF2EC2">
      <w:pPr>
        <w:spacing w:before="120" w:after="120"/>
        <w:ind w:left="1134"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b/>
          <w:i/>
          <w:sz w:val="21"/>
          <w:szCs w:val="21"/>
        </w:rPr>
        <w:t>II.</w:t>
      </w:r>
      <w:r w:rsidRPr="00BE653B">
        <w:rPr>
          <w:rFonts w:ascii="Palatino Linotype" w:eastAsia="Palatino Linotype" w:hAnsi="Palatino Linotype" w:cs="Palatino Linotype"/>
          <w:i/>
          <w:sz w:val="21"/>
          <w:szCs w:val="21"/>
        </w:rPr>
        <w:t xml:space="preserve"> Se determine mediante resolución de autoridad competente; o</w:t>
      </w:r>
    </w:p>
    <w:p w14:paraId="5DB25B5C" w14:textId="77777777" w:rsidR="00412355" w:rsidRPr="00BE653B" w:rsidRDefault="00DF2EC2">
      <w:pPr>
        <w:spacing w:before="120" w:after="120"/>
        <w:ind w:left="1134"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b/>
          <w:i/>
          <w:sz w:val="21"/>
          <w:szCs w:val="21"/>
        </w:rPr>
        <w:t>III.</w:t>
      </w:r>
      <w:r w:rsidRPr="00BE653B">
        <w:rPr>
          <w:rFonts w:ascii="Palatino Linotype" w:eastAsia="Palatino Linotype" w:hAnsi="Palatino Linotype" w:cs="Palatino Linotype"/>
          <w:i/>
          <w:sz w:val="21"/>
          <w:szCs w:val="21"/>
        </w:rPr>
        <w:t xml:space="preserve"> Se generen versiones públicas para dar cumplimiento a las obligaciones de transparencia previstas en esta Ley.</w:t>
      </w:r>
    </w:p>
    <w:p w14:paraId="1E67CD8A" w14:textId="77777777" w:rsidR="00412355" w:rsidRPr="00BE653B" w:rsidRDefault="00DF2EC2">
      <w:pPr>
        <w:spacing w:before="120" w:after="120"/>
        <w:ind w:left="851"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i/>
          <w:sz w:val="21"/>
          <w:szCs w:val="21"/>
        </w:rPr>
        <w:t>[…]</w:t>
      </w:r>
    </w:p>
    <w:p w14:paraId="0F44D6F1" w14:textId="77777777" w:rsidR="00412355" w:rsidRPr="00BE653B" w:rsidRDefault="00DF2EC2">
      <w:pPr>
        <w:spacing w:before="120" w:after="120"/>
        <w:ind w:left="851"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b/>
          <w:i/>
          <w:sz w:val="21"/>
          <w:szCs w:val="21"/>
        </w:rPr>
        <w:t>Artículo 143.</w:t>
      </w:r>
      <w:r w:rsidRPr="00BE653B">
        <w:rPr>
          <w:rFonts w:ascii="Palatino Linotype" w:eastAsia="Palatino Linotype" w:hAnsi="Palatino Linotype" w:cs="Palatino Linotype"/>
          <w:i/>
          <w:sz w:val="21"/>
          <w:szCs w:val="21"/>
        </w:rPr>
        <w:t xml:space="preserve"> Para los efectos de esta Ley se considera información confidencial, la clasificada como tal, de manera permanente, por su naturaleza, cuando:</w:t>
      </w:r>
    </w:p>
    <w:p w14:paraId="5EF68AAE" w14:textId="77777777" w:rsidR="00412355" w:rsidRPr="00BE653B" w:rsidRDefault="00DF2EC2">
      <w:pPr>
        <w:spacing w:before="120" w:after="120"/>
        <w:ind w:left="1134"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b/>
          <w:i/>
          <w:sz w:val="21"/>
          <w:szCs w:val="21"/>
        </w:rPr>
        <w:t>I.</w:t>
      </w:r>
      <w:r w:rsidRPr="00BE653B">
        <w:rPr>
          <w:rFonts w:ascii="Palatino Linotype" w:eastAsia="Palatino Linotype" w:hAnsi="Palatino Linotype" w:cs="Palatino Linotype"/>
          <w:i/>
          <w:sz w:val="21"/>
          <w:szCs w:val="21"/>
        </w:rPr>
        <w:t xml:space="preserve"> Se refiera a la información privada y los datos personales concernientes a una persona física o </w:t>
      </w:r>
      <w:proofErr w:type="gramStart"/>
      <w:r w:rsidRPr="00BE653B">
        <w:rPr>
          <w:rFonts w:ascii="Palatino Linotype" w:eastAsia="Palatino Linotype" w:hAnsi="Palatino Linotype" w:cs="Palatino Linotype"/>
          <w:i/>
          <w:sz w:val="21"/>
          <w:szCs w:val="21"/>
        </w:rPr>
        <w:t>jurídico</w:t>
      </w:r>
      <w:proofErr w:type="gramEnd"/>
      <w:r w:rsidRPr="00BE653B">
        <w:rPr>
          <w:rFonts w:ascii="Palatino Linotype" w:eastAsia="Palatino Linotype" w:hAnsi="Palatino Linotype" w:cs="Palatino Linotype"/>
          <w:i/>
          <w:sz w:val="21"/>
          <w:szCs w:val="21"/>
        </w:rPr>
        <w:t xml:space="preserve"> colectiva identificada o identificable;</w:t>
      </w:r>
    </w:p>
    <w:p w14:paraId="333318B8" w14:textId="77777777" w:rsidR="00412355" w:rsidRPr="00BE653B" w:rsidRDefault="00DF2EC2">
      <w:pPr>
        <w:spacing w:before="120" w:after="120"/>
        <w:ind w:left="1134"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b/>
          <w:i/>
          <w:sz w:val="21"/>
          <w:szCs w:val="21"/>
        </w:rPr>
        <w:t>II.</w:t>
      </w:r>
      <w:r w:rsidRPr="00BE653B">
        <w:rPr>
          <w:rFonts w:ascii="Palatino Linotype" w:eastAsia="Palatino Linotype" w:hAnsi="Palatino Linotype" w:cs="Palatino Linotype"/>
          <w:i/>
          <w:sz w:val="21"/>
          <w:szCs w:val="21"/>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A4806B6" w14:textId="77777777" w:rsidR="00412355" w:rsidRPr="00BE653B" w:rsidRDefault="00DF2EC2">
      <w:pPr>
        <w:spacing w:before="120" w:after="120"/>
        <w:ind w:left="1134"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b/>
          <w:i/>
          <w:sz w:val="21"/>
          <w:szCs w:val="21"/>
        </w:rPr>
        <w:lastRenderedPageBreak/>
        <w:t>III.</w:t>
      </w:r>
      <w:r w:rsidRPr="00BE653B">
        <w:rPr>
          <w:rFonts w:ascii="Palatino Linotype" w:eastAsia="Palatino Linotype" w:hAnsi="Palatino Linotype" w:cs="Palatino Linotype"/>
          <w:i/>
          <w:sz w:val="21"/>
          <w:szCs w:val="21"/>
        </w:rPr>
        <w:t xml:space="preserve"> La que presenten los particulares a los sujetos obligados, de conformidad con lo dispuesto por las leyes o los tratados internacionales.</w:t>
      </w:r>
    </w:p>
    <w:p w14:paraId="483652FA" w14:textId="77777777" w:rsidR="00412355" w:rsidRPr="00BE653B" w:rsidRDefault="00DF2EC2">
      <w:pPr>
        <w:spacing w:before="120" w:after="120"/>
        <w:ind w:left="851"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i/>
          <w:sz w:val="21"/>
          <w:szCs w:val="21"/>
        </w:rPr>
        <w:t>La información confidencial no estará sujeta a temporalidad alguna y sólo podrán tener acceso a ella los titulares de la misma, sus representantes y los servidores públicos facultados para ello.</w:t>
      </w:r>
    </w:p>
    <w:p w14:paraId="671A1902" w14:textId="77777777" w:rsidR="00412355" w:rsidRPr="00BE653B" w:rsidRDefault="00DF2EC2">
      <w:pPr>
        <w:spacing w:before="120" w:after="120"/>
        <w:ind w:left="851" w:right="902"/>
        <w:jc w:val="both"/>
        <w:rPr>
          <w:rFonts w:ascii="Palatino Linotype" w:eastAsia="Palatino Linotype" w:hAnsi="Palatino Linotype" w:cs="Palatino Linotype"/>
          <w:i/>
          <w:sz w:val="21"/>
          <w:szCs w:val="21"/>
        </w:rPr>
      </w:pPr>
      <w:r w:rsidRPr="00BE653B">
        <w:rPr>
          <w:rFonts w:ascii="Palatino Linotype" w:eastAsia="Palatino Linotype" w:hAnsi="Palatino Linotype" w:cs="Palatino Linotype"/>
          <w:i/>
          <w:sz w:val="21"/>
          <w:szCs w:val="21"/>
        </w:rPr>
        <w:t>No se considerará confidencial la información que se encuentre en los registros públicos o en fuentes de acceso público, ni tampoco la que sea considerada por la presente ley como información pública.”</w:t>
      </w:r>
    </w:p>
    <w:p w14:paraId="6F3E59E9"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60C26F8"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B3FE483"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Quincuagésimo sexto.</w:t>
      </w:r>
      <w:r w:rsidRPr="00BE653B">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D2E6F6C"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Quincuagésimo séptimo.</w:t>
      </w:r>
      <w:r w:rsidRPr="00BE653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9756969"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w:t>
      </w:r>
      <w:r w:rsidRPr="00BE653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859BF8D"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lastRenderedPageBreak/>
        <w:t>II.</w:t>
      </w:r>
      <w:r w:rsidRPr="00BE653B">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56167F54" w14:textId="77777777" w:rsidR="00412355" w:rsidRPr="00BE653B" w:rsidRDefault="00DF2EC2">
      <w:pPr>
        <w:spacing w:before="120" w:after="120"/>
        <w:ind w:left="1134"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III.</w:t>
      </w:r>
      <w:r w:rsidRPr="00BE653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81FA411"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30E5DEE4"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Quincuagésimo octavo</w:t>
      </w:r>
      <w:r w:rsidRPr="00BE653B">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7DA4ABF0"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la fecha de nacimiento, lugar de nacimiento, edad, estado civil, domicilio, clave de elector, numero de OCR, CURP, fotografía, el número de cuenta bancaria, que sean exclusivamente de particulares, entre otros, entre otros.</w:t>
      </w:r>
    </w:p>
    <w:p w14:paraId="31651198"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La </w:t>
      </w:r>
      <w:r w:rsidRPr="00BE653B">
        <w:rPr>
          <w:rFonts w:ascii="Palatino Linotype" w:eastAsia="Palatino Linotype" w:hAnsi="Palatino Linotype" w:cs="Palatino Linotype"/>
          <w:i/>
        </w:rPr>
        <w:t xml:space="preserve">fecha de nacimiento, </w:t>
      </w:r>
      <w:r w:rsidRPr="00BE653B">
        <w:rPr>
          <w:rFonts w:ascii="Palatino Linotype" w:eastAsia="Palatino Linotype" w:hAnsi="Palatino Linotype" w:cs="Palatino Linotype"/>
        </w:rPr>
        <w:t>dato o referencia del alumbramiento de una persona, su publicidad permitiría determinar el tiempo que ha vivido su titular; al ser por ello un dato personal que incide en la esfera privada de las personas, requiere de su protección.</w:t>
      </w:r>
    </w:p>
    <w:p w14:paraId="0D60D45B" w14:textId="77777777" w:rsidR="00412355" w:rsidRPr="00BE653B" w:rsidRDefault="00DF2EC2">
      <w:pPr>
        <w:spacing w:before="240" w:after="240" w:line="360" w:lineRule="auto"/>
        <w:jc w:val="both"/>
        <w:rPr>
          <w:rFonts w:ascii="Palatino Linotype" w:eastAsia="Palatino Linotype" w:hAnsi="Palatino Linotype" w:cs="Palatino Linotype"/>
          <w:i/>
        </w:rPr>
      </w:pPr>
      <w:r w:rsidRPr="00BE653B">
        <w:rPr>
          <w:rFonts w:ascii="Palatino Linotype" w:eastAsia="Palatino Linotype" w:hAnsi="Palatino Linotype" w:cs="Palatino Linotype"/>
        </w:rPr>
        <w:lastRenderedPageBreak/>
        <w:t xml:space="preserve">El </w:t>
      </w:r>
      <w:r w:rsidRPr="00BE653B">
        <w:rPr>
          <w:rFonts w:ascii="Palatino Linotype" w:eastAsia="Palatino Linotype" w:hAnsi="Palatino Linotype" w:cs="Palatino Linotype"/>
          <w:i/>
        </w:rPr>
        <w:t xml:space="preserve">lugar de nacimiento </w:t>
      </w:r>
      <w:r w:rsidRPr="00BE653B">
        <w:rPr>
          <w:rFonts w:ascii="Palatino Linotype" w:eastAsia="Palatino Linotype" w:hAnsi="Palatino Linotype" w:cs="Palatino Linotype"/>
        </w:rPr>
        <w:t>revelaría el estado o país del cual es originario un individuo, lo que permitiría relacionar a una persona física identificada con su origen geográfico o territorial, por lo que se afectaría la intimidad de la persona titular de los mismos</w:t>
      </w:r>
      <w:r w:rsidRPr="00BE653B">
        <w:rPr>
          <w:rFonts w:ascii="Palatino Linotype" w:eastAsia="Palatino Linotype" w:hAnsi="Palatino Linotype" w:cs="Palatino Linotype"/>
          <w:i/>
        </w:rPr>
        <w:t>.</w:t>
      </w:r>
    </w:p>
    <w:p w14:paraId="56BF5C42"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La </w:t>
      </w:r>
      <w:r w:rsidRPr="00BE653B">
        <w:rPr>
          <w:rFonts w:ascii="Palatino Linotype" w:eastAsia="Palatino Linotype" w:hAnsi="Palatino Linotype" w:cs="Palatino Linotype"/>
          <w:i/>
        </w:rPr>
        <w:t>edad</w:t>
      </w:r>
      <w:r w:rsidRPr="00BE653B">
        <w:rPr>
          <w:rFonts w:ascii="Palatino Linotype" w:eastAsia="Palatino Linotype" w:hAnsi="Palatino Linotype" w:cs="Palatino Linotype"/>
        </w:rPr>
        <w:t>, se refiere a la información natural del tiempo que ha vivido una persona, que por su propia naturaleza incide en la esfera privada la misma;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p w14:paraId="06432879"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El </w:t>
      </w:r>
      <w:r w:rsidRPr="00BE653B">
        <w:rPr>
          <w:rFonts w:ascii="Palatino Linotype" w:eastAsia="Palatino Linotype" w:hAnsi="Palatino Linotype" w:cs="Palatino Linotype"/>
          <w:i/>
        </w:rPr>
        <w:t xml:space="preserve">domicilio </w:t>
      </w:r>
      <w:r w:rsidRPr="00BE653B">
        <w:rPr>
          <w:rFonts w:ascii="Palatino Linotype" w:eastAsia="Palatino Linotype" w:hAnsi="Palatino Linotype" w:cs="Palatino Linotype"/>
        </w:rPr>
        <w:t>al ser el lugar en donde reside habitualmente una persona física, constituye un dato personal y, por ende, confidencial, ya que su difusión podría afectar la esfera privada de la misma. Dicha información se considera confidencial, en virtud de tratarse de datos personales que reflejan cuestiones de la vida privada de las personas.</w:t>
      </w:r>
    </w:p>
    <w:p w14:paraId="59744AED"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La </w:t>
      </w:r>
      <w:r w:rsidRPr="00BE653B">
        <w:rPr>
          <w:rFonts w:ascii="Palatino Linotype" w:eastAsia="Palatino Linotype" w:hAnsi="Palatino Linotype" w:cs="Palatino Linotype"/>
          <w:i/>
        </w:rPr>
        <w:t>clave de elector</w:t>
      </w:r>
      <w:r w:rsidRPr="00BE653B">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BE653B">
        <w:rPr>
          <w:rFonts w:ascii="Palatino Linotype" w:eastAsia="Palatino Linotype" w:hAnsi="Palatino Linotype" w:cs="Palatino Linotype"/>
        </w:rPr>
        <w:t>homoclave</w:t>
      </w:r>
      <w:proofErr w:type="spellEnd"/>
      <w:r w:rsidRPr="00BE653B">
        <w:rPr>
          <w:rFonts w:ascii="Palatino Linotype" w:eastAsia="Palatino Linotype" w:hAnsi="Palatino Linotype" w:cs="Palatino Linotype"/>
        </w:rPr>
        <w:t xml:space="preserve"> que distingue a su titular de cualquier otro homónimo, por lo tanto, se trata de un dato personal que debe ser protegido.</w:t>
      </w:r>
    </w:p>
    <w:p w14:paraId="5D6B3CF0"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El </w:t>
      </w:r>
      <w:r w:rsidRPr="00BE653B">
        <w:rPr>
          <w:rFonts w:ascii="Palatino Linotype" w:eastAsia="Palatino Linotype" w:hAnsi="Palatino Linotype" w:cs="Palatino Linotype"/>
          <w:i/>
        </w:rPr>
        <w:t>número de OCR</w:t>
      </w:r>
      <w:r w:rsidRPr="00BE653B">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w:t>
      </w:r>
      <w:r w:rsidRPr="00BE653B">
        <w:rPr>
          <w:rFonts w:ascii="Palatino Linotype" w:eastAsia="Palatino Linotype" w:hAnsi="Palatino Linotype" w:cs="Palatino Linotype"/>
        </w:rPr>
        <w:lastRenderedPageBreak/>
        <w:t xml:space="preserve">información concerniente a una persona física identificada o identificable en función de la información </w:t>
      </w:r>
      <w:proofErr w:type="spellStart"/>
      <w:r w:rsidRPr="00BE653B">
        <w:rPr>
          <w:rFonts w:ascii="Palatino Linotype" w:eastAsia="Palatino Linotype" w:hAnsi="Palatino Linotype" w:cs="Palatino Linotype"/>
        </w:rPr>
        <w:t>geoelectoral</w:t>
      </w:r>
      <w:proofErr w:type="spellEnd"/>
      <w:r w:rsidRPr="00BE653B">
        <w:rPr>
          <w:rFonts w:ascii="Palatino Linotype" w:eastAsia="Palatino Linotype" w:hAnsi="Palatino Linotype" w:cs="Palatino Linotype"/>
        </w:rPr>
        <w:t xml:space="preserve"> ahí contenida, por lo que es susceptible de resguardarse.</w:t>
      </w:r>
    </w:p>
    <w:p w14:paraId="760DB108"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La </w:t>
      </w:r>
      <w:r w:rsidRPr="00BE653B">
        <w:rPr>
          <w:rFonts w:ascii="Palatino Linotype" w:eastAsia="Palatino Linotype" w:hAnsi="Palatino Linotype" w:cs="Palatino Linotype"/>
          <w:i/>
        </w:rPr>
        <w:t xml:space="preserve">clave única del registro de población, </w:t>
      </w:r>
      <w:r w:rsidRPr="00BE653B">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064D64B0"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Respecto a la </w:t>
      </w:r>
      <w:r w:rsidRPr="00BE653B">
        <w:rPr>
          <w:rFonts w:ascii="Palatino Linotype" w:eastAsia="Palatino Linotype" w:hAnsi="Palatino Linotype" w:cs="Palatino Linotype"/>
          <w:i/>
        </w:rPr>
        <w:t xml:space="preserve">fotografía, </w:t>
      </w:r>
      <w:r w:rsidRPr="00BE653B">
        <w:rPr>
          <w:rFonts w:ascii="Palatino Linotype" w:eastAsia="Palatino Linotype" w:hAnsi="Palatino Linotype" w:cs="Palatino Linotype"/>
        </w:rPr>
        <w:t>constituye la reproducción fiel de la imagen de una persona, obtenida en papel a través de la impresión en un rollo o placa por medio de cámara fotográfica, o en formato digital. En este sentido, la fotografía constituye el primer elemento de la esfera personal de todo individuo, en cuanto instrumento básico de identificación y proyección exterior y factor imprescindible para su propio reconocimiento como sujeto individual; por lo tanto, es un dato personal.</w:t>
      </w:r>
    </w:p>
    <w:p w14:paraId="621C7340" w14:textId="77777777" w:rsidR="00412355" w:rsidRPr="00BE653B" w:rsidRDefault="00DF2EC2">
      <w:pPr>
        <w:spacing w:before="240" w:after="240" w:line="360" w:lineRule="auto"/>
        <w:ind w:right="50"/>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Igualmente, resulta importante destacar que el </w:t>
      </w:r>
      <w:r w:rsidRPr="00BE653B">
        <w:rPr>
          <w:rFonts w:ascii="Palatino Linotype" w:eastAsia="Palatino Linotype" w:hAnsi="Palatino Linotype" w:cs="Palatino Linotype"/>
          <w:i/>
        </w:rPr>
        <w:t>número de cuenta bancaria</w:t>
      </w:r>
      <w:r w:rsidRPr="00BE653B">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87E4ABE" w14:textId="77777777" w:rsidR="00412355" w:rsidRPr="00BE653B" w:rsidRDefault="00DF2EC2">
      <w:pPr>
        <w:spacing w:before="240" w:after="240" w:line="360" w:lineRule="auto"/>
        <w:ind w:right="50"/>
        <w:jc w:val="both"/>
        <w:rPr>
          <w:rFonts w:ascii="Palatino Linotype" w:eastAsia="Palatino Linotype" w:hAnsi="Palatino Linotype" w:cs="Palatino Linotype"/>
        </w:rPr>
      </w:pPr>
      <w:r w:rsidRPr="00BE653B">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20065BD4" w14:textId="77777777" w:rsidR="00412355" w:rsidRPr="00BE653B" w:rsidRDefault="00DF2EC2">
      <w:pPr>
        <w:spacing w:before="240" w:after="240" w:line="360" w:lineRule="auto"/>
        <w:ind w:right="50"/>
        <w:jc w:val="both"/>
        <w:rPr>
          <w:rFonts w:ascii="Palatino Linotype" w:eastAsia="Palatino Linotype" w:hAnsi="Palatino Linotype" w:cs="Palatino Linotype"/>
        </w:rPr>
      </w:pPr>
      <w:r w:rsidRPr="00BE653B">
        <w:rPr>
          <w:rFonts w:ascii="Palatino Linotype" w:eastAsia="Palatino Linotype" w:hAnsi="Palatino Linotype" w:cs="Palatino Linotype"/>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EFD90C9" w14:textId="77777777" w:rsidR="00412355" w:rsidRPr="00BE653B" w:rsidRDefault="00DF2EC2">
      <w:pPr>
        <w:spacing w:before="240" w:after="240" w:line="360" w:lineRule="auto"/>
        <w:ind w:right="50"/>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50A82E68" w14:textId="77777777" w:rsidR="00412355" w:rsidRPr="00BE653B" w:rsidRDefault="00DF2EC2">
      <w:pPr>
        <w:spacing w:before="240" w:after="240" w:line="360" w:lineRule="auto"/>
        <w:ind w:right="50"/>
        <w:jc w:val="both"/>
        <w:rPr>
          <w:rFonts w:ascii="Palatino Linotype" w:eastAsia="Palatino Linotype" w:hAnsi="Palatino Linotype" w:cs="Palatino Linotype"/>
        </w:rPr>
      </w:pPr>
      <w:r w:rsidRPr="00BE653B">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5F093F3F" w14:textId="77777777" w:rsidR="00412355" w:rsidRPr="00BE653B" w:rsidRDefault="00DF2EC2">
      <w:pPr>
        <w:spacing w:before="240" w:after="240" w:line="360" w:lineRule="auto"/>
        <w:ind w:right="50"/>
        <w:jc w:val="both"/>
        <w:rPr>
          <w:rFonts w:ascii="Palatino Linotype" w:eastAsia="Palatino Linotype" w:hAnsi="Palatino Linotype" w:cs="Palatino Linotype"/>
        </w:rPr>
      </w:pPr>
      <w:r w:rsidRPr="00BE653B">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00CC2A35" w14:textId="77777777" w:rsidR="00412355" w:rsidRPr="00BE653B" w:rsidRDefault="00DF2EC2">
      <w:pPr>
        <w:spacing w:before="240" w:after="240" w:line="360" w:lineRule="auto"/>
        <w:ind w:right="50"/>
        <w:jc w:val="both"/>
        <w:rPr>
          <w:rFonts w:ascii="Palatino Linotype" w:eastAsia="Palatino Linotype" w:hAnsi="Palatino Linotype" w:cs="Palatino Linotype"/>
        </w:rPr>
      </w:pPr>
      <w:r w:rsidRPr="00BE653B">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337BF052" w14:textId="77777777" w:rsidR="00412355" w:rsidRPr="00BE653B" w:rsidRDefault="00DF2EC2">
      <w:pPr>
        <w:spacing w:before="240" w:after="240"/>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“Cuentas bancarias y/o CLABE interbancaria de personas físicas y morales privadas.</w:t>
      </w:r>
      <w:r w:rsidRPr="00BE653B">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w:t>
      </w:r>
      <w:r w:rsidRPr="00BE653B">
        <w:rPr>
          <w:rFonts w:ascii="Palatino Linotype" w:eastAsia="Palatino Linotype" w:hAnsi="Palatino Linotype" w:cs="Palatino Linotype"/>
          <w:i/>
          <w:sz w:val="22"/>
          <w:szCs w:val="22"/>
        </w:rPr>
        <w:lastRenderedPageBreak/>
        <w:t>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4BF550E" w14:textId="77777777" w:rsidR="00412355" w:rsidRPr="00BE653B" w:rsidRDefault="00DF2EC2">
      <w:pPr>
        <w:spacing w:before="240" w:after="240"/>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BE653B">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B2EC235" w14:textId="77777777" w:rsidR="00412355" w:rsidRPr="00BE653B" w:rsidRDefault="00DF2EC2">
      <w:pPr>
        <w:spacing w:before="240" w:after="240" w:line="360" w:lineRule="auto"/>
        <w:ind w:right="50"/>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Por cuanto hace al </w:t>
      </w:r>
      <w:r w:rsidRPr="00BE653B">
        <w:rPr>
          <w:rFonts w:ascii="Palatino Linotype" w:eastAsia="Palatino Linotype" w:hAnsi="Palatino Linotype" w:cs="Palatino Linotype"/>
          <w:b/>
        </w:rPr>
        <w:t xml:space="preserve">Registro Federal de Contribuyentes (RFC), </w:t>
      </w:r>
      <w:r w:rsidRPr="00BE653B">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BDD2B5B" w14:textId="77777777" w:rsidR="00412355" w:rsidRPr="00BE653B" w:rsidRDefault="00DF2EC2">
      <w:pPr>
        <w:spacing w:before="240" w:after="240" w:line="360" w:lineRule="auto"/>
        <w:ind w:right="50"/>
        <w:jc w:val="both"/>
        <w:rPr>
          <w:rFonts w:ascii="Palatino Linotype" w:eastAsia="Palatino Linotype" w:hAnsi="Palatino Linotype" w:cs="Palatino Linotype"/>
        </w:rPr>
      </w:pPr>
      <w:r w:rsidRPr="00BE653B">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ED517D1" w14:textId="77777777" w:rsidR="00412355" w:rsidRPr="00BE653B" w:rsidRDefault="00DF2EC2">
      <w:pPr>
        <w:spacing w:before="240" w:after="240" w:line="360" w:lineRule="auto"/>
        <w:ind w:right="50"/>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w:t>
      </w:r>
      <w:r w:rsidRPr="00BE653B">
        <w:rPr>
          <w:rFonts w:ascii="Palatino Linotype" w:eastAsia="Palatino Linotype" w:hAnsi="Palatino Linotype" w:cs="Palatino Linotype"/>
        </w:rPr>
        <w:lastRenderedPageBreak/>
        <w:t>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3FFF6F50"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455E275B"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 xml:space="preserve">“Registro Federal de Contribuyentes (RFC) de personas físicas proveedoras o contratistas. </w:t>
      </w:r>
      <w:r w:rsidRPr="00BE653B">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481898FD" w14:textId="77777777" w:rsidR="00412355" w:rsidRPr="00BE653B" w:rsidRDefault="00DF2EC2">
      <w:pPr>
        <w:spacing w:before="240" w:after="240" w:line="360" w:lineRule="auto"/>
        <w:ind w:right="50"/>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Relacionado con lo anterior, el nombre de las personas físicas o los representantes legales de las personas morales,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w:t>
      </w:r>
      <w:r w:rsidRPr="00BE653B">
        <w:rPr>
          <w:rFonts w:ascii="Palatino Linotype" w:eastAsia="Palatino Linotype" w:hAnsi="Palatino Linotype" w:cs="Palatino Linotype"/>
        </w:rPr>
        <w:lastRenderedPageBreak/>
        <w:t>de licitación no conservan el carácter de confidencial y por tanto no deben ser testados.</w:t>
      </w:r>
    </w:p>
    <w:p w14:paraId="72B1EDF6" w14:textId="77777777" w:rsidR="00412355" w:rsidRPr="00BE653B" w:rsidRDefault="00DF2EC2">
      <w:pPr>
        <w:spacing w:before="240" w:after="240" w:line="360" w:lineRule="auto"/>
        <w:ind w:right="50"/>
        <w:jc w:val="both"/>
        <w:rPr>
          <w:rFonts w:ascii="Palatino Linotype" w:eastAsia="Palatino Linotype" w:hAnsi="Palatino Linotype" w:cs="Palatino Linotype"/>
        </w:rPr>
      </w:pPr>
      <w:r w:rsidRPr="00BE653B">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2F02DE38"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w:t>
      </w:r>
      <w:r w:rsidRPr="00BE653B">
        <w:rPr>
          <w:rFonts w:ascii="Palatino Linotype" w:eastAsia="Palatino Linotype" w:hAnsi="Palatino Linotype" w:cs="Palatino Linotype"/>
          <w:b/>
          <w:i/>
          <w:sz w:val="22"/>
          <w:szCs w:val="22"/>
        </w:rPr>
        <w:t>Artículo 23.</w:t>
      </w:r>
      <w:r w:rsidRPr="00BE653B">
        <w:rPr>
          <w:rFonts w:ascii="Palatino Linotype" w:eastAsia="Palatino Linotype" w:hAnsi="Palatino Linotype" w:cs="Palatino Linotype"/>
          <w:i/>
          <w:sz w:val="22"/>
          <w:szCs w:val="22"/>
        </w:rPr>
        <w:t xml:space="preserve"> (…)</w:t>
      </w:r>
    </w:p>
    <w:p w14:paraId="1C13DAE5" w14:textId="77777777" w:rsidR="00412355" w:rsidRPr="00BE653B" w:rsidRDefault="00DF2EC2">
      <w:pPr>
        <w:spacing w:before="120" w:after="120"/>
        <w:ind w:left="851" w:right="902"/>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0C140C8" w14:textId="77777777" w:rsidR="00412355" w:rsidRPr="00BE653B" w:rsidRDefault="00DF2EC2">
      <w:pPr>
        <w:spacing w:before="280" w:after="28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50DF1E55" w14:textId="77777777" w:rsidR="00412355" w:rsidRPr="00BE653B" w:rsidRDefault="00DF2EC2">
      <w:pPr>
        <w:ind w:left="851" w:right="900"/>
        <w:jc w:val="both"/>
        <w:rPr>
          <w:rFonts w:ascii="Palatino Linotype" w:eastAsia="Palatino Linotype" w:hAnsi="Palatino Linotype" w:cs="Palatino Linotype"/>
          <w:i/>
          <w:sz w:val="22"/>
          <w:szCs w:val="22"/>
        </w:rPr>
      </w:pPr>
      <w:r w:rsidRPr="00BE653B">
        <w:rPr>
          <w:rFonts w:ascii="Palatino Linotype" w:eastAsia="Palatino Linotype" w:hAnsi="Palatino Linotype" w:cs="Palatino Linotype"/>
          <w:b/>
          <w:i/>
          <w:sz w:val="22"/>
          <w:szCs w:val="22"/>
        </w:rPr>
        <w:t>“Datos de identificación del representante o apoderado legal.</w:t>
      </w:r>
      <w:r w:rsidRPr="00BE653B">
        <w:rPr>
          <w:rFonts w:ascii="Palatino Linotype" w:eastAsia="Palatino Linotype" w:hAnsi="Palatino Linotype" w:cs="Palatino Linotype"/>
          <w:i/>
          <w:sz w:val="22"/>
          <w:szCs w:val="22"/>
        </w:rPr>
        <w:t xml:space="preserve"> </w:t>
      </w:r>
      <w:r w:rsidRPr="00BE653B">
        <w:rPr>
          <w:rFonts w:ascii="Palatino Linotype" w:eastAsia="Palatino Linotype" w:hAnsi="Palatino Linotype" w:cs="Palatino Linotype"/>
          <w:b/>
          <w:i/>
          <w:sz w:val="22"/>
          <w:szCs w:val="22"/>
        </w:rPr>
        <w:t xml:space="preserve">Naturaleza jurídica. </w:t>
      </w:r>
      <w:r w:rsidRPr="00BE653B">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BE653B">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BE653B">
        <w:rPr>
          <w:rFonts w:ascii="Palatino Linotype" w:eastAsia="Palatino Linotype" w:hAnsi="Palatino Linotype" w:cs="Palatino Linotype"/>
          <w:i/>
          <w:sz w:val="22"/>
          <w:szCs w:val="22"/>
        </w:rPr>
        <w:t>.”</w:t>
      </w:r>
    </w:p>
    <w:p w14:paraId="1A9B8F61"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5CD83050"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Asimismo, se destaca que la versión pública que elabore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debe cumplir con las formalidades exigidas en la Ley, por lo que para tal efecto emitirá el </w:t>
      </w:r>
      <w:r w:rsidRPr="00BE653B">
        <w:rPr>
          <w:rFonts w:ascii="Palatino Linotype" w:eastAsia="Palatino Linotype" w:hAnsi="Palatino Linotype" w:cs="Palatino Linotype"/>
        </w:rPr>
        <w:lastRenderedPageBreak/>
        <w:t>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BE653B">
        <w:rPr>
          <w:rFonts w:ascii="Palatino Linotype" w:eastAsia="Palatino Linotype" w:hAnsi="Palatino Linotype" w:cs="Palatino Linotype"/>
          <w:b/>
        </w:rPr>
        <w:t>Recurrente</w:t>
      </w:r>
      <w:r w:rsidRPr="00BE653B">
        <w:rPr>
          <w:rFonts w:ascii="Palatino Linotype" w:eastAsia="Palatino Linotype" w:hAnsi="Palatino Linotype" w:cs="Palatino Linotype"/>
        </w:rPr>
        <w:t>.</w:t>
      </w:r>
    </w:p>
    <w:p w14:paraId="6CC2501E"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De este modo, la versión pública que elabore el </w:t>
      </w:r>
      <w:r w:rsidRPr="00BE653B">
        <w:rPr>
          <w:rFonts w:ascii="Palatino Linotype" w:eastAsia="Palatino Linotype" w:hAnsi="Palatino Linotype" w:cs="Palatino Linotype"/>
          <w:b/>
        </w:rPr>
        <w:t xml:space="preserve">Sujeto Obligado </w:t>
      </w:r>
      <w:r w:rsidRPr="00BE653B">
        <w:rPr>
          <w:rFonts w:ascii="Palatino Linotype" w:eastAsia="Palatino Linotype" w:hAnsi="Palatino Linotype" w:cs="Palatino Linotype"/>
        </w:rPr>
        <w:t>debe acompañarse del</w:t>
      </w:r>
      <w:r w:rsidRPr="00BE653B">
        <w:rPr>
          <w:rFonts w:ascii="Palatino Linotype" w:eastAsia="Palatino Linotype" w:hAnsi="Palatino Linotype" w:cs="Palatino Linotype"/>
          <w:b/>
        </w:rPr>
        <w:t xml:space="preserve"> </w:t>
      </w:r>
      <w:r w:rsidRPr="00BE653B">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BE653B">
        <w:rPr>
          <w:rFonts w:ascii="Palatino Linotype" w:eastAsia="Palatino Linotype" w:hAnsi="Palatino Linotype" w:cs="Palatino Linotype"/>
          <w:b/>
          <w:u w:val="single"/>
        </w:rPr>
        <w:t>razones, motivos o circunstancias especiales</w:t>
      </w:r>
      <w:r w:rsidRPr="00BE653B">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75886DAE"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BE653B" w:rsidRPr="00BE653B" w14:paraId="2B67E670" w14:textId="77777777" w:rsidTr="00412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0DE4A3E0" w14:textId="77777777" w:rsidR="00412355" w:rsidRPr="00BE653B" w:rsidRDefault="00DF2EC2">
            <w:pPr>
              <w:jc w:val="center"/>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lastRenderedPageBreak/>
              <w:t>Parcial</w:t>
            </w:r>
          </w:p>
        </w:tc>
        <w:tc>
          <w:tcPr>
            <w:tcW w:w="4414" w:type="dxa"/>
            <w:gridSpan w:val="2"/>
          </w:tcPr>
          <w:p w14:paraId="176F7F00" w14:textId="77777777" w:rsidR="00412355" w:rsidRPr="00BE653B" w:rsidRDefault="00DF2EC2">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Total</w:t>
            </w:r>
          </w:p>
        </w:tc>
      </w:tr>
      <w:tr w:rsidR="00BE653B" w:rsidRPr="00BE653B" w14:paraId="4C00C705" w14:textId="77777777" w:rsidTr="0041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C001C72" w14:textId="77777777" w:rsidR="00412355" w:rsidRPr="00BE653B" w:rsidRDefault="00DF2EC2">
            <w:pPr>
              <w:jc w:val="center"/>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Concepto</w:t>
            </w:r>
          </w:p>
        </w:tc>
        <w:tc>
          <w:tcPr>
            <w:tcW w:w="3421" w:type="dxa"/>
          </w:tcPr>
          <w:p w14:paraId="3B501F60" w14:textId="77777777" w:rsidR="00412355" w:rsidRPr="00BE653B" w:rsidRDefault="00DF2EC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Dónde</w:t>
            </w:r>
          </w:p>
        </w:tc>
        <w:tc>
          <w:tcPr>
            <w:tcW w:w="968" w:type="dxa"/>
          </w:tcPr>
          <w:p w14:paraId="0BD0772D" w14:textId="77777777" w:rsidR="00412355" w:rsidRPr="00BE653B" w:rsidRDefault="00DF2EC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Concepto</w:t>
            </w:r>
          </w:p>
        </w:tc>
        <w:tc>
          <w:tcPr>
            <w:tcW w:w="3446" w:type="dxa"/>
          </w:tcPr>
          <w:p w14:paraId="5778AFE5" w14:textId="77777777" w:rsidR="00412355" w:rsidRPr="00BE653B" w:rsidRDefault="00DF2EC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Dónde</w:t>
            </w:r>
          </w:p>
        </w:tc>
      </w:tr>
      <w:tr w:rsidR="00BE653B" w:rsidRPr="00BE653B" w14:paraId="2FAF4C09" w14:textId="77777777" w:rsidTr="00412355">
        <w:tc>
          <w:tcPr>
            <w:cnfStyle w:val="001000000000" w:firstRow="0" w:lastRow="0" w:firstColumn="1" w:lastColumn="0" w:oddVBand="0" w:evenVBand="0" w:oddHBand="0" w:evenHBand="0" w:firstRowFirstColumn="0" w:firstRowLastColumn="0" w:lastRowFirstColumn="0" w:lastRowLastColumn="0"/>
            <w:tcW w:w="8828" w:type="dxa"/>
            <w:gridSpan w:val="4"/>
          </w:tcPr>
          <w:p w14:paraId="54DFFB0F" w14:textId="77777777" w:rsidR="00412355" w:rsidRPr="00BE653B" w:rsidRDefault="00DF2EC2">
            <w:pPr>
              <w:jc w:val="center"/>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Sello oficial o logotipo del sujeto obligado</w:t>
            </w:r>
          </w:p>
        </w:tc>
      </w:tr>
      <w:tr w:rsidR="00BE653B" w:rsidRPr="00BE653B" w14:paraId="3A43B4BA" w14:textId="77777777" w:rsidTr="0041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304CA16" w14:textId="77777777" w:rsidR="00412355" w:rsidRPr="00BE653B" w:rsidRDefault="00DF2EC2">
            <w:pPr>
              <w:jc w:val="both"/>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Fecha de clasificación</w:t>
            </w:r>
          </w:p>
        </w:tc>
        <w:tc>
          <w:tcPr>
            <w:tcW w:w="3421" w:type="dxa"/>
          </w:tcPr>
          <w:p w14:paraId="19C99F83"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66F91F42"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Fecha de clasificación</w:t>
            </w:r>
          </w:p>
        </w:tc>
        <w:tc>
          <w:tcPr>
            <w:tcW w:w="3446" w:type="dxa"/>
          </w:tcPr>
          <w:p w14:paraId="7E31096E"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BE653B" w:rsidRPr="00BE653B" w14:paraId="18CE15CA" w14:textId="77777777" w:rsidTr="00412355">
        <w:tc>
          <w:tcPr>
            <w:cnfStyle w:val="001000000000" w:firstRow="0" w:lastRow="0" w:firstColumn="1" w:lastColumn="0" w:oddVBand="0" w:evenVBand="0" w:oddHBand="0" w:evenHBand="0" w:firstRowFirstColumn="0" w:firstRowLastColumn="0" w:lastRowFirstColumn="0" w:lastRowLastColumn="0"/>
            <w:tcW w:w="993" w:type="dxa"/>
          </w:tcPr>
          <w:p w14:paraId="52790F79" w14:textId="77777777" w:rsidR="00412355" w:rsidRPr="00BE653B" w:rsidRDefault="00DF2EC2">
            <w:pPr>
              <w:jc w:val="both"/>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Área</w:t>
            </w:r>
          </w:p>
        </w:tc>
        <w:tc>
          <w:tcPr>
            <w:tcW w:w="3421" w:type="dxa"/>
          </w:tcPr>
          <w:p w14:paraId="09536EE0"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Se señalará el nombre del área del cual es titular quien clasifica.</w:t>
            </w:r>
          </w:p>
        </w:tc>
        <w:tc>
          <w:tcPr>
            <w:tcW w:w="968" w:type="dxa"/>
          </w:tcPr>
          <w:p w14:paraId="60D139A6"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Área</w:t>
            </w:r>
          </w:p>
        </w:tc>
        <w:tc>
          <w:tcPr>
            <w:tcW w:w="3446" w:type="dxa"/>
          </w:tcPr>
          <w:p w14:paraId="559D90EF"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Se señalará el nombre del área de la cual es el titular quien clasifica.</w:t>
            </w:r>
          </w:p>
        </w:tc>
      </w:tr>
      <w:tr w:rsidR="00BE653B" w:rsidRPr="00BE653B" w14:paraId="02487899" w14:textId="77777777" w:rsidTr="0041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526AE9D" w14:textId="77777777" w:rsidR="00412355" w:rsidRPr="00BE653B" w:rsidRDefault="00DF2EC2">
            <w:pPr>
              <w:jc w:val="both"/>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Información reservada</w:t>
            </w:r>
          </w:p>
        </w:tc>
        <w:tc>
          <w:tcPr>
            <w:tcW w:w="3421" w:type="dxa"/>
          </w:tcPr>
          <w:p w14:paraId="28059AC6"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BE653B">
              <w:rPr>
                <w:rFonts w:ascii="Palatino Linotype" w:eastAsia="Palatino Linotype" w:hAnsi="Palatino Linotype" w:cs="Palatino Linotype"/>
                <w:sz w:val="12"/>
                <w:szCs w:val="12"/>
              </w:rPr>
              <w:t>anotarán</w:t>
            </w:r>
            <w:proofErr w:type="gramEnd"/>
            <w:r w:rsidRPr="00BE653B">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14:paraId="7A0F5A52"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Reservado</w:t>
            </w:r>
          </w:p>
        </w:tc>
        <w:tc>
          <w:tcPr>
            <w:tcW w:w="3446" w:type="dxa"/>
          </w:tcPr>
          <w:p w14:paraId="3A08E510"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Leyenda de información RESERVADA.</w:t>
            </w:r>
          </w:p>
        </w:tc>
      </w:tr>
      <w:tr w:rsidR="00BE653B" w:rsidRPr="00BE653B" w14:paraId="5E719420" w14:textId="77777777" w:rsidTr="00412355">
        <w:tc>
          <w:tcPr>
            <w:cnfStyle w:val="001000000000" w:firstRow="0" w:lastRow="0" w:firstColumn="1" w:lastColumn="0" w:oddVBand="0" w:evenVBand="0" w:oddHBand="0" w:evenHBand="0" w:firstRowFirstColumn="0" w:firstRowLastColumn="0" w:lastRowFirstColumn="0" w:lastRowLastColumn="0"/>
            <w:tcW w:w="993" w:type="dxa"/>
          </w:tcPr>
          <w:p w14:paraId="31473AA2" w14:textId="77777777" w:rsidR="00412355" w:rsidRPr="00BE653B" w:rsidRDefault="00DF2EC2">
            <w:pPr>
              <w:jc w:val="both"/>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Fundamento legal</w:t>
            </w:r>
          </w:p>
        </w:tc>
        <w:tc>
          <w:tcPr>
            <w:tcW w:w="3421" w:type="dxa"/>
          </w:tcPr>
          <w:p w14:paraId="14A12369"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04D8335D"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Periodo de reserva</w:t>
            </w:r>
          </w:p>
        </w:tc>
        <w:tc>
          <w:tcPr>
            <w:tcW w:w="3446" w:type="dxa"/>
          </w:tcPr>
          <w:p w14:paraId="75371D72"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BE653B" w:rsidRPr="00BE653B" w14:paraId="1922F59E" w14:textId="77777777" w:rsidTr="0041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64C7740" w14:textId="77777777" w:rsidR="00412355" w:rsidRPr="00BE653B" w:rsidRDefault="00DF2EC2">
            <w:pPr>
              <w:jc w:val="both"/>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Ampliación del periodo de reserva</w:t>
            </w:r>
          </w:p>
        </w:tc>
        <w:tc>
          <w:tcPr>
            <w:tcW w:w="3421" w:type="dxa"/>
          </w:tcPr>
          <w:p w14:paraId="7E87B41A"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37155231"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Fundamento legal</w:t>
            </w:r>
          </w:p>
        </w:tc>
        <w:tc>
          <w:tcPr>
            <w:tcW w:w="3446" w:type="dxa"/>
          </w:tcPr>
          <w:p w14:paraId="47FEE84F"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BE653B" w:rsidRPr="00BE653B" w14:paraId="1E060758" w14:textId="77777777" w:rsidTr="00412355">
        <w:tc>
          <w:tcPr>
            <w:cnfStyle w:val="001000000000" w:firstRow="0" w:lastRow="0" w:firstColumn="1" w:lastColumn="0" w:oddVBand="0" w:evenVBand="0" w:oddHBand="0" w:evenHBand="0" w:firstRowFirstColumn="0" w:firstRowLastColumn="0" w:lastRowFirstColumn="0" w:lastRowLastColumn="0"/>
            <w:tcW w:w="993" w:type="dxa"/>
          </w:tcPr>
          <w:p w14:paraId="6D357CD9" w14:textId="77777777" w:rsidR="00412355" w:rsidRPr="00BE653B" w:rsidRDefault="00DF2EC2">
            <w:pPr>
              <w:jc w:val="both"/>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Confidencial</w:t>
            </w:r>
          </w:p>
        </w:tc>
        <w:tc>
          <w:tcPr>
            <w:tcW w:w="3421" w:type="dxa"/>
          </w:tcPr>
          <w:p w14:paraId="3803717E"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7725AE89"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Ampliación del periodo de reserva</w:t>
            </w:r>
          </w:p>
        </w:tc>
        <w:tc>
          <w:tcPr>
            <w:tcW w:w="3446" w:type="dxa"/>
          </w:tcPr>
          <w:p w14:paraId="7BA5ADB6"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BE653B" w:rsidRPr="00BE653B" w14:paraId="4A90613A" w14:textId="77777777" w:rsidTr="0041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85487EB" w14:textId="77777777" w:rsidR="00412355" w:rsidRPr="00BE653B" w:rsidRDefault="00DF2EC2">
            <w:pPr>
              <w:jc w:val="both"/>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Fundamento legal</w:t>
            </w:r>
          </w:p>
        </w:tc>
        <w:tc>
          <w:tcPr>
            <w:tcW w:w="3421" w:type="dxa"/>
          </w:tcPr>
          <w:p w14:paraId="0DEF311E"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2C3C1135"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Confidencial</w:t>
            </w:r>
          </w:p>
        </w:tc>
        <w:tc>
          <w:tcPr>
            <w:tcW w:w="3446" w:type="dxa"/>
          </w:tcPr>
          <w:p w14:paraId="176CF8C5"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Leyenda de información CONFIDENCIAL.</w:t>
            </w:r>
          </w:p>
        </w:tc>
      </w:tr>
      <w:tr w:rsidR="00BE653B" w:rsidRPr="00BE653B" w14:paraId="573D83FA" w14:textId="77777777" w:rsidTr="00412355">
        <w:tc>
          <w:tcPr>
            <w:cnfStyle w:val="001000000000" w:firstRow="0" w:lastRow="0" w:firstColumn="1" w:lastColumn="0" w:oddVBand="0" w:evenVBand="0" w:oddHBand="0" w:evenHBand="0" w:firstRowFirstColumn="0" w:firstRowLastColumn="0" w:lastRowFirstColumn="0" w:lastRowLastColumn="0"/>
            <w:tcW w:w="993" w:type="dxa"/>
          </w:tcPr>
          <w:p w14:paraId="1FEEC8BC" w14:textId="77777777" w:rsidR="00412355" w:rsidRPr="00BE653B" w:rsidRDefault="00DF2EC2">
            <w:pPr>
              <w:jc w:val="both"/>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Rúbrica del titular del área</w:t>
            </w:r>
          </w:p>
        </w:tc>
        <w:tc>
          <w:tcPr>
            <w:tcW w:w="3421" w:type="dxa"/>
          </w:tcPr>
          <w:p w14:paraId="2697A5E5"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Rúbrica autógrafa de quien clasifica.</w:t>
            </w:r>
          </w:p>
        </w:tc>
        <w:tc>
          <w:tcPr>
            <w:tcW w:w="968" w:type="dxa"/>
          </w:tcPr>
          <w:p w14:paraId="22C4149D"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Fundamento legal</w:t>
            </w:r>
          </w:p>
        </w:tc>
        <w:tc>
          <w:tcPr>
            <w:tcW w:w="3446" w:type="dxa"/>
          </w:tcPr>
          <w:p w14:paraId="57579D61"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BE653B" w:rsidRPr="00BE653B" w14:paraId="7D9D12AC" w14:textId="77777777" w:rsidTr="0041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DFD03AE" w14:textId="77777777" w:rsidR="00412355" w:rsidRPr="00BE653B" w:rsidRDefault="00DF2EC2">
            <w:pPr>
              <w:jc w:val="both"/>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Fecha de desclasificación</w:t>
            </w:r>
          </w:p>
        </w:tc>
        <w:tc>
          <w:tcPr>
            <w:tcW w:w="3421" w:type="dxa"/>
          </w:tcPr>
          <w:p w14:paraId="1E831FB3"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Se anotará la fecha en que se desclasifica el documento.</w:t>
            </w:r>
          </w:p>
        </w:tc>
        <w:tc>
          <w:tcPr>
            <w:tcW w:w="968" w:type="dxa"/>
          </w:tcPr>
          <w:p w14:paraId="2763E8AD"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Rúbrica del titular del área</w:t>
            </w:r>
          </w:p>
        </w:tc>
        <w:tc>
          <w:tcPr>
            <w:tcW w:w="3446" w:type="dxa"/>
          </w:tcPr>
          <w:p w14:paraId="3EE1F5BC"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Rúbrica autógrafa de quien clasifica.</w:t>
            </w:r>
          </w:p>
        </w:tc>
      </w:tr>
      <w:tr w:rsidR="00BE653B" w:rsidRPr="00BE653B" w14:paraId="43478413" w14:textId="77777777" w:rsidTr="00412355">
        <w:tc>
          <w:tcPr>
            <w:cnfStyle w:val="001000000000" w:firstRow="0" w:lastRow="0" w:firstColumn="1" w:lastColumn="0" w:oddVBand="0" w:evenVBand="0" w:oddHBand="0" w:evenHBand="0" w:firstRowFirstColumn="0" w:firstRowLastColumn="0" w:lastRowFirstColumn="0" w:lastRowLastColumn="0"/>
            <w:tcW w:w="993" w:type="dxa"/>
          </w:tcPr>
          <w:p w14:paraId="0DE24779" w14:textId="77777777" w:rsidR="00412355" w:rsidRPr="00BE653B" w:rsidRDefault="00DF2EC2">
            <w:pPr>
              <w:jc w:val="both"/>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Rúbrica y cargo del servidor público</w:t>
            </w:r>
          </w:p>
        </w:tc>
        <w:tc>
          <w:tcPr>
            <w:tcW w:w="3421" w:type="dxa"/>
          </w:tcPr>
          <w:p w14:paraId="3CDCB184"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Rúbrica autógrafa de quien desclasifica.</w:t>
            </w:r>
          </w:p>
        </w:tc>
        <w:tc>
          <w:tcPr>
            <w:tcW w:w="968" w:type="dxa"/>
          </w:tcPr>
          <w:p w14:paraId="7992F682"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Fecha de desclasificación</w:t>
            </w:r>
          </w:p>
        </w:tc>
        <w:tc>
          <w:tcPr>
            <w:tcW w:w="3446" w:type="dxa"/>
          </w:tcPr>
          <w:p w14:paraId="1607C61A"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Se anotará la fecha en que se desclasifica.</w:t>
            </w:r>
          </w:p>
        </w:tc>
      </w:tr>
      <w:tr w:rsidR="00BE653B" w:rsidRPr="00BE653B" w14:paraId="0EE33F0C" w14:textId="77777777" w:rsidTr="0041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9A2A253" w14:textId="77777777" w:rsidR="00412355" w:rsidRPr="00BE653B" w:rsidRDefault="00412355">
            <w:pPr>
              <w:jc w:val="both"/>
              <w:rPr>
                <w:rFonts w:ascii="Palatino Linotype" w:eastAsia="Palatino Linotype" w:hAnsi="Palatino Linotype" w:cs="Palatino Linotype"/>
                <w:sz w:val="12"/>
                <w:szCs w:val="12"/>
              </w:rPr>
            </w:pPr>
          </w:p>
        </w:tc>
        <w:tc>
          <w:tcPr>
            <w:tcW w:w="3421" w:type="dxa"/>
          </w:tcPr>
          <w:p w14:paraId="5F3A0053" w14:textId="77777777" w:rsidR="00412355" w:rsidRPr="00BE653B" w:rsidRDefault="0041235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4F2B5681"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Partes o secciones reservadas o confidenciales</w:t>
            </w:r>
          </w:p>
        </w:tc>
        <w:tc>
          <w:tcPr>
            <w:tcW w:w="3446" w:type="dxa"/>
          </w:tcPr>
          <w:p w14:paraId="4CA27159" w14:textId="77777777" w:rsidR="00412355" w:rsidRPr="00BE653B" w:rsidRDefault="00DF2EC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 xml:space="preserve">En caso que una vez desclasificado el expediente, </w:t>
            </w:r>
            <w:proofErr w:type="spellStart"/>
            <w:r w:rsidRPr="00BE653B">
              <w:rPr>
                <w:rFonts w:ascii="Palatino Linotype" w:eastAsia="Palatino Linotype" w:hAnsi="Palatino Linotype" w:cs="Palatino Linotype"/>
                <w:sz w:val="12"/>
                <w:szCs w:val="12"/>
              </w:rPr>
              <w:t>subsistanpartes</w:t>
            </w:r>
            <w:proofErr w:type="spellEnd"/>
            <w:r w:rsidRPr="00BE653B">
              <w:rPr>
                <w:rFonts w:ascii="Palatino Linotype" w:eastAsia="Palatino Linotype" w:hAnsi="Palatino Linotype" w:cs="Palatino Linotype"/>
                <w:sz w:val="12"/>
                <w:szCs w:val="12"/>
              </w:rPr>
              <w:t xml:space="preserve"> o secciones del mismo reservadas o confidenciales, se señalará este hecho.</w:t>
            </w:r>
          </w:p>
        </w:tc>
      </w:tr>
      <w:tr w:rsidR="00BE653B" w:rsidRPr="00BE653B" w14:paraId="588C6F66" w14:textId="77777777" w:rsidTr="00412355">
        <w:tc>
          <w:tcPr>
            <w:cnfStyle w:val="001000000000" w:firstRow="0" w:lastRow="0" w:firstColumn="1" w:lastColumn="0" w:oddVBand="0" w:evenVBand="0" w:oddHBand="0" w:evenHBand="0" w:firstRowFirstColumn="0" w:firstRowLastColumn="0" w:lastRowFirstColumn="0" w:lastRowLastColumn="0"/>
            <w:tcW w:w="993" w:type="dxa"/>
          </w:tcPr>
          <w:p w14:paraId="3EF66F6C" w14:textId="77777777" w:rsidR="00412355" w:rsidRPr="00BE653B" w:rsidRDefault="00412355">
            <w:pPr>
              <w:jc w:val="both"/>
              <w:rPr>
                <w:rFonts w:ascii="Palatino Linotype" w:eastAsia="Palatino Linotype" w:hAnsi="Palatino Linotype" w:cs="Palatino Linotype"/>
                <w:sz w:val="12"/>
                <w:szCs w:val="12"/>
              </w:rPr>
            </w:pPr>
          </w:p>
        </w:tc>
        <w:tc>
          <w:tcPr>
            <w:tcW w:w="3421" w:type="dxa"/>
          </w:tcPr>
          <w:p w14:paraId="0F1D67B1" w14:textId="77777777" w:rsidR="00412355" w:rsidRPr="00BE653B" w:rsidRDefault="0041235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761FA287"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BE653B">
              <w:rPr>
                <w:rFonts w:ascii="Palatino Linotype" w:eastAsia="Palatino Linotype" w:hAnsi="Palatino Linotype" w:cs="Palatino Linotype"/>
                <w:b/>
                <w:sz w:val="12"/>
                <w:szCs w:val="12"/>
              </w:rPr>
              <w:t>Rúbrica y cargo del servidor público</w:t>
            </w:r>
          </w:p>
        </w:tc>
        <w:tc>
          <w:tcPr>
            <w:tcW w:w="3446" w:type="dxa"/>
          </w:tcPr>
          <w:p w14:paraId="36AAFBD8" w14:textId="77777777" w:rsidR="00412355" w:rsidRPr="00BE653B" w:rsidRDefault="00DF2EC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BE653B">
              <w:rPr>
                <w:rFonts w:ascii="Palatino Linotype" w:eastAsia="Palatino Linotype" w:hAnsi="Palatino Linotype" w:cs="Palatino Linotype"/>
                <w:sz w:val="12"/>
                <w:szCs w:val="12"/>
              </w:rPr>
              <w:t>Rúbrica autógrafa de quien desclasifica.</w:t>
            </w:r>
          </w:p>
        </w:tc>
      </w:tr>
    </w:tbl>
    <w:p w14:paraId="1E9A8568" w14:textId="77777777" w:rsidR="00412355" w:rsidRPr="00BE653B" w:rsidRDefault="00412355"/>
    <w:p w14:paraId="28FCA918" w14:textId="78D006E9" w:rsidR="00412355" w:rsidRPr="00BE653B" w:rsidRDefault="00DF2EC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FA622F6" w14:textId="03981D33" w:rsidR="002318F0" w:rsidRPr="00BE653B" w:rsidRDefault="002318F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7DA4DB3B" w14:textId="77777777" w:rsidR="002318F0" w:rsidRPr="00BE653B" w:rsidRDefault="002318F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7FEFCE0A" w14:textId="77777777" w:rsidR="00412355" w:rsidRPr="00BE653B" w:rsidRDefault="00DF2EC2">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E653B">
        <w:rPr>
          <w:rFonts w:ascii="Palatino Linotype" w:eastAsia="Palatino Linotype" w:hAnsi="Palatino Linotype" w:cs="Palatino Linotype"/>
          <w:b/>
        </w:rPr>
        <w:lastRenderedPageBreak/>
        <w:t>III. R E S U E L V E:</w:t>
      </w:r>
    </w:p>
    <w:p w14:paraId="2DC04B0C" w14:textId="77777777" w:rsidR="00412355" w:rsidRPr="00BE653B" w:rsidRDefault="00DF2EC2">
      <w:pPr>
        <w:spacing w:before="240" w:after="240" w:line="360" w:lineRule="auto"/>
        <w:jc w:val="both"/>
        <w:rPr>
          <w:rFonts w:ascii="Palatino Linotype" w:eastAsia="Palatino Linotype" w:hAnsi="Palatino Linotype" w:cs="Palatino Linotype"/>
          <w:b/>
        </w:rPr>
      </w:pPr>
      <w:bookmarkStart w:id="9" w:name="_heading=h.3dy6vkm" w:colFirst="0" w:colLast="0"/>
      <w:bookmarkEnd w:id="9"/>
      <w:r w:rsidRPr="00BE653B">
        <w:rPr>
          <w:rFonts w:ascii="Palatino Linotype" w:eastAsia="Palatino Linotype" w:hAnsi="Palatino Linotype" w:cs="Palatino Linotype"/>
          <w:b/>
        </w:rPr>
        <w:t xml:space="preserve">Primero. </w:t>
      </w:r>
      <w:r w:rsidRPr="00BE653B">
        <w:rPr>
          <w:rFonts w:ascii="Palatino Linotype" w:eastAsia="Palatino Linotype" w:hAnsi="Palatino Linotype" w:cs="Palatino Linotype"/>
        </w:rPr>
        <w:t>Resultan</w:t>
      </w:r>
      <w:r w:rsidRPr="00BE653B">
        <w:rPr>
          <w:rFonts w:ascii="Palatino Linotype" w:eastAsia="Palatino Linotype" w:hAnsi="Palatino Linotype" w:cs="Palatino Linotype"/>
          <w:b/>
        </w:rPr>
        <w:t xml:space="preserve"> fundados</w:t>
      </w:r>
      <w:r w:rsidRPr="00BE653B">
        <w:rPr>
          <w:rFonts w:ascii="Palatino Linotype" w:eastAsia="Palatino Linotype" w:hAnsi="Palatino Linotype" w:cs="Palatino Linotype"/>
        </w:rPr>
        <w:t xml:space="preserve"> los motivos de inconformidad hechos valer por la parte </w:t>
      </w:r>
      <w:r w:rsidRPr="00BE653B">
        <w:rPr>
          <w:rFonts w:ascii="Palatino Linotype" w:eastAsia="Palatino Linotype" w:hAnsi="Palatino Linotype" w:cs="Palatino Linotype"/>
          <w:b/>
        </w:rPr>
        <w:t xml:space="preserve">Recurrente </w:t>
      </w:r>
      <w:r w:rsidRPr="00BE653B">
        <w:rPr>
          <w:rFonts w:ascii="Palatino Linotype" w:eastAsia="Palatino Linotype" w:hAnsi="Palatino Linotype" w:cs="Palatino Linotype"/>
        </w:rPr>
        <w:t xml:space="preserve">en el recurso de revisión </w:t>
      </w:r>
      <w:r w:rsidRPr="00BE653B">
        <w:rPr>
          <w:rFonts w:ascii="Palatino Linotype" w:eastAsia="Palatino Linotype" w:hAnsi="Palatino Linotype" w:cs="Palatino Linotype"/>
          <w:b/>
        </w:rPr>
        <w:t xml:space="preserve">07669/INFOEM/IP/RR/2022, </w:t>
      </w:r>
      <w:r w:rsidRPr="00BE653B">
        <w:rPr>
          <w:rFonts w:ascii="Palatino Linotype" w:eastAsia="Palatino Linotype" w:hAnsi="Palatino Linotype" w:cs="Palatino Linotype"/>
        </w:rPr>
        <w:t xml:space="preserve">por lo que, en términos del Considerando </w:t>
      </w:r>
      <w:r w:rsidRPr="00BE653B">
        <w:rPr>
          <w:rFonts w:ascii="Palatino Linotype" w:eastAsia="Palatino Linotype" w:hAnsi="Palatino Linotype" w:cs="Palatino Linotype"/>
          <w:b/>
        </w:rPr>
        <w:t>Cuarto</w:t>
      </w:r>
      <w:r w:rsidRPr="00BE653B">
        <w:rPr>
          <w:rFonts w:ascii="Palatino Linotype" w:eastAsia="Palatino Linotype" w:hAnsi="Palatino Linotype" w:cs="Palatino Linotype"/>
        </w:rPr>
        <w:t xml:space="preserve"> de la presente resolución, se</w:t>
      </w:r>
      <w:r w:rsidRPr="00BE653B">
        <w:rPr>
          <w:rFonts w:ascii="Palatino Linotype" w:eastAsia="Palatino Linotype" w:hAnsi="Palatino Linotype" w:cs="Palatino Linotype"/>
          <w:b/>
        </w:rPr>
        <w:t xml:space="preserve"> Revoca </w:t>
      </w:r>
      <w:r w:rsidRPr="00BE653B">
        <w:rPr>
          <w:rFonts w:ascii="Palatino Linotype" w:eastAsia="Palatino Linotype" w:hAnsi="Palatino Linotype" w:cs="Palatino Linotype"/>
        </w:rPr>
        <w:t>la respuesta</w:t>
      </w:r>
      <w:r w:rsidRPr="00BE653B">
        <w:rPr>
          <w:rFonts w:ascii="Palatino Linotype" w:eastAsia="Palatino Linotype" w:hAnsi="Palatino Linotype" w:cs="Palatino Linotype"/>
          <w:b/>
        </w:rPr>
        <w:t xml:space="preserve"> </w:t>
      </w:r>
      <w:r w:rsidRPr="00BE653B">
        <w:rPr>
          <w:rFonts w:ascii="Palatino Linotype" w:eastAsia="Palatino Linotype" w:hAnsi="Palatino Linotype" w:cs="Palatino Linotype"/>
        </w:rPr>
        <w:t xml:space="preserve">del </w:t>
      </w:r>
      <w:r w:rsidRPr="00BE653B">
        <w:rPr>
          <w:rFonts w:ascii="Palatino Linotype" w:eastAsia="Palatino Linotype" w:hAnsi="Palatino Linotype" w:cs="Palatino Linotype"/>
          <w:b/>
        </w:rPr>
        <w:t>Sujeto Obligado.</w:t>
      </w:r>
    </w:p>
    <w:p w14:paraId="450BD71D"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b/>
        </w:rPr>
        <w:t xml:space="preserve">Segundo. </w:t>
      </w:r>
      <w:r w:rsidRPr="00BE653B">
        <w:rPr>
          <w:rFonts w:ascii="Palatino Linotype" w:eastAsia="Palatino Linotype" w:hAnsi="Palatino Linotype" w:cs="Palatino Linotype"/>
        </w:rPr>
        <w:t xml:space="preserve">Se </w:t>
      </w:r>
      <w:r w:rsidRPr="00BE653B">
        <w:rPr>
          <w:rFonts w:ascii="Palatino Linotype" w:eastAsia="Palatino Linotype" w:hAnsi="Palatino Linotype" w:cs="Palatino Linotype"/>
          <w:b/>
        </w:rPr>
        <w:t>Ordena</w:t>
      </w:r>
      <w:r w:rsidRPr="00BE653B">
        <w:rPr>
          <w:rFonts w:ascii="Palatino Linotype" w:eastAsia="Palatino Linotype" w:hAnsi="Palatino Linotype" w:cs="Palatino Linotype"/>
        </w:rPr>
        <w:t xml:space="preserve"> al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en términos de los Considerandos </w:t>
      </w:r>
      <w:r w:rsidRPr="00BE653B">
        <w:rPr>
          <w:rFonts w:ascii="Palatino Linotype" w:eastAsia="Palatino Linotype" w:hAnsi="Palatino Linotype" w:cs="Palatino Linotype"/>
          <w:b/>
        </w:rPr>
        <w:t xml:space="preserve">Cuarto </w:t>
      </w:r>
      <w:r w:rsidRPr="00BE653B">
        <w:rPr>
          <w:rFonts w:ascii="Palatino Linotype" w:eastAsia="Palatino Linotype" w:hAnsi="Palatino Linotype" w:cs="Palatino Linotype"/>
        </w:rPr>
        <w:t xml:space="preserve">y </w:t>
      </w:r>
      <w:r w:rsidRPr="00BE653B">
        <w:rPr>
          <w:rFonts w:ascii="Palatino Linotype" w:eastAsia="Palatino Linotype" w:hAnsi="Palatino Linotype" w:cs="Palatino Linotype"/>
          <w:b/>
        </w:rPr>
        <w:t xml:space="preserve">Quinto </w:t>
      </w:r>
      <w:r w:rsidRPr="00BE653B">
        <w:rPr>
          <w:rFonts w:ascii="Palatino Linotype" w:eastAsia="Palatino Linotype" w:hAnsi="Palatino Linotype" w:cs="Palatino Linotype"/>
        </w:rPr>
        <w:t>de esta resolución, haga entrega, vía SAIMEX, en versión pública de ser necesario, del soporte documental en el que conste lo siguiente:</w:t>
      </w:r>
    </w:p>
    <w:p w14:paraId="72483F82"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1. Personal adscrito a la Defensoría Municipal de los Derechos Humanos, nombre, cargo y estudios, al dieciocho de abril de dos mil veintidós.</w:t>
      </w:r>
    </w:p>
    <w:p w14:paraId="58B96579"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2. Presupuesto de la Defensoría Municipal de los Derechos Humanos, para el ejercicio 2022.</w:t>
      </w:r>
    </w:p>
    <w:p w14:paraId="5B76A78D"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3. Monto de deuda del Ayuntamiento con la Comisión Federal de Electricidad, CFE, al dieciocho de abril de dos mil veintidós.</w:t>
      </w:r>
    </w:p>
    <w:p w14:paraId="7206A8D5"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Del uno de enero al dieciocho de abril de 2022:</w:t>
      </w:r>
    </w:p>
    <w:p w14:paraId="0487E0B4"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4. Facturas de los gastos de la presidencia municipal.</w:t>
      </w:r>
    </w:p>
    <w:p w14:paraId="6BC40D77"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5. De los pagos realizados para publicidad gubernamental, inserciones pagadas u otros relativos a medios de comunicación:</w:t>
      </w:r>
    </w:p>
    <w:p w14:paraId="5B457149" w14:textId="77777777" w:rsidR="00412355" w:rsidRPr="00BE653B" w:rsidRDefault="00DF2EC2">
      <w:pPr>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5.1 Lista de las personas o empresas que los recibieron. </w:t>
      </w:r>
    </w:p>
    <w:p w14:paraId="1217DC75" w14:textId="77777777" w:rsidR="00412355" w:rsidRPr="00BE653B" w:rsidRDefault="00DF2EC2">
      <w:pPr>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5.2 Fecha de contrato en caso de existir, de cada uno.</w:t>
      </w:r>
    </w:p>
    <w:p w14:paraId="38712D4D" w14:textId="77777777" w:rsidR="00412355" w:rsidRPr="00BE653B" w:rsidRDefault="00DF2EC2">
      <w:pPr>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lastRenderedPageBreak/>
        <w:t>5.3 Motivo.</w:t>
      </w:r>
    </w:p>
    <w:p w14:paraId="68E3B0AC" w14:textId="77777777" w:rsidR="00412355" w:rsidRPr="00BE653B" w:rsidRDefault="00DF2EC2">
      <w:pPr>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5.4 Monto.</w:t>
      </w:r>
    </w:p>
    <w:p w14:paraId="01FD9E30" w14:textId="77777777" w:rsidR="00412355" w:rsidRPr="00BE653B" w:rsidRDefault="00DF2EC2">
      <w:pPr>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5.5 Fecha de pago.</w:t>
      </w:r>
    </w:p>
    <w:p w14:paraId="79AA59E5" w14:textId="77777777" w:rsidR="00412355" w:rsidRPr="00BE653B" w:rsidRDefault="00DF2EC2">
      <w:pPr>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5.6 Modalidad.</w:t>
      </w:r>
    </w:p>
    <w:p w14:paraId="1747AAD2"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6. Expedientes de Adjudicación directa e invitación de cuando menos tres personas y el acta constitutiva de las empresas. </w:t>
      </w:r>
    </w:p>
    <w:p w14:paraId="3370F1D0" w14:textId="77777777" w:rsidR="00412355" w:rsidRPr="00BE653B" w:rsidRDefault="00DF2EC2">
      <w:pPr>
        <w:spacing w:before="240" w:after="240" w:line="360" w:lineRule="auto"/>
        <w:ind w:left="284" w:right="51"/>
        <w:jc w:val="both"/>
        <w:rPr>
          <w:rFonts w:ascii="Palatino Linotype" w:eastAsia="Palatino Linotype" w:hAnsi="Palatino Linotype" w:cs="Palatino Linotype"/>
        </w:rPr>
      </w:pPr>
      <w:r w:rsidRPr="00BE653B">
        <w:rPr>
          <w:rFonts w:ascii="Palatino Linotype" w:eastAsia="Palatino Linotype" w:hAnsi="Palatino Linotype" w:cs="Palatino Linotype"/>
        </w:rPr>
        <w:t>7. De la telefonía local y móvil que utiliza el Ayuntamiento:</w:t>
      </w:r>
    </w:p>
    <w:p w14:paraId="0EF982E5" w14:textId="77777777" w:rsidR="00412355" w:rsidRPr="00BE653B" w:rsidRDefault="00DF2EC2">
      <w:pPr>
        <w:tabs>
          <w:tab w:val="left" w:pos="851"/>
          <w:tab w:val="left" w:pos="993"/>
        </w:tabs>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7.1 Costo mensual.</w:t>
      </w:r>
    </w:p>
    <w:p w14:paraId="151F45DD" w14:textId="77777777" w:rsidR="00412355" w:rsidRPr="00BE653B" w:rsidRDefault="00DF2EC2">
      <w:pPr>
        <w:tabs>
          <w:tab w:val="left" w:pos="851"/>
          <w:tab w:val="left" w:pos="993"/>
        </w:tabs>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7.2 Servicio de conmutador. </w:t>
      </w:r>
    </w:p>
    <w:p w14:paraId="6BC7EB60" w14:textId="77777777" w:rsidR="00412355" w:rsidRPr="00BE653B" w:rsidRDefault="00DF2EC2">
      <w:pPr>
        <w:tabs>
          <w:tab w:val="left" w:pos="851"/>
          <w:tab w:val="left" w:pos="993"/>
        </w:tabs>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7.3 Líneas telefónicas.</w:t>
      </w:r>
    </w:p>
    <w:p w14:paraId="6F9DB5A3" w14:textId="222DCE82" w:rsidR="00412355" w:rsidRPr="00BE653B" w:rsidRDefault="00DF2EC2">
      <w:pPr>
        <w:tabs>
          <w:tab w:val="left" w:pos="851"/>
          <w:tab w:val="left" w:pos="993"/>
        </w:tabs>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7.4 </w:t>
      </w:r>
      <w:r w:rsidR="00AE4415" w:rsidRPr="00BE653B">
        <w:rPr>
          <w:rFonts w:ascii="Palatino Linotype" w:eastAsia="Palatino Linotype" w:hAnsi="Palatino Linotype" w:cs="Palatino Linotype"/>
        </w:rPr>
        <w:t>A</w:t>
      </w:r>
      <w:r w:rsidRPr="00BE653B">
        <w:rPr>
          <w:rFonts w:ascii="Palatino Linotype" w:eastAsia="Palatino Linotype" w:hAnsi="Palatino Linotype" w:cs="Palatino Linotype"/>
        </w:rPr>
        <w:t xml:space="preserve">paratos celulares y marca </w:t>
      </w:r>
      <w:r w:rsidR="00AE4415" w:rsidRPr="00BE653B">
        <w:rPr>
          <w:rFonts w:ascii="Palatino Linotype" w:eastAsia="Palatino Linotype" w:hAnsi="Palatino Linotype" w:cs="Palatino Linotype"/>
        </w:rPr>
        <w:t>de los mismos</w:t>
      </w:r>
    </w:p>
    <w:p w14:paraId="104E207C" w14:textId="77777777" w:rsidR="00412355" w:rsidRPr="00BE653B" w:rsidRDefault="00DF2EC2">
      <w:pPr>
        <w:tabs>
          <w:tab w:val="left" w:pos="851"/>
          <w:tab w:val="left" w:pos="993"/>
        </w:tabs>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7.5 Nombre de la compañía.</w:t>
      </w:r>
    </w:p>
    <w:p w14:paraId="2040E8AD" w14:textId="77777777" w:rsidR="00412355" w:rsidRPr="00BE653B" w:rsidRDefault="00DF2EC2">
      <w:pPr>
        <w:tabs>
          <w:tab w:val="left" w:pos="851"/>
          <w:tab w:val="left" w:pos="993"/>
        </w:tabs>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7.6 Nombre del representante legal.</w:t>
      </w:r>
    </w:p>
    <w:p w14:paraId="752AEE17" w14:textId="77777777" w:rsidR="00412355" w:rsidRPr="00BE653B" w:rsidRDefault="00DF2EC2">
      <w:pPr>
        <w:tabs>
          <w:tab w:val="left" w:pos="851"/>
          <w:tab w:val="left" w:pos="993"/>
        </w:tabs>
        <w:spacing w:before="120" w:after="120"/>
        <w:ind w:left="567" w:right="51"/>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7.7  </w:t>
      </w:r>
      <w:r w:rsidRPr="00BE653B">
        <w:rPr>
          <w:rFonts w:ascii="Palatino Linotype" w:eastAsia="Palatino Linotype" w:hAnsi="Palatino Linotype" w:cs="Palatino Linotype"/>
        </w:rPr>
        <w:tab/>
        <w:t>Monto de los servicios pagados por el concepto de telefonía.</w:t>
      </w:r>
    </w:p>
    <w:p w14:paraId="0AFCDFDF" w14:textId="77777777" w:rsidR="00412355" w:rsidRPr="00BE653B" w:rsidRDefault="00DF2EC2">
      <w:pPr>
        <w:numPr>
          <w:ilvl w:val="0"/>
          <w:numId w:val="1"/>
        </w:numPr>
        <w:pBdr>
          <w:top w:val="nil"/>
          <w:left w:val="nil"/>
          <w:bottom w:val="nil"/>
          <w:right w:val="nil"/>
          <w:between w:val="nil"/>
        </w:pBdr>
        <w:tabs>
          <w:tab w:val="left" w:pos="709"/>
        </w:tabs>
        <w:spacing w:line="360" w:lineRule="auto"/>
        <w:ind w:left="284" w:right="49" w:firstLine="0"/>
        <w:jc w:val="both"/>
        <w:rPr>
          <w:rFonts w:ascii="Palatino Linotype" w:eastAsia="Palatino Linotype" w:hAnsi="Palatino Linotype" w:cs="Palatino Linotype"/>
        </w:rPr>
      </w:pPr>
      <w:bookmarkStart w:id="10" w:name="_heading=h.3rdcrjn" w:colFirst="0" w:colLast="0"/>
      <w:bookmarkEnd w:id="10"/>
      <w:r w:rsidRPr="00BE653B">
        <w:rPr>
          <w:rFonts w:ascii="Palatino Linotype" w:eastAsia="Palatino Linotype" w:hAnsi="Palatino Linotype" w:cs="Palatino Linotype"/>
        </w:rPr>
        <w:t xml:space="preserve">Documento donde conste la existencia y nombre del sistema de auditoría, seguimiento y control financiero que realiza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w:t>
      </w:r>
    </w:p>
    <w:p w14:paraId="222516B3" w14:textId="77777777" w:rsidR="00412355" w:rsidRPr="00BE653B" w:rsidRDefault="00DF2EC2">
      <w:pPr>
        <w:spacing w:before="240" w:after="240"/>
        <w:ind w:left="284" w:right="51"/>
        <w:jc w:val="both"/>
        <w:rPr>
          <w:rFonts w:ascii="Palatino Linotype" w:eastAsia="Palatino Linotype" w:hAnsi="Palatino Linotype" w:cs="Palatino Linotype"/>
          <w:i/>
          <w:sz w:val="20"/>
          <w:szCs w:val="20"/>
        </w:rPr>
      </w:pPr>
      <w:r w:rsidRPr="00BE653B">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BE653B">
        <w:rPr>
          <w:rFonts w:ascii="Palatino Linotype" w:eastAsia="Palatino Linotype" w:hAnsi="Palatino Linotype" w:cs="Palatino Linotype"/>
          <w:b/>
          <w:i/>
          <w:sz w:val="20"/>
          <w:szCs w:val="20"/>
        </w:rPr>
        <w:t>Recurrente</w:t>
      </w:r>
      <w:r w:rsidRPr="00BE653B">
        <w:rPr>
          <w:rFonts w:ascii="Palatino Linotype" w:eastAsia="Palatino Linotype" w:hAnsi="Palatino Linotype" w:cs="Palatino Linotype"/>
          <w:i/>
          <w:sz w:val="20"/>
          <w:szCs w:val="20"/>
        </w:rPr>
        <w:t>.</w:t>
      </w:r>
    </w:p>
    <w:p w14:paraId="03E49CB5" w14:textId="77777777" w:rsidR="00412355" w:rsidRPr="00BE653B" w:rsidRDefault="00DF2EC2">
      <w:pPr>
        <w:ind w:left="284"/>
        <w:jc w:val="both"/>
        <w:rPr>
          <w:rFonts w:ascii="Palatino Linotype" w:eastAsia="Palatino Linotype" w:hAnsi="Palatino Linotype" w:cs="Palatino Linotype"/>
          <w:i/>
          <w:sz w:val="20"/>
          <w:szCs w:val="20"/>
        </w:rPr>
      </w:pPr>
      <w:r w:rsidRPr="00BE653B">
        <w:rPr>
          <w:rFonts w:ascii="Palatino Linotype" w:eastAsia="Palatino Linotype" w:hAnsi="Palatino Linotype" w:cs="Palatino Linotype"/>
          <w:i/>
          <w:sz w:val="20"/>
          <w:szCs w:val="20"/>
        </w:rPr>
        <w:t xml:space="preserve">En el supuesto que la información ordenada en los puntos 4, 5, 6, 7 y 8 no obre en los archivos del </w:t>
      </w:r>
      <w:r w:rsidRPr="00BE653B">
        <w:rPr>
          <w:rFonts w:ascii="Palatino Linotype" w:eastAsia="Palatino Linotype" w:hAnsi="Palatino Linotype" w:cs="Palatino Linotype"/>
          <w:b/>
          <w:i/>
          <w:sz w:val="20"/>
          <w:szCs w:val="20"/>
        </w:rPr>
        <w:t xml:space="preserve">Sujeto Obligado </w:t>
      </w:r>
      <w:r w:rsidRPr="00BE653B">
        <w:rPr>
          <w:rFonts w:ascii="Palatino Linotype" w:eastAsia="Palatino Linotype" w:hAnsi="Palatino Linotype" w:cs="Palatino Linotype"/>
          <w:i/>
          <w:sz w:val="20"/>
          <w:szCs w:val="20"/>
        </w:rPr>
        <w:t xml:space="preserve">por no haberse generado, bastará con que así lo haga del conocimiento de la parte </w:t>
      </w:r>
      <w:r w:rsidRPr="00BE653B">
        <w:rPr>
          <w:rFonts w:ascii="Palatino Linotype" w:eastAsia="Palatino Linotype" w:hAnsi="Palatino Linotype" w:cs="Palatino Linotype"/>
          <w:b/>
          <w:i/>
          <w:sz w:val="20"/>
          <w:szCs w:val="20"/>
        </w:rPr>
        <w:t>Recurrente</w:t>
      </w:r>
      <w:r w:rsidRPr="00BE653B">
        <w:rPr>
          <w:rFonts w:ascii="Palatino Linotype" w:eastAsia="Palatino Linotype" w:hAnsi="Palatino Linotype" w:cs="Palatino Linotype"/>
          <w:i/>
          <w:sz w:val="20"/>
          <w:szCs w:val="20"/>
        </w:rPr>
        <w:t>, de manera clara y precisa en términos del artículo 19, fracción segunda de la Ley de Transparencia y Acceso a la Información Pública del Estado de México y Municipios, para tener por colmado el requerimiento de información.</w:t>
      </w:r>
    </w:p>
    <w:p w14:paraId="745C90C3" w14:textId="77777777" w:rsidR="00412355" w:rsidRPr="00BE653B" w:rsidRDefault="00412355">
      <w:pPr>
        <w:ind w:left="284"/>
        <w:jc w:val="both"/>
        <w:rPr>
          <w:rFonts w:ascii="Palatino Linotype" w:eastAsia="Palatino Linotype" w:hAnsi="Palatino Linotype" w:cs="Palatino Linotype"/>
          <w:i/>
          <w:sz w:val="20"/>
          <w:szCs w:val="20"/>
        </w:rPr>
      </w:pPr>
    </w:p>
    <w:p w14:paraId="1E2A6DD8" w14:textId="77777777" w:rsidR="00412355" w:rsidRPr="00BE653B" w:rsidRDefault="00DF2EC2">
      <w:pPr>
        <w:spacing w:line="360" w:lineRule="auto"/>
        <w:jc w:val="both"/>
        <w:rPr>
          <w:rFonts w:ascii="Palatino Linotype" w:eastAsia="Palatino Linotype" w:hAnsi="Palatino Linotype" w:cs="Palatino Linotype"/>
          <w:b/>
        </w:rPr>
      </w:pPr>
      <w:r w:rsidRPr="00BE653B">
        <w:rPr>
          <w:rFonts w:ascii="Palatino Linotype" w:eastAsia="Palatino Linotype" w:hAnsi="Palatino Linotype" w:cs="Palatino Linotype"/>
          <w:b/>
        </w:rPr>
        <w:t xml:space="preserve">Tercero. Notifíquese, </w:t>
      </w:r>
      <w:r w:rsidRPr="00BE653B">
        <w:rPr>
          <w:rFonts w:ascii="Palatino Linotype" w:eastAsia="Palatino Linotype" w:hAnsi="Palatino Linotype" w:cs="Palatino Linotype"/>
        </w:rPr>
        <w:t>vía</w:t>
      </w:r>
      <w:r w:rsidRPr="00BE653B">
        <w:rPr>
          <w:rFonts w:ascii="Palatino Linotype" w:eastAsia="Palatino Linotype" w:hAnsi="Palatino Linotype" w:cs="Palatino Linotype"/>
          <w:b/>
        </w:rPr>
        <w:t xml:space="preserve"> SAIMEX, </w:t>
      </w:r>
      <w:r w:rsidRPr="00BE653B">
        <w:rPr>
          <w:rFonts w:ascii="Palatino Linotype" w:eastAsia="Palatino Linotype" w:hAnsi="Palatino Linotype" w:cs="Palatino Linotype"/>
        </w:rPr>
        <w:t xml:space="preserve">al Responsable de la Unidad de Transparencia del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la presente resolución, para que conforme a los artículo 186, </w:t>
      </w:r>
      <w:r w:rsidRPr="00BE653B">
        <w:rPr>
          <w:rFonts w:ascii="Palatino Linotype" w:eastAsia="Palatino Linotype" w:hAnsi="Palatino Linotype" w:cs="Palatino Linotype"/>
        </w:rPr>
        <w:lastRenderedPageBreak/>
        <w:t>últ</w:t>
      </w:r>
      <w:bookmarkStart w:id="11" w:name="_GoBack"/>
      <w:bookmarkEnd w:id="11"/>
      <w:r w:rsidRPr="00BE653B">
        <w:rPr>
          <w:rFonts w:ascii="Palatino Linotype" w:eastAsia="Palatino Linotype" w:hAnsi="Palatino Linotype" w:cs="Palatino Linotype"/>
        </w:rPr>
        <w: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BE653B">
        <w:rPr>
          <w:rFonts w:ascii="Palatino Linotype" w:eastAsia="Palatino Linotype" w:hAnsi="Palatino Linotype" w:cs="Palatino Linotype"/>
          <w:b/>
        </w:rPr>
        <w:t>.</w:t>
      </w:r>
    </w:p>
    <w:p w14:paraId="5CC4CB9D" w14:textId="77777777" w:rsidR="00412355" w:rsidRPr="00BE653B" w:rsidRDefault="00DF2EC2">
      <w:pPr>
        <w:spacing w:before="240" w:after="240"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E653B">
        <w:rPr>
          <w:rFonts w:ascii="Palatino Linotype" w:eastAsia="Palatino Linotype" w:hAnsi="Palatino Linotype" w:cs="Palatino Linotype"/>
          <w:b/>
        </w:rPr>
        <w:t>Sujeto Obligado</w:t>
      </w:r>
      <w:r w:rsidRPr="00BE653B">
        <w:rPr>
          <w:rFonts w:ascii="Palatino Linotype" w:eastAsia="Palatino Linotype" w:hAnsi="Palatino Linotype" w:cs="Palatino Linotype"/>
        </w:rPr>
        <w:t xml:space="preserve"> de manera fundada y motivada, podrá solicitar una ampliación de plazo para el cumplimiento de la presente resolución.</w:t>
      </w:r>
    </w:p>
    <w:p w14:paraId="04C41F34" w14:textId="77777777" w:rsidR="00412355" w:rsidRPr="00BE653B" w:rsidRDefault="00DF2EC2">
      <w:pPr>
        <w:spacing w:before="240" w:after="240" w:line="360" w:lineRule="auto"/>
        <w:jc w:val="both"/>
        <w:rPr>
          <w:rFonts w:ascii="Palatino Linotype" w:eastAsia="Palatino Linotype" w:hAnsi="Palatino Linotype" w:cs="Palatino Linotype"/>
        </w:rPr>
      </w:pPr>
      <w:bookmarkStart w:id="12" w:name="_heading=h.4d34og8" w:colFirst="0" w:colLast="0"/>
      <w:bookmarkEnd w:id="12"/>
      <w:r w:rsidRPr="00BE653B">
        <w:rPr>
          <w:rFonts w:ascii="Palatino Linotype" w:eastAsia="Palatino Linotype" w:hAnsi="Palatino Linotype" w:cs="Palatino Linotype"/>
          <w:b/>
        </w:rPr>
        <w:t xml:space="preserve">Cuarto.  Notifíquese, </w:t>
      </w:r>
      <w:r w:rsidRPr="00BE653B">
        <w:rPr>
          <w:rFonts w:ascii="Palatino Linotype" w:eastAsia="Palatino Linotype" w:hAnsi="Palatino Linotype" w:cs="Palatino Linotype"/>
        </w:rPr>
        <w:t xml:space="preserve">vía </w:t>
      </w:r>
      <w:r w:rsidRPr="00BE653B">
        <w:rPr>
          <w:rFonts w:ascii="Palatino Linotype" w:eastAsia="Palatino Linotype" w:hAnsi="Palatino Linotype" w:cs="Palatino Linotype"/>
          <w:b/>
        </w:rPr>
        <w:t>SAIMEX</w:t>
      </w:r>
      <w:r w:rsidRPr="00BE653B">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2EDC735" w14:textId="2F77145F" w:rsidR="00412355" w:rsidRPr="00BE653B" w:rsidRDefault="00DF2EC2">
      <w:pPr>
        <w:spacing w:line="360" w:lineRule="auto"/>
        <w:jc w:val="both"/>
        <w:rPr>
          <w:rFonts w:ascii="Palatino Linotype" w:eastAsia="Palatino Linotype" w:hAnsi="Palatino Linotype" w:cs="Palatino Linotype"/>
        </w:rPr>
      </w:pPr>
      <w:r w:rsidRPr="00BE653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BE653B" w:rsidRPr="00BE653B">
        <w:rPr>
          <w:rFonts w:ascii="Palatino Linotype" w:eastAsia="Palatino Linotype" w:hAnsi="Palatino Linotype" w:cs="Palatino Linotype"/>
        </w:rPr>
        <w:t xml:space="preserve"> EMITIENDO VOTO PARTICULAR</w:t>
      </w:r>
      <w:r w:rsidRPr="00BE653B">
        <w:rPr>
          <w:rFonts w:ascii="Palatino Linotype" w:eastAsia="Palatino Linotype" w:hAnsi="Palatino Linotype" w:cs="Palatino Linotype"/>
        </w:rPr>
        <w:t xml:space="preserve"> Y GUADALUPE RAMÍREZ PEÑA; EN LA TRIGÉSIMO OCTAVA SESIÓN ORDINARIA CELEBRADA EL DIECINUEVE DE OCTUBRE DE DOS MIL VEINTIDÓS, ANTE EL SECRETARIO TÉCNICO DEL PLENO ALEXIS TAPIA RAMÍREZ.</w:t>
      </w:r>
    </w:p>
    <w:p w14:paraId="27003ABC" w14:textId="77777777" w:rsidR="00412355" w:rsidRPr="00BE653B" w:rsidRDefault="00412355">
      <w:pPr>
        <w:spacing w:line="360" w:lineRule="auto"/>
        <w:jc w:val="both"/>
        <w:rPr>
          <w:rFonts w:ascii="Palatino Linotype" w:eastAsia="Palatino Linotype" w:hAnsi="Palatino Linotype" w:cs="Palatino Linotype"/>
        </w:rPr>
      </w:pPr>
    </w:p>
    <w:p w14:paraId="4EDA0926" w14:textId="77777777" w:rsidR="00412355" w:rsidRPr="00BE653B" w:rsidRDefault="00412355">
      <w:pPr>
        <w:spacing w:line="360" w:lineRule="auto"/>
        <w:jc w:val="both"/>
        <w:rPr>
          <w:rFonts w:ascii="Palatino Linotype" w:eastAsia="Palatino Linotype" w:hAnsi="Palatino Linotype" w:cs="Palatino Linotype"/>
        </w:rPr>
      </w:pPr>
    </w:p>
    <w:p w14:paraId="38014EA9" w14:textId="34D9F54B" w:rsidR="00412355" w:rsidRDefault="00412355" w:rsidP="00FD7FF1"/>
    <w:p w14:paraId="28A41A1C" w14:textId="77777777" w:rsidR="00FD7FF1" w:rsidRPr="00BE653B" w:rsidRDefault="00FD7FF1" w:rsidP="00FD7FF1">
      <w:pPr>
        <w:rPr>
          <w:rFonts w:ascii="Palatino Linotype" w:eastAsia="Palatino Linotype" w:hAnsi="Palatino Linotype" w:cs="Palatino Linotype"/>
        </w:rPr>
      </w:pPr>
    </w:p>
    <w:sectPr w:rsidR="00FD7FF1" w:rsidRPr="00BE653B">
      <w:headerReference w:type="default" r:id="rId32"/>
      <w:footerReference w:type="default" r:id="rId33"/>
      <w:headerReference w:type="first" r:id="rId34"/>
      <w:footerReference w:type="first" r:id="rId3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49BEC" w14:textId="77777777" w:rsidR="002342C0" w:rsidRDefault="002342C0">
      <w:r>
        <w:separator/>
      </w:r>
    </w:p>
  </w:endnote>
  <w:endnote w:type="continuationSeparator" w:id="0">
    <w:p w14:paraId="71EB1307" w14:textId="77777777" w:rsidR="002342C0" w:rsidRDefault="00234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2320B" w14:textId="77777777" w:rsidR="002342C0" w:rsidRDefault="002342C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B551F">
      <w:rPr>
        <w:rFonts w:ascii="Palatino Linotype" w:eastAsia="Palatino Linotype" w:hAnsi="Palatino Linotype" w:cs="Palatino Linotype"/>
        <w:b/>
        <w:noProof/>
        <w:color w:val="000000"/>
        <w:sz w:val="20"/>
        <w:szCs w:val="20"/>
      </w:rPr>
      <w:t>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B551F">
      <w:rPr>
        <w:rFonts w:ascii="Palatino Linotype" w:eastAsia="Palatino Linotype" w:hAnsi="Palatino Linotype" w:cs="Palatino Linotype"/>
        <w:b/>
        <w:noProof/>
        <w:color w:val="000000"/>
        <w:sz w:val="20"/>
        <w:szCs w:val="20"/>
      </w:rPr>
      <w:t>84</w:t>
    </w:r>
    <w:r>
      <w:rPr>
        <w:rFonts w:ascii="Palatino Linotype" w:eastAsia="Palatino Linotype" w:hAnsi="Palatino Linotype" w:cs="Palatino Linotype"/>
        <w:b/>
        <w:color w:val="000000"/>
        <w:sz w:val="20"/>
        <w:szCs w:val="20"/>
      </w:rPr>
      <w:fldChar w:fldCharType="end"/>
    </w:r>
  </w:p>
  <w:p w14:paraId="4CB69DC5" w14:textId="77777777" w:rsidR="002342C0" w:rsidRDefault="002342C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A7430" w14:textId="77777777" w:rsidR="002342C0" w:rsidRDefault="002342C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B551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B551F">
      <w:rPr>
        <w:rFonts w:ascii="Palatino Linotype" w:eastAsia="Palatino Linotype" w:hAnsi="Palatino Linotype" w:cs="Palatino Linotype"/>
        <w:b/>
        <w:noProof/>
        <w:color w:val="000000"/>
        <w:sz w:val="20"/>
        <w:szCs w:val="20"/>
      </w:rPr>
      <w:t>84</w:t>
    </w:r>
    <w:r>
      <w:rPr>
        <w:rFonts w:ascii="Palatino Linotype" w:eastAsia="Palatino Linotype" w:hAnsi="Palatino Linotype" w:cs="Palatino Linotype"/>
        <w:b/>
        <w:color w:val="000000"/>
        <w:sz w:val="20"/>
        <w:szCs w:val="20"/>
      </w:rPr>
      <w:fldChar w:fldCharType="end"/>
    </w:r>
  </w:p>
  <w:p w14:paraId="60C84B99" w14:textId="77777777" w:rsidR="002342C0" w:rsidRDefault="002342C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504D3" w14:textId="77777777" w:rsidR="002342C0" w:rsidRDefault="002342C0">
      <w:r>
        <w:separator/>
      </w:r>
    </w:p>
  </w:footnote>
  <w:footnote w:type="continuationSeparator" w:id="0">
    <w:p w14:paraId="2EAB79D9" w14:textId="77777777" w:rsidR="002342C0" w:rsidRDefault="002342C0">
      <w:r>
        <w:continuationSeparator/>
      </w:r>
    </w:p>
  </w:footnote>
  <w:footnote w:id="1">
    <w:p w14:paraId="6F392388" w14:textId="77777777" w:rsidR="002342C0" w:rsidRDefault="002342C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7E14FA8F" w14:textId="77777777" w:rsidR="002342C0" w:rsidRDefault="002342C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05DD3E5B" w14:textId="77777777" w:rsidR="002342C0" w:rsidRDefault="002342C0">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13ADED06" w14:textId="77777777" w:rsidR="002342C0" w:rsidRDefault="002342C0">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126AA8FE" w14:textId="77777777" w:rsidR="002342C0" w:rsidRDefault="002342C0">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3">
    <w:p w14:paraId="20E1D963" w14:textId="77777777" w:rsidR="002342C0" w:rsidRDefault="002342C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4">
    <w:p w14:paraId="135D7EE3" w14:textId="77777777" w:rsidR="002342C0" w:rsidRDefault="002342C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04D98EBA" w14:textId="77777777" w:rsidR="002342C0" w:rsidRDefault="002342C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29453B41" w14:textId="77777777" w:rsidR="002342C0" w:rsidRDefault="002342C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5">
    <w:p w14:paraId="5FFF039A" w14:textId="77777777" w:rsidR="002342C0" w:rsidRDefault="002342C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6">
    <w:p w14:paraId="553A26BA" w14:textId="77777777" w:rsidR="002342C0" w:rsidRDefault="002342C0">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https://www.codhem.org.mx/</w:t>
      </w:r>
    </w:p>
  </w:footnote>
  <w:footnote w:id="7">
    <w:p w14:paraId="32EC8A1C" w14:textId="77777777" w:rsidR="002342C0" w:rsidRDefault="002342C0">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https://legislacion.edomex.gob.mx/sites/legislacion.edomex.gob.mx/files/files/pdf/gct/2022/marzo/mar071/mar071a.pdf</w:t>
      </w:r>
    </w:p>
  </w:footnote>
  <w:footnote w:id="8">
    <w:p w14:paraId="377B1429" w14:textId="77777777" w:rsidR="002342C0" w:rsidRDefault="002342C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07C14762" w14:textId="77777777" w:rsidR="002342C0" w:rsidRDefault="002342C0">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D18B0" w14:textId="77777777" w:rsidR="002342C0" w:rsidRDefault="002342C0">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9390CB5" wp14:editId="2CA95A04">
          <wp:simplePos x="0" y="0"/>
          <wp:positionH relativeFrom="column">
            <wp:posOffset>-1080133</wp:posOffset>
          </wp:positionH>
          <wp:positionV relativeFrom="paragraph">
            <wp:posOffset>-488313</wp:posOffset>
          </wp:positionV>
          <wp:extent cx="7809865" cy="10165715"/>
          <wp:effectExtent l="0" t="0" r="0" b="0"/>
          <wp:wrapNone/>
          <wp:docPr id="9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2342C0" w14:paraId="0EAEA0EE" w14:textId="77777777">
      <w:tc>
        <w:tcPr>
          <w:tcW w:w="2489" w:type="dxa"/>
          <w:shd w:val="clear" w:color="auto" w:fill="auto"/>
        </w:tcPr>
        <w:p w14:paraId="2A18E9B0" w14:textId="77777777" w:rsidR="002342C0" w:rsidRDefault="002342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8C9BEEF" w14:textId="77777777" w:rsidR="002342C0" w:rsidRDefault="002342C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07669/INFOEM/IP/RR/2022</w:t>
          </w:r>
        </w:p>
      </w:tc>
    </w:tr>
    <w:tr w:rsidR="002342C0" w14:paraId="791FB456" w14:textId="77777777">
      <w:trPr>
        <w:trHeight w:val="228"/>
      </w:trPr>
      <w:tc>
        <w:tcPr>
          <w:tcW w:w="2489" w:type="dxa"/>
          <w:shd w:val="clear" w:color="auto" w:fill="auto"/>
          <w:vAlign w:val="center"/>
        </w:tcPr>
        <w:p w14:paraId="5C609696" w14:textId="77777777" w:rsidR="002342C0" w:rsidRDefault="002342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07DE751" w14:textId="77777777" w:rsidR="002342C0" w:rsidRDefault="002342C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2342C0" w14:paraId="5576545D" w14:textId="77777777">
      <w:tc>
        <w:tcPr>
          <w:tcW w:w="2489" w:type="dxa"/>
          <w:shd w:val="clear" w:color="auto" w:fill="auto"/>
          <w:vAlign w:val="center"/>
        </w:tcPr>
        <w:p w14:paraId="50564400" w14:textId="77777777" w:rsidR="002342C0" w:rsidRDefault="002342C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87B83A7" w14:textId="77777777" w:rsidR="002342C0" w:rsidRDefault="002342C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78F648E" w14:textId="77777777" w:rsidR="002342C0" w:rsidRDefault="002342C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44B7F" w14:textId="77777777" w:rsidR="002342C0" w:rsidRDefault="002342C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953" w:type="dxa"/>
      <w:tblInd w:w="3261" w:type="dxa"/>
      <w:tblLayout w:type="fixed"/>
      <w:tblLook w:val="0400" w:firstRow="0" w:lastRow="0" w:firstColumn="0" w:lastColumn="0" w:noHBand="0" w:noVBand="1"/>
    </w:tblPr>
    <w:tblGrid>
      <w:gridCol w:w="2551"/>
      <w:gridCol w:w="3402"/>
    </w:tblGrid>
    <w:tr w:rsidR="002342C0" w14:paraId="44572421" w14:textId="77777777">
      <w:tc>
        <w:tcPr>
          <w:tcW w:w="2551" w:type="dxa"/>
          <w:shd w:val="clear" w:color="auto" w:fill="auto"/>
          <w:vAlign w:val="center"/>
        </w:tcPr>
        <w:p w14:paraId="7AD14C22" w14:textId="77777777" w:rsidR="002342C0" w:rsidRDefault="002342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14:paraId="4A629E13" w14:textId="77777777" w:rsidR="002342C0" w:rsidRDefault="002342C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07669/INFOEM/IP/RR/2022</w:t>
          </w:r>
        </w:p>
      </w:tc>
    </w:tr>
    <w:tr w:rsidR="002342C0" w14:paraId="791EC621" w14:textId="77777777">
      <w:trPr>
        <w:trHeight w:val="130"/>
      </w:trPr>
      <w:tc>
        <w:tcPr>
          <w:tcW w:w="2551" w:type="dxa"/>
          <w:shd w:val="clear" w:color="auto" w:fill="auto"/>
          <w:vAlign w:val="center"/>
        </w:tcPr>
        <w:p w14:paraId="5E11EF09" w14:textId="77777777" w:rsidR="002342C0" w:rsidRDefault="002342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14:paraId="710C1F6F" w14:textId="329FB84F" w:rsidR="002342C0" w:rsidRDefault="002342C0" w:rsidP="002342C0">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XXXXXXXX XXXXXX</w:t>
          </w:r>
        </w:p>
      </w:tc>
    </w:tr>
    <w:tr w:rsidR="002342C0" w14:paraId="7379CA25" w14:textId="77777777">
      <w:trPr>
        <w:trHeight w:val="228"/>
      </w:trPr>
      <w:tc>
        <w:tcPr>
          <w:tcW w:w="2551" w:type="dxa"/>
          <w:shd w:val="clear" w:color="auto" w:fill="auto"/>
          <w:vAlign w:val="center"/>
        </w:tcPr>
        <w:p w14:paraId="2CA3D3E7" w14:textId="77777777" w:rsidR="002342C0" w:rsidRDefault="002342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14:paraId="24051EC2" w14:textId="77777777" w:rsidR="002342C0" w:rsidRDefault="002342C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2342C0" w14:paraId="012558F5" w14:textId="77777777">
      <w:tc>
        <w:tcPr>
          <w:tcW w:w="2551" w:type="dxa"/>
          <w:shd w:val="clear" w:color="auto" w:fill="auto"/>
          <w:vAlign w:val="center"/>
        </w:tcPr>
        <w:p w14:paraId="224CED32" w14:textId="77777777" w:rsidR="002342C0" w:rsidRDefault="002342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14:paraId="7C346576" w14:textId="77777777" w:rsidR="002342C0" w:rsidRDefault="002342C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0D25080" w14:textId="77777777" w:rsidR="002342C0" w:rsidRDefault="002342C0">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77EF1242" wp14:editId="299C60C5">
          <wp:simplePos x="0" y="0"/>
          <wp:positionH relativeFrom="column">
            <wp:posOffset>-1089658</wp:posOffset>
          </wp:positionH>
          <wp:positionV relativeFrom="paragraph">
            <wp:posOffset>-1169668</wp:posOffset>
          </wp:positionV>
          <wp:extent cx="7809865" cy="10165715"/>
          <wp:effectExtent l="0" t="0" r="0" b="0"/>
          <wp:wrapNone/>
          <wp:docPr id="1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8832C4"/>
    <w:multiLevelType w:val="multilevel"/>
    <w:tmpl w:val="6C4E87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E457CC1"/>
    <w:multiLevelType w:val="multilevel"/>
    <w:tmpl w:val="BD06469E"/>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6BF56CAE"/>
    <w:multiLevelType w:val="multilevel"/>
    <w:tmpl w:val="3AB235C8"/>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355"/>
    <w:rsid w:val="00096191"/>
    <w:rsid w:val="000E02DA"/>
    <w:rsid w:val="002318F0"/>
    <w:rsid w:val="002342C0"/>
    <w:rsid w:val="00313DDF"/>
    <w:rsid w:val="00412355"/>
    <w:rsid w:val="005C7C28"/>
    <w:rsid w:val="00773901"/>
    <w:rsid w:val="007A3482"/>
    <w:rsid w:val="007E45F7"/>
    <w:rsid w:val="008D3D3E"/>
    <w:rsid w:val="00AB551F"/>
    <w:rsid w:val="00AE4415"/>
    <w:rsid w:val="00B23F30"/>
    <w:rsid w:val="00BE653B"/>
    <w:rsid w:val="00DF2EC2"/>
    <w:rsid w:val="00F6045A"/>
    <w:rsid w:val="00FD7F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DD62F"/>
  <w15:docId w15:val="{E0D8E9C8-612C-41D9-BE72-8D063B758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METEPEC/art_92_xxv_a.web"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www.ipomex.org.mx/ipo3/lgt/indice/METEPEC/art_92_xxv_a.web" TargetMode="External"/><Relationship Id="rId19" Type="http://schemas.openxmlformats.org/officeDocument/2006/relationships/image" Target="media/image7.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16.png"/><Relationship Id="rId22" Type="http://schemas.openxmlformats.org/officeDocument/2006/relationships/image" Target="media/image10.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hyperlink" Target="https://www.ipomex.org.mx/ipo3/lgt/indice/METEPEC/art_92_xxv_a.web"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Aq+MORIsp5gTvaPlWp2BmEkrhA==">AMUW2mUismKJQj/xGrIn9ooMX5PRsmmb4HCAEbEGFc6xtxXLAUDSUa8mdu88nBwKvk4oL+be4etT3OyRx0ZXDg5CqUu/Erqo0r/FM+njrRQzHmQIlhfP5Kv/AeMUDNxOV8kDc0iQLKFDCRs0BTd976jYKxoDYyDLLzhcdfwYAI20Vy5P4IcKq3IIfw7NdOs6dwHU4JMa5LcejFd1WH/TwpcHrOl2KPjfUFJrNluUascPz+4g+/JUNPUuR8pToispGscdPvOBMqXj6+gs6eQftRif3UrrbFXh2QI6orAVBU8QuP+zkh/h8F3NIwnRZKIUh1w1AqOKmxB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20561</Words>
  <Characters>113089</Characters>
  <Application>Microsoft Office Word</Application>
  <DocSecurity>0</DocSecurity>
  <Lines>942</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2022-10-20T15:09:00Z</cp:lastPrinted>
  <dcterms:created xsi:type="dcterms:W3CDTF">2022-11-03T22:37:00Z</dcterms:created>
  <dcterms:modified xsi:type="dcterms:W3CDTF">2022-11-03T22:37:00Z</dcterms:modified>
</cp:coreProperties>
</file>