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FF0E3" w14:textId="77777777" w:rsidR="00435682" w:rsidRPr="00CA130F" w:rsidRDefault="00435682" w:rsidP="00435682">
      <w:pPr>
        <w:spacing w:before="100" w:beforeAutospacing="1" w:after="100" w:afterAutospacing="1" w:line="360" w:lineRule="auto"/>
        <w:jc w:val="both"/>
        <w:rPr>
          <w:rFonts w:ascii="Palatino Linotype" w:hAnsi="Palatino Linotype" w:cs="Arial"/>
          <w:color w:val="000000" w:themeColor="text1"/>
          <w:sz w:val="24"/>
          <w:szCs w:val="24"/>
        </w:rPr>
      </w:pPr>
      <w:r w:rsidRPr="00CA130F">
        <w:rPr>
          <w:rFonts w:ascii="Palatino Linotype" w:hAnsi="Palatino Linotype" w:cs="Arial"/>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de fecha </w:t>
      </w:r>
      <w:r w:rsidR="00134153" w:rsidRPr="00CA130F">
        <w:rPr>
          <w:rFonts w:ascii="Palatino Linotype" w:hAnsi="Palatino Linotype" w:cs="Arial"/>
          <w:color w:val="000000" w:themeColor="text1"/>
          <w:sz w:val="24"/>
          <w:szCs w:val="24"/>
        </w:rPr>
        <w:t>diez de febrero de dos mil veintidós</w:t>
      </w:r>
      <w:r w:rsidRPr="00CA130F">
        <w:rPr>
          <w:rFonts w:ascii="Palatino Linotype" w:hAnsi="Palatino Linotype" w:cs="Arial"/>
          <w:color w:val="000000" w:themeColor="text1"/>
          <w:sz w:val="24"/>
          <w:szCs w:val="24"/>
        </w:rPr>
        <w:t>.</w:t>
      </w:r>
    </w:p>
    <w:p w14:paraId="368904B7" w14:textId="5C0C8754" w:rsidR="00435682" w:rsidRPr="00CA130F" w:rsidRDefault="00435682" w:rsidP="00435682">
      <w:pPr>
        <w:spacing w:before="100" w:beforeAutospacing="1" w:after="100" w:afterAutospacing="1" w:line="360" w:lineRule="auto"/>
        <w:jc w:val="both"/>
        <w:rPr>
          <w:rFonts w:ascii="Palatino Linotype" w:hAnsi="Palatino Linotype" w:cs="Arial"/>
          <w:color w:val="000000" w:themeColor="text1"/>
          <w:sz w:val="24"/>
          <w:szCs w:val="24"/>
          <w:lang w:val="es-ES"/>
        </w:rPr>
      </w:pPr>
      <w:r w:rsidRPr="00CA130F">
        <w:rPr>
          <w:rFonts w:ascii="Palatino Linotype" w:hAnsi="Palatino Linotype" w:cs="Arial"/>
          <w:b/>
          <w:color w:val="000000" w:themeColor="text1"/>
          <w:sz w:val="24"/>
          <w:szCs w:val="24"/>
        </w:rPr>
        <w:t>VISTO</w:t>
      </w:r>
      <w:r w:rsidRPr="00CA130F">
        <w:rPr>
          <w:rFonts w:ascii="Palatino Linotype" w:hAnsi="Palatino Linotype" w:cs="Arial"/>
          <w:color w:val="000000" w:themeColor="text1"/>
          <w:sz w:val="24"/>
          <w:szCs w:val="24"/>
        </w:rPr>
        <w:t xml:space="preserve"> el expediente formado con motivo de la interposición del recurso de revisión </w:t>
      </w:r>
      <w:r w:rsidR="00134153" w:rsidRPr="00CA130F">
        <w:rPr>
          <w:rFonts w:ascii="Palatino Linotype" w:hAnsi="Palatino Linotype" w:cs="Arial"/>
          <w:b/>
          <w:color w:val="000000" w:themeColor="text1"/>
          <w:sz w:val="24"/>
          <w:szCs w:val="24"/>
        </w:rPr>
        <w:t>05922/INFOEM/ICR-5</w:t>
      </w:r>
      <w:r w:rsidRPr="00CA130F">
        <w:rPr>
          <w:rFonts w:ascii="Palatino Linotype" w:hAnsi="Palatino Linotype" w:cs="Arial"/>
          <w:b/>
          <w:color w:val="000000" w:themeColor="text1"/>
          <w:sz w:val="24"/>
          <w:szCs w:val="24"/>
        </w:rPr>
        <w:t>7/IP/RR/202</w:t>
      </w:r>
      <w:r w:rsidR="00134153" w:rsidRPr="00CA130F">
        <w:rPr>
          <w:rFonts w:ascii="Palatino Linotype" w:hAnsi="Palatino Linotype" w:cs="Arial"/>
          <w:b/>
          <w:color w:val="000000" w:themeColor="text1"/>
          <w:sz w:val="24"/>
          <w:szCs w:val="24"/>
        </w:rPr>
        <w:t>0</w:t>
      </w:r>
      <w:r w:rsidR="00134153" w:rsidRPr="00CA130F">
        <w:rPr>
          <w:rFonts w:ascii="Palatino Linotype" w:hAnsi="Palatino Linotype" w:cs="Arial"/>
          <w:color w:val="000000" w:themeColor="text1"/>
          <w:sz w:val="24"/>
          <w:szCs w:val="24"/>
        </w:rPr>
        <w:t xml:space="preserve">, y de </w:t>
      </w:r>
      <w:r w:rsidRPr="00CA130F">
        <w:rPr>
          <w:rFonts w:ascii="Palatino Linotype" w:hAnsi="Palatino Linotype" w:cs="Arial"/>
          <w:color w:val="000000" w:themeColor="text1"/>
          <w:sz w:val="24"/>
          <w:szCs w:val="24"/>
        </w:rPr>
        <w:t xml:space="preserve">conformidad con lo previsto en el último párrafo del artículo 179 de la Ley de Transparencia y Acceso a la Información Pública </w:t>
      </w:r>
      <w:bookmarkStart w:id="0" w:name="_GoBack"/>
      <w:bookmarkEnd w:id="0"/>
      <w:r w:rsidRPr="00CA130F">
        <w:rPr>
          <w:rFonts w:ascii="Palatino Linotype" w:hAnsi="Palatino Linotype" w:cs="Arial"/>
          <w:color w:val="000000" w:themeColor="text1"/>
          <w:sz w:val="24"/>
          <w:szCs w:val="24"/>
        </w:rPr>
        <w:t xml:space="preserve">del Estado de México y Municipios, </w:t>
      </w:r>
      <w:r w:rsidR="00134153" w:rsidRPr="00CA130F">
        <w:rPr>
          <w:rFonts w:ascii="Palatino Linotype" w:hAnsi="Palatino Linotype" w:cs="Arial"/>
          <w:color w:val="000000" w:themeColor="text1"/>
          <w:sz w:val="24"/>
          <w:szCs w:val="24"/>
        </w:rPr>
        <w:t xml:space="preserve">fue promovido </w:t>
      </w:r>
      <w:r w:rsidRPr="00CA130F">
        <w:rPr>
          <w:rFonts w:ascii="Palatino Linotype" w:hAnsi="Palatino Linotype"/>
          <w:color w:val="000000" w:themeColor="text1"/>
          <w:sz w:val="24"/>
          <w:szCs w:val="24"/>
        </w:rPr>
        <w:t xml:space="preserve">por un particular de manera anónima a quien </w:t>
      </w:r>
      <w:r w:rsidRPr="00CA130F">
        <w:rPr>
          <w:rFonts w:ascii="Palatino Linotype" w:hAnsi="Palatino Linotype" w:cs="Arial"/>
          <w:sz w:val="24"/>
          <w:szCs w:val="24"/>
        </w:rPr>
        <w:t xml:space="preserve">en lo sucesivo se le denominará </w:t>
      </w:r>
      <w:r w:rsidRPr="00CA130F">
        <w:rPr>
          <w:rFonts w:ascii="Palatino Linotype" w:hAnsi="Palatino Linotype" w:cs="Arial"/>
          <w:b/>
          <w:sz w:val="24"/>
          <w:szCs w:val="24"/>
        </w:rPr>
        <w:t>EL RECURRENTE</w:t>
      </w:r>
      <w:r w:rsidRPr="00CA130F">
        <w:rPr>
          <w:rFonts w:ascii="Palatino Linotype" w:hAnsi="Palatino Linotype"/>
          <w:sz w:val="24"/>
          <w:szCs w:val="24"/>
        </w:rPr>
        <w:t xml:space="preserve">, en contra de la falta de trámite y de respuesta por parte del </w:t>
      </w:r>
      <w:r w:rsidRPr="00CA130F">
        <w:rPr>
          <w:rFonts w:ascii="Palatino Linotype" w:hAnsi="Palatino Linotype"/>
          <w:b/>
          <w:sz w:val="24"/>
          <w:szCs w:val="24"/>
        </w:rPr>
        <w:t>Ayuntamiento de Te</w:t>
      </w:r>
      <w:r w:rsidR="00134153" w:rsidRPr="00CA130F">
        <w:rPr>
          <w:rFonts w:ascii="Palatino Linotype" w:hAnsi="Palatino Linotype"/>
          <w:b/>
          <w:sz w:val="24"/>
          <w:szCs w:val="24"/>
        </w:rPr>
        <w:t>zoyuca</w:t>
      </w:r>
      <w:r w:rsidRPr="00CA130F">
        <w:rPr>
          <w:rFonts w:ascii="Palatino Linotype" w:hAnsi="Palatino Linotype"/>
          <w:b/>
          <w:sz w:val="24"/>
          <w:szCs w:val="24"/>
        </w:rPr>
        <w:t>,</w:t>
      </w:r>
      <w:r w:rsidRPr="00CA130F">
        <w:rPr>
          <w:rFonts w:ascii="Palatino Linotype" w:hAnsi="Palatino Linotype"/>
          <w:sz w:val="24"/>
          <w:szCs w:val="24"/>
        </w:rPr>
        <w:t xml:space="preserve"> </w:t>
      </w:r>
      <w:r w:rsidR="00C9116F" w:rsidRPr="00CA130F">
        <w:rPr>
          <w:rFonts w:ascii="Palatino Linotype" w:hAnsi="Palatino Linotype"/>
          <w:sz w:val="24"/>
          <w:szCs w:val="24"/>
        </w:rPr>
        <w:t xml:space="preserve">que </w:t>
      </w:r>
      <w:r w:rsidRPr="00CA130F">
        <w:rPr>
          <w:rFonts w:ascii="Palatino Linotype" w:hAnsi="Palatino Linotype"/>
          <w:sz w:val="24"/>
          <w:szCs w:val="24"/>
        </w:rPr>
        <w:t xml:space="preserve">en lo subsecuente se le </w:t>
      </w:r>
      <w:r w:rsidR="00134153" w:rsidRPr="00CA130F">
        <w:rPr>
          <w:rFonts w:ascii="Palatino Linotype" w:hAnsi="Palatino Linotype"/>
          <w:sz w:val="24"/>
          <w:szCs w:val="24"/>
        </w:rPr>
        <w:t>denominará</w:t>
      </w:r>
      <w:r w:rsidRPr="00CA130F">
        <w:rPr>
          <w:rFonts w:ascii="Palatino Linotype" w:hAnsi="Palatino Linotype"/>
          <w:sz w:val="24"/>
          <w:szCs w:val="24"/>
        </w:rPr>
        <w:t xml:space="preserve"> </w:t>
      </w:r>
      <w:r w:rsidRPr="00CA130F">
        <w:rPr>
          <w:rFonts w:ascii="Palatino Linotype" w:hAnsi="Palatino Linotype"/>
          <w:b/>
          <w:sz w:val="24"/>
          <w:szCs w:val="24"/>
        </w:rPr>
        <w:t>EL SUJETO OBLIGADO</w:t>
      </w:r>
      <w:r w:rsidRPr="00CA130F">
        <w:rPr>
          <w:rFonts w:ascii="Palatino Linotype" w:hAnsi="Palatino Linotype" w:cs="Arial"/>
          <w:b/>
          <w:color w:val="000000" w:themeColor="text1"/>
          <w:sz w:val="24"/>
          <w:szCs w:val="24"/>
          <w:lang w:val="es-ES"/>
        </w:rPr>
        <w:t xml:space="preserve">, </w:t>
      </w:r>
      <w:r w:rsidRPr="00CA130F">
        <w:rPr>
          <w:rFonts w:ascii="Palatino Linotype" w:hAnsi="Palatino Linotype" w:cs="Arial"/>
          <w:color w:val="000000" w:themeColor="text1"/>
          <w:sz w:val="24"/>
          <w:szCs w:val="24"/>
          <w:lang w:val="es-ES"/>
        </w:rPr>
        <w:t xml:space="preserve">se procede a dictar la presente resolución con base en lo siguiente: </w:t>
      </w:r>
    </w:p>
    <w:p w14:paraId="4186A890" w14:textId="77777777" w:rsidR="00435682" w:rsidRPr="00CA130F" w:rsidRDefault="00435682" w:rsidP="00435682">
      <w:pPr>
        <w:spacing w:before="100" w:beforeAutospacing="1" w:after="100" w:afterAutospacing="1"/>
        <w:jc w:val="center"/>
        <w:rPr>
          <w:rFonts w:ascii="Palatino Linotype" w:hAnsi="Palatino Linotype" w:cs="Arial"/>
          <w:b/>
          <w:bCs/>
          <w:color w:val="000000" w:themeColor="text1"/>
          <w:spacing w:val="60"/>
          <w:sz w:val="28"/>
        </w:rPr>
      </w:pPr>
      <w:r w:rsidRPr="00CA130F">
        <w:rPr>
          <w:rFonts w:ascii="Palatino Linotype" w:hAnsi="Palatino Linotype" w:cs="Arial"/>
          <w:b/>
          <w:bCs/>
          <w:color w:val="000000" w:themeColor="text1"/>
          <w:spacing w:val="60"/>
          <w:sz w:val="28"/>
        </w:rPr>
        <w:t>RESULTANDO</w:t>
      </w:r>
    </w:p>
    <w:p w14:paraId="65FD6C1C" w14:textId="77777777" w:rsidR="00435682" w:rsidRPr="00CA130F" w:rsidRDefault="00435682" w:rsidP="00435682">
      <w:pPr>
        <w:spacing w:before="100" w:beforeAutospacing="1" w:after="100" w:afterAutospacing="1" w:line="360" w:lineRule="auto"/>
        <w:jc w:val="both"/>
        <w:rPr>
          <w:rFonts w:ascii="Palatino Linotype" w:hAnsi="Palatino Linotype" w:cs="Arial"/>
          <w:b/>
          <w:color w:val="000000" w:themeColor="text1"/>
          <w:sz w:val="28"/>
          <w:szCs w:val="28"/>
        </w:rPr>
      </w:pPr>
      <w:r w:rsidRPr="00CA130F">
        <w:rPr>
          <w:rFonts w:ascii="Palatino Linotype" w:hAnsi="Palatino Linotype" w:cs="Arial"/>
          <w:b/>
          <w:color w:val="000000" w:themeColor="text1"/>
          <w:sz w:val="28"/>
          <w:szCs w:val="28"/>
        </w:rPr>
        <w:t>I. Solicitud de información</w:t>
      </w:r>
    </w:p>
    <w:p w14:paraId="4629592B" w14:textId="77777777" w:rsidR="00134153" w:rsidRPr="00CA130F" w:rsidRDefault="00134153" w:rsidP="00134153">
      <w:pPr>
        <w:spacing w:before="100" w:beforeAutospacing="1" w:after="100" w:afterAutospacing="1" w:line="360" w:lineRule="auto"/>
        <w:jc w:val="both"/>
        <w:rPr>
          <w:rFonts w:ascii="Palatino Linotype" w:eastAsia="MS Mincho" w:hAnsi="Palatino Linotype" w:cs="Arial"/>
          <w:sz w:val="24"/>
          <w:szCs w:val="24"/>
        </w:rPr>
      </w:pPr>
      <w:r w:rsidRPr="00CA130F">
        <w:rPr>
          <w:rFonts w:ascii="Palatino Linotype" w:eastAsia="MS Mincho" w:hAnsi="Palatino Linotype" w:cs="Arial"/>
          <w:sz w:val="24"/>
          <w:szCs w:val="24"/>
        </w:rPr>
        <w:t xml:space="preserve">En fecha seis de noviembre de dos mil veinte, </w:t>
      </w:r>
      <w:r w:rsidRPr="00CA130F">
        <w:rPr>
          <w:rFonts w:ascii="Palatino Linotype" w:eastAsia="MS Mincho" w:hAnsi="Palatino Linotype" w:cs="Arial"/>
          <w:b/>
          <w:sz w:val="24"/>
          <w:szCs w:val="24"/>
        </w:rPr>
        <w:t>EL RECURRENTE</w:t>
      </w:r>
      <w:r w:rsidRPr="00CA130F">
        <w:rPr>
          <w:rFonts w:ascii="Palatino Linotype" w:eastAsia="MS Mincho" w:hAnsi="Palatino Linotype" w:cs="Arial"/>
          <w:sz w:val="24"/>
          <w:szCs w:val="24"/>
        </w:rPr>
        <w:t xml:space="preserve"> presentó a través del Sistema de Acceso a la Información Mexiquense</w:t>
      </w:r>
      <w:r w:rsidRPr="00CA130F">
        <w:rPr>
          <w:rFonts w:ascii="Palatino Linotype" w:eastAsia="MS Mincho" w:hAnsi="Palatino Linotype"/>
          <w:sz w:val="24"/>
          <w:szCs w:val="24"/>
        </w:rPr>
        <w:t xml:space="preserve">, en lo subsecuente </w:t>
      </w:r>
      <w:r w:rsidRPr="00CA130F">
        <w:rPr>
          <w:rFonts w:ascii="Palatino Linotype" w:eastAsia="MS Mincho" w:hAnsi="Palatino Linotype" w:cs="Arial"/>
          <w:b/>
          <w:sz w:val="24"/>
          <w:szCs w:val="24"/>
        </w:rPr>
        <w:t>EL SAIMEX</w:t>
      </w:r>
      <w:r w:rsidRPr="00CA130F">
        <w:rPr>
          <w:rFonts w:ascii="Palatino Linotype" w:eastAsia="MS Mincho" w:hAnsi="Palatino Linotype" w:cs="Arial"/>
          <w:sz w:val="24"/>
          <w:szCs w:val="24"/>
        </w:rPr>
        <w:t xml:space="preserve"> ante </w:t>
      </w:r>
      <w:r w:rsidRPr="00CA130F">
        <w:rPr>
          <w:rFonts w:ascii="Palatino Linotype" w:eastAsia="MS Mincho" w:hAnsi="Palatino Linotype" w:cs="Arial"/>
          <w:b/>
          <w:sz w:val="24"/>
          <w:szCs w:val="24"/>
        </w:rPr>
        <w:t>EL SUJETO OBLIGADO</w:t>
      </w:r>
      <w:r w:rsidRPr="00CA130F">
        <w:rPr>
          <w:rFonts w:ascii="Palatino Linotype" w:eastAsia="MS Mincho" w:hAnsi="Palatino Linotype" w:cs="Arial"/>
          <w:sz w:val="24"/>
          <w:szCs w:val="24"/>
        </w:rPr>
        <w:t xml:space="preserve">, la solicitud de acceso a la información pública, a la que se le asignó el número de expediente </w:t>
      </w:r>
      <w:r w:rsidRPr="00CA130F">
        <w:rPr>
          <w:rFonts w:ascii="Palatino Linotype" w:eastAsia="MS Mincho" w:hAnsi="Palatino Linotype" w:cs="Arial"/>
          <w:b/>
          <w:sz w:val="24"/>
          <w:szCs w:val="24"/>
        </w:rPr>
        <w:t>00169/TEZOYUCA/IP/2020,</w:t>
      </w:r>
      <w:r w:rsidRPr="00CA130F">
        <w:rPr>
          <w:rFonts w:ascii="Palatino Linotype" w:eastAsia="MS Mincho" w:hAnsi="Palatino Linotype" w:cs="Arial"/>
          <w:sz w:val="24"/>
          <w:szCs w:val="24"/>
        </w:rPr>
        <w:t xml:space="preserve"> </w:t>
      </w:r>
      <w:r w:rsidRPr="00CA130F">
        <w:rPr>
          <w:rFonts w:ascii="Palatino Linotype" w:eastAsia="MS Mincho" w:hAnsi="Palatino Linotype" w:cs="Arial"/>
          <w:bCs/>
          <w:sz w:val="24"/>
          <w:szCs w:val="24"/>
        </w:rPr>
        <w:t>por medio de la cual requirió</w:t>
      </w:r>
      <w:r w:rsidRPr="00CA130F">
        <w:rPr>
          <w:rFonts w:ascii="Palatino Linotype" w:eastAsia="MS Mincho" w:hAnsi="Palatino Linotype" w:cs="Arial"/>
          <w:sz w:val="24"/>
          <w:szCs w:val="24"/>
        </w:rPr>
        <w:t>:</w:t>
      </w:r>
    </w:p>
    <w:p w14:paraId="3B4EAF26" w14:textId="77777777" w:rsidR="00134153" w:rsidRPr="00CA130F" w:rsidRDefault="00134153" w:rsidP="00134153">
      <w:pPr>
        <w:tabs>
          <w:tab w:val="left" w:pos="851"/>
        </w:tabs>
        <w:ind w:left="851" w:right="901"/>
        <w:jc w:val="both"/>
        <w:rPr>
          <w:rFonts w:ascii="Palatino Linotype" w:eastAsia="MS Mincho" w:hAnsi="Palatino Linotype" w:cs="Arial"/>
          <w:i/>
        </w:rPr>
      </w:pPr>
      <w:r w:rsidRPr="00CA130F">
        <w:rPr>
          <w:rFonts w:ascii="Palatino Linotype" w:eastAsia="MS Mincho" w:hAnsi="Palatino Linotype" w:cs="Arial"/>
          <w:i/>
        </w:rPr>
        <w:t xml:space="preserve">“con fundamento en lo dispuesto por el </w:t>
      </w:r>
      <w:proofErr w:type="spellStart"/>
      <w:r w:rsidRPr="00CA130F">
        <w:rPr>
          <w:rFonts w:ascii="Palatino Linotype" w:eastAsia="MS Mincho" w:hAnsi="Palatino Linotype" w:cs="Arial"/>
          <w:i/>
        </w:rPr>
        <w:t>articulo</w:t>
      </w:r>
      <w:proofErr w:type="spellEnd"/>
      <w:r w:rsidRPr="00CA130F">
        <w:rPr>
          <w:rFonts w:ascii="Palatino Linotype" w:eastAsia="MS Mincho" w:hAnsi="Palatino Linotype" w:cs="Arial"/>
          <w:i/>
        </w:rPr>
        <w:t xml:space="preserve"> 92 de la ley de transparencia y acceso a la </w:t>
      </w:r>
      <w:proofErr w:type="spellStart"/>
      <w:r w:rsidRPr="00CA130F">
        <w:rPr>
          <w:rFonts w:ascii="Palatino Linotype" w:eastAsia="MS Mincho" w:hAnsi="Palatino Linotype" w:cs="Arial"/>
          <w:i/>
        </w:rPr>
        <w:t>informacion</w:t>
      </w:r>
      <w:proofErr w:type="spellEnd"/>
      <w:r w:rsidRPr="00CA130F">
        <w:rPr>
          <w:rFonts w:ascii="Palatino Linotype" w:eastAsia="MS Mincho" w:hAnsi="Palatino Linotype" w:cs="Arial"/>
          <w:i/>
        </w:rPr>
        <w:t xml:space="preserve"> </w:t>
      </w:r>
      <w:proofErr w:type="spellStart"/>
      <w:r w:rsidRPr="00CA130F">
        <w:rPr>
          <w:rFonts w:ascii="Palatino Linotype" w:eastAsia="MS Mincho" w:hAnsi="Palatino Linotype" w:cs="Arial"/>
          <w:i/>
        </w:rPr>
        <w:t>publica</w:t>
      </w:r>
      <w:proofErr w:type="spellEnd"/>
      <w:r w:rsidRPr="00CA130F">
        <w:rPr>
          <w:rFonts w:ascii="Palatino Linotype" w:eastAsia="MS Mincho" w:hAnsi="Palatino Linotype" w:cs="Arial"/>
          <w:i/>
        </w:rPr>
        <w:t xml:space="preserve"> del estado de </w:t>
      </w:r>
      <w:proofErr w:type="spellStart"/>
      <w:r w:rsidRPr="00CA130F">
        <w:rPr>
          <w:rFonts w:ascii="Palatino Linotype" w:eastAsia="MS Mincho" w:hAnsi="Palatino Linotype" w:cs="Arial"/>
          <w:i/>
        </w:rPr>
        <w:t>mexico</w:t>
      </w:r>
      <w:proofErr w:type="spellEnd"/>
      <w:r w:rsidRPr="00CA130F">
        <w:rPr>
          <w:rFonts w:ascii="Palatino Linotype" w:eastAsia="MS Mincho" w:hAnsi="Palatino Linotype" w:cs="Arial"/>
          <w:i/>
        </w:rPr>
        <w:t xml:space="preserve"> y </w:t>
      </w:r>
      <w:proofErr w:type="spellStart"/>
      <w:r w:rsidRPr="00CA130F">
        <w:rPr>
          <w:rFonts w:ascii="Palatino Linotype" w:eastAsia="MS Mincho" w:hAnsi="Palatino Linotype" w:cs="Arial"/>
          <w:i/>
        </w:rPr>
        <w:t>municios</w:t>
      </w:r>
      <w:proofErr w:type="spellEnd"/>
      <w:r w:rsidRPr="00CA130F">
        <w:rPr>
          <w:rFonts w:ascii="Palatino Linotype" w:eastAsia="MS Mincho" w:hAnsi="Palatino Linotype" w:cs="Arial"/>
          <w:i/>
        </w:rPr>
        <w:t xml:space="preserve">, solicito de la </w:t>
      </w:r>
      <w:proofErr w:type="spellStart"/>
      <w:r w:rsidRPr="00CA130F">
        <w:rPr>
          <w:rFonts w:ascii="Palatino Linotype" w:eastAsia="MS Mincho" w:hAnsi="Palatino Linotype" w:cs="Arial"/>
          <w:i/>
        </w:rPr>
        <w:t>menera</w:t>
      </w:r>
      <w:proofErr w:type="spellEnd"/>
      <w:r w:rsidRPr="00CA130F">
        <w:rPr>
          <w:rFonts w:ascii="Palatino Linotype" w:eastAsia="MS Mincho" w:hAnsi="Palatino Linotype" w:cs="Arial"/>
          <w:i/>
        </w:rPr>
        <w:t xml:space="preserve"> </w:t>
      </w:r>
      <w:proofErr w:type="spellStart"/>
      <w:r w:rsidRPr="00CA130F">
        <w:rPr>
          <w:rFonts w:ascii="Palatino Linotype" w:eastAsia="MS Mincho" w:hAnsi="Palatino Linotype" w:cs="Arial"/>
          <w:i/>
        </w:rPr>
        <w:t>mas</w:t>
      </w:r>
      <w:proofErr w:type="spellEnd"/>
      <w:r w:rsidRPr="00CA130F">
        <w:rPr>
          <w:rFonts w:ascii="Palatino Linotype" w:eastAsia="MS Mincho" w:hAnsi="Palatino Linotype" w:cs="Arial"/>
          <w:i/>
        </w:rPr>
        <w:t xml:space="preserve"> atenta, se ponga a </w:t>
      </w:r>
      <w:proofErr w:type="spellStart"/>
      <w:r w:rsidRPr="00CA130F">
        <w:rPr>
          <w:rFonts w:ascii="Palatino Linotype" w:eastAsia="MS Mincho" w:hAnsi="Palatino Linotype" w:cs="Arial"/>
          <w:i/>
        </w:rPr>
        <w:t>disposicion</w:t>
      </w:r>
      <w:proofErr w:type="spellEnd"/>
      <w:r w:rsidRPr="00CA130F">
        <w:rPr>
          <w:rFonts w:ascii="Palatino Linotype" w:eastAsia="MS Mincho" w:hAnsi="Palatino Linotype" w:cs="Arial"/>
          <w:i/>
        </w:rPr>
        <w:t xml:space="preserve"> del </w:t>
      </w:r>
      <w:proofErr w:type="spellStart"/>
      <w:r w:rsidRPr="00CA130F">
        <w:rPr>
          <w:rFonts w:ascii="Palatino Linotype" w:eastAsia="MS Mincho" w:hAnsi="Palatino Linotype" w:cs="Arial"/>
          <w:i/>
        </w:rPr>
        <w:t>publico</w:t>
      </w:r>
      <w:proofErr w:type="spellEnd"/>
      <w:r w:rsidRPr="00CA130F">
        <w:rPr>
          <w:rFonts w:ascii="Palatino Linotype" w:eastAsia="MS Mincho" w:hAnsi="Palatino Linotype" w:cs="Arial"/>
          <w:i/>
        </w:rPr>
        <w:t xml:space="preserve"> en general de manera permanente y </w:t>
      </w:r>
      <w:r w:rsidRPr="00CA130F">
        <w:rPr>
          <w:rFonts w:ascii="Palatino Linotype" w:eastAsia="MS Mincho" w:hAnsi="Palatino Linotype" w:cs="Arial"/>
          <w:i/>
        </w:rPr>
        <w:lastRenderedPageBreak/>
        <w:t xml:space="preserve">actualizada de forma sencilla, precisa y entendible las LII fracciones de las obligaciones de transparencia </w:t>
      </w:r>
      <w:proofErr w:type="spellStart"/>
      <w:r w:rsidRPr="00CA130F">
        <w:rPr>
          <w:rFonts w:ascii="Palatino Linotype" w:eastAsia="MS Mincho" w:hAnsi="Palatino Linotype" w:cs="Arial"/>
          <w:i/>
        </w:rPr>
        <w:t>comun</w:t>
      </w:r>
      <w:proofErr w:type="spellEnd"/>
      <w:r w:rsidRPr="00CA130F">
        <w:rPr>
          <w:rFonts w:ascii="Palatino Linotype" w:eastAsia="MS Mincho" w:hAnsi="Palatino Linotype" w:cs="Arial"/>
          <w:i/>
        </w:rPr>
        <w:t xml:space="preserve"> por semestre y trimestre </w:t>
      </w:r>
      <w:proofErr w:type="spellStart"/>
      <w:r w:rsidRPr="00CA130F">
        <w:rPr>
          <w:rFonts w:ascii="Palatino Linotype" w:eastAsia="MS Mincho" w:hAnsi="Palatino Linotype" w:cs="Arial"/>
          <w:i/>
        </w:rPr>
        <w:t>segun</w:t>
      </w:r>
      <w:proofErr w:type="spellEnd"/>
      <w:r w:rsidRPr="00CA130F">
        <w:rPr>
          <w:rFonts w:ascii="Palatino Linotype" w:eastAsia="MS Mincho" w:hAnsi="Palatino Linotype" w:cs="Arial"/>
          <w:i/>
        </w:rPr>
        <w:t xml:space="preserve"> corresponda en virtud que el portal habilitado para su consulta no se encuentra actualizado el ejercicio fiscal 2020.” (sic)</w:t>
      </w:r>
    </w:p>
    <w:p w14:paraId="54A20731" w14:textId="77777777" w:rsidR="00134153" w:rsidRPr="00CA130F" w:rsidRDefault="00134153" w:rsidP="00134153">
      <w:pPr>
        <w:spacing w:before="100" w:beforeAutospacing="1" w:after="100" w:afterAutospacing="1" w:line="360" w:lineRule="auto"/>
        <w:jc w:val="both"/>
        <w:rPr>
          <w:rFonts w:ascii="Palatino Linotype" w:hAnsi="Palatino Linotype" w:cs="Arial"/>
          <w:b/>
          <w:sz w:val="24"/>
          <w:szCs w:val="24"/>
        </w:rPr>
      </w:pPr>
      <w:r w:rsidRPr="00CA130F">
        <w:rPr>
          <w:rFonts w:ascii="Palatino Linotype" w:hAnsi="Palatino Linotype" w:cs="Arial"/>
          <w:b/>
          <w:sz w:val="24"/>
          <w:szCs w:val="24"/>
        </w:rPr>
        <w:t>MODALIDAD DE ENTREGA:</w:t>
      </w:r>
      <w:r w:rsidRPr="00CA130F">
        <w:rPr>
          <w:rFonts w:ascii="Palatino Linotype" w:hAnsi="Palatino Linotype" w:cs="Arial"/>
          <w:sz w:val="24"/>
          <w:szCs w:val="24"/>
        </w:rPr>
        <w:t xml:space="preserve"> Vía </w:t>
      </w:r>
      <w:r w:rsidRPr="00CA130F">
        <w:rPr>
          <w:rFonts w:ascii="Palatino Linotype" w:hAnsi="Palatino Linotype" w:cs="Arial"/>
          <w:b/>
          <w:sz w:val="24"/>
          <w:szCs w:val="24"/>
        </w:rPr>
        <w:t>SAIMEX.</w:t>
      </w:r>
    </w:p>
    <w:p w14:paraId="66FABA17" w14:textId="77777777" w:rsidR="00134153" w:rsidRPr="00CA130F" w:rsidRDefault="00435682" w:rsidP="00134153">
      <w:pPr>
        <w:spacing w:before="100" w:beforeAutospacing="1" w:after="100" w:afterAutospacing="1" w:line="360" w:lineRule="auto"/>
        <w:jc w:val="both"/>
        <w:rPr>
          <w:rFonts w:ascii="Palatino Linotype" w:hAnsi="Palatino Linotype"/>
          <w:b/>
          <w:color w:val="000000" w:themeColor="text1"/>
          <w:sz w:val="28"/>
          <w:szCs w:val="28"/>
        </w:rPr>
      </w:pPr>
      <w:r w:rsidRPr="00CA130F">
        <w:rPr>
          <w:rFonts w:ascii="Palatino Linotype" w:hAnsi="Palatino Linotype"/>
          <w:b/>
          <w:color w:val="000000" w:themeColor="text1"/>
          <w:sz w:val="28"/>
          <w:szCs w:val="28"/>
        </w:rPr>
        <w:t xml:space="preserve">II. </w:t>
      </w:r>
      <w:r w:rsidR="00134153" w:rsidRPr="00CA130F">
        <w:rPr>
          <w:rFonts w:ascii="Palatino Linotype" w:hAnsi="Palatino Linotype"/>
          <w:b/>
          <w:color w:val="000000" w:themeColor="text1"/>
          <w:sz w:val="28"/>
          <w:szCs w:val="28"/>
        </w:rPr>
        <w:t>Respuesta a la solicitud de información</w:t>
      </w:r>
    </w:p>
    <w:p w14:paraId="3BC1F5A6" w14:textId="77777777" w:rsidR="00134153" w:rsidRPr="00CA130F" w:rsidRDefault="00134153" w:rsidP="00134153">
      <w:pPr>
        <w:spacing w:before="100" w:beforeAutospacing="1" w:after="100" w:afterAutospacing="1" w:line="360" w:lineRule="auto"/>
        <w:jc w:val="both"/>
        <w:rPr>
          <w:rFonts w:ascii="Palatino Linotype" w:hAnsi="Palatino Linotype"/>
          <w:bCs/>
          <w:sz w:val="24"/>
          <w:szCs w:val="24"/>
        </w:rPr>
      </w:pPr>
      <w:r w:rsidRPr="00CA130F">
        <w:rPr>
          <w:rFonts w:ascii="Palatino Linotype" w:eastAsia="Calibri" w:hAnsi="Palatino Linotype" w:cs="Arial"/>
          <w:sz w:val="24"/>
          <w:szCs w:val="24"/>
          <w:lang w:val="es-ES"/>
        </w:rPr>
        <w:t xml:space="preserve">De las constancias que obran en el expediente electrónico del </w:t>
      </w:r>
      <w:r w:rsidRPr="00CA130F">
        <w:rPr>
          <w:rFonts w:ascii="Palatino Linotype" w:eastAsia="Calibri" w:hAnsi="Palatino Linotype" w:cs="Arial"/>
          <w:b/>
          <w:bCs/>
          <w:sz w:val="24"/>
          <w:szCs w:val="24"/>
          <w:lang w:val="es-ES"/>
        </w:rPr>
        <w:t>SAIMEX</w:t>
      </w:r>
      <w:r w:rsidRPr="00CA130F">
        <w:rPr>
          <w:rFonts w:ascii="Palatino Linotype" w:eastAsia="Calibri" w:hAnsi="Palatino Linotype" w:cs="Arial"/>
          <w:sz w:val="24"/>
          <w:szCs w:val="24"/>
          <w:lang w:val="es-ES"/>
        </w:rPr>
        <w:t xml:space="preserve"> se puede advertir que </w:t>
      </w:r>
      <w:r w:rsidRPr="00CA130F">
        <w:rPr>
          <w:rFonts w:ascii="Palatino Linotype" w:eastAsia="Calibri" w:hAnsi="Palatino Linotype" w:cs="Arial"/>
          <w:b/>
          <w:sz w:val="24"/>
          <w:szCs w:val="24"/>
          <w:lang w:val="es-ES"/>
        </w:rPr>
        <w:t xml:space="preserve">EL SUJETO OBLIGADO </w:t>
      </w:r>
      <w:r w:rsidRPr="00CA130F">
        <w:rPr>
          <w:rFonts w:ascii="Palatino Linotype" w:eastAsia="Calibri" w:hAnsi="Palatino Linotype" w:cs="Arial"/>
          <w:sz w:val="24"/>
          <w:szCs w:val="24"/>
          <w:lang w:val="es-ES"/>
        </w:rPr>
        <w:t>fue omiso en dar trámite y respuesta a la solicitud de información que le fuera planteada.</w:t>
      </w:r>
    </w:p>
    <w:p w14:paraId="1AF9AD5C" w14:textId="77777777" w:rsidR="00134153" w:rsidRPr="00CA130F" w:rsidRDefault="00435682" w:rsidP="00134153">
      <w:pPr>
        <w:pStyle w:val="Prrafodelista"/>
        <w:spacing w:before="100" w:beforeAutospacing="1" w:after="100" w:afterAutospacing="1" w:line="360" w:lineRule="auto"/>
        <w:ind w:left="0"/>
        <w:jc w:val="both"/>
        <w:rPr>
          <w:rFonts w:ascii="Palatino Linotype" w:hAnsi="Palatino Linotype"/>
          <w:color w:val="000000" w:themeColor="text1"/>
          <w:sz w:val="28"/>
        </w:rPr>
      </w:pPr>
      <w:r w:rsidRPr="00CA130F">
        <w:rPr>
          <w:rFonts w:ascii="Palatino Linotype" w:hAnsi="Palatino Linotype"/>
          <w:b/>
          <w:color w:val="000000" w:themeColor="text1"/>
          <w:sz w:val="28"/>
          <w:szCs w:val="28"/>
        </w:rPr>
        <w:t xml:space="preserve">III. </w:t>
      </w:r>
      <w:r w:rsidR="00134153" w:rsidRPr="00CA130F">
        <w:rPr>
          <w:rFonts w:ascii="Palatino Linotype" w:hAnsi="Palatino Linotype"/>
          <w:b/>
          <w:color w:val="000000" w:themeColor="text1"/>
          <w:sz w:val="28"/>
        </w:rPr>
        <w:t>Recurso de revisión</w:t>
      </w:r>
    </w:p>
    <w:p w14:paraId="777C63E8" w14:textId="77777777" w:rsidR="00134153" w:rsidRPr="00CA130F" w:rsidRDefault="00134153" w:rsidP="00134153">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Inconforme por la falta de respuesta del</w:t>
      </w:r>
      <w:r w:rsidRPr="00CA130F">
        <w:rPr>
          <w:rFonts w:ascii="Palatino Linotype" w:hAnsi="Palatino Linotype" w:cs="Arial"/>
          <w:b/>
          <w:sz w:val="24"/>
          <w:szCs w:val="24"/>
        </w:rPr>
        <w:t xml:space="preserve"> SUJETO OBLIGADO</w:t>
      </w:r>
      <w:r w:rsidRPr="00CA130F">
        <w:rPr>
          <w:rFonts w:ascii="Palatino Linotype" w:hAnsi="Palatino Linotype" w:cs="Arial"/>
          <w:sz w:val="24"/>
          <w:szCs w:val="24"/>
        </w:rPr>
        <w:t xml:space="preserve">, el </w:t>
      </w:r>
      <w:bookmarkStart w:id="1" w:name="_Hlk55315936"/>
      <w:r w:rsidRPr="00CA130F">
        <w:rPr>
          <w:rFonts w:ascii="Palatino Linotype" w:hAnsi="Palatino Linotype" w:cs="Arial"/>
          <w:sz w:val="24"/>
          <w:szCs w:val="24"/>
        </w:rPr>
        <w:t>uno de diciembre de dos mil veinte</w:t>
      </w:r>
      <w:bookmarkEnd w:id="1"/>
      <w:r w:rsidRPr="00CA130F">
        <w:rPr>
          <w:rFonts w:ascii="Palatino Linotype" w:hAnsi="Palatino Linotype" w:cs="Arial"/>
          <w:sz w:val="24"/>
          <w:szCs w:val="24"/>
        </w:rPr>
        <w:t xml:space="preserve">, </w:t>
      </w:r>
      <w:r w:rsidRPr="00CA130F">
        <w:rPr>
          <w:rFonts w:ascii="Palatino Linotype" w:hAnsi="Palatino Linotype" w:cs="Arial"/>
          <w:b/>
          <w:sz w:val="24"/>
          <w:szCs w:val="24"/>
        </w:rPr>
        <w:t>EL RECURRENTE</w:t>
      </w:r>
      <w:r w:rsidRPr="00CA130F">
        <w:rPr>
          <w:rFonts w:ascii="Palatino Linotype" w:hAnsi="Palatino Linotype" w:cs="Arial"/>
          <w:sz w:val="24"/>
          <w:szCs w:val="24"/>
        </w:rPr>
        <w:t xml:space="preserve"> interpuso el recurso de revisión sujeto del presente estudio, el cual fue registrado en </w:t>
      </w:r>
      <w:r w:rsidRPr="00CA130F">
        <w:rPr>
          <w:rFonts w:ascii="Palatino Linotype" w:hAnsi="Palatino Linotype" w:cs="Arial"/>
          <w:b/>
          <w:sz w:val="24"/>
          <w:szCs w:val="24"/>
        </w:rPr>
        <w:t>EL SAIMEX</w:t>
      </w:r>
      <w:r w:rsidRPr="00CA130F">
        <w:rPr>
          <w:rFonts w:ascii="Palatino Linotype" w:hAnsi="Palatino Linotype" w:cs="Arial"/>
          <w:sz w:val="24"/>
          <w:szCs w:val="24"/>
        </w:rPr>
        <w:t xml:space="preserve"> y se le asignó el número de expediente </w:t>
      </w:r>
      <w:r w:rsidRPr="00CA130F">
        <w:rPr>
          <w:rFonts w:ascii="Palatino Linotype" w:hAnsi="Palatino Linotype" w:cs="Arial"/>
          <w:b/>
          <w:sz w:val="24"/>
          <w:szCs w:val="24"/>
        </w:rPr>
        <w:t>05922/INFOEM/IP/RR/2020,</w:t>
      </w:r>
      <w:r w:rsidRPr="00CA130F">
        <w:rPr>
          <w:rFonts w:ascii="Palatino Linotype" w:hAnsi="Palatino Linotype" w:cs="Arial"/>
          <w:sz w:val="24"/>
          <w:szCs w:val="24"/>
        </w:rPr>
        <w:t xml:space="preserve"> en el que señaló como acto impugnado:</w:t>
      </w:r>
    </w:p>
    <w:p w14:paraId="7A11B20A" w14:textId="77777777" w:rsidR="00134153" w:rsidRPr="00CA130F" w:rsidRDefault="00134153" w:rsidP="00134153">
      <w:pPr>
        <w:ind w:left="851"/>
        <w:jc w:val="both"/>
        <w:rPr>
          <w:rFonts w:ascii="Palatino Linotype" w:hAnsi="Palatino Linotype" w:cs="Arial"/>
          <w:i/>
          <w:iCs/>
        </w:rPr>
      </w:pPr>
      <w:r w:rsidRPr="00CA130F">
        <w:rPr>
          <w:rFonts w:ascii="Palatino Linotype" w:hAnsi="Palatino Linotype" w:cs="Arial"/>
          <w:i/>
          <w:iCs/>
        </w:rPr>
        <w:t xml:space="preserve">“falta de respuesta a la solicitud de acceso a la </w:t>
      </w:r>
      <w:proofErr w:type="spellStart"/>
      <w:r w:rsidRPr="00CA130F">
        <w:rPr>
          <w:rFonts w:ascii="Palatino Linotype" w:hAnsi="Palatino Linotype" w:cs="Arial"/>
          <w:i/>
          <w:iCs/>
        </w:rPr>
        <w:t>informacion</w:t>
      </w:r>
      <w:proofErr w:type="spellEnd"/>
      <w:r w:rsidRPr="00CA130F">
        <w:rPr>
          <w:rFonts w:ascii="Palatino Linotype" w:hAnsi="Palatino Linotype" w:cs="Arial"/>
          <w:i/>
          <w:iCs/>
        </w:rPr>
        <w:t>.” (Sic)</w:t>
      </w:r>
    </w:p>
    <w:p w14:paraId="13E82617" w14:textId="77777777" w:rsidR="00134153" w:rsidRPr="00CA130F" w:rsidRDefault="00134153" w:rsidP="00134153">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Así como, razones o motivos de inconformidad lo siguiente:</w:t>
      </w:r>
    </w:p>
    <w:p w14:paraId="4C0A0EF4" w14:textId="77777777" w:rsidR="00134153" w:rsidRPr="00CA130F" w:rsidRDefault="00134153" w:rsidP="00134153">
      <w:pPr>
        <w:spacing w:line="360" w:lineRule="auto"/>
        <w:ind w:left="850"/>
        <w:jc w:val="both"/>
        <w:rPr>
          <w:rFonts w:ascii="Palatino Linotype" w:hAnsi="Palatino Linotype" w:cs="Arial"/>
          <w:i/>
          <w:iCs/>
        </w:rPr>
      </w:pPr>
      <w:r w:rsidRPr="00CA130F">
        <w:rPr>
          <w:rFonts w:ascii="Palatino Linotype" w:hAnsi="Palatino Linotype" w:cs="Arial"/>
          <w:i/>
          <w:iCs/>
        </w:rPr>
        <w:t xml:space="preserve">“falta de respuesta a la solicitud de acceso a la </w:t>
      </w:r>
      <w:proofErr w:type="spellStart"/>
      <w:r w:rsidRPr="00CA130F">
        <w:rPr>
          <w:rFonts w:ascii="Palatino Linotype" w:hAnsi="Palatino Linotype" w:cs="Arial"/>
          <w:i/>
          <w:iCs/>
        </w:rPr>
        <w:t>informacion</w:t>
      </w:r>
      <w:proofErr w:type="spellEnd"/>
      <w:r w:rsidRPr="00CA130F">
        <w:rPr>
          <w:rFonts w:ascii="Palatino Linotype" w:hAnsi="Palatino Linotype" w:cs="Arial"/>
          <w:i/>
          <w:iCs/>
        </w:rPr>
        <w:t>.” (Sic)</w:t>
      </w:r>
    </w:p>
    <w:p w14:paraId="38EC953C" w14:textId="77777777" w:rsidR="00134153" w:rsidRPr="00CA130F" w:rsidRDefault="00435682" w:rsidP="00134153">
      <w:pPr>
        <w:pStyle w:val="Prrafodelista"/>
        <w:spacing w:before="100" w:beforeAutospacing="1" w:after="100" w:afterAutospacing="1" w:line="360" w:lineRule="auto"/>
        <w:ind w:left="0"/>
        <w:jc w:val="both"/>
        <w:rPr>
          <w:rFonts w:ascii="Palatino Linotype" w:hAnsi="Palatino Linotype" w:cs="Arial"/>
          <w:b/>
          <w:color w:val="000000" w:themeColor="text1"/>
          <w:sz w:val="28"/>
          <w:szCs w:val="28"/>
        </w:rPr>
      </w:pPr>
      <w:r w:rsidRPr="00CA130F">
        <w:rPr>
          <w:rFonts w:ascii="Palatino Linotype" w:hAnsi="Palatino Linotype"/>
          <w:b/>
          <w:color w:val="000000" w:themeColor="text1"/>
          <w:sz w:val="28"/>
        </w:rPr>
        <w:t>IV.</w:t>
      </w:r>
      <w:r w:rsidRPr="00CA130F">
        <w:rPr>
          <w:rFonts w:ascii="Palatino Linotype" w:hAnsi="Palatino Linotype"/>
          <w:color w:val="000000" w:themeColor="text1"/>
          <w:sz w:val="28"/>
        </w:rPr>
        <w:t xml:space="preserve"> </w:t>
      </w:r>
      <w:r w:rsidR="00134153" w:rsidRPr="00CA130F">
        <w:rPr>
          <w:rFonts w:ascii="Palatino Linotype" w:hAnsi="Palatino Linotype" w:cs="Arial"/>
          <w:b/>
          <w:color w:val="000000" w:themeColor="text1"/>
          <w:sz w:val="28"/>
          <w:szCs w:val="28"/>
        </w:rPr>
        <w:t>Turno del recurso de revisión</w:t>
      </w:r>
    </w:p>
    <w:p w14:paraId="6725FC88" w14:textId="77777777" w:rsidR="00134153" w:rsidRPr="00CA130F" w:rsidRDefault="00134153" w:rsidP="00134153">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El uno de diciembre de dos mil veinte, el recurso de que se trata se envió electrónicamente al Instituto de </w:t>
      </w:r>
      <w:r w:rsidRPr="00CA130F">
        <w:rPr>
          <w:rFonts w:ascii="Palatino Linotype" w:eastAsia="Arial Unicode MS" w:hAnsi="Palatino Linotype" w:cs="Arial"/>
          <w:sz w:val="24"/>
          <w:szCs w:val="24"/>
        </w:rPr>
        <w:t>Transparencia</w:t>
      </w:r>
      <w:r w:rsidRPr="00CA130F">
        <w:rPr>
          <w:rFonts w:ascii="Palatino Linotype" w:hAnsi="Palatino Linotype" w:cs="Arial"/>
          <w:sz w:val="24"/>
          <w:szCs w:val="24"/>
        </w:rPr>
        <w:t xml:space="preserve">, Acceso a la Información Pública y </w:t>
      </w:r>
      <w:r w:rsidRPr="00CA130F">
        <w:rPr>
          <w:rFonts w:ascii="Palatino Linotype" w:hAnsi="Palatino Linotype" w:cs="Arial"/>
          <w:sz w:val="24"/>
          <w:szCs w:val="24"/>
        </w:rPr>
        <w:lastRenderedPageBreak/>
        <w:t xml:space="preserve">Protección de Datos Personales del Estado de México y Municipios y con fundamento en el artículo 185, fracción I de la </w:t>
      </w:r>
      <w:r w:rsidRPr="00CA130F">
        <w:rPr>
          <w:rFonts w:ascii="Palatino Linotype" w:hAnsi="Palatino Linotype"/>
          <w:sz w:val="24"/>
          <w:szCs w:val="24"/>
        </w:rPr>
        <w:t>Ley de Transparencia y Acceso a la Información Pública del Estado de México y Municipios</w:t>
      </w:r>
      <w:r w:rsidRPr="00CA130F">
        <w:rPr>
          <w:rFonts w:ascii="Palatino Linotype" w:hAnsi="Palatino Linotype" w:cs="Arial"/>
          <w:sz w:val="24"/>
          <w:szCs w:val="24"/>
        </w:rPr>
        <w:t>, se turnó, a través del</w:t>
      </w:r>
      <w:r w:rsidRPr="00CA130F">
        <w:rPr>
          <w:rFonts w:ascii="Palatino Linotype" w:eastAsia="Arial Unicode MS" w:hAnsi="Palatino Linotype" w:cs="Arial"/>
          <w:sz w:val="24"/>
          <w:szCs w:val="24"/>
        </w:rPr>
        <w:t xml:space="preserve"> </w:t>
      </w:r>
      <w:r w:rsidRPr="00CA130F">
        <w:rPr>
          <w:rFonts w:ascii="Palatino Linotype" w:eastAsia="Arial Unicode MS" w:hAnsi="Palatino Linotype" w:cs="Arial"/>
          <w:b/>
          <w:sz w:val="24"/>
          <w:szCs w:val="24"/>
        </w:rPr>
        <w:t>SAIMEX</w:t>
      </w:r>
      <w:r w:rsidRPr="00CA130F">
        <w:rPr>
          <w:rFonts w:ascii="Palatino Linotype" w:hAnsi="Palatino Linotype"/>
          <w:sz w:val="24"/>
          <w:szCs w:val="24"/>
        </w:rPr>
        <w:t xml:space="preserve">, a la </w:t>
      </w:r>
      <w:r w:rsidRPr="00CA130F">
        <w:rPr>
          <w:rFonts w:ascii="Palatino Linotype" w:hAnsi="Palatino Linotype" w:cs="Arial"/>
          <w:sz w:val="24"/>
          <w:szCs w:val="24"/>
        </w:rPr>
        <w:t xml:space="preserve">Comisionada </w:t>
      </w:r>
      <w:r w:rsidRPr="00CA130F">
        <w:rPr>
          <w:rFonts w:ascii="Palatino Linotype" w:hAnsi="Palatino Linotype" w:cs="Arial"/>
          <w:b/>
          <w:sz w:val="24"/>
          <w:szCs w:val="24"/>
        </w:rPr>
        <w:t>EVA ABAID YAPUR</w:t>
      </w:r>
      <w:r w:rsidRPr="00CA130F">
        <w:rPr>
          <w:rFonts w:ascii="Palatino Linotype" w:hAnsi="Palatino Linotype"/>
          <w:sz w:val="24"/>
          <w:szCs w:val="24"/>
        </w:rPr>
        <w:t>,</w:t>
      </w:r>
      <w:r w:rsidRPr="00CA130F">
        <w:rPr>
          <w:rFonts w:ascii="Palatino Linotype" w:hAnsi="Palatino Linotype" w:cs="Arial"/>
          <w:sz w:val="24"/>
          <w:szCs w:val="24"/>
        </w:rPr>
        <w:t xml:space="preserve"> a efecto de decretar su admisión o desechamiento.</w:t>
      </w:r>
    </w:p>
    <w:p w14:paraId="3755D02A" w14:textId="77777777" w:rsidR="00134153" w:rsidRPr="00CA130F" w:rsidRDefault="00435682" w:rsidP="00134153">
      <w:pPr>
        <w:pStyle w:val="Piedepgina"/>
        <w:spacing w:before="100" w:beforeAutospacing="1" w:after="100" w:afterAutospacing="1" w:line="360" w:lineRule="auto"/>
        <w:jc w:val="both"/>
        <w:rPr>
          <w:rFonts w:ascii="Palatino Linotype" w:hAnsi="Palatino Linotype" w:cs="Arial"/>
          <w:b/>
          <w:color w:val="000000" w:themeColor="text1"/>
          <w:sz w:val="28"/>
        </w:rPr>
      </w:pPr>
      <w:r w:rsidRPr="00CA130F">
        <w:rPr>
          <w:rFonts w:ascii="Palatino Linotype" w:hAnsi="Palatino Linotype" w:cs="Arial"/>
          <w:b/>
          <w:color w:val="000000" w:themeColor="text1"/>
          <w:sz w:val="28"/>
          <w:szCs w:val="28"/>
        </w:rPr>
        <w:t xml:space="preserve">V. </w:t>
      </w:r>
      <w:r w:rsidR="00134153" w:rsidRPr="00CA130F">
        <w:rPr>
          <w:rFonts w:ascii="Palatino Linotype" w:hAnsi="Palatino Linotype" w:cs="Arial"/>
          <w:b/>
          <w:color w:val="000000" w:themeColor="text1"/>
          <w:sz w:val="28"/>
        </w:rPr>
        <w:t>Admisión del recurso de revisión</w:t>
      </w:r>
    </w:p>
    <w:p w14:paraId="721F9E2B" w14:textId="77777777" w:rsidR="00134153" w:rsidRPr="00CA130F" w:rsidRDefault="00134153" w:rsidP="00134153">
      <w:pPr>
        <w:tabs>
          <w:tab w:val="center" w:pos="4252"/>
          <w:tab w:val="right" w:pos="8504"/>
        </w:tabs>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De las constancias del expediente electrónico del</w:t>
      </w:r>
      <w:r w:rsidRPr="00CA130F">
        <w:rPr>
          <w:rFonts w:ascii="Palatino Linotype" w:hAnsi="Palatino Linotype" w:cs="Arial"/>
          <w:b/>
          <w:sz w:val="24"/>
          <w:szCs w:val="24"/>
        </w:rPr>
        <w:t xml:space="preserve"> SAIMEX</w:t>
      </w:r>
      <w:r w:rsidRPr="00CA130F">
        <w:rPr>
          <w:rFonts w:ascii="Palatino Linotype" w:hAnsi="Palatino Linotype" w:cs="Arial"/>
          <w:sz w:val="24"/>
          <w:szCs w:val="24"/>
        </w:rPr>
        <w:t xml:space="preserve">, se advierte que en fecha siete de diciembre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A130F">
        <w:rPr>
          <w:rFonts w:ascii="Palatino Linotype" w:hAnsi="Palatino Linotype" w:cs="Arial"/>
          <w:b/>
          <w:sz w:val="24"/>
          <w:szCs w:val="24"/>
        </w:rPr>
        <w:t xml:space="preserve">EL SUJETO OBLIGADO </w:t>
      </w:r>
      <w:r w:rsidRPr="00CA130F">
        <w:rPr>
          <w:rFonts w:ascii="Palatino Linotype" w:hAnsi="Palatino Linotype" w:cs="Arial"/>
          <w:sz w:val="24"/>
          <w:szCs w:val="24"/>
        </w:rPr>
        <w:t>rindiera su</w:t>
      </w:r>
      <w:r w:rsidRPr="00CA130F">
        <w:rPr>
          <w:rFonts w:ascii="Palatino Linotype" w:hAnsi="Palatino Linotype" w:cs="Arial"/>
          <w:b/>
          <w:sz w:val="24"/>
          <w:szCs w:val="24"/>
        </w:rPr>
        <w:t xml:space="preserve"> </w:t>
      </w:r>
      <w:r w:rsidRPr="00CA130F">
        <w:rPr>
          <w:rFonts w:ascii="Palatino Linotype" w:hAnsi="Palatino Linotype" w:cs="Arial"/>
          <w:sz w:val="24"/>
          <w:szCs w:val="24"/>
        </w:rPr>
        <w:t>Informe Justificado.</w:t>
      </w:r>
    </w:p>
    <w:p w14:paraId="4203B954" w14:textId="77777777" w:rsidR="00134153" w:rsidRPr="00CA130F" w:rsidRDefault="00435682" w:rsidP="00134153">
      <w:pPr>
        <w:spacing w:before="100" w:beforeAutospacing="1" w:after="100" w:afterAutospacing="1" w:line="360" w:lineRule="auto"/>
        <w:jc w:val="both"/>
        <w:rPr>
          <w:rFonts w:ascii="Palatino Linotype" w:eastAsia="Arial Unicode MS" w:hAnsi="Palatino Linotype" w:cs="Arial"/>
          <w:b/>
          <w:color w:val="000000" w:themeColor="text1"/>
          <w:sz w:val="28"/>
          <w:szCs w:val="28"/>
        </w:rPr>
      </w:pPr>
      <w:r w:rsidRPr="00CA130F">
        <w:rPr>
          <w:rFonts w:ascii="Palatino Linotype" w:hAnsi="Palatino Linotype" w:cs="Arial"/>
          <w:b/>
          <w:color w:val="000000" w:themeColor="text1"/>
          <w:sz w:val="28"/>
        </w:rPr>
        <w:t xml:space="preserve">VI. </w:t>
      </w:r>
      <w:r w:rsidR="00134153" w:rsidRPr="00CA130F">
        <w:rPr>
          <w:rFonts w:ascii="Palatino Linotype" w:eastAsia="Arial Unicode MS" w:hAnsi="Palatino Linotype" w:cs="Arial"/>
          <w:b/>
          <w:color w:val="000000" w:themeColor="text1"/>
          <w:sz w:val="28"/>
          <w:szCs w:val="28"/>
        </w:rPr>
        <w:t>Etapa de manifestaciones e Informe Justificado</w:t>
      </w:r>
    </w:p>
    <w:p w14:paraId="23E99FF6" w14:textId="77777777" w:rsidR="00134153" w:rsidRPr="00CA130F" w:rsidRDefault="00134153" w:rsidP="00134153">
      <w:pPr>
        <w:spacing w:before="100" w:beforeAutospacing="1" w:after="100" w:afterAutospacing="1" w:line="360" w:lineRule="auto"/>
        <w:jc w:val="both"/>
        <w:rPr>
          <w:rFonts w:ascii="Palatino Linotype" w:hAnsi="Palatino Linotype" w:cs="Arial"/>
          <w:noProof/>
          <w:sz w:val="24"/>
          <w:szCs w:val="24"/>
          <w:lang w:eastAsia="es-MX"/>
        </w:rPr>
      </w:pPr>
      <w:r w:rsidRPr="00CA130F">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3FE5D5A4" wp14:editId="6F41DAA1">
                <wp:simplePos x="0" y="0"/>
                <wp:positionH relativeFrom="column">
                  <wp:posOffset>104927</wp:posOffset>
                </wp:positionH>
                <wp:positionV relativeFrom="paragraph">
                  <wp:posOffset>1214857</wp:posOffset>
                </wp:positionV>
                <wp:extent cx="5713172" cy="1455724"/>
                <wp:effectExtent l="0" t="0" r="20955" b="30480"/>
                <wp:wrapNone/>
                <wp:docPr id="5" name="Conector recto 5"/>
                <wp:cNvGraphicFramePr/>
                <a:graphic xmlns:a="http://schemas.openxmlformats.org/drawingml/2006/main">
                  <a:graphicData uri="http://schemas.microsoft.com/office/word/2010/wordprocessingShape">
                    <wps:wsp>
                      <wps:cNvCnPr/>
                      <wps:spPr>
                        <a:xfrm>
                          <a:off x="0" y="0"/>
                          <a:ext cx="5713172" cy="145572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55BC16"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25pt,95.65pt" to="458.1pt,2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" strokecolor="#5b9bd5 [3204]" strokeweight="1pt">
                <v:stroke joinstyle="miter"/>
              </v:line>
            </w:pict>
          </mc:Fallback>
        </mc:AlternateContent>
      </w:r>
      <w:r w:rsidRPr="00CA130F">
        <w:rPr>
          <w:rFonts w:ascii="Palatino Linotype" w:hAnsi="Palatino Linotype" w:cs="Arial"/>
          <w:sz w:val="24"/>
          <w:szCs w:val="24"/>
          <w:lang w:val="es-ES"/>
        </w:rPr>
        <w:t>En cumplimiento a lo anterior, de las constancias del expediente electrónico del</w:t>
      </w:r>
      <w:r w:rsidRPr="00CA130F">
        <w:rPr>
          <w:rFonts w:ascii="Palatino Linotype" w:hAnsi="Palatino Linotype" w:cs="Arial"/>
          <w:b/>
          <w:sz w:val="24"/>
          <w:szCs w:val="24"/>
          <w:lang w:val="es-ES"/>
        </w:rPr>
        <w:t xml:space="preserve"> SAIMEX</w:t>
      </w:r>
      <w:r w:rsidRPr="00CA130F">
        <w:rPr>
          <w:rFonts w:ascii="Palatino Linotype" w:hAnsi="Palatino Linotype" w:cs="Arial"/>
          <w:sz w:val="24"/>
          <w:szCs w:val="24"/>
          <w:lang w:val="es-ES"/>
        </w:rPr>
        <w:t>, se observa que</w:t>
      </w:r>
      <w:r w:rsidRPr="00CA130F">
        <w:rPr>
          <w:rFonts w:ascii="Palatino Linotype" w:hAnsi="Palatino Linotype" w:cs="Arial"/>
          <w:b/>
          <w:sz w:val="24"/>
          <w:szCs w:val="24"/>
          <w:lang w:val="es-ES"/>
        </w:rPr>
        <w:t xml:space="preserve"> </w:t>
      </w:r>
      <w:r w:rsidRPr="00CA130F">
        <w:rPr>
          <w:rFonts w:ascii="Palatino Linotype" w:hAnsi="Palatino Linotype" w:cs="Arial"/>
          <w:sz w:val="24"/>
          <w:szCs w:val="24"/>
          <w:lang w:val="es-ES"/>
        </w:rPr>
        <w:t xml:space="preserve">el </w:t>
      </w:r>
      <w:r w:rsidRPr="00CA130F">
        <w:rPr>
          <w:rFonts w:ascii="Palatino Linotype" w:hAnsi="Palatino Linotype" w:cs="Arial"/>
          <w:b/>
          <w:sz w:val="24"/>
          <w:szCs w:val="24"/>
          <w:lang w:val="es-ES"/>
        </w:rPr>
        <w:t>SUJETO OBLIGADO</w:t>
      </w:r>
      <w:r w:rsidRPr="00CA130F">
        <w:rPr>
          <w:rFonts w:ascii="Palatino Linotype" w:hAnsi="Palatino Linotype" w:cs="Arial"/>
          <w:sz w:val="24"/>
          <w:szCs w:val="24"/>
          <w:lang w:val="es-ES"/>
        </w:rPr>
        <w:t xml:space="preserve"> fue omiso en enviar el Informe Justificado, en consecuencia, el particular no realizó manifestación alguna, ni presentó pruebas o alegatos. Como se desprende a continuación</w:t>
      </w:r>
      <w:r w:rsidRPr="00CA130F">
        <w:rPr>
          <w:rFonts w:ascii="Palatino Linotype" w:hAnsi="Palatino Linotype" w:cs="Arial"/>
          <w:noProof/>
          <w:sz w:val="24"/>
          <w:szCs w:val="24"/>
          <w:lang w:eastAsia="es-MX"/>
        </w:rPr>
        <w:t xml:space="preserve">: </w:t>
      </w:r>
    </w:p>
    <w:p w14:paraId="54AA6F0A" w14:textId="77777777" w:rsidR="00134153" w:rsidRPr="00CA130F" w:rsidRDefault="00134153" w:rsidP="00134153">
      <w:pPr>
        <w:spacing w:before="100" w:beforeAutospacing="1" w:after="100" w:afterAutospacing="1" w:line="360" w:lineRule="auto"/>
        <w:jc w:val="center"/>
        <w:rPr>
          <w:rFonts w:ascii="Palatino Linotype" w:hAnsi="Palatino Linotype" w:cs="Arial"/>
          <w:noProof/>
          <w:lang w:eastAsia="es-MX"/>
        </w:rPr>
      </w:pPr>
      <w:r w:rsidRPr="00CA130F">
        <w:rPr>
          <w:noProof/>
          <w:lang w:eastAsia="es-MX"/>
        </w:rPr>
        <w:lastRenderedPageBreak/>
        <w:drawing>
          <wp:inline distT="0" distB="0" distL="0" distR="0" wp14:anchorId="4C6D3B76" wp14:editId="158F0A24">
            <wp:extent cx="5486313" cy="175564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560" t="39796" r="13790" b="25401"/>
                    <a:stretch/>
                  </pic:blipFill>
                  <pic:spPr bwMode="auto">
                    <a:xfrm>
                      <a:off x="0" y="0"/>
                      <a:ext cx="5517759" cy="1765711"/>
                    </a:xfrm>
                    <a:prstGeom prst="rect">
                      <a:avLst/>
                    </a:prstGeom>
                    <a:ln>
                      <a:noFill/>
                    </a:ln>
                    <a:extLst>
                      <a:ext uri="{53640926-AAD7-44D8-BBD7-CCE9431645EC}">
                        <a14:shadowObscured xmlns:a14="http://schemas.microsoft.com/office/drawing/2010/main"/>
                      </a:ext>
                    </a:extLst>
                  </pic:spPr>
                </pic:pic>
              </a:graphicData>
            </a:graphic>
          </wp:inline>
        </w:drawing>
      </w:r>
    </w:p>
    <w:p w14:paraId="2972C832" w14:textId="77777777" w:rsidR="00134153" w:rsidRPr="00CA130F" w:rsidRDefault="00435682" w:rsidP="00134153">
      <w:pPr>
        <w:spacing w:before="100" w:beforeAutospacing="1" w:after="100" w:afterAutospacing="1" w:line="360" w:lineRule="auto"/>
        <w:jc w:val="both"/>
        <w:rPr>
          <w:rFonts w:ascii="Palatino Linotype" w:hAnsi="Palatino Linotype"/>
          <w:b/>
          <w:color w:val="000000" w:themeColor="text1"/>
          <w:sz w:val="28"/>
          <w:szCs w:val="28"/>
        </w:rPr>
      </w:pPr>
      <w:r w:rsidRPr="00CA130F">
        <w:rPr>
          <w:rFonts w:ascii="Palatino Linotype" w:eastAsia="Arial Unicode MS" w:hAnsi="Palatino Linotype" w:cs="Arial"/>
          <w:b/>
          <w:color w:val="000000" w:themeColor="text1"/>
          <w:sz w:val="28"/>
          <w:szCs w:val="28"/>
        </w:rPr>
        <w:t xml:space="preserve">VII. </w:t>
      </w:r>
      <w:r w:rsidR="00134153" w:rsidRPr="00CA130F">
        <w:rPr>
          <w:rFonts w:ascii="Palatino Linotype" w:hAnsi="Palatino Linotype"/>
          <w:b/>
          <w:color w:val="000000" w:themeColor="text1"/>
          <w:sz w:val="28"/>
          <w:szCs w:val="28"/>
        </w:rPr>
        <w:t>Cierre de instrucción</w:t>
      </w:r>
    </w:p>
    <w:p w14:paraId="3376FFC8" w14:textId="77777777" w:rsidR="00134153" w:rsidRPr="00CA130F" w:rsidRDefault="00134153" w:rsidP="00134153">
      <w:pPr>
        <w:spacing w:line="360" w:lineRule="auto"/>
        <w:jc w:val="both"/>
        <w:rPr>
          <w:rFonts w:ascii="Palatino Linotype" w:hAnsi="Palatino Linotype" w:cs="Arial"/>
          <w:noProof/>
          <w:sz w:val="24"/>
          <w:szCs w:val="24"/>
          <w:lang w:eastAsia="es-MX"/>
        </w:rPr>
      </w:pPr>
      <w:r w:rsidRPr="00CA130F">
        <w:rPr>
          <w:rFonts w:ascii="Palatino Linotype" w:hAnsi="Palatino Linotype"/>
          <w:sz w:val="24"/>
          <w:szCs w:val="24"/>
        </w:rPr>
        <w:t>En fecha diecisiete de diciembre de dos mil veinte, se notificó a las partes el Acuerdo de Cierre de Instrucción; por lo que, c</w:t>
      </w:r>
      <w:r w:rsidRPr="00CA130F">
        <w:rPr>
          <w:rFonts w:ascii="Palatino Linotype" w:hAnsi="Palatino Linotype" w:cs="Arial"/>
          <w:sz w:val="24"/>
          <w:szCs w:val="24"/>
        </w:rPr>
        <w:t xml:space="preserve">on fundamento en el artículo 185, fracción VIII de la Ley de Transparencia y Acceso a la Información Pública del Estado de México y Municipios, se remitió el expediente a efecto de que la Comisionada </w:t>
      </w:r>
      <w:r w:rsidRPr="00CA130F">
        <w:rPr>
          <w:rFonts w:ascii="Palatino Linotype" w:hAnsi="Palatino Linotype" w:cs="Arial"/>
          <w:b/>
          <w:sz w:val="24"/>
          <w:szCs w:val="24"/>
        </w:rPr>
        <w:t>EVA ABAID YAPUR</w:t>
      </w:r>
      <w:r w:rsidRPr="00CA130F">
        <w:rPr>
          <w:rFonts w:ascii="Palatino Linotype" w:hAnsi="Palatino Linotype" w:cs="Arial"/>
          <w:sz w:val="24"/>
          <w:szCs w:val="24"/>
        </w:rPr>
        <w:t xml:space="preserve"> formule y presente al Pleno el proyecto de resolución correspondiente; y,</w:t>
      </w:r>
    </w:p>
    <w:p w14:paraId="773F586C" w14:textId="77777777" w:rsidR="00134153" w:rsidRPr="00CA130F" w:rsidRDefault="00435682" w:rsidP="00B555AB">
      <w:pPr>
        <w:pStyle w:val="Prrafodelista"/>
        <w:tabs>
          <w:tab w:val="left" w:pos="567"/>
        </w:tabs>
        <w:spacing w:before="100" w:beforeAutospacing="1" w:after="100" w:afterAutospacing="1" w:line="360" w:lineRule="auto"/>
        <w:ind w:left="0"/>
        <w:jc w:val="both"/>
        <w:rPr>
          <w:rStyle w:val="Ninguno"/>
          <w:rFonts w:ascii="Palatino Linotype" w:eastAsia="Palatino Linotype" w:hAnsi="Palatino Linotype" w:cs="Palatino Linotype"/>
          <w:b/>
          <w:sz w:val="28"/>
          <w:szCs w:val="28"/>
        </w:rPr>
      </w:pPr>
      <w:r w:rsidRPr="00CA130F">
        <w:rPr>
          <w:rFonts w:ascii="Palatino Linotype" w:eastAsia="Arial Unicode MS" w:hAnsi="Palatino Linotype" w:cs="Arial"/>
          <w:b/>
          <w:color w:val="000000" w:themeColor="text1"/>
          <w:sz w:val="28"/>
          <w:szCs w:val="28"/>
        </w:rPr>
        <w:t xml:space="preserve">VIII. </w:t>
      </w:r>
      <w:r w:rsidR="00134153" w:rsidRPr="00CA130F">
        <w:rPr>
          <w:rStyle w:val="Ninguno"/>
          <w:rFonts w:ascii="Palatino Linotype" w:eastAsia="Palatino Linotype" w:hAnsi="Palatino Linotype" w:cs="Palatino Linotype"/>
          <w:b/>
          <w:sz w:val="28"/>
          <w:szCs w:val="28"/>
        </w:rPr>
        <w:t>Resolución del recurso de revisión</w:t>
      </w:r>
    </w:p>
    <w:p w14:paraId="54300CFC" w14:textId="77777777" w:rsidR="00134153" w:rsidRPr="00CA130F" w:rsidRDefault="00134153" w:rsidP="00B555AB">
      <w:pPr>
        <w:pStyle w:val="Prrafodelista"/>
        <w:spacing w:before="100" w:beforeAutospacing="1" w:after="100" w:afterAutospacing="1" w:line="360" w:lineRule="auto"/>
        <w:ind w:left="0"/>
        <w:jc w:val="both"/>
        <w:rPr>
          <w:rFonts w:ascii="Palatino Linotype" w:eastAsia="Palatino Linotype" w:hAnsi="Palatino Linotype" w:cs="Palatino Linotype"/>
          <w:lang w:val="es-ES_tradnl"/>
        </w:rPr>
      </w:pPr>
      <w:r w:rsidRPr="00CA130F">
        <w:rPr>
          <w:rStyle w:val="Ninguno"/>
          <w:rFonts w:ascii="Palatino Linotype" w:eastAsia="Palatino Linotype" w:hAnsi="Palatino Linotype" w:cs="Palatino Linotype"/>
        </w:rPr>
        <w:t xml:space="preserve">En fecha </w:t>
      </w:r>
      <w:r w:rsidR="00B555AB" w:rsidRPr="00CA130F">
        <w:rPr>
          <w:rStyle w:val="Ninguno"/>
          <w:rFonts w:ascii="Palatino Linotype" w:eastAsia="Palatino Linotype" w:hAnsi="Palatino Linotype" w:cs="Palatino Linotype"/>
        </w:rPr>
        <w:t xml:space="preserve">veinte de enero de dos mil </w:t>
      </w:r>
      <w:r w:rsidRPr="00CA130F">
        <w:rPr>
          <w:rStyle w:val="Ninguno"/>
          <w:rFonts w:ascii="Palatino Linotype" w:eastAsia="Palatino Linotype" w:hAnsi="Palatino Linotype" w:cs="Palatino Linotype"/>
        </w:rPr>
        <w:t>veintiuno, en la Primera Sesión Ordinaria, el Pleno del Instituto de Transparencia, Acceso a la Información Pública y Protección de Datos Personales del Estado de México y Municipios, aprobó, por mayoría de votos, la resolución dictada en</w:t>
      </w:r>
      <w:r w:rsidRPr="00CA130F">
        <w:rPr>
          <w:rFonts w:ascii="Palatino Linotype" w:hAnsi="Palatino Linotype"/>
        </w:rPr>
        <w:t xml:space="preserve"> </w:t>
      </w:r>
      <w:r w:rsidR="00B555AB" w:rsidRPr="00CA130F">
        <w:rPr>
          <w:rFonts w:ascii="Palatino Linotype" w:hAnsi="Palatino Linotype"/>
        </w:rPr>
        <w:t xml:space="preserve">el recurso </w:t>
      </w:r>
      <w:r w:rsidRPr="00CA130F">
        <w:rPr>
          <w:rFonts w:ascii="Palatino Linotype" w:hAnsi="Palatino Linotype"/>
        </w:rPr>
        <w:t xml:space="preserve">de revisión </w:t>
      </w:r>
      <w:r w:rsidR="00B555AB" w:rsidRPr="00CA130F">
        <w:rPr>
          <w:rFonts w:ascii="Palatino Linotype" w:hAnsi="Palatino Linotype"/>
          <w:b/>
          <w:color w:val="000000" w:themeColor="text1"/>
          <w:spacing w:val="-20"/>
          <w:u w:val="single"/>
        </w:rPr>
        <w:t>05922</w:t>
      </w:r>
      <w:r w:rsidRPr="00CA130F">
        <w:rPr>
          <w:rFonts w:ascii="Palatino Linotype" w:hAnsi="Palatino Linotype"/>
          <w:b/>
          <w:color w:val="000000" w:themeColor="text1"/>
          <w:spacing w:val="-20"/>
          <w:u w:val="single"/>
        </w:rPr>
        <w:t>/INFOEM/IP/RR/202</w:t>
      </w:r>
      <w:r w:rsidR="00B555AB" w:rsidRPr="00CA130F">
        <w:rPr>
          <w:rFonts w:ascii="Palatino Linotype" w:hAnsi="Palatino Linotype"/>
          <w:b/>
          <w:color w:val="000000" w:themeColor="text1"/>
          <w:spacing w:val="-20"/>
          <w:u w:val="single"/>
        </w:rPr>
        <w:t>0</w:t>
      </w:r>
      <w:r w:rsidRPr="00CA130F">
        <w:rPr>
          <w:rFonts w:ascii="Palatino Linotype" w:hAnsi="Palatino Linotype"/>
        </w:rPr>
        <w:t xml:space="preserve"> notificada el veinti</w:t>
      </w:r>
      <w:r w:rsidR="00B555AB" w:rsidRPr="00CA130F">
        <w:rPr>
          <w:rFonts w:ascii="Palatino Linotype" w:hAnsi="Palatino Linotype"/>
        </w:rPr>
        <w:t xml:space="preserve">cinco de enero de dos mil veinte, </w:t>
      </w:r>
      <w:r w:rsidRPr="00CA130F">
        <w:rPr>
          <w:rFonts w:ascii="Palatino Linotype" w:hAnsi="Palatino Linotype"/>
        </w:rPr>
        <w:t>en la cual se determinó lo siguiente:</w:t>
      </w:r>
    </w:p>
    <w:p w14:paraId="526F1329" w14:textId="77777777" w:rsidR="00B555AB" w:rsidRPr="00CA130F" w:rsidRDefault="00B555AB" w:rsidP="00B555AB">
      <w:pPr>
        <w:spacing w:after="0" w:line="240" w:lineRule="auto"/>
        <w:ind w:left="851" w:right="899"/>
        <w:jc w:val="both"/>
        <w:rPr>
          <w:rFonts w:ascii="Palatino Linotype" w:hAnsi="Palatino Linotype"/>
          <w:i/>
        </w:rPr>
      </w:pPr>
      <w:r w:rsidRPr="00CA130F">
        <w:rPr>
          <w:rFonts w:ascii="Palatino Linotype" w:hAnsi="Palatino Linotype"/>
          <w:b/>
          <w:i/>
        </w:rPr>
        <w:t>PRIMERO</w:t>
      </w:r>
      <w:r w:rsidRPr="00CA130F">
        <w:rPr>
          <w:rFonts w:ascii="Palatino Linotype" w:hAnsi="Palatino Linotype"/>
          <w:i/>
        </w:rPr>
        <w:t xml:space="preserve">. Resultan </w:t>
      </w:r>
      <w:r w:rsidRPr="00CA130F">
        <w:rPr>
          <w:rFonts w:ascii="Palatino Linotype" w:hAnsi="Palatino Linotype"/>
          <w:b/>
          <w:i/>
        </w:rPr>
        <w:t>fundadas</w:t>
      </w:r>
      <w:r w:rsidRPr="00CA130F">
        <w:rPr>
          <w:rFonts w:ascii="Palatino Linotype" w:hAnsi="Palatino Linotype"/>
          <w:i/>
        </w:rPr>
        <w:t xml:space="preserve"> las razones o motivos de inconformidad hechas valer por </w:t>
      </w:r>
      <w:r w:rsidRPr="00CA130F">
        <w:rPr>
          <w:rFonts w:ascii="Palatino Linotype" w:hAnsi="Palatino Linotype"/>
          <w:b/>
          <w:i/>
        </w:rPr>
        <w:t>EL RECURRENTE</w:t>
      </w:r>
      <w:r w:rsidRPr="00CA130F">
        <w:rPr>
          <w:rFonts w:ascii="Palatino Linotype" w:hAnsi="Palatino Linotype"/>
          <w:i/>
        </w:rPr>
        <w:t xml:space="preserve">, en términos del Considerando </w:t>
      </w:r>
      <w:r w:rsidRPr="00CA130F">
        <w:rPr>
          <w:rFonts w:ascii="Palatino Linotype" w:hAnsi="Palatino Linotype"/>
          <w:b/>
          <w:i/>
        </w:rPr>
        <w:t>QUINTO</w:t>
      </w:r>
      <w:r w:rsidRPr="00CA130F">
        <w:rPr>
          <w:rFonts w:ascii="Palatino Linotype" w:hAnsi="Palatino Linotype"/>
          <w:i/>
        </w:rPr>
        <w:t xml:space="preserve"> de la presente resolución.</w:t>
      </w:r>
    </w:p>
    <w:p w14:paraId="0A3EF027" w14:textId="77777777" w:rsidR="00B555AB" w:rsidRPr="00CA130F" w:rsidRDefault="00B555AB" w:rsidP="00B555AB">
      <w:pPr>
        <w:spacing w:after="0" w:line="240" w:lineRule="auto"/>
        <w:ind w:left="851" w:right="899"/>
        <w:jc w:val="both"/>
        <w:rPr>
          <w:rFonts w:ascii="Palatino Linotype" w:hAnsi="Palatino Linotype"/>
          <w:i/>
        </w:rPr>
      </w:pPr>
      <w:r w:rsidRPr="00CA130F">
        <w:rPr>
          <w:rFonts w:ascii="Palatino Linotype" w:hAnsi="Palatino Linotype"/>
          <w:b/>
          <w:i/>
        </w:rPr>
        <w:lastRenderedPageBreak/>
        <w:t>SEGUNDO</w:t>
      </w:r>
      <w:r w:rsidRPr="00CA130F">
        <w:rPr>
          <w:rFonts w:ascii="Palatino Linotype" w:hAnsi="Palatino Linotype"/>
          <w:i/>
        </w:rPr>
        <w:t xml:space="preserve">. Se </w:t>
      </w:r>
      <w:r w:rsidRPr="00CA130F">
        <w:rPr>
          <w:rFonts w:ascii="Palatino Linotype" w:hAnsi="Palatino Linotype"/>
          <w:b/>
          <w:i/>
        </w:rPr>
        <w:t>ORDENA</w:t>
      </w:r>
      <w:r w:rsidRPr="00CA130F">
        <w:rPr>
          <w:rFonts w:ascii="Palatino Linotype" w:hAnsi="Palatino Linotype"/>
          <w:i/>
        </w:rPr>
        <w:t xml:space="preserve"> al </w:t>
      </w:r>
      <w:r w:rsidRPr="00CA130F">
        <w:rPr>
          <w:rFonts w:ascii="Palatino Linotype" w:hAnsi="Palatino Linotype"/>
          <w:b/>
          <w:i/>
        </w:rPr>
        <w:t>SUJETO OBLIGADO</w:t>
      </w:r>
      <w:r w:rsidRPr="00CA130F">
        <w:rPr>
          <w:rFonts w:ascii="Palatino Linotype" w:hAnsi="Palatino Linotype"/>
          <w:i/>
        </w:rPr>
        <w:t xml:space="preserve"> dé trámite a la solicitud de acceso a la información pública que dio origen al recurso de revisión número </w:t>
      </w:r>
      <w:r w:rsidRPr="00CA130F">
        <w:rPr>
          <w:rFonts w:ascii="Palatino Linotype" w:hAnsi="Palatino Linotype"/>
          <w:b/>
          <w:i/>
        </w:rPr>
        <w:t>05922/INFOEM/IP/RR/2020</w:t>
      </w:r>
      <w:r w:rsidRPr="00CA130F">
        <w:rPr>
          <w:rFonts w:ascii="Palatino Linotype" w:hAnsi="Palatino Linotype"/>
          <w:i/>
        </w:rPr>
        <w:t xml:space="preserve">, vía </w:t>
      </w:r>
      <w:r w:rsidRPr="00CA130F">
        <w:rPr>
          <w:rFonts w:ascii="Palatino Linotype" w:hAnsi="Palatino Linotype"/>
          <w:b/>
          <w:i/>
        </w:rPr>
        <w:t>SAIMEX</w:t>
      </w:r>
      <w:r w:rsidRPr="00CA130F">
        <w:rPr>
          <w:rFonts w:ascii="Palatino Linotype" w:hAnsi="Palatino Linotype"/>
          <w:i/>
        </w:rPr>
        <w:t xml:space="preserve">, en términos del Considerando </w:t>
      </w:r>
      <w:r w:rsidRPr="00CA130F">
        <w:rPr>
          <w:rFonts w:ascii="Palatino Linotype" w:hAnsi="Palatino Linotype"/>
          <w:b/>
          <w:i/>
        </w:rPr>
        <w:t>QUINTO</w:t>
      </w:r>
      <w:r w:rsidRPr="00CA130F">
        <w:rPr>
          <w:rFonts w:ascii="Palatino Linotype" w:hAnsi="Palatino Linotype"/>
          <w:i/>
        </w:rPr>
        <w:t xml:space="preserve"> de esta resolución; y emita respuesta, debiendo observar las excepciones contenidas en la Ley de Transparencia y Acceso a la Información Pública del Estado de México y Municipios, que en su caso resulten aplicables. </w:t>
      </w:r>
    </w:p>
    <w:p w14:paraId="2B8FBCFE" w14:textId="77777777" w:rsidR="00B555AB" w:rsidRPr="00CA130F" w:rsidRDefault="00B555AB" w:rsidP="00B555AB">
      <w:pPr>
        <w:spacing w:after="0" w:line="240" w:lineRule="auto"/>
        <w:ind w:left="851" w:right="899"/>
        <w:jc w:val="both"/>
        <w:rPr>
          <w:rFonts w:ascii="Palatino Linotype" w:hAnsi="Palatino Linotype"/>
          <w:i/>
        </w:rPr>
      </w:pPr>
    </w:p>
    <w:p w14:paraId="44523849" w14:textId="77777777" w:rsidR="00435682" w:rsidRPr="00CA130F" w:rsidRDefault="00B555AB" w:rsidP="00B555AB">
      <w:pPr>
        <w:spacing w:after="0" w:line="240" w:lineRule="auto"/>
        <w:ind w:left="851" w:right="899"/>
        <w:jc w:val="both"/>
        <w:rPr>
          <w:rFonts w:ascii="Palatino Linotype" w:hAnsi="Palatino Linotype"/>
          <w:i/>
        </w:rPr>
      </w:pPr>
      <w:r w:rsidRPr="00CA130F">
        <w:rPr>
          <w:rFonts w:ascii="Palatino Linotype" w:hAnsi="Palatino Linotype"/>
          <w:b/>
          <w:i/>
        </w:rPr>
        <w:t>TERCERO</w:t>
      </w:r>
      <w:r w:rsidRPr="00CA130F">
        <w:rPr>
          <w:rFonts w:ascii="Palatino Linotype" w:hAnsi="Palatino Linotype"/>
          <w:i/>
        </w:rPr>
        <w:t xml:space="preserve">. </w:t>
      </w:r>
      <w:r w:rsidRPr="00CA130F">
        <w:rPr>
          <w:rFonts w:ascii="Palatino Linotype" w:hAnsi="Palatino Linotype"/>
          <w:b/>
          <w:i/>
        </w:rPr>
        <w:t>Notifíquese</w:t>
      </w:r>
      <w:r w:rsidRPr="00CA130F">
        <w:rPr>
          <w:rFonts w:ascii="Palatino Linotype" w:hAnsi="Palatino Linotype"/>
          <w:i/>
        </w:rPr>
        <w:t xml:space="preserve"> al Titular de la Unidad de Transparencia del </w:t>
      </w:r>
      <w:r w:rsidRPr="00CA130F">
        <w:rPr>
          <w:rFonts w:ascii="Palatino Linotype" w:hAnsi="Palatino Linotype"/>
          <w:b/>
          <w:i/>
        </w:rPr>
        <w:t>SUJETO OBLIGADO</w:t>
      </w:r>
      <w:r w:rsidRPr="00CA130F">
        <w:rPr>
          <w:rFonts w:ascii="Palatino Linotype" w:hAnsi="Palatino Linotype"/>
          <w:i/>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21462475" w14:textId="77777777" w:rsidR="00B555AB" w:rsidRPr="00CA130F" w:rsidRDefault="00B555AB" w:rsidP="00B555AB">
      <w:pPr>
        <w:spacing w:after="0" w:line="240" w:lineRule="auto"/>
        <w:ind w:left="851" w:right="899"/>
        <w:jc w:val="both"/>
        <w:rPr>
          <w:rFonts w:ascii="Palatino Linotype" w:hAnsi="Palatino Linotype"/>
          <w:i/>
        </w:rPr>
      </w:pPr>
    </w:p>
    <w:p w14:paraId="1AF1717A" w14:textId="77777777" w:rsidR="00B555AB" w:rsidRPr="00CA130F" w:rsidRDefault="00B555AB" w:rsidP="00B555AB">
      <w:pPr>
        <w:spacing w:after="0" w:line="240" w:lineRule="auto"/>
        <w:ind w:left="851" w:right="899"/>
        <w:jc w:val="both"/>
        <w:rPr>
          <w:rFonts w:ascii="Palatino Linotype" w:hAnsi="Palatino Linotype"/>
          <w:i/>
        </w:rPr>
      </w:pPr>
      <w:r w:rsidRPr="00CA130F">
        <w:rPr>
          <w:rFonts w:ascii="Palatino Linotype" w:hAnsi="Palatino Linotype"/>
          <w:b/>
          <w:i/>
        </w:rPr>
        <w:t>CUARTO</w:t>
      </w:r>
      <w:r w:rsidRPr="00CA130F">
        <w:rPr>
          <w:rFonts w:ascii="Palatino Linotype" w:hAnsi="Palatino Linotype"/>
          <w:i/>
        </w:rPr>
        <w:t xml:space="preserve">. Con fundamento en el artículo 198 de la Ley de Transparencia y Acceso a la Información Pública del Estado de México y Municipios, se apercibe al </w:t>
      </w:r>
      <w:r w:rsidRPr="00CA130F">
        <w:rPr>
          <w:rFonts w:ascii="Palatino Linotype" w:hAnsi="Palatino Linotype"/>
          <w:b/>
          <w:i/>
        </w:rPr>
        <w:t>SUJETO OBLIGADO</w:t>
      </w:r>
      <w:r w:rsidRPr="00CA130F">
        <w:rPr>
          <w:rFonts w:ascii="Palatino Linotype" w:hAnsi="Palatino Linotype"/>
          <w:i/>
        </w:rPr>
        <w:t xml:space="preserve"> que, en caso de negarse a cumplir la presente resolución o hacerlo de manera parcial se actuará de conformidad con lo previsto en los artículos 213, 214, 216 y 217 de dicha Ley. </w:t>
      </w:r>
    </w:p>
    <w:p w14:paraId="3B9B080C" w14:textId="77777777" w:rsidR="00B555AB" w:rsidRPr="00CA130F" w:rsidRDefault="00B555AB" w:rsidP="00B555AB">
      <w:pPr>
        <w:spacing w:after="0" w:line="240" w:lineRule="auto"/>
        <w:ind w:left="851" w:right="899"/>
        <w:jc w:val="both"/>
        <w:rPr>
          <w:rFonts w:ascii="Palatino Linotype" w:hAnsi="Palatino Linotype"/>
          <w:b/>
          <w:i/>
        </w:rPr>
      </w:pPr>
    </w:p>
    <w:p w14:paraId="45908D13" w14:textId="77777777" w:rsidR="00B555AB" w:rsidRPr="00CA130F" w:rsidRDefault="00B555AB" w:rsidP="00B555AB">
      <w:pPr>
        <w:spacing w:after="0" w:line="240" w:lineRule="auto"/>
        <w:ind w:left="851" w:right="899"/>
        <w:jc w:val="both"/>
        <w:rPr>
          <w:rFonts w:ascii="Palatino Linotype" w:hAnsi="Palatino Linotype"/>
          <w:i/>
        </w:rPr>
      </w:pPr>
      <w:r w:rsidRPr="00CA130F">
        <w:rPr>
          <w:rFonts w:ascii="Palatino Linotype" w:hAnsi="Palatino Linotype"/>
          <w:b/>
          <w:i/>
        </w:rPr>
        <w:t>QUINTO</w:t>
      </w:r>
      <w:r w:rsidRPr="00CA130F">
        <w:rPr>
          <w:rFonts w:ascii="Palatino Linotype" w:hAnsi="Palatino Linotype"/>
          <w:i/>
        </w:rPr>
        <w:t xml:space="preserve">. </w:t>
      </w:r>
      <w:r w:rsidRPr="00CA130F">
        <w:rPr>
          <w:rFonts w:ascii="Palatino Linotype" w:hAnsi="Palatino Linotype"/>
          <w:b/>
          <w:i/>
        </w:rPr>
        <w:t>Notifíquese</w:t>
      </w:r>
      <w:r w:rsidRPr="00CA130F">
        <w:rPr>
          <w:rFonts w:ascii="Palatino Linotype" w:hAnsi="Palatino Linotype"/>
          <w:i/>
        </w:rPr>
        <w:t xml:space="preserve"> al </w:t>
      </w:r>
      <w:r w:rsidRPr="00CA130F">
        <w:rPr>
          <w:rFonts w:ascii="Palatino Linotype" w:hAnsi="Palatino Linotype"/>
          <w:b/>
          <w:i/>
        </w:rPr>
        <w:t>RECURRENTE</w:t>
      </w:r>
      <w:r w:rsidRPr="00CA130F">
        <w:rPr>
          <w:rFonts w:ascii="Palatino Linotype" w:hAnsi="Palatino Linotype"/>
          <w:i/>
        </w:rPr>
        <w:t xml:space="preserve"> la presente resolución. </w:t>
      </w:r>
    </w:p>
    <w:p w14:paraId="5580EE23" w14:textId="77777777" w:rsidR="00B555AB" w:rsidRPr="00CA130F" w:rsidRDefault="00B555AB" w:rsidP="00B555AB">
      <w:pPr>
        <w:spacing w:after="0" w:line="240" w:lineRule="auto"/>
        <w:ind w:left="851" w:right="899"/>
        <w:jc w:val="both"/>
        <w:rPr>
          <w:rFonts w:ascii="Palatino Linotype" w:hAnsi="Palatino Linotype"/>
          <w:i/>
        </w:rPr>
      </w:pPr>
    </w:p>
    <w:p w14:paraId="4E3CA58E" w14:textId="77777777" w:rsidR="00B555AB" w:rsidRPr="00CA130F" w:rsidRDefault="00B555AB" w:rsidP="00B555AB">
      <w:pPr>
        <w:spacing w:after="0" w:line="240" w:lineRule="auto"/>
        <w:ind w:left="851" w:right="899"/>
        <w:jc w:val="both"/>
        <w:rPr>
          <w:rFonts w:ascii="Palatino Linotype" w:hAnsi="Palatino Linotype"/>
          <w:i/>
        </w:rPr>
      </w:pPr>
      <w:r w:rsidRPr="00CA130F">
        <w:rPr>
          <w:rFonts w:ascii="Palatino Linotype" w:hAnsi="Palatino Linotype"/>
          <w:b/>
          <w:i/>
        </w:rPr>
        <w:t>SEXTO</w:t>
      </w:r>
      <w:r w:rsidRPr="00CA130F">
        <w:rPr>
          <w:rFonts w:ascii="Palatino Linotype" w:hAnsi="Palatino Linotype"/>
          <w:i/>
        </w:rPr>
        <w:t xml:space="preserve">. </w:t>
      </w:r>
      <w:r w:rsidRPr="00CA130F">
        <w:rPr>
          <w:rFonts w:ascii="Palatino Linotype" w:hAnsi="Palatino Linotype"/>
          <w:b/>
          <w:i/>
        </w:rPr>
        <w:t>Hágase del conocimiento</w:t>
      </w:r>
      <w:r w:rsidRPr="00CA130F">
        <w:rPr>
          <w:rFonts w:ascii="Palatino Linotype" w:hAnsi="Palatino Linotype"/>
          <w:i/>
        </w:rPr>
        <w:t xml:space="preserve"> del </w:t>
      </w:r>
      <w:r w:rsidRPr="00CA130F">
        <w:rPr>
          <w:rFonts w:ascii="Palatino Linotype" w:hAnsi="Palatino Linotype"/>
          <w:b/>
          <w:i/>
        </w:rPr>
        <w:t>RECURRENTE</w:t>
      </w:r>
      <w:r w:rsidRPr="00CA130F">
        <w:rPr>
          <w:rFonts w:ascii="Palatino Linotype" w:hAnsi="Palatino Linotype"/>
          <w:i/>
        </w:rPr>
        <w:t xml:space="preserve"> que, de conformidad con lo establecido en el artículo 196 de la Ley de Transparencia y Acceso a la Información Pública del Estado de México y Municipios, podrá impugnarla vía Juicio de Amparo en los términos de las leyes aplicables. </w:t>
      </w:r>
    </w:p>
    <w:p w14:paraId="07A8278F" w14:textId="77777777" w:rsidR="00B555AB" w:rsidRPr="00CA130F" w:rsidRDefault="00B555AB" w:rsidP="00B555AB">
      <w:pPr>
        <w:spacing w:after="0" w:line="240" w:lineRule="auto"/>
        <w:ind w:left="851" w:right="899"/>
        <w:jc w:val="both"/>
        <w:rPr>
          <w:rFonts w:ascii="Palatino Linotype" w:hAnsi="Palatino Linotype"/>
          <w:i/>
        </w:rPr>
      </w:pPr>
    </w:p>
    <w:p w14:paraId="59024CCC" w14:textId="77777777" w:rsidR="00B555AB" w:rsidRPr="00CA130F" w:rsidRDefault="00B555AB" w:rsidP="00B555AB">
      <w:pPr>
        <w:spacing w:after="0" w:line="240" w:lineRule="auto"/>
        <w:ind w:left="851" w:right="899"/>
        <w:jc w:val="both"/>
        <w:rPr>
          <w:rFonts w:ascii="Palatino Linotype" w:hAnsi="Palatino Linotype"/>
          <w:i/>
        </w:rPr>
      </w:pPr>
      <w:r w:rsidRPr="00CA130F">
        <w:rPr>
          <w:rFonts w:ascii="Palatino Linotype" w:hAnsi="Palatino Linotype"/>
          <w:b/>
          <w:i/>
        </w:rPr>
        <w:t>SÉPTIMO</w:t>
      </w:r>
      <w:r w:rsidRPr="00CA130F">
        <w:rPr>
          <w:rFonts w:ascii="Palatino Linotype" w:hAnsi="Palatino Linotype"/>
          <w:i/>
        </w:rPr>
        <w:t xml:space="preserve">. </w:t>
      </w:r>
      <w:r w:rsidRPr="00CA130F">
        <w:rPr>
          <w:rFonts w:ascii="Palatino Linotype" w:hAnsi="Palatino Linotype"/>
          <w:b/>
          <w:i/>
        </w:rPr>
        <w:t>Hágase del conocimiento</w:t>
      </w:r>
      <w:r w:rsidRPr="00CA130F">
        <w:rPr>
          <w:rFonts w:ascii="Palatino Linotype" w:hAnsi="Palatino Linotype"/>
          <w:i/>
        </w:rPr>
        <w:t xml:space="preserve"> del </w:t>
      </w:r>
      <w:r w:rsidRPr="00CA130F">
        <w:rPr>
          <w:rFonts w:ascii="Palatino Linotype" w:hAnsi="Palatino Linotype"/>
          <w:b/>
          <w:i/>
        </w:rPr>
        <w:t>RECURRENTE</w:t>
      </w:r>
      <w:r w:rsidRPr="00CA130F">
        <w:rPr>
          <w:rFonts w:ascii="Palatino Linotype" w:hAnsi="Palatino Linotype"/>
          <w:i/>
        </w:rPr>
        <w:t xml:space="preserve"> que la respuesta que dé </w:t>
      </w:r>
      <w:r w:rsidRPr="00CA130F">
        <w:rPr>
          <w:rFonts w:ascii="Palatino Linotype" w:hAnsi="Palatino Linotype"/>
          <w:b/>
          <w:i/>
        </w:rPr>
        <w:t>EL SUJETO OBLIGADO</w:t>
      </w:r>
      <w:r w:rsidRPr="00CA130F">
        <w:rPr>
          <w:rFonts w:ascii="Palatino Linotype" w:hAnsi="Palatino Linotype"/>
          <w:i/>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 </w:t>
      </w:r>
    </w:p>
    <w:p w14:paraId="4849229F" w14:textId="77777777" w:rsidR="00B555AB" w:rsidRPr="00CA130F" w:rsidRDefault="00B555AB" w:rsidP="00B555AB">
      <w:pPr>
        <w:spacing w:after="0" w:line="240" w:lineRule="auto"/>
        <w:ind w:left="851" w:right="899"/>
        <w:jc w:val="both"/>
        <w:rPr>
          <w:rFonts w:ascii="Palatino Linotype" w:hAnsi="Palatino Linotype"/>
          <w:i/>
        </w:rPr>
      </w:pPr>
    </w:p>
    <w:p w14:paraId="38C218E9" w14:textId="77777777" w:rsidR="00B555AB" w:rsidRPr="00CA130F" w:rsidRDefault="00B555AB" w:rsidP="00B555AB">
      <w:pPr>
        <w:spacing w:after="0" w:line="240" w:lineRule="auto"/>
        <w:ind w:left="851" w:right="899"/>
        <w:jc w:val="both"/>
        <w:rPr>
          <w:rFonts w:ascii="Palatino Linotype" w:hAnsi="Palatino Linotype"/>
          <w:i/>
        </w:rPr>
      </w:pPr>
      <w:r w:rsidRPr="00CA130F">
        <w:rPr>
          <w:rFonts w:ascii="Palatino Linotype" w:hAnsi="Palatino Linotype"/>
          <w:b/>
          <w:i/>
        </w:rPr>
        <w:t>OCTAVO</w:t>
      </w:r>
      <w:r w:rsidRPr="00CA130F">
        <w:rPr>
          <w:rFonts w:ascii="Palatino Linotype" w:hAnsi="Palatino Linotype"/>
          <w:i/>
        </w:rPr>
        <w:t xml:space="preserve">. </w:t>
      </w:r>
      <w:r w:rsidRPr="00CA130F">
        <w:rPr>
          <w:rFonts w:ascii="Palatino Linotype" w:hAnsi="Palatino Linotype"/>
          <w:b/>
          <w:i/>
        </w:rPr>
        <w:t>Gírese oficio</w:t>
      </w:r>
      <w:r w:rsidRPr="00CA130F">
        <w:rPr>
          <w:rFonts w:ascii="Palatino Linotype" w:hAnsi="Palatino Linotype"/>
          <w:i/>
        </w:rPr>
        <w:t xml:space="preserve">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CA130F">
        <w:rPr>
          <w:rFonts w:ascii="Palatino Linotype" w:hAnsi="Palatino Linotype"/>
          <w:b/>
          <w:i/>
        </w:rPr>
        <w:t>QUINTO</w:t>
      </w:r>
      <w:r w:rsidRPr="00CA130F">
        <w:rPr>
          <w:rFonts w:ascii="Palatino Linotype" w:hAnsi="Palatino Linotype"/>
          <w:i/>
        </w:rPr>
        <w:t xml:space="preserve"> de la presente resolución.</w:t>
      </w:r>
    </w:p>
    <w:p w14:paraId="094272BF" w14:textId="77777777" w:rsidR="00B555AB" w:rsidRPr="00CA130F" w:rsidRDefault="00B555AB" w:rsidP="00B555AB">
      <w:pPr>
        <w:spacing w:after="0" w:line="240" w:lineRule="auto"/>
        <w:ind w:left="851" w:right="899"/>
        <w:jc w:val="both"/>
        <w:rPr>
          <w:rFonts w:ascii="Palatino Linotype" w:hAnsi="Palatino Linotype"/>
          <w:i/>
        </w:rPr>
      </w:pPr>
      <w:r w:rsidRPr="00CA130F">
        <w:rPr>
          <w:rFonts w:ascii="Palatino Linotype" w:hAnsi="Palatino Linotype"/>
          <w:b/>
          <w:i/>
        </w:rPr>
        <w:lastRenderedPageBreak/>
        <w:t>NOVENO</w:t>
      </w:r>
      <w:r w:rsidRPr="00CA130F">
        <w:rPr>
          <w:rFonts w:ascii="Palatino Linotype" w:hAnsi="Palatino Linotype"/>
          <w:i/>
        </w:rPr>
        <w:t xml:space="preserve">. </w:t>
      </w:r>
      <w:r w:rsidRPr="00CA130F">
        <w:rPr>
          <w:rFonts w:ascii="Palatino Linotype" w:hAnsi="Palatino Linotype"/>
          <w:b/>
          <w:i/>
        </w:rPr>
        <w:t>Gírese oficio</w:t>
      </w:r>
      <w:r w:rsidRPr="00CA130F">
        <w:rPr>
          <w:rFonts w:ascii="Palatino Linotype" w:hAnsi="Palatino Linotype"/>
          <w:i/>
        </w:rPr>
        <w:t xml:space="preserve">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CA130F">
        <w:rPr>
          <w:rFonts w:ascii="Palatino Linotype" w:hAnsi="Palatino Linotype"/>
          <w:b/>
          <w:i/>
        </w:rPr>
        <w:t>QUINTO</w:t>
      </w:r>
      <w:r w:rsidRPr="00CA130F">
        <w:rPr>
          <w:rFonts w:ascii="Palatino Linotype" w:hAnsi="Palatino Linotype"/>
          <w:i/>
        </w:rPr>
        <w:t xml:space="preserve"> de la presente resolución. </w:t>
      </w:r>
    </w:p>
    <w:p w14:paraId="5538C388" w14:textId="77777777" w:rsidR="00B555AB" w:rsidRPr="00CA130F" w:rsidRDefault="00B555AB" w:rsidP="00B555AB">
      <w:pPr>
        <w:spacing w:after="0" w:line="240" w:lineRule="auto"/>
        <w:ind w:left="851" w:right="899"/>
        <w:jc w:val="both"/>
        <w:rPr>
          <w:rFonts w:ascii="Palatino Linotype" w:hAnsi="Palatino Linotype"/>
          <w:i/>
        </w:rPr>
      </w:pPr>
    </w:p>
    <w:p w14:paraId="7DB21072" w14:textId="77777777" w:rsidR="00B555AB" w:rsidRPr="00CA130F" w:rsidRDefault="00B555AB" w:rsidP="00B555AB">
      <w:pPr>
        <w:spacing w:after="0" w:line="240" w:lineRule="auto"/>
        <w:ind w:left="851" w:right="899"/>
        <w:jc w:val="both"/>
        <w:rPr>
          <w:rFonts w:ascii="Palatino Linotype" w:eastAsia="Arial Unicode MS" w:hAnsi="Palatino Linotype" w:cs="Arial"/>
          <w:b/>
          <w:i/>
          <w:color w:val="000000" w:themeColor="text1"/>
        </w:rPr>
      </w:pPr>
      <w:r w:rsidRPr="00CA130F">
        <w:rPr>
          <w:rFonts w:ascii="Palatino Linotype" w:hAnsi="Palatino Linotype"/>
          <w:b/>
          <w:i/>
        </w:rPr>
        <w:t>DÉCIMO</w:t>
      </w:r>
      <w:r w:rsidRPr="00CA130F">
        <w:rPr>
          <w:rFonts w:ascii="Palatino Linotype" w:hAnsi="Palatino Linotype"/>
          <w:i/>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32DCFAA" w14:textId="77777777" w:rsidR="00B555AB" w:rsidRPr="00CA130F" w:rsidRDefault="00435682" w:rsidP="00B555AB">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000000" w:themeColor="text1"/>
          <w:sz w:val="28"/>
          <w:szCs w:val="28"/>
        </w:rPr>
      </w:pPr>
      <w:r w:rsidRPr="00CA130F">
        <w:rPr>
          <w:rFonts w:ascii="Palatino Linotype" w:hAnsi="Palatino Linotype"/>
          <w:b/>
          <w:color w:val="000000" w:themeColor="text1"/>
          <w:sz w:val="28"/>
          <w:szCs w:val="28"/>
        </w:rPr>
        <w:t xml:space="preserve">IX. </w:t>
      </w:r>
      <w:r w:rsidR="00B555AB" w:rsidRPr="00CA130F">
        <w:rPr>
          <w:rFonts w:ascii="Palatino Linotype" w:hAnsi="Palatino Linotype"/>
          <w:b/>
          <w:color w:val="000000" w:themeColor="text1"/>
          <w:sz w:val="28"/>
          <w:szCs w:val="28"/>
        </w:rPr>
        <w:t xml:space="preserve">Cumplimiento/Incumplimiento de la resolución </w:t>
      </w:r>
    </w:p>
    <w:p w14:paraId="7F84761C" w14:textId="77777777" w:rsidR="00B555AB" w:rsidRPr="00CA130F" w:rsidRDefault="00B555AB" w:rsidP="00B555AB">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CA130F">
        <w:rPr>
          <w:rFonts w:ascii="Palatino Linotype" w:hAnsi="Palatino Linotype"/>
        </w:rPr>
        <w:t xml:space="preserve">De las constancias que obran en el expediente electrónico del </w:t>
      </w:r>
      <w:r w:rsidRPr="00CA130F">
        <w:rPr>
          <w:rFonts w:ascii="Palatino Linotype" w:hAnsi="Palatino Linotype"/>
          <w:b/>
        </w:rPr>
        <w:t>SAIMEX</w:t>
      </w:r>
      <w:r w:rsidRPr="00CA130F">
        <w:rPr>
          <w:rFonts w:ascii="Palatino Linotype" w:hAnsi="Palatino Linotype"/>
        </w:rPr>
        <w:t xml:space="preserve"> se puede advertir que </w:t>
      </w:r>
      <w:r w:rsidRPr="00CA130F">
        <w:rPr>
          <w:rFonts w:ascii="Palatino Linotype" w:hAnsi="Palatino Linotype"/>
          <w:b/>
        </w:rPr>
        <w:t xml:space="preserve">EL SUJETO OBLIGADO </w:t>
      </w:r>
      <w:r w:rsidRPr="00CA130F">
        <w:rPr>
          <w:rFonts w:ascii="Palatino Linotype" w:hAnsi="Palatino Linotype"/>
        </w:rPr>
        <w:t>fue omiso en dar cumplimiento a la resolución de referencia, sirve de sustento a la captura de pantalla del expediente electrónico del recurso de revisión objeto del presente estudio; tal y como se aprecia a continuación:</w:t>
      </w:r>
    </w:p>
    <w:p w14:paraId="17B409B5" w14:textId="77777777" w:rsidR="00435682" w:rsidRPr="00CA130F" w:rsidRDefault="00F85C6C" w:rsidP="00F85C6C">
      <w:pPr>
        <w:spacing w:before="100" w:beforeAutospacing="1" w:after="100" w:afterAutospacing="1" w:line="360" w:lineRule="auto"/>
        <w:jc w:val="center"/>
        <w:rPr>
          <w:rFonts w:ascii="Palatino Linotype" w:hAnsi="Palatino Linotype" w:cs="Arial"/>
        </w:rPr>
      </w:pPr>
      <w:r w:rsidRPr="00CA130F">
        <w:rPr>
          <w:noProof/>
          <w:lang w:eastAsia="es-MX"/>
        </w:rPr>
        <w:drawing>
          <wp:inline distT="0" distB="0" distL="0" distR="0" wp14:anchorId="2B84CC9D" wp14:editId="20AA6C18">
            <wp:extent cx="4175703" cy="97292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24" t="28535" r="25474" b="50577"/>
                    <a:stretch/>
                  </pic:blipFill>
                  <pic:spPr bwMode="auto">
                    <a:xfrm>
                      <a:off x="0" y="0"/>
                      <a:ext cx="4197149" cy="977918"/>
                    </a:xfrm>
                    <a:prstGeom prst="rect">
                      <a:avLst/>
                    </a:prstGeom>
                    <a:ln>
                      <a:noFill/>
                    </a:ln>
                    <a:extLst>
                      <a:ext uri="{53640926-AAD7-44D8-BBD7-CCE9431645EC}">
                        <a14:shadowObscured xmlns:a14="http://schemas.microsoft.com/office/drawing/2010/main"/>
                      </a:ext>
                    </a:extLst>
                  </pic:spPr>
                </pic:pic>
              </a:graphicData>
            </a:graphic>
          </wp:inline>
        </w:drawing>
      </w:r>
    </w:p>
    <w:p w14:paraId="70E53034" w14:textId="77777777" w:rsidR="00435682" w:rsidRPr="00CA130F" w:rsidRDefault="00435682" w:rsidP="00B555AB">
      <w:pPr>
        <w:pStyle w:val="Prrafodelista"/>
        <w:tabs>
          <w:tab w:val="left" w:pos="567"/>
        </w:tabs>
        <w:spacing w:line="360" w:lineRule="auto"/>
        <w:ind w:left="0"/>
        <w:jc w:val="both"/>
        <w:rPr>
          <w:rFonts w:ascii="Palatino Linotype" w:hAnsi="Palatino Linotype"/>
          <w:b/>
          <w:color w:val="000000" w:themeColor="text1"/>
          <w:sz w:val="28"/>
          <w:szCs w:val="28"/>
        </w:rPr>
      </w:pPr>
      <w:r w:rsidRPr="00CA130F">
        <w:rPr>
          <w:rStyle w:val="Ninguno"/>
          <w:rFonts w:ascii="Palatino Linotype" w:eastAsia="Palatino Linotype" w:hAnsi="Palatino Linotype" w:cs="Palatino Linotype"/>
          <w:b/>
          <w:sz w:val="28"/>
          <w:szCs w:val="28"/>
        </w:rPr>
        <w:t xml:space="preserve">X. </w:t>
      </w:r>
      <w:r w:rsidR="00F85C6C" w:rsidRPr="00CA130F">
        <w:rPr>
          <w:rFonts w:ascii="Palatino Linotype" w:hAnsi="Palatino Linotype"/>
          <w:b/>
          <w:color w:val="000000" w:themeColor="text1"/>
          <w:sz w:val="28"/>
          <w:szCs w:val="28"/>
        </w:rPr>
        <w:t>Interposición del segundo recurso de revisión</w:t>
      </w:r>
    </w:p>
    <w:p w14:paraId="237737B9" w14:textId="77777777" w:rsidR="00F85C6C" w:rsidRPr="00CA130F" w:rsidRDefault="00F85C6C" w:rsidP="00F85C6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CA130F">
        <w:rPr>
          <w:rFonts w:ascii="Palatino Linotype" w:hAnsi="Palatino Linotype"/>
        </w:rPr>
        <w:t xml:space="preserve">Inconforme con el incumplimiento en que incurre nuevamente </w:t>
      </w:r>
      <w:r w:rsidRPr="00CA130F">
        <w:rPr>
          <w:rFonts w:ascii="Palatino Linotype" w:hAnsi="Palatino Linotype"/>
          <w:b/>
        </w:rPr>
        <w:t xml:space="preserve">EL SUJETO OBLIGADO </w:t>
      </w:r>
      <w:r w:rsidRPr="00CA130F">
        <w:rPr>
          <w:rFonts w:ascii="Palatino Linotype" w:hAnsi="Palatino Linotype"/>
        </w:rPr>
        <w:t xml:space="preserve">es que el particular en términos del último párrafo del artículo 179 de la Ley de Transparencia y Acceso a la Información Pública del Estado de México y Municipios, en fecha diecinueve de noviembre de dos mil veintiuno, interpuso el medio de impugnación en estudio indicando como acto impugnado y razones o </w:t>
      </w:r>
      <w:r w:rsidRPr="00CA130F">
        <w:rPr>
          <w:rFonts w:ascii="Palatino Linotype" w:hAnsi="Palatino Linotype"/>
        </w:rPr>
        <w:lastRenderedPageBreak/>
        <w:t>motivos de inconformidad lo que a continuación se transcribe:</w:t>
      </w:r>
    </w:p>
    <w:p w14:paraId="2FA17F5D" w14:textId="77777777" w:rsidR="00F85C6C" w:rsidRPr="00CA130F" w:rsidRDefault="00F85C6C" w:rsidP="00F85C6C">
      <w:pPr>
        <w:ind w:left="851" w:right="899"/>
        <w:jc w:val="both"/>
        <w:rPr>
          <w:rFonts w:ascii="Palatino Linotype" w:hAnsi="Palatino Linotype"/>
          <w:i/>
        </w:rPr>
      </w:pPr>
      <w:r w:rsidRPr="00CA130F">
        <w:rPr>
          <w:rFonts w:ascii="Palatino Linotype" w:hAnsi="Palatino Linotype"/>
          <w:i/>
        </w:rPr>
        <w:t>“Negativa a la información solicitada.” (Sic)</w:t>
      </w:r>
    </w:p>
    <w:p w14:paraId="619FCD61" w14:textId="77777777" w:rsidR="00F85C6C" w:rsidRPr="00CA130F" w:rsidRDefault="00435682" w:rsidP="00F85C6C">
      <w:pPr>
        <w:pStyle w:val="Prrafodelista"/>
        <w:spacing w:before="100" w:beforeAutospacing="1" w:after="100" w:afterAutospacing="1" w:line="360" w:lineRule="auto"/>
        <w:ind w:left="0"/>
        <w:jc w:val="both"/>
        <w:rPr>
          <w:rFonts w:ascii="Palatino Linotype" w:hAnsi="Palatino Linotype" w:cs="Arial"/>
          <w:b/>
          <w:color w:val="000000" w:themeColor="text1"/>
          <w:sz w:val="28"/>
          <w:szCs w:val="28"/>
        </w:rPr>
      </w:pPr>
      <w:r w:rsidRPr="00CA130F">
        <w:rPr>
          <w:rFonts w:ascii="Palatino Linotype" w:hAnsi="Palatino Linotype"/>
          <w:b/>
          <w:color w:val="000000" w:themeColor="text1"/>
          <w:sz w:val="28"/>
          <w:szCs w:val="28"/>
        </w:rPr>
        <w:t xml:space="preserve">XI. </w:t>
      </w:r>
      <w:r w:rsidR="00F85C6C" w:rsidRPr="00CA130F">
        <w:rPr>
          <w:rFonts w:ascii="Palatino Linotype" w:hAnsi="Palatino Linotype" w:cs="Arial"/>
          <w:b/>
          <w:color w:val="000000" w:themeColor="text1"/>
          <w:sz w:val="28"/>
          <w:szCs w:val="28"/>
        </w:rPr>
        <w:t>Turno del recurso de revisión</w:t>
      </w:r>
    </w:p>
    <w:p w14:paraId="4A96DDBA" w14:textId="77777777" w:rsidR="00F85C6C" w:rsidRPr="00CA130F" w:rsidRDefault="00F85C6C" w:rsidP="00F85C6C">
      <w:pPr>
        <w:pStyle w:val="Prrafodelista"/>
        <w:spacing w:before="100" w:beforeAutospacing="1" w:after="100" w:afterAutospacing="1" w:line="360" w:lineRule="auto"/>
        <w:ind w:left="0"/>
        <w:jc w:val="both"/>
        <w:rPr>
          <w:rFonts w:ascii="Palatino Linotype" w:hAnsi="Palatino Linotype" w:cs="Arial"/>
          <w:color w:val="000000" w:themeColor="text1"/>
        </w:rPr>
      </w:pPr>
      <w:r w:rsidRPr="00CA130F">
        <w:rPr>
          <w:rFonts w:ascii="Palatino Linotype" w:hAnsi="Palatino Linotype" w:cs="Arial"/>
          <w:color w:val="000000" w:themeColor="text1"/>
        </w:rPr>
        <w:t xml:space="preserve">Así, con fundamento en el artículo 185, fracción I de la </w:t>
      </w:r>
      <w:r w:rsidRPr="00CA130F">
        <w:rPr>
          <w:rFonts w:ascii="Palatino Linotype" w:hAnsi="Palatino Linotype"/>
          <w:color w:val="000000" w:themeColor="text1"/>
        </w:rPr>
        <w:t>Ley de Transparencia y Acceso a la Información Pública del Estado de México y Municipios</w:t>
      </w:r>
      <w:r w:rsidRPr="00CA130F">
        <w:rPr>
          <w:rFonts w:ascii="Palatino Linotype" w:hAnsi="Palatino Linotype" w:cs="Arial"/>
          <w:color w:val="000000" w:themeColor="text1"/>
        </w:rPr>
        <w:t xml:space="preserve">, el recurso de que se trata se envió electrónicamente a través del SAIMEX, en fecha diecinueve de noviembre de dos mil veintiuno, a </w:t>
      </w:r>
      <w:r w:rsidRPr="00CA130F">
        <w:rPr>
          <w:rFonts w:ascii="Palatino Linotype" w:hAnsi="Palatino Linotype"/>
          <w:color w:val="000000" w:themeColor="text1"/>
        </w:rPr>
        <w:t xml:space="preserve">la </w:t>
      </w:r>
      <w:r w:rsidRPr="00CA130F">
        <w:rPr>
          <w:rFonts w:ascii="Palatino Linotype" w:hAnsi="Palatino Linotype" w:cs="Arial"/>
          <w:color w:val="000000" w:themeColor="text1"/>
        </w:rPr>
        <w:t xml:space="preserve">Comisionada </w:t>
      </w:r>
      <w:r w:rsidRPr="00CA130F">
        <w:rPr>
          <w:rFonts w:ascii="Palatino Linotype" w:hAnsi="Palatino Linotype" w:cs="Arial"/>
          <w:b/>
          <w:color w:val="000000" w:themeColor="text1"/>
        </w:rPr>
        <w:t>Sharon Cristina Morales Martínez</w:t>
      </w:r>
      <w:r w:rsidRPr="00CA130F">
        <w:rPr>
          <w:rFonts w:ascii="Palatino Linotype" w:hAnsi="Palatino Linotype"/>
          <w:color w:val="000000" w:themeColor="text1"/>
        </w:rPr>
        <w:t>,</w:t>
      </w:r>
      <w:r w:rsidRPr="00CA130F">
        <w:rPr>
          <w:rFonts w:ascii="Palatino Linotype" w:hAnsi="Palatino Linotype" w:cs="Arial"/>
          <w:color w:val="000000" w:themeColor="text1"/>
        </w:rPr>
        <w:t xml:space="preserve"> a efecto de decretar su admisión o desechamiento.</w:t>
      </w:r>
    </w:p>
    <w:p w14:paraId="18C4FA18" w14:textId="77777777" w:rsidR="00792761" w:rsidRPr="00CA130F" w:rsidRDefault="00435682" w:rsidP="00792761">
      <w:pPr>
        <w:pStyle w:val="Piedepgina"/>
        <w:spacing w:before="100" w:beforeAutospacing="1" w:after="100" w:afterAutospacing="1" w:line="360" w:lineRule="auto"/>
        <w:jc w:val="both"/>
        <w:rPr>
          <w:rFonts w:ascii="Palatino Linotype" w:hAnsi="Palatino Linotype" w:cs="Arial"/>
          <w:b/>
          <w:color w:val="000000" w:themeColor="text1"/>
          <w:sz w:val="28"/>
        </w:rPr>
      </w:pPr>
      <w:r w:rsidRPr="00CA130F">
        <w:rPr>
          <w:rFonts w:ascii="Palatino Linotype" w:hAnsi="Palatino Linotype"/>
          <w:b/>
          <w:color w:val="000000" w:themeColor="text1"/>
          <w:sz w:val="28"/>
          <w:szCs w:val="28"/>
        </w:rPr>
        <w:t xml:space="preserve">XII. </w:t>
      </w:r>
      <w:r w:rsidR="00792761" w:rsidRPr="00CA130F">
        <w:rPr>
          <w:rFonts w:ascii="Palatino Linotype" w:hAnsi="Palatino Linotype" w:cs="Arial"/>
          <w:b/>
          <w:color w:val="000000" w:themeColor="text1"/>
          <w:sz w:val="28"/>
        </w:rPr>
        <w:t>Admisión del recurso de revisión</w:t>
      </w:r>
    </w:p>
    <w:p w14:paraId="57BB362C" w14:textId="77777777" w:rsidR="00792761" w:rsidRPr="00CA130F" w:rsidRDefault="00792761" w:rsidP="00792761">
      <w:pPr>
        <w:pStyle w:val="Piedepgina"/>
        <w:spacing w:before="100" w:beforeAutospacing="1" w:after="100" w:afterAutospacing="1" w:line="360" w:lineRule="auto"/>
        <w:jc w:val="both"/>
        <w:rPr>
          <w:rFonts w:ascii="Palatino Linotype" w:hAnsi="Palatino Linotype" w:cs="Arial"/>
          <w:color w:val="000000" w:themeColor="text1"/>
        </w:rPr>
      </w:pPr>
      <w:r w:rsidRPr="00CA130F">
        <w:rPr>
          <w:rFonts w:ascii="Palatino Linotype" w:hAnsi="Palatino Linotype" w:cs="Arial"/>
          <w:color w:val="000000" w:themeColor="text1"/>
        </w:rPr>
        <w:t xml:space="preserve">En ese tenor, se acordó la admisión a trámite del recurso de revisión que nos ocupa en fecha </w:t>
      </w:r>
      <w:r w:rsidRPr="00CA130F">
        <w:rPr>
          <w:rFonts w:ascii="Palatino Linotype" w:hAnsi="Palatino Linotype" w:cs="Arial"/>
          <w:b/>
          <w:bCs/>
          <w:color w:val="000000" w:themeColor="text1"/>
        </w:rPr>
        <w:t>veintinueve de noviembre de dos mil veintiuno</w:t>
      </w:r>
      <w:r w:rsidRPr="00CA130F">
        <w:rPr>
          <w:rFonts w:ascii="Palatino Linotype" w:hAnsi="Palatino Linotype" w:cs="Arial"/>
          <w:color w:val="000000" w:themeColor="text1"/>
        </w:rPr>
        <w:t xml:space="preserve">,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A130F">
        <w:rPr>
          <w:rFonts w:ascii="Palatino Linotype" w:hAnsi="Palatino Linotype" w:cs="Arial"/>
          <w:b/>
          <w:color w:val="000000" w:themeColor="text1"/>
        </w:rPr>
        <w:t xml:space="preserve">EL SUJETO OBLIGADO </w:t>
      </w:r>
      <w:r w:rsidRPr="00CA130F">
        <w:rPr>
          <w:rFonts w:ascii="Palatino Linotype" w:hAnsi="Palatino Linotype" w:cs="Arial"/>
          <w:color w:val="000000" w:themeColor="text1"/>
        </w:rPr>
        <w:t>rindiera su</w:t>
      </w:r>
      <w:r w:rsidRPr="00CA130F">
        <w:rPr>
          <w:rFonts w:ascii="Palatino Linotype" w:hAnsi="Palatino Linotype" w:cs="Arial"/>
          <w:b/>
          <w:color w:val="000000" w:themeColor="text1"/>
        </w:rPr>
        <w:t xml:space="preserve"> </w:t>
      </w:r>
      <w:r w:rsidRPr="00CA130F">
        <w:rPr>
          <w:rFonts w:ascii="Palatino Linotype" w:hAnsi="Palatino Linotype" w:cs="Arial"/>
          <w:color w:val="000000" w:themeColor="text1"/>
        </w:rPr>
        <w:t>Informe Justificado.</w:t>
      </w:r>
    </w:p>
    <w:p w14:paraId="441A0C74" w14:textId="77777777" w:rsidR="00792761" w:rsidRPr="00CA130F" w:rsidRDefault="00435682" w:rsidP="00792761">
      <w:pPr>
        <w:spacing w:before="100" w:beforeAutospacing="1" w:after="100" w:afterAutospacing="1" w:line="360" w:lineRule="auto"/>
        <w:jc w:val="both"/>
        <w:rPr>
          <w:rFonts w:ascii="Palatino Linotype" w:eastAsia="Arial Unicode MS" w:hAnsi="Palatino Linotype" w:cs="Arial"/>
          <w:b/>
          <w:color w:val="000000" w:themeColor="text1"/>
          <w:sz w:val="28"/>
          <w:szCs w:val="28"/>
        </w:rPr>
      </w:pPr>
      <w:r w:rsidRPr="00CA130F">
        <w:rPr>
          <w:rFonts w:ascii="Palatino Linotype" w:hAnsi="Palatino Linotype" w:cs="Arial"/>
          <w:b/>
          <w:color w:val="000000" w:themeColor="text1"/>
          <w:sz w:val="28"/>
          <w:szCs w:val="28"/>
        </w:rPr>
        <w:t xml:space="preserve">XIII. </w:t>
      </w:r>
      <w:r w:rsidR="00792761" w:rsidRPr="00CA130F">
        <w:rPr>
          <w:rFonts w:ascii="Palatino Linotype" w:eastAsia="Arial Unicode MS" w:hAnsi="Palatino Linotype" w:cs="Arial"/>
          <w:b/>
          <w:color w:val="000000" w:themeColor="text1"/>
          <w:sz w:val="28"/>
          <w:szCs w:val="28"/>
        </w:rPr>
        <w:t>Etapa de manifestaciones e Informe Justificado</w:t>
      </w:r>
    </w:p>
    <w:p w14:paraId="365C8925" w14:textId="77777777" w:rsidR="00792761" w:rsidRPr="00CA130F" w:rsidRDefault="00792761" w:rsidP="00792761">
      <w:pPr>
        <w:spacing w:before="100" w:beforeAutospacing="1" w:after="100" w:afterAutospacing="1" w:line="360" w:lineRule="auto"/>
        <w:jc w:val="both"/>
        <w:rPr>
          <w:rFonts w:ascii="Palatino Linotype" w:eastAsia="Arial Unicode MS" w:hAnsi="Palatino Linotype" w:cs="Arial"/>
          <w:color w:val="000000" w:themeColor="text1"/>
          <w:sz w:val="24"/>
          <w:szCs w:val="24"/>
        </w:rPr>
      </w:pPr>
      <w:r w:rsidRPr="00CA130F">
        <w:rPr>
          <w:rFonts w:ascii="Palatino Linotype" w:eastAsia="Arial Unicode MS" w:hAnsi="Palatino Linotype" w:cs="Arial"/>
          <w:color w:val="000000" w:themeColor="text1"/>
          <w:sz w:val="24"/>
          <w:szCs w:val="24"/>
        </w:rPr>
        <w:t xml:space="preserve">Conforme a las constancias del </w:t>
      </w:r>
      <w:r w:rsidRPr="00CA130F">
        <w:rPr>
          <w:rFonts w:ascii="Palatino Linotype" w:eastAsia="Arial Unicode MS" w:hAnsi="Palatino Linotype" w:cs="Arial"/>
          <w:b/>
          <w:color w:val="000000" w:themeColor="text1"/>
          <w:sz w:val="24"/>
          <w:szCs w:val="24"/>
        </w:rPr>
        <w:t>SAIMEX</w:t>
      </w:r>
      <w:r w:rsidRPr="00CA130F">
        <w:rPr>
          <w:rFonts w:ascii="Palatino Linotype" w:eastAsia="Arial Unicode MS" w:hAnsi="Palatino Linotype" w:cs="Arial"/>
          <w:color w:val="000000" w:themeColor="text1"/>
          <w:sz w:val="24"/>
          <w:szCs w:val="24"/>
        </w:rPr>
        <w:t xml:space="preserve"> se desprende que atento a lo dispuesto en el artículo 185 de la Ley de Transparencia y Acceso a la Información Pública del Estado de México y Municipios, dentro del término legalmente concedido al </w:t>
      </w:r>
      <w:r w:rsidRPr="00CA130F">
        <w:rPr>
          <w:rFonts w:ascii="Palatino Linotype" w:eastAsia="Arial Unicode MS" w:hAnsi="Palatino Linotype" w:cs="Arial"/>
          <w:b/>
          <w:color w:val="000000" w:themeColor="text1"/>
          <w:sz w:val="24"/>
          <w:szCs w:val="24"/>
        </w:rPr>
        <w:t>RECURRENTE</w:t>
      </w:r>
      <w:r w:rsidRPr="00CA130F">
        <w:rPr>
          <w:rFonts w:ascii="Palatino Linotype" w:eastAsia="Arial Unicode MS" w:hAnsi="Palatino Linotype" w:cs="Arial"/>
          <w:color w:val="000000" w:themeColor="text1"/>
          <w:sz w:val="24"/>
          <w:szCs w:val="24"/>
        </w:rPr>
        <w:t xml:space="preserve">, </w:t>
      </w:r>
      <w:r w:rsidRPr="00CA130F">
        <w:rPr>
          <w:rFonts w:ascii="Palatino Linotype" w:eastAsia="Arial Unicode MS" w:hAnsi="Palatino Linotype" w:cs="Arial"/>
          <w:color w:val="000000" w:themeColor="text1"/>
          <w:sz w:val="24"/>
          <w:szCs w:val="24"/>
        </w:rPr>
        <w:lastRenderedPageBreak/>
        <w:t xml:space="preserve">éste no realizó manifestación alguna, ni presentó pruebas o alegatos, así como </w:t>
      </w:r>
      <w:r w:rsidRPr="00CA130F">
        <w:rPr>
          <w:rFonts w:ascii="Palatino Linotype" w:eastAsia="Arial Unicode MS" w:hAnsi="Palatino Linotype" w:cs="Arial"/>
          <w:b/>
          <w:color w:val="000000" w:themeColor="text1"/>
          <w:sz w:val="24"/>
          <w:szCs w:val="24"/>
          <w:lang w:eastAsia="es-MX"/>
        </w:rPr>
        <w:t>EL SUJETO OBLIGADO</w:t>
      </w:r>
      <w:r w:rsidRPr="00CA130F">
        <w:rPr>
          <w:rFonts w:ascii="Palatino Linotype" w:eastAsia="Arial Unicode MS" w:hAnsi="Palatino Linotype" w:cs="Arial"/>
          <w:color w:val="000000" w:themeColor="text1"/>
          <w:sz w:val="24"/>
          <w:szCs w:val="24"/>
        </w:rPr>
        <w:t xml:space="preserve"> de nueva cuenta fue omiso en rendir el Informe Justificado, tal y como se aprecia en la siguiente imagen:</w:t>
      </w:r>
    </w:p>
    <w:p w14:paraId="17062377" w14:textId="77777777" w:rsidR="00435682" w:rsidRPr="00CA130F" w:rsidRDefault="00792761" w:rsidP="00792761">
      <w:pPr>
        <w:pStyle w:val="Prrafodelista"/>
        <w:spacing w:before="100" w:beforeAutospacing="1" w:after="100" w:afterAutospacing="1" w:line="360" w:lineRule="auto"/>
        <w:ind w:left="0"/>
        <w:jc w:val="center"/>
        <w:rPr>
          <w:rFonts w:ascii="Palatino Linotype" w:hAnsi="Palatino Linotype" w:cs="Arial"/>
          <w:color w:val="000000" w:themeColor="text1"/>
        </w:rPr>
      </w:pPr>
      <w:r w:rsidRPr="00CA130F">
        <w:rPr>
          <w:noProof/>
          <w:lang w:eastAsia="es-MX"/>
        </w:rPr>
        <w:drawing>
          <wp:inline distT="0" distB="0" distL="0" distR="0" wp14:anchorId="45018C04" wp14:editId="6765513D">
            <wp:extent cx="5534660" cy="149225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83" t="43586" r="18023" b="25192"/>
                    <a:stretch/>
                  </pic:blipFill>
                  <pic:spPr bwMode="auto">
                    <a:xfrm>
                      <a:off x="0" y="0"/>
                      <a:ext cx="5548031" cy="1495855"/>
                    </a:xfrm>
                    <a:prstGeom prst="rect">
                      <a:avLst/>
                    </a:prstGeom>
                    <a:ln>
                      <a:noFill/>
                    </a:ln>
                    <a:extLst>
                      <a:ext uri="{53640926-AAD7-44D8-BBD7-CCE9431645EC}">
                        <a14:shadowObscured xmlns:a14="http://schemas.microsoft.com/office/drawing/2010/main"/>
                      </a:ext>
                    </a:extLst>
                  </pic:spPr>
                </pic:pic>
              </a:graphicData>
            </a:graphic>
          </wp:inline>
        </w:drawing>
      </w:r>
    </w:p>
    <w:p w14:paraId="618B4998" w14:textId="77777777" w:rsidR="00435682" w:rsidRPr="00CA130F" w:rsidRDefault="00435682" w:rsidP="00792761">
      <w:pPr>
        <w:pStyle w:val="Piedepgina"/>
        <w:spacing w:before="100" w:beforeAutospacing="1" w:after="100" w:afterAutospacing="1" w:line="360" w:lineRule="auto"/>
        <w:jc w:val="both"/>
        <w:rPr>
          <w:rFonts w:ascii="Palatino Linotype" w:hAnsi="Palatino Linotype" w:cs="Arial"/>
          <w:b/>
          <w:color w:val="000000" w:themeColor="text1"/>
          <w:sz w:val="28"/>
        </w:rPr>
      </w:pPr>
      <w:r w:rsidRPr="00CA130F">
        <w:rPr>
          <w:rFonts w:ascii="Palatino Linotype" w:hAnsi="Palatino Linotype" w:cs="Arial"/>
          <w:b/>
          <w:color w:val="000000" w:themeColor="text1"/>
          <w:sz w:val="28"/>
        </w:rPr>
        <w:t xml:space="preserve">VX. </w:t>
      </w:r>
      <w:r w:rsidR="00792761" w:rsidRPr="00CA130F">
        <w:rPr>
          <w:rFonts w:ascii="Palatino Linotype" w:hAnsi="Palatino Linotype" w:cs="Arial"/>
          <w:b/>
          <w:color w:val="000000" w:themeColor="text1"/>
          <w:sz w:val="28"/>
        </w:rPr>
        <w:t>Returno del Recurso de Revisión</w:t>
      </w:r>
    </w:p>
    <w:p w14:paraId="3793435B" w14:textId="77777777" w:rsidR="00792761" w:rsidRPr="00CA130F" w:rsidRDefault="00792761" w:rsidP="00792761">
      <w:pPr>
        <w:tabs>
          <w:tab w:val="left" w:pos="709"/>
        </w:tabs>
        <w:spacing w:before="100" w:beforeAutospacing="1" w:after="100" w:afterAutospacing="1" w:line="360" w:lineRule="auto"/>
        <w:jc w:val="both"/>
        <w:rPr>
          <w:rFonts w:ascii="Palatino Linotype" w:eastAsia="MS Mincho" w:hAnsi="Palatino Linotype"/>
          <w:sz w:val="24"/>
          <w:szCs w:val="24"/>
          <w:lang w:val="es-ES_tradnl"/>
        </w:rPr>
      </w:pPr>
      <w:r w:rsidRPr="00CA130F">
        <w:rPr>
          <w:rFonts w:ascii="Palatino Linotype" w:eastAsia="MS Mincho" w:hAnsi="Palatino Linotype"/>
          <w:sz w:val="24"/>
          <w:szCs w:val="24"/>
          <w:lang w:val="es-ES_tradnl"/>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Comisionada </w:t>
      </w:r>
      <w:r w:rsidRPr="00CA130F">
        <w:rPr>
          <w:rFonts w:ascii="Palatino Linotype" w:eastAsia="MS Mincho" w:hAnsi="Palatino Linotype"/>
          <w:b/>
          <w:sz w:val="24"/>
          <w:szCs w:val="24"/>
          <w:lang w:val="es-ES_tradnl"/>
        </w:rPr>
        <w:t>Sharon Cristina Morales Martínez</w:t>
      </w:r>
      <w:r w:rsidRPr="00CA130F">
        <w:rPr>
          <w:rFonts w:ascii="Palatino Linotype" w:eastAsia="MS Mincho" w:hAnsi="Palatino Linotype"/>
          <w:sz w:val="24"/>
          <w:szCs w:val="24"/>
          <w:lang w:val="es-ES_tradnl"/>
        </w:rPr>
        <w:t xml:space="preserve">, y a través del cual se convino el returno del recurso de revisión de mérito al </w:t>
      </w:r>
      <w:bookmarkStart w:id="2" w:name="_Hlk92394612"/>
      <w:r w:rsidRPr="00CA130F">
        <w:rPr>
          <w:rFonts w:ascii="Palatino Linotype" w:eastAsia="MS Mincho" w:hAnsi="Palatino Linotype"/>
          <w:sz w:val="24"/>
          <w:szCs w:val="24"/>
          <w:lang w:val="es-ES_tradnl"/>
        </w:rPr>
        <w:t xml:space="preserve">Comisionado Presidente </w:t>
      </w:r>
      <w:r w:rsidRPr="00CA130F">
        <w:rPr>
          <w:rFonts w:ascii="Palatino Linotype" w:eastAsia="MS Mincho" w:hAnsi="Palatino Linotype"/>
          <w:b/>
          <w:sz w:val="24"/>
          <w:szCs w:val="24"/>
          <w:lang w:val="es-ES_tradnl"/>
        </w:rPr>
        <w:t>José Martínez Vilchis</w:t>
      </w:r>
      <w:bookmarkEnd w:id="2"/>
      <w:r w:rsidRPr="00CA130F">
        <w:rPr>
          <w:rFonts w:ascii="Palatino Linotype" w:eastAsia="MS Mincho" w:hAnsi="Palatino Linotype"/>
          <w:sz w:val="24"/>
          <w:szCs w:val="24"/>
          <w:lang w:val="es-ES_tradnl"/>
        </w:rPr>
        <w:t>, para que diera trámite y resolviera conforme a derecho.</w:t>
      </w:r>
    </w:p>
    <w:p w14:paraId="278BCC8E" w14:textId="77777777" w:rsidR="00792761" w:rsidRPr="00CA130F" w:rsidRDefault="00435682" w:rsidP="00792761">
      <w:pPr>
        <w:spacing w:before="100" w:beforeAutospacing="1" w:after="100" w:afterAutospacing="1" w:line="360" w:lineRule="auto"/>
        <w:jc w:val="both"/>
        <w:rPr>
          <w:rFonts w:ascii="Palatino Linotype" w:hAnsi="Palatino Linotype"/>
          <w:b/>
          <w:color w:val="000000" w:themeColor="text1"/>
          <w:sz w:val="28"/>
          <w:szCs w:val="28"/>
        </w:rPr>
      </w:pPr>
      <w:r w:rsidRPr="00CA130F">
        <w:rPr>
          <w:rFonts w:ascii="Palatino Linotype" w:eastAsia="Arial Unicode MS" w:hAnsi="Palatino Linotype" w:cs="Arial"/>
          <w:b/>
          <w:color w:val="000000" w:themeColor="text1"/>
          <w:sz w:val="28"/>
          <w:szCs w:val="28"/>
        </w:rPr>
        <w:t xml:space="preserve">XV. </w:t>
      </w:r>
      <w:r w:rsidR="00792761" w:rsidRPr="00CA130F">
        <w:rPr>
          <w:rFonts w:ascii="Palatino Linotype" w:hAnsi="Palatino Linotype"/>
          <w:b/>
          <w:color w:val="000000" w:themeColor="text1"/>
          <w:sz w:val="28"/>
          <w:szCs w:val="28"/>
        </w:rPr>
        <w:t>Cierre de instrucción</w:t>
      </w:r>
    </w:p>
    <w:p w14:paraId="39333CE7" w14:textId="77777777" w:rsidR="00792761" w:rsidRPr="00CA130F" w:rsidRDefault="00792761" w:rsidP="00792761">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Una vez </w:t>
      </w:r>
      <w:r w:rsidRPr="00CA130F">
        <w:rPr>
          <w:rFonts w:ascii="Palatino Linotype" w:hAnsi="Palatino Linotype" w:cs="Arial"/>
          <w:color w:val="000000" w:themeColor="text1"/>
          <w:sz w:val="24"/>
          <w:szCs w:val="24"/>
        </w:rPr>
        <w:t>analizado</w:t>
      </w:r>
      <w:r w:rsidRPr="00CA130F">
        <w:rPr>
          <w:rFonts w:ascii="Palatino Linotype" w:hAnsi="Palatino Linotype" w:cs="Arial"/>
          <w:sz w:val="24"/>
          <w:szCs w:val="24"/>
        </w:rPr>
        <w:t xml:space="preserve"> el estado procesal que guarda el expediente, en fecha trece de diciembre de </w:t>
      </w:r>
      <w:r w:rsidRPr="00CA130F">
        <w:rPr>
          <w:rFonts w:ascii="Palatino Linotype" w:hAnsi="Palatino Linotype"/>
          <w:bCs/>
          <w:color w:val="000000" w:themeColor="text1"/>
          <w:sz w:val="24"/>
          <w:szCs w:val="24"/>
        </w:rPr>
        <w:t>dos mil veintiuno</w:t>
      </w:r>
      <w:r w:rsidRPr="00CA130F">
        <w:rPr>
          <w:rFonts w:ascii="Palatino Linotype" w:hAnsi="Palatino Linotype"/>
          <w:color w:val="000000" w:themeColor="text1"/>
          <w:sz w:val="24"/>
          <w:szCs w:val="24"/>
        </w:rPr>
        <w:t>,</w:t>
      </w:r>
      <w:r w:rsidRPr="00CA130F">
        <w:rPr>
          <w:rFonts w:ascii="Palatino Linotype" w:hAnsi="Palatino Linotype" w:cs="Arial"/>
          <w:sz w:val="24"/>
          <w:szCs w:val="24"/>
        </w:rPr>
        <w:t xml:space="preserve"> el Comisionado Presidente acordó el cierre de instrucción; así </w:t>
      </w:r>
      <w:r w:rsidRPr="00CA130F">
        <w:rPr>
          <w:rFonts w:ascii="Palatino Linotype" w:hAnsi="Palatino Linotype" w:cs="Arial"/>
          <w:sz w:val="24"/>
          <w:szCs w:val="24"/>
          <w:lang w:val="es-ES_tradnl"/>
        </w:rPr>
        <w:t>como,</w:t>
      </w:r>
      <w:r w:rsidRPr="00CA130F">
        <w:rPr>
          <w:rFonts w:ascii="Palatino Linotype" w:hAnsi="Palatino Linotype" w:cs="Arial"/>
          <w:sz w:val="24"/>
          <w:szCs w:val="24"/>
        </w:rPr>
        <w:t xml:space="preserve"> la remisión del mismo a efecto </w:t>
      </w:r>
      <w:r w:rsidRPr="00CA130F">
        <w:rPr>
          <w:rFonts w:ascii="Palatino Linotype" w:hAnsi="Palatino Linotype" w:cs="Arial"/>
          <w:sz w:val="24"/>
          <w:szCs w:val="24"/>
          <w:lang w:val="es-ES_tradnl"/>
        </w:rPr>
        <w:t>de</w:t>
      </w:r>
      <w:r w:rsidRPr="00CA130F">
        <w:rPr>
          <w:rFonts w:ascii="Palatino Linotype" w:hAnsi="Palatino Linotype" w:cs="Arial"/>
          <w:sz w:val="24"/>
          <w:szCs w:val="24"/>
        </w:rPr>
        <w:t xml:space="preserve"> ser resuelto, de conformidad </w:t>
      </w:r>
      <w:r w:rsidRPr="00CA130F">
        <w:rPr>
          <w:rFonts w:ascii="Palatino Linotype" w:hAnsi="Palatino Linotype" w:cs="Arial"/>
          <w:sz w:val="24"/>
          <w:szCs w:val="24"/>
        </w:rPr>
        <w:lastRenderedPageBreak/>
        <w:t>con lo establecido en el artículo 185, fracciones VI y VIII de la Ley de Transparencia y Acceso a la Información Pública del Estado de México y Municipios.</w:t>
      </w:r>
    </w:p>
    <w:p w14:paraId="7DB4312C" w14:textId="77777777" w:rsidR="00435682" w:rsidRPr="00CA130F" w:rsidRDefault="00435682" w:rsidP="00792761">
      <w:pPr>
        <w:spacing w:before="100" w:beforeAutospacing="1" w:after="100" w:afterAutospacing="1" w:line="360" w:lineRule="auto"/>
        <w:jc w:val="both"/>
        <w:rPr>
          <w:rFonts w:ascii="Palatino Linotype" w:hAnsi="Palatino Linotype"/>
          <w:b/>
          <w:color w:val="000000" w:themeColor="text1"/>
          <w:sz w:val="28"/>
          <w:szCs w:val="28"/>
        </w:rPr>
      </w:pPr>
      <w:r w:rsidRPr="00CA130F">
        <w:rPr>
          <w:rFonts w:ascii="Palatino Linotype" w:hAnsi="Palatino Linotype"/>
          <w:b/>
          <w:color w:val="000000" w:themeColor="text1"/>
          <w:sz w:val="28"/>
          <w:szCs w:val="28"/>
        </w:rPr>
        <w:t xml:space="preserve">XVI. </w:t>
      </w:r>
      <w:r w:rsidR="00792761" w:rsidRPr="00CA130F">
        <w:rPr>
          <w:rFonts w:ascii="Palatino Linotype" w:hAnsi="Palatino Linotype"/>
          <w:b/>
          <w:color w:val="000000" w:themeColor="text1"/>
          <w:sz w:val="28"/>
          <w:szCs w:val="28"/>
        </w:rPr>
        <w:t>Ampliación del plazo para resolver</w:t>
      </w:r>
    </w:p>
    <w:p w14:paraId="04CF5B3A" w14:textId="77777777" w:rsidR="00792761" w:rsidRPr="00CA130F" w:rsidRDefault="00792761" w:rsidP="00792761">
      <w:pPr>
        <w:spacing w:before="100" w:beforeAutospacing="1" w:after="100" w:afterAutospacing="1" w:line="360" w:lineRule="auto"/>
        <w:jc w:val="both"/>
        <w:rPr>
          <w:rFonts w:ascii="Palatino Linotype" w:hAnsi="Palatino Linotype" w:cs="Arial"/>
          <w:color w:val="000000"/>
          <w:sz w:val="24"/>
          <w:szCs w:val="24"/>
          <w:lang w:eastAsia="es-MX"/>
        </w:rPr>
      </w:pPr>
      <w:r w:rsidRPr="00CA130F">
        <w:rPr>
          <w:rFonts w:ascii="Palatino Linotype" w:hAnsi="Palatino Linotype" w:cs="Arial"/>
          <w:color w:val="000000"/>
          <w:sz w:val="24"/>
          <w:szCs w:val="24"/>
          <w:lang w:eastAsia="es-MX"/>
        </w:rPr>
        <w:t xml:space="preserve">El veintiséis de enero de dos mil veintidós, se acordó ampliar el plazo para resolver </w:t>
      </w:r>
      <w:r w:rsidRPr="00CA130F">
        <w:rPr>
          <w:rFonts w:ascii="Palatino Linotype" w:hAnsi="Palatino Linotype" w:cs="Arial"/>
          <w:color w:val="000000"/>
          <w:sz w:val="24"/>
          <w:szCs w:val="24"/>
          <w:lang w:val="es-419" w:eastAsia="es-MX"/>
        </w:rPr>
        <w:t>el</w:t>
      </w:r>
      <w:r w:rsidRPr="00CA130F">
        <w:rPr>
          <w:rFonts w:ascii="Palatino Linotype" w:hAnsi="Palatino Linotype" w:cs="Arial"/>
          <w:color w:val="000000"/>
          <w:sz w:val="24"/>
          <w:szCs w:val="24"/>
          <w:lang w:eastAsia="es-MX"/>
        </w:rPr>
        <w:t xml:space="preserve"> recurso de revisión </w:t>
      </w:r>
      <w:r w:rsidRPr="00CA130F">
        <w:rPr>
          <w:rFonts w:ascii="Palatino Linotype" w:hAnsi="Palatino Linotype" w:cs="Arial"/>
          <w:color w:val="000000"/>
          <w:sz w:val="24"/>
          <w:szCs w:val="24"/>
          <w:lang w:val="es-419" w:eastAsia="es-MX"/>
        </w:rPr>
        <w:t>en estudio</w:t>
      </w:r>
      <w:r w:rsidRPr="00CA130F">
        <w:rPr>
          <w:rFonts w:ascii="Palatino Linotype" w:hAnsi="Palatino Linotype" w:cs="Arial"/>
          <w:color w:val="000000"/>
          <w:sz w:val="24"/>
          <w:szCs w:val="24"/>
          <w:lang w:eastAsia="es-MX"/>
        </w:rPr>
        <w:t>, por un periodo de hasta quince días hábiles, de conformidad con el artículo 181, tercer párrafo de la Ley de Transparencia y Acceso a la Información Pública del Estado de México y Municipios; y,</w:t>
      </w:r>
    </w:p>
    <w:p w14:paraId="21EB6576" w14:textId="77777777" w:rsidR="00435682" w:rsidRPr="00CA130F" w:rsidRDefault="00435682" w:rsidP="00435682">
      <w:pPr>
        <w:jc w:val="center"/>
        <w:rPr>
          <w:rFonts w:ascii="Palatino Linotype" w:hAnsi="Palatino Linotype" w:cs="Arial"/>
          <w:b/>
          <w:bCs/>
          <w:color w:val="000000" w:themeColor="text1"/>
          <w:spacing w:val="60"/>
          <w:sz w:val="28"/>
        </w:rPr>
      </w:pPr>
      <w:r w:rsidRPr="00CA130F">
        <w:rPr>
          <w:rFonts w:ascii="Palatino Linotype" w:hAnsi="Palatino Linotype" w:cs="Arial"/>
          <w:b/>
          <w:bCs/>
          <w:color w:val="000000" w:themeColor="text1"/>
          <w:spacing w:val="60"/>
          <w:sz w:val="28"/>
        </w:rPr>
        <w:t>CONSIDERANDO</w:t>
      </w:r>
    </w:p>
    <w:p w14:paraId="5EA02BD8" w14:textId="77777777" w:rsidR="00435682" w:rsidRPr="00CA130F" w:rsidRDefault="00435682" w:rsidP="0043568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CA130F">
        <w:rPr>
          <w:rFonts w:ascii="Palatino Linotype" w:hAnsi="Palatino Linotype"/>
          <w:b/>
          <w:color w:val="000000" w:themeColor="text1"/>
          <w:sz w:val="28"/>
          <w:szCs w:val="28"/>
        </w:rPr>
        <w:t>PRIMERO</w:t>
      </w:r>
      <w:r w:rsidRPr="00CA130F">
        <w:rPr>
          <w:rFonts w:ascii="Palatino Linotype" w:hAnsi="Palatino Linotype"/>
          <w:b/>
          <w:color w:val="000000" w:themeColor="text1"/>
        </w:rPr>
        <w:t>.</w:t>
      </w:r>
      <w:r w:rsidRPr="00CA130F">
        <w:rPr>
          <w:rFonts w:ascii="Palatino Linotype" w:hAnsi="Palatino Linotype"/>
          <w:color w:val="000000" w:themeColor="text1"/>
        </w:rPr>
        <w:t xml:space="preserve"> </w:t>
      </w:r>
      <w:r w:rsidRPr="00CA130F">
        <w:rPr>
          <w:rFonts w:ascii="Palatino Linotype" w:hAnsi="Palatino Linotype"/>
          <w:b/>
          <w:color w:val="000000" w:themeColor="text1"/>
        </w:rPr>
        <w:t>Competencia</w:t>
      </w:r>
      <w:r w:rsidRPr="00CA130F">
        <w:rPr>
          <w:rFonts w:ascii="Palatino Linotype" w:hAnsi="Palatino Linotype"/>
          <w:color w:val="000000" w:themeColor="text1"/>
        </w:rPr>
        <w:t>.</w:t>
      </w:r>
      <w:r w:rsidRPr="00CA130F">
        <w:rPr>
          <w:rFonts w:ascii="Palatino Linotype" w:hAnsi="Palatino Linotype"/>
          <w:b/>
          <w:color w:val="000000" w:themeColor="text1"/>
        </w:rPr>
        <w:t xml:space="preserve"> </w:t>
      </w:r>
    </w:p>
    <w:p w14:paraId="41BEDE5A" w14:textId="77777777" w:rsidR="00435682" w:rsidRPr="00CA130F" w:rsidRDefault="00435682" w:rsidP="0043568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CA130F">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A130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264F737" w14:textId="77777777" w:rsidR="00435682" w:rsidRPr="00CA130F" w:rsidRDefault="00435682" w:rsidP="00435682">
      <w:pPr>
        <w:spacing w:before="100" w:beforeAutospacing="1" w:after="100" w:afterAutospacing="1" w:line="360" w:lineRule="auto"/>
        <w:jc w:val="both"/>
        <w:rPr>
          <w:rFonts w:ascii="Palatino Linotype" w:hAnsi="Palatino Linotype" w:cs="Arial"/>
          <w:b/>
          <w:color w:val="000000" w:themeColor="text1"/>
        </w:rPr>
      </w:pPr>
      <w:r w:rsidRPr="00CA130F">
        <w:rPr>
          <w:rFonts w:ascii="Palatino Linotype" w:hAnsi="Palatino Linotype" w:cs="Arial"/>
          <w:b/>
          <w:color w:val="000000" w:themeColor="text1"/>
          <w:sz w:val="28"/>
        </w:rPr>
        <w:t>SEGUNDO</w:t>
      </w:r>
      <w:r w:rsidRPr="00CA130F">
        <w:rPr>
          <w:rFonts w:ascii="Palatino Linotype" w:hAnsi="Palatino Linotype" w:cs="Arial"/>
          <w:b/>
          <w:color w:val="000000" w:themeColor="text1"/>
        </w:rPr>
        <w:t xml:space="preserve">. </w:t>
      </w:r>
      <w:r w:rsidRPr="00CA130F">
        <w:rPr>
          <w:rFonts w:ascii="Palatino Linotype" w:hAnsi="Palatino Linotype" w:cs="Arial"/>
          <w:b/>
          <w:color w:val="000000" w:themeColor="text1"/>
          <w:sz w:val="24"/>
          <w:szCs w:val="24"/>
        </w:rPr>
        <w:t>Interés.</w:t>
      </w:r>
      <w:r w:rsidRPr="00CA130F">
        <w:rPr>
          <w:rFonts w:ascii="Palatino Linotype" w:hAnsi="Palatino Linotype" w:cs="Arial"/>
          <w:b/>
          <w:color w:val="000000" w:themeColor="text1"/>
        </w:rPr>
        <w:t xml:space="preserve"> </w:t>
      </w:r>
    </w:p>
    <w:p w14:paraId="066CCEA1" w14:textId="77777777" w:rsidR="00435682" w:rsidRPr="00CA130F" w:rsidRDefault="00435682" w:rsidP="00435682">
      <w:pPr>
        <w:spacing w:before="100" w:beforeAutospacing="1" w:after="100" w:afterAutospacing="1" w:line="360" w:lineRule="auto"/>
        <w:jc w:val="both"/>
        <w:rPr>
          <w:rFonts w:ascii="Palatino Linotype" w:hAnsi="Palatino Linotype" w:cs="Arial"/>
          <w:b/>
          <w:snapToGrid w:val="0"/>
          <w:color w:val="000000" w:themeColor="text1"/>
          <w:sz w:val="24"/>
          <w:szCs w:val="24"/>
        </w:rPr>
      </w:pPr>
      <w:r w:rsidRPr="00CA130F">
        <w:rPr>
          <w:rFonts w:ascii="Palatino Linotype" w:hAnsi="Palatino Linotype" w:cs="Arial"/>
          <w:bCs/>
          <w:color w:val="000000" w:themeColor="text1"/>
          <w:sz w:val="24"/>
          <w:szCs w:val="24"/>
        </w:rPr>
        <w:lastRenderedPageBreak/>
        <w:t xml:space="preserve">El recurso de revisión fue interpuesto por parte legítima, en atención a que se presentó por </w:t>
      </w:r>
      <w:r w:rsidRPr="00CA130F">
        <w:rPr>
          <w:rFonts w:ascii="Palatino Linotype" w:hAnsi="Palatino Linotype" w:cs="Arial"/>
          <w:b/>
          <w:bCs/>
          <w:color w:val="000000" w:themeColor="text1"/>
          <w:sz w:val="24"/>
          <w:szCs w:val="24"/>
        </w:rPr>
        <w:t>EL RECURRENTE,</w:t>
      </w:r>
      <w:r w:rsidRPr="00CA130F">
        <w:rPr>
          <w:rFonts w:ascii="Palatino Linotype" w:hAnsi="Palatino Linotype" w:cs="Arial"/>
          <w:bCs/>
          <w:color w:val="000000" w:themeColor="text1"/>
          <w:sz w:val="24"/>
          <w:szCs w:val="24"/>
        </w:rPr>
        <w:t xml:space="preserve"> quien es la misma persona que formuló la solicitud de acceso a la información pública al </w:t>
      </w:r>
      <w:r w:rsidRPr="00CA130F">
        <w:rPr>
          <w:rFonts w:ascii="Palatino Linotype" w:hAnsi="Palatino Linotype" w:cs="Arial"/>
          <w:b/>
          <w:bCs/>
          <w:color w:val="000000" w:themeColor="text1"/>
          <w:sz w:val="24"/>
          <w:szCs w:val="24"/>
        </w:rPr>
        <w:t>SUJETO OBLIGADO.</w:t>
      </w:r>
    </w:p>
    <w:p w14:paraId="173F9B35" w14:textId="77777777" w:rsidR="00435682" w:rsidRPr="00CA130F" w:rsidRDefault="00435682" w:rsidP="00435682">
      <w:pPr>
        <w:pStyle w:val="Prrafodelista"/>
        <w:autoSpaceDE w:val="0"/>
        <w:autoSpaceDN w:val="0"/>
        <w:adjustRightInd w:val="0"/>
        <w:spacing w:line="360" w:lineRule="auto"/>
        <w:ind w:left="0" w:right="49"/>
        <w:jc w:val="both"/>
        <w:rPr>
          <w:rFonts w:ascii="Palatino Linotype" w:hAnsi="Palatino Linotype" w:cs="Arial"/>
          <w:b/>
          <w:color w:val="000000" w:themeColor="text1"/>
          <w:lang w:val="es-ES"/>
        </w:rPr>
      </w:pPr>
      <w:r w:rsidRPr="00CA130F">
        <w:rPr>
          <w:rFonts w:ascii="Palatino Linotype" w:hAnsi="Palatino Linotype" w:cs="Arial"/>
          <w:b/>
          <w:color w:val="000000" w:themeColor="text1"/>
          <w:sz w:val="28"/>
          <w:szCs w:val="28"/>
        </w:rPr>
        <w:t xml:space="preserve">TERCERO. </w:t>
      </w:r>
      <w:r w:rsidRPr="00CA130F">
        <w:rPr>
          <w:rFonts w:ascii="Palatino Linotype" w:hAnsi="Palatino Linotype" w:cs="Arial"/>
          <w:b/>
          <w:color w:val="000000" w:themeColor="text1"/>
          <w:lang w:val="es-ES"/>
        </w:rPr>
        <w:t xml:space="preserve">Oportunidad. </w:t>
      </w:r>
    </w:p>
    <w:p w14:paraId="7E31F3E0" w14:textId="10569114" w:rsidR="00435682" w:rsidRPr="00CA130F" w:rsidRDefault="005B18A9" w:rsidP="002C3878">
      <w:pPr>
        <w:pStyle w:val="Prrafodelista"/>
        <w:autoSpaceDE w:val="0"/>
        <w:autoSpaceDN w:val="0"/>
        <w:adjustRightInd w:val="0"/>
        <w:spacing w:before="100" w:beforeAutospacing="1" w:after="100" w:afterAutospacing="1" w:line="360" w:lineRule="auto"/>
        <w:ind w:left="0" w:right="51"/>
        <w:jc w:val="both"/>
        <w:rPr>
          <w:rFonts w:ascii="Palatino Linotype" w:hAnsi="Palatino Linotype" w:cs="Arial"/>
          <w:color w:val="000000" w:themeColor="text1"/>
          <w:lang w:val="es-ES"/>
        </w:rPr>
      </w:pPr>
      <w:r w:rsidRPr="00CA130F">
        <w:rPr>
          <w:rFonts w:ascii="Palatino Linotype" w:hAnsi="Palatino Linotype" w:cs="Arial"/>
          <w:color w:val="000000" w:themeColor="text1"/>
          <w:lang w:val="es-ES"/>
        </w:rPr>
        <w:t>La</w:t>
      </w:r>
      <w:r w:rsidR="00435682" w:rsidRPr="00CA130F">
        <w:rPr>
          <w:rFonts w:ascii="Palatino Linotype" w:hAnsi="Palatino Linotype" w:cs="Arial"/>
          <w:color w:val="000000" w:themeColor="text1"/>
          <w:lang w:val="es-ES"/>
        </w:rPr>
        <w:t xml:space="preserve"> Ley de Transparencia y Acceso a la Información Pública del Estado de México y Municipios, describe el mecanismo de procedencia de los recursos de revisión, como se puede apreciar en el siguiente artículo:</w:t>
      </w:r>
    </w:p>
    <w:p w14:paraId="5D65DE58" w14:textId="77777777" w:rsidR="00435682" w:rsidRPr="00CA130F" w:rsidRDefault="00435682" w:rsidP="00435682">
      <w:pPr>
        <w:autoSpaceDE w:val="0"/>
        <w:autoSpaceDN w:val="0"/>
        <w:adjustRightInd w:val="0"/>
        <w:ind w:left="851" w:right="902"/>
        <w:jc w:val="both"/>
        <w:rPr>
          <w:rFonts w:ascii="Palatino Linotype" w:hAnsi="Palatino Linotype" w:cs="Arial"/>
          <w:i/>
          <w:color w:val="000000" w:themeColor="text1"/>
          <w:lang w:val="es-ES"/>
        </w:rPr>
      </w:pPr>
      <w:r w:rsidRPr="00CA130F">
        <w:rPr>
          <w:rFonts w:ascii="Palatino Linotype" w:hAnsi="Palatino Linotype" w:cs="Arial"/>
          <w:b/>
          <w:i/>
          <w:color w:val="000000" w:themeColor="text1"/>
          <w:lang w:val="es-ES"/>
        </w:rPr>
        <w:t>“Artículo 163.</w:t>
      </w:r>
      <w:r w:rsidRPr="00CA130F">
        <w:rPr>
          <w:rFonts w:ascii="Palatino Linotype" w:hAnsi="Palatino Linotype" w:cs="Arial"/>
          <w:i/>
          <w:color w:val="000000" w:themeColor="text1"/>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280FCD7B" w14:textId="77777777" w:rsidR="00435682" w:rsidRPr="00CA130F" w:rsidRDefault="00435682" w:rsidP="00435682">
      <w:pPr>
        <w:autoSpaceDE w:val="0"/>
        <w:autoSpaceDN w:val="0"/>
        <w:adjustRightInd w:val="0"/>
        <w:ind w:left="851" w:right="902"/>
        <w:jc w:val="both"/>
        <w:rPr>
          <w:rFonts w:ascii="Palatino Linotype" w:hAnsi="Palatino Linotype" w:cs="Arial"/>
          <w:i/>
          <w:color w:val="000000" w:themeColor="text1"/>
          <w:lang w:val="es-ES"/>
        </w:rPr>
      </w:pPr>
      <w:r w:rsidRPr="00CA130F">
        <w:rPr>
          <w:rFonts w:ascii="Palatino Linotype" w:hAnsi="Palatino Linotype" w:cs="Arial"/>
          <w:i/>
          <w:color w:val="000000" w:themeColor="text1"/>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14AB6AA" w14:textId="77777777" w:rsidR="00435682" w:rsidRPr="00CA130F" w:rsidRDefault="00435682" w:rsidP="00435682">
      <w:pPr>
        <w:spacing w:before="100" w:beforeAutospacing="1" w:after="100" w:afterAutospacing="1" w:line="360" w:lineRule="auto"/>
        <w:jc w:val="both"/>
        <w:rPr>
          <w:rFonts w:ascii="Palatino Linotype" w:hAnsi="Palatino Linotype" w:cs="Arial"/>
          <w:color w:val="000000" w:themeColor="text1"/>
          <w:sz w:val="24"/>
          <w:szCs w:val="24"/>
          <w:lang w:val="es-ES"/>
        </w:rPr>
      </w:pPr>
      <w:r w:rsidRPr="00CA130F">
        <w:rPr>
          <w:rFonts w:ascii="Palatino Linotype" w:hAnsi="Palatino Linotype" w:cs="Arial"/>
          <w:color w:val="000000" w:themeColor="text1"/>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2A4E361B" w14:textId="77777777" w:rsidR="00435682" w:rsidRPr="00CA130F" w:rsidRDefault="00435682" w:rsidP="00435682">
      <w:pPr>
        <w:spacing w:before="100" w:beforeAutospacing="1" w:after="100" w:afterAutospacing="1" w:line="360" w:lineRule="auto"/>
        <w:jc w:val="both"/>
        <w:rPr>
          <w:rFonts w:ascii="Palatino Linotype" w:hAnsi="Palatino Linotype" w:cs="Arial"/>
          <w:color w:val="000000" w:themeColor="text1"/>
          <w:sz w:val="24"/>
          <w:szCs w:val="24"/>
          <w:lang w:val="es-ES"/>
        </w:rPr>
      </w:pPr>
      <w:r w:rsidRPr="00CA130F">
        <w:rPr>
          <w:rFonts w:ascii="Palatino Linotype" w:hAnsi="Palatino Linotype" w:cs="Arial"/>
          <w:color w:val="000000" w:themeColor="text1"/>
          <w:sz w:val="24"/>
          <w:szCs w:val="24"/>
          <w:lang w:val="es-ES"/>
        </w:rPr>
        <w:lastRenderedPageBreak/>
        <w:t xml:space="preserve">Derivado de lo anterior, se constituye la figura jurídica de la </w:t>
      </w:r>
      <w:r w:rsidRPr="00CA130F">
        <w:rPr>
          <w:rFonts w:ascii="Palatino Linotype" w:hAnsi="Palatino Linotype" w:cs="Arial"/>
          <w:b/>
          <w:color w:val="000000" w:themeColor="text1"/>
          <w:sz w:val="24"/>
          <w:szCs w:val="24"/>
          <w:lang w:val="es-ES"/>
        </w:rPr>
        <w:t>NEGATIVA FICTA</w:t>
      </w:r>
      <w:r w:rsidRPr="00CA130F">
        <w:rPr>
          <w:rFonts w:ascii="Palatino Linotype" w:hAnsi="Palatino Linotype" w:cs="Arial"/>
          <w:color w:val="000000" w:themeColor="text1"/>
          <w:sz w:val="24"/>
          <w:szCs w:val="24"/>
          <w:lang w:val="es-ES"/>
        </w:rPr>
        <w:t>, cuya esencia consiste en atribuir un efecto negativo al silencio de la autoridad administrativa frente a las instancias y solicitudes que hagan los particulares.</w:t>
      </w:r>
    </w:p>
    <w:p w14:paraId="157E72F1" w14:textId="77777777" w:rsidR="00435682" w:rsidRPr="00CA130F" w:rsidRDefault="00435682" w:rsidP="00435682">
      <w:pPr>
        <w:spacing w:before="100" w:beforeAutospacing="1" w:after="100" w:afterAutospacing="1" w:line="360" w:lineRule="auto"/>
        <w:jc w:val="both"/>
        <w:rPr>
          <w:rFonts w:ascii="Palatino Linotype" w:hAnsi="Palatino Linotype" w:cs="Arial"/>
          <w:color w:val="000000" w:themeColor="text1"/>
          <w:sz w:val="24"/>
          <w:szCs w:val="24"/>
          <w:lang w:val="es-ES"/>
        </w:rPr>
      </w:pPr>
      <w:r w:rsidRPr="00CA130F">
        <w:rPr>
          <w:rFonts w:ascii="Palatino Linotype" w:hAnsi="Palatino Linotype" w:cs="Arial"/>
          <w:color w:val="000000" w:themeColor="text1"/>
          <w:sz w:val="24"/>
          <w:szCs w:val="24"/>
          <w:lang w:val="es-ES"/>
        </w:rPr>
        <w:t>Por su parte, los artículos 178 y 179, último párrafo de la Ley de Transparencia y Acceso a la Información Pública del Estado de México y Municipios, establecen:</w:t>
      </w:r>
    </w:p>
    <w:p w14:paraId="2F0C5152" w14:textId="77777777" w:rsidR="00435682" w:rsidRPr="00CA130F" w:rsidRDefault="00435682" w:rsidP="00435682">
      <w:pPr>
        <w:spacing w:after="0" w:line="240" w:lineRule="auto"/>
        <w:ind w:left="851" w:right="902"/>
        <w:jc w:val="both"/>
        <w:rPr>
          <w:rFonts w:ascii="Palatino Linotype" w:hAnsi="Palatino Linotype" w:cs="Arial"/>
          <w:i/>
          <w:color w:val="000000" w:themeColor="text1"/>
          <w:lang w:val="es-ES"/>
        </w:rPr>
      </w:pPr>
      <w:r w:rsidRPr="00CA130F">
        <w:rPr>
          <w:rFonts w:ascii="Palatino Linotype" w:hAnsi="Palatino Linotype" w:cs="Arial"/>
          <w:b/>
          <w:i/>
          <w:color w:val="000000" w:themeColor="text1"/>
          <w:lang w:val="es-ES"/>
        </w:rPr>
        <w:t xml:space="preserve">“Artículo 178. </w:t>
      </w:r>
      <w:r w:rsidRPr="00CA130F">
        <w:rPr>
          <w:rFonts w:ascii="Palatino Linotype" w:hAnsi="Palatino Linotype" w:cs="Arial"/>
          <w:i/>
          <w:color w:val="000000" w:themeColor="text1"/>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69876BF" w14:textId="77777777" w:rsidR="00435682" w:rsidRPr="00CA130F" w:rsidRDefault="00435682" w:rsidP="00435682">
      <w:pPr>
        <w:spacing w:after="0" w:line="240" w:lineRule="auto"/>
        <w:ind w:left="851" w:right="902"/>
        <w:jc w:val="both"/>
        <w:rPr>
          <w:rFonts w:ascii="Palatino Linotype" w:hAnsi="Palatino Linotype" w:cs="Arial"/>
          <w:i/>
          <w:color w:val="000000" w:themeColor="text1"/>
          <w:lang w:val="es-ES"/>
        </w:rPr>
      </w:pPr>
    </w:p>
    <w:p w14:paraId="22101ED8" w14:textId="77777777" w:rsidR="00435682" w:rsidRPr="00CA130F" w:rsidRDefault="00435682" w:rsidP="00435682">
      <w:pPr>
        <w:spacing w:after="0" w:line="240" w:lineRule="auto"/>
        <w:ind w:left="851" w:right="902"/>
        <w:jc w:val="both"/>
        <w:rPr>
          <w:rFonts w:ascii="Palatino Linotype" w:hAnsi="Palatino Linotype" w:cs="Arial"/>
          <w:i/>
          <w:color w:val="000000" w:themeColor="text1"/>
          <w:lang w:val="es-ES"/>
        </w:rPr>
      </w:pPr>
      <w:r w:rsidRPr="00CA130F">
        <w:rPr>
          <w:rFonts w:ascii="Palatino Linotype" w:hAnsi="Palatino Linotype" w:cs="Arial"/>
          <w:b/>
          <w:i/>
          <w:color w:val="000000" w:themeColor="text1"/>
          <w:u w:val="single"/>
          <w:lang w:val="es-ES"/>
        </w:rPr>
        <w:t>A falta de respuesta del sujeto obligado, dentro de los plazos establecidos en esta Ley, a una solicitud de acceso a la información pública, el recurso podrá ser interpuesto en cualquier momento</w:t>
      </w:r>
      <w:r w:rsidRPr="00CA130F">
        <w:rPr>
          <w:rFonts w:ascii="Palatino Linotype" w:hAnsi="Palatino Linotype" w:cs="Arial"/>
          <w:i/>
          <w:color w:val="000000" w:themeColor="text1"/>
          <w:lang w:val="es-ES"/>
        </w:rPr>
        <w:t>, acompañado con el documento que pruebe la fecha en que presentó la solicitud.</w:t>
      </w:r>
    </w:p>
    <w:p w14:paraId="5F7C0F0F" w14:textId="77777777" w:rsidR="00435682" w:rsidRPr="00CA130F" w:rsidRDefault="00435682" w:rsidP="00435682">
      <w:pPr>
        <w:spacing w:after="0" w:line="240" w:lineRule="auto"/>
        <w:ind w:left="851" w:right="902"/>
        <w:jc w:val="both"/>
        <w:rPr>
          <w:rFonts w:ascii="Palatino Linotype" w:hAnsi="Palatino Linotype" w:cs="Arial"/>
          <w:i/>
          <w:color w:val="000000" w:themeColor="text1"/>
          <w:lang w:val="es-ES"/>
        </w:rPr>
      </w:pPr>
      <w:r w:rsidRPr="00CA130F">
        <w:rPr>
          <w:rFonts w:ascii="Palatino Linotype" w:hAnsi="Palatino Linotype" w:cs="Arial"/>
          <w:i/>
          <w:color w:val="000000" w:themeColor="text1"/>
          <w:lang w:val="es-ES"/>
        </w:rPr>
        <w:t>En el caso de que se interponga ante la Unidad de Transparencia, ésta deberá remitir el recurso de revisión al Instituto a más tardar al día siguiente de haberlo recibido.</w:t>
      </w:r>
    </w:p>
    <w:p w14:paraId="355A98B1" w14:textId="77777777" w:rsidR="00435682" w:rsidRPr="00CA130F" w:rsidRDefault="00435682" w:rsidP="00435682">
      <w:pPr>
        <w:spacing w:after="0" w:line="240" w:lineRule="auto"/>
        <w:ind w:left="851" w:right="902"/>
        <w:jc w:val="both"/>
        <w:rPr>
          <w:rFonts w:ascii="Palatino Linotype" w:hAnsi="Palatino Linotype" w:cs="Arial"/>
          <w:b/>
          <w:i/>
          <w:color w:val="000000" w:themeColor="text1"/>
          <w:lang w:val="es-ES"/>
        </w:rPr>
      </w:pPr>
    </w:p>
    <w:p w14:paraId="6FA07F30" w14:textId="77777777" w:rsidR="00435682" w:rsidRPr="00CA130F" w:rsidRDefault="00435682" w:rsidP="00435682">
      <w:pPr>
        <w:spacing w:after="0" w:line="240" w:lineRule="auto"/>
        <w:ind w:left="851" w:right="902"/>
        <w:jc w:val="both"/>
        <w:rPr>
          <w:rFonts w:ascii="Palatino Linotype" w:hAnsi="Palatino Linotype" w:cs="Arial"/>
          <w:i/>
          <w:color w:val="000000" w:themeColor="text1"/>
          <w:lang w:val="es-ES"/>
        </w:rPr>
      </w:pPr>
      <w:r w:rsidRPr="00CA130F">
        <w:rPr>
          <w:rFonts w:ascii="Palatino Linotype" w:hAnsi="Palatino Linotype" w:cs="Arial"/>
          <w:b/>
          <w:i/>
          <w:color w:val="000000" w:themeColor="text1"/>
          <w:lang w:val="es-ES"/>
        </w:rPr>
        <w:t>Artículo 179.</w:t>
      </w:r>
      <w:r w:rsidRPr="00CA130F">
        <w:rPr>
          <w:rFonts w:ascii="Palatino Linotype" w:hAnsi="Palatino Linotype" w:cs="Arial"/>
          <w:i/>
          <w:color w:val="000000" w:themeColor="text1"/>
          <w:lang w:val="es-ES"/>
        </w:rPr>
        <w:t xml:space="preserve"> El recurso de revisión es un medio de protección que la Ley otorga a los particulares, para hacer valer su derecho de acceso a la información pública, y procederá en contra de las siguientes causas:</w:t>
      </w:r>
    </w:p>
    <w:p w14:paraId="7B3C39D0" w14:textId="77777777" w:rsidR="00435682" w:rsidRPr="00CA130F" w:rsidRDefault="00435682" w:rsidP="00435682">
      <w:pPr>
        <w:spacing w:after="0" w:line="240" w:lineRule="auto"/>
        <w:ind w:left="851" w:right="902"/>
        <w:jc w:val="both"/>
        <w:rPr>
          <w:rFonts w:ascii="Palatino Linotype" w:hAnsi="Palatino Linotype" w:cs="Arial"/>
          <w:i/>
          <w:color w:val="000000" w:themeColor="text1"/>
          <w:lang w:val="es-ES"/>
        </w:rPr>
      </w:pPr>
      <w:r w:rsidRPr="00CA130F">
        <w:rPr>
          <w:rFonts w:ascii="Palatino Linotype" w:hAnsi="Palatino Linotype" w:cs="Arial"/>
          <w:b/>
          <w:i/>
          <w:color w:val="000000" w:themeColor="text1"/>
          <w:lang w:val="es-ES"/>
        </w:rPr>
        <w:t>…</w:t>
      </w:r>
    </w:p>
    <w:p w14:paraId="5082D79F" w14:textId="77777777" w:rsidR="00435682" w:rsidRPr="00CA130F" w:rsidRDefault="00435682" w:rsidP="00435682">
      <w:pPr>
        <w:spacing w:after="0" w:line="240" w:lineRule="auto"/>
        <w:ind w:left="851" w:right="902"/>
        <w:jc w:val="both"/>
        <w:rPr>
          <w:rFonts w:ascii="Palatino Linotype" w:hAnsi="Palatino Linotype" w:cs="Arial"/>
          <w:i/>
          <w:color w:val="000000" w:themeColor="text1"/>
          <w:lang w:val="es-ES"/>
        </w:rPr>
      </w:pPr>
      <w:r w:rsidRPr="00CA130F">
        <w:rPr>
          <w:rFonts w:ascii="Palatino Linotype" w:hAnsi="Palatino Linotype" w:cs="Arial"/>
          <w:b/>
          <w:i/>
          <w:color w:val="000000" w:themeColor="text1"/>
          <w:lang w:val="es-ES"/>
        </w:rPr>
        <w:t>La respuesta que den los sujetos obligados derivada de la resolución a un recurso de revisión que proceda por las causales señaladas en las fracciones</w:t>
      </w:r>
      <w:r w:rsidRPr="00CA130F">
        <w:rPr>
          <w:rFonts w:ascii="Palatino Linotype" w:hAnsi="Palatino Linotype" w:cs="Arial"/>
          <w:i/>
          <w:color w:val="000000" w:themeColor="text1"/>
          <w:lang w:val="es-ES"/>
        </w:rPr>
        <w:t xml:space="preserve"> IV, </w:t>
      </w:r>
      <w:r w:rsidRPr="00CA130F">
        <w:rPr>
          <w:rFonts w:ascii="Palatino Linotype" w:hAnsi="Palatino Linotype" w:cs="Arial"/>
          <w:b/>
          <w:i/>
          <w:color w:val="000000" w:themeColor="text1"/>
          <w:u w:val="single"/>
          <w:lang w:val="es-ES"/>
        </w:rPr>
        <w:t>VII</w:t>
      </w:r>
      <w:r w:rsidRPr="00CA130F">
        <w:rPr>
          <w:rFonts w:ascii="Palatino Linotype" w:hAnsi="Palatino Linotype" w:cs="Arial"/>
          <w:i/>
          <w:color w:val="000000" w:themeColor="text1"/>
          <w:lang w:val="es-ES"/>
        </w:rPr>
        <w:t xml:space="preserve">, IX, X, </w:t>
      </w:r>
      <w:r w:rsidRPr="00CA130F">
        <w:rPr>
          <w:rFonts w:ascii="Palatino Linotype" w:hAnsi="Palatino Linotype" w:cs="Arial"/>
          <w:b/>
          <w:i/>
          <w:color w:val="000000" w:themeColor="text1"/>
          <w:u w:val="single"/>
          <w:lang w:val="es-ES"/>
        </w:rPr>
        <w:t>XI</w:t>
      </w:r>
      <w:r w:rsidRPr="00CA130F">
        <w:rPr>
          <w:rFonts w:ascii="Palatino Linotype" w:hAnsi="Palatino Linotype" w:cs="Arial"/>
          <w:i/>
          <w:color w:val="000000" w:themeColor="text1"/>
          <w:lang w:val="es-ES"/>
        </w:rPr>
        <w:t xml:space="preserve"> y XII </w:t>
      </w:r>
      <w:r w:rsidRPr="00CA130F">
        <w:rPr>
          <w:rFonts w:ascii="Palatino Linotype" w:hAnsi="Palatino Linotype" w:cs="Arial"/>
          <w:b/>
          <w:i/>
          <w:color w:val="000000" w:themeColor="text1"/>
          <w:u w:val="single"/>
          <w:lang w:val="es-ES"/>
        </w:rPr>
        <w:t>es susceptible de ser impugnada de nueva cuenta, mediante recurso de revisión, ante el Instituto</w:t>
      </w:r>
      <w:r w:rsidRPr="00CA130F">
        <w:rPr>
          <w:rFonts w:ascii="Palatino Linotype" w:hAnsi="Palatino Linotype" w:cs="Arial"/>
          <w:i/>
          <w:color w:val="000000" w:themeColor="text1"/>
          <w:lang w:val="es-ES"/>
        </w:rPr>
        <w:t>.”</w:t>
      </w:r>
    </w:p>
    <w:p w14:paraId="4696E0BA" w14:textId="77777777" w:rsidR="00435682" w:rsidRPr="00CA130F" w:rsidRDefault="00435682" w:rsidP="00435682">
      <w:pPr>
        <w:spacing w:after="0" w:line="240" w:lineRule="auto"/>
        <w:ind w:left="851" w:right="902"/>
        <w:jc w:val="both"/>
        <w:rPr>
          <w:rFonts w:ascii="Palatino Linotype" w:hAnsi="Palatino Linotype" w:cs="Arial"/>
          <w:i/>
          <w:color w:val="000000" w:themeColor="text1"/>
          <w:lang w:val="es-ES"/>
        </w:rPr>
      </w:pPr>
      <w:r w:rsidRPr="00CA130F">
        <w:rPr>
          <w:rFonts w:ascii="Palatino Linotype" w:hAnsi="Palatino Linotype" w:cs="Arial"/>
          <w:i/>
          <w:color w:val="000000" w:themeColor="text1"/>
          <w:lang w:val="es-ES"/>
        </w:rPr>
        <w:t xml:space="preserve">(Énfasis añadido) </w:t>
      </w:r>
    </w:p>
    <w:p w14:paraId="253823FA" w14:textId="77777777" w:rsidR="00435682" w:rsidRPr="00CA130F" w:rsidRDefault="00435682" w:rsidP="00435682">
      <w:pPr>
        <w:spacing w:before="100" w:beforeAutospacing="1" w:after="100" w:afterAutospacing="1" w:line="360" w:lineRule="auto"/>
        <w:jc w:val="both"/>
        <w:rPr>
          <w:rFonts w:ascii="Palatino Linotype" w:hAnsi="Palatino Linotype" w:cs="Arial"/>
          <w:color w:val="000000" w:themeColor="text1"/>
          <w:sz w:val="24"/>
          <w:szCs w:val="24"/>
          <w:lang w:val="es-ES"/>
        </w:rPr>
      </w:pPr>
      <w:r w:rsidRPr="00CA130F">
        <w:rPr>
          <w:rFonts w:ascii="Palatino Linotype" w:hAnsi="Palatino Linotype" w:cs="Arial"/>
          <w:color w:val="000000" w:themeColor="text1"/>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CA130F">
        <w:rPr>
          <w:rFonts w:ascii="Palatino Linotype" w:hAnsi="Palatino Linotype" w:cs="Arial"/>
          <w:b/>
          <w:color w:val="000000" w:themeColor="text1"/>
          <w:sz w:val="24"/>
          <w:szCs w:val="24"/>
          <w:lang w:val="es-ES"/>
        </w:rPr>
        <w:t>SUJETO OBLIGADO</w:t>
      </w:r>
      <w:r w:rsidRPr="00CA130F">
        <w:rPr>
          <w:rFonts w:ascii="Palatino Linotype" w:hAnsi="Palatino Linotype" w:cs="Arial"/>
          <w:color w:val="000000" w:themeColor="text1"/>
          <w:sz w:val="24"/>
          <w:szCs w:val="24"/>
          <w:lang w:val="es-ES"/>
        </w:rPr>
        <w:t xml:space="preserve">; sin </w:t>
      </w:r>
      <w:r w:rsidRPr="00CA130F">
        <w:rPr>
          <w:rFonts w:ascii="Palatino Linotype" w:hAnsi="Palatino Linotype" w:cs="Arial"/>
          <w:color w:val="000000" w:themeColor="text1"/>
          <w:sz w:val="24"/>
          <w:szCs w:val="24"/>
          <w:lang w:val="es-ES"/>
        </w:rPr>
        <w:lastRenderedPageBreak/>
        <w:t xml:space="preserve">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CA130F">
        <w:rPr>
          <w:rFonts w:ascii="Palatino Linotype" w:hAnsi="Palatino Linotype" w:cs="Arial"/>
          <w:b/>
          <w:color w:val="000000" w:themeColor="text1"/>
          <w:sz w:val="24"/>
          <w:szCs w:val="24"/>
          <w:lang w:val="es-ES"/>
        </w:rPr>
        <w:t xml:space="preserve">EL RECURRENTE </w:t>
      </w:r>
      <w:r w:rsidRPr="00CA130F">
        <w:rPr>
          <w:rFonts w:ascii="Palatino Linotype" w:hAnsi="Palatino Linotype" w:cs="Arial"/>
          <w:color w:val="000000" w:themeColor="text1"/>
          <w:sz w:val="24"/>
          <w:szCs w:val="24"/>
          <w:lang w:val="es-ES"/>
        </w:rPr>
        <w:t>está en la total libertad de presentar su medio de impugnación en cualquier momento, consecuentemente se tiene que dicho recurso se presentó oportunamente.</w:t>
      </w:r>
    </w:p>
    <w:p w14:paraId="75C8F094" w14:textId="3B15B6F4" w:rsidR="00435682" w:rsidRPr="00CA130F" w:rsidRDefault="00435682" w:rsidP="00435682">
      <w:pPr>
        <w:spacing w:before="100" w:beforeAutospacing="1" w:after="100" w:afterAutospacing="1" w:line="360" w:lineRule="auto"/>
        <w:jc w:val="both"/>
        <w:rPr>
          <w:rFonts w:ascii="Palatino Linotype" w:hAnsi="Palatino Linotype" w:cs="Arial"/>
          <w:color w:val="000000" w:themeColor="text1"/>
          <w:sz w:val="24"/>
          <w:szCs w:val="24"/>
          <w:lang w:val="es-ES"/>
        </w:rPr>
      </w:pPr>
      <w:r w:rsidRPr="00CA130F">
        <w:rPr>
          <w:rFonts w:ascii="Palatino Linotype" w:hAnsi="Palatino Linotype" w:cs="Arial"/>
          <w:color w:val="000000" w:themeColor="text1"/>
          <w:sz w:val="24"/>
          <w:szCs w:val="24"/>
          <w:lang w:val="es-ES"/>
        </w:rPr>
        <w:t xml:space="preserve">Por otro lado, es necesario destacar que en el presente asunto se actualiza la causal de procedencia del recurso de revisión prevista en el artículo 179 en su último párrafo de la Ley de la materia; pues como se ha visto en los Resultandos de la </w:t>
      </w:r>
      <w:r w:rsidR="005B18A9" w:rsidRPr="00CA130F">
        <w:rPr>
          <w:rFonts w:ascii="Palatino Linotype" w:hAnsi="Palatino Linotype" w:cs="Arial"/>
          <w:color w:val="000000" w:themeColor="text1"/>
          <w:sz w:val="24"/>
          <w:szCs w:val="24"/>
          <w:lang w:val="es-ES"/>
        </w:rPr>
        <w:t>R</w:t>
      </w:r>
      <w:r w:rsidRPr="00CA130F">
        <w:rPr>
          <w:rFonts w:ascii="Palatino Linotype" w:hAnsi="Palatino Linotype" w:cs="Arial"/>
          <w:color w:val="000000" w:themeColor="text1"/>
          <w:sz w:val="24"/>
          <w:szCs w:val="24"/>
          <w:lang w:val="es-ES"/>
        </w:rPr>
        <w:t xml:space="preserve">esolución </w:t>
      </w:r>
      <w:r w:rsidRPr="00CA130F">
        <w:rPr>
          <w:rFonts w:ascii="Palatino Linotype" w:hAnsi="Palatino Linotype" w:cs="Arial"/>
          <w:b/>
          <w:color w:val="000000" w:themeColor="text1"/>
          <w:sz w:val="24"/>
          <w:szCs w:val="24"/>
          <w:lang w:val="es-ES"/>
        </w:rPr>
        <w:t xml:space="preserve">EL SUJETO OBLIGADO </w:t>
      </w:r>
      <w:r w:rsidRPr="00CA130F">
        <w:rPr>
          <w:rFonts w:ascii="Palatino Linotype" w:hAnsi="Palatino Linotype" w:cs="Arial"/>
          <w:color w:val="000000" w:themeColor="text1"/>
          <w:sz w:val="24"/>
          <w:szCs w:val="24"/>
          <w:lang w:val="es-ES"/>
        </w:rPr>
        <w:t xml:space="preserve">de nueva cuenta fue omiso en dar atención a la solicitud y de manera posterior a la </w:t>
      </w:r>
      <w:r w:rsidR="005B18A9" w:rsidRPr="00CA130F">
        <w:rPr>
          <w:rFonts w:ascii="Palatino Linotype" w:hAnsi="Palatino Linotype" w:cs="Arial"/>
          <w:color w:val="000000" w:themeColor="text1"/>
          <w:sz w:val="24"/>
          <w:szCs w:val="24"/>
          <w:lang w:val="es-ES"/>
        </w:rPr>
        <w:t>R</w:t>
      </w:r>
      <w:r w:rsidRPr="00CA130F">
        <w:rPr>
          <w:rFonts w:ascii="Palatino Linotype" w:hAnsi="Palatino Linotype" w:cs="Arial"/>
          <w:color w:val="000000" w:themeColor="text1"/>
          <w:sz w:val="24"/>
          <w:szCs w:val="24"/>
          <w:lang w:val="es-ES"/>
        </w:rPr>
        <w:t xml:space="preserve">esolución de fecha dieciséis de junio de dos mil veintiuno, lo que motivo al particular a interponer nuevamente un </w:t>
      </w:r>
      <w:r w:rsidR="005B18A9" w:rsidRPr="00CA130F">
        <w:rPr>
          <w:rFonts w:ascii="Palatino Linotype" w:hAnsi="Palatino Linotype" w:cs="Arial"/>
          <w:color w:val="000000" w:themeColor="text1"/>
          <w:sz w:val="24"/>
          <w:szCs w:val="24"/>
          <w:lang w:val="es-ES"/>
        </w:rPr>
        <w:t>R</w:t>
      </w:r>
      <w:r w:rsidRPr="00CA130F">
        <w:rPr>
          <w:rFonts w:ascii="Palatino Linotype" w:hAnsi="Palatino Linotype" w:cs="Arial"/>
          <w:color w:val="000000" w:themeColor="text1"/>
          <w:sz w:val="24"/>
          <w:szCs w:val="24"/>
          <w:lang w:val="es-ES"/>
        </w:rPr>
        <w:t xml:space="preserve">ecurso de </w:t>
      </w:r>
      <w:r w:rsidR="005B18A9" w:rsidRPr="00CA130F">
        <w:rPr>
          <w:rFonts w:ascii="Palatino Linotype" w:hAnsi="Palatino Linotype" w:cs="Arial"/>
          <w:color w:val="000000" w:themeColor="text1"/>
          <w:sz w:val="24"/>
          <w:szCs w:val="24"/>
          <w:lang w:val="es-ES"/>
        </w:rPr>
        <w:t>R</w:t>
      </w:r>
      <w:r w:rsidRPr="00CA130F">
        <w:rPr>
          <w:rFonts w:ascii="Palatino Linotype" w:hAnsi="Palatino Linotype" w:cs="Arial"/>
          <w:color w:val="000000" w:themeColor="text1"/>
          <w:sz w:val="24"/>
          <w:szCs w:val="24"/>
          <w:lang w:val="es-ES"/>
        </w:rPr>
        <w:t>evisió</w:t>
      </w:r>
      <w:r w:rsidR="005B18A9" w:rsidRPr="00CA130F">
        <w:rPr>
          <w:rFonts w:ascii="Palatino Linotype" w:hAnsi="Palatino Linotype" w:cs="Arial"/>
          <w:color w:val="000000" w:themeColor="text1"/>
          <w:sz w:val="24"/>
          <w:szCs w:val="24"/>
          <w:lang w:val="es-ES"/>
        </w:rPr>
        <w:t>n ante éste Órgano Garante</w:t>
      </w:r>
      <w:r w:rsidRPr="00CA130F">
        <w:rPr>
          <w:rFonts w:ascii="Palatino Linotype" w:hAnsi="Palatino Linotype" w:cs="Arial"/>
          <w:color w:val="000000" w:themeColor="text1"/>
          <w:sz w:val="24"/>
          <w:szCs w:val="24"/>
          <w:lang w:val="es-ES"/>
        </w:rPr>
        <w:t xml:space="preserve">, con la finalidad de que el Pleno de este Instituto determine la entrega de la información solicitada; por lo que, conviene destacar que dicho </w:t>
      </w:r>
      <w:r w:rsidR="005B18A9" w:rsidRPr="00CA130F">
        <w:rPr>
          <w:rFonts w:ascii="Palatino Linotype" w:hAnsi="Palatino Linotype" w:cs="Arial"/>
          <w:color w:val="000000" w:themeColor="text1"/>
          <w:sz w:val="24"/>
          <w:szCs w:val="24"/>
          <w:lang w:val="es-ES"/>
        </w:rPr>
        <w:t>R</w:t>
      </w:r>
      <w:r w:rsidRPr="00CA130F">
        <w:rPr>
          <w:rFonts w:ascii="Palatino Linotype" w:hAnsi="Palatino Linotype" w:cs="Arial"/>
          <w:color w:val="000000" w:themeColor="text1"/>
          <w:sz w:val="24"/>
          <w:szCs w:val="24"/>
          <w:lang w:val="es-ES"/>
        </w:rPr>
        <w:t xml:space="preserve">ecurso de </w:t>
      </w:r>
      <w:r w:rsidR="005B18A9" w:rsidRPr="00CA130F">
        <w:rPr>
          <w:rFonts w:ascii="Palatino Linotype" w:hAnsi="Palatino Linotype" w:cs="Arial"/>
          <w:color w:val="000000" w:themeColor="text1"/>
          <w:sz w:val="24"/>
          <w:szCs w:val="24"/>
          <w:lang w:val="es-ES"/>
        </w:rPr>
        <w:t>R</w:t>
      </w:r>
      <w:r w:rsidRPr="00CA130F">
        <w:rPr>
          <w:rFonts w:ascii="Palatino Linotype" w:hAnsi="Palatino Linotype" w:cs="Arial"/>
          <w:color w:val="000000" w:themeColor="text1"/>
          <w:sz w:val="24"/>
          <w:szCs w:val="24"/>
          <w:lang w:val="es-ES"/>
        </w:rPr>
        <w:t xml:space="preserve">evisión se interpuso oportunamente. </w:t>
      </w:r>
    </w:p>
    <w:p w14:paraId="38C257E6" w14:textId="77777777" w:rsidR="00435682" w:rsidRPr="00CA130F" w:rsidRDefault="00435682" w:rsidP="00435682">
      <w:pPr>
        <w:pStyle w:val="Prrafodelista"/>
        <w:autoSpaceDE w:val="0"/>
        <w:autoSpaceDN w:val="0"/>
        <w:adjustRightInd w:val="0"/>
        <w:spacing w:before="100" w:beforeAutospacing="1" w:after="100" w:afterAutospacing="1" w:line="360" w:lineRule="auto"/>
        <w:ind w:left="0" w:right="51"/>
        <w:jc w:val="both"/>
        <w:rPr>
          <w:rFonts w:ascii="Palatino Linotype" w:hAnsi="Palatino Linotype"/>
          <w:b/>
          <w:color w:val="000000" w:themeColor="text1"/>
        </w:rPr>
      </w:pPr>
      <w:r w:rsidRPr="00CA130F">
        <w:rPr>
          <w:rFonts w:ascii="Palatino Linotype" w:hAnsi="Palatino Linotype"/>
          <w:b/>
          <w:color w:val="000000" w:themeColor="text1"/>
          <w:sz w:val="28"/>
          <w:szCs w:val="28"/>
        </w:rPr>
        <w:t>CUARTO</w:t>
      </w:r>
      <w:r w:rsidRPr="00CA130F">
        <w:rPr>
          <w:rFonts w:ascii="Palatino Linotype" w:hAnsi="Palatino Linotype"/>
          <w:b/>
          <w:color w:val="000000" w:themeColor="text1"/>
        </w:rPr>
        <w:t xml:space="preserve">. Procedibilidad. </w:t>
      </w:r>
    </w:p>
    <w:p w14:paraId="12B2EF65" w14:textId="61ECB377" w:rsidR="00435682" w:rsidRPr="00CA130F" w:rsidRDefault="005B18A9" w:rsidP="00435682">
      <w:pPr>
        <w:widowControl w:val="0"/>
        <w:autoSpaceDE w:val="0"/>
        <w:autoSpaceDN w:val="0"/>
        <w:adjustRightInd w:val="0"/>
        <w:spacing w:before="100" w:beforeAutospacing="1" w:after="100" w:afterAutospacing="1" w:line="360" w:lineRule="auto"/>
        <w:jc w:val="both"/>
        <w:rPr>
          <w:rFonts w:ascii="Palatino Linotype" w:hAnsi="Palatino Linotype"/>
          <w:b/>
          <w:sz w:val="24"/>
          <w:szCs w:val="24"/>
        </w:rPr>
      </w:pPr>
      <w:r w:rsidRPr="00CA130F">
        <w:rPr>
          <w:rFonts w:ascii="Palatino Linotype" w:hAnsi="Palatino Linotype" w:cs="Arial"/>
          <w:sz w:val="24"/>
          <w:szCs w:val="24"/>
        </w:rPr>
        <w:t xml:space="preserve">Es importante </w:t>
      </w:r>
      <w:r w:rsidR="00435682" w:rsidRPr="00CA130F">
        <w:rPr>
          <w:rFonts w:ascii="Palatino Linotype" w:hAnsi="Palatino Linotype" w:cs="Arial"/>
          <w:sz w:val="24"/>
          <w:szCs w:val="24"/>
        </w:rPr>
        <w:t xml:space="preserve">abordar el análisis de los requisitos de procedibilidad del </w:t>
      </w:r>
      <w:r w:rsidRPr="00CA130F">
        <w:rPr>
          <w:rFonts w:ascii="Palatino Linotype" w:hAnsi="Palatino Linotype" w:cs="Arial"/>
          <w:sz w:val="24"/>
          <w:szCs w:val="24"/>
        </w:rPr>
        <w:t>R</w:t>
      </w:r>
      <w:r w:rsidR="00435682" w:rsidRPr="00CA130F">
        <w:rPr>
          <w:rFonts w:ascii="Palatino Linotype" w:hAnsi="Palatino Linotype" w:cs="Arial"/>
          <w:sz w:val="24"/>
          <w:szCs w:val="24"/>
        </w:rPr>
        <w:t xml:space="preserve">ecurso de </w:t>
      </w:r>
      <w:r w:rsidRPr="00CA130F">
        <w:rPr>
          <w:rFonts w:ascii="Palatino Linotype" w:hAnsi="Palatino Linotype" w:cs="Arial"/>
          <w:sz w:val="24"/>
          <w:szCs w:val="24"/>
        </w:rPr>
        <w:t>R</w:t>
      </w:r>
      <w:r w:rsidR="00435682" w:rsidRPr="00CA130F">
        <w:rPr>
          <w:rFonts w:ascii="Palatino Linotype" w:hAnsi="Palatino Linotype" w:cs="Arial"/>
          <w:sz w:val="24"/>
          <w:szCs w:val="24"/>
        </w:rPr>
        <w:t xml:space="preserve">evisión, así que, el artículo 180 de la </w:t>
      </w:r>
      <w:r w:rsidR="00435682" w:rsidRPr="00CA130F">
        <w:rPr>
          <w:rFonts w:ascii="Palatino Linotype" w:hAnsi="Palatino Linotype" w:cs="Arial"/>
          <w:sz w:val="24"/>
          <w:szCs w:val="24"/>
          <w:lang w:eastAsia="es-MX"/>
        </w:rPr>
        <w:t xml:space="preserve">Ley de Transparencia y Acceso a la </w:t>
      </w:r>
      <w:r w:rsidR="00435682" w:rsidRPr="00CA130F">
        <w:rPr>
          <w:rFonts w:ascii="Palatino Linotype" w:hAnsi="Palatino Linotype" w:cs="Arial"/>
          <w:sz w:val="24"/>
          <w:szCs w:val="24"/>
        </w:rPr>
        <w:t>Información</w:t>
      </w:r>
      <w:r w:rsidR="00435682" w:rsidRPr="00CA130F">
        <w:rPr>
          <w:rFonts w:ascii="Palatino Linotype" w:hAnsi="Palatino Linotype" w:cs="Arial"/>
          <w:sz w:val="24"/>
          <w:szCs w:val="24"/>
          <w:lang w:eastAsia="es-MX"/>
        </w:rPr>
        <w:t xml:space="preserve"> Pública del Estado de México y Municipios, </w:t>
      </w:r>
      <w:r w:rsidR="00435682" w:rsidRPr="00CA130F">
        <w:rPr>
          <w:rFonts w:ascii="Palatino Linotype" w:hAnsi="Palatino Linotype" w:cs="Arial"/>
          <w:sz w:val="24"/>
          <w:szCs w:val="24"/>
        </w:rPr>
        <w:t>establece lo siguiente:</w:t>
      </w:r>
    </w:p>
    <w:p w14:paraId="7596AB30" w14:textId="77777777" w:rsidR="00435682" w:rsidRPr="00CA130F" w:rsidRDefault="00435682" w:rsidP="00435682">
      <w:pPr>
        <w:spacing w:after="0" w:line="240" w:lineRule="auto"/>
        <w:ind w:left="851" w:right="902"/>
        <w:jc w:val="both"/>
        <w:rPr>
          <w:rFonts w:ascii="Palatino Linotype" w:hAnsi="Palatino Linotype"/>
          <w:b/>
          <w:i/>
        </w:rPr>
      </w:pPr>
      <w:r w:rsidRPr="00CA130F">
        <w:rPr>
          <w:rFonts w:ascii="Palatino Linotype" w:hAnsi="Palatino Linotype"/>
          <w:b/>
          <w:i/>
        </w:rPr>
        <w:t xml:space="preserve">Artículo 180. </w:t>
      </w:r>
      <w:r w:rsidRPr="00CA130F">
        <w:rPr>
          <w:rFonts w:ascii="Palatino Linotype" w:hAnsi="Palatino Linotype"/>
          <w:i/>
        </w:rPr>
        <w:t xml:space="preserve">El </w:t>
      </w:r>
      <w:r w:rsidRPr="00CA130F">
        <w:rPr>
          <w:rFonts w:ascii="Palatino Linotype" w:hAnsi="Palatino Linotype" w:cs="Arial"/>
          <w:i/>
        </w:rPr>
        <w:t>recurso</w:t>
      </w:r>
      <w:r w:rsidRPr="00CA130F">
        <w:rPr>
          <w:rFonts w:ascii="Palatino Linotype" w:hAnsi="Palatino Linotype"/>
          <w:i/>
        </w:rPr>
        <w:t xml:space="preserve"> </w:t>
      </w:r>
      <w:r w:rsidRPr="00CA130F">
        <w:rPr>
          <w:rFonts w:ascii="Palatino Linotype" w:hAnsi="Palatino Linotype" w:cs="Arial"/>
          <w:i/>
          <w:color w:val="222222"/>
          <w:lang w:eastAsia="es-MX"/>
        </w:rPr>
        <w:t>de</w:t>
      </w:r>
      <w:r w:rsidRPr="00CA130F">
        <w:rPr>
          <w:rFonts w:ascii="Palatino Linotype" w:hAnsi="Palatino Linotype"/>
          <w:i/>
        </w:rPr>
        <w:t xml:space="preserve"> revisión contendrá:</w:t>
      </w:r>
      <w:r w:rsidRPr="00CA130F">
        <w:rPr>
          <w:rFonts w:ascii="Palatino Linotype" w:hAnsi="Palatino Linotype"/>
          <w:b/>
          <w:i/>
        </w:rPr>
        <w:t xml:space="preserve"> </w:t>
      </w:r>
    </w:p>
    <w:p w14:paraId="303244CD" w14:textId="77777777" w:rsidR="00435682" w:rsidRPr="00CA130F" w:rsidRDefault="00435682" w:rsidP="00435682">
      <w:pPr>
        <w:spacing w:after="0" w:line="240" w:lineRule="auto"/>
        <w:ind w:left="851" w:right="902"/>
        <w:jc w:val="both"/>
        <w:rPr>
          <w:rFonts w:ascii="Palatino Linotype" w:hAnsi="Palatino Linotype"/>
          <w:b/>
          <w:i/>
        </w:rPr>
      </w:pPr>
      <w:r w:rsidRPr="00CA130F">
        <w:rPr>
          <w:rFonts w:ascii="Palatino Linotype" w:hAnsi="Palatino Linotype"/>
          <w:b/>
          <w:i/>
        </w:rPr>
        <w:t xml:space="preserve">I. </w:t>
      </w:r>
      <w:r w:rsidRPr="00CA130F">
        <w:rPr>
          <w:rFonts w:ascii="Palatino Linotype" w:hAnsi="Palatino Linotype"/>
          <w:i/>
        </w:rPr>
        <w:t xml:space="preserve">El sujeto obligado ante </w:t>
      </w:r>
      <w:r w:rsidRPr="00CA130F">
        <w:rPr>
          <w:rFonts w:ascii="Palatino Linotype" w:hAnsi="Palatino Linotype" w:cs="Arial"/>
          <w:i/>
        </w:rPr>
        <w:t>la</w:t>
      </w:r>
      <w:r w:rsidRPr="00CA130F">
        <w:rPr>
          <w:rFonts w:ascii="Palatino Linotype" w:hAnsi="Palatino Linotype"/>
          <w:i/>
        </w:rPr>
        <w:t xml:space="preserve"> cual </w:t>
      </w:r>
      <w:r w:rsidRPr="00CA130F">
        <w:rPr>
          <w:rFonts w:ascii="Palatino Linotype" w:hAnsi="Palatino Linotype" w:cs="Arial"/>
          <w:i/>
          <w:color w:val="222222"/>
          <w:lang w:eastAsia="es-MX"/>
        </w:rPr>
        <w:t>se</w:t>
      </w:r>
      <w:r w:rsidRPr="00CA130F">
        <w:rPr>
          <w:rFonts w:ascii="Palatino Linotype" w:hAnsi="Palatino Linotype"/>
          <w:i/>
        </w:rPr>
        <w:t xml:space="preserve"> presentó la solicitud;</w:t>
      </w:r>
      <w:r w:rsidRPr="00CA130F">
        <w:rPr>
          <w:rFonts w:ascii="Palatino Linotype" w:hAnsi="Palatino Linotype"/>
          <w:b/>
          <w:i/>
        </w:rPr>
        <w:t xml:space="preserve"> </w:t>
      </w:r>
    </w:p>
    <w:p w14:paraId="138649C3" w14:textId="77777777" w:rsidR="00435682" w:rsidRPr="00CA130F" w:rsidRDefault="00435682" w:rsidP="00435682">
      <w:pPr>
        <w:spacing w:after="0" w:line="240" w:lineRule="auto"/>
        <w:ind w:left="851" w:right="902"/>
        <w:jc w:val="both"/>
        <w:rPr>
          <w:rFonts w:ascii="Palatino Linotype" w:hAnsi="Palatino Linotype"/>
          <w:b/>
          <w:i/>
        </w:rPr>
      </w:pPr>
      <w:r w:rsidRPr="00CA130F">
        <w:rPr>
          <w:rFonts w:ascii="Palatino Linotype" w:hAnsi="Palatino Linotype"/>
          <w:b/>
          <w:i/>
        </w:rPr>
        <w:lastRenderedPageBreak/>
        <w:t xml:space="preserve">II. El nombre del solicitante </w:t>
      </w:r>
      <w:r w:rsidRPr="00CA130F">
        <w:rPr>
          <w:rFonts w:ascii="Palatino Linotype" w:hAnsi="Palatino Linotype" w:cs="Arial"/>
          <w:b/>
          <w:i/>
          <w:color w:val="222222"/>
          <w:lang w:eastAsia="es-MX"/>
        </w:rPr>
        <w:t>que</w:t>
      </w:r>
      <w:r w:rsidRPr="00CA130F">
        <w:rPr>
          <w:rFonts w:ascii="Palatino Linotype" w:hAnsi="Palatino Linotype"/>
          <w:b/>
          <w:i/>
        </w:rPr>
        <w:t xml:space="preserve"> recurre </w:t>
      </w:r>
      <w:r w:rsidRPr="00CA130F">
        <w:rPr>
          <w:rFonts w:ascii="Palatino Linotype" w:hAnsi="Palatino Linotype"/>
          <w:i/>
        </w:rPr>
        <w:t>o de su representante y, en su caso, del tercero interesado, así como la dirección o medio que señale para recibir notificaciones;</w:t>
      </w:r>
      <w:r w:rsidRPr="00CA130F">
        <w:rPr>
          <w:rFonts w:ascii="Palatino Linotype" w:hAnsi="Palatino Linotype"/>
          <w:b/>
          <w:i/>
        </w:rPr>
        <w:t xml:space="preserve"> </w:t>
      </w:r>
    </w:p>
    <w:p w14:paraId="21C876CA" w14:textId="77777777" w:rsidR="00435682" w:rsidRPr="00CA130F" w:rsidRDefault="00435682" w:rsidP="00435682">
      <w:pPr>
        <w:spacing w:after="0" w:line="240" w:lineRule="auto"/>
        <w:ind w:left="851" w:right="902"/>
        <w:jc w:val="both"/>
        <w:rPr>
          <w:rFonts w:ascii="Palatino Linotype" w:hAnsi="Palatino Linotype"/>
          <w:b/>
          <w:i/>
        </w:rPr>
      </w:pPr>
      <w:r w:rsidRPr="00CA130F">
        <w:rPr>
          <w:rFonts w:ascii="Palatino Linotype" w:hAnsi="Palatino Linotype"/>
          <w:b/>
          <w:i/>
        </w:rPr>
        <w:t xml:space="preserve">III. </w:t>
      </w:r>
      <w:r w:rsidRPr="00CA130F">
        <w:rPr>
          <w:rFonts w:ascii="Palatino Linotype" w:hAnsi="Palatino Linotype"/>
          <w:i/>
        </w:rPr>
        <w:t xml:space="preserve">El número de folio de </w:t>
      </w:r>
      <w:r w:rsidRPr="00CA130F">
        <w:rPr>
          <w:rFonts w:ascii="Palatino Linotype" w:hAnsi="Palatino Linotype" w:cs="Arial"/>
          <w:i/>
          <w:color w:val="222222"/>
          <w:lang w:eastAsia="es-MX"/>
        </w:rPr>
        <w:t>respuesta</w:t>
      </w:r>
      <w:r w:rsidRPr="00CA130F">
        <w:rPr>
          <w:rFonts w:ascii="Palatino Linotype" w:hAnsi="Palatino Linotype"/>
          <w:i/>
        </w:rPr>
        <w:t xml:space="preserve"> de la solicitud de acceso; </w:t>
      </w:r>
    </w:p>
    <w:p w14:paraId="2281D8A9" w14:textId="77777777" w:rsidR="00435682" w:rsidRPr="00CA130F" w:rsidRDefault="00435682" w:rsidP="00435682">
      <w:pPr>
        <w:spacing w:after="0" w:line="240" w:lineRule="auto"/>
        <w:ind w:left="851" w:right="902"/>
        <w:jc w:val="both"/>
        <w:rPr>
          <w:rFonts w:ascii="Palatino Linotype" w:hAnsi="Palatino Linotype"/>
          <w:b/>
          <w:i/>
        </w:rPr>
      </w:pPr>
      <w:r w:rsidRPr="00CA130F">
        <w:rPr>
          <w:rFonts w:ascii="Palatino Linotype" w:hAnsi="Palatino Linotype"/>
          <w:b/>
          <w:i/>
        </w:rPr>
        <w:t xml:space="preserve">IV. </w:t>
      </w:r>
      <w:r w:rsidRPr="00CA130F">
        <w:rPr>
          <w:rFonts w:ascii="Palatino Linotype" w:hAnsi="Palatino Linotype"/>
          <w:i/>
        </w:rPr>
        <w:t xml:space="preserve">La fecha en que fue </w:t>
      </w:r>
      <w:r w:rsidRPr="00CA130F">
        <w:rPr>
          <w:rFonts w:ascii="Palatino Linotype" w:hAnsi="Palatino Linotype" w:cs="Arial"/>
          <w:i/>
          <w:color w:val="222222"/>
          <w:lang w:eastAsia="es-MX"/>
        </w:rPr>
        <w:t>notificada</w:t>
      </w:r>
      <w:r w:rsidRPr="00CA130F">
        <w:rPr>
          <w:rFonts w:ascii="Palatino Linotype" w:hAnsi="Palatino Linotype"/>
          <w:i/>
        </w:rPr>
        <w:t xml:space="preserve"> la respuesta al solicitante o tuvo conocimiento del acto reclamado, o de presentación de la solicitud, en caso de falta de respuesta;</w:t>
      </w:r>
      <w:r w:rsidRPr="00CA130F">
        <w:rPr>
          <w:rFonts w:ascii="Palatino Linotype" w:hAnsi="Palatino Linotype"/>
          <w:b/>
          <w:i/>
        </w:rPr>
        <w:t xml:space="preserve"> </w:t>
      </w:r>
    </w:p>
    <w:p w14:paraId="6A61847D" w14:textId="77777777" w:rsidR="00435682" w:rsidRPr="00CA130F" w:rsidRDefault="00435682" w:rsidP="00435682">
      <w:pPr>
        <w:spacing w:after="0" w:line="240" w:lineRule="auto"/>
        <w:ind w:left="851" w:right="902"/>
        <w:jc w:val="both"/>
        <w:rPr>
          <w:rFonts w:ascii="Palatino Linotype" w:hAnsi="Palatino Linotype"/>
          <w:b/>
          <w:i/>
        </w:rPr>
      </w:pPr>
      <w:r w:rsidRPr="00CA130F">
        <w:rPr>
          <w:rFonts w:ascii="Palatino Linotype" w:hAnsi="Palatino Linotype"/>
          <w:b/>
          <w:i/>
        </w:rPr>
        <w:t xml:space="preserve">V. </w:t>
      </w:r>
      <w:r w:rsidRPr="00CA130F">
        <w:rPr>
          <w:rFonts w:ascii="Palatino Linotype" w:hAnsi="Palatino Linotype"/>
          <w:i/>
        </w:rPr>
        <w:t xml:space="preserve">El acto que se </w:t>
      </w:r>
      <w:r w:rsidRPr="00CA130F">
        <w:rPr>
          <w:rFonts w:ascii="Palatino Linotype" w:hAnsi="Palatino Linotype" w:cs="Arial"/>
          <w:i/>
          <w:color w:val="222222"/>
          <w:lang w:eastAsia="es-MX"/>
        </w:rPr>
        <w:t>recurre</w:t>
      </w:r>
      <w:r w:rsidRPr="00CA130F">
        <w:rPr>
          <w:rFonts w:ascii="Palatino Linotype" w:hAnsi="Palatino Linotype"/>
          <w:i/>
        </w:rPr>
        <w:t>;</w:t>
      </w:r>
      <w:r w:rsidRPr="00CA130F">
        <w:rPr>
          <w:rFonts w:ascii="Palatino Linotype" w:hAnsi="Palatino Linotype"/>
          <w:b/>
          <w:i/>
        </w:rPr>
        <w:t xml:space="preserve"> </w:t>
      </w:r>
    </w:p>
    <w:p w14:paraId="3A2498FC" w14:textId="77777777" w:rsidR="00435682" w:rsidRPr="00CA130F" w:rsidRDefault="00435682" w:rsidP="00435682">
      <w:pPr>
        <w:spacing w:after="0" w:line="240" w:lineRule="auto"/>
        <w:ind w:left="851" w:right="902"/>
        <w:jc w:val="both"/>
        <w:rPr>
          <w:rFonts w:ascii="Palatino Linotype" w:hAnsi="Palatino Linotype"/>
          <w:b/>
          <w:i/>
        </w:rPr>
      </w:pPr>
      <w:r w:rsidRPr="00CA130F">
        <w:rPr>
          <w:rFonts w:ascii="Palatino Linotype" w:hAnsi="Palatino Linotype"/>
          <w:b/>
          <w:i/>
        </w:rPr>
        <w:t xml:space="preserve">VI. </w:t>
      </w:r>
      <w:r w:rsidRPr="00CA130F">
        <w:rPr>
          <w:rFonts w:ascii="Palatino Linotype" w:hAnsi="Palatino Linotype"/>
          <w:i/>
        </w:rPr>
        <w:t xml:space="preserve">Las razones o </w:t>
      </w:r>
      <w:r w:rsidRPr="00CA130F">
        <w:rPr>
          <w:rFonts w:ascii="Palatino Linotype" w:hAnsi="Palatino Linotype" w:cs="Arial"/>
          <w:i/>
          <w:color w:val="222222"/>
          <w:lang w:eastAsia="es-MX"/>
        </w:rPr>
        <w:t>motivos</w:t>
      </w:r>
      <w:r w:rsidRPr="00CA130F">
        <w:rPr>
          <w:rFonts w:ascii="Palatino Linotype" w:hAnsi="Palatino Linotype"/>
          <w:i/>
        </w:rPr>
        <w:t xml:space="preserve"> de inconformidad;</w:t>
      </w:r>
      <w:r w:rsidRPr="00CA130F">
        <w:rPr>
          <w:rFonts w:ascii="Palatino Linotype" w:hAnsi="Palatino Linotype"/>
          <w:b/>
          <w:i/>
        </w:rPr>
        <w:t xml:space="preserve"> </w:t>
      </w:r>
    </w:p>
    <w:p w14:paraId="290DD2C4" w14:textId="77777777" w:rsidR="00435682" w:rsidRPr="00CA130F" w:rsidRDefault="00435682" w:rsidP="00435682">
      <w:pPr>
        <w:spacing w:after="0" w:line="240" w:lineRule="auto"/>
        <w:ind w:left="851" w:right="902"/>
        <w:jc w:val="both"/>
        <w:rPr>
          <w:rFonts w:ascii="Palatino Linotype" w:hAnsi="Palatino Linotype"/>
          <w:b/>
          <w:i/>
        </w:rPr>
      </w:pPr>
      <w:r w:rsidRPr="00CA130F">
        <w:rPr>
          <w:rFonts w:ascii="Palatino Linotype" w:hAnsi="Palatino Linotype"/>
          <w:b/>
          <w:i/>
        </w:rPr>
        <w:t xml:space="preserve">VII. </w:t>
      </w:r>
      <w:r w:rsidRPr="00CA130F">
        <w:rPr>
          <w:rFonts w:ascii="Palatino Linotype" w:hAnsi="Palatino Linotype"/>
          <w:i/>
        </w:rPr>
        <w:t>La copia de la respuesta que se impugna y, en su caso, de la notificación correspondiente, en el caso de respuesta de la solicitud; y</w:t>
      </w:r>
      <w:r w:rsidRPr="00CA130F">
        <w:rPr>
          <w:rFonts w:ascii="Palatino Linotype" w:hAnsi="Palatino Linotype"/>
          <w:b/>
          <w:i/>
        </w:rPr>
        <w:t xml:space="preserve"> </w:t>
      </w:r>
    </w:p>
    <w:p w14:paraId="125B6D2B"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b/>
          <w:i/>
        </w:rPr>
        <w:t xml:space="preserve">VIII. </w:t>
      </w:r>
      <w:r w:rsidRPr="00CA130F">
        <w:rPr>
          <w:rFonts w:ascii="Palatino Linotype" w:hAnsi="Palatino Linotype"/>
          <w:i/>
        </w:rPr>
        <w:t xml:space="preserve">Firma del recurrente, en su caso, cuando se presente por escrito, requisito sin el cual se dará trámite al recurso. </w:t>
      </w:r>
    </w:p>
    <w:p w14:paraId="5877B46E"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i/>
        </w:rPr>
        <w:t xml:space="preserve">Adicionalmente, se podrán anexar las pruebas y demás elementos que considere procedentes someter a juicio del Instituto. </w:t>
      </w:r>
    </w:p>
    <w:p w14:paraId="0351C771"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i/>
        </w:rPr>
        <w:t xml:space="preserve">En ningún caso será necesario que el particular ratifique el recurso de revisión interpuesto. </w:t>
      </w:r>
    </w:p>
    <w:p w14:paraId="735CE79B"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b/>
          <w:i/>
        </w:rPr>
        <w:t xml:space="preserve">En caso de </w:t>
      </w:r>
      <w:r w:rsidRPr="00CA130F">
        <w:rPr>
          <w:rFonts w:ascii="Palatino Linotype" w:hAnsi="Palatino Linotype" w:cs="Arial"/>
          <w:b/>
          <w:i/>
          <w:color w:val="222222"/>
          <w:lang w:eastAsia="es-MX"/>
        </w:rPr>
        <w:t>que</w:t>
      </w:r>
      <w:r w:rsidRPr="00CA130F">
        <w:rPr>
          <w:rFonts w:ascii="Palatino Linotype" w:hAnsi="Palatino Linotype"/>
          <w:b/>
          <w:i/>
        </w:rPr>
        <w:t xml:space="preserve"> el recurso se interponga de manera electrónica no será indispensable que contengan los requisitos establecidos en las fracciones II</w:t>
      </w:r>
      <w:r w:rsidRPr="00CA130F">
        <w:rPr>
          <w:rFonts w:ascii="Palatino Linotype" w:hAnsi="Palatino Linotype"/>
          <w:i/>
        </w:rPr>
        <w:t xml:space="preserve">, IV, VII y VIII. </w:t>
      </w:r>
    </w:p>
    <w:p w14:paraId="4E2E0FEF"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i/>
        </w:rPr>
        <w:t>(Énfasis añadido)</w:t>
      </w:r>
    </w:p>
    <w:p w14:paraId="58262082" w14:textId="1BC7C827" w:rsidR="00435682" w:rsidRPr="00CA130F" w:rsidRDefault="00435682" w:rsidP="00435682">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t xml:space="preserve">En principio, de una interpretación del artículo transcrito se observa que los requisitos que </w:t>
      </w:r>
      <w:r w:rsidRPr="00CA130F">
        <w:rPr>
          <w:rFonts w:ascii="Palatino Linotype" w:hAnsi="Palatino Linotype" w:cs="Arial"/>
          <w:sz w:val="24"/>
          <w:szCs w:val="24"/>
        </w:rPr>
        <w:t>deberán</w:t>
      </w:r>
      <w:r w:rsidRPr="00CA130F">
        <w:rPr>
          <w:rFonts w:ascii="Palatino Linotype" w:hAnsi="Palatino Linotype"/>
          <w:sz w:val="24"/>
          <w:szCs w:val="24"/>
        </w:rPr>
        <w:t xml:space="preserve"> </w:t>
      </w:r>
      <w:r w:rsidRPr="00CA130F">
        <w:rPr>
          <w:rFonts w:ascii="Palatino Linotype" w:hAnsi="Palatino Linotype" w:cs="Arial"/>
          <w:sz w:val="24"/>
          <w:szCs w:val="24"/>
        </w:rPr>
        <w:t>contener</w:t>
      </w:r>
      <w:r w:rsidRPr="00CA130F">
        <w:rPr>
          <w:rFonts w:ascii="Palatino Linotype" w:hAnsi="Palatino Linotype"/>
          <w:sz w:val="24"/>
          <w:szCs w:val="24"/>
        </w:rPr>
        <w:t xml:space="preserve"> los </w:t>
      </w:r>
      <w:r w:rsidR="005B18A9" w:rsidRPr="00CA130F">
        <w:rPr>
          <w:rFonts w:ascii="Palatino Linotype" w:hAnsi="Palatino Linotype"/>
          <w:sz w:val="24"/>
          <w:szCs w:val="24"/>
        </w:rPr>
        <w:t>R</w:t>
      </w:r>
      <w:r w:rsidRPr="00CA130F">
        <w:rPr>
          <w:rFonts w:ascii="Palatino Linotype" w:hAnsi="Palatino Linotype"/>
          <w:sz w:val="24"/>
          <w:szCs w:val="24"/>
        </w:rPr>
        <w:t xml:space="preserve">ecursos de </w:t>
      </w:r>
      <w:r w:rsidR="005B18A9" w:rsidRPr="00CA130F">
        <w:rPr>
          <w:rFonts w:ascii="Palatino Linotype" w:hAnsi="Palatino Linotype"/>
          <w:sz w:val="24"/>
          <w:szCs w:val="24"/>
        </w:rPr>
        <w:t>R</w:t>
      </w:r>
      <w:r w:rsidRPr="00CA130F">
        <w:rPr>
          <w:rFonts w:ascii="Palatino Linotype" w:hAnsi="Palatino Linotype"/>
          <w:sz w:val="24"/>
          <w:szCs w:val="24"/>
        </w:rPr>
        <w:t>evisión; sobre el particular, de</w:t>
      </w:r>
      <w:r w:rsidR="005B18A9" w:rsidRPr="00CA130F">
        <w:rPr>
          <w:rFonts w:ascii="Palatino Linotype" w:hAnsi="Palatino Linotype"/>
          <w:sz w:val="24"/>
          <w:szCs w:val="24"/>
        </w:rPr>
        <w:t xml:space="preserve">l análisis </w:t>
      </w:r>
      <w:r w:rsidRPr="00CA130F">
        <w:rPr>
          <w:rFonts w:ascii="Palatino Linotype" w:hAnsi="Palatino Linotype"/>
          <w:sz w:val="24"/>
          <w:szCs w:val="24"/>
        </w:rPr>
        <w:t>del expediente electrónico</w:t>
      </w:r>
      <w:r w:rsidR="005B18A9" w:rsidRPr="00CA130F">
        <w:rPr>
          <w:rFonts w:ascii="Palatino Linotype" w:hAnsi="Palatino Linotype"/>
          <w:sz w:val="24"/>
          <w:szCs w:val="24"/>
        </w:rPr>
        <w:t xml:space="preserve"> conformado en </w:t>
      </w:r>
      <w:r w:rsidRPr="00CA130F">
        <w:rPr>
          <w:rFonts w:ascii="Palatino Linotype" w:hAnsi="Palatino Linotype"/>
          <w:sz w:val="24"/>
          <w:szCs w:val="24"/>
        </w:rPr>
        <w:t xml:space="preserve">el </w:t>
      </w:r>
      <w:r w:rsidRPr="00CA130F">
        <w:rPr>
          <w:rFonts w:ascii="Palatino Linotype" w:hAnsi="Palatino Linotype"/>
          <w:b/>
          <w:sz w:val="24"/>
          <w:szCs w:val="24"/>
        </w:rPr>
        <w:t>SAIMEX</w:t>
      </w:r>
      <w:r w:rsidRPr="00CA130F">
        <w:rPr>
          <w:rFonts w:ascii="Palatino Linotype" w:hAnsi="Palatino Linotype"/>
          <w:sz w:val="24"/>
          <w:szCs w:val="24"/>
        </w:rPr>
        <w:t xml:space="preserve"> se desprende que la parte solicitante y ahora </w:t>
      </w:r>
      <w:r w:rsidRPr="00CA130F">
        <w:rPr>
          <w:rFonts w:ascii="Palatino Linotype" w:hAnsi="Palatino Linotype"/>
          <w:b/>
          <w:sz w:val="24"/>
          <w:szCs w:val="24"/>
        </w:rPr>
        <w:t>RECURRENTE</w:t>
      </w:r>
      <w:r w:rsidRPr="00CA130F">
        <w:rPr>
          <w:rFonts w:ascii="Palatino Linotype" w:hAnsi="Palatino Linotype"/>
          <w:sz w:val="24"/>
          <w:szCs w:val="24"/>
        </w:rPr>
        <w:t xml:space="preserve">, en ejercicio de su </w:t>
      </w:r>
      <w:r w:rsidR="005B18A9" w:rsidRPr="00CA130F">
        <w:rPr>
          <w:rFonts w:ascii="Palatino Linotype" w:hAnsi="Palatino Linotype"/>
          <w:sz w:val="24"/>
          <w:szCs w:val="24"/>
        </w:rPr>
        <w:t>D</w:t>
      </w:r>
      <w:r w:rsidRPr="00CA130F">
        <w:rPr>
          <w:rFonts w:ascii="Palatino Linotype" w:hAnsi="Palatino Linotype"/>
          <w:sz w:val="24"/>
          <w:szCs w:val="24"/>
        </w:rPr>
        <w:t xml:space="preserve">erecho de </w:t>
      </w:r>
      <w:r w:rsidR="005B18A9" w:rsidRPr="00CA130F">
        <w:rPr>
          <w:rFonts w:ascii="Palatino Linotype" w:hAnsi="Palatino Linotype"/>
          <w:sz w:val="24"/>
          <w:szCs w:val="24"/>
        </w:rPr>
        <w:t>A</w:t>
      </w:r>
      <w:r w:rsidRPr="00CA130F">
        <w:rPr>
          <w:rFonts w:ascii="Palatino Linotype" w:hAnsi="Palatino Linotype"/>
          <w:sz w:val="24"/>
          <w:szCs w:val="24"/>
        </w:rPr>
        <w:t xml:space="preserve">cceso a la </w:t>
      </w:r>
      <w:r w:rsidR="005B18A9" w:rsidRPr="00CA130F">
        <w:rPr>
          <w:rFonts w:ascii="Palatino Linotype" w:hAnsi="Palatino Linotype"/>
          <w:sz w:val="24"/>
          <w:szCs w:val="24"/>
        </w:rPr>
        <w:t>I</w:t>
      </w:r>
      <w:r w:rsidRPr="00CA130F">
        <w:rPr>
          <w:rFonts w:ascii="Palatino Linotype" w:hAnsi="Palatino Linotype"/>
          <w:sz w:val="24"/>
          <w:szCs w:val="24"/>
        </w:rPr>
        <w:t xml:space="preserve">nformación </w:t>
      </w:r>
      <w:r w:rsidR="005B18A9" w:rsidRPr="00CA130F">
        <w:rPr>
          <w:rFonts w:ascii="Palatino Linotype" w:hAnsi="Palatino Linotype"/>
          <w:sz w:val="24"/>
          <w:szCs w:val="24"/>
        </w:rPr>
        <w:t>P</w:t>
      </w:r>
      <w:r w:rsidRPr="00CA130F">
        <w:rPr>
          <w:rFonts w:ascii="Palatino Linotype" w:hAnsi="Palatino Linotype"/>
          <w:sz w:val="24"/>
          <w:szCs w:val="24"/>
        </w:rPr>
        <w:t>ública, no proporcionó un nombre completo que lo hiciera identificable; por el contrario, se identificó mediante un seudónimo; por lo que, no se tiene certeza sobre su identidad.</w:t>
      </w:r>
    </w:p>
    <w:p w14:paraId="49BA0F84" w14:textId="77777777" w:rsidR="00435682" w:rsidRPr="00CA130F" w:rsidRDefault="00435682" w:rsidP="00435682">
      <w:pPr>
        <w:spacing w:before="100" w:beforeAutospacing="1" w:after="100" w:afterAutospacing="1" w:line="360" w:lineRule="auto"/>
        <w:jc w:val="both"/>
        <w:rPr>
          <w:rFonts w:ascii="Palatino Linotype" w:hAnsi="Palatino Linotype" w:cs="Arial"/>
          <w:color w:val="000000"/>
          <w:sz w:val="24"/>
          <w:szCs w:val="24"/>
        </w:rPr>
      </w:pPr>
      <w:r w:rsidRPr="00CA130F">
        <w:rPr>
          <w:rFonts w:ascii="Palatino Linotype" w:hAnsi="Palatino Linotype"/>
          <w:sz w:val="24"/>
          <w:szCs w:val="24"/>
        </w:rPr>
        <w:t xml:space="preserve">Empero lo anterior, debe destacarse que el artículo 15 de </w:t>
      </w:r>
      <w:r w:rsidRPr="00CA130F">
        <w:rPr>
          <w:rFonts w:ascii="Palatino Linotype" w:hAnsi="Palatino Linotype" w:cs="Arial"/>
          <w:sz w:val="24"/>
          <w:szCs w:val="24"/>
          <w:lang w:eastAsia="es-MX"/>
        </w:rPr>
        <w:t xml:space="preserve">Ley de Transparencia y Acceso a la </w:t>
      </w:r>
      <w:r w:rsidRPr="00CA130F">
        <w:rPr>
          <w:rFonts w:ascii="Palatino Linotype" w:hAnsi="Palatino Linotype" w:cs="Arial"/>
          <w:sz w:val="24"/>
          <w:szCs w:val="24"/>
        </w:rPr>
        <w:t>Información</w:t>
      </w:r>
      <w:r w:rsidRPr="00CA130F">
        <w:rPr>
          <w:rFonts w:ascii="Palatino Linotype" w:hAnsi="Palatino Linotype" w:cs="Arial"/>
          <w:sz w:val="24"/>
          <w:szCs w:val="24"/>
          <w:lang w:eastAsia="es-MX"/>
        </w:rPr>
        <w:t xml:space="preserve"> Pública del Estado de México y Municipios </w:t>
      </w:r>
      <w:r w:rsidRPr="00CA130F">
        <w:rPr>
          <w:rFonts w:ascii="Palatino Linotype" w:hAnsi="Palatino Linotype" w:cs="Arial"/>
          <w:iCs/>
          <w:sz w:val="24"/>
          <w:szCs w:val="24"/>
        </w:rPr>
        <w:t xml:space="preserve">prevé que, </w:t>
      </w:r>
      <w:r w:rsidRPr="00CA130F">
        <w:rPr>
          <w:rFonts w:ascii="Palatino Linotype" w:hAnsi="Palatino Linotype"/>
          <w:sz w:val="24"/>
          <w:szCs w:val="24"/>
        </w:rPr>
        <w:t xml:space="preserve">toda persona tendrá acceso a la información </w:t>
      </w:r>
      <w:r w:rsidRPr="00CA130F">
        <w:rPr>
          <w:rFonts w:ascii="Palatino Linotype" w:hAnsi="Palatino Linotype" w:cs="Arial"/>
          <w:color w:val="000000"/>
          <w:sz w:val="24"/>
          <w:szCs w:val="24"/>
        </w:rPr>
        <w:t xml:space="preserve">sin necesidad de acreditar interés alguno o justificar su utilización, de lo que se infiere que para el </w:t>
      </w:r>
      <w:r w:rsidRPr="00CA130F">
        <w:rPr>
          <w:rFonts w:ascii="Palatino Linotype" w:hAnsi="Palatino Linotype"/>
          <w:sz w:val="24"/>
          <w:szCs w:val="24"/>
        </w:rPr>
        <w:t>ejercicio</w:t>
      </w:r>
      <w:r w:rsidRPr="00CA130F">
        <w:rPr>
          <w:rFonts w:ascii="Palatino Linotype" w:hAnsi="Palatino Linotype" w:cs="Arial"/>
          <w:color w:val="000000"/>
          <w:sz w:val="24"/>
          <w:szCs w:val="24"/>
        </w:rPr>
        <w:t xml:space="preserve"> del derecho de acceso a la información pública, </w:t>
      </w:r>
      <w:r w:rsidRPr="00CA130F">
        <w:rPr>
          <w:rFonts w:ascii="Palatino Linotype" w:hAnsi="Palatino Linotype" w:cs="Arial"/>
          <w:b/>
          <w:color w:val="000000"/>
          <w:sz w:val="24"/>
          <w:szCs w:val="24"/>
        </w:rPr>
        <w:t xml:space="preserve">el nombre no es un requisito </w:t>
      </w:r>
      <w:r w:rsidRPr="00CA130F">
        <w:rPr>
          <w:rFonts w:ascii="Palatino Linotype" w:hAnsi="Palatino Linotype" w:cs="Arial"/>
          <w:b/>
          <w:i/>
          <w:color w:val="000000"/>
          <w:sz w:val="24"/>
          <w:szCs w:val="24"/>
        </w:rPr>
        <w:t>sine qua non</w:t>
      </w:r>
      <w:r w:rsidRPr="00CA130F">
        <w:rPr>
          <w:rFonts w:ascii="Palatino Linotype" w:hAnsi="Palatino Linotype" w:cs="Arial"/>
          <w:color w:val="000000"/>
          <w:sz w:val="24"/>
          <w:szCs w:val="24"/>
        </w:rPr>
        <w:t xml:space="preserve"> para que los </w:t>
      </w:r>
      <w:r w:rsidRPr="00CA130F">
        <w:rPr>
          <w:rFonts w:ascii="Palatino Linotype" w:hAnsi="Palatino Linotype" w:cs="Arial"/>
          <w:color w:val="000000"/>
          <w:sz w:val="24"/>
          <w:szCs w:val="24"/>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1F21133" w14:textId="77777777" w:rsidR="00435682" w:rsidRPr="00CA130F" w:rsidRDefault="00435682" w:rsidP="00435682">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t xml:space="preserve">Correlativo a ello, cabe mencionar que los artículos 6, Apartado A, fracciones I, III, V y VI de la </w:t>
      </w:r>
      <w:r w:rsidRPr="00CA130F">
        <w:rPr>
          <w:rFonts w:ascii="Palatino Linotype" w:hAnsi="Palatino Linotype" w:cs="Arial"/>
          <w:sz w:val="24"/>
          <w:szCs w:val="24"/>
        </w:rPr>
        <w:t>Constitución</w:t>
      </w:r>
      <w:r w:rsidRPr="00CA130F">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E8A87A0" w14:textId="77777777" w:rsidR="00435682" w:rsidRPr="00CA130F" w:rsidRDefault="00435682" w:rsidP="00435682">
      <w:pPr>
        <w:spacing w:after="0" w:line="240" w:lineRule="auto"/>
        <w:ind w:left="851" w:right="902"/>
        <w:jc w:val="center"/>
        <w:rPr>
          <w:rFonts w:ascii="Palatino Linotype" w:hAnsi="Palatino Linotype" w:cs="Arial"/>
          <w:b/>
          <w:i/>
        </w:rPr>
      </w:pPr>
      <w:r w:rsidRPr="00CA130F">
        <w:rPr>
          <w:rFonts w:ascii="Palatino Linotype" w:hAnsi="Palatino Linotype" w:cs="Arial"/>
          <w:b/>
          <w:i/>
        </w:rPr>
        <w:t>Constitución Política de los Estados Unidos Mexicanos</w:t>
      </w:r>
    </w:p>
    <w:p w14:paraId="6381E482"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i/>
        </w:rPr>
        <w:t>“</w:t>
      </w:r>
      <w:r w:rsidRPr="00CA130F">
        <w:rPr>
          <w:rFonts w:ascii="Palatino Linotype" w:hAnsi="Palatino Linotype" w:cs="Arial"/>
          <w:b/>
          <w:i/>
        </w:rPr>
        <w:t>Artículo 6o.</w:t>
      </w:r>
      <w:r w:rsidRPr="00CA130F">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A130F">
        <w:rPr>
          <w:rFonts w:ascii="Palatino Linotype" w:hAnsi="Palatino Linotype" w:cs="Arial"/>
          <w:b/>
          <w:i/>
        </w:rPr>
        <w:t>El derecho a la información será garantizado por el Estado.</w:t>
      </w:r>
      <w:r w:rsidRPr="00CA130F">
        <w:rPr>
          <w:rFonts w:ascii="Palatino Linotype" w:hAnsi="Palatino Linotype" w:cs="Arial"/>
          <w:i/>
        </w:rPr>
        <w:t xml:space="preserve"> </w:t>
      </w:r>
    </w:p>
    <w:p w14:paraId="092848D7"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b/>
          <w:i/>
        </w:rPr>
        <w:t xml:space="preserve">Toda persona tiene </w:t>
      </w:r>
      <w:r w:rsidRPr="00CA130F">
        <w:rPr>
          <w:rFonts w:ascii="Palatino Linotype" w:hAnsi="Palatino Linotype"/>
          <w:b/>
          <w:i/>
        </w:rPr>
        <w:t>derecho</w:t>
      </w:r>
      <w:r w:rsidRPr="00CA130F">
        <w:rPr>
          <w:rFonts w:ascii="Palatino Linotype" w:hAnsi="Palatino Linotype" w:cs="Arial"/>
          <w:b/>
          <w:i/>
        </w:rPr>
        <w:t xml:space="preserve"> al libre acceso a información plural y oportuna, así como a buscar, recibir y difundir información e ideas de toda índole por cualquier medio de expresión</w:t>
      </w:r>
      <w:r w:rsidRPr="00CA130F">
        <w:rPr>
          <w:rFonts w:ascii="Palatino Linotype" w:hAnsi="Palatino Linotype" w:cs="Arial"/>
          <w:i/>
        </w:rPr>
        <w:t>.</w:t>
      </w:r>
    </w:p>
    <w:p w14:paraId="697F0C03"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i/>
        </w:rPr>
        <w:t xml:space="preserve">Para efectos de lo </w:t>
      </w:r>
      <w:r w:rsidRPr="00CA130F">
        <w:rPr>
          <w:rFonts w:ascii="Palatino Linotype" w:hAnsi="Palatino Linotype"/>
          <w:i/>
        </w:rPr>
        <w:t>dispuesto</w:t>
      </w:r>
      <w:r w:rsidRPr="00CA130F">
        <w:rPr>
          <w:rFonts w:ascii="Palatino Linotype" w:hAnsi="Palatino Linotype" w:cs="Arial"/>
          <w:i/>
        </w:rPr>
        <w:t xml:space="preserve"> en el presente artículo se observará lo siguiente:</w:t>
      </w:r>
    </w:p>
    <w:p w14:paraId="49FCB9DD"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b/>
          <w:i/>
        </w:rPr>
        <w:t>A.</w:t>
      </w:r>
      <w:r w:rsidRPr="00CA130F">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7F7326E7" w14:textId="77777777" w:rsidR="00435682" w:rsidRPr="00CA130F" w:rsidRDefault="00435682" w:rsidP="00435682">
      <w:pPr>
        <w:spacing w:after="0" w:line="240" w:lineRule="auto"/>
        <w:ind w:left="851" w:right="902"/>
        <w:jc w:val="both"/>
        <w:rPr>
          <w:rFonts w:ascii="Palatino Linotype" w:hAnsi="Palatino Linotype" w:cs="Arial"/>
          <w:b/>
          <w:i/>
        </w:rPr>
      </w:pPr>
      <w:r w:rsidRPr="00CA130F">
        <w:rPr>
          <w:rFonts w:ascii="Palatino Linotype" w:hAnsi="Palatino Linotype" w:cs="Arial"/>
          <w:b/>
          <w:i/>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w:t>
      </w:r>
      <w:r w:rsidRPr="00CA130F">
        <w:rPr>
          <w:rFonts w:ascii="Palatino Linotype" w:hAnsi="Palatino Linotype" w:cs="Arial"/>
          <w:b/>
          <w:i/>
        </w:rPr>
        <w:lastRenderedPageBreak/>
        <w:t>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FA86107"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i/>
        </w:rPr>
        <w:t>…</w:t>
      </w:r>
    </w:p>
    <w:p w14:paraId="799F4625" w14:textId="77777777" w:rsidR="00435682" w:rsidRPr="00CA130F" w:rsidRDefault="00435682" w:rsidP="00435682">
      <w:pPr>
        <w:spacing w:after="0" w:line="240" w:lineRule="auto"/>
        <w:ind w:left="851" w:right="902"/>
        <w:jc w:val="both"/>
        <w:rPr>
          <w:rFonts w:ascii="Palatino Linotype" w:hAnsi="Palatino Linotype" w:cs="Arial"/>
          <w:b/>
          <w:i/>
        </w:rPr>
      </w:pPr>
      <w:r w:rsidRPr="00CA130F">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6E52FC57"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i/>
        </w:rPr>
        <w:t>…</w:t>
      </w:r>
    </w:p>
    <w:p w14:paraId="00A77C09" w14:textId="77777777" w:rsidR="00435682" w:rsidRPr="00CA130F" w:rsidRDefault="00435682" w:rsidP="00435682">
      <w:pPr>
        <w:spacing w:after="0" w:line="240" w:lineRule="auto"/>
        <w:ind w:left="851" w:right="902"/>
        <w:jc w:val="both"/>
        <w:rPr>
          <w:rFonts w:ascii="Palatino Linotype" w:hAnsi="Palatino Linotype" w:cs="Arial"/>
          <w:b/>
          <w:i/>
        </w:rPr>
      </w:pPr>
      <w:r w:rsidRPr="00CA130F">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44E246F" w14:textId="77777777" w:rsidR="00435682" w:rsidRPr="00CA130F" w:rsidRDefault="00435682" w:rsidP="00435682">
      <w:pPr>
        <w:spacing w:after="0" w:line="240" w:lineRule="auto"/>
        <w:ind w:left="851" w:right="902"/>
        <w:jc w:val="both"/>
        <w:rPr>
          <w:rFonts w:ascii="Palatino Linotype" w:hAnsi="Palatino Linotype" w:cs="Arial"/>
          <w:b/>
          <w:i/>
        </w:rPr>
      </w:pPr>
      <w:r w:rsidRPr="00CA130F">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CA130F">
        <w:rPr>
          <w:rFonts w:ascii="Palatino Linotype" w:hAnsi="Palatino Linotype" w:cs="Arial"/>
          <w:i/>
        </w:rPr>
        <w:t>.”</w:t>
      </w:r>
    </w:p>
    <w:p w14:paraId="34D894E3"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i/>
        </w:rPr>
        <w:t>…</w:t>
      </w:r>
    </w:p>
    <w:p w14:paraId="73D49048" w14:textId="77777777" w:rsidR="00435682" w:rsidRPr="00CA130F" w:rsidRDefault="00435682" w:rsidP="00435682">
      <w:pPr>
        <w:spacing w:after="0" w:line="240" w:lineRule="auto"/>
        <w:ind w:left="851" w:right="902"/>
        <w:jc w:val="both"/>
        <w:rPr>
          <w:rFonts w:ascii="Palatino Linotype" w:hAnsi="Palatino Linotype" w:cs="Arial"/>
          <w:b/>
          <w:i/>
        </w:rPr>
      </w:pPr>
      <w:r w:rsidRPr="00CA130F">
        <w:rPr>
          <w:rFonts w:ascii="Palatino Linotype" w:hAnsi="Palatino Linotype" w:cs="Arial"/>
          <w:b/>
          <w:i/>
        </w:rPr>
        <w:t>La ley establecerá aquella información que se considere reservada o confidencial.</w:t>
      </w:r>
    </w:p>
    <w:p w14:paraId="3CB00B1C" w14:textId="77777777" w:rsidR="00435682" w:rsidRPr="00CA130F" w:rsidRDefault="00435682" w:rsidP="00435682">
      <w:pPr>
        <w:spacing w:after="0" w:line="240" w:lineRule="auto"/>
        <w:ind w:left="851" w:right="902"/>
        <w:jc w:val="center"/>
        <w:rPr>
          <w:rFonts w:ascii="Palatino Linotype" w:hAnsi="Palatino Linotype" w:cs="Arial"/>
          <w:b/>
          <w:i/>
        </w:rPr>
      </w:pPr>
      <w:r w:rsidRPr="00CA130F">
        <w:rPr>
          <w:rFonts w:ascii="Palatino Linotype" w:hAnsi="Palatino Linotype" w:cs="Arial"/>
          <w:b/>
          <w:i/>
        </w:rPr>
        <w:t>Constitución Política del Estado Libre y Soberano de México</w:t>
      </w:r>
    </w:p>
    <w:p w14:paraId="48A71773"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i/>
        </w:rPr>
        <w:t>“</w:t>
      </w:r>
      <w:r w:rsidRPr="00CA130F">
        <w:rPr>
          <w:rFonts w:ascii="Palatino Linotype" w:hAnsi="Palatino Linotype" w:cs="Arial"/>
          <w:b/>
          <w:i/>
        </w:rPr>
        <w:t xml:space="preserve">Artículo 5. </w:t>
      </w:r>
      <w:r w:rsidRPr="00CA130F">
        <w:rPr>
          <w:rFonts w:ascii="Palatino Linotype" w:hAnsi="Palatino Linotype" w:cs="Arial"/>
          <w:i/>
        </w:rPr>
        <w:t xml:space="preserve">… </w:t>
      </w:r>
    </w:p>
    <w:p w14:paraId="4D3B6E4B"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i/>
        </w:rPr>
        <w:t>…</w:t>
      </w:r>
    </w:p>
    <w:p w14:paraId="7C031313"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b/>
          <w:i/>
        </w:rPr>
        <w:t>El derecho a la información será garantizado por el Estado</w:t>
      </w:r>
      <w:r w:rsidRPr="00CA130F">
        <w:rPr>
          <w:rFonts w:ascii="Palatino Linotype" w:hAnsi="Palatino Linotype"/>
          <w:i/>
        </w:rPr>
        <w:t>. La ley establecerá las previsiones que permitan asegurar la protección, el respeto y la difusión de este derecho.</w:t>
      </w:r>
    </w:p>
    <w:p w14:paraId="1CFFCC52"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C4E288D"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i/>
        </w:rPr>
        <w:t>Este derecho se regirá por los principios y bases siguientes:</w:t>
      </w:r>
    </w:p>
    <w:p w14:paraId="7D767CFD"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CA130F">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w:t>
      </w:r>
      <w:r w:rsidRPr="00CA130F">
        <w:rPr>
          <w:rFonts w:ascii="Palatino Linotype" w:hAnsi="Palatino Linotype"/>
          <w:i/>
        </w:rPr>
        <w:lastRenderedPageBreak/>
        <w:t xml:space="preserve">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CA130F">
        <w:rPr>
          <w:rFonts w:ascii="Palatino Linotype" w:hAnsi="Palatino Linotype" w:cs="Arial"/>
          <w:i/>
        </w:rPr>
        <w:t>determinará</w:t>
      </w:r>
      <w:r w:rsidRPr="00CA130F">
        <w:rPr>
          <w:rFonts w:ascii="Palatino Linotype" w:hAnsi="Palatino Linotype"/>
          <w:i/>
        </w:rPr>
        <w:t xml:space="preserve"> los supuestos específicos bajo los cuales procederá la declaración de inexistencia de la información.</w:t>
      </w:r>
    </w:p>
    <w:p w14:paraId="45A5F8F6"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i/>
        </w:rPr>
        <w:t>…</w:t>
      </w:r>
    </w:p>
    <w:p w14:paraId="0B4CC35F"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CA130F">
        <w:rPr>
          <w:rFonts w:ascii="Palatino Linotype" w:hAnsi="Palatino Linotype"/>
          <w:i/>
        </w:rPr>
        <w:t>”</w:t>
      </w:r>
    </w:p>
    <w:p w14:paraId="1AEFCA5D" w14:textId="77777777" w:rsidR="00435682" w:rsidRPr="00CA130F" w:rsidRDefault="00435682" w:rsidP="00435682">
      <w:pPr>
        <w:spacing w:after="0" w:line="240" w:lineRule="auto"/>
        <w:ind w:left="851" w:right="902"/>
        <w:jc w:val="both"/>
        <w:rPr>
          <w:rFonts w:ascii="Palatino Linotype" w:hAnsi="Palatino Linotype"/>
        </w:rPr>
      </w:pPr>
      <w:r w:rsidRPr="00CA130F">
        <w:rPr>
          <w:rFonts w:ascii="Palatino Linotype" w:hAnsi="Palatino Linotype"/>
          <w:i/>
        </w:rPr>
        <w:t>(Énfasis añadido)</w:t>
      </w:r>
    </w:p>
    <w:p w14:paraId="7C3303C2" w14:textId="6A3ED536" w:rsidR="00435682" w:rsidRPr="00CA130F" w:rsidRDefault="00435682" w:rsidP="00435682">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t xml:space="preserve">Por otra parte, del </w:t>
      </w:r>
      <w:r w:rsidRPr="00CA130F">
        <w:rPr>
          <w:rFonts w:ascii="Palatino Linotype" w:hAnsi="Palatino Linotype" w:cs="Arial"/>
          <w:sz w:val="24"/>
          <w:szCs w:val="24"/>
        </w:rPr>
        <w:t>contenido</w:t>
      </w:r>
      <w:r w:rsidRPr="00CA130F">
        <w:rPr>
          <w:rFonts w:ascii="Palatino Linotype" w:hAnsi="Palatino Linotype"/>
          <w:sz w:val="24"/>
          <w:szCs w:val="24"/>
        </w:rPr>
        <w:t xml:space="preserve"> del artículo 1</w:t>
      </w:r>
      <w:r w:rsidR="00F842F8" w:rsidRPr="00CA130F">
        <w:rPr>
          <w:rFonts w:ascii="Palatino Linotype" w:hAnsi="Palatino Linotype"/>
          <w:sz w:val="24"/>
          <w:szCs w:val="24"/>
        </w:rPr>
        <w:t>°</w:t>
      </w:r>
      <w:r w:rsidRPr="00CA130F">
        <w:rPr>
          <w:rFonts w:ascii="Palatino Linotype" w:hAnsi="Palatino Linotype"/>
          <w:sz w:val="24"/>
          <w:szCs w:val="24"/>
        </w:rPr>
        <w:t xml:space="preserve"> de la Constitución Política de los Estados Unidos Mexicanos, se destaca lo siguiente:</w:t>
      </w:r>
    </w:p>
    <w:p w14:paraId="4C242F99"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i/>
        </w:rPr>
        <w:t>“</w:t>
      </w:r>
      <w:r w:rsidRPr="00CA130F">
        <w:rPr>
          <w:rFonts w:ascii="Palatino Linotype" w:hAnsi="Palatino Linotype" w:cs="Arial"/>
          <w:b/>
          <w:i/>
        </w:rPr>
        <w:t>Artículo 1o</w:t>
      </w:r>
      <w:r w:rsidRPr="00CA130F">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342DFD1" w14:textId="77777777" w:rsidR="00435682" w:rsidRPr="00CA130F" w:rsidRDefault="00435682" w:rsidP="00435682">
      <w:pPr>
        <w:spacing w:after="0" w:line="240" w:lineRule="auto"/>
        <w:ind w:left="851" w:right="902"/>
        <w:jc w:val="both"/>
        <w:rPr>
          <w:rFonts w:ascii="Palatino Linotype" w:hAnsi="Palatino Linotype" w:cs="Arial"/>
          <w:b/>
          <w:i/>
        </w:rPr>
      </w:pPr>
      <w:r w:rsidRPr="00CA130F">
        <w:rPr>
          <w:rFonts w:ascii="Palatino Linotype" w:hAnsi="Palatino Linotype" w:cs="Arial"/>
          <w:b/>
          <w:i/>
        </w:rPr>
        <w:t>Las normas relativas a los derechos humanos se interpretarán</w:t>
      </w:r>
      <w:r w:rsidRPr="00CA130F">
        <w:rPr>
          <w:rFonts w:ascii="Palatino Linotype" w:hAnsi="Palatino Linotype" w:cs="Arial"/>
          <w:i/>
        </w:rPr>
        <w:t xml:space="preserve"> de conformidad con esta Constitución y con los tratados internacionales de la </w:t>
      </w:r>
      <w:r w:rsidRPr="00CA130F">
        <w:rPr>
          <w:rFonts w:ascii="Palatino Linotype" w:hAnsi="Palatino Linotype" w:cs="Arial"/>
          <w:b/>
          <w:i/>
        </w:rPr>
        <w:t>materia favoreciendo en todo tiempo a las personas la protección más amplia.</w:t>
      </w:r>
    </w:p>
    <w:p w14:paraId="57912998" w14:textId="77777777" w:rsidR="00435682" w:rsidRPr="00CA130F" w:rsidRDefault="00435682" w:rsidP="00435682">
      <w:pPr>
        <w:spacing w:after="0" w:line="240" w:lineRule="auto"/>
        <w:ind w:left="851" w:right="902"/>
        <w:jc w:val="both"/>
        <w:rPr>
          <w:rFonts w:ascii="Palatino Linotype" w:hAnsi="Palatino Linotype" w:cs="Arial"/>
          <w:i/>
        </w:rPr>
      </w:pPr>
      <w:r w:rsidRPr="00CA130F">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CA130F">
        <w:rPr>
          <w:rFonts w:ascii="Palatino Linotype" w:hAnsi="Palatino Linotype" w:cs="Arial"/>
          <w:i/>
        </w:rPr>
        <w:t>. En consecuencia, el Estado deberá prevenir, investigar, sancionar y reparar las violaciones a los derechos humanos, en los términos que establezca la ley.”</w:t>
      </w:r>
    </w:p>
    <w:p w14:paraId="76F58FCC" w14:textId="77777777" w:rsidR="00435682" w:rsidRPr="00CA130F" w:rsidRDefault="00435682" w:rsidP="00435682">
      <w:pPr>
        <w:spacing w:after="0" w:line="240" w:lineRule="auto"/>
        <w:ind w:left="851" w:right="902"/>
        <w:jc w:val="both"/>
        <w:rPr>
          <w:rFonts w:ascii="Palatino Linotype" w:hAnsi="Palatino Linotype"/>
          <w:i/>
        </w:rPr>
      </w:pPr>
      <w:r w:rsidRPr="00CA130F">
        <w:rPr>
          <w:rFonts w:ascii="Palatino Linotype" w:hAnsi="Palatino Linotype"/>
          <w:i/>
        </w:rPr>
        <w:t>(Énfasis añadido)</w:t>
      </w:r>
    </w:p>
    <w:p w14:paraId="459A6E4F" w14:textId="77777777" w:rsidR="00435682" w:rsidRPr="00CA130F" w:rsidRDefault="00435682" w:rsidP="00435682">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CA130F">
        <w:rPr>
          <w:rFonts w:ascii="Palatino Linotype" w:hAnsi="Palatino Linotype" w:cs="Arial"/>
          <w:sz w:val="24"/>
          <w:szCs w:val="24"/>
        </w:rPr>
        <w:t>alguno</w:t>
      </w:r>
      <w:r w:rsidRPr="00CA130F">
        <w:rPr>
          <w:rFonts w:ascii="Palatino Linotype" w:hAnsi="Palatino Linotype"/>
          <w:sz w:val="24"/>
          <w:szCs w:val="24"/>
        </w:rPr>
        <w:t xml:space="preserve"> o justificar su utilización, deberá tener acceso a la información pública, es decir, dicho </w:t>
      </w:r>
      <w:r w:rsidRPr="00CA130F">
        <w:rPr>
          <w:rFonts w:ascii="Palatino Linotype" w:hAnsi="Palatino Linotype" w:cs="Arial"/>
          <w:sz w:val="24"/>
          <w:szCs w:val="24"/>
        </w:rPr>
        <w:t>derecho</w:t>
      </w:r>
      <w:r w:rsidRPr="00CA130F">
        <w:rPr>
          <w:rFonts w:ascii="Palatino Linotype" w:hAnsi="Palatino Linotype"/>
          <w:sz w:val="24"/>
          <w:szCs w:val="24"/>
        </w:rPr>
        <w:t xml:space="preserve"> fundamental exime a quien lo ejerce, de </w:t>
      </w:r>
      <w:r w:rsidRPr="00CA130F">
        <w:rPr>
          <w:rFonts w:ascii="Palatino Linotype" w:hAnsi="Palatino Linotype"/>
          <w:sz w:val="24"/>
          <w:szCs w:val="24"/>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086A770" w14:textId="77777777" w:rsidR="00435682" w:rsidRPr="00CA130F" w:rsidRDefault="00435682" w:rsidP="00435682">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t xml:space="preserve">Robustece lo anterior, el Criterio 6/2014 del entonces Instituto Federal de Acceso a la Información y </w:t>
      </w:r>
      <w:r w:rsidRPr="00CA130F">
        <w:rPr>
          <w:rFonts w:ascii="Palatino Linotype" w:hAnsi="Palatino Linotype" w:cs="Arial"/>
          <w:sz w:val="24"/>
          <w:szCs w:val="24"/>
        </w:rPr>
        <w:t>Protección</w:t>
      </w:r>
      <w:r w:rsidRPr="00CA130F">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14:paraId="58D24C40" w14:textId="77777777" w:rsidR="00435682" w:rsidRPr="00CA130F" w:rsidRDefault="00435682" w:rsidP="00435682">
      <w:pPr>
        <w:ind w:left="851" w:right="902"/>
        <w:jc w:val="both"/>
        <w:rPr>
          <w:rFonts w:ascii="Palatino Linotype" w:hAnsi="Palatino Linotype" w:cs="Arial"/>
          <w:i/>
        </w:rPr>
      </w:pPr>
      <w:r w:rsidRPr="00CA130F">
        <w:rPr>
          <w:rFonts w:ascii="Palatino Linotype" w:hAnsi="Palatino Linotype" w:cs="Arial"/>
          <w:i/>
        </w:rPr>
        <w:t>“</w:t>
      </w:r>
      <w:r w:rsidRPr="00CA130F">
        <w:rPr>
          <w:rFonts w:ascii="Palatino Linotype" w:hAnsi="Palatino Linotype" w:cs="Arial"/>
          <w:b/>
          <w:i/>
        </w:rPr>
        <w:t>Acceso a información gubernamental. No debe condicionarse a que el solicitante acredite su personalidad, demuestre interés alguno o justifique su utilización.</w:t>
      </w:r>
      <w:r w:rsidRPr="00CA130F">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14:paraId="16C427EB" w14:textId="77777777" w:rsidR="00435682" w:rsidRPr="00CA130F" w:rsidRDefault="00435682" w:rsidP="00435682">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t xml:space="preserve">En ese orden de ideas, se estima que el requerimiento relativo al nombre como presupuesto de procedibilidad, </w:t>
      </w:r>
      <w:r w:rsidRPr="00CA130F">
        <w:rPr>
          <w:rFonts w:ascii="Palatino Linotype" w:hAnsi="Palatino Linotype" w:cs="Arial"/>
          <w:sz w:val="24"/>
          <w:szCs w:val="24"/>
        </w:rPr>
        <w:t>podría</w:t>
      </w:r>
      <w:r w:rsidRPr="00CA130F">
        <w:rPr>
          <w:rFonts w:ascii="Palatino Linotype" w:hAnsi="Palatino Linotype"/>
          <w:sz w:val="24"/>
          <w:szCs w:val="24"/>
        </w:rPr>
        <w:t xml:space="preserve"> limitar el ejercicio del derecho de acceso a la información pública, debido a que, el hecho de solicitar la identificación del hoy </w:t>
      </w:r>
      <w:r w:rsidRPr="00CA130F">
        <w:rPr>
          <w:rFonts w:ascii="Palatino Linotype" w:hAnsi="Palatino Linotype" w:cs="Arial"/>
          <w:b/>
          <w:sz w:val="24"/>
          <w:szCs w:val="24"/>
        </w:rPr>
        <w:t>RECURRENTE</w:t>
      </w:r>
      <w:r w:rsidRPr="00CA130F">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14:paraId="7E3C0EBA" w14:textId="77777777" w:rsidR="00435682" w:rsidRPr="00CA130F" w:rsidRDefault="00435682" w:rsidP="00435682">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lastRenderedPageBreak/>
        <w:t xml:space="preserve">Aunado a ello, para el estudio de la materia sobre la que se resuelve el presente recurso de revisión, resulta intrascendente conocer el nombre de la persona que lo hubiere promovido, en virtud de que tanto la </w:t>
      </w:r>
      <w:r w:rsidRPr="00CA130F">
        <w:rPr>
          <w:rFonts w:ascii="Palatino Linotype" w:hAnsi="Palatino Linotype" w:cs="Arial"/>
          <w:sz w:val="24"/>
          <w:szCs w:val="24"/>
        </w:rPr>
        <w:t>Constitución Política de los Estados Unidos Mexicanos,</w:t>
      </w:r>
      <w:r w:rsidRPr="00CA130F">
        <w:rPr>
          <w:rFonts w:ascii="Palatino Linotype" w:hAnsi="Palatino Linotype"/>
          <w:sz w:val="24"/>
          <w:szCs w:val="24"/>
        </w:rPr>
        <w:t xml:space="preserve">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10DE3CA" w14:textId="77777777" w:rsidR="00435682" w:rsidRPr="00CA130F" w:rsidRDefault="00435682" w:rsidP="00435682">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A130F">
        <w:rPr>
          <w:rFonts w:ascii="Palatino Linotype" w:hAnsi="Palatino Linotype" w:cs="Arial"/>
          <w:b/>
          <w:sz w:val="24"/>
          <w:szCs w:val="24"/>
        </w:rPr>
        <w:t>EL RECURRENTE</w:t>
      </w:r>
      <w:r w:rsidRPr="00CA130F">
        <w:rPr>
          <w:rFonts w:ascii="Palatino Linotype" w:hAnsi="Palatino Linotype"/>
          <w:sz w:val="24"/>
          <w:szCs w:val="24"/>
        </w:rPr>
        <w:t>, es la misma persona que realizó la solicitud de acceso a la información pública que ahora se impugna.</w:t>
      </w:r>
    </w:p>
    <w:p w14:paraId="6CE89DB6" w14:textId="77777777" w:rsidR="00435682" w:rsidRPr="00CA130F" w:rsidRDefault="00435682" w:rsidP="0043568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CA130F">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CA130F">
        <w:rPr>
          <w:rFonts w:ascii="Palatino Linotype" w:hAnsi="Palatino Linotype" w:cs="Arial"/>
          <w:b/>
        </w:rPr>
        <w:t xml:space="preserve"> RECURRENTE</w:t>
      </w:r>
      <w:r w:rsidRPr="00CA130F">
        <w:rPr>
          <w:rFonts w:ascii="Palatino Linotype" w:hAnsi="Palatino Linotype"/>
        </w:rPr>
        <w:t xml:space="preserve">, por </w:t>
      </w:r>
      <w:r w:rsidRPr="00CA130F">
        <w:rPr>
          <w:rFonts w:ascii="Palatino Linotype" w:hAnsi="Palatino Linotype"/>
        </w:rPr>
        <w:lastRenderedPageBreak/>
        <w:t xml:space="preserve">lo que, en el presente caso, al haber sido presentado el recurso de revisión vía </w:t>
      </w:r>
      <w:r w:rsidRPr="00CA130F">
        <w:rPr>
          <w:rFonts w:ascii="Palatino Linotype" w:hAnsi="Palatino Linotype"/>
          <w:b/>
        </w:rPr>
        <w:t>SAIMEX</w:t>
      </w:r>
      <w:r w:rsidRPr="00CA130F">
        <w:rPr>
          <w:rFonts w:ascii="Palatino Linotype" w:hAnsi="Palatino Linotype"/>
        </w:rPr>
        <w:t>, dicho requisito resulta innecesario.</w:t>
      </w:r>
    </w:p>
    <w:p w14:paraId="32F74D73" w14:textId="77777777" w:rsidR="00435682" w:rsidRPr="00CA130F" w:rsidRDefault="00435682" w:rsidP="00435682">
      <w:pPr>
        <w:spacing w:line="360" w:lineRule="auto"/>
        <w:jc w:val="both"/>
        <w:textAlignment w:val="baseline"/>
        <w:rPr>
          <w:rFonts w:ascii="Palatino Linotype" w:hAnsi="Palatino Linotype" w:cs="Arial"/>
          <w:color w:val="000000" w:themeColor="text1"/>
          <w:lang w:val="es-ES" w:eastAsia="es-MX"/>
        </w:rPr>
      </w:pPr>
      <w:r w:rsidRPr="00CA130F">
        <w:rPr>
          <w:rFonts w:ascii="Palatino Linotype" w:hAnsi="Palatino Linotype"/>
          <w:b/>
          <w:color w:val="000000" w:themeColor="text1"/>
          <w:sz w:val="28"/>
          <w:lang w:eastAsia="es-MX"/>
        </w:rPr>
        <w:t>QUINTO</w:t>
      </w:r>
      <w:r w:rsidRPr="00CA130F">
        <w:rPr>
          <w:rFonts w:ascii="Palatino Linotype" w:hAnsi="Palatino Linotype" w:cs="Arial"/>
          <w:b/>
          <w:color w:val="000000" w:themeColor="text1"/>
          <w:lang w:eastAsia="es-MX"/>
        </w:rPr>
        <w:t xml:space="preserve">. </w:t>
      </w:r>
      <w:r w:rsidRPr="00CA130F">
        <w:rPr>
          <w:rFonts w:ascii="Palatino Linotype" w:hAnsi="Palatino Linotype" w:cs="Arial"/>
          <w:b/>
          <w:color w:val="000000" w:themeColor="text1"/>
          <w:sz w:val="24"/>
          <w:szCs w:val="24"/>
          <w:lang w:val="es-ES" w:eastAsia="es-MX"/>
        </w:rPr>
        <w:t>Estudio y resolución del asunto.</w:t>
      </w:r>
      <w:r w:rsidRPr="00CA130F">
        <w:rPr>
          <w:rFonts w:ascii="Palatino Linotype" w:hAnsi="Palatino Linotype" w:cs="Arial"/>
          <w:color w:val="000000" w:themeColor="text1"/>
          <w:lang w:val="es-ES" w:eastAsia="es-MX"/>
        </w:rPr>
        <w:t xml:space="preserve"> </w:t>
      </w:r>
    </w:p>
    <w:p w14:paraId="5462F1D8" w14:textId="77777777" w:rsidR="005F4176" w:rsidRPr="00CA130F" w:rsidRDefault="005F4176" w:rsidP="005F417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lang w:val="es-ES" w:eastAsia="es-MX"/>
        </w:rPr>
      </w:pPr>
      <w:r w:rsidRPr="00CA130F">
        <w:rPr>
          <w:rFonts w:ascii="Palatino Linotype" w:hAnsi="Palatino Linotype" w:cs="Arial"/>
          <w:lang w:val="es-ES" w:eastAsia="es-MX"/>
        </w:rPr>
        <w:t>Del análisis efectuado, se advierte que el presente recurso de revisión es procedente, pues se actualizan las hipótesis previstas en las fracciones VII y XI del artículo 179 de la ley de la materia, que la letra dicen:</w:t>
      </w:r>
    </w:p>
    <w:p w14:paraId="72E4C6BB" w14:textId="77777777" w:rsidR="005F4176" w:rsidRPr="00CA130F" w:rsidRDefault="005F4176" w:rsidP="000D63CF">
      <w:pPr>
        <w:spacing w:after="0" w:line="240" w:lineRule="auto"/>
        <w:ind w:left="851" w:right="902"/>
        <w:jc w:val="both"/>
        <w:rPr>
          <w:rFonts w:ascii="Palatino Linotype" w:hAnsi="Palatino Linotype" w:cs="Arial"/>
          <w:i/>
          <w:lang w:val="es-ES"/>
        </w:rPr>
      </w:pPr>
      <w:r w:rsidRPr="00CA130F">
        <w:rPr>
          <w:rFonts w:ascii="Palatino Linotype" w:hAnsi="Palatino Linotype" w:cs="Arial"/>
          <w:i/>
          <w:lang w:val="es-ES"/>
        </w:rPr>
        <w:t>“</w:t>
      </w:r>
      <w:r w:rsidRPr="00CA130F">
        <w:rPr>
          <w:rFonts w:ascii="Palatino Linotype" w:hAnsi="Palatino Linotype" w:cs="Arial"/>
          <w:b/>
          <w:i/>
          <w:lang w:val="es-ES"/>
        </w:rPr>
        <w:t>Artículo 179.</w:t>
      </w:r>
      <w:r w:rsidRPr="00CA130F">
        <w:rPr>
          <w:rFonts w:ascii="Palatino Linotype" w:hAnsi="Palatino Linotype" w:cs="Arial"/>
          <w:i/>
          <w:lang w:val="es-ES"/>
        </w:rPr>
        <w:t xml:space="preserve"> El recurso de revisión es un medio de protección que la Ley otorga a los particulares, para hacer valer su derecho de acceso a la información pública, y procederá en contra de las siguientes causas:</w:t>
      </w:r>
    </w:p>
    <w:p w14:paraId="4DA8D6EA" w14:textId="77777777" w:rsidR="005F4176" w:rsidRPr="00CA130F" w:rsidRDefault="005F4176" w:rsidP="000D63CF">
      <w:pPr>
        <w:spacing w:after="0" w:line="240" w:lineRule="auto"/>
        <w:ind w:left="851" w:right="902"/>
        <w:jc w:val="both"/>
        <w:rPr>
          <w:rFonts w:ascii="Palatino Linotype" w:hAnsi="Palatino Linotype" w:cs="Arial"/>
          <w:i/>
          <w:lang w:val="es-ES"/>
        </w:rPr>
      </w:pPr>
      <w:r w:rsidRPr="00CA130F">
        <w:rPr>
          <w:rFonts w:ascii="Palatino Linotype" w:hAnsi="Palatino Linotype" w:cs="Arial"/>
          <w:i/>
          <w:lang w:val="es-ES"/>
        </w:rPr>
        <w:t>…</w:t>
      </w:r>
    </w:p>
    <w:p w14:paraId="6149A6E6" w14:textId="77777777" w:rsidR="005F4176" w:rsidRPr="00CA130F" w:rsidRDefault="005F4176" w:rsidP="000D63CF">
      <w:pPr>
        <w:spacing w:after="0" w:line="240" w:lineRule="auto"/>
        <w:ind w:left="851" w:right="902"/>
        <w:jc w:val="both"/>
        <w:rPr>
          <w:rFonts w:ascii="Palatino Linotype" w:hAnsi="Palatino Linotype" w:cs="Arial"/>
          <w:i/>
          <w:lang w:val="es-ES"/>
        </w:rPr>
      </w:pPr>
      <w:r w:rsidRPr="00CA130F">
        <w:rPr>
          <w:rFonts w:ascii="Palatino Linotype" w:hAnsi="Palatino Linotype" w:cs="Arial"/>
          <w:b/>
          <w:i/>
          <w:lang w:val="es-ES"/>
        </w:rPr>
        <w:t>VII. La falta de respuesta a una solicitud de acceso a la información</w:t>
      </w:r>
      <w:r w:rsidRPr="00CA130F">
        <w:rPr>
          <w:rFonts w:ascii="Palatino Linotype" w:hAnsi="Palatino Linotype" w:cs="Arial"/>
          <w:i/>
          <w:lang w:val="es-ES"/>
        </w:rPr>
        <w:t xml:space="preserve">; </w:t>
      </w:r>
    </w:p>
    <w:p w14:paraId="6194A1DD" w14:textId="77777777" w:rsidR="005F4176" w:rsidRPr="00CA130F" w:rsidRDefault="005F4176" w:rsidP="000D63CF">
      <w:pPr>
        <w:spacing w:after="0" w:line="240" w:lineRule="auto"/>
        <w:ind w:left="851" w:right="902"/>
        <w:jc w:val="both"/>
        <w:rPr>
          <w:rFonts w:ascii="Palatino Linotype" w:hAnsi="Palatino Linotype" w:cs="Arial"/>
          <w:i/>
          <w:lang w:val="es-ES"/>
        </w:rPr>
      </w:pPr>
      <w:r w:rsidRPr="00CA130F">
        <w:rPr>
          <w:rFonts w:ascii="Palatino Linotype" w:hAnsi="Palatino Linotype" w:cs="Arial"/>
          <w:i/>
          <w:lang w:val="es-ES"/>
        </w:rPr>
        <w:t>…</w:t>
      </w:r>
    </w:p>
    <w:p w14:paraId="1E129319" w14:textId="77777777" w:rsidR="005F4176" w:rsidRPr="00CA130F" w:rsidRDefault="005F4176" w:rsidP="000D63CF">
      <w:pPr>
        <w:spacing w:after="0" w:line="240" w:lineRule="auto"/>
        <w:ind w:left="851" w:right="902"/>
        <w:jc w:val="both"/>
        <w:rPr>
          <w:rFonts w:ascii="Palatino Linotype" w:hAnsi="Palatino Linotype" w:cs="Arial"/>
          <w:b/>
          <w:i/>
          <w:lang w:val="es-ES"/>
        </w:rPr>
      </w:pPr>
      <w:r w:rsidRPr="00CA130F">
        <w:rPr>
          <w:rFonts w:ascii="Palatino Linotype" w:hAnsi="Palatino Linotype" w:cs="Arial"/>
          <w:b/>
          <w:i/>
          <w:lang w:val="es-ES"/>
        </w:rPr>
        <w:t>XI. La falta de trámite a una solicitud;</w:t>
      </w:r>
    </w:p>
    <w:p w14:paraId="49A1EA91" w14:textId="77777777" w:rsidR="005F4176" w:rsidRPr="00CA130F" w:rsidRDefault="005F4176" w:rsidP="000D63CF">
      <w:pPr>
        <w:spacing w:after="0" w:line="240" w:lineRule="auto"/>
        <w:ind w:left="851" w:right="902"/>
        <w:jc w:val="both"/>
        <w:rPr>
          <w:rFonts w:ascii="Palatino Linotype" w:hAnsi="Palatino Linotype" w:cs="Arial"/>
          <w:i/>
          <w:lang w:val="es-ES"/>
        </w:rPr>
      </w:pPr>
      <w:r w:rsidRPr="00CA130F">
        <w:rPr>
          <w:rFonts w:ascii="Palatino Linotype" w:hAnsi="Palatino Linotype" w:cs="Arial"/>
          <w:i/>
          <w:lang w:val="es-ES"/>
        </w:rPr>
        <w:t>…”</w:t>
      </w:r>
    </w:p>
    <w:p w14:paraId="63B09743" w14:textId="77777777" w:rsidR="005F4176" w:rsidRPr="00CA130F" w:rsidRDefault="005F4176" w:rsidP="000D63CF">
      <w:pPr>
        <w:spacing w:after="0" w:line="240" w:lineRule="auto"/>
        <w:ind w:left="851" w:right="902"/>
        <w:jc w:val="both"/>
        <w:rPr>
          <w:rFonts w:ascii="Palatino Linotype" w:hAnsi="Palatino Linotype" w:cs="Arial"/>
          <w:i/>
          <w:lang w:val="es-ES"/>
        </w:rPr>
      </w:pPr>
      <w:r w:rsidRPr="00CA130F">
        <w:rPr>
          <w:rFonts w:ascii="Palatino Linotype" w:hAnsi="Palatino Linotype" w:cs="Arial"/>
          <w:i/>
          <w:lang w:val="es-ES"/>
        </w:rPr>
        <w:t>(Énfasis añadido)</w:t>
      </w:r>
    </w:p>
    <w:p w14:paraId="08A7D656" w14:textId="77777777" w:rsidR="005F4176" w:rsidRPr="00CA130F" w:rsidRDefault="005F4176" w:rsidP="005F4176">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CA130F">
        <w:rPr>
          <w:rFonts w:ascii="Palatino Linotype" w:hAnsi="Palatino Linotype" w:cs="Arial"/>
          <w:sz w:val="24"/>
          <w:szCs w:val="24"/>
          <w:lang w:val="es-ES"/>
        </w:rPr>
        <w:t xml:space="preserve">Los preceptos legales citados, establecen como supuestos de procedencia del recurso de revisión, en aquellos casos en que no se dé tramite a una solicitud y por tanto respuesta a lo solicitado; por lo que, en el presente caso, </w:t>
      </w:r>
      <w:r w:rsidRPr="00CA130F">
        <w:rPr>
          <w:rFonts w:ascii="Palatino Linotype" w:hAnsi="Palatino Linotype" w:cs="Arial"/>
          <w:b/>
          <w:sz w:val="24"/>
          <w:szCs w:val="24"/>
          <w:lang w:val="es-ES"/>
        </w:rPr>
        <w:t>EL SUJETO OBLIGADO</w:t>
      </w:r>
      <w:r w:rsidRPr="00CA130F">
        <w:rPr>
          <w:rFonts w:ascii="Palatino Linotype" w:hAnsi="Palatino Linotype" w:cs="Arial"/>
          <w:sz w:val="24"/>
          <w:szCs w:val="24"/>
          <w:lang w:val="es-ES"/>
        </w:rPr>
        <w:t xml:space="preserve"> omitió</w:t>
      </w:r>
      <w:r w:rsidR="005660B4" w:rsidRPr="00CA130F">
        <w:rPr>
          <w:rFonts w:ascii="Palatino Linotype" w:hAnsi="Palatino Linotype" w:cs="Arial"/>
          <w:sz w:val="24"/>
          <w:szCs w:val="24"/>
          <w:lang w:val="es-ES"/>
        </w:rPr>
        <w:t xml:space="preserve"> no sólo</w:t>
      </w:r>
      <w:r w:rsidRPr="00CA130F">
        <w:rPr>
          <w:rFonts w:ascii="Palatino Linotype" w:hAnsi="Palatino Linotype" w:cs="Arial"/>
          <w:sz w:val="24"/>
          <w:szCs w:val="24"/>
          <w:lang w:val="es-ES"/>
        </w:rPr>
        <w:t xml:space="preserve"> turnar a las áreas competentes y dar respuesta a lo requerido por </w:t>
      </w:r>
      <w:r w:rsidRPr="00CA130F">
        <w:rPr>
          <w:rFonts w:ascii="Palatino Linotype" w:hAnsi="Palatino Linotype" w:cs="Arial"/>
          <w:b/>
          <w:sz w:val="24"/>
          <w:szCs w:val="24"/>
          <w:lang w:val="es-ES"/>
        </w:rPr>
        <w:t xml:space="preserve">EL RECURRENTE </w:t>
      </w:r>
      <w:r w:rsidR="005660B4" w:rsidRPr="00CA130F">
        <w:rPr>
          <w:rFonts w:ascii="Palatino Linotype" w:hAnsi="Palatino Linotype" w:cs="Arial"/>
          <w:sz w:val="24"/>
          <w:szCs w:val="24"/>
          <w:lang w:val="es-ES"/>
        </w:rPr>
        <w:t>sino que también lo fue en dar cumplimiento a la resolución emitida en su momento por Pleno de este Instituto</w:t>
      </w:r>
      <w:r w:rsidRPr="00CA130F">
        <w:rPr>
          <w:rFonts w:ascii="Palatino Linotype" w:hAnsi="Palatino Linotype" w:cs="Arial"/>
          <w:sz w:val="24"/>
          <w:szCs w:val="24"/>
          <w:lang w:val="es-ES"/>
        </w:rPr>
        <w:t xml:space="preserve">; atento a ello, </w:t>
      </w:r>
      <w:r w:rsidRPr="00CA130F">
        <w:rPr>
          <w:rFonts w:ascii="Palatino Linotype" w:hAnsi="Palatino Linotype"/>
          <w:sz w:val="24"/>
          <w:szCs w:val="24"/>
          <w:lang w:val="es-ES"/>
        </w:rPr>
        <w:t xml:space="preserve">este Órgano Garante </w:t>
      </w:r>
      <w:r w:rsidRPr="00CA130F">
        <w:rPr>
          <w:rFonts w:ascii="Palatino Linotype" w:hAnsi="Palatino Linotype" w:cs="Arial"/>
          <w:sz w:val="24"/>
          <w:szCs w:val="24"/>
          <w:lang w:val="es-ES"/>
        </w:rPr>
        <w:t xml:space="preserve">considera que las razones o motivos de inconformidad </w:t>
      </w:r>
      <w:r w:rsidR="000D63CF" w:rsidRPr="00CA130F">
        <w:rPr>
          <w:rFonts w:ascii="Palatino Linotype" w:hAnsi="Palatino Linotype" w:cs="Arial"/>
          <w:sz w:val="24"/>
          <w:szCs w:val="24"/>
          <w:lang w:val="es-ES"/>
        </w:rPr>
        <w:t>resultan</w:t>
      </w:r>
      <w:r w:rsidRPr="00CA130F">
        <w:rPr>
          <w:rFonts w:ascii="Palatino Linotype" w:hAnsi="Palatino Linotype" w:cs="Arial"/>
          <w:sz w:val="24"/>
          <w:szCs w:val="24"/>
          <w:lang w:val="es-ES"/>
        </w:rPr>
        <w:t xml:space="preserve"> </w:t>
      </w:r>
      <w:r w:rsidRPr="00CA130F">
        <w:rPr>
          <w:rFonts w:ascii="Palatino Linotype" w:hAnsi="Palatino Linotype" w:cs="Arial"/>
          <w:b/>
          <w:sz w:val="24"/>
          <w:szCs w:val="24"/>
          <w:lang w:val="es-ES"/>
        </w:rPr>
        <w:t>fundados</w:t>
      </w:r>
      <w:r w:rsidRPr="00CA130F">
        <w:rPr>
          <w:rFonts w:ascii="Palatino Linotype" w:hAnsi="Palatino Linotype" w:cs="Arial"/>
          <w:sz w:val="24"/>
          <w:szCs w:val="24"/>
          <w:lang w:val="es-ES"/>
        </w:rPr>
        <w:t>.</w:t>
      </w:r>
    </w:p>
    <w:p w14:paraId="29D6516C" w14:textId="77777777" w:rsidR="000D63CF" w:rsidRPr="00CA130F" w:rsidRDefault="00435682" w:rsidP="00435682">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t xml:space="preserve">Es así que, de acuerdo a los motivos de inconformidad hechos valer por </w:t>
      </w:r>
      <w:r w:rsidRPr="00CA130F">
        <w:rPr>
          <w:rFonts w:ascii="Palatino Linotype" w:hAnsi="Palatino Linotype"/>
          <w:b/>
          <w:sz w:val="24"/>
          <w:szCs w:val="24"/>
        </w:rPr>
        <w:t>EL RECURRENTE</w:t>
      </w:r>
      <w:r w:rsidRPr="00CA130F">
        <w:rPr>
          <w:rFonts w:ascii="Palatino Linotype" w:hAnsi="Palatino Linotype"/>
          <w:sz w:val="24"/>
          <w:szCs w:val="24"/>
        </w:rPr>
        <w:t>, ante la falta ta</w:t>
      </w:r>
      <w:r w:rsidR="005660B4" w:rsidRPr="00CA130F">
        <w:rPr>
          <w:rFonts w:ascii="Palatino Linotype" w:hAnsi="Palatino Linotype"/>
          <w:sz w:val="24"/>
          <w:szCs w:val="24"/>
        </w:rPr>
        <w:t>nto de respuesta a la solicitud como</w:t>
      </w:r>
      <w:r w:rsidRPr="00CA130F">
        <w:rPr>
          <w:rFonts w:ascii="Palatino Linotype" w:hAnsi="Palatino Linotype"/>
          <w:sz w:val="24"/>
          <w:szCs w:val="24"/>
        </w:rPr>
        <w:t xml:space="preserve"> de</w:t>
      </w:r>
      <w:r w:rsidR="005660B4" w:rsidRPr="00CA130F">
        <w:rPr>
          <w:rFonts w:ascii="Palatino Linotype" w:hAnsi="Palatino Linotype"/>
          <w:sz w:val="24"/>
          <w:szCs w:val="24"/>
        </w:rPr>
        <w:t xml:space="preserve">l envío del Informe Justificado; </w:t>
      </w:r>
      <w:r w:rsidRPr="00CA130F">
        <w:rPr>
          <w:rFonts w:ascii="Palatino Linotype" w:hAnsi="Palatino Linotype"/>
          <w:sz w:val="24"/>
          <w:szCs w:val="24"/>
        </w:rPr>
        <w:t xml:space="preserve">así como de dar cumplimiento a la resolución del Pleno de este </w:t>
      </w:r>
      <w:r w:rsidRPr="00CA130F">
        <w:rPr>
          <w:rFonts w:ascii="Palatino Linotype" w:hAnsi="Palatino Linotype"/>
          <w:sz w:val="24"/>
          <w:szCs w:val="24"/>
        </w:rPr>
        <w:lastRenderedPageBreak/>
        <w:t>Instituto de fecha veint</w:t>
      </w:r>
      <w:r w:rsidR="002339DB" w:rsidRPr="00CA130F">
        <w:rPr>
          <w:rFonts w:ascii="Palatino Linotype" w:hAnsi="Palatino Linotype"/>
          <w:sz w:val="24"/>
          <w:szCs w:val="24"/>
        </w:rPr>
        <w:t xml:space="preserve">e de enero de </w:t>
      </w:r>
      <w:r w:rsidRPr="00CA130F">
        <w:rPr>
          <w:rFonts w:ascii="Palatino Linotype" w:hAnsi="Palatino Linotype"/>
          <w:sz w:val="24"/>
          <w:szCs w:val="24"/>
        </w:rPr>
        <w:t>dos mil veintiuno, por parte del</w:t>
      </w:r>
      <w:r w:rsidRPr="00CA130F">
        <w:rPr>
          <w:rFonts w:ascii="Palatino Linotype" w:hAnsi="Palatino Linotype"/>
          <w:b/>
          <w:sz w:val="24"/>
          <w:szCs w:val="24"/>
        </w:rPr>
        <w:t xml:space="preserve"> SUJETO OBLIGADO</w:t>
      </w:r>
      <w:r w:rsidRPr="00CA130F">
        <w:rPr>
          <w:rFonts w:ascii="Palatino Linotype" w:hAnsi="Palatino Linotype"/>
          <w:sz w:val="24"/>
          <w:szCs w:val="24"/>
        </w:rPr>
        <w:t xml:space="preserve">, es que este Órgano Garante, considera pertinente </w:t>
      </w:r>
      <w:r w:rsidR="000D63CF" w:rsidRPr="00CA130F">
        <w:rPr>
          <w:rFonts w:ascii="Palatino Linotype" w:hAnsi="Palatino Linotype"/>
          <w:sz w:val="24"/>
          <w:szCs w:val="24"/>
        </w:rPr>
        <w:t>tomar en cuenta las consideraciones de hecho y de derecho siguientes:</w:t>
      </w:r>
    </w:p>
    <w:p w14:paraId="1DFE6E35" w14:textId="77777777" w:rsidR="002339DB" w:rsidRPr="00CA130F" w:rsidRDefault="000D63CF" w:rsidP="00435682">
      <w:pPr>
        <w:spacing w:before="100" w:beforeAutospacing="1" w:after="100" w:afterAutospacing="1" w:line="360" w:lineRule="auto"/>
        <w:jc w:val="both"/>
        <w:rPr>
          <w:rFonts w:ascii="Palatino Linotype" w:eastAsia="Arial Unicode MS" w:hAnsi="Palatino Linotype" w:cs="Arial"/>
          <w:color w:val="000000"/>
          <w:sz w:val="24"/>
          <w:szCs w:val="24"/>
        </w:rPr>
      </w:pPr>
      <w:r w:rsidRPr="00CA130F">
        <w:rPr>
          <w:rFonts w:ascii="Palatino Linotype" w:eastAsia="Arial Unicode MS" w:hAnsi="Palatino Linotype" w:cs="Arial"/>
          <w:color w:val="000000"/>
          <w:sz w:val="24"/>
          <w:szCs w:val="24"/>
        </w:rPr>
        <w:t xml:space="preserve">Por lo que, en primer término debemos recordar que </w:t>
      </w:r>
      <w:r w:rsidR="002339DB" w:rsidRPr="00CA130F">
        <w:rPr>
          <w:rFonts w:ascii="Palatino Linotype" w:eastAsia="Arial Unicode MS" w:hAnsi="Palatino Linotype" w:cs="Arial"/>
          <w:b/>
          <w:color w:val="000000"/>
          <w:sz w:val="24"/>
          <w:szCs w:val="24"/>
        </w:rPr>
        <w:t xml:space="preserve">EL RECURRENTE </w:t>
      </w:r>
      <w:r w:rsidR="00DC15A4" w:rsidRPr="00CA130F">
        <w:rPr>
          <w:rFonts w:ascii="Palatino Linotype" w:eastAsia="Arial Unicode MS" w:hAnsi="Palatino Linotype" w:cs="Arial"/>
          <w:color w:val="000000"/>
          <w:sz w:val="24"/>
          <w:szCs w:val="24"/>
        </w:rPr>
        <w:t xml:space="preserve">solicitó al </w:t>
      </w:r>
      <w:r w:rsidR="00DC15A4" w:rsidRPr="00CA130F">
        <w:rPr>
          <w:rFonts w:ascii="Palatino Linotype" w:eastAsia="Arial Unicode MS" w:hAnsi="Palatino Linotype" w:cs="Arial"/>
          <w:b/>
          <w:color w:val="000000"/>
          <w:sz w:val="24"/>
          <w:szCs w:val="24"/>
        </w:rPr>
        <w:t xml:space="preserve">SUJETO OBLIGADO </w:t>
      </w:r>
      <w:r w:rsidR="00DC15A4" w:rsidRPr="00CA130F">
        <w:rPr>
          <w:rFonts w:ascii="Palatino Linotype" w:eastAsia="Arial Unicode MS" w:hAnsi="Palatino Linotype" w:cs="Arial"/>
          <w:color w:val="000000"/>
          <w:sz w:val="24"/>
          <w:szCs w:val="24"/>
        </w:rPr>
        <w:t>de conformidad con el artículo 92 de la Ley de Transparencia y Acceso a la Información Pública del Estado de México y Municipios, se le pusiera a disposición de manera general, permanente y actualizada de forma sencilla, precisa y entendible las LII fracciones de las obligaciones de transparencia común por semestre y trimestre según corresponda p</w:t>
      </w:r>
      <w:r w:rsidR="00137E59" w:rsidRPr="00CA130F">
        <w:rPr>
          <w:rFonts w:ascii="Palatino Linotype" w:eastAsia="Arial Unicode MS" w:hAnsi="Palatino Linotype" w:cs="Arial"/>
          <w:color w:val="000000"/>
          <w:sz w:val="24"/>
          <w:szCs w:val="24"/>
        </w:rPr>
        <w:t>ara el ejercicio fiscal de 2020; pues dicho portal no se encuentra actualizado.</w:t>
      </w:r>
    </w:p>
    <w:p w14:paraId="44D6B627" w14:textId="77777777" w:rsidR="00137E59" w:rsidRPr="00CA130F" w:rsidRDefault="00137E59" w:rsidP="00435682">
      <w:pPr>
        <w:spacing w:before="100" w:beforeAutospacing="1" w:after="100" w:afterAutospacing="1" w:line="360" w:lineRule="auto"/>
        <w:jc w:val="both"/>
        <w:rPr>
          <w:rFonts w:ascii="Palatino Linotype" w:eastAsia="Arial Unicode MS" w:hAnsi="Palatino Linotype" w:cs="Arial"/>
          <w:color w:val="000000"/>
          <w:sz w:val="24"/>
          <w:szCs w:val="24"/>
        </w:rPr>
      </w:pPr>
      <w:r w:rsidRPr="00CA130F">
        <w:rPr>
          <w:rFonts w:ascii="Palatino Linotype" w:eastAsia="Arial Unicode MS" w:hAnsi="Palatino Linotype" w:cs="Arial"/>
          <w:color w:val="000000"/>
          <w:sz w:val="24"/>
          <w:szCs w:val="24"/>
        </w:rPr>
        <w:t xml:space="preserve">Del análisis a la propia solicitud de información; se puede advertir que la misma se trata de un derecho de petición, pues el particular está pidiendo al </w:t>
      </w:r>
      <w:r w:rsidRPr="00CA130F">
        <w:rPr>
          <w:rFonts w:ascii="Palatino Linotype" w:eastAsia="Arial Unicode MS" w:hAnsi="Palatino Linotype" w:cs="Arial"/>
          <w:b/>
          <w:color w:val="000000"/>
          <w:sz w:val="24"/>
          <w:szCs w:val="24"/>
        </w:rPr>
        <w:t xml:space="preserve">SUJETO OBLIGADO </w:t>
      </w:r>
      <w:r w:rsidR="00D47107" w:rsidRPr="00CA130F">
        <w:rPr>
          <w:rFonts w:ascii="Palatino Linotype" w:eastAsia="Arial Unicode MS" w:hAnsi="Palatino Linotype" w:cs="Arial"/>
          <w:color w:val="000000"/>
          <w:sz w:val="24"/>
          <w:szCs w:val="24"/>
        </w:rPr>
        <w:t>a través del SAIMEX la actualización del portal de Información Pública de Oficio (IPOMEX) toda vez que para el ejercicio de 2020 no se encuentra actualizado ni al semestre o por trimestre.</w:t>
      </w:r>
    </w:p>
    <w:p w14:paraId="7C16DA45" w14:textId="77777777" w:rsidR="000D63CF" w:rsidRPr="00CA130F" w:rsidRDefault="000D63CF" w:rsidP="000D63CF">
      <w:pPr>
        <w:spacing w:before="100" w:beforeAutospacing="1" w:after="100" w:afterAutospacing="1" w:line="360" w:lineRule="auto"/>
        <w:jc w:val="both"/>
        <w:rPr>
          <w:rFonts w:ascii="Palatino Linotype" w:hAnsi="Palatino Linotype" w:cs="Arial"/>
          <w:sz w:val="24"/>
          <w:szCs w:val="24"/>
          <w:lang w:val="es-ES_tradnl"/>
        </w:rPr>
      </w:pPr>
      <w:r w:rsidRPr="00CA130F">
        <w:rPr>
          <w:rFonts w:ascii="Palatino Linotype" w:eastAsia="Calibri" w:hAnsi="Palatino Linotype" w:cs="Arial"/>
          <w:sz w:val="24"/>
          <w:szCs w:val="24"/>
          <w:lang w:val="es-ES_tradnl"/>
        </w:rPr>
        <w:t xml:space="preserve">Bajo ese tenor, </w:t>
      </w:r>
      <w:r w:rsidRPr="00CA130F">
        <w:rPr>
          <w:rFonts w:ascii="Palatino Linotype" w:hAnsi="Palatino Linotype" w:cs="Arial"/>
          <w:sz w:val="24"/>
          <w:szCs w:val="24"/>
          <w:lang w:val="es-ES_tradnl"/>
        </w:rPr>
        <w:t xml:space="preserve">el tema central del requerimiento al ser las obligaciones de transparencia común en virtud de que IPOMEX es una herramienta tecnológica desarrollada por este Instituto que permite a los Sujetos Obligados publicar lo correspondiente a la Información Pública de Oficio contemplada en la ley de la materia, de una forma ágil y de fácil manejo y ésta se encuentra enlazada con la Plataforma Nacional de Transparencia, por lo que al momento de que se publica o actualiza algún tipo de información por partes de los Sujeto Obligados, estas herramientas tecnológicas no </w:t>
      </w:r>
      <w:r w:rsidRPr="00CA130F">
        <w:rPr>
          <w:rFonts w:ascii="Palatino Linotype" w:hAnsi="Palatino Linotype" w:cs="Arial"/>
          <w:sz w:val="24"/>
          <w:szCs w:val="24"/>
          <w:lang w:val="es-ES_tradnl"/>
        </w:rPr>
        <w:lastRenderedPageBreak/>
        <w:t>están diseñadas para generar un documento en el que se pueda verificar el cumplimiento de retroalimentar dichas plataformas con la información que debe ser publicada en las mismas.</w:t>
      </w:r>
    </w:p>
    <w:p w14:paraId="13C07CAF" w14:textId="77777777" w:rsidR="000D63CF" w:rsidRPr="00CA130F" w:rsidRDefault="000D63CF" w:rsidP="000D63CF">
      <w:pPr>
        <w:spacing w:before="100" w:beforeAutospacing="1" w:after="100" w:afterAutospacing="1" w:line="360" w:lineRule="auto"/>
        <w:jc w:val="both"/>
        <w:rPr>
          <w:rFonts w:ascii="Palatino Linotype" w:hAnsi="Palatino Linotype" w:cs="Arial"/>
          <w:sz w:val="24"/>
          <w:szCs w:val="24"/>
          <w:lang w:val="es-ES_tradnl"/>
        </w:rPr>
      </w:pPr>
      <w:r w:rsidRPr="00CA130F">
        <w:rPr>
          <w:rFonts w:ascii="Palatino Linotype" w:hAnsi="Palatino Linotype" w:cs="Arial"/>
          <w:sz w:val="24"/>
          <w:szCs w:val="24"/>
          <w:lang w:val="es-ES_tradnl"/>
        </w:rPr>
        <w:t xml:space="preserve">Luego entonces, cada vez que los Sujetos Obligados realicen algún tipo de cambio en la misma, el propio sistema genera la fecha de actualización, no </w:t>
      </w:r>
      <w:r w:rsidR="00D30FA9" w:rsidRPr="00CA130F">
        <w:rPr>
          <w:rFonts w:ascii="Palatino Linotype" w:hAnsi="Palatino Linotype" w:cs="Arial"/>
          <w:sz w:val="24"/>
          <w:szCs w:val="24"/>
          <w:lang w:val="es-ES_tradnl"/>
        </w:rPr>
        <w:t>obstante,</w:t>
      </w:r>
      <w:r w:rsidRPr="00CA130F">
        <w:rPr>
          <w:rFonts w:ascii="Palatino Linotype" w:hAnsi="Palatino Linotype" w:cs="Arial"/>
          <w:sz w:val="24"/>
          <w:szCs w:val="24"/>
          <w:lang w:val="es-ES_tradnl"/>
        </w:rPr>
        <w:t xml:space="preserve"> es de precisar que la información que se publica en dichos sistemas puede ser consultada por cualquier persona las veinticuatro horas del día.</w:t>
      </w:r>
    </w:p>
    <w:p w14:paraId="5A7C038A" w14:textId="77777777" w:rsidR="00D30FA9" w:rsidRPr="00CA130F" w:rsidRDefault="000D63CF" w:rsidP="00D30FA9">
      <w:pPr>
        <w:tabs>
          <w:tab w:val="left" w:pos="3828"/>
        </w:tabs>
        <w:spacing w:line="360" w:lineRule="auto"/>
        <w:jc w:val="both"/>
        <w:rPr>
          <w:rFonts w:ascii="Palatino Linotype" w:hAnsi="Palatino Linotype"/>
          <w:bCs/>
          <w:iCs/>
          <w:color w:val="000000"/>
          <w:sz w:val="24"/>
          <w:szCs w:val="24"/>
        </w:rPr>
      </w:pPr>
      <w:r w:rsidRPr="00CA130F">
        <w:rPr>
          <w:rFonts w:ascii="Palatino Linotype" w:eastAsia="MS Mincho" w:hAnsi="Palatino Linotype"/>
          <w:sz w:val="24"/>
          <w:szCs w:val="24"/>
          <w:lang w:val="es-ES_tradnl"/>
        </w:rPr>
        <w:t>En ese sentido, es importante remitirnos a</w:t>
      </w:r>
      <w:r w:rsidR="00D30FA9" w:rsidRPr="00CA130F">
        <w:rPr>
          <w:rFonts w:ascii="Palatino Linotype" w:eastAsia="MS Mincho" w:hAnsi="Palatino Linotype"/>
          <w:sz w:val="24"/>
          <w:szCs w:val="24"/>
          <w:lang w:val="es-ES_tradnl"/>
        </w:rPr>
        <w:t xml:space="preserve"> </w:t>
      </w:r>
      <w:r w:rsidR="00D30FA9" w:rsidRPr="00CA130F">
        <w:rPr>
          <w:rFonts w:ascii="Palatino Linotype" w:hAnsi="Palatino Linotype"/>
          <w:bCs/>
          <w:iCs/>
          <w:color w:val="000000"/>
          <w:sz w:val="24"/>
          <w:szCs w:val="24"/>
        </w:rPr>
        <w:t>lo establecido en el artículo 92 de la Ley de Transparencia y Acceso a la Información Pública del Estado de México y Municipios que a la letra reza:</w:t>
      </w:r>
    </w:p>
    <w:p w14:paraId="62A0A749"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b/>
          <w:i/>
          <w:lang w:val="es-ES_tradnl"/>
        </w:rPr>
        <w:t>Artículo 92</w:t>
      </w:r>
      <w:r w:rsidRPr="00CA130F">
        <w:rPr>
          <w:rFonts w:ascii="Palatino Linotype" w:hAnsi="Palatino Linotype" w:cs="Arial"/>
          <w:i/>
          <w:lang w:val="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83E99C6"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I. El </w:t>
      </w:r>
      <w:r w:rsidRPr="00CA130F">
        <w:rPr>
          <w:rFonts w:ascii="Palatino Linotype" w:hAnsi="Palatino Linotype" w:cs="Arial"/>
          <w:b/>
          <w:i/>
          <w:lang w:val="es-ES_tradnl"/>
        </w:rPr>
        <w:t>marco normativo aplicable</w:t>
      </w:r>
      <w:r w:rsidRPr="00CA130F">
        <w:rPr>
          <w:rFonts w:ascii="Palatino Linotype" w:hAnsi="Palatino Linotype" w:cs="Arial"/>
          <w:i/>
          <w:lang w:val="es-ES_tradnl"/>
        </w:rPr>
        <w:t xml:space="preserve"> al sujeto obligado, en el que deberá incluirse leyes, códigos, reglamentos, decretos de creación, acuerdos, convenios, manuales de organización y procedimientos, reglas de operación, criterios, políticas, entre otros; II. Su </w:t>
      </w:r>
      <w:r w:rsidRPr="00CA130F">
        <w:rPr>
          <w:rFonts w:ascii="Palatino Linotype" w:hAnsi="Palatino Linotype" w:cs="Arial"/>
          <w:b/>
          <w:i/>
          <w:lang w:val="es-ES_tradnl"/>
        </w:rPr>
        <w:t>estructura orgánica completa</w:t>
      </w:r>
      <w:r w:rsidRPr="00CA130F">
        <w:rPr>
          <w:rFonts w:ascii="Palatino Linotype" w:hAnsi="Palatino Linotype" w:cs="Arial"/>
          <w:i/>
          <w:lang w:val="es-ES_tradnl"/>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249E1D3E"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III. </w:t>
      </w:r>
      <w:r w:rsidRPr="00CA130F">
        <w:rPr>
          <w:rFonts w:ascii="Palatino Linotype" w:hAnsi="Palatino Linotype" w:cs="Arial"/>
          <w:b/>
          <w:i/>
          <w:lang w:val="es-ES_tradnl"/>
        </w:rPr>
        <w:t>Las facultades de cada área</w:t>
      </w:r>
      <w:r w:rsidRPr="00CA130F">
        <w:rPr>
          <w:rFonts w:ascii="Palatino Linotype" w:hAnsi="Palatino Linotype" w:cs="Arial"/>
          <w:i/>
          <w:lang w:val="es-ES_tradnl"/>
        </w:rPr>
        <w:t xml:space="preserve">; </w:t>
      </w:r>
    </w:p>
    <w:p w14:paraId="60D4A4F8"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IV. Las </w:t>
      </w:r>
      <w:r w:rsidRPr="00CA130F">
        <w:rPr>
          <w:rFonts w:ascii="Palatino Linotype" w:hAnsi="Palatino Linotype" w:cs="Arial"/>
          <w:b/>
          <w:i/>
          <w:lang w:val="es-ES_tradnl"/>
        </w:rPr>
        <w:t>metas, objetivos e indicadores de las áreas</w:t>
      </w:r>
      <w:r w:rsidRPr="00CA130F">
        <w:rPr>
          <w:rFonts w:ascii="Palatino Linotype" w:hAnsi="Palatino Linotype" w:cs="Arial"/>
          <w:i/>
          <w:lang w:val="es-ES_tradnl"/>
        </w:rPr>
        <w:t xml:space="preserve"> de los sujetos obligados de conformidad con los programas de trabajo e informes anuales de actividades de acuerdo con el Plan Estatal de Desarrollo, Plan de Desarrollo Municipal, en su caso y demás ordenamientos aplicables; </w:t>
      </w:r>
    </w:p>
    <w:p w14:paraId="58C9A8F1"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V. Los </w:t>
      </w:r>
      <w:r w:rsidRPr="00CA130F">
        <w:rPr>
          <w:rFonts w:ascii="Palatino Linotype" w:hAnsi="Palatino Linotype" w:cs="Arial"/>
          <w:b/>
          <w:i/>
          <w:lang w:val="es-ES_tradnl"/>
        </w:rPr>
        <w:t>indicadores relacionados con temas de interés público o trascendencia social</w:t>
      </w:r>
      <w:r w:rsidRPr="00CA130F">
        <w:rPr>
          <w:rFonts w:ascii="Palatino Linotype" w:hAnsi="Palatino Linotype" w:cs="Arial"/>
          <w:i/>
          <w:lang w:val="es-ES_tradnl"/>
        </w:rPr>
        <w:t xml:space="preserve"> que, conforme a sus funciones, deban establecer, así como las matrices elaboradas para tal efecto; </w:t>
      </w:r>
    </w:p>
    <w:p w14:paraId="4B630024"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lastRenderedPageBreak/>
        <w:t xml:space="preserve">VI. Los </w:t>
      </w:r>
      <w:r w:rsidRPr="00CA130F">
        <w:rPr>
          <w:rFonts w:ascii="Palatino Linotype" w:hAnsi="Palatino Linotype" w:cs="Arial"/>
          <w:b/>
          <w:i/>
          <w:lang w:val="es-ES_tradnl"/>
        </w:rPr>
        <w:t>indicadores que permitan rendir cuenta de sus objetivos y resultados</w:t>
      </w:r>
      <w:r w:rsidRPr="00CA130F">
        <w:rPr>
          <w:rFonts w:ascii="Palatino Linotype" w:hAnsi="Palatino Linotype" w:cs="Arial"/>
          <w:i/>
          <w:lang w:val="es-ES_tradnl"/>
        </w:rPr>
        <w:t xml:space="preserve">, así como las matrices elaboradas para tal efecto; </w:t>
      </w:r>
    </w:p>
    <w:p w14:paraId="30092FB5"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VII. El </w:t>
      </w:r>
      <w:r w:rsidRPr="00CA130F">
        <w:rPr>
          <w:rFonts w:ascii="Palatino Linotype" w:hAnsi="Palatino Linotype" w:cs="Arial"/>
          <w:b/>
          <w:i/>
          <w:lang w:val="es-ES_tradnl"/>
        </w:rPr>
        <w:t>directorio de todos los servidores públicos</w:t>
      </w:r>
      <w:r w:rsidRPr="00CA130F">
        <w:rPr>
          <w:rFonts w:ascii="Palatino Linotype" w:hAnsi="Palatino Linotype" w:cs="Arial"/>
          <w:i/>
          <w:lang w:val="es-ES_tradnl"/>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6B78094B" w14:textId="77777777" w:rsidR="00D30FA9" w:rsidRPr="00CA130F" w:rsidRDefault="00D30FA9" w:rsidP="00D30FA9">
      <w:pPr>
        <w:spacing w:after="0" w:line="240" w:lineRule="auto"/>
        <w:ind w:left="851" w:right="901"/>
        <w:jc w:val="both"/>
        <w:rPr>
          <w:rFonts w:ascii="Palatino Linotype" w:hAnsi="Palatino Linotype" w:cs="Arial"/>
          <w:i/>
          <w:lang w:val="es-ES_tradnl"/>
        </w:rPr>
      </w:pPr>
    </w:p>
    <w:p w14:paraId="77097A94"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41B0752E"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VIII. La </w:t>
      </w:r>
      <w:r w:rsidRPr="00CA130F">
        <w:rPr>
          <w:rFonts w:ascii="Palatino Linotype" w:hAnsi="Palatino Linotype" w:cs="Arial"/>
          <w:b/>
          <w:i/>
          <w:lang w:val="es-ES_tradnl"/>
        </w:rPr>
        <w:t>remuneración bruta y neta de todos los servidores públicos</w:t>
      </w:r>
      <w:r w:rsidRPr="00CA130F">
        <w:rPr>
          <w:rFonts w:ascii="Palatino Linotype" w:hAnsi="Palatino Linotype" w:cs="Arial"/>
          <w:i/>
          <w:lang w:val="es-ES_tradnl"/>
        </w:rPr>
        <w:t xml:space="preserve"> de base o de confianza, de todas las percepciones, incluyendo sueldos, prestaciones, gratificaciones, primas, comisiones, dietas, bonos, estímulos, ingresos y sistemas de compensación, señalando la periodicidad de dicha remuneración; </w:t>
      </w:r>
    </w:p>
    <w:p w14:paraId="298C3177"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IX. </w:t>
      </w:r>
      <w:r w:rsidRPr="00CA130F">
        <w:rPr>
          <w:rFonts w:ascii="Palatino Linotype" w:hAnsi="Palatino Linotype" w:cs="Arial"/>
          <w:b/>
          <w:i/>
          <w:lang w:val="es-ES_tradnl"/>
        </w:rPr>
        <w:t>Los gastos de representación y viáticos</w:t>
      </w:r>
      <w:r w:rsidRPr="00CA130F">
        <w:rPr>
          <w:rFonts w:ascii="Palatino Linotype" w:hAnsi="Palatino Linotype" w:cs="Arial"/>
          <w:i/>
          <w:lang w:val="es-ES_tradnl"/>
        </w:rPr>
        <w:t xml:space="preserve">, así como el objeto e informe de comisión correspondiente; </w:t>
      </w:r>
    </w:p>
    <w:p w14:paraId="02526E36"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 El </w:t>
      </w:r>
      <w:r w:rsidRPr="00CA130F">
        <w:rPr>
          <w:rFonts w:ascii="Palatino Linotype" w:hAnsi="Palatino Linotype" w:cs="Arial"/>
          <w:b/>
          <w:i/>
          <w:lang w:val="es-ES_tradnl"/>
        </w:rPr>
        <w:t>número total de las plazas y del personal de base y de confianza</w:t>
      </w:r>
      <w:r w:rsidRPr="00CA130F">
        <w:rPr>
          <w:rFonts w:ascii="Palatino Linotype" w:hAnsi="Palatino Linotype" w:cs="Arial"/>
          <w:i/>
          <w:lang w:val="es-ES_tradnl"/>
        </w:rPr>
        <w:t xml:space="preserve">, especificando el total de las vacantes, por nivel de puesto, para cada unidad administrativa; </w:t>
      </w:r>
    </w:p>
    <w:p w14:paraId="2F5AC823"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XI. Las </w:t>
      </w:r>
      <w:r w:rsidRPr="00CA130F">
        <w:rPr>
          <w:rFonts w:ascii="Palatino Linotype" w:hAnsi="Palatino Linotype" w:cs="Arial"/>
          <w:b/>
          <w:i/>
          <w:lang w:val="es-ES_tradnl"/>
        </w:rPr>
        <w:t>contrataciones de servicios profesionales por honorarios</w:t>
      </w:r>
      <w:r w:rsidRPr="00CA130F">
        <w:rPr>
          <w:rFonts w:ascii="Palatino Linotype" w:hAnsi="Palatino Linotype" w:cs="Arial"/>
          <w:i/>
          <w:lang w:val="es-ES_tradnl"/>
        </w:rPr>
        <w:t xml:space="preserve">, señalando los nombres de los prestadores de servicios, los servicios contratados, el monto de los honorarios y el periodo de contratación; </w:t>
      </w:r>
    </w:p>
    <w:p w14:paraId="48BCBB3C"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XII. El </w:t>
      </w:r>
      <w:r w:rsidRPr="00CA130F">
        <w:rPr>
          <w:rFonts w:ascii="Palatino Linotype" w:hAnsi="Palatino Linotype" w:cs="Arial"/>
          <w:b/>
          <w:i/>
          <w:lang w:val="es-ES_tradnl"/>
        </w:rPr>
        <w:t>perfil de los puestos</w:t>
      </w:r>
      <w:r w:rsidRPr="00CA130F">
        <w:rPr>
          <w:rFonts w:ascii="Palatino Linotype" w:hAnsi="Palatino Linotype" w:cs="Arial"/>
          <w:i/>
          <w:lang w:val="es-ES_tradnl"/>
        </w:rPr>
        <w:t xml:space="preserve"> de los servidores públicos a su servicio en los casos que aplique; </w:t>
      </w:r>
    </w:p>
    <w:p w14:paraId="0B67D972"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XIII. La información en versión pública de las </w:t>
      </w:r>
      <w:r w:rsidRPr="00CA130F">
        <w:rPr>
          <w:rFonts w:ascii="Palatino Linotype" w:hAnsi="Palatino Linotype" w:cs="Arial"/>
          <w:b/>
          <w:i/>
          <w:lang w:val="es-ES_tradnl"/>
        </w:rPr>
        <w:t>declaraciones patrimoniales y de intereses de los servidores públicos que así lo determinen</w:t>
      </w:r>
      <w:r w:rsidRPr="00CA130F">
        <w:rPr>
          <w:rFonts w:ascii="Palatino Linotype" w:hAnsi="Palatino Linotype" w:cs="Arial"/>
          <w:i/>
          <w:lang w:val="es-ES_tradnl"/>
        </w:rPr>
        <w:t xml:space="preserve">, en los sistemas habilitados para ello, de acuerdo a la normatividad aplicable; </w:t>
      </w:r>
    </w:p>
    <w:p w14:paraId="2A0DAC6D"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XIV. La </w:t>
      </w:r>
      <w:r w:rsidRPr="00CA130F">
        <w:rPr>
          <w:rFonts w:ascii="Palatino Linotype" w:hAnsi="Palatino Linotype" w:cs="Arial"/>
          <w:b/>
          <w:i/>
          <w:lang w:val="es-ES_tradnl"/>
        </w:rPr>
        <w:t>información de los programas de subsidios, estímulos y apoyos</w:t>
      </w:r>
      <w:r w:rsidRPr="00CA130F">
        <w:rPr>
          <w:rFonts w:ascii="Palatino Linotype" w:hAnsi="Palatino Linotype" w:cs="Arial"/>
          <w:i/>
          <w:lang w:val="es-ES_tradnl"/>
        </w:rPr>
        <w:t>, en el que se deberá informar respecto de los programas de transferencia, de servicios, de infraestructura social y de subsidio, en los que se deberá contener lo siguiente:</w:t>
      </w:r>
    </w:p>
    <w:p w14:paraId="699CAC69"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a) Área; </w:t>
      </w:r>
    </w:p>
    <w:p w14:paraId="3A8F17AE"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b) Denominación del programa;</w:t>
      </w:r>
    </w:p>
    <w:p w14:paraId="1E8C3864"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c) Periodo de vigencia; </w:t>
      </w:r>
    </w:p>
    <w:p w14:paraId="045C276D"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d) Diseño, objetivos y alcances; </w:t>
      </w:r>
    </w:p>
    <w:p w14:paraId="5E6144EE"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e) Metas físicas; </w:t>
      </w:r>
    </w:p>
    <w:p w14:paraId="549E517A"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f) Población beneficiada estimada; </w:t>
      </w:r>
    </w:p>
    <w:p w14:paraId="58A88831"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lastRenderedPageBreak/>
        <w:t xml:space="preserve">g) Monto aprobado, modificado y ejercido, así como los calendarios de su programación presupuestal; </w:t>
      </w:r>
    </w:p>
    <w:p w14:paraId="547D9598"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h) Requisitos y procedimientos de acceso; </w:t>
      </w:r>
    </w:p>
    <w:p w14:paraId="70E0C13B"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i) Procedimiento de queja o inconformidad ciudadana; </w:t>
      </w:r>
    </w:p>
    <w:p w14:paraId="7961EC8A"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j) Mecanismos de exigibilidad; </w:t>
      </w:r>
    </w:p>
    <w:p w14:paraId="3CBC70EE"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k) Mecanismos e informes de evaluación y seguimiento de recomendaciones; </w:t>
      </w:r>
    </w:p>
    <w:p w14:paraId="24452B9C"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l) Indicadores con nombre, definición, método de cálculo, unidad de medida; dimensión, frecuencia de medición, nombre de las bases de datos utilizadas para su cálculo; </w:t>
      </w:r>
    </w:p>
    <w:p w14:paraId="0CA6CEA6"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m)Formas de participación social; </w:t>
      </w:r>
    </w:p>
    <w:p w14:paraId="76527B03"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n) Articulación con otros programas sociales; </w:t>
      </w:r>
    </w:p>
    <w:p w14:paraId="55461195"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ñ) Vínculo a las reglas de operación o documento equivalente; </w:t>
      </w:r>
    </w:p>
    <w:p w14:paraId="7C1D65C1"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o) Informes periódicos sobre la ejecución y los resultados de las evaluaciones realizadas; y </w:t>
      </w:r>
    </w:p>
    <w:p w14:paraId="0ED59B25" w14:textId="77777777" w:rsidR="00D30FA9" w:rsidRPr="00CA130F" w:rsidRDefault="00D30FA9" w:rsidP="00D30FA9">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14:paraId="33ADA200"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XV. </w:t>
      </w:r>
      <w:r w:rsidRPr="00CA130F">
        <w:rPr>
          <w:rFonts w:ascii="Palatino Linotype" w:hAnsi="Palatino Linotype" w:cs="Arial"/>
          <w:b/>
          <w:i/>
          <w:lang w:val="es-ES_tradnl"/>
        </w:rPr>
        <w:t>Agenda de reuniones públicas</w:t>
      </w:r>
      <w:r w:rsidRPr="00CA130F">
        <w:rPr>
          <w:rFonts w:ascii="Palatino Linotype" w:hAnsi="Palatino Linotype" w:cs="Arial"/>
          <w:i/>
          <w:lang w:val="es-ES_tradnl"/>
        </w:rPr>
        <w:t xml:space="preserve"> a las que convoquen los titulares de los sujetos obligados; </w:t>
      </w:r>
    </w:p>
    <w:p w14:paraId="272C9F63"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XVI. El </w:t>
      </w:r>
      <w:r w:rsidRPr="00CA130F">
        <w:rPr>
          <w:rFonts w:ascii="Palatino Linotype" w:hAnsi="Palatino Linotype" w:cs="Arial"/>
          <w:b/>
          <w:i/>
          <w:lang w:val="es-ES_tradnl"/>
        </w:rPr>
        <w:t>domicilio de la Unidad de Transparencia y su ubicación</w:t>
      </w:r>
      <w:r w:rsidRPr="00CA130F">
        <w:rPr>
          <w:rFonts w:ascii="Palatino Linotype" w:hAnsi="Palatino Linotype" w:cs="Arial"/>
          <w:i/>
          <w:lang w:val="es-ES_tradnl"/>
        </w:rPr>
        <w:t xml:space="preserve">, así como el nombre, teléfono oficial y horarios de atención al público de los responsables de las unidades de información; </w:t>
      </w:r>
    </w:p>
    <w:p w14:paraId="75EB5415"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XVII. </w:t>
      </w:r>
      <w:r w:rsidRPr="00CA130F">
        <w:rPr>
          <w:rFonts w:ascii="Palatino Linotype" w:hAnsi="Palatino Linotype" w:cs="Arial"/>
          <w:b/>
          <w:i/>
          <w:lang w:val="es-ES_tradnl"/>
        </w:rPr>
        <w:t>Dirección electrónica donde podrán recibirse las solicitudes</w:t>
      </w:r>
      <w:r w:rsidRPr="00CA130F">
        <w:rPr>
          <w:rFonts w:ascii="Palatino Linotype" w:hAnsi="Palatino Linotype" w:cs="Arial"/>
          <w:i/>
          <w:lang w:val="es-ES_tradnl"/>
        </w:rPr>
        <w:t xml:space="preserve"> para obtener la información, así como el registro de las solicitudes recibidas y atendidas; </w:t>
      </w:r>
    </w:p>
    <w:p w14:paraId="60058F88"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XVIII. Las </w:t>
      </w:r>
      <w:r w:rsidRPr="00CA130F">
        <w:rPr>
          <w:rFonts w:ascii="Palatino Linotype" w:hAnsi="Palatino Linotype" w:cs="Arial"/>
          <w:b/>
          <w:i/>
          <w:lang w:val="es-ES_tradnl"/>
        </w:rPr>
        <w:t>convocatorias a concursos para ocupar cargos públicos</w:t>
      </w:r>
      <w:r w:rsidRPr="00CA130F">
        <w:rPr>
          <w:rFonts w:ascii="Palatino Linotype" w:hAnsi="Palatino Linotype" w:cs="Arial"/>
          <w:i/>
          <w:lang w:val="es-ES_tradnl"/>
        </w:rPr>
        <w:t xml:space="preserve"> y los resultados finales de los mismos; </w:t>
      </w:r>
    </w:p>
    <w:p w14:paraId="50602F72"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XIX. </w:t>
      </w:r>
      <w:r w:rsidRPr="00CA130F">
        <w:rPr>
          <w:rFonts w:ascii="Palatino Linotype" w:hAnsi="Palatino Linotype" w:cs="Arial"/>
          <w:b/>
          <w:i/>
          <w:lang w:val="es-ES_tradnl"/>
        </w:rPr>
        <w:t>Índices semestrales en formatos abiertos de los expedientes clasificados como reservados</w:t>
      </w:r>
      <w:r w:rsidRPr="00CA130F">
        <w:rPr>
          <w:rFonts w:ascii="Palatino Linotype" w:hAnsi="Palatino Linotype" w:cs="Arial"/>
          <w:i/>
          <w:lang w:val="es-ES_tradnl"/>
        </w:rPr>
        <w:t xml:space="preserve"> que cada sujeto obligado posee y maneja; </w:t>
      </w:r>
    </w:p>
    <w:p w14:paraId="1508F67E"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 Las </w:t>
      </w:r>
      <w:r w:rsidRPr="00CA130F">
        <w:rPr>
          <w:rFonts w:ascii="Palatino Linotype" w:hAnsi="Palatino Linotype" w:cs="Arial"/>
          <w:b/>
          <w:i/>
          <w:lang w:val="es-ES_tradnl"/>
        </w:rPr>
        <w:t>condiciones generales de trabajo, contratos o convenios que regulen las relaciones laborales del personal de base o de confianza</w:t>
      </w:r>
      <w:r w:rsidRPr="00CA130F">
        <w:rPr>
          <w:rFonts w:ascii="Palatino Linotype" w:hAnsi="Palatino Linotype" w:cs="Arial"/>
          <w:i/>
          <w:lang w:val="es-ES_tradnl"/>
        </w:rPr>
        <w:t>, así como los recursos públicos económicos, en especie o donativos, que sean entregados a los Sindicatos y ejerzan como recursos públicos;</w:t>
      </w:r>
    </w:p>
    <w:p w14:paraId="13E4FD98"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XXI. </w:t>
      </w:r>
      <w:r w:rsidRPr="00CA130F">
        <w:rPr>
          <w:rFonts w:ascii="Palatino Linotype" w:hAnsi="Palatino Linotype" w:cs="Arial"/>
          <w:b/>
          <w:i/>
          <w:lang w:val="es-ES_tradnl"/>
        </w:rPr>
        <w:t>La información curricular, desde el nivel de jefe de departamento o equivalente, hasta el titular del sujeto obligado</w:t>
      </w:r>
      <w:r w:rsidRPr="00CA130F">
        <w:rPr>
          <w:rFonts w:ascii="Palatino Linotype" w:hAnsi="Palatino Linotype" w:cs="Arial"/>
          <w:i/>
          <w:lang w:val="es-ES_tradnl"/>
        </w:rPr>
        <w:t xml:space="preserve">, así como, en su caso, las sanciones administrativas de que haya sido objeto; </w:t>
      </w:r>
    </w:p>
    <w:p w14:paraId="52E15E13"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XXII. El listado de </w:t>
      </w:r>
      <w:r w:rsidRPr="00CA130F">
        <w:rPr>
          <w:rFonts w:ascii="Palatino Linotype" w:hAnsi="Palatino Linotype" w:cs="Arial"/>
          <w:b/>
          <w:i/>
          <w:lang w:val="es-ES_tradnl"/>
        </w:rPr>
        <w:t>Servidores Públicos con sanciones administrativas definitivas, especificando la causa de sanción y la disposición</w:t>
      </w:r>
      <w:r w:rsidRPr="00CA130F">
        <w:rPr>
          <w:rFonts w:ascii="Palatino Linotype" w:hAnsi="Palatino Linotype" w:cs="Arial"/>
          <w:i/>
          <w:lang w:val="es-ES_tradnl"/>
        </w:rPr>
        <w:t xml:space="preserve">; </w:t>
      </w:r>
    </w:p>
    <w:p w14:paraId="2AE2DF09"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lastRenderedPageBreak/>
        <w:t xml:space="preserve">XXIII. Los </w:t>
      </w:r>
      <w:r w:rsidRPr="00CA130F">
        <w:rPr>
          <w:rFonts w:ascii="Palatino Linotype" w:hAnsi="Palatino Linotype" w:cs="Arial"/>
          <w:b/>
          <w:i/>
          <w:lang w:val="es-ES_tradnl"/>
        </w:rPr>
        <w:t>servicios que ofrecen</w:t>
      </w:r>
      <w:r w:rsidRPr="00CA130F">
        <w:rPr>
          <w:rFonts w:ascii="Palatino Linotype" w:hAnsi="Palatino Linotype" w:cs="Arial"/>
          <w:i/>
          <w:lang w:val="es-ES_tradnl"/>
        </w:rPr>
        <w:t xml:space="preserve"> señalando los requisitos para acceder a ellos, así como los tiempos de respuesta; </w:t>
      </w:r>
    </w:p>
    <w:p w14:paraId="5C9337D5"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XXIV. Los </w:t>
      </w:r>
      <w:r w:rsidRPr="00CA130F">
        <w:rPr>
          <w:rFonts w:ascii="Palatino Linotype" w:hAnsi="Palatino Linotype" w:cs="Arial"/>
          <w:b/>
          <w:i/>
          <w:lang w:val="es-ES_tradnl"/>
        </w:rPr>
        <w:t>trámites, requisitos y formatos que ofrecen</w:t>
      </w:r>
      <w:r w:rsidRPr="00CA130F">
        <w:rPr>
          <w:rFonts w:ascii="Palatino Linotype" w:hAnsi="Palatino Linotype" w:cs="Arial"/>
          <w:i/>
          <w:lang w:val="es-ES_tradnl"/>
        </w:rPr>
        <w:t xml:space="preserve">, así como los tiempos de respuesta; </w:t>
      </w:r>
    </w:p>
    <w:p w14:paraId="16D1BEDF" w14:textId="71F150C0"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XXV. </w:t>
      </w:r>
      <w:r w:rsidR="00AE59F5" w:rsidRPr="00CA130F">
        <w:rPr>
          <w:rFonts w:ascii="Palatino Linotype" w:hAnsi="Palatino Linotype" w:cs="Arial"/>
          <w:b/>
          <w:i/>
          <w:lang w:val="es-ES_tradnl"/>
        </w:rPr>
        <w:t>La información financiera sobre el presupuesto asignado</w:t>
      </w:r>
      <w:r w:rsidR="00AE59F5" w:rsidRPr="00CA130F">
        <w:rPr>
          <w:rFonts w:ascii="Palatino Linotype" w:hAnsi="Palatino Linotype" w:cs="Arial"/>
          <w:i/>
          <w:lang w:val="es-ES_tradnl"/>
        </w:rPr>
        <w:t>, así como los informes del ejercicio trimestral del gasto, ¡en términos de la Ley General de Contabilidad Gubernamental y demás disposiciones jurídicas aplicables;</w:t>
      </w:r>
      <w:r w:rsidRPr="00CA130F">
        <w:rPr>
          <w:rFonts w:ascii="Palatino Linotype" w:hAnsi="Palatino Linotype" w:cs="Arial"/>
          <w:i/>
          <w:lang w:val="es-ES_tradnl"/>
        </w:rPr>
        <w:t xml:space="preserve"> </w:t>
      </w:r>
    </w:p>
    <w:p w14:paraId="07943859"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XXVI. La </w:t>
      </w:r>
      <w:r w:rsidRPr="00CA130F">
        <w:rPr>
          <w:rFonts w:ascii="Palatino Linotype" w:hAnsi="Palatino Linotype" w:cs="Arial"/>
          <w:b/>
          <w:i/>
          <w:lang w:val="es-ES_tradnl"/>
        </w:rPr>
        <w:t>información relativa a la deuda pública</w:t>
      </w:r>
      <w:r w:rsidRPr="00CA130F">
        <w:rPr>
          <w:rFonts w:ascii="Palatino Linotype" w:hAnsi="Palatino Linotype" w:cs="Arial"/>
          <w:i/>
          <w:lang w:val="es-ES_tradnl"/>
        </w:rPr>
        <w:t xml:space="preserve">, en términos de las disposiciones jurídicas aplicables: </w:t>
      </w:r>
    </w:p>
    <w:p w14:paraId="5C425ECF"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Los datos de todos los financiamientos contratados, así como de los movimientos que se efectúen, en la que se incluya: </w:t>
      </w:r>
    </w:p>
    <w:p w14:paraId="793C190A"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a) Los montos de financiamiento contratados; </w:t>
      </w:r>
    </w:p>
    <w:p w14:paraId="11999FC7"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b) Los plazos; </w:t>
      </w:r>
    </w:p>
    <w:p w14:paraId="4D93549B"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c) Las tasas de interés; y </w:t>
      </w:r>
    </w:p>
    <w:p w14:paraId="2821AACE"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d) Las garantías. </w:t>
      </w:r>
    </w:p>
    <w:p w14:paraId="2EA27B47"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XXVII. Los </w:t>
      </w:r>
      <w:r w:rsidRPr="00CA130F">
        <w:rPr>
          <w:rFonts w:ascii="Palatino Linotype" w:hAnsi="Palatino Linotype" w:cs="Arial"/>
          <w:b/>
          <w:i/>
          <w:lang w:val="es-ES_tradnl"/>
        </w:rPr>
        <w:t>montos destinados a gastos relativos a todos los programas y campañas de comunicación social y publicidad oficial desglosada</w:t>
      </w:r>
      <w:r w:rsidRPr="00CA130F">
        <w:rPr>
          <w:rFonts w:ascii="Palatino Linotype" w:hAnsi="Palatino Linotype" w:cs="Arial"/>
          <w:i/>
          <w:lang w:val="es-ES_tradnl"/>
        </w:rPr>
        <w:t xml:space="preserve"> por tipo de medio, proveedores, número de contrato y concepto; </w:t>
      </w:r>
    </w:p>
    <w:p w14:paraId="2A600F7D"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XXVIII. Los </w:t>
      </w:r>
      <w:r w:rsidRPr="00CA130F">
        <w:rPr>
          <w:rFonts w:ascii="Palatino Linotype" w:hAnsi="Palatino Linotype" w:cs="Arial"/>
          <w:b/>
          <w:i/>
          <w:lang w:val="es-ES_tradnl"/>
        </w:rPr>
        <w:t>informes de resultados de las auditorías al ejercicio presupuestal</w:t>
      </w:r>
      <w:r w:rsidRPr="00CA130F">
        <w:rPr>
          <w:rFonts w:ascii="Palatino Linotype" w:hAnsi="Palatino Linotype" w:cs="Arial"/>
          <w:i/>
          <w:lang w:val="es-ES_tradnl"/>
        </w:rPr>
        <w:t xml:space="preserve"> de cada sujeto obligado que se realicen y, en su caso, las aclaraciones que correspondan; </w:t>
      </w:r>
    </w:p>
    <w:p w14:paraId="423EE6D5"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XXIX. La </w:t>
      </w:r>
      <w:r w:rsidRPr="00CA130F">
        <w:rPr>
          <w:rFonts w:ascii="Palatino Linotype" w:hAnsi="Palatino Linotype" w:cs="Arial"/>
          <w:b/>
          <w:i/>
          <w:lang w:val="es-ES_tradnl"/>
        </w:rPr>
        <w:t>información sobre los procesos y resultados sobre procedimientos de adjudicación directa, invitación restringida y licitación de cualquier naturaleza,</w:t>
      </w:r>
      <w:r w:rsidRPr="00CA130F">
        <w:rPr>
          <w:rFonts w:ascii="Palatino Linotype" w:hAnsi="Palatino Linotype" w:cs="Arial"/>
          <w:i/>
          <w:lang w:val="es-ES_tradnl"/>
        </w:rPr>
        <w:t xml:space="preserve"> incluyendo la versión pública del expediente respectivo y de los contratos celebrados, que deberán contener, por los menos, lo siguiente:</w:t>
      </w:r>
    </w:p>
    <w:p w14:paraId="022A4A9B" w14:textId="77777777" w:rsidR="00D30FA9" w:rsidRPr="00CA130F" w:rsidRDefault="00D30FA9" w:rsidP="00D30FA9">
      <w:pPr>
        <w:spacing w:after="0" w:line="240" w:lineRule="auto"/>
        <w:ind w:left="851" w:right="901"/>
        <w:jc w:val="both"/>
        <w:rPr>
          <w:rFonts w:ascii="Palatino Linotype" w:hAnsi="Palatino Linotype" w:cs="Arial"/>
          <w:b/>
          <w:i/>
          <w:lang w:val="es-ES_tradnl"/>
        </w:rPr>
      </w:pPr>
      <w:r w:rsidRPr="00CA130F">
        <w:rPr>
          <w:rFonts w:ascii="Palatino Linotype" w:hAnsi="Palatino Linotype" w:cs="Arial"/>
          <w:b/>
          <w:i/>
          <w:lang w:val="es-ES_tradnl"/>
        </w:rPr>
        <w:t xml:space="preserve">a) De licitaciones públicas o procedimientos de invitación restringida: </w:t>
      </w:r>
    </w:p>
    <w:p w14:paraId="2B7CCBE4"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1) La convocatoria o invitación emitida, así como los fundamentos legales aplicados para llevarla a cabo;</w:t>
      </w:r>
    </w:p>
    <w:p w14:paraId="6DA6AA6B"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 2) Los nombres de los participantes o invitados; </w:t>
      </w:r>
    </w:p>
    <w:p w14:paraId="2DE4AB61"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3) El nombre del ganador y las razones que lo justifican; </w:t>
      </w:r>
    </w:p>
    <w:p w14:paraId="388F8048"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4) El área solicitante y la responsable de su ejecución; </w:t>
      </w:r>
    </w:p>
    <w:p w14:paraId="74390E0A"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5) Las convocatorias e invitaciones emitidas;</w:t>
      </w:r>
    </w:p>
    <w:p w14:paraId="4BDC8533"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6) Los dictámenes y fallo de adjudicación; </w:t>
      </w:r>
    </w:p>
    <w:p w14:paraId="65EEE133"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7) El contrato y, en su caso, sus anexos; </w:t>
      </w:r>
    </w:p>
    <w:p w14:paraId="18423C0B"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8) Los mecanismos de vigilancia y supervisión, incluyendo en su caso, los estudios de impacto urbano y ambiental, según corresponda; </w:t>
      </w:r>
    </w:p>
    <w:p w14:paraId="400635A8"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9) La partida presupuestal, de conformidad con el clasificador por objeto del gasto, en el caso de ser aplicable; </w:t>
      </w:r>
    </w:p>
    <w:p w14:paraId="494548B2"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lastRenderedPageBreak/>
        <w:t xml:space="preserve">10) Origen de los recursos especificando si son federales, estatales o municipales, así como el tipo de fondo de participación o aportación respectiva; </w:t>
      </w:r>
    </w:p>
    <w:p w14:paraId="0202A644"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11) Los convenios modificatorios que, en su caso, sean firmados, precisando el objeto y la fecha de celebración; </w:t>
      </w:r>
    </w:p>
    <w:p w14:paraId="3AB12AC3"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12) Los informes de avance físico y financiero sobre las obras o servicios contratados; </w:t>
      </w:r>
    </w:p>
    <w:p w14:paraId="39C24D30"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13) El convenio de terminación; y </w:t>
      </w:r>
    </w:p>
    <w:p w14:paraId="6E180CD1"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14) El finiquito. </w:t>
      </w:r>
    </w:p>
    <w:p w14:paraId="2BB09AB9" w14:textId="77777777" w:rsidR="00D30FA9" w:rsidRPr="00CA130F" w:rsidRDefault="00D30FA9" w:rsidP="00D30FA9">
      <w:pPr>
        <w:spacing w:after="0" w:line="240" w:lineRule="auto"/>
        <w:ind w:left="851" w:right="901"/>
        <w:jc w:val="both"/>
        <w:rPr>
          <w:rFonts w:ascii="Palatino Linotype" w:hAnsi="Palatino Linotype" w:cs="Arial"/>
          <w:b/>
          <w:i/>
          <w:lang w:val="es-ES_tradnl"/>
        </w:rPr>
      </w:pPr>
      <w:r w:rsidRPr="00CA130F">
        <w:rPr>
          <w:rFonts w:ascii="Palatino Linotype" w:hAnsi="Palatino Linotype" w:cs="Arial"/>
          <w:i/>
          <w:lang w:val="es-ES_tradnl"/>
        </w:rPr>
        <w:t>b</w:t>
      </w:r>
      <w:r w:rsidRPr="00CA130F">
        <w:rPr>
          <w:rFonts w:ascii="Palatino Linotype" w:hAnsi="Palatino Linotype" w:cs="Arial"/>
          <w:b/>
          <w:i/>
          <w:lang w:val="es-ES_tradnl"/>
        </w:rPr>
        <w:t xml:space="preserve">) De las adjudicaciones directas: </w:t>
      </w:r>
    </w:p>
    <w:p w14:paraId="312C7B28"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1) La propuesta enviada por el participante; </w:t>
      </w:r>
    </w:p>
    <w:p w14:paraId="127D801B"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2) Los motivos y fundamentos legales aplicados para llevarla a cabo; </w:t>
      </w:r>
    </w:p>
    <w:p w14:paraId="73A845BA"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3) La autorización del ejercicio de la opción; </w:t>
      </w:r>
    </w:p>
    <w:p w14:paraId="1987DA12"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4) En su caso, las cotizaciones consideradas, especificando los nombres de los proveedores y sus montos; </w:t>
      </w:r>
    </w:p>
    <w:p w14:paraId="0BC5B4CA"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5) El nombre de la persona física o jurídica colectiva adjudicada; </w:t>
      </w:r>
    </w:p>
    <w:p w14:paraId="3AB57177"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6) La unidad administrativa solicitante y la responsable de su ejecución; </w:t>
      </w:r>
    </w:p>
    <w:p w14:paraId="5DCEB207"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7) El número, fecha, el monto del contrato y el plazo de entrega o de ejecución de los servicios u obra; </w:t>
      </w:r>
    </w:p>
    <w:p w14:paraId="5D90A18A"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8) Los mecanismos de vigilancia y supervisión, incluyendo, en su caso, los estudios de impacto urbano y ambiental, según corresponda; </w:t>
      </w:r>
    </w:p>
    <w:p w14:paraId="109213A9"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9) Los informes de avance sobre las obras o servicios contratados; </w:t>
      </w:r>
    </w:p>
    <w:p w14:paraId="4F08FCC8"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 xml:space="preserve">10) El convenio de terminación; y </w:t>
      </w:r>
    </w:p>
    <w:p w14:paraId="26D65BF3" w14:textId="77777777" w:rsidR="00D30FA9" w:rsidRPr="00CA130F" w:rsidRDefault="00D30FA9" w:rsidP="00872548">
      <w:pPr>
        <w:spacing w:after="0" w:line="240" w:lineRule="auto"/>
        <w:ind w:left="1418" w:right="901"/>
        <w:jc w:val="both"/>
        <w:rPr>
          <w:rFonts w:ascii="Palatino Linotype" w:hAnsi="Palatino Linotype" w:cs="Arial"/>
          <w:i/>
          <w:lang w:val="es-ES_tradnl"/>
        </w:rPr>
      </w:pPr>
      <w:r w:rsidRPr="00CA130F">
        <w:rPr>
          <w:rFonts w:ascii="Palatino Linotype" w:hAnsi="Palatino Linotype" w:cs="Arial"/>
          <w:i/>
          <w:lang w:val="es-ES_tradnl"/>
        </w:rPr>
        <w:t>11) El finiquito</w:t>
      </w:r>
    </w:p>
    <w:p w14:paraId="08924436"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XXX. El </w:t>
      </w:r>
      <w:r w:rsidRPr="00CA130F">
        <w:rPr>
          <w:rFonts w:ascii="Palatino Linotype" w:hAnsi="Palatino Linotype" w:cs="Arial"/>
          <w:b/>
          <w:i/>
          <w:lang w:val="es-ES_tradnl"/>
        </w:rPr>
        <w:t>resultado de la dictaminación de los estados financieros</w:t>
      </w:r>
      <w:r w:rsidRPr="00CA130F">
        <w:rPr>
          <w:rFonts w:ascii="Palatino Linotype" w:hAnsi="Palatino Linotype" w:cs="Arial"/>
          <w:i/>
          <w:lang w:val="es-ES_tradnl"/>
        </w:rPr>
        <w:t xml:space="preserve">; </w:t>
      </w:r>
    </w:p>
    <w:p w14:paraId="6E4F714E"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XXXI. Los </w:t>
      </w:r>
      <w:r w:rsidRPr="00CA130F">
        <w:rPr>
          <w:rFonts w:ascii="Palatino Linotype" w:hAnsi="Palatino Linotype" w:cs="Arial"/>
          <w:b/>
          <w:i/>
          <w:lang w:val="es-ES_tradnl"/>
        </w:rPr>
        <w:t>montos, criterios, convocatorias y listado de personas físicas o jurídicas colectivas, a quienes, por cualquier motivo, se les asigne o permita usar recursos públicos</w:t>
      </w:r>
      <w:r w:rsidRPr="00CA130F">
        <w:rPr>
          <w:rFonts w:ascii="Palatino Linotype" w:hAnsi="Palatino Linotype" w:cs="Arial"/>
          <w:i/>
          <w:lang w:val="es-ES_tradnl"/>
        </w:rPr>
        <w:t xml:space="preserve"> o, en los términos de las disposiciones jurídicas aplicables, realicen actos de autoridad. Asimismo, los informes que dichas personas les entreguen sobre el uso y destino de dichos recursos; </w:t>
      </w:r>
    </w:p>
    <w:p w14:paraId="78BAA52F"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XXXII. Las </w:t>
      </w:r>
      <w:r w:rsidRPr="00CA130F">
        <w:rPr>
          <w:rFonts w:ascii="Palatino Linotype" w:hAnsi="Palatino Linotype" w:cs="Arial"/>
          <w:b/>
          <w:i/>
          <w:lang w:val="es-ES_tradnl"/>
        </w:rPr>
        <w:t>concesiones, contratos, convenios, permisos, licencias o autorizaciones otorgados</w:t>
      </w:r>
      <w:r w:rsidRPr="00CA130F">
        <w:rPr>
          <w:rFonts w:ascii="Palatino Linotype" w:hAnsi="Palatino Linotype" w:cs="Arial"/>
          <w:i/>
          <w:lang w:val="es-ES_tradnl"/>
        </w:rPr>
        <w:t xml:space="preserve">,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2B5FF2FD"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XXXIII. Los informes que por disposición legal generen los sujetos obligados; </w:t>
      </w:r>
    </w:p>
    <w:p w14:paraId="1AF99194"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XXXIV. Las </w:t>
      </w:r>
      <w:r w:rsidRPr="00CA130F">
        <w:rPr>
          <w:rFonts w:ascii="Palatino Linotype" w:hAnsi="Palatino Linotype" w:cs="Arial"/>
          <w:b/>
          <w:i/>
          <w:lang w:val="es-ES_tradnl"/>
        </w:rPr>
        <w:t>estadísticas que generen en cumplimiento de sus facultades, competencias o funciones</w:t>
      </w:r>
      <w:r w:rsidRPr="00CA130F">
        <w:rPr>
          <w:rFonts w:ascii="Palatino Linotype" w:hAnsi="Palatino Linotype" w:cs="Arial"/>
          <w:i/>
          <w:lang w:val="es-ES_tradnl"/>
        </w:rPr>
        <w:t xml:space="preserve"> con la mayor desagregación posible; </w:t>
      </w:r>
    </w:p>
    <w:p w14:paraId="7352A10C"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XXXV. </w:t>
      </w:r>
      <w:r w:rsidRPr="00CA130F">
        <w:rPr>
          <w:rFonts w:ascii="Palatino Linotype" w:hAnsi="Palatino Linotype" w:cs="Arial"/>
          <w:b/>
          <w:i/>
          <w:lang w:val="es-ES_tradnl"/>
        </w:rPr>
        <w:t>Informes de avances programáticos o presupuestales</w:t>
      </w:r>
      <w:r w:rsidRPr="00CA130F">
        <w:rPr>
          <w:rFonts w:ascii="Palatino Linotype" w:hAnsi="Palatino Linotype" w:cs="Arial"/>
          <w:i/>
          <w:lang w:val="es-ES_tradnl"/>
        </w:rPr>
        <w:t xml:space="preserve">, balances generales y estado financiero; </w:t>
      </w:r>
    </w:p>
    <w:p w14:paraId="43F931BC"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lastRenderedPageBreak/>
        <w:t xml:space="preserve">XXXVI. </w:t>
      </w:r>
      <w:r w:rsidRPr="00CA130F">
        <w:rPr>
          <w:rFonts w:ascii="Palatino Linotype" w:hAnsi="Palatino Linotype" w:cs="Arial"/>
          <w:b/>
          <w:i/>
          <w:lang w:val="es-ES_tradnl"/>
        </w:rPr>
        <w:t>Padrón de proveedores y contratistas</w:t>
      </w:r>
      <w:r w:rsidRPr="00CA130F">
        <w:rPr>
          <w:rFonts w:ascii="Palatino Linotype" w:hAnsi="Palatino Linotype" w:cs="Arial"/>
          <w:i/>
          <w:lang w:val="es-ES_tradnl"/>
        </w:rPr>
        <w:t xml:space="preserve">; </w:t>
      </w:r>
    </w:p>
    <w:p w14:paraId="49F5D42F"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XXXVII. Los </w:t>
      </w:r>
      <w:r w:rsidRPr="00CA130F">
        <w:rPr>
          <w:rFonts w:ascii="Palatino Linotype" w:hAnsi="Palatino Linotype" w:cs="Arial"/>
          <w:b/>
          <w:i/>
          <w:lang w:val="es-ES_tradnl"/>
        </w:rPr>
        <w:t>convenios de coordinación, de concertación, entre otros</w:t>
      </w:r>
      <w:r w:rsidRPr="00CA130F">
        <w:rPr>
          <w:rFonts w:ascii="Palatino Linotype" w:hAnsi="Palatino Linotype" w:cs="Arial"/>
          <w:i/>
          <w:lang w:val="es-ES_tradnl"/>
        </w:rPr>
        <w:t xml:space="preserve">, que suscriban con otros entes de los sectores público, social y privado; </w:t>
      </w:r>
    </w:p>
    <w:p w14:paraId="76D9F593"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XXXVIII. El </w:t>
      </w:r>
      <w:r w:rsidRPr="00CA130F">
        <w:rPr>
          <w:rFonts w:ascii="Palatino Linotype" w:hAnsi="Palatino Linotype" w:cs="Arial"/>
          <w:b/>
          <w:i/>
          <w:lang w:val="es-ES_tradnl"/>
        </w:rPr>
        <w:t>inventario de bienes muebles e inmuebles en posesión y propiedad</w:t>
      </w:r>
      <w:r w:rsidRPr="00CA130F">
        <w:rPr>
          <w:rFonts w:ascii="Palatino Linotype" w:hAnsi="Palatino Linotype" w:cs="Arial"/>
          <w:i/>
          <w:lang w:val="es-ES_tradnl"/>
        </w:rPr>
        <w:t xml:space="preserve">; </w:t>
      </w:r>
    </w:p>
    <w:p w14:paraId="22AEF4D3"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XXXIX. Las </w:t>
      </w:r>
      <w:r w:rsidRPr="00CA130F">
        <w:rPr>
          <w:rFonts w:ascii="Palatino Linotype" w:hAnsi="Palatino Linotype" w:cs="Arial"/>
          <w:b/>
          <w:i/>
          <w:lang w:val="es-ES_tradnl"/>
        </w:rPr>
        <w:t>recomendaciones emitidas por los órganos públicos del Estado mexicano</w:t>
      </w:r>
      <w:r w:rsidRPr="00CA130F">
        <w:rPr>
          <w:rFonts w:ascii="Palatino Linotype" w:hAnsi="Palatino Linotype" w:cs="Arial"/>
          <w:i/>
          <w:lang w:val="es-ES_tradnl"/>
        </w:rPr>
        <w:t xml:space="preserve"> u organismos internacionales garantes de los derechos humanos, así como las acciones que han llevado a cabo para su atención; </w:t>
      </w:r>
    </w:p>
    <w:p w14:paraId="2CF31633"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 Las </w:t>
      </w:r>
      <w:r w:rsidRPr="00CA130F">
        <w:rPr>
          <w:rFonts w:ascii="Palatino Linotype" w:hAnsi="Palatino Linotype" w:cs="Arial"/>
          <w:b/>
          <w:i/>
          <w:lang w:val="es-ES_tradnl"/>
        </w:rPr>
        <w:t>resoluciones y laudos</w:t>
      </w:r>
      <w:r w:rsidRPr="00CA130F">
        <w:rPr>
          <w:rFonts w:ascii="Palatino Linotype" w:hAnsi="Palatino Linotype" w:cs="Arial"/>
          <w:i/>
          <w:lang w:val="es-ES_tradnl"/>
        </w:rPr>
        <w:t xml:space="preserve"> que se emitan en procesos o procedimientos seguidos en forma de juicio; </w:t>
      </w:r>
    </w:p>
    <w:p w14:paraId="04A76A50"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XLI. Los </w:t>
      </w:r>
      <w:r w:rsidRPr="00CA130F">
        <w:rPr>
          <w:rFonts w:ascii="Palatino Linotype" w:hAnsi="Palatino Linotype" w:cs="Arial"/>
          <w:b/>
          <w:i/>
          <w:lang w:val="es-ES_tradnl"/>
        </w:rPr>
        <w:t>mecanismos de participación ciudadana en los procesos de elaboración, implementación y evaluación de políticas públicas</w:t>
      </w:r>
      <w:r w:rsidRPr="00CA130F">
        <w:rPr>
          <w:rFonts w:ascii="Palatino Linotype" w:hAnsi="Palatino Linotype" w:cs="Arial"/>
          <w:i/>
          <w:lang w:val="es-ES_tradnl"/>
        </w:rPr>
        <w:t xml:space="preserve"> y toma de decisiones y demás mecanismos de participación; </w:t>
      </w:r>
    </w:p>
    <w:p w14:paraId="25A632FD"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XLII. Los </w:t>
      </w:r>
      <w:r w:rsidRPr="00CA130F">
        <w:rPr>
          <w:rFonts w:ascii="Palatino Linotype" w:hAnsi="Palatino Linotype" w:cs="Arial"/>
          <w:b/>
          <w:i/>
          <w:lang w:val="es-ES_tradnl"/>
        </w:rPr>
        <w:t>programas que ofrecen, incluyendo información sobre la población, objetivo y destino</w:t>
      </w:r>
      <w:r w:rsidRPr="00CA130F">
        <w:rPr>
          <w:rFonts w:ascii="Palatino Linotype" w:hAnsi="Palatino Linotype" w:cs="Arial"/>
          <w:i/>
          <w:lang w:val="es-ES_tradnl"/>
        </w:rPr>
        <w:t xml:space="preserve">, tiempos de respuesta, requisitos y formatos para acceder a los mismos; </w:t>
      </w:r>
    </w:p>
    <w:p w14:paraId="73FEE907"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XLIII. Las </w:t>
      </w:r>
      <w:r w:rsidRPr="00CA130F">
        <w:rPr>
          <w:rFonts w:ascii="Palatino Linotype" w:hAnsi="Palatino Linotype" w:cs="Arial"/>
          <w:b/>
          <w:i/>
          <w:lang w:val="es-ES_tradnl"/>
        </w:rPr>
        <w:t>actas y resoluciones del Comité de Transparencia</w:t>
      </w:r>
      <w:r w:rsidRPr="00CA130F">
        <w:rPr>
          <w:rFonts w:ascii="Palatino Linotype" w:hAnsi="Palatino Linotype" w:cs="Arial"/>
          <w:i/>
          <w:lang w:val="es-ES_tradnl"/>
        </w:rPr>
        <w:t xml:space="preserve"> de los sujetos obligados; </w:t>
      </w:r>
    </w:p>
    <w:p w14:paraId="153E9893"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XLIV. </w:t>
      </w:r>
      <w:r w:rsidRPr="00CA130F">
        <w:rPr>
          <w:rFonts w:ascii="Palatino Linotype" w:hAnsi="Palatino Linotype" w:cs="Arial"/>
          <w:b/>
          <w:i/>
          <w:lang w:val="es-ES_tradnl"/>
        </w:rPr>
        <w:t>Todas las evaluaciones y encuestas que hagan los sujetos obligados a programas financiados con recursos públicos</w:t>
      </w:r>
      <w:r w:rsidRPr="00CA130F">
        <w:rPr>
          <w:rFonts w:ascii="Palatino Linotype" w:hAnsi="Palatino Linotype" w:cs="Arial"/>
          <w:i/>
          <w:lang w:val="es-ES_tradnl"/>
        </w:rPr>
        <w:t xml:space="preserve">; </w:t>
      </w:r>
    </w:p>
    <w:p w14:paraId="1D6FE997"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XLV. Los </w:t>
      </w:r>
      <w:r w:rsidRPr="00CA130F">
        <w:rPr>
          <w:rFonts w:ascii="Palatino Linotype" w:hAnsi="Palatino Linotype" w:cs="Arial"/>
          <w:b/>
          <w:i/>
          <w:lang w:val="es-ES_tradnl"/>
        </w:rPr>
        <w:t>estudios financiados con recursos públicos</w:t>
      </w:r>
      <w:r w:rsidRPr="00CA130F">
        <w:rPr>
          <w:rFonts w:ascii="Palatino Linotype" w:hAnsi="Palatino Linotype" w:cs="Arial"/>
          <w:i/>
          <w:lang w:val="es-ES_tradnl"/>
        </w:rPr>
        <w:t xml:space="preserve">; </w:t>
      </w:r>
    </w:p>
    <w:p w14:paraId="69610372"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XLVI. El </w:t>
      </w:r>
      <w:r w:rsidRPr="00CA130F">
        <w:rPr>
          <w:rFonts w:ascii="Palatino Linotype" w:hAnsi="Palatino Linotype" w:cs="Arial"/>
          <w:b/>
          <w:i/>
          <w:lang w:val="es-ES_tradnl"/>
        </w:rPr>
        <w:t>listado de jubilados y pensionados</w:t>
      </w:r>
      <w:r w:rsidRPr="00CA130F">
        <w:rPr>
          <w:rFonts w:ascii="Palatino Linotype" w:hAnsi="Palatino Linotype" w:cs="Arial"/>
          <w:i/>
          <w:lang w:val="es-ES_tradnl"/>
        </w:rPr>
        <w:t xml:space="preserve"> y el monto que reciben; </w:t>
      </w:r>
    </w:p>
    <w:p w14:paraId="49CE1217"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XLVII. Los </w:t>
      </w:r>
      <w:r w:rsidRPr="00CA130F">
        <w:rPr>
          <w:rFonts w:ascii="Palatino Linotype" w:hAnsi="Palatino Linotype" w:cs="Arial"/>
          <w:b/>
          <w:i/>
          <w:lang w:val="es-ES_tradnl"/>
        </w:rPr>
        <w:t>ingresos recibidos por cualquier concepto señalando el nombre de los responsables de recibirlos</w:t>
      </w:r>
      <w:r w:rsidRPr="00CA130F">
        <w:rPr>
          <w:rFonts w:ascii="Palatino Linotype" w:hAnsi="Palatino Linotype" w:cs="Arial"/>
          <w:i/>
          <w:lang w:val="es-ES_tradnl"/>
        </w:rPr>
        <w:t xml:space="preserve">, administrarlos y ejercerlos, indicando el destino de cada uno de ellos; </w:t>
      </w:r>
    </w:p>
    <w:p w14:paraId="0198E8DB"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XLVIII. </w:t>
      </w:r>
      <w:r w:rsidRPr="00CA130F">
        <w:rPr>
          <w:rFonts w:ascii="Palatino Linotype" w:hAnsi="Palatino Linotype" w:cs="Arial"/>
          <w:b/>
          <w:i/>
          <w:lang w:val="es-ES_tradnl"/>
        </w:rPr>
        <w:t>Donaciones hechas a terceros en dinero o en especie</w:t>
      </w:r>
      <w:r w:rsidRPr="00CA130F">
        <w:rPr>
          <w:rFonts w:ascii="Palatino Linotype" w:hAnsi="Palatino Linotype" w:cs="Arial"/>
          <w:i/>
          <w:lang w:val="es-ES_tradnl"/>
        </w:rPr>
        <w:t>;</w:t>
      </w:r>
    </w:p>
    <w:p w14:paraId="6229CDA2"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XLIX. El </w:t>
      </w:r>
      <w:r w:rsidRPr="00CA130F">
        <w:rPr>
          <w:rFonts w:ascii="Palatino Linotype" w:hAnsi="Palatino Linotype" w:cs="Arial"/>
          <w:b/>
          <w:i/>
          <w:lang w:val="es-ES_tradnl"/>
        </w:rPr>
        <w:t>catálogo de disposición y guía de archivo documental</w:t>
      </w:r>
      <w:r w:rsidRPr="00CA130F">
        <w:rPr>
          <w:rFonts w:ascii="Palatino Linotype" w:hAnsi="Palatino Linotype" w:cs="Arial"/>
          <w:i/>
          <w:lang w:val="es-ES_tradnl"/>
        </w:rPr>
        <w:t xml:space="preserve">; </w:t>
      </w:r>
    </w:p>
    <w:p w14:paraId="78C2A2E8"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L. Las </w:t>
      </w:r>
      <w:r w:rsidRPr="00CA130F">
        <w:rPr>
          <w:rFonts w:ascii="Palatino Linotype" w:hAnsi="Palatino Linotype" w:cs="Arial"/>
          <w:b/>
          <w:i/>
          <w:lang w:val="es-ES_tradnl"/>
        </w:rPr>
        <w:t>actas de sesiones ordinarias y extraordinarias</w:t>
      </w:r>
      <w:r w:rsidRPr="00CA130F">
        <w:rPr>
          <w:rFonts w:ascii="Palatino Linotype" w:hAnsi="Palatino Linotype" w:cs="Arial"/>
          <w:i/>
          <w:lang w:val="es-ES_tradnl"/>
        </w:rPr>
        <w:t xml:space="preserve">, así como las opiniones y recomendaciones de los consejos consultivos; </w:t>
      </w:r>
    </w:p>
    <w:p w14:paraId="5DF08887"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LI. </w:t>
      </w:r>
      <w:r w:rsidRPr="00CA130F">
        <w:rPr>
          <w:rFonts w:ascii="Palatino Linotype" w:hAnsi="Palatino Linotype" w:cs="Arial"/>
          <w:b/>
          <w:i/>
          <w:lang w:val="es-ES_tradnl"/>
        </w:rPr>
        <w:t>Para efectos estadísticos, el listado de solicitudes a las empresas concesionarias de telecomunicaciones y proveedores de servicios o aplicaciones de Internet para la intervención de comunicaciones privadas</w:t>
      </w:r>
      <w:r w:rsidRPr="00CA130F">
        <w:rPr>
          <w:rFonts w:ascii="Palatino Linotype" w:hAnsi="Palatino Linotype" w:cs="Arial"/>
          <w:i/>
          <w:lang w:val="es-ES_tradnl"/>
        </w:rPr>
        <w:t xml:space="preserve">,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 </w:t>
      </w:r>
    </w:p>
    <w:p w14:paraId="6FB292C2" w14:textId="77777777" w:rsidR="00D30FA9" w:rsidRPr="00CA130F" w:rsidRDefault="00D30FA9" w:rsidP="00D30FA9">
      <w:pPr>
        <w:spacing w:after="0" w:line="240" w:lineRule="auto"/>
        <w:ind w:left="851" w:right="901"/>
        <w:jc w:val="both"/>
        <w:rPr>
          <w:rFonts w:ascii="Palatino Linotype" w:hAnsi="Palatino Linotype" w:cs="Arial"/>
          <w:i/>
          <w:lang w:val="es-ES_tradnl"/>
        </w:rPr>
      </w:pPr>
      <w:r w:rsidRPr="00CA130F">
        <w:rPr>
          <w:rFonts w:ascii="Palatino Linotype" w:hAnsi="Palatino Linotype" w:cs="Arial"/>
          <w:i/>
          <w:lang w:val="es-ES_tradnl"/>
        </w:rPr>
        <w:t xml:space="preserve">LII. </w:t>
      </w:r>
      <w:r w:rsidRPr="00CA130F">
        <w:rPr>
          <w:rFonts w:ascii="Palatino Linotype" w:hAnsi="Palatino Linotype" w:cs="Arial"/>
          <w:b/>
          <w:i/>
          <w:lang w:val="es-ES_tradnl"/>
        </w:rPr>
        <w:t>Cualquier otra información que sea de utilidad o se considere relevante, además de la que, con base en la información estadística, responda a las preguntas hechas con más frecuencia por el público</w:t>
      </w:r>
      <w:r w:rsidRPr="00CA130F">
        <w:rPr>
          <w:rFonts w:ascii="Palatino Linotype" w:hAnsi="Palatino Linotype" w:cs="Arial"/>
          <w:i/>
          <w:lang w:val="es-ES_tradnl"/>
        </w:rPr>
        <w:t>.</w:t>
      </w:r>
      <w:r w:rsidR="00872548" w:rsidRPr="00CA130F">
        <w:rPr>
          <w:rFonts w:ascii="Palatino Linotype" w:hAnsi="Palatino Linotype" w:cs="Arial"/>
          <w:i/>
          <w:lang w:val="es-ES_tradnl"/>
        </w:rPr>
        <w:t xml:space="preserve"> (Énfasis añadido)</w:t>
      </w:r>
    </w:p>
    <w:p w14:paraId="30B51603" w14:textId="77777777" w:rsidR="000D63CF" w:rsidRPr="00CA130F" w:rsidRDefault="00872548" w:rsidP="000D63CF">
      <w:pPr>
        <w:spacing w:before="100" w:beforeAutospacing="1" w:after="100" w:afterAutospacing="1" w:line="360" w:lineRule="auto"/>
        <w:jc w:val="both"/>
        <w:rPr>
          <w:rFonts w:ascii="Palatino Linotype" w:eastAsia="MS Mincho" w:hAnsi="Palatino Linotype"/>
          <w:sz w:val="24"/>
          <w:szCs w:val="24"/>
          <w:lang w:val="es-ES_tradnl"/>
        </w:rPr>
      </w:pPr>
      <w:r w:rsidRPr="00CA130F">
        <w:rPr>
          <w:rFonts w:ascii="Palatino Linotype" w:eastAsia="MS Mincho" w:hAnsi="Palatino Linotype"/>
          <w:sz w:val="24"/>
          <w:szCs w:val="24"/>
          <w:lang w:val="es-ES_tradnl"/>
        </w:rPr>
        <w:lastRenderedPageBreak/>
        <w:t xml:space="preserve">En ese tenor, conviene </w:t>
      </w:r>
      <w:r w:rsidR="006F1EB4" w:rsidRPr="00CA130F">
        <w:rPr>
          <w:rFonts w:ascii="Palatino Linotype" w:eastAsia="MS Mincho" w:hAnsi="Palatino Linotype"/>
          <w:sz w:val="24"/>
          <w:szCs w:val="24"/>
          <w:lang w:val="es-ES_tradnl"/>
        </w:rPr>
        <w:t xml:space="preserve">traer a contexto las </w:t>
      </w:r>
      <w:r w:rsidR="000D63CF" w:rsidRPr="00CA130F">
        <w:rPr>
          <w:rFonts w:ascii="Palatino Linotype" w:eastAsia="MS Mincho" w:hAnsi="Palatino Linotype"/>
          <w:sz w:val="24"/>
          <w:szCs w:val="24"/>
          <w:lang w:val="es-ES_tradnl"/>
        </w:rPr>
        <w:t>Tablas de Aplicabilidad que emite este Instituto</w:t>
      </w:r>
      <w:r w:rsidR="000D63CF" w:rsidRPr="00CA130F">
        <w:rPr>
          <w:rStyle w:val="Refdenotaalpie"/>
          <w:rFonts w:ascii="Palatino Linotype" w:eastAsia="MS Mincho" w:hAnsi="Palatino Linotype" w:cs="Times New Roman"/>
          <w:sz w:val="24"/>
          <w:szCs w:val="24"/>
          <w:lang w:val="es-ES_tradnl"/>
        </w:rPr>
        <w:footnoteReference w:id="1"/>
      </w:r>
      <w:r w:rsidR="000D63CF" w:rsidRPr="00CA130F">
        <w:rPr>
          <w:rFonts w:ascii="Palatino Linotype" w:eastAsia="MS Mincho" w:hAnsi="Palatino Linotype"/>
          <w:sz w:val="24"/>
          <w:szCs w:val="24"/>
          <w:lang w:val="es-ES_tradnl"/>
        </w:rPr>
        <w:t xml:space="preserve">, donde se indican las fracciones que el </w:t>
      </w:r>
      <w:r w:rsidR="000D63CF" w:rsidRPr="00CA130F">
        <w:rPr>
          <w:rFonts w:ascii="Palatino Linotype" w:eastAsia="MS Mincho" w:hAnsi="Palatino Linotype"/>
          <w:b/>
          <w:sz w:val="24"/>
          <w:szCs w:val="24"/>
          <w:lang w:val="es-ES_tradnl"/>
        </w:rPr>
        <w:t>SUJETO OBLIGADO</w:t>
      </w:r>
      <w:r w:rsidR="000D63CF" w:rsidRPr="00CA130F">
        <w:rPr>
          <w:rFonts w:ascii="Palatino Linotype" w:eastAsia="MS Mincho" w:hAnsi="Palatino Linotype"/>
          <w:sz w:val="24"/>
          <w:szCs w:val="24"/>
          <w:lang w:val="es-ES_tradnl"/>
        </w:rPr>
        <w:t xml:space="preserve"> está obligado a tener la información en IPOMEX, como a continuación se indica:</w:t>
      </w:r>
    </w:p>
    <w:p w14:paraId="2E1A3C8B" w14:textId="77777777" w:rsidR="000D63CF" w:rsidRPr="00CA130F" w:rsidRDefault="000D63CF" w:rsidP="000D63CF">
      <w:pPr>
        <w:tabs>
          <w:tab w:val="left" w:pos="3828"/>
        </w:tabs>
        <w:spacing w:line="360" w:lineRule="auto"/>
        <w:jc w:val="center"/>
        <w:rPr>
          <w:rFonts w:ascii="Palatino Linotype" w:hAnsi="Palatino Linotype"/>
          <w:bCs/>
          <w:iCs/>
          <w:color w:val="000000"/>
          <w:sz w:val="24"/>
          <w:szCs w:val="24"/>
        </w:rPr>
      </w:pPr>
      <w:r w:rsidRPr="00CA130F">
        <w:rPr>
          <w:noProof/>
          <w:lang w:eastAsia="es-MX"/>
        </w:rPr>
        <w:drawing>
          <wp:inline distT="0" distB="0" distL="0" distR="0" wp14:anchorId="34EA7E8E" wp14:editId="2305EEEB">
            <wp:extent cx="4114089" cy="2416629"/>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8" t="31184" r="57041" b="25968"/>
                    <a:stretch/>
                  </pic:blipFill>
                  <pic:spPr bwMode="auto">
                    <a:xfrm>
                      <a:off x="0" y="0"/>
                      <a:ext cx="4121414" cy="2420932"/>
                    </a:xfrm>
                    <a:prstGeom prst="rect">
                      <a:avLst/>
                    </a:prstGeom>
                    <a:ln>
                      <a:noFill/>
                    </a:ln>
                    <a:extLst>
                      <a:ext uri="{53640926-AAD7-44D8-BBD7-CCE9431645EC}">
                        <a14:shadowObscured xmlns:a14="http://schemas.microsoft.com/office/drawing/2010/main"/>
                      </a:ext>
                    </a:extLst>
                  </pic:spPr>
                </pic:pic>
              </a:graphicData>
            </a:graphic>
          </wp:inline>
        </w:drawing>
      </w:r>
    </w:p>
    <w:p w14:paraId="3F9176F7" w14:textId="77777777" w:rsidR="000D63CF" w:rsidRPr="00CA130F" w:rsidRDefault="000D63CF" w:rsidP="000D63CF">
      <w:pPr>
        <w:tabs>
          <w:tab w:val="left" w:pos="3828"/>
        </w:tabs>
        <w:spacing w:line="360" w:lineRule="auto"/>
        <w:jc w:val="center"/>
        <w:rPr>
          <w:rFonts w:ascii="Palatino Linotype" w:hAnsi="Palatino Linotype"/>
          <w:bCs/>
          <w:iCs/>
          <w:color w:val="000000"/>
          <w:sz w:val="24"/>
          <w:szCs w:val="24"/>
        </w:rPr>
      </w:pPr>
      <w:r w:rsidRPr="00CA130F">
        <w:rPr>
          <w:noProof/>
          <w:lang w:eastAsia="es-MX"/>
        </w:rPr>
        <w:drawing>
          <wp:inline distT="0" distB="0" distL="0" distR="0" wp14:anchorId="35AB8556" wp14:editId="10271787">
            <wp:extent cx="4186359" cy="316230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45" t="31004" r="57037" b="13751"/>
                    <a:stretch/>
                  </pic:blipFill>
                  <pic:spPr bwMode="auto">
                    <a:xfrm>
                      <a:off x="0" y="0"/>
                      <a:ext cx="4208117" cy="3178736"/>
                    </a:xfrm>
                    <a:prstGeom prst="rect">
                      <a:avLst/>
                    </a:prstGeom>
                    <a:ln>
                      <a:noFill/>
                    </a:ln>
                    <a:extLst>
                      <a:ext uri="{53640926-AAD7-44D8-BBD7-CCE9431645EC}">
                        <a14:shadowObscured xmlns:a14="http://schemas.microsoft.com/office/drawing/2010/main"/>
                      </a:ext>
                    </a:extLst>
                  </pic:spPr>
                </pic:pic>
              </a:graphicData>
            </a:graphic>
          </wp:inline>
        </w:drawing>
      </w:r>
    </w:p>
    <w:p w14:paraId="4A8DACBC" w14:textId="77777777" w:rsidR="000D63CF" w:rsidRPr="00CA130F" w:rsidRDefault="000D63CF" w:rsidP="000D63CF">
      <w:pPr>
        <w:tabs>
          <w:tab w:val="left" w:pos="3828"/>
        </w:tabs>
        <w:spacing w:line="360" w:lineRule="auto"/>
        <w:jc w:val="center"/>
        <w:rPr>
          <w:rFonts w:ascii="Palatino Linotype" w:hAnsi="Palatino Linotype"/>
          <w:bCs/>
          <w:iCs/>
          <w:color w:val="000000"/>
          <w:sz w:val="24"/>
          <w:szCs w:val="24"/>
        </w:rPr>
      </w:pPr>
      <w:r w:rsidRPr="00CA130F">
        <w:rPr>
          <w:noProof/>
          <w:lang w:eastAsia="es-MX"/>
        </w:rPr>
        <w:lastRenderedPageBreak/>
        <w:drawing>
          <wp:inline distT="0" distB="0" distL="0" distR="0" wp14:anchorId="46BE3D01" wp14:editId="0B373A97">
            <wp:extent cx="4626978" cy="356235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5" t="30819" r="57145" b="13021"/>
                    <a:stretch/>
                  </pic:blipFill>
                  <pic:spPr bwMode="auto">
                    <a:xfrm>
                      <a:off x="0" y="0"/>
                      <a:ext cx="4649472" cy="3579668"/>
                    </a:xfrm>
                    <a:prstGeom prst="rect">
                      <a:avLst/>
                    </a:prstGeom>
                    <a:ln>
                      <a:noFill/>
                    </a:ln>
                    <a:extLst>
                      <a:ext uri="{53640926-AAD7-44D8-BBD7-CCE9431645EC}">
                        <a14:shadowObscured xmlns:a14="http://schemas.microsoft.com/office/drawing/2010/main"/>
                      </a:ext>
                    </a:extLst>
                  </pic:spPr>
                </pic:pic>
              </a:graphicData>
            </a:graphic>
          </wp:inline>
        </w:drawing>
      </w:r>
    </w:p>
    <w:p w14:paraId="38287B51" w14:textId="77777777" w:rsidR="000D63CF" w:rsidRPr="00CA130F" w:rsidRDefault="000D63CF" w:rsidP="000D63CF">
      <w:pPr>
        <w:tabs>
          <w:tab w:val="left" w:pos="3828"/>
        </w:tabs>
        <w:spacing w:line="360" w:lineRule="auto"/>
        <w:jc w:val="center"/>
        <w:rPr>
          <w:rFonts w:ascii="Palatino Linotype" w:hAnsi="Palatino Linotype"/>
          <w:bCs/>
          <w:iCs/>
          <w:color w:val="000000"/>
          <w:sz w:val="24"/>
          <w:szCs w:val="24"/>
        </w:rPr>
      </w:pPr>
      <w:r w:rsidRPr="00CA130F">
        <w:rPr>
          <w:noProof/>
          <w:lang w:eastAsia="es-MX"/>
        </w:rPr>
        <w:drawing>
          <wp:inline distT="0" distB="0" distL="0" distR="0" wp14:anchorId="60CF638F" wp14:editId="0F2B4157">
            <wp:extent cx="4656402"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8" t="31183" r="56940" b="38003"/>
                    <a:stretch/>
                  </pic:blipFill>
                  <pic:spPr bwMode="auto">
                    <a:xfrm>
                      <a:off x="0" y="0"/>
                      <a:ext cx="4675851" cy="1970346"/>
                    </a:xfrm>
                    <a:prstGeom prst="rect">
                      <a:avLst/>
                    </a:prstGeom>
                    <a:ln>
                      <a:noFill/>
                    </a:ln>
                    <a:extLst>
                      <a:ext uri="{53640926-AAD7-44D8-BBD7-CCE9431645EC}">
                        <a14:shadowObscured xmlns:a14="http://schemas.microsoft.com/office/drawing/2010/main"/>
                      </a:ext>
                    </a:extLst>
                  </pic:spPr>
                </pic:pic>
              </a:graphicData>
            </a:graphic>
          </wp:inline>
        </w:drawing>
      </w:r>
    </w:p>
    <w:p w14:paraId="040FB629" w14:textId="77777777" w:rsidR="006F1EB4" w:rsidRPr="00CA130F" w:rsidRDefault="006F1EB4" w:rsidP="006F1EB4">
      <w:pPr>
        <w:tabs>
          <w:tab w:val="left" w:pos="3828"/>
        </w:tabs>
        <w:spacing w:line="360" w:lineRule="auto"/>
        <w:jc w:val="both"/>
        <w:rPr>
          <w:rFonts w:ascii="Palatino Linotype" w:hAnsi="Palatino Linotype"/>
          <w:bCs/>
          <w:iCs/>
          <w:color w:val="000000"/>
          <w:sz w:val="24"/>
          <w:szCs w:val="24"/>
        </w:rPr>
      </w:pPr>
      <w:r w:rsidRPr="00CA130F">
        <w:rPr>
          <w:rFonts w:ascii="Palatino Linotype" w:hAnsi="Palatino Linotype"/>
          <w:bCs/>
          <w:iCs/>
          <w:color w:val="000000"/>
          <w:sz w:val="24"/>
          <w:szCs w:val="24"/>
        </w:rPr>
        <w:t xml:space="preserve">Derivado del análisis al contenido de las tablas de aplicabilidad se puede advertir que la obligación del Ayuntamiento de Tezoyuca, desde el año 2020 a la fecha ha subsistido y esa información a la fecha debe encontrarse no solo actualizada sino ya disponible para la consulta libre de los particulares a través del portal de IPOMEX, motivo por el </w:t>
      </w:r>
      <w:r w:rsidRPr="00CA130F">
        <w:rPr>
          <w:rFonts w:ascii="Palatino Linotype" w:hAnsi="Palatino Linotype"/>
          <w:bCs/>
          <w:iCs/>
          <w:color w:val="000000"/>
          <w:sz w:val="24"/>
          <w:szCs w:val="24"/>
        </w:rPr>
        <w:lastRenderedPageBreak/>
        <w:t>cual, se procedió a la inspección de dicho portal de información al azar encontrando lo siguiente:</w:t>
      </w:r>
    </w:p>
    <w:p w14:paraId="69CBED4D" w14:textId="77777777" w:rsidR="006F1EB4" w:rsidRPr="00CA130F" w:rsidRDefault="006F1EB4" w:rsidP="006F1EB4">
      <w:pPr>
        <w:tabs>
          <w:tab w:val="left" w:pos="3828"/>
        </w:tabs>
        <w:spacing w:line="360" w:lineRule="auto"/>
        <w:jc w:val="center"/>
        <w:rPr>
          <w:rFonts w:ascii="Palatino Linotype" w:hAnsi="Palatino Linotype"/>
          <w:bCs/>
          <w:iCs/>
          <w:color w:val="000000"/>
          <w:sz w:val="24"/>
          <w:szCs w:val="24"/>
        </w:rPr>
      </w:pPr>
      <w:r w:rsidRPr="00CA130F">
        <w:rPr>
          <w:noProof/>
          <w:lang w:eastAsia="es-MX"/>
        </w:rPr>
        <mc:AlternateContent>
          <mc:Choice Requires="wps">
            <w:drawing>
              <wp:anchor distT="0" distB="0" distL="114300" distR="114300" simplePos="0" relativeHeight="251664384" behindDoc="0" locked="0" layoutInCell="1" allowOverlap="1" wp14:anchorId="097658A9" wp14:editId="1C340BC3">
                <wp:simplePos x="0" y="0"/>
                <wp:positionH relativeFrom="column">
                  <wp:posOffset>1009015</wp:posOffset>
                </wp:positionH>
                <wp:positionV relativeFrom="paragraph">
                  <wp:posOffset>1999615</wp:posOffset>
                </wp:positionV>
                <wp:extent cx="2286000" cy="228600"/>
                <wp:effectExtent l="0" t="0" r="19050" b="19050"/>
                <wp:wrapNone/>
                <wp:docPr id="21" name="Elipse 21"/>
                <wp:cNvGraphicFramePr/>
                <a:graphic xmlns:a="http://schemas.openxmlformats.org/drawingml/2006/main">
                  <a:graphicData uri="http://schemas.microsoft.com/office/word/2010/wordprocessingShape">
                    <wps:wsp>
                      <wps:cNvSpPr/>
                      <wps:spPr>
                        <a:xfrm>
                          <a:off x="0" y="0"/>
                          <a:ext cx="22860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B2662D" id="Elipse 21" o:spid="_x0000_s1026" style="position:absolute;margin-left:79.45pt;margin-top:157.45pt;width:18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" filled="f" strokecolor="#1f4d78 [1604]" strokeweight="1pt">
                <v:stroke joinstyle="miter"/>
              </v:oval>
            </w:pict>
          </mc:Fallback>
        </mc:AlternateContent>
      </w:r>
      <w:r w:rsidRPr="00CA130F">
        <w:rPr>
          <w:noProof/>
          <w:lang w:eastAsia="es-MX"/>
        </w:rPr>
        <w:drawing>
          <wp:inline distT="0" distB="0" distL="0" distR="0" wp14:anchorId="13B3EC71" wp14:editId="78827228">
            <wp:extent cx="5459779" cy="25971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22" t="14041" r="12958" b="23415"/>
                    <a:stretch/>
                  </pic:blipFill>
                  <pic:spPr bwMode="auto">
                    <a:xfrm>
                      <a:off x="0" y="0"/>
                      <a:ext cx="5467545" cy="2600844"/>
                    </a:xfrm>
                    <a:prstGeom prst="rect">
                      <a:avLst/>
                    </a:prstGeom>
                    <a:ln>
                      <a:noFill/>
                    </a:ln>
                    <a:extLst>
                      <a:ext uri="{53640926-AAD7-44D8-BBD7-CCE9431645EC}">
                        <a14:shadowObscured xmlns:a14="http://schemas.microsoft.com/office/drawing/2010/main"/>
                      </a:ext>
                    </a:extLst>
                  </pic:spPr>
                </pic:pic>
              </a:graphicData>
            </a:graphic>
          </wp:inline>
        </w:drawing>
      </w:r>
    </w:p>
    <w:p w14:paraId="4F5B9BD5" w14:textId="77777777" w:rsidR="006F1EB4" w:rsidRPr="00CA130F" w:rsidRDefault="006F1EB4" w:rsidP="006F1EB4">
      <w:pPr>
        <w:tabs>
          <w:tab w:val="left" w:pos="3828"/>
        </w:tabs>
        <w:spacing w:line="360" w:lineRule="auto"/>
        <w:jc w:val="center"/>
        <w:rPr>
          <w:rFonts w:ascii="Palatino Linotype" w:hAnsi="Palatino Linotype"/>
          <w:bCs/>
          <w:iCs/>
          <w:color w:val="000000"/>
          <w:sz w:val="24"/>
          <w:szCs w:val="24"/>
        </w:rPr>
      </w:pPr>
      <w:r w:rsidRPr="00CA130F">
        <w:rPr>
          <w:noProof/>
          <w:lang w:eastAsia="es-MX"/>
        </w:rPr>
        <mc:AlternateContent>
          <mc:Choice Requires="wps">
            <w:drawing>
              <wp:anchor distT="0" distB="0" distL="114300" distR="114300" simplePos="0" relativeHeight="251668480" behindDoc="0" locked="0" layoutInCell="1" allowOverlap="1" wp14:anchorId="3F6250D5" wp14:editId="39C3CF39">
                <wp:simplePos x="0" y="0"/>
                <wp:positionH relativeFrom="column">
                  <wp:posOffset>196215</wp:posOffset>
                </wp:positionH>
                <wp:positionV relativeFrom="paragraph">
                  <wp:posOffset>2943225</wp:posOffset>
                </wp:positionV>
                <wp:extent cx="5594350" cy="1117600"/>
                <wp:effectExtent l="0" t="0" r="25400" b="25400"/>
                <wp:wrapNone/>
                <wp:docPr id="2" name="Conector recto 2"/>
                <wp:cNvGraphicFramePr/>
                <a:graphic xmlns:a="http://schemas.openxmlformats.org/drawingml/2006/main">
                  <a:graphicData uri="http://schemas.microsoft.com/office/word/2010/wordprocessingShape">
                    <wps:wsp>
                      <wps:cNvCnPr/>
                      <wps:spPr>
                        <a:xfrm>
                          <a:off x="0" y="0"/>
                          <a:ext cx="5594350" cy="11176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D0835"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45pt,231.75pt" to="455.9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" strokecolor="#5b9bd5 [3204]" strokeweight="1.5pt">
                <v:stroke joinstyle="miter"/>
              </v:line>
            </w:pict>
          </mc:Fallback>
        </mc:AlternateContent>
      </w:r>
      <w:r w:rsidRPr="00CA130F">
        <w:rPr>
          <w:noProof/>
          <w:lang w:eastAsia="es-MX"/>
        </w:rPr>
        <mc:AlternateContent>
          <mc:Choice Requires="wps">
            <w:drawing>
              <wp:anchor distT="0" distB="0" distL="114300" distR="114300" simplePos="0" relativeHeight="251665408" behindDoc="0" locked="0" layoutInCell="1" allowOverlap="1" wp14:anchorId="27F1A15D" wp14:editId="7BC83696">
                <wp:simplePos x="0" y="0"/>
                <wp:positionH relativeFrom="column">
                  <wp:posOffset>4387215</wp:posOffset>
                </wp:positionH>
                <wp:positionV relativeFrom="paragraph">
                  <wp:posOffset>441325</wp:posOffset>
                </wp:positionV>
                <wp:extent cx="812800" cy="222250"/>
                <wp:effectExtent l="0" t="0" r="25400" b="25400"/>
                <wp:wrapNone/>
                <wp:docPr id="22" name="Elipse 22"/>
                <wp:cNvGraphicFramePr/>
                <a:graphic xmlns:a="http://schemas.openxmlformats.org/drawingml/2006/main">
                  <a:graphicData uri="http://schemas.microsoft.com/office/word/2010/wordprocessingShape">
                    <wps:wsp>
                      <wps:cNvSpPr/>
                      <wps:spPr>
                        <a:xfrm>
                          <a:off x="0" y="0"/>
                          <a:ext cx="812800" cy="222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C0977C" id="Elipse 22" o:spid="_x0000_s1026" style="position:absolute;margin-left:345.45pt;margin-top:34.75pt;width:64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" filled="f" strokecolor="#1f4d78 [1604]" strokeweight="1pt">
                <v:stroke joinstyle="miter"/>
              </v:oval>
            </w:pict>
          </mc:Fallback>
        </mc:AlternateContent>
      </w:r>
      <w:r w:rsidRPr="00CA130F">
        <w:rPr>
          <w:noProof/>
          <w:lang w:eastAsia="es-MX"/>
        </w:rPr>
        <mc:AlternateContent>
          <mc:Choice Requires="wps">
            <w:drawing>
              <wp:anchor distT="0" distB="0" distL="114300" distR="114300" simplePos="0" relativeHeight="251663360" behindDoc="0" locked="0" layoutInCell="1" allowOverlap="1" wp14:anchorId="4AE31579" wp14:editId="04BB9BE7">
                <wp:simplePos x="0" y="0"/>
                <wp:positionH relativeFrom="column">
                  <wp:posOffset>1491615</wp:posOffset>
                </wp:positionH>
                <wp:positionV relativeFrom="paragraph">
                  <wp:posOffset>892175</wp:posOffset>
                </wp:positionV>
                <wp:extent cx="1371600" cy="201881"/>
                <wp:effectExtent l="0" t="0" r="19050" b="27305"/>
                <wp:wrapNone/>
                <wp:docPr id="20" name="Elipse 20"/>
                <wp:cNvGraphicFramePr/>
                <a:graphic xmlns:a="http://schemas.openxmlformats.org/drawingml/2006/main">
                  <a:graphicData uri="http://schemas.microsoft.com/office/word/2010/wordprocessingShape">
                    <wps:wsp>
                      <wps:cNvSpPr/>
                      <wps:spPr>
                        <a:xfrm>
                          <a:off x="0" y="0"/>
                          <a:ext cx="1371600" cy="20188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083A04" id="Elipse 20" o:spid="_x0000_s1026" style="position:absolute;margin-left:117.45pt;margin-top:70.25pt;width:108pt;height:15.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" filled="f" strokecolor="#1f4d78 [1604]" strokeweight="1pt">
                <v:stroke joinstyle="miter"/>
              </v:oval>
            </w:pict>
          </mc:Fallback>
        </mc:AlternateContent>
      </w:r>
      <w:r w:rsidRPr="00CA130F">
        <w:rPr>
          <w:noProof/>
          <w:lang w:eastAsia="es-MX"/>
        </w:rPr>
        <mc:AlternateContent>
          <mc:Choice Requires="wps">
            <w:drawing>
              <wp:anchor distT="0" distB="0" distL="114300" distR="114300" simplePos="0" relativeHeight="251662336" behindDoc="0" locked="0" layoutInCell="1" allowOverlap="1" wp14:anchorId="2C589156" wp14:editId="5CCC4E5B">
                <wp:simplePos x="0" y="0"/>
                <wp:positionH relativeFrom="column">
                  <wp:posOffset>570865</wp:posOffset>
                </wp:positionH>
                <wp:positionV relativeFrom="paragraph">
                  <wp:posOffset>244475</wp:posOffset>
                </wp:positionV>
                <wp:extent cx="1045029" cy="527050"/>
                <wp:effectExtent l="0" t="0" r="22225" b="25400"/>
                <wp:wrapNone/>
                <wp:docPr id="17" name="Elipse 17"/>
                <wp:cNvGraphicFramePr/>
                <a:graphic xmlns:a="http://schemas.openxmlformats.org/drawingml/2006/main">
                  <a:graphicData uri="http://schemas.microsoft.com/office/word/2010/wordprocessingShape">
                    <wps:wsp>
                      <wps:cNvSpPr/>
                      <wps:spPr>
                        <a:xfrm>
                          <a:off x="0" y="0"/>
                          <a:ext cx="1045029" cy="527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500342" id="Elipse 17" o:spid="_x0000_s1026" style="position:absolute;margin-left:44.95pt;margin-top:19.25pt;width:82.3pt;height:4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" filled="f" strokecolor="#1f4d78 [1604]" strokeweight="1pt">
                <v:stroke joinstyle="miter"/>
              </v:oval>
            </w:pict>
          </mc:Fallback>
        </mc:AlternateContent>
      </w:r>
      <w:r w:rsidRPr="00CA130F">
        <w:rPr>
          <w:noProof/>
          <w:lang w:eastAsia="es-MX"/>
        </w:rPr>
        <w:drawing>
          <wp:inline distT="0" distB="0" distL="0" distR="0" wp14:anchorId="24E6E927" wp14:editId="498B4CD1">
            <wp:extent cx="5216018" cy="283845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45" t="21337" r="15311" b="10287"/>
                    <a:stretch/>
                  </pic:blipFill>
                  <pic:spPr bwMode="auto">
                    <a:xfrm>
                      <a:off x="0" y="0"/>
                      <a:ext cx="5224321" cy="2842968"/>
                    </a:xfrm>
                    <a:prstGeom prst="rect">
                      <a:avLst/>
                    </a:prstGeom>
                    <a:ln>
                      <a:noFill/>
                    </a:ln>
                    <a:extLst>
                      <a:ext uri="{53640926-AAD7-44D8-BBD7-CCE9431645EC}">
                        <a14:shadowObscured xmlns:a14="http://schemas.microsoft.com/office/drawing/2010/main"/>
                      </a:ext>
                    </a:extLst>
                  </pic:spPr>
                </pic:pic>
              </a:graphicData>
            </a:graphic>
          </wp:inline>
        </w:drawing>
      </w:r>
    </w:p>
    <w:p w14:paraId="087613B2" w14:textId="77777777" w:rsidR="006F1EB4" w:rsidRPr="00CA130F" w:rsidRDefault="006F1EB4" w:rsidP="006F1EB4">
      <w:pPr>
        <w:tabs>
          <w:tab w:val="left" w:pos="3828"/>
        </w:tabs>
        <w:spacing w:line="360" w:lineRule="auto"/>
        <w:jc w:val="center"/>
        <w:rPr>
          <w:rFonts w:ascii="Palatino Linotype" w:hAnsi="Palatino Linotype"/>
          <w:bCs/>
          <w:iCs/>
          <w:color w:val="000000"/>
          <w:sz w:val="24"/>
          <w:szCs w:val="24"/>
        </w:rPr>
      </w:pPr>
      <w:r w:rsidRPr="00CA130F">
        <w:rPr>
          <w:noProof/>
          <w:lang w:eastAsia="es-MX"/>
        </w:rPr>
        <w:lastRenderedPageBreak/>
        <mc:AlternateContent>
          <mc:Choice Requires="wps">
            <w:drawing>
              <wp:anchor distT="0" distB="0" distL="114300" distR="114300" simplePos="0" relativeHeight="251667456" behindDoc="0" locked="0" layoutInCell="1" allowOverlap="1" wp14:anchorId="000ECAFE" wp14:editId="528E1650">
                <wp:simplePos x="0" y="0"/>
                <wp:positionH relativeFrom="column">
                  <wp:posOffset>1015365</wp:posOffset>
                </wp:positionH>
                <wp:positionV relativeFrom="paragraph">
                  <wp:posOffset>2578100</wp:posOffset>
                </wp:positionV>
                <wp:extent cx="2387600" cy="254000"/>
                <wp:effectExtent l="0" t="0" r="12700" b="12700"/>
                <wp:wrapNone/>
                <wp:docPr id="29" name="Elipse 29"/>
                <wp:cNvGraphicFramePr/>
                <a:graphic xmlns:a="http://schemas.openxmlformats.org/drawingml/2006/main">
                  <a:graphicData uri="http://schemas.microsoft.com/office/word/2010/wordprocessingShape">
                    <wps:wsp>
                      <wps:cNvSpPr/>
                      <wps:spPr>
                        <a:xfrm>
                          <a:off x="0" y="0"/>
                          <a:ext cx="2387600" cy="254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466248" id="Elipse 29" o:spid="_x0000_s1026" style="position:absolute;margin-left:79.95pt;margin-top:203pt;width:188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" filled="f" strokecolor="#1f4d78 [1604]" strokeweight="1pt">
                <v:stroke joinstyle="miter"/>
              </v:oval>
            </w:pict>
          </mc:Fallback>
        </mc:AlternateContent>
      </w:r>
      <w:r w:rsidRPr="00CA130F">
        <w:rPr>
          <w:noProof/>
          <w:lang w:eastAsia="es-MX"/>
        </w:rPr>
        <w:drawing>
          <wp:inline distT="0" distB="0" distL="0" distR="0" wp14:anchorId="2FFAE311" wp14:editId="46E5C8C9">
            <wp:extent cx="5479857" cy="306705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302" t="9484" r="13151" b="16304"/>
                    <a:stretch/>
                  </pic:blipFill>
                  <pic:spPr bwMode="auto">
                    <a:xfrm>
                      <a:off x="0" y="0"/>
                      <a:ext cx="5491752" cy="3073708"/>
                    </a:xfrm>
                    <a:prstGeom prst="rect">
                      <a:avLst/>
                    </a:prstGeom>
                    <a:ln>
                      <a:noFill/>
                    </a:ln>
                    <a:extLst>
                      <a:ext uri="{53640926-AAD7-44D8-BBD7-CCE9431645EC}">
                        <a14:shadowObscured xmlns:a14="http://schemas.microsoft.com/office/drawing/2010/main"/>
                      </a:ext>
                    </a:extLst>
                  </pic:spPr>
                </pic:pic>
              </a:graphicData>
            </a:graphic>
          </wp:inline>
        </w:drawing>
      </w:r>
    </w:p>
    <w:p w14:paraId="34DE5AEC" w14:textId="77777777" w:rsidR="000D63CF" w:rsidRPr="00CA130F" w:rsidRDefault="006F1EB4" w:rsidP="006F1EB4">
      <w:pPr>
        <w:spacing w:before="100" w:beforeAutospacing="1" w:after="100" w:afterAutospacing="1" w:line="360" w:lineRule="auto"/>
        <w:jc w:val="center"/>
        <w:rPr>
          <w:rFonts w:ascii="Palatino Linotype" w:hAnsi="Palatino Linotype"/>
          <w:bCs/>
          <w:iCs/>
          <w:color w:val="000000"/>
          <w:sz w:val="24"/>
          <w:szCs w:val="24"/>
        </w:rPr>
      </w:pPr>
      <w:r w:rsidRPr="00CA130F">
        <w:rPr>
          <w:rFonts w:ascii="Palatino Linotype" w:hAnsi="Palatino Linotype"/>
          <w:bCs/>
          <w:iCs/>
          <w:noProof/>
          <w:color w:val="000000"/>
          <w:sz w:val="24"/>
          <w:szCs w:val="24"/>
          <w:lang w:eastAsia="es-MX"/>
        </w:rPr>
        <mc:AlternateContent>
          <mc:Choice Requires="wps">
            <w:drawing>
              <wp:anchor distT="0" distB="0" distL="114300" distR="114300" simplePos="0" relativeHeight="251669504" behindDoc="0" locked="0" layoutInCell="1" allowOverlap="1" wp14:anchorId="7854970A" wp14:editId="60335A89">
                <wp:simplePos x="0" y="0"/>
                <wp:positionH relativeFrom="column">
                  <wp:posOffset>1440815</wp:posOffset>
                </wp:positionH>
                <wp:positionV relativeFrom="paragraph">
                  <wp:posOffset>1953260</wp:posOffset>
                </wp:positionV>
                <wp:extent cx="3683000" cy="533400"/>
                <wp:effectExtent l="0" t="0" r="12700" b="19050"/>
                <wp:wrapNone/>
                <wp:docPr id="7" name="Elipse 7"/>
                <wp:cNvGraphicFramePr/>
                <a:graphic xmlns:a="http://schemas.openxmlformats.org/drawingml/2006/main">
                  <a:graphicData uri="http://schemas.microsoft.com/office/word/2010/wordprocessingShape">
                    <wps:wsp>
                      <wps:cNvSpPr/>
                      <wps:spPr>
                        <a:xfrm>
                          <a:off x="0" y="0"/>
                          <a:ext cx="3683000" cy="533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327596" id="Elipse 7" o:spid="_x0000_s1026" style="position:absolute;margin-left:113.45pt;margin-top:153.8pt;width:290pt;height:4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" filled="f" strokecolor="#1f4d78 [1604]" strokeweight="1pt">
                <v:stroke joinstyle="miter"/>
              </v:oval>
            </w:pict>
          </mc:Fallback>
        </mc:AlternateContent>
      </w:r>
      <w:r w:rsidRPr="00CA130F">
        <w:rPr>
          <w:rFonts w:ascii="Palatino Linotype" w:hAnsi="Palatino Linotype"/>
          <w:bCs/>
          <w:iCs/>
          <w:noProof/>
          <w:color w:val="000000"/>
          <w:sz w:val="24"/>
          <w:szCs w:val="24"/>
          <w:lang w:eastAsia="es-MX"/>
        </w:rPr>
        <w:drawing>
          <wp:inline distT="0" distB="0" distL="0" distR="0" wp14:anchorId="2D251602" wp14:editId="02CA1536">
            <wp:extent cx="5058888" cy="27432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98" t="24124" r="35987" b="30934"/>
                    <a:stretch/>
                  </pic:blipFill>
                  <pic:spPr bwMode="auto">
                    <a:xfrm>
                      <a:off x="0" y="0"/>
                      <a:ext cx="5064074" cy="2746012"/>
                    </a:xfrm>
                    <a:prstGeom prst="rect">
                      <a:avLst/>
                    </a:prstGeom>
                    <a:ln>
                      <a:noFill/>
                    </a:ln>
                    <a:extLst>
                      <a:ext uri="{53640926-AAD7-44D8-BBD7-CCE9431645EC}">
                        <a14:shadowObscured xmlns:a14="http://schemas.microsoft.com/office/drawing/2010/main"/>
                      </a:ext>
                    </a:extLst>
                  </pic:spPr>
                </pic:pic>
              </a:graphicData>
            </a:graphic>
          </wp:inline>
        </w:drawing>
      </w:r>
    </w:p>
    <w:p w14:paraId="5152DF9B" w14:textId="77777777" w:rsidR="006F1EB4" w:rsidRPr="00CA130F" w:rsidRDefault="006F1EB4" w:rsidP="00435682">
      <w:pPr>
        <w:spacing w:before="100" w:beforeAutospacing="1" w:after="100" w:afterAutospacing="1" w:line="360" w:lineRule="auto"/>
        <w:jc w:val="both"/>
        <w:rPr>
          <w:rFonts w:ascii="Palatino Linotype" w:eastAsia="Arial Unicode MS" w:hAnsi="Palatino Linotype" w:cs="Arial"/>
          <w:color w:val="000000"/>
          <w:sz w:val="24"/>
          <w:szCs w:val="24"/>
        </w:rPr>
      </w:pPr>
      <w:r w:rsidRPr="00CA130F">
        <w:rPr>
          <w:rFonts w:ascii="Palatino Linotype" w:eastAsia="Arial Unicode MS" w:hAnsi="Palatino Linotype" w:cs="Arial"/>
          <w:color w:val="000000"/>
          <w:sz w:val="24"/>
          <w:szCs w:val="24"/>
        </w:rPr>
        <w:t xml:space="preserve">De las imágenes insertas se puede advertir que, el motivo de la solicitud de información del </w:t>
      </w:r>
      <w:r w:rsidR="00090B22" w:rsidRPr="00CA130F">
        <w:rPr>
          <w:rFonts w:ascii="Palatino Linotype" w:eastAsia="Arial Unicode MS" w:hAnsi="Palatino Linotype" w:cs="Arial"/>
          <w:b/>
          <w:color w:val="000000"/>
          <w:sz w:val="24"/>
          <w:szCs w:val="24"/>
        </w:rPr>
        <w:t xml:space="preserve">RECURRENTE </w:t>
      </w:r>
      <w:r w:rsidRPr="00CA130F">
        <w:rPr>
          <w:rFonts w:ascii="Palatino Linotype" w:eastAsia="Arial Unicode MS" w:hAnsi="Palatino Linotype" w:cs="Arial"/>
          <w:color w:val="000000"/>
          <w:sz w:val="24"/>
          <w:szCs w:val="24"/>
        </w:rPr>
        <w:t xml:space="preserve">resulta cierta y que al haber sido omiso </w:t>
      </w:r>
      <w:r w:rsidRPr="00CA130F">
        <w:rPr>
          <w:rFonts w:ascii="Palatino Linotype" w:eastAsia="Arial Unicode MS" w:hAnsi="Palatino Linotype" w:cs="Arial"/>
          <w:b/>
          <w:color w:val="000000"/>
          <w:sz w:val="24"/>
          <w:szCs w:val="24"/>
        </w:rPr>
        <w:t xml:space="preserve">EL SUJETO OBLIGADO </w:t>
      </w:r>
      <w:r w:rsidRPr="00CA130F">
        <w:rPr>
          <w:rFonts w:ascii="Palatino Linotype" w:eastAsia="Arial Unicode MS" w:hAnsi="Palatino Linotype" w:cs="Arial"/>
          <w:color w:val="000000"/>
          <w:sz w:val="24"/>
          <w:szCs w:val="24"/>
        </w:rPr>
        <w:t xml:space="preserve">en dar cumplimiento a la resolución emitida por el Pleno de este Órgano Garante, en </w:t>
      </w:r>
      <w:r w:rsidRPr="00CA130F">
        <w:rPr>
          <w:rFonts w:ascii="Palatino Linotype" w:eastAsia="Arial Unicode MS" w:hAnsi="Palatino Linotype" w:cs="Arial"/>
          <w:color w:val="000000"/>
          <w:sz w:val="24"/>
          <w:szCs w:val="24"/>
        </w:rPr>
        <w:lastRenderedPageBreak/>
        <w:t xml:space="preserve">fecha veinte de enero de dos mil veintiuno, </w:t>
      </w:r>
      <w:r w:rsidR="00090B22" w:rsidRPr="00CA130F">
        <w:rPr>
          <w:rFonts w:ascii="Palatino Linotype" w:eastAsia="Arial Unicode MS" w:hAnsi="Palatino Linotype" w:cs="Arial"/>
          <w:color w:val="000000"/>
          <w:sz w:val="24"/>
          <w:szCs w:val="24"/>
        </w:rPr>
        <w:t xml:space="preserve">denota la falta de interés del mismo en cuanto a dar cumplimiento con lo que la Normatividad en materia de transparencia le constriñe ya sea a generar, documentar o bien a mantener actualizado, en el portal de IPOMEX; motivo por el cual, resulta ocioso entrar al estudio o análisis de cada una de las fracciones que integran el artículo 92 de la Ley de Transparencia y Acceso a la Información Pública del Estado de México y Municipios, y ver si le resultan aplicables o no; pues se ha dejado ver las tablas de aplicabilidad específicas que le constriñen a mantener publicada la información en IPOMEX; o bien el estudiar el o los documentos que pudiera o debería entregar al </w:t>
      </w:r>
      <w:r w:rsidR="00090B22" w:rsidRPr="00CA130F">
        <w:rPr>
          <w:rFonts w:ascii="Palatino Linotype" w:eastAsia="Arial Unicode MS" w:hAnsi="Palatino Linotype" w:cs="Arial"/>
          <w:b/>
          <w:color w:val="000000"/>
          <w:sz w:val="24"/>
          <w:szCs w:val="24"/>
        </w:rPr>
        <w:t xml:space="preserve">RECURRENTE, </w:t>
      </w:r>
      <w:r w:rsidR="00090B22" w:rsidRPr="00CA130F">
        <w:rPr>
          <w:rFonts w:ascii="Palatino Linotype" w:eastAsia="Arial Unicode MS" w:hAnsi="Palatino Linotype" w:cs="Arial"/>
          <w:color w:val="000000"/>
          <w:sz w:val="24"/>
          <w:szCs w:val="24"/>
        </w:rPr>
        <w:t>pues todo lo solicitado se trata de información pública que esta constreñido a generar, poseer y/o administrar en el ejercicio de sus funciones y atribuciones.</w:t>
      </w:r>
    </w:p>
    <w:p w14:paraId="73592F46" w14:textId="77777777" w:rsidR="00090B22" w:rsidRPr="00CA130F" w:rsidRDefault="00090B22" w:rsidP="00435682">
      <w:pPr>
        <w:spacing w:before="100" w:beforeAutospacing="1" w:after="100" w:afterAutospacing="1" w:line="360" w:lineRule="auto"/>
        <w:jc w:val="both"/>
        <w:rPr>
          <w:rFonts w:ascii="Palatino Linotype" w:eastAsia="Arial Unicode MS" w:hAnsi="Palatino Linotype" w:cs="Arial"/>
          <w:color w:val="000000"/>
          <w:sz w:val="24"/>
          <w:szCs w:val="24"/>
        </w:rPr>
      </w:pPr>
      <w:r w:rsidRPr="00CA130F">
        <w:rPr>
          <w:rFonts w:ascii="Palatino Linotype" w:eastAsia="Arial Unicode MS" w:hAnsi="Palatino Linotype" w:cs="Arial"/>
          <w:color w:val="000000"/>
          <w:sz w:val="24"/>
          <w:szCs w:val="24"/>
        </w:rPr>
        <w:t xml:space="preserve">Derivado de ello, este Órgano Garante determina ordenar la entrega de los documentos </w:t>
      </w:r>
      <w:r w:rsidR="00816CC7" w:rsidRPr="00CA130F">
        <w:rPr>
          <w:rFonts w:ascii="Palatino Linotype" w:eastAsia="Arial Unicode MS" w:hAnsi="Palatino Linotype" w:cs="Arial"/>
          <w:color w:val="000000"/>
          <w:sz w:val="24"/>
          <w:szCs w:val="24"/>
        </w:rPr>
        <w:t>en los que conste o pueda constar la información que debería mantener publicada en el portal de IPOMEX correspondiente al segundo semestre del año 2020, en versión pública de ser procedente.</w:t>
      </w:r>
    </w:p>
    <w:p w14:paraId="3F7774D5" w14:textId="77777777" w:rsidR="00816CC7" w:rsidRPr="00CA130F" w:rsidRDefault="00816CC7" w:rsidP="00816CC7">
      <w:pPr>
        <w:spacing w:line="360" w:lineRule="auto"/>
        <w:jc w:val="both"/>
        <w:rPr>
          <w:rFonts w:ascii="Palatino Linotype" w:eastAsia="Arial Unicode MS" w:hAnsi="Palatino Linotype" w:cs="Arial"/>
          <w:sz w:val="24"/>
          <w:szCs w:val="24"/>
        </w:rPr>
      </w:pPr>
      <w:r w:rsidRPr="00CA130F">
        <w:rPr>
          <w:rFonts w:ascii="Palatino Linotype" w:hAnsi="Palatino Linotype"/>
          <w:color w:val="000000"/>
          <w:sz w:val="24"/>
          <w:szCs w:val="24"/>
        </w:rPr>
        <w:t xml:space="preserve">Ahora </w:t>
      </w:r>
      <w:r w:rsidRPr="00CA130F">
        <w:rPr>
          <w:rFonts w:ascii="Palatino Linotype" w:hAnsi="Palatino Linotype" w:cs="Arial"/>
          <w:noProof/>
          <w:sz w:val="24"/>
          <w:szCs w:val="24"/>
        </w:rPr>
        <w:t>bien</w:t>
      </w:r>
      <w:r w:rsidRPr="00CA130F">
        <w:rPr>
          <w:rFonts w:ascii="Palatino Linotype" w:hAnsi="Palatino Linotype"/>
          <w:color w:val="000000"/>
          <w:sz w:val="24"/>
          <w:szCs w:val="24"/>
        </w:rPr>
        <w:t xml:space="preserve">, en relación a la </w:t>
      </w:r>
      <w:r w:rsidRPr="00CA130F">
        <w:rPr>
          <w:rFonts w:ascii="Palatino Linotype" w:hAnsi="Palatino Linotype"/>
          <w:b/>
          <w:color w:val="000000"/>
          <w:sz w:val="24"/>
          <w:szCs w:val="24"/>
        </w:rPr>
        <w:t xml:space="preserve">versión pública </w:t>
      </w:r>
      <w:r w:rsidRPr="00CA130F">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CA130F">
        <w:rPr>
          <w:rFonts w:ascii="Palatino Linotype" w:eastAsia="Arial Unicode MS" w:hAnsi="Palatino Linotype" w:cs="Arial"/>
          <w:sz w:val="24"/>
          <w:szCs w:val="24"/>
        </w:rPr>
        <w:t>omitirse, eliminarse o suprimirse la</w:t>
      </w:r>
      <w:r w:rsidRPr="00CA130F">
        <w:rPr>
          <w:rFonts w:ascii="Palatino Linotype" w:hAnsi="Palatino Linotype"/>
          <w:color w:val="000000"/>
          <w:sz w:val="24"/>
          <w:szCs w:val="24"/>
        </w:rPr>
        <w:t xml:space="preserve"> información </w:t>
      </w:r>
      <w:r w:rsidRPr="00CA130F">
        <w:rPr>
          <w:rFonts w:ascii="Palatino Linotype" w:hAnsi="Palatino Linotype"/>
          <w:b/>
          <w:color w:val="000000"/>
          <w:sz w:val="24"/>
          <w:szCs w:val="24"/>
        </w:rPr>
        <w:t>confidencial</w:t>
      </w:r>
      <w:r w:rsidRPr="00CA130F">
        <w:rPr>
          <w:rFonts w:ascii="Palatino Linotype" w:eastAsia="Arial Unicode MS" w:hAnsi="Palatino Linotype" w:cs="Arial"/>
          <w:sz w:val="24"/>
          <w:szCs w:val="24"/>
        </w:rPr>
        <w:t xml:space="preserve">. </w:t>
      </w:r>
    </w:p>
    <w:p w14:paraId="64C9F880" w14:textId="77777777" w:rsidR="00816CC7" w:rsidRPr="00CA130F" w:rsidRDefault="00816CC7" w:rsidP="00816CC7">
      <w:pPr>
        <w:spacing w:line="360" w:lineRule="auto"/>
        <w:jc w:val="both"/>
        <w:rPr>
          <w:rFonts w:ascii="Palatino Linotype" w:hAnsi="Palatino Linotype" w:cs="Arial"/>
          <w:sz w:val="24"/>
          <w:szCs w:val="24"/>
        </w:rPr>
      </w:pPr>
      <w:r w:rsidRPr="00CA130F">
        <w:rPr>
          <w:rFonts w:ascii="Palatino Linotype" w:eastAsia="Arial Unicode MS" w:hAnsi="Palatino Linotype" w:cs="Arial"/>
          <w:sz w:val="24"/>
          <w:szCs w:val="24"/>
        </w:rPr>
        <w:t xml:space="preserve">En ese sentido, </w:t>
      </w:r>
      <w:r w:rsidRPr="00CA130F">
        <w:rPr>
          <w:rFonts w:ascii="Palatino Linotype" w:hAnsi="Palatino Linotype" w:cs="Arial"/>
          <w:sz w:val="24"/>
          <w:szCs w:val="24"/>
        </w:rPr>
        <w:t>sólo podrán ser testados los datos que actualicen las hipótesis normativas previstas en el artículo 143 d</w:t>
      </w:r>
      <w:r w:rsidRPr="00CA130F">
        <w:rPr>
          <w:rFonts w:ascii="Palatino Linotype" w:hAnsi="Palatino Linotype"/>
          <w:color w:val="000000"/>
          <w:sz w:val="24"/>
          <w:szCs w:val="24"/>
        </w:rPr>
        <w:t>e la Ley de Transparencia y Acceso a la Información Pública del Estado de México y Municipios</w:t>
      </w:r>
      <w:r w:rsidRPr="00CA130F">
        <w:rPr>
          <w:rFonts w:ascii="Palatino Linotype" w:hAnsi="Palatino Linotype" w:cs="Arial"/>
          <w:sz w:val="24"/>
          <w:szCs w:val="24"/>
        </w:rPr>
        <w:t xml:space="preserve">, y deberá procederse a su clasificación mediante las formalidades de Ley, es decir, que el Comité de </w:t>
      </w:r>
      <w:r w:rsidRPr="00CA130F">
        <w:rPr>
          <w:rFonts w:ascii="Palatino Linotype" w:hAnsi="Palatino Linotype" w:cs="Arial"/>
          <w:sz w:val="24"/>
          <w:szCs w:val="24"/>
        </w:rPr>
        <w:lastRenderedPageBreak/>
        <w:t xml:space="preserve">Transparencia del </w:t>
      </w:r>
      <w:r w:rsidRPr="00CA130F">
        <w:rPr>
          <w:rFonts w:ascii="Palatino Linotype" w:hAnsi="Palatino Linotype" w:cs="Arial"/>
          <w:b/>
          <w:sz w:val="24"/>
          <w:szCs w:val="24"/>
        </w:rPr>
        <w:t>SUJETO OBLIGADO</w:t>
      </w:r>
      <w:r w:rsidRPr="00CA130F">
        <w:rPr>
          <w:rFonts w:ascii="Palatino Linotype" w:hAnsi="Palatino Linotype" w:cs="Arial"/>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334F40A2" w14:textId="77777777" w:rsidR="00816CC7" w:rsidRPr="00CA130F" w:rsidRDefault="00816CC7" w:rsidP="00816CC7">
      <w:pPr>
        <w:spacing w:line="360" w:lineRule="auto"/>
        <w:jc w:val="both"/>
        <w:rPr>
          <w:rFonts w:ascii="Palatino Linotype" w:eastAsia="Arial Unicode MS" w:hAnsi="Palatino Linotype" w:cs="Arial"/>
          <w:sz w:val="24"/>
          <w:szCs w:val="24"/>
        </w:rPr>
      </w:pPr>
      <w:r w:rsidRPr="00CA130F">
        <w:rPr>
          <w:rFonts w:ascii="Palatino Linotype" w:hAnsi="Palatino Linotype" w:cs="Arial"/>
          <w:sz w:val="24"/>
          <w:szCs w:val="24"/>
        </w:rPr>
        <w:t xml:space="preserve">Así, respecto de </w:t>
      </w:r>
      <w:r w:rsidRPr="00CA130F">
        <w:rPr>
          <w:rFonts w:ascii="Palatino Linotype" w:eastAsia="Arial Unicode MS" w:hAnsi="Palatino Linotype" w:cs="Arial"/>
          <w:sz w:val="24"/>
          <w:szCs w:val="24"/>
        </w:rPr>
        <w:t xml:space="preserve">los </w:t>
      </w:r>
      <w:r w:rsidRPr="00CA130F">
        <w:rPr>
          <w:rFonts w:ascii="Palatino Linotype" w:hAnsi="Palatino Linotype" w:cs="Arial"/>
          <w:sz w:val="24"/>
          <w:szCs w:val="24"/>
        </w:rPr>
        <w:t>documentos</w:t>
      </w:r>
      <w:r w:rsidRPr="00CA130F">
        <w:rPr>
          <w:rFonts w:ascii="Palatino Linotype" w:eastAsia="Arial Unicode MS" w:hAnsi="Palatino Linotype" w:cs="Arial"/>
          <w:sz w:val="24"/>
          <w:szCs w:val="24"/>
        </w:rPr>
        <w:t xml:space="preserve"> que </w:t>
      </w:r>
      <w:r w:rsidRPr="00CA130F">
        <w:rPr>
          <w:rFonts w:ascii="Palatino Linotype" w:eastAsia="Arial Unicode MS" w:hAnsi="Palatino Linotype" w:cs="Arial"/>
          <w:b/>
          <w:sz w:val="24"/>
          <w:szCs w:val="24"/>
        </w:rPr>
        <w:t xml:space="preserve">EL SUJETO OBLIGADO </w:t>
      </w:r>
      <w:r w:rsidRPr="00CA130F">
        <w:rPr>
          <w:rFonts w:ascii="Palatino Linotype" w:eastAsia="Arial Unicode MS" w:hAnsi="Palatino Linotype" w:cs="Arial"/>
          <w:sz w:val="24"/>
          <w:szCs w:val="24"/>
        </w:rPr>
        <w:t xml:space="preserve">ha de entregar en </w:t>
      </w:r>
      <w:r w:rsidRPr="00CA130F">
        <w:rPr>
          <w:rFonts w:ascii="Palatino Linotype" w:eastAsia="Arial Unicode MS" w:hAnsi="Palatino Linotype" w:cs="Arial"/>
          <w:b/>
          <w:sz w:val="24"/>
          <w:szCs w:val="24"/>
        </w:rPr>
        <w:t>versión pública</w:t>
      </w:r>
      <w:r w:rsidRPr="00CA130F">
        <w:rPr>
          <w:rFonts w:ascii="Palatino Linotype" w:eastAsia="Arial Unicode MS" w:hAnsi="Palatino Linotype" w:cs="Arial"/>
          <w:sz w:val="24"/>
          <w:szCs w:val="24"/>
        </w:rPr>
        <w:t xml:space="preserve">, se deberá omitir, eliminar o suprimir la información personal de los servidores públicos, como Registro Federal de Contribuyentes, CURP, clave del Instituto de Seguridad Social </w:t>
      </w:r>
      <w:r w:rsidRPr="00CA130F">
        <w:rPr>
          <w:rFonts w:ascii="Palatino Linotype" w:hAnsi="Palatino Linotype" w:cs="Arial"/>
          <w:sz w:val="24"/>
          <w:szCs w:val="24"/>
        </w:rPr>
        <w:t>del</w:t>
      </w:r>
      <w:r w:rsidRPr="00CA130F">
        <w:rPr>
          <w:rFonts w:ascii="Palatino Linotype" w:eastAsia="Arial Unicode MS" w:hAnsi="Palatino Linotype" w:cs="Arial"/>
          <w:sz w:val="24"/>
          <w:szCs w:val="24"/>
        </w:rPr>
        <w:t xml:space="preserve"> Estado de México y Municipios, los descuentos que se realicen por pensión alimenticia o deducciones estrictamente legales, personales o de cualquier índole siempre que, </w:t>
      </w:r>
      <w:r w:rsidRPr="00CA130F">
        <w:rPr>
          <w:rFonts w:ascii="Palatino Linotype" w:hAnsi="Palatino Linotype" w:cs="Arial"/>
          <w:sz w:val="24"/>
          <w:szCs w:val="24"/>
        </w:rPr>
        <w:t>no se encuentren relacionados con los impuestos o las cuotas por seguridad social</w:t>
      </w:r>
      <w:r w:rsidRPr="00CA130F">
        <w:rPr>
          <w:rFonts w:ascii="Palatino Linotype" w:eastAsia="Arial Unicode MS" w:hAnsi="Palatino Linotype" w:cs="Arial"/>
          <w:sz w:val="24"/>
          <w:szCs w:val="24"/>
        </w:rPr>
        <w:t xml:space="preserve">, número de cuenta o cualquier otro dato que ponga en riesgo la vida, seguridad y salud de dichas </w:t>
      </w:r>
      <w:r w:rsidRPr="00CA130F">
        <w:rPr>
          <w:rFonts w:ascii="Palatino Linotype" w:hAnsi="Palatino Linotype" w:cs="Arial"/>
          <w:sz w:val="24"/>
          <w:szCs w:val="24"/>
        </w:rPr>
        <w:t>personas</w:t>
      </w:r>
      <w:r w:rsidRPr="00CA130F">
        <w:rPr>
          <w:rFonts w:ascii="Palatino Linotype" w:eastAsia="Arial Unicode MS" w:hAnsi="Palatino Linotype" w:cs="Arial"/>
          <w:sz w:val="24"/>
          <w:szCs w:val="24"/>
        </w:rPr>
        <w:t>.</w:t>
      </w:r>
    </w:p>
    <w:p w14:paraId="026F638B" w14:textId="77777777" w:rsidR="00816CC7" w:rsidRPr="00CA130F" w:rsidRDefault="00816CC7" w:rsidP="00816CC7">
      <w:pPr>
        <w:spacing w:line="360" w:lineRule="auto"/>
        <w:jc w:val="both"/>
        <w:rPr>
          <w:rFonts w:ascii="Palatino Linotype" w:hAnsi="Palatino Linotype" w:cs="Arial"/>
          <w:sz w:val="24"/>
          <w:szCs w:val="24"/>
        </w:rPr>
      </w:pPr>
      <w:r w:rsidRPr="00CA130F">
        <w:rPr>
          <w:rFonts w:ascii="Palatino Linotype" w:hAnsi="Palatino Linotype"/>
          <w:sz w:val="24"/>
          <w:szCs w:val="24"/>
        </w:rPr>
        <w:t xml:space="preserve">En el caso específico de la nómina solicitada, obran datos que son considerados </w:t>
      </w:r>
      <w:r w:rsidRPr="00CA130F">
        <w:rPr>
          <w:rFonts w:ascii="Palatino Linotype" w:hAnsi="Palatino Linotype" w:cs="Arial"/>
          <w:sz w:val="24"/>
          <w:szCs w:val="24"/>
        </w:rPr>
        <w:t>confidenciales</w:t>
      </w:r>
      <w:r w:rsidRPr="00CA130F">
        <w:rPr>
          <w:rFonts w:ascii="Palatino Linotype" w:hAnsi="Palatino Linotype"/>
          <w:sz w:val="24"/>
          <w:szCs w:val="24"/>
        </w:rPr>
        <w:t xml:space="preserve">, cuyo acceso </w:t>
      </w:r>
      <w:r w:rsidRPr="00CA130F">
        <w:rPr>
          <w:rFonts w:ascii="Palatino Linotype" w:hAnsi="Palatino Linotype" w:cs="Arial"/>
          <w:sz w:val="24"/>
          <w:szCs w:val="24"/>
        </w:rPr>
        <w:t>debe</w:t>
      </w:r>
      <w:r w:rsidRPr="00CA130F">
        <w:rPr>
          <w:rFonts w:ascii="Palatino Linotype" w:hAnsi="Palatino Linotype"/>
          <w:sz w:val="24"/>
          <w:szCs w:val="24"/>
        </w:rPr>
        <w:t xml:space="preserve"> ser restringido, los cuales </w:t>
      </w:r>
      <w:r w:rsidRPr="00CA130F">
        <w:rPr>
          <w:rFonts w:ascii="Palatino Linotype" w:hAnsi="Palatino Linotype" w:cs="Arial"/>
          <w:sz w:val="24"/>
          <w:szCs w:val="24"/>
        </w:rPr>
        <w:t xml:space="preserve">deben testarse al momento de la elaboración de versiones públicas, como es el caso del </w:t>
      </w:r>
      <w:r w:rsidRPr="00CA130F">
        <w:rPr>
          <w:rFonts w:ascii="Palatino Linotype" w:hAnsi="Palatino Linotype" w:cs="Arial"/>
          <w:b/>
          <w:sz w:val="24"/>
          <w:szCs w:val="24"/>
        </w:rPr>
        <w:t>Registro Federal de Contribuyentes</w:t>
      </w:r>
      <w:r w:rsidRPr="00CA130F">
        <w:rPr>
          <w:rFonts w:ascii="Palatino Linotype" w:hAnsi="Palatino Linotype" w:cs="Arial"/>
          <w:sz w:val="24"/>
          <w:szCs w:val="24"/>
        </w:rPr>
        <w:t xml:space="preserve"> (RFC), la </w:t>
      </w:r>
      <w:r w:rsidRPr="00CA130F">
        <w:rPr>
          <w:rFonts w:ascii="Palatino Linotype" w:hAnsi="Palatino Linotype" w:cs="Arial"/>
          <w:b/>
          <w:sz w:val="24"/>
          <w:szCs w:val="24"/>
        </w:rPr>
        <w:t>Clave Única de Registro de Población</w:t>
      </w:r>
      <w:r w:rsidRPr="00CA130F">
        <w:rPr>
          <w:rFonts w:ascii="Palatino Linotype" w:hAnsi="Palatino Linotype" w:cs="Arial"/>
          <w:sz w:val="24"/>
          <w:szCs w:val="24"/>
        </w:rPr>
        <w:t xml:space="preserve"> (CURP), la </w:t>
      </w:r>
      <w:r w:rsidRPr="00CA130F">
        <w:rPr>
          <w:rFonts w:ascii="Palatino Linotype" w:hAnsi="Palatino Linotype" w:cs="Arial"/>
          <w:b/>
          <w:sz w:val="24"/>
          <w:szCs w:val="24"/>
        </w:rPr>
        <w:t>Clave de cualquier tipo de seguridad social</w:t>
      </w:r>
      <w:r w:rsidRPr="00CA130F">
        <w:rPr>
          <w:rFonts w:ascii="Palatino Linotype" w:hAnsi="Palatino Linotype" w:cs="Arial"/>
          <w:sz w:val="24"/>
          <w:szCs w:val="24"/>
        </w:rPr>
        <w:t xml:space="preserve"> (ISSEMYM, u otros), así como, los </w:t>
      </w:r>
      <w:r w:rsidRPr="00CA130F">
        <w:rPr>
          <w:rFonts w:ascii="Palatino Linotype" w:hAnsi="Palatino Linotype" w:cs="Arial"/>
          <w:b/>
          <w:sz w:val="24"/>
          <w:szCs w:val="24"/>
        </w:rPr>
        <w:t xml:space="preserve">préstamos o descuentos </w:t>
      </w:r>
      <w:r w:rsidRPr="00CA130F">
        <w:rPr>
          <w:rFonts w:ascii="Palatino Linotype" w:hAnsi="Palatino Linotype" w:cs="Arial"/>
          <w:sz w:val="24"/>
          <w:szCs w:val="24"/>
        </w:rPr>
        <w:t>que se le hagan al servidor público.</w:t>
      </w:r>
    </w:p>
    <w:p w14:paraId="064A7310" w14:textId="77777777" w:rsidR="00816CC7" w:rsidRPr="00CA130F" w:rsidRDefault="00816CC7" w:rsidP="00816CC7">
      <w:pPr>
        <w:spacing w:line="360" w:lineRule="auto"/>
        <w:jc w:val="both"/>
        <w:rPr>
          <w:rFonts w:ascii="Palatino Linotype" w:hAnsi="Palatino Linotype"/>
          <w:sz w:val="24"/>
          <w:szCs w:val="24"/>
        </w:rPr>
      </w:pPr>
      <w:r w:rsidRPr="00CA130F">
        <w:rPr>
          <w:rFonts w:ascii="Palatino Linotype" w:hAnsi="Palatino Linotype" w:cs="Arial"/>
          <w:sz w:val="24"/>
          <w:szCs w:val="24"/>
        </w:rPr>
        <w:lastRenderedPageBreak/>
        <w:t xml:space="preserve">Por cuanto hace al </w:t>
      </w:r>
      <w:r w:rsidRPr="00CA130F">
        <w:rPr>
          <w:rFonts w:ascii="Palatino Linotype" w:hAnsi="Palatino Linotype" w:cs="Arial"/>
          <w:b/>
          <w:sz w:val="24"/>
          <w:szCs w:val="24"/>
        </w:rPr>
        <w:t>Registro Federal de Contribuyentes</w:t>
      </w:r>
      <w:r w:rsidRPr="00CA130F">
        <w:rPr>
          <w:rFonts w:ascii="Palatino Linotype" w:hAnsi="Palatino Linotype" w:cs="Arial"/>
          <w:sz w:val="24"/>
          <w:szCs w:val="24"/>
        </w:rPr>
        <w:t xml:space="preserve"> </w:t>
      </w:r>
      <w:r w:rsidRPr="00CA130F">
        <w:rPr>
          <w:rFonts w:ascii="Palatino Linotype" w:hAnsi="Palatino Linotype" w:cs="Arial"/>
          <w:b/>
          <w:sz w:val="24"/>
          <w:szCs w:val="24"/>
        </w:rPr>
        <w:t>de las personas físicas</w:t>
      </w:r>
      <w:r w:rsidRPr="00CA130F">
        <w:rPr>
          <w:rFonts w:ascii="Palatino Linotype" w:hAnsi="Palatino Linotype" w:cs="Arial"/>
          <w:sz w:val="24"/>
          <w:szCs w:val="24"/>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A130F">
        <w:rPr>
          <w:rFonts w:ascii="Palatino Linotype" w:hAnsi="Palatino Linotype"/>
          <w:sz w:val="24"/>
          <w:szCs w:val="24"/>
        </w:rPr>
        <w:t xml:space="preserve"> y finalmente la homoclave; la cual, para su obtención es necesario acreditar personalidad, fecha de nacimiento entre otros con documentos oficiales.</w:t>
      </w:r>
    </w:p>
    <w:p w14:paraId="712CDCB1" w14:textId="77777777" w:rsidR="00816CC7" w:rsidRPr="00CA130F" w:rsidRDefault="00816CC7" w:rsidP="00816CC7">
      <w:pPr>
        <w:spacing w:line="360" w:lineRule="auto"/>
        <w:jc w:val="both"/>
        <w:rPr>
          <w:rFonts w:ascii="Palatino Linotype" w:hAnsi="Palatino Linotype"/>
          <w:b/>
          <w:bCs/>
          <w:color w:val="000000"/>
          <w:sz w:val="24"/>
          <w:szCs w:val="24"/>
        </w:rPr>
      </w:pPr>
      <w:r w:rsidRPr="00CA130F">
        <w:rPr>
          <w:rFonts w:ascii="Palatino Linotype" w:hAnsi="Palatino Linotype" w:cs="Arial"/>
          <w:sz w:val="24"/>
          <w:szCs w:val="24"/>
        </w:rPr>
        <w:t xml:space="preserve">Al respecto, </w:t>
      </w:r>
      <w:r w:rsidRPr="00CA130F">
        <w:rPr>
          <w:rFonts w:ascii="Palatino Linotype" w:hAnsi="Palatino Linotype" w:cs="Arial"/>
          <w:color w:val="000000"/>
          <w:sz w:val="24"/>
          <w:szCs w:val="24"/>
        </w:rPr>
        <w:t xml:space="preserve">es aplicable el Criterio 19/17 de la Segunda Época, emitido por </w:t>
      </w:r>
      <w:r w:rsidRPr="00CA130F">
        <w:rPr>
          <w:rFonts w:ascii="Palatino Linotype" w:eastAsia="Arial Unicode MS" w:hAnsi="Palatino Linotype" w:cs="Arial"/>
          <w:color w:val="000000"/>
          <w:sz w:val="24"/>
          <w:szCs w:val="24"/>
        </w:rPr>
        <w:t xml:space="preserve">el Instituto Nacional de </w:t>
      </w:r>
      <w:r w:rsidRPr="00CA130F">
        <w:rPr>
          <w:rFonts w:ascii="Palatino Linotype" w:hAnsi="Palatino Linotype"/>
          <w:bCs/>
          <w:sz w:val="24"/>
          <w:szCs w:val="24"/>
        </w:rPr>
        <w:t>Transparencia</w:t>
      </w:r>
      <w:r w:rsidRPr="00CA130F">
        <w:rPr>
          <w:rFonts w:ascii="Palatino Linotype" w:eastAsia="Arial Unicode MS" w:hAnsi="Palatino Linotype" w:cs="Arial"/>
          <w:color w:val="000000"/>
          <w:sz w:val="24"/>
          <w:szCs w:val="24"/>
        </w:rPr>
        <w:t xml:space="preserve">, Acceso a la </w:t>
      </w:r>
      <w:r w:rsidRPr="00CA130F">
        <w:rPr>
          <w:rFonts w:ascii="Palatino Linotype" w:hAnsi="Palatino Linotype" w:cs="Arial"/>
          <w:sz w:val="24"/>
          <w:szCs w:val="24"/>
        </w:rPr>
        <w:t>Información</w:t>
      </w:r>
      <w:r w:rsidRPr="00CA130F">
        <w:rPr>
          <w:rFonts w:ascii="Palatino Linotype" w:eastAsia="Arial Unicode MS" w:hAnsi="Palatino Linotype" w:cs="Arial"/>
          <w:color w:val="000000"/>
          <w:sz w:val="24"/>
          <w:szCs w:val="24"/>
        </w:rPr>
        <w:t xml:space="preserve"> y Protección de Datos Personales,</w:t>
      </w:r>
      <w:r w:rsidRPr="00CA130F">
        <w:rPr>
          <w:rFonts w:ascii="Palatino Linotype" w:hAnsi="Palatino Linotype"/>
          <w:bCs/>
          <w:color w:val="000000"/>
          <w:sz w:val="24"/>
          <w:szCs w:val="24"/>
        </w:rPr>
        <w:t xml:space="preserve"> que dice:</w:t>
      </w:r>
      <w:r w:rsidRPr="00CA130F">
        <w:rPr>
          <w:rFonts w:ascii="Palatino Linotype" w:hAnsi="Palatino Linotype"/>
          <w:b/>
          <w:bCs/>
          <w:color w:val="000000"/>
          <w:sz w:val="24"/>
          <w:szCs w:val="24"/>
        </w:rPr>
        <w:t xml:space="preserve"> </w:t>
      </w:r>
    </w:p>
    <w:p w14:paraId="611B65C1" w14:textId="77777777" w:rsidR="00816CC7" w:rsidRPr="00CA130F" w:rsidRDefault="00816CC7" w:rsidP="00341AF6">
      <w:pPr>
        <w:autoSpaceDE w:val="0"/>
        <w:autoSpaceDN w:val="0"/>
        <w:adjustRightInd w:val="0"/>
        <w:spacing w:after="0" w:line="240" w:lineRule="auto"/>
        <w:ind w:left="851" w:right="902"/>
        <w:jc w:val="both"/>
        <w:rPr>
          <w:rFonts w:ascii="Palatino Linotype" w:hAnsi="Palatino Linotype" w:cs="Arial"/>
          <w:bCs/>
          <w:i/>
        </w:rPr>
      </w:pPr>
      <w:r w:rsidRPr="00CA130F">
        <w:rPr>
          <w:rFonts w:ascii="Palatino Linotype" w:hAnsi="Palatino Linotype" w:cs="Arial"/>
          <w:bCs/>
          <w:i/>
        </w:rPr>
        <w:t>“</w:t>
      </w:r>
      <w:r w:rsidRPr="00CA130F">
        <w:rPr>
          <w:rFonts w:ascii="Palatino Linotype" w:hAnsi="Palatino Linotype" w:cs="Arial"/>
          <w:b/>
          <w:bCs/>
          <w:i/>
        </w:rPr>
        <w:t>Registro Federal de Contribuyentes (RFC) de personas físicas. El RFC es una clave</w:t>
      </w:r>
      <w:r w:rsidRPr="00CA130F">
        <w:rPr>
          <w:rFonts w:ascii="Palatino Linotype" w:hAnsi="Palatino Linotype" w:cs="Arial"/>
          <w:bCs/>
          <w:i/>
        </w:rPr>
        <w:t xml:space="preserve"> de carácter fiscal, única e irrepetible, </w:t>
      </w:r>
      <w:r w:rsidRPr="00CA130F">
        <w:rPr>
          <w:rFonts w:ascii="Palatino Linotype" w:hAnsi="Palatino Linotype" w:cs="Arial"/>
          <w:b/>
          <w:bCs/>
          <w:i/>
        </w:rPr>
        <w:t>que permite identificar al titular, su edad y fecha de nacimiento</w:t>
      </w:r>
      <w:r w:rsidRPr="00CA130F">
        <w:rPr>
          <w:rFonts w:ascii="Palatino Linotype" w:hAnsi="Palatino Linotype" w:cs="Arial"/>
          <w:bCs/>
          <w:i/>
        </w:rPr>
        <w:t xml:space="preserve">, </w:t>
      </w:r>
      <w:r w:rsidRPr="00CA130F">
        <w:rPr>
          <w:rFonts w:ascii="Palatino Linotype" w:hAnsi="Palatino Linotype" w:cs="Arial"/>
          <w:i/>
        </w:rPr>
        <w:t>por</w:t>
      </w:r>
      <w:r w:rsidRPr="00CA130F">
        <w:rPr>
          <w:rFonts w:ascii="Palatino Linotype" w:hAnsi="Palatino Linotype" w:cs="Arial"/>
          <w:bCs/>
          <w:i/>
        </w:rPr>
        <w:t xml:space="preserve"> lo que </w:t>
      </w:r>
      <w:r w:rsidRPr="00CA130F">
        <w:rPr>
          <w:rFonts w:ascii="Palatino Linotype" w:hAnsi="Palatino Linotype" w:cs="Arial"/>
          <w:b/>
          <w:bCs/>
          <w:i/>
        </w:rPr>
        <w:t>es un dato personal de carácter confidencial</w:t>
      </w:r>
      <w:r w:rsidRPr="00CA130F">
        <w:rPr>
          <w:rFonts w:ascii="Palatino Linotype" w:hAnsi="Palatino Linotype" w:cs="Arial"/>
          <w:i/>
        </w:rPr>
        <w:t>.</w:t>
      </w:r>
    </w:p>
    <w:p w14:paraId="731B8A95" w14:textId="77777777" w:rsidR="00816CC7" w:rsidRPr="00CA130F" w:rsidRDefault="00816CC7" w:rsidP="00341AF6">
      <w:pPr>
        <w:autoSpaceDE w:val="0"/>
        <w:autoSpaceDN w:val="0"/>
        <w:adjustRightInd w:val="0"/>
        <w:spacing w:after="0" w:line="240" w:lineRule="auto"/>
        <w:ind w:left="851" w:right="902"/>
        <w:jc w:val="both"/>
        <w:rPr>
          <w:rFonts w:ascii="Palatino Linotype" w:hAnsi="Palatino Linotype" w:cs="Arial"/>
        </w:rPr>
      </w:pPr>
      <w:r w:rsidRPr="00CA130F">
        <w:rPr>
          <w:rFonts w:ascii="Palatino Linotype" w:hAnsi="Palatino Linotype" w:cs="Arial"/>
        </w:rPr>
        <w:t>(Énfasis añadido)</w:t>
      </w:r>
    </w:p>
    <w:p w14:paraId="02A05E6F" w14:textId="77777777" w:rsidR="00816CC7" w:rsidRPr="00CA130F" w:rsidRDefault="00816CC7" w:rsidP="002C3878">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De lo anterior, se desprende que el Registro Federal de Contribuyentes se vincula al nombre de su </w:t>
      </w:r>
      <w:r w:rsidRPr="00CA130F">
        <w:rPr>
          <w:rFonts w:ascii="Palatino Linotype" w:hAnsi="Palatino Linotype"/>
          <w:bCs/>
          <w:sz w:val="24"/>
          <w:szCs w:val="24"/>
        </w:rPr>
        <w:t>titular</w:t>
      </w:r>
      <w:r w:rsidRPr="00CA130F">
        <w:rPr>
          <w:rFonts w:ascii="Palatino Linotype" w:hAnsi="Palatino Linotype" w:cs="Arial"/>
          <w:sz w:val="24"/>
          <w:szCs w:val="24"/>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CA130F">
        <w:rPr>
          <w:rFonts w:ascii="Palatino Linotype" w:hAnsi="Palatino Linotype"/>
          <w:sz w:val="24"/>
          <w:szCs w:val="24"/>
        </w:rPr>
        <w:t>Municipios</w:t>
      </w:r>
      <w:r w:rsidRPr="00CA130F">
        <w:rPr>
          <w:rFonts w:ascii="Palatino Linotype" w:hAnsi="Palatino Linotype" w:cs="Arial"/>
          <w:sz w:val="24"/>
          <w:szCs w:val="24"/>
        </w:rPr>
        <w:t xml:space="preserve"> y 4 fracción XI de la Ley de Protección de Datos Personales en Posesión de Sujetos Obligados del Estado de México y Municipios.</w:t>
      </w:r>
    </w:p>
    <w:p w14:paraId="5D5375CE" w14:textId="77777777" w:rsidR="00816CC7" w:rsidRPr="00CA130F" w:rsidRDefault="00816CC7" w:rsidP="002C3878">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lastRenderedPageBreak/>
        <w:t xml:space="preserve">Por cuanto hace a la </w:t>
      </w:r>
      <w:r w:rsidRPr="00CA130F">
        <w:rPr>
          <w:rFonts w:ascii="Palatino Linotype" w:hAnsi="Palatino Linotype" w:cs="Arial"/>
          <w:b/>
          <w:sz w:val="24"/>
          <w:szCs w:val="24"/>
        </w:rPr>
        <w:t xml:space="preserve">Clave Única de Registro de Población, </w:t>
      </w:r>
      <w:r w:rsidRPr="00CA130F">
        <w:rPr>
          <w:rFonts w:ascii="Palatino Linotype" w:hAnsi="Palatino Linotype" w:cs="Arial"/>
          <w:sz w:val="24"/>
          <w:szCs w:val="24"/>
        </w:rPr>
        <w:t xml:space="preserve">constituye un dato personal, ya que </w:t>
      </w:r>
      <w:r w:rsidRPr="00CA130F">
        <w:rPr>
          <w:rFonts w:ascii="Palatino Linotype" w:hAnsi="Palatino Linotype"/>
          <w:sz w:val="24"/>
          <w:szCs w:val="24"/>
        </w:rPr>
        <w:t>tiene</w:t>
      </w:r>
      <w:r w:rsidRPr="00CA130F">
        <w:rPr>
          <w:rFonts w:ascii="Palatino Linotype" w:hAnsi="Palatino Linotype" w:cs="Arial"/>
          <w:sz w:val="24"/>
          <w:szCs w:val="24"/>
        </w:rPr>
        <w:t xml:space="preserve"> como finalidad registrar a cada una de las personas que integran la población del país, con los datos que permitan certificar y acreditar fehacientemente su identidad, la cual servirá para identificarla de manera individual.</w:t>
      </w:r>
    </w:p>
    <w:p w14:paraId="65DB437E" w14:textId="77777777" w:rsidR="00816CC7" w:rsidRPr="00CA130F" w:rsidRDefault="00816CC7" w:rsidP="002C3878">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Lo </w:t>
      </w:r>
      <w:r w:rsidRPr="00CA130F">
        <w:rPr>
          <w:rFonts w:ascii="Palatino Linotype" w:hAnsi="Palatino Linotype"/>
          <w:sz w:val="24"/>
          <w:szCs w:val="24"/>
        </w:rPr>
        <w:t>anterior</w:t>
      </w:r>
      <w:r w:rsidRPr="00CA130F">
        <w:rPr>
          <w:rFonts w:ascii="Palatino Linotype" w:hAnsi="Palatino Linotype" w:cs="Arial"/>
          <w:sz w:val="24"/>
          <w:szCs w:val="24"/>
        </w:rPr>
        <w:t>, tiene sustento en los artículos 86 y 91 de la Ley General de Población, la cual señala lo siguiente:</w:t>
      </w:r>
    </w:p>
    <w:p w14:paraId="27B91995" w14:textId="77777777" w:rsidR="00816CC7" w:rsidRPr="00CA130F" w:rsidRDefault="00816CC7" w:rsidP="00341AF6">
      <w:pPr>
        <w:autoSpaceDE w:val="0"/>
        <w:autoSpaceDN w:val="0"/>
        <w:adjustRightInd w:val="0"/>
        <w:spacing w:after="0" w:line="240" w:lineRule="auto"/>
        <w:ind w:left="851" w:right="902"/>
        <w:jc w:val="both"/>
        <w:rPr>
          <w:rFonts w:ascii="Palatino Linotype" w:hAnsi="Palatino Linotype" w:cs="Arial"/>
          <w:i/>
        </w:rPr>
      </w:pPr>
      <w:r w:rsidRPr="00CA130F">
        <w:rPr>
          <w:rFonts w:ascii="Palatino Linotype" w:hAnsi="Palatino Linotype" w:cs="Arial,Bold"/>
          <w:bCs/>
          <w:i/>
        </w:rPr>
        <w:t>“</w:t>
      </w:r>
      <w:r w:rsidRPr="00CA130F">
        <w:rPr>
          <w:rFonts w:ascii="Palatino Linotype" w:hAnsi="Palatino Linotype" w:cs="Arial,Bold"/>
          <w:b/>
          <w:bCs/>
          <w:i/>
        </w:rPr>
        <w:t xml:space="preserve">Artículo 86. </w:t>
      </w:r>
      <w:r w:rsidRPr="00CA130F">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14:paraId="031736AF" w14:textId="77777777" w:rsidR="00816CC7" w:rsidRPr="00CA130F" w:rsidRDefault="00816CC7" w:rsidP="00341AF6">
      <w:pPr>
        <w:autoSpaceDE w:val="0"/>
        <w:autoSpaceDN w:val="0"/>
        <w:adjustRightInd w:val="0"/>
        <w:spacing w:after="0" w:line="240" w:lineRule="auto"/>
        <w:ind w:left="851" w:right="902"/>
        <w:jc w:val="both"/>
        <w:rPr>
          <w:rFonts w:ascii="Palatino Linotype" w:hAnsi="Palatino Linotype" w:cs="Arial"/>
          <w:i/>
        </w:rPr>
      </w:pPr>
      <w:r w:rsidRPr="00CA130F">
        <w:rPr>
          <w:rFonts w:ascii="Palatino Linotype" w:hAnsi="Palatino Linotype" w:cs="Arial,Bold"/>
          <w:b/>
          <w:bCs/>
          <w:i/>
        </w:rPr>
        <w:t xml:space="preserve">Artículo 91. </w:t>
      </w:r>
      <w:r w:rsidRPr="00CA130F">
        <w:rPr>
          <w:rFonts w:ascii="Palatino Linotype" w:hAnsi="Palatino Linotype" w:cs="Arial"/>
          <w:b/>
          <w:i/>
          <w:u w:val="single"/>
        </w:rPr>
        <w:t>Al incorporar a una persona en el Registro Nacional de Población</w:t>
      </w:r>
      <w:r w:rsidRPr="00CA130F">
        <w:rPr>
          <w:rFonts w:ascii="Palatino Linotype" w:hAnsi="Palatino Linotype" w:cs="Arial"/>
          <w:i/>
        </w:rPr>
        <w:t xml:space="preserve">, se le asignará una clave </w:t>
      </w:r>
      <w:r w:rsidRPr="00CA130F">
        <w:rPr>
          <w:rFonts w:ascii="Palatino Linotype" w:hAnsi="Palatino Linotype" w:cs="Arial"/>
          <w:b/>
          <w:i/>
          <w:u w:val="single"/>
        </w:rPr>
        <w:t>que se denominará Clave Única de Registro de Población</w:t>
      </w:r>
      <w:r w:rsidRPr="00CA130F">
        <w:rPr>
          <w:rFonts w:ascii="Palatino Linotype" w:hAnsi="Palatino Linotype" w:cs="Arial"/>
          <w:i/>
        </w:rPr>
        <w:t xml:space="preserve">. </w:t>
      </w:r>
      <w:r w:rsidRPr="00CA130F">
        <w:rPr>
          <w:rFonts w:ascii="Palatino Linotype" w:hAnsi="Palatino Linotype" w:cs="Arial"/>
          <w:b/>
          <w:i/>
          <w:u w:val="single"/>
        </w:rPr>
        <w:t>Esta servirá para</w:t>
      </w:r>
      <w:r w:rsidRPr="00CA130F">
        <w:rPr>
          <w:rFonts w:ascii="Palatino Linotype" w:hAnsi="Palatino Linotype" w:cs="Arial"/>
          <w:i/>
        </w:rPr>
        <w:t xml:space="preserve"> registrarla e </w:t>
      </w:r>
      <w:r w:rsidRPr="00CA130F">
        <w:rPr>
          <w:rFonts w:ascii="Palatino Linotype" w:hAnsi="Palatino Linotype" w:cs="Arial"/>
          <w:b/>
          <w:i/>
          <w:u w:val="single"/>
        </w:rPr>
        <w:t>identificarla en forma individual</w:t>
      </w:r>
      <w:r w:rsidRPr="00CA130F">
        <w:rPr>
          <w:rFonts w:ascii="Palatino Linotype" w:hAnsi="Palatino Linotype" w:cs="Arial"/>
          <w:i/>
        </w:rPr>
        <w:t xml:space="preserve">.” </w:t>
      </w:r>
    </w:p>
    <w:p w14:paraId="2C998AFA" w14:textId="77777777" w:rsidR="00816CC7" w:rsidRPr="00CA130F" w:rsidRDefault="00816CC7" w:rsidP="00341AF6">
      <w:pPr>
        <w:autoSpaceDE w:val="0"/>
        <w:autoSpaceDN w:val="0"/>
        <w:adjustRightInd w:val="0"/>
        <w:spacing w:after="0" w:line="240" w:lineRule="auto"/>
        <w:ind w:left="851" w:right="902"/>
        <w:jc w:val="both"/>
        <w:rPr>
          <w:rFonts w:ascii="Palatino Linotype" w:hAnsi="Palatino Linotype" w:cs="Arial"/>
        </w:rPr>
      </w:pPr>
      <w:r w:rsidRPr="00CA130F">
        <w:rPr>
          <w:rFonts w:ascii="Palatino Linotype" w:hAnsi="Palatino Linotype" w:cs="Arial"/>
        </w:rPr>
        <w:t>(Énfasis añadido)</w:t>
      </w:r>
    </w:p>
    <w:p w14:paraId="19756387" w14:textId="77777777" w:rsidR="00816CC7" w:rsidRPr="00CA130F" w:rsidRDefault="00816CC7" w:rsidP="002C3878">
      <w:pPr>
        <w:spacing w:before="100" w:beforeAutospacing="1" w:after="100" w:afterAutospacing="1" w:line="360" w:lineRule="auto"/>
        <w:jc w:val="both"/>
        <w:rPr>
          <w:rFonts w:ascii="Palatino Linotype" w:hAnsi="Palatino Linotype"/>
          <w:sz w:val="24"/>
          <w:szCs w:val="24"/>
        </w:rPr>
      </w:pPr>
      <w:r w:rsidRPr="00CA130F">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w:t>
      </w:r>
      <w:r w:rsidRPr="00CA130F">
        <w:rPr>
          <w:rFonts w:ascii="Palatino Linotype" w:hAnsi="Palatino Linotype"/>
          <w:bCs/>
          <w:sz w:val="24"/>
          <w:szCs w:val="24"/>
        </w:rPr>
        <w:t>identidad</w:t>
      </w:r>
      <w:r w:rsidRPr="00CA130F">
        <w:rPr>
          <w:rFonts w:ascii="Palatino Linotype" w:hAnsi="Palatino Linotype"/>
          <w:sz w:val="24"/>
          <w:szCs w:val="24"/>
        </w:rPr>
        <w:t xml:space="preserve"> (acta de nacimiento, carta de naturalización o documento migratorio), la </w:t>
      </w:r>
      <w:r w:rsidRPr="00CA130F">
        <w:rPr>
          <w:rFonts w:ascii="Palatino Linotype" w:hAnsi="Palatino Linotype" w:cs="Arial"/>
          <w:sz w:val="24"/>
          <w:szCs w:val="24"/>
        </w:rPr>
        <w:t>cual</w:t>
      </w:r>
      <w:r w:rsidRPr="00CA130F">
        <w:rPr>
          <w:rFonts w:ascii="Palatino Linotype" w:hAnsi="Palatino Linotype"/>
          <w:sz w:val="24"/>
          <w:szCs w:val="24"/>
        </w:rPr>
        <w:t xml:space="preserve"> se integra de</w:t>
      </w:r>
      <w:r w:rsidRPr="00CA130F">
        <w:rPr>
          <w:rFonts w:ascii="Palatino Linotype" w:hAnsi="Palatino Linotype" w:cs="Arial"/>
          <w:sz w:val="24"/>
          <w:szCs w:val="24"/>
        </w:rPr>
        <w:t xml:space="preserve"> la primera letra del apellido paterno; seguida de la primera letra Vocal del primer apellido; seguida de la primera letra del segundo apellido y por último la primera letra del nombre; fecha de nacimiento año/mes/día</w:t>
      </w:r>
      <w:r w:rsidRPr="00CA130F">
        <w:rPr>
          <w:rFonts w:ascii="Palatino Linotype" w:hAnsi="Palatino Linotype"/>
          <w:sz w:val="24"/>
          <w:szCs w:val="24"/>
        </w:rPr>
        <w:t xml:space="preserve">; sexo; Entidad Federativa de nacimiento; consonantes internas del nombre y apellidos; un diferenciador de homonimia y siglo; y un digito verificador, que garantizan la correcta integración. </w:t>
      </w:r>
    </w:p>
    <w:p w14:paraId="47780031" w14:textId="77777777" w:rsidR="00816CC7" w:rsidRPr="00CA130F" w:rsidRDefault="00816CC7" w:rsidP="002C3878">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lastRenderedPageBreak/>
        <w:t xml:space="preserve">Al respecto, el </w:t>
      </w:r>
      <w:r w:rsidRPr="00CA130F">
        <w:rPr>
          <w:rFonts w:ascii="Palatino Linotype" w:eastAsia="Arial Unicode MS" w:hAnsi="Palatino Linotype" w:cs="Arial"/>
          <w:sz w:val="24"/>
          <w:szCs w:val="24"/>
        </w:rPr>
        <w:t>Instituto Nacional de Transparencia, Acceso a la Información y Protección de Datos Personales (INAI),</w:t>
      </w:r>
      <w:r w:rsidRPr="00CA130F">
        <w:rPr>
          <w:rFonts w:ascii="Palatino Linotype" w:hAnsi="Palatino Linotype" w:cs="Arial"/>
          <w:sz w:val="24"/>
          <w:szCs w:val="24"/>
        </w:rPr>
        <w:t xml:space="preserve"> a través del Criterio 18/17 de la Segunda Época, señala literalmente lo siguiente:</w:t>
      </w:r>
    </w:p>
    <w:p w14:paraId="61AC42F2" w14:textId="77777777" w:rsidR="00816CC7" w:rsidRPr="00CA130F" w:rsidRDefault="00816CC7" w:rsidP="00816CC7">
      <w:pPr>
        <w:tabs>
          <w:tab w:val="left" w:pos="8222"/>
        </w:tabs>
        <w:autoSpaceDE w:val="0"/>
        <w:autoSpaceDN w:val="0"/>
        <w:adjustRightInd w:val="0"/>
        <w:ind w:left="851" w:right="899"/>
        <w:jc w:val="both"/>
        <w:rPr>
          <w:rFonts w:ascii="Palatino Linotype" w:hAnsi="Palatino Linotype" w:cs="Arial"/>
          <w:i/>
        </w:rPr>
      </w:pPr>
      <w:r w:rsidRPr="00CA130F">
        <w:rPr>
          <w:rFonts w:ascii="Palatino Linotype" w:hAnsi="Palatino Linotype" w:cs="Arial"/>
          <w:i/>
        </w:rPr>
        <w:t>“</w:t>
      </w:r>
      <w:r w:rsidRPr="00CA130F">
        <w:rPr>
          <w:rFonts w:ascii="Palatino Linotype" w:hAnsi="Palatino Linotype" w:cs="Arial"/>
          <w:b/>
          <w:i/>
        </w:rPr>
        <w:t>Clave Única de Registro de Población (CURP).</w:t>
      </w:r>
      <w:r w:rsidRPr="00CA130F">
        <w:rPr>
          <w:rFonts w:ascii="Palatino Linotype" w:hAnsi="Palatino Linotype" w:cs="Arial"/>
          <w:i/>
        </w:rPr>
        <w:t xml:space="preserve"> </w:t>
      </w:r>
      <w:r w:rsidRPr="00CA130F">
        <w:rPr>
          <w:rFonts w:ascii="Palatino Linotype" w:hAnsi="Palatino Linotype" w:cs="Arial"/>
          <w:b/>
          <w:i/>
        </w:rPr>
        <w:t>La Clave Única de Registro de Población se integra por datos personales que sólo conciernen al particular titular</w:t>
      </w:r>
      <w:r w:rsidRPr="00CA130F">
        <w:rPr>
          <w:rFonts w:ascii="Palatino Linotype" w:hAnsi="Palatino Linotype" w:cs="Arial"/>
          <w:i/>
        </w:rPr>
        <w:t xml:space="preserve"> de la misma, </w:t>
      </w:r>
      <w:r w:rsidRPr="00CA130F">
        <w:rPr>
          <w:rFonts w:ascii="Palatino Linotype" w:hAnsi="Palatino Linotype" w:cs="Arial"/>
          <w:b/>
          <w:i/>
        </w:rPr>
        <w:t>como lo son su nombre, apellidos, fecha de nacimiento, lugar de nacimiento y sexo</w:t>
      </w:r>
      <w:r w:rsidRPr="00CA130F">
        <w:rPr>
          <w:rFonts w:ascii="Palatino Linotype" w:hAnsi="Palatino Linotype" w:cs="Arial"/>
          <w:i/>
        </w:rPr>
        <w:t xml:space="preserve">. Dichos datos, constituyen información que distingue plenamente a una persona física del resto de los habitantes del país, </w:t>
      </w:r>
      <w:r w:rsidRPr="00CA130F">
        <w:rPr>
          <w:rFonts w:ascii="Palatino Linotype" w:hAnsi="Palatino Linotype" w:cs="Arial"/>
          <w:b/>
          <w:i/>
        </w:rPr>
        <w:t>por lo que la CURP está considerada como información confidencial</w:t>
      </w:r>
      <w:r w:rsidRPr="00CA130F">
        <w:rPr>
          <w:rFonts w:ascii="Palatino Linotype" w:hAnsi="Palatino Linotype" w:cs="Arial"/>
          <w:i/>
        </w:rPr>
        <w:t xml:space="preserve">. </w:t>
      </w:r>
    </w:p>
    <w:p w14:paraId="28913461" w14:textId="77777777" w:rsidR="00816CC7" w:rsidRPr="00CA130F" w:rsidRDefault="00816CC7" w:rsidP="00816CC7">
      <w:pPr>
        <w:tabs>
          <w:tab w:val="left" w:pos="8222"/>
        </w:tabs>
        <w:autoSpaceDE w:val="0"/>
        <w:autoSpaceDN w:val="0"/>
        <w:adjustRightInd w:val="0"/>
        <w:ind w:left="851" w:right="899"/>
        <w:jc w:val="both"/>
        <w:rPr>
          <w:rFonts w:ascii="Palatino Linotype" w:hAnsi="Palatino Linotype" w:cs="Arial"/>
        </w:rPr>
      </w:pPr>
      <w:r w:rsidRPr="00CA130F">
        <w:rPr>
          <w:rFonts w:ascii="Palatino Linotype" w:hAnsi="Palatino Linotype" w:cs="Arial"/>
        </w:rPr>
        <w:t>(Énfasis añadido)</w:t>
      </w:r>
    </w:p>
    <w:p w14:paraId="65932761" w14:textId="77777777" w:rsidR="00816CC7" w:rsidRPr="00CA130F" w:rsidRDefault="00816CC7" w:rsidP="002C3878">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De lo anterior, se desprende que la </w:t>
      </w:r>
      <w:r w:rsidRPr="00CA130F">
        <w:rPr>
          <w:rFonts w:ascii="Palatino Linotype" w:hAnsi="Palatino Linotype"/>
          <w:sz w:val="24"/>
          <w:szCs w:val="24"/>
        </w:rPr>
        <w:t xml:space="preserve">Clave Única de Registro de Población, </w:t>
      </w:r>
      <w:r w:rsidRPr="00CA130F">
        <w:rPr>
          <w:rFonts w:ascii="Palatino Linotype" w:hAnsi="Palatino Linotype" w:cs="Arial"/>
          <w:sz w:val="24"/>
          <w:szCs w:val="24"/>
        </w:rPr>
        <w:t xml:space="preserve">se encuentra vinculada al nombre y apellidos de la persona, permitiendo identificar fecha y lugar de nacimiento, así como el sexo; datos que únicamente le atañen a su titular, por lo que, ésta constituye un dato </w:t>
      </w:r>
      <w:r w:rsidRPr="00CA130F">
        <w:rPr>
          <w:rFonts w:ascii="Palatino Linotype" w:hAnsi="Palatino Linotype"/>
          <w:bCs/>
          <w:sz w:val="24"/>
          <w:szCs w:val="24"/>
        </w:rPr>
        <w:t>personal</w:t>
      </w:r>
      <w:r w:rsidRPr="00CA130F">
        <w:rPr>
          <w:rFonts w:ascii="Palatino Linotype" w:hAnsi="Palatino Linotype" w:cs="Arial"/>
          <w:sz w:val="24"/>
          <w:szCs w:val="24"/>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95AB2A4" w14:textId="77777777" w:rsidR="00816CC7" w:rsidRPr="00CA130F" w:rsidRDefault="00816CC7" w:rsidP="002C3878">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Por cuanto hace a la </w:t>
      </w:r>
      <w:r w:rsidRPr="00CA130F">
        <w:rPr>
          <w:rFonts w:ascii="Palatino Linotype" w:hAnsi="Palatino Linotype" w:cs="Arial"/>
          <w:b/>
          <w:sz w:val="24"/>
          <w:szCs w:val="24"/>
        </w:rPr>
        <w:t>Clave de cualquier tipo de seguridad social</w:t>
      </w:r>
      <w:r w:rsidRPr="00CA130F">
        <w:rPr>
          <w:rFonts w:ascii="Palatino Linotype" w:hAnsi="Palatino Linotype" w:cs="Arial"/>
          <w:sz w:val="24"/>
          <w:szCs w:val="24"/>
        </w:rPr>
        <w:t xml:space="preserve"> (ISSEMYM, u otros), está integrado por una </w:t>
      </w:r>
      <w:r w:rsidRPr="00CA130F">
        <w:rPr>
          <w:rFonts w:ascii="Palatino Linotype" w:hAnsi="Palatino Linotype" w:cs="Arial"/>
          <w:bCs/>
          <w:sz w:val="24"/>
          <w:szCs w:val="24"/>
        </w:rPr>
        <w:t xml:space="preserve">secuencia de números con los que se identifica a los trabajadores que </w:t>
      </w:r>
      <w:r w:rsidRPr="00CA130F">
        <w:rPr>
          <w:rFonts w:ascii="Palatino Linotype" w:hAnsi="Palatino Linotype"/>
          <w:sz w:val="24"/>
          <w:szCs w:val="24"/>
        </w:rPr>
        <w:t>cubren</w:t>
      </w:r>
      <w:r w:rsidRPr="00CA130F">
        <w:rPr>
          <w:rFonts w:ascii="Palatino Linotype" w:hAnsi="Palatino Linotype" w:cs="Arial"/>
          <w:bCs/>
          <w:sz w:val="24"/>
          <w:szCs w:val="24"/>
        </w:rPr>
        <w:t xml:space="preserve"> las cuotas respectivas, asimismo, lo identifica con la fuente de trabajo; por lo que al ser una clave de </w:t>
      </w:r>
      <w:r w:rsidRPr="00CA130F">
        <w:rPr>
          <w:rFonts w:ascii="Palatino Linotype" w:hAnsi="Palatino Linotype" w:cs="Arial"/>
          <w:sz w:val="24"/>
          <w:szCs w:val="24"/>
        </w:rPr>
        <w:t>identificación</w:t>
      </w:r>
      <w:r w:rsidRPr="00CA130F">
        <w:rPr>
          <w:rFonts w:ascii="Palatino Linotype" w:hAnsi="Palatino Linotype" w:cs="Arial"/>
          <w:bCs/>
          <w:sz w:val="24"/>
          <w:szCs w:val="24"/>
        </w:rPr>
        <w:t xml:space="preserve"> de los trabajadores, constituye información confidencial, </w:t>
      </w:r>
      <w:r w:rsidRPr="00CA130F">
        <w:rPr>
          <w:rFonts w:ascii="Palatino Linotype" w:hAnsi="Palatino Linotype" w:cs="Arial"/>
          <w:sz w:val="24"/>
          <w:szCs w:val="24"/>
        </w:rPr>
        <w:t xml:space="preserve">dato que únicamente le atañe al servidor público, por lo constituye un dato personal que concierne a una persona física identificada e identificable en </w:t>
      </w:r>
      <w:r w:rsidRPr="00CA130F">
        <w:rPr>
          <w:rFonts w:ascii="Palatino Linotype" w:hAnsi="Palatino Linotype" w:cs="Arial"/>
          <w:sz w:val="24"/>
          <w:szCs w:val="24"/>
        </w:rPr>
        <w:lastRenderedPageBreak/>
        <w:t>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78427D5" w14:textId="74B606B4" w:rsidR="00816CC7" w:rsidRPr="00CA130F" w:rsidRDefault="00816CC7" w:rsidP="002C3878">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Respecto de los </w:t>
      </w:r>
      <w:r w:rsidRPr="00CA130F">
        <w:rPr>
          <w:rFonts w:ascii="Palatino Linotype" w:hAnsi="Palatino Linotype" w:cs="Arial"/>
          <w:b/>
          <w:sz w:val="24"/>
          <w:szCs w:val="24"/>
        </w:rPr>
        <w:t>préstamos o descuentos</w:t>
      </w:r>
      <w:r w:rsidRPr="00CA130F">
        <w:rPr>
          <w:rFonts w:ascii="Palatino Linotype" w:hAnsi="Palatino Linotype" w:cs="Arial"/>
          <w:sz w:val="24"/>
          <w:szCs w:val="24"/>
        </w:rPr>
        <w:t xml:space="preserve"> </w:t>
      </w:r>
      <w:r w:rsidRPr="00CA130F">
        <w:rPr>
          <w:rFonts w:ascii="Palatino Linotype" w:hAnsi="Palatino Linotype" w:cs="Arial"/>
          <w:b/>
          <w:sz w:val="24"/>
          <w:szCs w:val="24"/>
        </w:rPr>
        <w:t>de carácter personal</w:t>
      </w:r>
      <w:r w:rsidRPr="00CA130F">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w:t>
      </w:r>
      <w:r w:rsidR="002C3878" w:rsidRPr="00CA130F">
        <w:rPr>
          <w:rFonts w:ascii="Palatino Linotype" w:hAnsi="Palatino Linotype" w:cs="Arial"/>
          <w:sz w:val="24"/>
          <w:szCs w:val="24"/>
        </w:rPr>
        <w:t>de no</w:t>
      </w:r>
      <w:r w:rsidRPr="00CA130F">
        <w:rPr>
          <w:rFonts w:ascii="Palatino Linotype" w:hAnsi="Palatino Linotype" w:cs="Arial"/>
          <w:sz w:val="24"/>
          <w:szCs w:val="24"/>
        </w:rPr>
        <w:t xml:space="preserve"> </w:t>
      </w:r>
      <w:r w:rsidR="00505E9B" w:rsidRPr="00CA130F">
        <w:rPr>
          <w:rFonts w:ascii="Palatino Linotype" w:hAnsi="Palatino Linotype" w:cs="Arial"/>
          <w:sz w:val="24"/>
          <w:szCs w:val="24"/>
        </w:rPr>
        <w:t>favorecer en</w:t>
      </w:r>
      <w:r w:rsidRPr="00CA130F">
        <w:rPr>
          <w:rFonts w:ascii="Palatino Linotype" w:hAnsi="Palatino Linotype" w:cs="Arial"/>
          <w:sz w:val="24"/>
          <w:szCs w:val="24"/>
        </w:rPr>
        <w:t xml:space="preserve"> la transparencia y rendición de cuentas, sino, por el </w:t>
      </w:r>
      <w:r w:rsidR="00505E9B" w:rsidRPr="00CA130F">
        <w:rPr>
          <w:rFonts w:ascii="Palatino Linotype" w:hAnsi="Palatino Linotype" w:cs="Arial"/>
          <w:sz w:val="24"/>
          <w:szCs w:val="24"/>
        </w:rPr>
        <w:t>contrario,</w:t>
      </w:r>
      <w:r w:rsidRPr="00CA130F">
        <w:rPr>
          <w:rFonts w:ascii="Palatino Linotype" w:hAnsi="Palatino Linotype" w:cs="Arial"/>
          <w:sz w:val="24"/>
          <w:szCs w:val="24"/>
        </w:rPr>
        <w:t xml:space="preserve"> con ello se violentaría la</w:t>
      </w:r>
      <w:r w:rsidRPr="00CA130F">
        <w:rPr>
          <w:rFonts w:ascii="Palatino Linotype" w:hAnsi="Palatino Linotype"/>
          <w:sz w:val="24"/>
          <w:szCs w:val="24"/>
        </w:rPr>
        <w:t xml:space="preserve"> </w:t>
      </w:r>
      <w:r w:rsidRPr="00CA130F">
        <w:rPr>
          <w:rFonts w:ascii="Palatino Linotype" w:hAnsi="Palatino Linotype" w:cs="Arial"/>
          <w:sz w:val="24"/>
          <w:szCs w:val="24"/>
        </w:rPr>
        <w:t>protección de información confidencial, porque incide en la intimidad de un individuo</w:t>
      </w:r>
      <w:r w:rsidRPr="00CA130F">
        <w:rPr>
          <w:rFonts w:ascii="Palatino Linotype" w:hAnsi="Palatino Linotype"/>
          <w:sz w:val="24"/>
          <w:szCs w:val="24"/>
        </w:rPr>
        <w:t xml:space="preserve"> </w:t>
      </w:r>
      <w:r w:rsidRPr="00CA130F">
        <w:rPr>
          <w:rFonts w:ascii="Palatino Linotype" w:hAnsi="Palatino Linotype" w:cs="Arial"/>
          <w:sz w:val="24"/>
          <w:szCs w:val="24"/>
        </w:rPr>
        <w:t>identificado.</w:t>
      </w:r>
    </w:p>
    <w:p w14:paraId="73F8B938" w14:textId="77777777" w:rsidR="00816CC7" w:rsidRPr="00CA130F" w:rsidRDefault="00816CC7" w:rsidP="002C3878">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Por su </w:t>
      </w:r>
      <w:r w:rsidRPr="00CA130F">
        <w:rPr>
          <w:rFonts w:ascii="Palatino Linotype" w:hAnsi="Palatino Linotype"/>
          <w:sz w:val="24"/>
          <w:szCs w:val="24"/>
        </w:rPr>
        <w:t>parte</w:t>
      </w:r>
      <w:r w:rsidRPr="00CA130F">
        <w:rPr>
          <w:rFonts w:ascii="Palatino Linotype" w:hAnsi="Palatino Linotype" w:cs="Arial"/>
          <w:sz w:val="24"/>
          <w:szCs w:val="24"/>
        </w:rPr>
        <w:t>, el artículo 84 de la Ley del Trabajo de los Servidores Públicos del Estado y Municipios, señala:</w:t>
      </w:r>
    </w:p>
    <w:p w14:paraId="27E684F1"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b/>
          <w:bCs/>
          <w:i/>
          <w:noProof/>
        </w:rPr>
      </w:pPr>
      <w:r w:rsidRPr="00CA130F">
        <w:rPr>
          <w:rFonts w:ascii="Palatino Linotype" w:hAnsi="Palatino Linotype" w:cs="Arial"/>
          <w:bCs/>
          <w:i/>
          <w:noProof/>
        </w:rPr>
        <w:t>“</w:t>
      </w:r>
      <w:r w:rsidRPr="00CA130F">
        <w:rPr>
          <w:rFonts w:ascii="Palatino Linotype" w:hAnsi="Palatino Linotype" w:cs="Arial"/>
          <w:b/>
          <w:bCs/>
          <w:i/>
          <w:noProof/>
        </w:rPr>
        <w:t>ARTICULO 84. Sólo podrán hacerse retenciones, descuentos o deducciones al sueldo de los servidores públicos por concepto de:</w:t>
      </w:r>
    </w:p>
    <w:p w14:paraId="5186E518"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i/>
        </w:rPr>
      </w:pPr>
      <w:r w:rsidRPr="00CA130F">
        <w:rPr>
          <w:rFonts w:ascii="Palatino Linotype" w:hAnsi="Palatino Linotype" w:cs="Arial"/>
          <w:bCs/>
          <w:i/>
          <w:noProof/>
        </w:rPr>
        <w:t xml:space="preserve">I. </w:t>
      </w:r>
      <w:r w:rsidRPr="00CA130F">
        <w:rPr>
          <w:rFonts w:ascii="Palatino Linotype" w:hAnsi="Palatino Linotype" w:cs="Arial"/>
          <w:i/>
        </w:rPr>
        <w:t>Gravámenes fiscales relacionados con el sueldo;</w:t>
      </w:r>
    </w:p>
    <w:p w14:paraId="3F0FB7DD"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i/>
        </w:rPr>
      </w:pPr>
      <w:r w:rsidRPr="00CA130F">
        <w:rPr>
          <w:rFonts w:ascii="Palatino Linotype" w:hAnsi="Palatino Linotype" w:cs="Arial"/>
          <w:b/>
          <w:i/>
        </w:rPr>
        <w:t>II. Deudas contraídas con las instituciones públicas o dependencias</w:t>
      </w:r>
      <w:r w:rsidRPr="00CA130F">
        <w:rPr>
          <w:rFonts w:ascii="Palatino Linotype" w:hAnsi="Palatino Linotype" w:cs="Arial"/>
          <w:i/>
        </w:rPr>
        <w:t xml:space="preserve"> por concepto de anticipos de sueldo, pagos hechos con exceso, errores o pérdidas debidamente comprobados;</w:t>
      </w:r>
    </w:p>
    <w:p w14:paraId="590D7393"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bCs/>
          <w:i/>
          <w:noProof/>
        </w:rPr>
      </w:pPr>
      <w:r w:rsidRPr="00CA130F">
        <w:rPr>
          <w:rFonts w:ascii="Palatino Linotype" w:hAnsi="Palatino Linotype" w:cs="Arial"/>
          <w:b/>
          <w:i/>
        </w:rPr>
        <w:t>III. Cuotas sindicales</w:t>
      </w:r>
      <w:r w:rsidRPr="00CA130F">
        <w:rPr>
          <w:rFonts w:ascii="Palatino Linotype" w:hAnsi="Palatino Linotype" w:cs="Arial"/>
          <w:bCs/>
          <w:i/>
          <w:noProof/>
        </w:rPr>
        <w:t>;</w:t>
      </w:r>
    </w:p>
    <w:p w14:paraId="7417A385"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bCs/>
          <w:i/>
          <w:noProof/>
        </w:rPr>
      </w:pPr>
      <w:r w:rsidRPr="00CA130F">
        <w:rPr>
          <w:rFonts w:ascii="Palatino Linotype" w:hAnsi="Palatino Linotype" w:cs="Arial"/>
          <w:bCs/>
          <w:i/>
          <w:noProof/>
        </w:rPr>
        <w:t xml:space="preserve">IV. Cuotas de </w:t>
      </w:r>
      <w:r w:rsidRPr="00CA130F">
        <w:rPr>
          <w:rFonts w:ascii="Palatino Linotype" w:hAnsi="Palatino Linotype" w:cs="Arial"/>
          <w:i/>
        </w:rPr>
        <w:t>aportación</w:t>
      </w:r>
      <w:r w:rsidRPr="00CA130F">
        <w:rPr>
          <w:rFonts w:ascii="Palatino Linotype" w:hAnsi="Palatino Linotype" w:cs="Arial"/>
          <w:bCs/>
          <w:i/>
          <w:noProof/>
        </w:rPr>
        <w:t xml:space="preserve"> a fondos para la constitución de cooperativas y de cajas de ahorro, </w:t>
      </w:r>
      <w:r w:rsidRPr="00CA130F">
        <w:rPr>
          <w:rFonts w:ascii="Palatino Linotype" w:hAnsi="Palatino Linotype" w:cs="Arial"/>
          <w:i/>
        </w:rPr>
        <w:t>siempre</w:t>
      </w:r>
      <w:r w:rsidRPr="00CA130F">
        <w:rPr>
          <w:rFonts w:ascii="Palatino Linotype" w:hAnsi="Palatino Linotype" w:cs="Arial"/>
          <w:bCs/>
          <w:i/>
          <w:noProof/>
        </w:rPr>
        <w:t xml:space="preserve"> que el servidor público hubiese manifestado previamente, de manera expresa, su conformidad;</w:t>
      </w:r>
    </w:p>
    <w:p w14:paraId="49E90C58"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bCs/>
          <w:i/>
          <w:noProof/>
        </w:rPr>
      </w:pPr>
      <w:r w:rsidRPr="00CA130F">
        <w:rPr>
          <w:rFonts w:ascii="Palatino Linotype" w:hAnsi="Palatino Linotype" w:cs="Arial"/>
          <w:bCs/>
          <w:i/>
          <w:noProof/>
        </w:rPr>
        <w:t xml:space="preserve">V. Descuentos ordenados por el Instituto de Seguridad Social del Estado de México y </w:t>
      </w:r>
      <w:r w:rsidRPr="00CA130F">
        <w:rPr>
          <w:rFonts w:ascii="Palatino Linotype" w:hAnsi="Palatino Linotype" w:cs="Arial"/>
          <w:i/>
        </w:rPr>
        <w:t>Municipios</w:t>
      </w:r>
      <w:r w:rsidRPr="00CA130F">
        <w:rPr>
          <w:rFonts w:ascii="Palatino Linotype" w:hAnsi="Palatino Linotype" w:cs="Arial"/>
          <w:bCs/>
          <w:i/>
          <w:noProof/>
        </w:rPr>
        <w:t>, con motivo de cuotas y obligaciones contraídas con éste por los servidores públicos;</w:t>
      </w:r>
    </w:p>
    <w:p w14:paraId="0C8B5C85"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b/>
          <w:bCs/>
          <w:i/>
          <w:noProof/>
        </w:rPr>
      </w:pPr>
      <w:r w:rsidRPr="00CA130F">
        <w:rPr>
          <w:rFonts w:ascii="Palatino Linotype" w:hAnsi="Palatino Linotype" w:cs="Arial"/>
          <w:b/>
          <w:bCs/>
          <w:i/>
          <w:noProof/>
        </w:rPr>
        <w:t>VI. Obligaciones a cargo del servidor público con las que haya consentido</w:t>
      </w:r>
      <w:r w:rsidRPr="00CA130F">
        <w:rPr>
          <w:rFonts w:ascii="Palatino Linotype" w:hAnsi="Palatino Linotype" w:cs="Arial"/>
          <w:bCs/>
          <w:i/>
          <w:noProof/>
        </w:rPr>
        <w:t>, derivadas de la adquisición o del uso de habitaciones consideradas como de interés social;</w:t>
      </w:r>
    </w:p>
    <w:p w14:paraId="596917E8"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bCs/>
          <w:i/>
          <w:noProof/>
        </w:rPr>
      </w:pPr>
      <w:r w:rsidRPr="00CA130F">
        <w:rPr>
          <w:rFonts w:ascii="Palatino Linotype" w:hAnsi="Palatino Linotype" w:cs="Arial"/>
          <w:bCs/>
          <w:i/>
          <w:noProof/>
        </w:rPr>
        <w:t xml:space="preserve">VII. Faltas de </w:t>
      </w:r>
      <w:r w:rsidRPr="00CA130F">
        <w:rPr>
          <w:rFonts w:ascii="Palatino Linotype" w:hAnsi="Palatino Linotype" w:cs="Arial"/>
          <w:i/>
        </w:rPr>
        <w:t>puntualidad</w:t>
      </w:r>
      <w:r w:rsidRPr="00CA130F">
        <w:rPr>
          <w:rFonts w:ascii="Palatino Linotype" w:hAnsi="Palatino Linotype" w:cs="Arial"/>
          <w:bCs/>
          <w:i/>
          <w:noProof/>
        </w:rPr>
        <w:t xml:space="preserve"> o </w:t>
      </w:r>
      <w:r w:rsidRPr="00CA130F">
        <w:rPr>
          <w:rFonts w:ascii="Palatino Linotype" w:hAnsi="Palatino Linotype" w:cs="Arial"/>
          <w:i/>
        </w:rPr>
        <w:t>de</w:t>
      </w:r>
      <w:r w:rsidRPr="00CA130F">
        <w:rPr>
          <w:rFonts w:ascii="Palatino Linotype" w:hAnsi="Palatino Linotype" w:cs="Arial"/>
          <w:bCs/>
          <w:i/>
          <w:noProof/>
        </w:rPr>
        <w:t xml:space="preserve"> asistencia injustificadas;</w:t>
      </w:r>
    </w:p>
    <w:p w14:paraId="2FC704F6"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bCs/>
          <w:i/>
          <w:noProof/>
        </w:rPr>
      </w:pPr>
      <w:r w:rsidRPr="00CA130F">
        <w:rPr>
          <w:rFonts w:ascii="Palatino Linotype" w:hAnsi="Palatino Linotype" w:cs="Arial"/>
          <w:b/>
          <w:bCs/>
          <w:i/>
          <w:noProof/>
        </w:rPr>
        <w:lastRenderedPageBreak/>
        <w:t>VIII. Pensiones alimenticias ordenadas por la autoridad judicial;</w:t>
      </w:r>
      <w:r w:rsidRPr="00CA130F">
        <w:rPr>
          <w:rFonts w:ascii="Palatino Linotype" w:hAnsi="Palatino Linotype" w:cs="Arial"/>
          <w:bCs/>
          <w:i/>
          <w:noProof/>
        </w:rPr>
        <w:t xml:space="preserve"> o</w:t>
      </w:r>
    </w:p>
    <w:p w14:paraId="01161781"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b/>
          <w:bCs/>
          <w:i/>
          <w:noProof/>
        </w:rPr>
      </w:pPr>
      <w:r w:rsidRPr="00CA130F">
        <w:rPr>
          <w:rFonts w:ascii="Palatino Linotype" w:hAnsi="Palatino Linotype" w:cs="Arial"/>
          <w:b/>
          <w:bCs/>
          <w:i/>
          <w:noProof/>
        </w:rPr>
        <w:t>IX. Cualquier otro convenido con instituciones de servicios y aceptado por el servidor público.</w:t>
      </w:r>
    </w:p>
    <w:p w14:paraId="479063F0"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bCs/>
          <w:i/>
          <w:noProof/>
        </w:rPr>
      </w:pPr>
    </w:p>
    <w:p w14:paraId="0956D13F"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rPr>
      </w:pPr>
      <w:r w:rsidRPr="00CA130F">
        <w:rPr>
          <w:rFonts w:ascii="Palatino Linotype" w:hAnsi="Palatino Linotype" w:cs="Arial"/>
          <w:bCs/>
          <w:i/>
          <w:noProof/>
        </w:rPr>
        <w:t xml:space="preserve">El monto total de las retenciones, descuentos o deducciones no podrá exceder del 30% de la remuneración total, </w:t>
      </w:r>
      <w:r w:rsidRPr="00CA130F">
        <w:rPr>
          <w:rFonts w:ascii="Palatino Linotype" w:hAnsi="Palatino Linotype" w:cs="Arial"/>
          <w:i/>
        </w:rPr>
        <w:t>excepto</w:t>
      </w:r>
      <w:r w:rsidRPr="00CA130F">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CA130F">
        <w:rPr>
          <w:rFonts w:ascii="Palatino Linotype" w:hAnsi="Palatino Linotype" w:cs="Arial"/>
          <w:i/>
        </w:rPr>
        <w:t>ajustará</w:t>
      </w:r>
      <w:r w:rsidRPr="00CA130F">
        <w:rPr>
          <w:rFonts w:ascii="Palatino Linotype" w:hAnsi="Palatino Linotype" w:cs="Arial"/>
          <w:bCs/>
          <w:i/>
          <w:noProof/>
        </w:rPr>
        <w:t xml:space="preserve"> a lo determinado por la autoridad judicial.” </w:t>
      </w:r>
    </w:p>
    <w:p w14:paraId="62A621C5" w14:textId="77777777" w:rsidR="00816CC7" w:rsidRPr="00CA130F" w:rsidRDefault="00816CC7" w:rsidP="002C3878">
      <w:pPr>
        <w:autoSpaceDE w:val="0"/>
        <w:autoSpaceDN w:val="0"/>
        <w:adjustRightInd w:val="0"/>
        <w:spacing w:after="0" w:line="240" w:lineRule="auto"/>
        <w:ind w:left="851" w:right="902"/>
        <w:jc w:val="both"/>
        <w:rPr>
          <w:rFonts w:ascii="Palatino Linotype" w:hAnsi="Palatino Linotype" w:cs="Arial"/>
        </w:rPr>
      </w:pPr>
      <w:r w:rsidRPr="00CA130F">
        <w:rPr>
          <w:rFonts w:ascii="Palatino Linotype" w:hAnsi="Palatino Linotype" w:cs="Arial"/>
        </w:rPr>
        <w:t>(Énfasis añadido)</w:t>
      </w:r>
    </w:p>
    <w:p w14:paraId="1A6A7223" w14:textId="77777777" w:rsidR="00816CC7" w:rsidRPr="00CA130F" w:rsidRDefault="00816CC7" w:rsidP="00816CC7">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CA130F">
        <w:rPr>
          <w:rFonts w:ascii="Palatino Linotype" w:hAnsi="Palatino Linotype" w:cs="Arial"/>
          <w:b/>
          <w:sz w:val="24"/>
          <w:szCs w:val="24"/>
        </w:rPr>
        <w:t>únicamente inciden en su vida privada</w:t>
      </w:r>
      <w:r w:rsidRPr="00CA130F">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14:paraId="00A96DF4" w14:textId="77777777" w:rsidR="00341AF6" w:rsidRPr="00CA130F" w:rsidRDefault="00341AF6" w:rsidP="00341AF6">
      <w:pPr>
        <w:spacing w:before="100" w:beforeAutospacing="1" w:after="100" w:afterAutospacing="1" w:line="360" w:lineRule="auto"/>
        <w:jc w:val="both"/>
        <w:rPr>
          <w:rFonts w:ascii="Palatino Linotype" w:hAnsi="Palatino Linotype"/>
          <w:sz w:val="24"/>
          <w:szCs w:val="24"/>
          <w:lang w:val="es-ES"/>
        </w:rPr>
      </w:pPr>
      <w:r w:rsidRPr="00CA130F">
        <w:rPr>
          <w:rFonts w:ascii="Palatino Linotype" w:hAnsi="Palatino Linotype" w:cs="Arial"/>
          <w:sz w:val="24"/>
          <w:szCs w:val="24"/>
        </w:rPr>
        <w:t xml:space="preserve">En relación al </w:t>
      </w:r>
      <w:r w:rsidRPr="00CA130F">
        <w:rPr>
          <w:rFonts w:ascii="Palatino Linotype" w:hAnsi="Palatino Linotype" w:cs="Arial"/>
          <w:sz w:val="24"/>
          <w:szCs w:val="24"/>
          <w:lang w:val="es-ES"/>
        </w:rPr>
        <w:t>número de cuenta bancaria</w:t>
      </w:r>
      <w:r w:rsidRPr="00CA130F">
        <w:rPr>
          <w:rFonts w:ascii="Palatino Linotype" w:hAnsi="Palatino Linotype"/>
          <w:sz w:val="24"/>
          <w:szCs w:val="24"/>
          <w:lang w:val="es-ES"/>
        </w:rPr>
        <w:t xml:space="preserve"> de las personas físicas, ésta corresponde a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EEBD6D2" w14:textId="062C10F8" w:rsidR="00341AF6" w:rsidRPr="00CA130F" w:rsidRDefault="00341AF6" w:rsidP="00341AF6">
      <w:pPr>
        <w:autoSpaceDE w:val="0"/>
        <w:autoSpaceDN w:val="0"/>
        <w:adjustRightInd w:val="0"/>
        <w:spacing w:before="100" w:beforeAutospacing="1" w:after="100" w:afterAutospacing="1" w:line="360" w:lineRule="auto"/>
        <w:ind w:right="50"/>
        <w:jc w:val="both"/>
        <w:rPr>
          <w:rFonts w:ascii="Palatino Linotype" w:hAnsi="Palatino Linotype"/>
          <w:sz w:val="24"/>
          <w:szCs w:val="24"/>
          <w:lang w:val="es-ES"/>
        </w:rPr>
      </w:pPr>
      <w:r w:rsidRPr="00CA130F">
        <w:rPr>
          <w:rFonts w:ascii="Palatino Linotype" w:hAnsi="Palatino Linotype"/>
          <w:sz w:val="24"/>
          <w:szCs w:val="24"/>
          <w:lang w:val="es-ES"/>
        </w:rPr>
        <w:t>Por lo anterior, el número de cuenta bancaria debe ser clasificado como confidencial con fundamento en la</w:t>
      </w:r>
      <w:r w:rsidR="00505E9B" w:rsidRPr="00CA130F">
        <w:rPr>
          <w:rFonts w:ascii="Palatino Linotype" w:hAnsi="Palatino Linotype"/>
          <w:sz w:val="24"/>
          <w:szCs w:val="24"/>
          <w:lang w:val="es-ES"/>
        </w:rPr>
        <w:t>s</w:t>
      </w:r>
      <w:r w:rsidRPr="00CA130F">
        <w:rPr>
          <w:rFonts w:ascii="Palatino Linotype" w:hAnsi="Palatino Linotype"/>
          <w:sz w:val="24"/>
          <w:szCs w:val="24"/>
          <w:lang w:val="es-ES"/>
        </w:rPr>
        <w:t xml:space="preserve"> fracciones I y II del artículo 143 de la Ley de la Materia de la Entidad; en razón de que, con su difusión se estaría poniendo en riesgo la seguridad de su titular.</w:t>
      </w:r>
    </w:p>
    <w:p w14:paraId="389D2470" w14:textId="77777777" w:rsidR="00341AF6" w:rsidRPr="00CA130F" w:rsidRDefault="00341AF6" w:rsidP="00341AF6">
      <w:pPr>
        <w:autoSpaceDE w:val="0"/>
        <w:autoSpaceDN w:val="0"/>
        <w:adjustRightInd w:val="0"/>
        <w:spacing w:before="100" w:beforeAutospacing="1" w:after="100" w:afterAutospacing="1" w:line="360" w:lineRule="auto"/>
        <w:ind w:right="51"/>
        <w:jc w:val="both"/>
        <w:rPr>
          <w:rFonts w:ascii="Palatino Linotype" w:hAnsi="Palatino Linotype"/>
          <w:sz w:val="24"/>
          <w:szCs w:val="24"/>
          <w:lang w:val="es-ES"/>
        </w:rPr>
      </w:pPr>
      <w:r w:rsidRPr="00CA130F">
        <w:rPr>
          <w:rFonts w:ascii="Palatino Linotype" w:hAnsi="Palatino Linotype"/>
          <w:sz w:val="24"/>
          <w:szCs w:val="24"/>
          <w:lang w:val="es-ES"/>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F8B9C26" w14:textId="77777777" w:rsidR="00341AF6" w:rsidRPr="00CA130F" w:rsidRDefault="00341AF6" w:rsidP="00341AF6">
      <w:pPr>
        <w:autoSpaceDE w:val="0"/>
        <w:autoSpaceDN w:val="0"/>
        <w:adjustRightInd w:val="0"/>
        <w:spacing w:before="100" w:beforeAutospacing="1" w:after="100" w:afterAutospacing="1" w:line="360" w:lineRule="auto"/>
        <w:ind w:right="50"/>
        <w:jc w:val="both"/>
        <w:rPr>
          <w:rFonts w:ascii="Palatino Linotype" w:hAnsi="Palatino Linotype"/>
          <w:sz w:val="24"/>
          <w:szCs w:val="24"/>
          <w:lang w:val="es-ES"/>
        </w:rPr>
      </w:pPr>
      <w:r w:rsidRPr="00CA130F">
        <w:rPr>
          <w:rFonts w:ascii="Palatino Linotype" w:hAnsi="Palatino Linotype"/>
          <w:sz w:val="24"/>
          <w:szCs w:val="24"/>
          <w:lang w:val="es-ES"/>
        </w:rPr>
        <w:t>Lo anterior encuentra sustento en el criterio 10/17 emitido por el Instituto Nacional de Transparencia y Acceso a la Información Pública del Estado de México y Municipios, que a la letra dicen:</w:t>
      </w:r>
    </w:p>
    <w:p w14:paraId="29F2583D" w14:textId="77777777" w:rsidR="00341AF6" w:rsidRPr="00CA130F" w:rsidRDefault="00341AF6" w:rsidP="002C3878">
      <w:pPr>
        <w:autoSpaceDE w:val="0"/>
        <w:autoSpaceDN w:val="0"/>
        <w:adjustRightInd w:val="0"/>
        <w:ind w:left="851" w:right="899"/>
        <w:jc w:val="both"/>
        <w:rPr>
          <w:rFonts w:ascii="Palatino Linotype" w:hAnsi="Palatino Linotype"/>
          <w:i/>
          <w:lang w:val="es-ES"/>
        </w:rPr>
      </w:pPr>
      <w:r w:rsidRPr="00CA130F">
        <w:rPr>
          <w:rFonts w:ascii="Palatino Linotype" w:hAnsi="Palatino Linotype"/>
          <w:b/>
          <w:i/>
          <w:lang w:val="es-ES"/>
        </w:rPr>
        <w:t>“Cuentas bancarias y/o CLABE interbancaria de personas físicas y morales privadas.</w:t>
      </w:r>
      <w:r w:rsidRPr="00CA130F">
        <w:rPr>
          <w:rFonts w:ascii="Palatino Linotype" w:hAnsi="Palatino Linotype"/>
          <w:i/>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12FEE81" w14:textId="77777777" w:rsidR="00341AF6" w:rsidRPr="00CA130F" w:rsidRDefault="00341AF6" w:rsidP="00341AF6">
      <w:pPr>
        <w:autoSpaceDE w:val="0"/>
        <w:autoSpaceDN w:val="0"/>
        <w:adjustRightInd w:val="0"/>
        <w:spacing w:before="100" w:beforeAutospacing="1" w:after="100" w:afterAutospacing="1" w:line="360" w:lineRule="auto"/>
        <w:ind w:right="50"/>
        <w:jc w:val="both"/>
        <w:rPr>
          <w:rFonts w:ascii="Palatino Linotype" w:hAnsi="Palatino Linotype"/>
          <w:sz w:val="24"/>
          <w:szCs w:val="24"/>
          <w:lang w:val="es-ES"/>
        </w:rPr>
      </w:pPr>
      <w:r w:rsidRPr="00CA130F">
        <w:rPr>
          <w:rFonts w:ascii="Palatino Linotype" w:hAnsi="Palatino Linotype"/>
          <w:sz w:val="24"/>
          <w:szCs w:val="24"/>
          <w:lang w:val="es-ES"/>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w:t>
      </w:r>
      <w:r w:rsidRPr="00CA130F">
        <w:rPr>
          <w:rFonts w:ascii="Palatino Linotype" w:hAnsi="Palatino Linotype"/>
          <w:sz w:val="24"/>
          <w:szCs w:val="24"/>
          <w:lang w:val="es-ES"/>
        </w:rPr>
        <w:lastRenderedPageBreak/>
        <w:t>Información Pública del Estado de México y Municipios, el cual para mayor referencia se inserta a continuación:</w:t>
      </w:r>
    </w:p>
    <w:p w14:paraId="36DDBC9B" w14:textId="77777777" w:rsidR="00341AF6" w:rsidRPr="00CA130F" w:rsidRDefault="00341AF6" w:rsidP="002C3878">
      <w:pPr>
        <w:autoSpaceDE w:val="0"/>
        <w:autoSpaceDN w:val="0"/>
        <w:adjustRightInd w:val="0"/>
        <w:ind w:left="851" w:right="899"/>
        <w:jc w:val="both"/>
        <w:rPr>
          <w:rFonts w:ascii="Palatino Linotype" w:hAnsi="Palatino Linotype"/>
          <w:i/>
          <w:lang w:val="es-ES"/>
        </w:rPr>
      </w:pPr>
      <w:r w:rsidRPr="00CA130F">
        <w:rPr>
          <w:rFonts w:ascii="Palatino Linotype" w:hAnsi="Palatino Linotype"/>
          <w:i/>
          <w:lang w:val="es-ES"/>
        </w:rPr>
        <w:t>“</w:t>
      </w:r>
      <w:r w:rsidRPr="00CA130F">
        <w:rPr>
          <w:rFonts w:ascii="Palatino Linotype" w:hAnsi="Palatino Linotype"/>
          <w:b/>
          <w:i/>
          <w:lang w:val="es-ES"/>
        </w:rPr>
        <w:t>Cuentas bancarias y/o CLABE interbancaria de sujetos obligados que reciben y/o transfieren recursos públicos, son información pública.</w:t>
      </w:r>
      <w:r w:rsidRPr="00CA130F">
        <w:rPr>
          <w:rFonts w:ascii="Palatino Linotype" w:hAnsi="Palatino Linotype"/>
          <w:i/>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w:t>
      </w:r>
      <w:r w:rsidR="002C3878" w:rsidRPr="00CA130F">
        <w:rPr>
          <w:rFonts w:ascii="Palatino Linotype" w:hAnsi="Palatino Linotype"/>
          <w:i/>
          <w:lang w:val="es-ES"/>
        </w:rPr>
        <w:t>clasificada. “</w:t>
      </w:r>
    </w:p>
    <w:p w14:paraId="739955CE" w14:textId="77777777" w:rsidR="00341AF6" w:rsidRPr="00CA130F" w:rsidRDefault="00341AF6" w:rsidP="00341AF6">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Por ende, en el presente caso, </w:t>
      </w:r>
      <w:r w:rsidRPr="00CA130F">
        <w:rPr>
          <w:rFonts w:ascii="Palatino Linotype" w:hAnsi="Palatino Linotype" w:cs="Arial"/>
          <w:b/>
          <w:sz w:val="24"/>
          <w:szCs w:val="24"/>
        </w:rPr>
        <w:t>EL SUJETO OBLIGADO</w:t>
      </w:r>
      <w:r w:rsidRPr="00CA130F">
        <w:rPr>
          <w:rFonts w:ascii="Palatino Linotype" w:hAnsi="Palatino Linotype" w:cs="Arial"/>
          <w:sz w:val="24"/>
          <w:szCs w:val="24"/>
        </w:rPr>
        <w:t xml:space="preserve"> debe testar el número de cuenta bancaria de personas física y morales privadas. </w:t>
      </w:r>
    </w:p>
    <w:p w14:paraId="5C7DB552" w14:textId="77777777" w:rsidR="00341AF6" w:rsidRPr="00CA130F" w:rsidRDefault="00341AF6" w:rsidP="00341AF6">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 xml:space="preserve">Por lo que hace a los </w:t>
      </w:r>
      <w:r w:rsidRPr="00CA130F">
        <w:rPr>
          <w:rFonts w:ascii="Palatino Linotype" w:hAnsi="Palatino Linotype" w:cs="Arial"/>
          <w:b/>
          <w:sz w:val="24"/>
          <w:szCs w:val="24"/>
        </w:rPr>
        <w:t>Códigos Bidimensionales</w:t>
      </w:r>
      <w:r w:rsidRPr="00CA130F">
        <w:rPr>
          <w:rFonts w:ascii="Palatino Linotype" w:hAnsi="Palatino Linotype" w:cs="Arial"/>
          <w:sz w:val="24"/>
          <w:szCs w:val="24"/>
        </w:rPr>
        <w:t xml:space="preserve"> y los denominados </w:t>
      </w:r>
      <w:r w:rsidRPr="00CA130F">
        <w:rPr>
          <w:rFonts w:ascii="Palatino Linotype" w:hAnsi="Palatino Linotype" w:cs="Arial"/>
          <w:b/>
          <w:sz w:val="24"/>
          <w:szCs w:val="24"/>
        </w:rPr>
        <w:t>Códigos QR</w:t>
      </w:r>
      <w:r w:rsidRPr="00CA130F">
        <w:rPr>
          <w:rFonts w:ascii="Palatino Linotype"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CA130F">
        <w:rPr>
          <w:rFonts w:ascii="Palatino Linotype" w:hAnsi="Palatino Linotype" w:cs="Arial"/>
          <w:sz w:val="24"/>
          <w:szCs w:val="24"/>
          <w:lang w:eastAsia="es-MX"/>
        </w:rPr>
        <w:t>datos</w:t>
      </w:r>
      <w:r w:rsidRPr="00CA130F">
        <w:rPr>
          <w:rFonts w:ascii="Palatino Linotype" w:hAnsi="Palatino Linotype" w:cs="Arial"/>
          <w:sz w:val="24"/>
          <w:szCs w:val="24"/>
        </w:rPr>
        <w:t xml:space="preserve"> personales como </w:t>
      </w:r>
      <w:r w:rsidRPr="00CA130F">
        <w:rPr>
          <w:rFonts w:ascii="Palatino Linotype" w:hAnsi="Palatino Linotype" w:cs="Arial"/>
          <w:b/>
          <w:sz w:val="24"/>
          <w:szCs w:val="24"/>
        </w:rPr>
        <w:t>Registro Federal de Contribuyentes</w:t>
      </w:r>
      <w:r w:rsidRPr="00CA130F">
        <w:rPr>
          <w:rFonts w:ascii="Palatino Linotype" w:hAnsi="Palatino Linotype" w:cs="Arial"/>
          <w:sz w:val="24"/>
          <w:szCs w:val="24"/>
        </w:rPr>
        <w:t xml:space="preserve"> (RFC) y la </w:t>
      </w:r>
      <w:r w:rsidRPr="00CA130F">
        <w:rPr>
          <w:rFonts w:ascii="Palatino Linotype" w:hAnsi="Palatino Linotype" w:cs="Arial"/>
          <w:b/>
          <w:sz w:val="24"/>
          <w:szCs w:val="24"/>
        </w:rPr>
        <w:t>Clave Única de Registro de Población</w:t>
      </w:r>
      <w:r w:rsidRPr="00CA130F">
        <w:rPr>
          <w:rFonts w:ascii="Palatino Linotype" w:hAnsi="Palatino Linotype" w:cs="Arial"/>
          <w:sz w:val="24"/>
          <w:szCs w:val="24"/>
        </w:rPr>
        <w:t xml:space="preserve"> (CURP).</w:t>
      </w:r>
    </w:p>
    <w:p w14:paraId="5DA203CC" w14:textId="77777777" w:rsidR="00816CC7" w:rsidRPr="00CA130F" w:rsidRDefault="00816CC7" w:rsidP="00816CC7">
      <w:pPr>
        <w:spacing w:line="360" w:lineRule="auto"/>
        <w:jc w:val="both"/>
        <w:rPr>
          <w:rFonts w:ascii="Palatino Linotype" w:hAnsi="Palatino Linotype" w:cs="Arial"/>
          <w:sz w:val="24"/>
          <w:szCs w:val="24"/>
        </w:rPr>
      </w:pPr>
      <w:r w:rsidRPr="00CA130F">
        <w:rPr>
          <w:rFonts w:ascii="Palatino Linotype" w:hAnsi="Palatino Linotype" w:cs="Arial"/>
          <w:sz w:val="24"/>
          <w:szCs w:val="24"/>
        </w:rPr>
        <w:t xml:space="preserve">Por ende, </w:t>
      </w:r>
      <w:r w:rsidRPr="00CA130F">
        <w:rPr>
          <w:rFonts w:ascii="Palatino Linotype" w:hAnsi="Palatino Linotype" w:cs="Arial"/>
          <w:b/>
          <w:sz w:val="24"/>
          <w:szCs w:val="24"/>
        </w:rPr>
        <w:t>EL SUJETO OBLIGADO</w:t>
      </w:r>
      <w:r w:rsidRPr="00CA130F">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CA130F">
        <w:rPr>
          <w:rFonts w:ascii="Palatino Linotype" w:hAnsi="Palatino Linotype" w:cs="Arial"/>
          <w:noProof/>
          <w:sz w:val="24"/>
          <w:szCs w:val="24"/>
        </w:rPr>
        <w:t>términos</w:t>
      </w:r>
      <w:r w:rsidRPr="00CA130F">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CA130F">
        <w:rPr>
          <w:rFonts w:ascii="Palatino Linotype" w:hAnsi="Palatino Linotype" w:cs="Arial"/>
          <w:sz w:val="24"/>
          <w:szCs w:val="24"/>
        </w:rPr>
        <w:lastRenderedPageBreak/>
        <w:t>de la Información, así como para la elaboración de Versiones Públicas, que literalmente expresan:</w:t>
      </w:r>
    </w:p>
    <w:p w14:paraId="2B78905D" w14:textId="77777777" w:rsidR="00816CC7" w:rsidRPr="00CA130F" w:rsidRDefault="00816CC7" w:rsidP="00341AF6">
      <w:pPr>
        <w:tabs>
          <w:tab w:val="left" w:pos="8222"/>
        </w:tabs>
        <w:spacing w:after="0" w:line="240" w:lineRule="auto"/>
        <w:ind w:left="851" w:right="1134"/>
        <w:jc w:val="center"/>
        <w:rPr>
          <w:rFonts w:ascii="Palatino Linotype" w:hAnsi="Palatino Linotype" w:cs="Arial"/>
          <w:b/>
          <w:i/>
        </w:rPr>
      </w:pPr>
      <w:r w:rsidRPr="00CA130F">
        <w:rPr>
          <w:rFonts w:ascii="Palatino Linotype" w:hAnsi="Palatino Linotype" w:cs="Arial"/>
          <w:b/>
          <w:i/>
        </w:rPr>
        <w:t>Ley de Transparencia y Acceso a la Información Pública del Estado de México y Municipios</w:t>
      </w:r>
    </w:p>
    <w:p w14:paraId="4B46FECD"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i/>
        </w:rPr>
        <w:t>“</w:t>
      </w:r>
      <w:r w:rsidRPr="00CA130F">
        <w:rPr>
          <w:rFonts w:ascii="Palatino Linotype" w:hAnsi="Palatino Linotype" w:cs="Arial"/>
          <w:b/>
          <w:i/>
        </w:rPr>
        <w:t xml:space="preserve">Artículo 49. </w:t>
      </w:r>
      <w:r w:rsidRPr="00CA130F">
        <w:rPr>
          <w:rFonts w:ascii="Palatino Linotype" w:hAnsi="Palatino Linotype" w:cs="Arial"/>
          <w:i/>
        </w:rPr>
        <w:t xml:space="preserve">Los Comités de Transparencia </w:t>
      </w:r>
      <w:r w:rsidRPr="00CA130F">
        <w:rPr>
          <w:rFonts w:ascii="Palatino Linotype" w:hAnsi="Palatino Linotype"/>
          <w:i/>
        </w:rPr>
        <w:t>tendrán</w:t>
      </w:r>
      <w:r w:rsidRPr="00CA130F">
        <w:rPr>
          <w:rFonts w:ascii="Palatino Linotype" w:hAnsi="Palatino Linotype" w:cs="Arial"/>
          <w:i/>
        </w:rPr>
        <w:t xml:space="preserve"> las siguientes atribuciones:</w:t>
      </w:r>
    </w:p>
    <w:p w14:paraId="7DA9CF18"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VIII.</w:t>
      </w:r>
      <w:r w:rsidRPr="00CA130F">
        <w:rPr>
          <w:rFonts w:ascii="Palatino Linotype" w:hAnsi="Palatino Linotype" w:cs="Arial"/>
          <w:i/>
        </w:rPr>
        <w:t xml:space="preserve"> </w:t>
      </w:r>
      <w:r w:rsidRPr="00CA130F">
        <w:rPr>
          <w:rFonts w:ascii="Palatino Linotype" w:hAnsi="Palatino Linotype" w:cs="Arial"/>
          <w:b/>
          <w:i/>
        </w:rPr>
        <w:t>Aprobar</w:t>
      </w:r>
      <w:r w:rsidRPr="00CA130F">
        <w:rPr>
          <w:rFonts w:ascii="Palatino Linotype" w:hAnsi="Palatino Linotype" w:cs="Arial"/>
          <w:i/>
        </w:rPr>
        <w:t>, modificar o revocar la clasificación de la información;</w:t>
      </w:r>
    </w:p>
    <w:p w14:paraId="767AB6A3"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b/>
          <w:i/>
        </w:rPr>
      </w:pPr>
      <w:r w:rsidRPr="00CA130F">
        <w:rPr>
          <w:rFonts w:ascii="Palatino Linotype" w:hAnsi="Palatino Linotype" w:cs="Arial"/>
          <w:b/>
          <w:i/>
        </w:rPr>
        <w:t>Artículo 132.</w:t>
      </w:r>
      <w:r w:rsidRPr="00CA130F">
        <w:rPr>
          <w:rFonts w:ascii="Palatino Linotype" w:hAnsi="Palatino Linotype" w:cs="Arial"/>
          <w:i/>
        </w:rPr>
        <w:t xml:space="preserve"> </w:t>
      </w:r>
      <w:r w:rsidRPr="00CA130F">
        <w:rPr>
          <w:rFonts w:ascii="Palatino Linotype" w:hAnsi="Palatino Linotype" w:cs="Arial"/>
          <w:b/>
          <w:i/>
        </w:rPr>
        <w:t>La clasificación de la información se llevará a cabo en el momento en que:</w:t>
      </w:r>
    </w:p>
    <w:p w14:paraId="5CBD9335"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i/>
        </w:rPr>
        <w:t>…</w:t>
      </w:r>
    </w:p>
    <w:p w14:paraId="6FC54C2A"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II.</w:t>
      </w:r>
      <w:r w:rsidRPr="00CA130F">
        <w:rPr>
          <w:rFonts w:ascii="Palatino Linotype" w:hAnsi="Palatino Linotype" w:cs="Arial"/>
          <w:i/>
        </w:rPr>
        <w:t xml:space="preserve"> Se determine mediante resolución de autoridad competente; o</w:t>
      </w:r>
    </w:p>
    <w:p w14:paraId="7F07E762"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p>
    <w:p w14:paraId="6D448BD1"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III</w:t>
      </w:r>
      <w:r w:rsidRPr="00CA130F">
        <w:rPr>
          <w:rFonts w:ascii="Palatino Linotype" w:hAnsi="Palatino Linotype" w:cs="Arial"/>
          <w:i/>
        </w:rPr>
        <w:t xml:space="preserve">. </w:t>
      </w:r>
      <w:r w:rsidRPr="00CA130F">
        <w:rPr>
          <w:rFonts w:ascii="Palatino Linotype" w:hAnsi="Palatino Linotype" w:cs="Arial"/>
          <w:b/>
          <w:i/>
        </w:rPr>
        <w:t>Se generen versiones públicas para dar cumplimiento a las obligaciones de transparencia previstas en esta Ley</w:t>
      </w:r>
      <w:r w:rsidRPr="00CA130F">
        <w:rPr>
          <w:rFonts w:ascii="Palatino Linotype" w:hAnsi="Palatino Linotype" w:cs="Arial"/>
          <w:i/>
        </w:rPr>
        <w:t>.”</w:t>
      </w:r>
    </w:p>
    <w:p w14:paraId="79B4BC72"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p>
    <w:p w14:paraId="25AE546E" w14:textId="77777777" w:rsidR="00816CC7" w:rsidRPr="00CA130F" w:rsidRDefault="00816CC7" w:rsidP="00341AF6">
      <w:pPr>
        <w:tabs>
          <w:tab w:val="left" w:pos="8222"/>
        </w:tabs>
        <w:spacing w:after="0" w:line="240" w:lineRule="auto"/>
        <w:ind w:left="851" w:right="1134"/>
        <w:jc w:val="center"/>
        <w:rPr>
          <w:rFonts w:ascii="Palatino Linotype" w:hAnsi="Palatino Linotype" w:cs="Arial"/>
          <w:b/>
          <w:i/>
        </w:rPr>
      </w:pPr>
      <w:r w:rsidRPr="00CA130F">
        <w:rPr>
          <w:rFonts w:ascii="Palatino Linotype" w:hAnsi="Palatino Linotype" w:cs="Arial"/>
          <w:b/>
          <w:i/>
        </w:rPr>
        <w:t>Lineamientos Generales en materia de Clasificación y Desclasificación de la Información</w:t>
      </w:r>
    </w:p>
    <w:p w14:paraId="2BE9D2E8"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i/>
        </w:rPr>
        <w:t>“</w:t>
      </w:r>
      <w:r w:rsidRPr="00CA130F">
        <w:rPr>
          <w:rFonts w:ascii="Palatino Linotype" w:hAnsi="Palatino Linotype" w:cs="Arial"/>
          <w:b/>
          <w:i/>
        </w:rPr>
        <w:t>Segundo.-</w:t>
      </w:r>
      <w:r w:rsidRPr="00CA130F">
        <w:rPr>
          <w:rFonts w:ascii="Palatino Linotype" w:hAnsi="Palatino Linotype" w:cs="Arial"/>
          <w:i/>
        </w:rPr>
        <w:t xml:space="preserve"> Para efectos de los presentes Lineamientos Generales, se entenderá por:</w:t>
      </w:r>
    </w:p>
    <w:p w14:paraId="444CEB0B"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XVIII.</w:t>
      </w:r>
      <w:r w:rsidRPr="00CA130F">
        <w:rPr>
          <w:rFonts w:ascii="Palatino Linotype" w:hAnsi="Palatino Linotype" w:cs="Arial"/>
          <w:i/>
        </w:rPr>
        <w:t xml:space="preserve"> </w:t>
      </w:r>
      <w:r w:rsidRPr="00CA130F">
        <w:rPr>
          <w:rFonts w:ascii="Palatino Linotype" w:hAnsi="Palatino Linotype" w:cs="Arial"/>
          <w:b/>
          <w:i/>
        </w:rPr>
        <w:t>Versión pública:</w:t>
      </w:r>
      <w:r w:rsidRPr="00CA130F">
        <w:rPr>
          <w:rFonts w:ascii="Palatino Linotype" w:hAnsi="Palatino Linotype" w:cs="Arial"/>
          <w:i/>
        </w:rPr>
        <w:t xml:space="preserve"> El </w:t>
      </w:r>
      <w:r w:rsidRPr="00CA130F">
        <w:rPr>
          <w:rFonts w:ascii="Palatino Linotype" w:hAnsi="Palatino Linotype" w:cs="Arial"/>
          <w:bCs/>
          <w:i/>
          <w:noProof/>
        </w:rPr>
        <w:t>documento</w:t>
      </w:r>
      <w:r w:rsidRPr="00CA130F">
        <w:rPr>
          <w:rFonts w:ascii="Palatino Linotype" w:hAnsi="Palatino Linotype" w:cs="Arial"/>
          <w:i/>
        </w:rPr>
        <w:t xml:space="preserve"> a partir del que se otorga acceso a la información, en el que se testan partes o secciones clasificadas, indicando el contenido de éstas de manera genérica, </w:t>
      </w:r>
      <w:r w:rsidRPr="00CA130F">
        <w:rPr>
          <w:rFonts w:ascii="Palatino Linotype" w:hAnsi="Palatino Linotype" w:cs="Arial"/>
          <w:b/>
          <w:i/>
        </w:rPr>
        <w:t>fundando y motivando la</w:t>
      </w:r>
      <w:r w:rsidRPr="00CA130F">
        <w:rPr>
          <w:rFonts w:ascii="Palatino Linotype" w:hAnsi="Palatino Linotype" w:cs="Arial"/>
          <w:i/>
        </w:rPr>
        <w:t xml:space="preserve"> reserva o </w:t>
      </w:r>
      <w:r w:rsidRPr="00CA130F">
        <w:rPr>
          <w:rFonts w:ascii="Palatino Linotype" w:hAnsi="Palatino Linotype" w:cs="Arial"/>
          <w:b/>
          <w:i/>
        </w:rPr>
        <w:t>confidencialidad</w:t>
      </w:r>
      <w:r w:rsidRPr="00CA130F">
        <w:rPr>
          <w:rFonts w:ascii="Palatino Linotype" w:hAnsi="Palatino Linotype" w:cs="Arial"/>
          <w:i/>
        </w:rPr>
        <w:t xml:space="preserve">, a través de la resolución que para tal efecto emita el </w:t>
      </w:r>
      <w:r w:rsidRPr="00CA130F">
        <w:rPr>
          <w:rFonts w:ascii="Palatino Linotype" w:hAnsi="Palatino Linotype" w:cs="Arial"/>
          <w:bCs/>
          <w:i/>
          <w:noProof/>
        </w:rPr>
        <w:t>Comité</w:t>
      </w:r>
      <w:r w:rsidRPr="00CA130F">
        <w:rPr>
          <w:rFonts w:ascii="Palatino Linotype" w:hAnsi="Palatino Linotype" w:cs="Arial"/>
          <w:i/>
        </w:rPr>
        <w:t xml:space="preserve"> de Transparencia.</w:t>
      </w:r>
    </w:p>
    <w:p w14:paraId="55E1D9E4"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Cuarto.</w:t>
      </w:r>
      <w:r w:rsidRPr="00CA130F">
        <w:rPr>
          <w:rFonts w:ascii="Palatino Linotype" w:hAnsi="Palatino Linotype" w:cs="Arial"/>
          <w:i/>
        </w:rPr>
        <w:t xml:space="preserve"> </w:t>
      </w:r>
      <w:r w:rsidRPr="00CA130F">
        <w:rPr>
          <w:rFonts w:ascii="Palatino Linotype" w:hAnsi="Palatino Linotype" w:cs="Arial"/>
          <w:b/>
          <w:i/>
        </w:rPr>
        <w:t>Para clasificar la información como</w:t>
      </w:r>
      <w:r w:rsidRPr="00CA130F">
        <w:rPr>
          <w:rFonts w:ascii="Palatino Linotype" w:hAnsi="Palatino Linotype" w:cs="Arial"/>
          <w:i/>
        </w:rPr>
        <w:t xml:space="preserve"> reservada o </w:t>
      </w:r>
      <w:r w:rsidRPr="00CA130F">
        <w:rPr>
          <w:rFonts w:ascii="Palatino Linotype" w:hAnsi="Palatino Linotype" w:cs="Arial"/>
          <w:b/>
          <w:i/>
        </w:rPr>
        <w:t xml:space="preserve">confidencial, de manera total o parcial, el titular del </w:t>
      </w:r>
      <w:r w:rsidRPr="00CA130F">
        <w:rPr>
          <w:rFonts w:ascii="Palatino Linotype" w:hAnsi="Palatino Linotype" w:cs="Arial"/>
          <w:b/>
          <w:bCs/>
          <w:i/>
          <w:noProof/>
        </w:rPr>
        <w:t>área</w:t>
      </w:r>
      <w:r w:rsidRPr="00CA130F">
        <w:rPr>
          <w:rFonts w:ascii="Palatino Linotype" w:hAnsi="Palatino Linotype" w:cs="Arial"/>
          <w:b/>
          <w:i/>
        </w:rPr>
        <w:t xml:space="preserve"> del sujeto obligado deberá atender lo dispuesto por el Título Sexto de la Ley General</w:t>
      </w:r>
      <w:r w:rsidRPr="00CA130F">
        <w:rPr>
          <w:rFonts w:ascii="Palatino Linotype" w:hAnsi="Palatino Linotype" w:cs="Arial"/>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70D1F3"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i/>
        </w:rPr>
        <w:t xml:space="preserve">Los sujetos obligados deberán aplicar, de manera estricta, las excepciones al derecho de acceso a la </w:t>
      </w:r>
      <w:r w:rsidRPr="00CA130F">
        <w:rPr>
          <w:rFonts w:ascii="Palatino Linotype" w:hAnsi="Palatino Linotype" w:cs="Arial"/>
          <w:bCs/>
          <w:i/>
          <w:noProof/>
        </w:rPr>
        <w:t>información</w:t>
      </w:r>
      <w:r w:rsidRPr="00CA130F">
        <w:rPr>
          <w:rFonts w:ascii="Palatino Linotype" w:hAnsi="Palatino Linotype" w:cs="Arial"/>
          <w:i/>
        </w:rPr>
        <w:t xml:space="preserve"> y sólo podrán invocarlas cuando acrediten su procedencia.</w:t>
      </w:r>
    </w:p>
    <w:p w14:paraId="0733341E"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Quinto.</w:t>
      </w:r>
      <w:r w:rsidRPr="00CA130F">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w:t>
      </w:r>
      <w:r w:rsidRPr="00CA130F">
        <w:rPr>
          <w:rFonts w:ascii="Palatino Linotype" w:hAnsi="Palatino Linotype" w:cs="Arial"/>
          <w:i/>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631865"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Sexto.</w:t>
      </w:r>
      <w:r w:rsidRPr="00CA130F">
        <w:rPr>
          <w:rFonts w:ascii="Palatino Linotype" w:hAnsi="Palatino Linotype" w:cs="Arial"/>
          <w:i/>
        </w:rPr>
        <w:t xml:space="preserve"> Los sujetos obligados no podrán emitir acuerdos de carácter general ni particular que clasifiquen </w:t>
      </w:r>
      <w:r w:rsidRPr="00CA130F">
        <w:rPr>
          <w:rFonts w:ascii="Palatino Linotype" w:hAnsi="Palatino Linotype" w:cs="Arial"/>
          <w:bCs/>
          <w:i/>
          <w:noProof/>
        </w:rPr>
        <w:t>documentos</w:t>
      </w:r>
      <w:r w:rsidRPr="00CA130F">
        <w:rPr>
          <w:rFonts w:ascii="Palatino Linotype" w:hAnsi="Palatino Linotype" w:cs="Arial"/>
          <w:i/>
        </w:rPr>
        <w:t xml:space="preserve"> o expedientes como reservados, ni clasificar documentos antes de que se genere la información o cuando éstos no obren en sus archivos.</w:t>
      </w:r>
    </w:p>
    <w:p w14:paraId="3EABCF0E" w14:textId="77777777" w:rsidR="00816CC7" w:rsidRPr="00CA130F" w:rsidRDefault="00816CC7" w:rsidP="00341AF6">
      <w:pPr>
        <w:tabs>
          <w:tab w:val="left" w:pos="8222"/>
        </w:tabs>
        <w:spacing w:after="0" w:line="240" w:lineRule="auto"/>
        <w:ind w:left="851" w:right="1134"/>
        <w:jc w:val="both"/>
        <w:rPr>
          <w:rFonts w:ascii="Palatino Linotype" w:hAnsi="Palatino Linotype" w:cs="Arial"/>
          <w:i/>
        </w:rPr>
      </w:pPr>
      <w:r w:rsidRPr="00CA130F">
        <w:rPr>
          <w:rFonts w:ascii="Palatino Linotype" w:hAnsi="Palatino Linotype" w:cs="Arial"/>
          <w:i/>
        </w:rPr>
        <w:t xml:space="preserve">La clasificación de información se realizará conforme a un análisis caso por caso, mediante la aplicación </w:t>
      </w:r>
      <w:r w:rsidRPr="00CA130F">
        <w:rPr>
          <w:rFonts w:ascii="Palatino Linotype" w:hAnsi="Palatino Linotype" w:cs="Arial"/>
          <w:bCs/>
          <w:i/>
          <w:noProof/>
        </w:rPr>
        <w:t>de</w:t>
      </w:r>
      <w:r w:rsidRPr="00CA130F">
        <w:rPr>
          <w:rFonts w:ascii="Palatino Linotype" w:hAnsi="Palatino Linotype" w:cs="Arial"/>
          <w:i/>
        </w:rPr>
        <w:t xml:space="preserve"> la prueba de daño y de interés público.</w:t>
      </w:r>
    </w:p>
    <w:p w14:paraId="6033294C"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Séptimo.</w:t>
      </w:r>
      <w:r w:rsidRPr="00CA130F">
        <w:rPr>
          <w:rFonts w:ascii="Palatino Linotype" w:hAnsi="Palatino Linotype" w:cs="Arial"/>
          <w:i/>
        </w:rPr>
        <w:t xml:space="preserve"> La clasificación </w:t>
      </w:r>
      <w:r w:rsidRPr="00CA130F">
        <w:rPr>
          <w:rFonts w:ascii="Palatino Linotype" w:hAnsi="Palatino Linotype" w:cs="Arial"/>
          <w:bCs/>
          <w:i/>
          <w:noProof/>
        </w:rPr>
        <w:t>de</w:t>
      </w:r>
      <w:r w:rsidRPr="00CA130F">
        <w:rPr>
          <w:rFonts w:ascii="Palatino Linotype" w:hAnsi="Palatino Linotype" w:cs="Arial"/>
          <w:i/>
        </w:rPr>
        <w:t xml:space="preserve"> la información se llevará a cabo en el momento en que:</w:t>
      </w:r>
    </w:p>
    <w:p w14:paraId="25C420F4"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I.</w:t>
      </w:r>
      <w:r w:rsidRPr="00CA130F">
        <w:rPr>
          <w:rFonts w:ascii="Palatino Linotype" w:hAnsi="Palatino Linotype" w:cs="Arial"/>
          <w:i/>
        </w:rPr>
        <w:t xml:space="preserve"> Se reciba una solicitud de acceso a la información;</w:t>
      </w:r>
    </w:p>
    <w:p w14:paraId="7030EA08"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II.</w:t>
      </w:r>
      <w:r w:rsidRPr="00CA130F">
        <w:rPr>
          <w:rFonts w:ascii="Palatino Linotype" w:hAnsi="Palatino Linotype" w:cs="Arial"/>
          <w:i/>
        </w:rPr>
        <w:t xml:space="preserve"> Se determine </w:t>
      </w:r>
      <w:r w:rsidRPr="00CA130F">
        <w:rPr>
          <w:rFonts w:ascii="Palatino Linotype" w:hAnsi="Palatino Linotype" w:cs="Arial"/>
          <w:bCs/>
          <w:i/>
          <w:noProof/>
        </w:rPr>
        <w:t>mediante</w:t>
      </w:r>
      <w:r w:rsidRPr="00CA130F">
        <w:rPr>
          <w:rFonts w:ascii="Palatino Linotype" w:hAnsi="Palatino Linotype" w:cs="Arial"/>
          <w:i/>
        </w:rPr>
        <w:t xml:space="preserve"> resolución de autoridad competente, o</w:t>
      </w:r>
    </w:p>
    <w:p w14:paraId="1F8F3A5B"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III.</w:t>
      </w:r>
      <w:r w:rsidRPr="00CA130F">
        <w:rPr>
          <w:rFonts w:ascii="Palatino Linotype" w:hAnsi="Palatino Linotype" w:cs="Arial"/>
          <w:i/>
        </w:rPr>
        <w:t xml:space="preserve"> Se generen </w:t>
      </w:r>
      <w:r w:rsidRPr="00CA130F">
        <w:rPr>
          <w:rFonts w:ascii="Palatino Linotype" w:hAnsi="Palatino Linotype" w:cs="Arial"/>
          <w:bCs/>
          <w:i/>
          <w:noProof/>
        </w:rPr>
        <w:t>versiones</w:t>
      </w:r>
      <w:r w:rsidRPr="00CA130F">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54BE7BDD"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i/>
        </w:rPr>
        <w:t xml:space="preserve">Los titulares de las áreas deberán revisar la clasificación al momento de la recepción de una solicitud de </w:t>
      </w:r>
      <w:r w:rsidRPr="00CA130F">
        <w:rPr>
          <w:rFonts w:ascii="Palatino Linotype" w:hAnsi="Palatino Linotype" w:cs="Arial"/>
          <w:bCs/>
          <w:i/>
          <w:noProof/>
        </w:rPr>
        <w:t>acceso</w:t>
      </w:r>
      <w:r w:rsidRPr="00CA130F">
        <w:rPr>
          <w:rFonts w:ascii="Palatino Linotype" w:hAnsi="Palatino Linotype" w:cs="Arial"/>
          <w:i/>
        </w:rPr>
        <w:t xml:space="preserve"> a la información, para verificar si encuadra en una causal de reserva o de confidencialidad.</w:t>
      </w:r>
    </w:p>
    <w:p w14:paraId="2AA2C014"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Octavo.</w:t>
      </w:r>
      <w:r w:rsidRPr="00CA130F">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w:t>
      </w:r>
      <w:r w:rsidRPr="00CA130F">
        <w:rPr>
          <w:rFonts w:ascii="Palatino Linotype" w:hAnsi="Palatino Linotype" w:cs="Arial"/>
          <w:bCs/>
          <w:i/>
          <w:noProof/>
        </w:rPr>
        <w:t>expresamente</w:t>
      </w:r>
      <w:r w:rsidRPr="00CA130F">
        <w:rPr>
          <w:rFonts w:ascii="Palatino Linotype" w:hAnsi="Palatino Linotype" w:cs="Arial"/>
          <w:i/>
        </w:rPr>
        <w:t xml:space="preserve"> le otorga el carácter de reservada o confidencial.</w:t>
      </w:r>
    </w:p>
    <w:p w14:paraId="40AF7D3B"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bCs/>
          <w:i/>
          <w:noProof/>
        </w:rPr>
      </w:pPr>
      <w:r w:rsidRPr="00CA130F">
        <w:rPr>
          <w:rFonts w:ascii="Palatino Linotype" w:hAnsi="Palatino Linotype" w:cs="Arial"/>
          <w:i/>
        </w:rPr>
        <w:t xml:space="preserve">Para </w:t>
      </w:r>
      <w:r w:rsidRPr="00CA130F">
        <w:rPr>
          <w:rFonts w:ascii="Palatino Linotype" w:hAnsi="Palatino Linotype" w:cs="Arial"/>
          <w:bCs/>
          <w:i/>
          <w:noProof/>
        </w:rPr>
        <w:t xml:space="preserve">motivar la clasificación se deberán señalar las razones o circunstancias especiales que lo </w:t>
      </w:r>
      <w:r w:rsidRPr="00CA130F">
        <w:rPr>
          <w:rFonts w:ascii="Palatino Linotype" w:hAnsi="Palatino Linotype" w:cs="Arial"/>
          <w:i/>
        </w:rPr>
        <w:t>llevaron</w:t>
      </w:r>
      <w:r w:rsidRPr="00CA130F">
        <w:rPr>
          <w:rFonts w:ascii="Palatino Linotype" w:hAnsi="Palatino Linotype" w:cs="Arial"/>
          <w:bCs/>
          <w:i/>
          <w:noProof/>
        </w:rPr>
        <w:t xml:space="preserve"> a concluir que el caso particular se ajusta al supuesto previsto por la norma legal invocada como fundamento.</w:t>
      </w:r>
    </w:p>
    <w:p w14:paraId="27642297"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bCs/>
          <w:i/>
          <w:noProof/>
        </w:rPr>
      </w:pPr>
      <w:r w:rsidRPr="00CA130F">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CA130F">
        <w:rPr>
          <w:rFonts w:ascii="Palatino Linotype" w:hAnsi="Palatino Linotype" w:cs="Arial"/>
          <w:i/>
        </w:rPr>
        <w:t>de</w:t>
      </w:r>
      <w:r w:rsidRPr="00CA130F">
        <w:rPr>
          <w:rFonts w:ascii="Palatino Linotype" w:hAnsi="Palatino Linotype" w:cs="Arial"/>
          <w:bCs/>
          <w:i/>
          <w:noProof/>
        </w:rPr>
        <w:t xml:space="preserve"> </w:t>
      </w:r>
      <w:r w:rsidRPr="00CA130F">
        <w:rPr>
          <w:rFonts w:ascii="Palatino Linotype" w:hAnsi="Palatino Linotype" w:cs="Arial"/>
          <w:i/>
        </w:rPr>
        <w:t>reserva</w:t>
      </w:r>
      <w:r w:rsidRPr="00CA130F">
        <w:rPr>
          <w:rFonts w:ascii="Palatino Linotype" w:hAnsi="Palatino Linotype" w:cs="Arial"/>
          <w:bCs/>
          <w:i/>
          <w:noProof/>
        </w:rPr>
        <w:t>.</w:t>
      </w:r>
    </w:p>
    <w:p w14:paraId="478FD2BF"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bCs/>
          <w:i/>
          <w:noProof/>
        </w:rPr>
      </w:pPr>
      <w:r w:rsidRPr="00CA130F">
        <w:rPr>
          <w:rFonts w:ascii="Palatino Linotype" w:hAnsi="Palatino Linotype" w:cs="Arial"/>
          <w:i/>
        </w:rPr>
        <w:t>Tratándose</w:t>
      </w:r>
      <w:r w:rsidRPr="00CA130F">
        <w:rPr>
          <w:rFonts w:ascii="Palatino Linotype" w:hAnsi="Palatino Linotype" w:cs="Arial"/>
          <w:bCs/>
          <w:i/>
          <w:noProof/>
        </w:rPr>
        <w:t xml:space="preserve"> de información clasificada como confidencial respecto de la cual se haya </w:t>
      </w:r>
      <w:r w:rsidRPr="00CA130F">
        <w:rPr>
          <w:rFonts w:ascii="Palatino Linotype" w:hAnsi="Palatino Linotype" w:cs="Arial"/>
          <w:i/>
        </w:rPr>
        <w:t>determinado</w:t>
      </w:r>
      <w:r w:rsidRPr="00CA130F">
        <w:rPr>
          <w:rFonts w:ascii="Palatino Linotype" w:hAnsi="Palatino Linotype" w:cs="Arial"/>
          <w:bCs/>
          <w:i/>
          <w:noProof/>
        </w:rPr>
        <w:t xml:space="preserve"> </w:t>
      </w:r>
      <w:r w:rsidRPr="00CA130F">
        <w:rPr>
          <w:rFonts w:ascii="Palatino Linotype" w:hAnsi="Palatino Linotype" w:cs="Arial"/>
          <w:i/>
        </w:rPr>
        <w:t>su</w:t>
      </w:r>
      <w:r w:rsidRPr="00CA130F">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7394C5B2"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Cs/>
          <w:i/>
          <w:noProof/>
        </w:rPr>
        <w:t>Los documentos contenidos</w:t>
      </w:r>
      <w:r w:rsidRPr="00CA130F">
        <w:rPr>
          <w:rFonts w:ascii="Palatino Linotype" w:hAnsi="Palatino Linotype" w:cs="Arial"/>
          <w:i/>
        </w:rPr>
        <w:t xml:space="preserve"> en los archivos históricos y los identificados como históricos confidenciales no serán susceptibles de clasificación como reservados.</w:t>
      </w:r>
    </w:p>
    <w:p w14:paraId="2D71357A"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Noveno.</w:t>
      </w:r>
      <w:r w:rsidRPr="00CA130F">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w:t>
      </w:r>
      <w:r w:rsidRPr="00CA130F">
        <w:rPr>
          <w:rFonts w:ascii="Palatino Linotype" w:hAnsi="Palatino Linotype" w:cs="Arial"/>
          <w:i/>
        </w:rPr>
        <w:lastRenderedPageBreak/>
        <w:t>que se testen, siguiendo los procedimientos establecidos en el Capítulo IX de los presentes lineamientos.</w:t>
      </w:r>
    </w:p>
    <w:p w14:paraId="6B1D4DE1"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Décimo.</w:t>
      </w:r>
      <w:r w:rsidRPr="00CA130F">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E41924B"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14963445" w14:textId="77777777" w:rsidR="00816CC7" w:rsidRPr="00CA130F" w:rsidRDefault="00816CC7" w:rsidP="00341AF6">
      <w:pPr>
        <w:tabs>
          <w:tab w:val="left" w:pos="8222"/>
        </w:tabs>
        <w:autoSpaceDE w:val="0"/>
        <w:autoSpaceDN w:val="0"/>
        <w:adjustRightInd w:val="0"/>
        <w:spacing w:after="0" w:line="240" w:lineRule="auto"/>
        <w:ind w:left="851" w:right="1134"/>
        <w:jc w:val="both"/>
        <w:rPr>
          <w:rFonts w:ascii="Palatino Linotype" w:hAnsi="Palatino Linotype" w:cs="Arial"/>
          <w:i/>
        </w:rPr>
      </w:pPr>
      <w:r w:rsidRPr="00CA130F">
        <w:rPr>
          <w:rFonts w:ascii="Palatino Linotype" w:hAnsi="Palatino Linotype" w:cs="Arial"/>
          <w:b/>
          <w:i/>
        </w:rPr>
        <w:t>Décimo primero.</w:t>
      </w:r>
      <w:r w:rsidRPr="00CA130F">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615FF98E" w14:textId="77777777" w:rsidR="00816CC7" w:rsidRPr="00CA130F" w:rsidRDefault="00816CC7" w:rsidP="00341AF6">
      <w:pPr>
        <w:tabs>
          <w:tab w:val="left" w:pos="8222"/>
        </w:tabs>
        <w:spacing w:after="0" w:line="240" w:lineRule="auto"/>
        <w:ind w:left="851" w:right="1134"/>
        <w:jc w:val="both"/>
        <w:rPr>
          <w:rFonts w:ascii="Palatino Linotype" w:hAnsi="Palatino Linotype" w:cs="Arial"/>
        </w:rPr>
      </w:pPr>
      <w:r w:rsidRPr="00CA130F">
        <w:rPr>
          <w:rFonts w:ascii="Palatino Linotype" w:hAnsi="Palatino Linotype" w:cs="Arial"/>
        </w:rPr>
        <w:t>(Énfasis Añadido)</w:t>
      </w:r>
    </w:p>
    <w:p w14:paraId="39F5A928" w14:textId="77777777" w:rsidR="00816CC7" w:rsidRPr="00CA130F" w:rsidRDefault="00816CC7" w:rsidP="00816CC7">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sz w:val="24"/>
          <w:szCs w:val="24"/>
        </w:rPr>
        <w:t>Por lo tanto,</w:t>
      </w:r>
      <w:r w:rsidRPr="00CA130F">
        <w:rPr>
          <w:rFonts w:ascii="Palatino Linotype" w:hAnsi="Palatino Linotype"/>
          <w:sz w:val="24"/>
          <w:szCs w:val="24"/>
        </w:rPr>
        <w:t xml:space="preserve"> es importante referir que </w:t>
      </w:r>
      <w:r w:rsidRPr="00CA130F">
        <w:rPr>
          <w:rFonts w:ascii="Palatino Linotype" w:hAnsi="Palatino Linotype"/>
          <w:b/>
          <w:sz w:val="24"/>
          <w:szCs w:val="24"/>
        </w:rPr>
        <w:t>EL SUJETO OBLIGADO</w:t>
      </w:r>
      <w:r w:rsidRPr="00CA130F">
        <w:rPr>
          <w:rFonts w:ascii="Palatino Linotype" w:hAnsi="Palatino Linotype"/>
          <w:sz w:val="24"/>
          <w:szCs w:val="24"/>
        </w:rPr>
        <w:t xml:space="preserve"> deberá seguir el procedimiento legal establecido para su clasificación, esto es, que su Comité de</w:t>
      </w:r>
      <w:r w:rsidRPr="00CA130F">
        <w:rPr>
          <w:rFonts w:ascii="Palatino Linotype" w:hAnsi="Palatino Linotype" w:cs="Arial"/>
          <w:sz w:val="24"/>
          <w:szCs w:val="24"/>
        </w:rPr>
        <w:t xml:space="preserve"> Transparencia emita un Acuerdo de Clasificación que cumpla con las formalidades previstas, antes citadas</w:t>
      </w:r>
      <w:r w:rsidRPr="00CA130F">
        <w:rPr>
          <w:rFonts w:ascii="Palatino Linotype" w:hAnsi="Palatino Linotype" w:cs="Arial"/>
          <w:b/>
          <w:sz w:val="24"/>
          <w:szCs w:val="24"/>
        </w:rPr>
        <w:t xml:space="preserve"> </w:t>
      </w:r>
      <w:r w:rsidRPr="00CA130F">
        <w:rPr>
          <w:rFonts w:ascii="Palatino Linotype" w:hAnsi="Palatino Linotype" w:cs="Arial"/>
          <w:sz w:val="24"/>
          <w:szCs w:val="24"/>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06744F1" w14:textId="77777777" w:rsidR="00435682" w:rsidRPr="00CA130F" w:rsidRDefault="00435682" w:rsidP="00435682">
      <w:pPr>
        <w:spacing w:before="100" w:beforeAutospacing="1" w:after="100" w:afterAutospacing="1" w:line="360" w:lineRule="auto"/>
        <w:jc w:val="both"/>
        <w:rPr>
          <w:rFonts w:ascii="Palatino Linotype" w:eastAsia="Calibri" w:hAnsi="Palatino Linotype" w:cs="Arial"/>
          <w:color w:val="000000" w:themeColor="text1"/>
          <w:sz w:val="24"/>
          <w:szCs w:val="24"/>
        </w:rPr>
      </w:pPr>
      <w:r w:rsidRPr="00CA130F">
        <w:rPr>
          <w:rFonts w:ascii="Palatino Linotype" w:eastAsia="Calibri" w:hAnsi="Palatino Linotype" w:cs="Arial"/>
          <w:color w:val="000000" w:themeColor="text1"/>
          <w:sz w:val="24"/>
          <w:szCs w:val="24"/>
        </w:rPr>
        <w:lastRenderedPageBreak/>
        <w:t xml:space="preserve">Así, con fundamento en lo prescrito en los artículos 5, párrafo trigésimo, trigésimo primero y trigésimo segundo, fracciones IV y V de la Constitución Política del Estado Libre y Soberano de México; </w:t>
      </w:r>
      <w:r w:rsidRPr="00CA130F">
        <w:rPr>
          <w:rFonts w:ascii="Palatino Linotype" w:hAnsi="Palatino Linotype" w:cs="Arial"/>
          <w:color w:val="000000" w:themeColor="text1"/>
          <w:sz w:val="24"/>
          <w:szCs w:val="24"/>
        </w:rPr>
        <w:t>2, fracción II, 9, 29, 36, fracciones I y II, 176, 178, 179, 181, 185, fracción I, 186 y 188</w:t>
      </w:r>
      <w:r w:rsidRPr="00CA130F">
        <w:rPr>
          <w:rFonts w:ascii="Palatino Linotype" w:eastAsia="Calibri" w:hAnsi="Palatino Linotype" w:cs="Arial"/>
          <w:color w:val="000000" w:themeColor="text1"/>
          <w:sz w:val="24"/>
          <w:szCs w:val="24"/>
        </w:rPr>
        <w:t xml:space="preserve"> de la Ley de Transparencia y Acceso a la Información Pública del Estado de México y Municipios, este Pleno:</w:t>
      </w:r>
    </w:p>
    <w:p w14:paraId="34CC8A1F" w14:textId="77777777" w:rsidR="00435682" w:rsidRPr="00CA130F" w:rsidRDefault="00435682" w:rsidP="00435682">
      <w:pPr>
        <w:spacing w:before="100" w:beforeAutospacing="1" w:after="100" w:afterAutospacing="1"/>
        <w:jc w:val="center"/>
        <w:rPr>
          <w:rFonts w:ascii="Palatino Linotype" w:hAnsi="Palatino Linotype" w:cs="Arial"/>
          <w:b/>
          <w:color w:val="000000" w:themeColor="text1"/>
          <w:spacing w:val="44"/>
          <w:sz w:val="28"/>
          <w:lang w:val="pt-BR"/>
        </w:rPr>
      </w:pPr>
      <w:r w:rsidRPr="00CA130F">
        <w:rPr>
          <w:rFonts w:ascii="Palatino Linotype" w:hAnsi="Palatino Linotype" w:cs="Arial"/>
          <w:b/>
          <w:color w:val="000000" w:themeColor="text1"/>
          <w:spacing w:val="44"/>
          <w:sz w:val="28"/>
          <w:lang w:val="pt-BR"/>
        </w:rPr>
        <w:t>RESUELVE</w:t>
      </w:r>
    </w:p>
    <w:p w14:paraId="25DBA66C" w14:textId="77777777" w:rsidR="00435682" w:rsidRPr="00CA130F" w:rsidRDefault="00435682" w:rsidP="00435682">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color w:val="000000" w:themeColor="text1"/>
          <w:spacing w:val="-20"/>
          <w:sz w:val="24"/>
          <w:szCs w:val="24"/>
        </w:rPr>
      </w:pPr>
      <w:r w:rsidRPr="00CA130F">
        <w:rPr>
          <w:rFonts w:ascii="Palatino Linotype" w:hAnsi="Palatino Linotype" w:cs="Arial"/>
          <w:b/>
          <w:bCs/>
          <w:color w:val="000000" w:themeColor="text1"/>
          <w:sz w:val="28"/>
          <w:lang w:eastAsia="es-MX"/>
        </w:rPr>
        <w:t>PRIMERO</w:t>
      </w:r>
      <w:r w:rsidRPr="00CA130F">
        <w:rPr>
          <w:rFonts w:ascii="Palatino Linotype" w:hAnsi="Palatino Linotype" w:cs="Arial"/>
          <w:color w:val="000000" w:themeColor="text1"/>
        </w:rPr>
        <w:t xml:space="preserve">. </w:t>
      </w:r>
      <w:r w:rsidRPr="00CA130F">
        <w:rPr>
          <w:rFonts w:ascii="Palatino Linotype" w:hAnsi="Palatino Linotype" w:cs="Arial"/>
          <w:color w:val="000000" w:themeColor="text1"/>
          <w:sz w:val="24"/>
          <w:szCs w:val="24"/>
        </w:rPr>
        <w:t xml:space="preserve">Resultan </w:t>
      </w:r>
      <w:r w:rsidRPr="00CA130F">
        <w:rPr>
          <w:rFonts w:ascii="Palatino Linotype" w:hAnsi="Palatino Linotype" w:cs="Arial"/>
          <w:b/>
          <w:color w:val="000000" w:themeColor="text1"/>
          <w:sz w:val="24"/>
          <w:szCs w:val="24"/>
        </w:rPr>
        <w:t>fundadas</w:t>
      </w:r>
      <w:r w:rsidRPr="00CA130F">
        <w:rPr>
          <w:rFonts w:ascii="Palatino Linotype" w:hAnsi="Palatino Linotype" w:cs="Arial"/>
          <w:color w:val="000000" w:themeColor="text1"/>
          <w:sz w:val="24"/>
          <w:szCs w:val="24"/>
        </w:rPr>
        <w:t xml:space="preserve"> las razones o motivos de inconformidad hechas valer por </w:t>
      </w:r>
      <w:r w:rsidRPr="00CA130F">
        <w:rPr>
          <w:rFonts w:ascii="Palatino Linotype" w:eastAsia="Calibri" w:hAnsi="Palatino Linotype"/>
          <w:b/>
          <w:color w:val="000000" w:themeColor="text1"/>
          <w:sz w:val="24"/>
          <w:szCs w:val="24"/>
        </w:rPr>
        <w:t>EL RECURRENTE</w:t>
      </w:r>
      <w:r w:rsidRPr="00CA130F">
        <w:rPr>
          <w:rFonts w:ascii="Palatino Linotype" w:hAnsi="Palatino Linotype"/>
          <w:color w:val="000000" w:themeColor="text1"/>
          <w:sz w:val="24"/>
          <w:szCs w:val="24"/>
          <w:lang w:eastAsia="es-MX"/>
        </w:rPr>
        <w:t xml:space="preserve">, en el recurso de revisión </w:t>
      </w:r>
      <w:r w:rsidR="002C3878" w:rsidRPr="00CA130F">
        <w:rPr>
          <w:rFonts w:ascii="Palatino Linotype" w:hAnsi="Palatino Linotype"/>
          <w:b/>
          <w:color w:val="000000" w:themeColor="text1"/>
          <w:spacing w:val="-20"/>
          <w:sz w:val="24"/>
          <w:szCs w:val="24"/>
          <w:lang w:val="es-ES_tradnl"/>
        </w:rPr>
        <w:t>05922/INFOEM/ICR-5</w:t>
      </w:r>
      <w:r w:rsidRPr="00CA130F">
        <w:rPr>
          <w:rFonts w:ascii="Palatino Linotype" w:hAnsi="Palatino Linotype"/>
          <w:b/>
          <w:color w:val="000000" w:themeColor="text1"/>
          <w:spacing w:val="-20"/>
          <w:sz w:val="24"/>
          <w:szCs w:val="24"/>
          <w:lang w:val="es-ES_tradnl"/>
        </w:rPr>
        <w:t>7/IP/RR/202</w:t>
      </w:r>
      <w:r w:rsidR="002C3878" w:rsidRPr="00CA130F">
        <w:rPr>
          <w:rFonts w:ascii="Palatino Linotype" w:hAnsi="Palatino Linotype"/>
          <w:b/>
          <w:color w:val="000000" w:themeColor="text1"/>
          <w:spacing w:val="-20"/>
          <w:sz w:val="24"/>
          <w:szCs w:val="24"/>
          <w:lang w:val="es-ES_tradnl"/>
        </w:rPr>
        <w:t>0</w:t>
      </w:r>
      <w:r w:rsidRPr="00CA130F">
        <w:rPr>
          <w:rFonts w:ascii="Palatino Linotype" w:hAnsi="Palatino Linotype"/>
          <w:b/>
          <w:color w:val="000000" w:themeColor="text1"/>
          <w:spacing w:val="-20"/>
          <w:sz w:val="24"/>
          <w:szCs w:val="24"/>
          <w:lang w:val="es-ES_tradnl"/>
        </w:rPr>
        <w:t>,</w:t>
      </w:r>
      <w:r w:rsidRPr="00CA130F">
        <w:rPr>
          <w:rFonts w:ascii="Palatino Linotype" w:hAnsi="Palatino Linotype" w:cs="Arial"/>
          <w:color w:val="000000" w:themeColor="text1"/>
          <w:sz w:val="24"/>
          <w:szCs w:val="24"/>
        </w:rPr>
        <w:t xml:space="preserve"> en términos del Considerando </w:t>
      </w:r>
      <w:r w:rsidRPr="00CA130F">
        <w:rPr>
          <w:rFonts w:ascii="Palatino Linotype" w:hAnsi="Palatino Linotype" w:cs="Arial"/>
          <w:b/>
          <w:color w:val="000000" w:themeColor="text1"/>
          <w:sz w:val="24"/>
          <w:szCs w:val="24"/>
        </w:rPr>
        <w:t>QUINTO</w:t>
      </w:r>
      <w:r w:rsidRPr="00CA130F">
        <w:rPr>
          <w:rFonts w:ascii="Palatino Linotype" w:hAnsi="Palatino Linotype" w:cs="Arial"/>
          <w:color w:val="000000" w:themeColor="text1"/>
          <w:sz w:val="24"/>
          <w:szCs w:val="24"/>
        </w:rPr>
        <w:t xml:space="preserve"> de la presente resolución</w:t>
      </w:r>
      <w:r w:rsidR="002C3878" w:rsidRPr="00CA130F">
        <w:rPr>
          <w:rFonts w:ascii="Palatino Linotype" w:hAnsi="Palatino Linotype" w:cs="Arial"/>
          <w:color w:val="000000" w:themeColor="text1"/>
          <w:sz w:val="24"/>
          <w:szCs w:val="24"/>
        </w:rPr>
        <w:t>.</w:t>
      </w:r>
    </w:p>
    <w:p w14:paraId="768C4AEF" w14:textId="77777777" w:rsidR="00435682" w:rsidRPr="00CA130F" w:rsidRDefault="00435682" w:rsidP="00435682">
      <w:pPr>
        <w:spacing w:before="100" w:beforeAutospacing="1" w:after="100" w:afterAutospacing="1" w:line="360" w:lineRule="auto"/>
        <w:jc w:val="both"/>
        <w:rPr>
          <w:rFonts w:ascii="Palatino Linotype" w:hAnsi="Palatino Linotype" w:cs="Arial"/>
          <w:sz w:val="24"/>
          <w:szCs w:val="24"/>
        </w:rPr>
      </w:pPr>
      <w:r w:rsidRPr="00CA130F">
        <w:rPr>
          <w:rFonts w:ascii="Palatino Linotype" w:hAnsi="Palatino Linotype" w:cs="Arial"/>
          <w:b/>
          <w:bCs/>
          <w:color w:val="000000" w:themeColor="text1"/>
          <w:sz w:val="28"/>
          <w:lang w:eastAsia="es-MX"/>
        </w:rPr>
        <w:t>SEGUNDO.</w:t>
      </w:r>
      <w:r w:rsidRPr="00CA130F">
        <w:rPr>
          <w:rFonts w:ascii="Palatino Linotype" w:hAnsi="Palatino Linotype"/>
          <w:b/>
          <w:color w:val="000000" w:themeColor="text1"/>
          <w:lang w:eastAsia="es-MX"/>
        </w:rPr>
        <w:t xml:space="preserve"> </w:t>
      </w:r>
      <w:r w:rsidRPr="00CA130F">
        <w:rPr>
          <w:rFonts w:ascii="Palatino Linotype" w:hAnsi="Palatino Linotype"/>
          <w:color w:val="000000" w:themeColor="text1"/>
          <w:sz w:val="24"/>
          <w:szCs w:val="24"/>
          <w:lang w:eastAsia="es-MX"/>
        </w:rPr>
        <w:t>Se</w:t>
      </w:r>
      <w:r w:rsidRPr="00CA130F">
        <w:rPr>
          <w:rFonts w:ascii="Palatino Linotype" w:hAnsi="Palatino Linotype"/>
          <w:b/>
          <w:bCs/>
          <w:color w:val="000000" w:themeColor="text1"/>
          <w:sz w:val="24"/>
          <w:szCs w:val="24"/>
          <w:lang w:eastAsia="es-MX"/>
        </w:rPr>
        <w:t xml:space="preserve"> ORDENA </w:t>
      </w:r>
      <w:r w:rsidRPr="00CA130F">
        <w:rPr>
          <w:rFonts w:ascii="Palatino Linotype" w:hAnsi="Palatino Linotype"/>
          <w:color w:val="000000" w:themeColor="text1"/>
          <w:sz w:val="24"/>
          <w:szCs w:val="24"/>
          <w:lang w:eastAsia="es-MX"/>
        </w:rPr>
        <w:t xml:space="preserve">al </w:t>
      </w:r>
      <w:r w:rsidRPr="00CA130F">
        <w:rPr>
          <w:rFonts w:ascii="Palatino Linotype" w:hAnsi="Palatino Linotype"/>
          <w:b/>
          <w:bCs/>
          <w:color w:val="000000" w:themeColor="text1"/>
          <w:sz w:val="24"/>
          <w:szCs w:val="24"/>
          <w:lang w:eastAsia="es-MX"/>
        </w:rPr>
        <w:t xml:space="preserve">SUJETO OBLIGADO </w:t>
      </w:r>
      <w:r w:rsidRPr="00CA130F">
        <w:rPr>
          <w:rFonts w:ascii="Palatino Linotype" w:hAnsi="Palatino Linotype"/>
          <w:color w:val="000000" w:themeColor="text1"/>
          <w:sz w:val="24"/>
          <w:szCs w:val="24"/>
          <w:lang w:eastAsia="es-MX"/>
        </w:rPr>
        <w:t>entregue</w:t>
      </w:r>
      <w:r w:rsidRPr="00CA130F">
        <w:rPr>
          <w:rFonts w:ascii="Palatino Linotype" w:hAnsi="Palatino Linotype"/>
          <w:bCs/>
          <w:color w:val="000000" w:themeColor="text1"/>
          <w:sz w:val="24"/>
          <w:szCs w:val="24"/>
          <w:lang w:eastAsia="es-MX"/>
        </w:rPr>
        <w:t>,</w:t>
      </w:r>
      <w:r w:rsidRPr="00CA130F">
        <w:rPr>
          <w:rFonts w:ascii="Palatino Linotype" w:hAnsi="Palatino Linotype"/>
          <w:b/>
          <w:bCs/>
          <w:color w:val="000000" w:themeColor="text1"/>
          <w:sz w:val="24"/>
          <w:szCs w:val="24"/>
          <w:lang w:eastAsia="es-MX"/>
        </w:rPr>
        <w:t xml:space="preserve"> </w:t>
      </w:r>
      <w:r w:rsidRPr="00CA130F">
        <w:rPr>
          <w:rFonts w:ascii="Palatino Linotype" w:hAnsi="Palatino Linotype"/>
          <w:color w:val="000000" w:themeColor="text1"/>
          <w:sz w:val="24"/>
          <w:szCs w:val="24"/>
          <w:lang w:eastAsia="es-MX"/>
        </w:rPr>
        <w:t xml:space="preserve">vía </w:t>
      </w:r>
      <w:r w:rsidRPr="00CA130F">
        <w:rPr>
          <w:rFonts w:ascii="Palatino Linotype" w:hAnsi="Palatino Linotype"/>
          <w:b/>
          <w:bCs/>
          <w:color w:val="000000" w:themeColor="text1"/>
          <w:sz w:val="24"/>
          <w:szCs w:val="24"/>
          <w:lang w:eastAsia="es-MX"/>
        </w:rPr>
        <w:t xml:space="preserve">SAIMEX, </w:t>
      </w:r>
      <w:r w:rsidRPr="00CA130F">
        <w:rPr>
          <w:rFonts w:ascii="Palatino Linotype" w:hAnsi="Palatino Linotype"/>
          <w:color w:val="000000" w:themeColor="text1"/>
          <w:sz w:val="24"/>
          <w:szCs w:val="24"/>
          <w:lang w:eastAsia="es-MX"/>
        </w:rPr>
        <w:t xml:space="preserve">en términos del Considerando </w:t>
      </w:r>
      <w:r w:rsidRPr="00CA130F">
        <w:rPr>
          <w:rFonts w:ascii="Palatino Linotype" w:hAnsi="Palatino Linotype"/>
          <w:b/>
          <w:bCs/>
          <w:color w:val="000000" w:themeColor="text1"/>
          <w:sz w:val="24"/>
          <w:szCs w:val="24"/>
          <w:lang w:eastAsia="es-MX"/>
        </w:rPr>
        <w:t xml:space="preserve">QUINTO </w:t>
      </w:r>
      <w:r w:rsidRPr="00CA130F">
        <w:rPr>
          <w:rFonts w:ascii="Palatino Linotype" w:hAnsi="Palatino Linotype" w:cs="Arial"/>
          <w:sz w:val="24"/>
          <w:szCs w:val="24"/>
        </w:rPr>
        <w:t xml:space="preserve">al </w:t>
      </w:r>
      <w:r w:rsidRPr="00CA130F">
        <w:rPr>
          <w:rFonts w:ascii="Palatino Linotype" w:hAnsi="Palatino Linotype" w:cs="Arial"/>
          <w:b/>
          <w:sz w:val="24"/>
          <w:szCs w:val="24"/>
        </w:rPr>
        <w:t>RECURRENTE</w:t>
      </w:r>
      <w:r w:rsidRPr="00CA130F">
        <w:rPr>
          <w:rFonts w:ascii="Palatino Linotype" w:hAnsi="Palatino Linotype" w:cs="Arial"/>
          <w:sz w:val="24"/>
          <w:szCs w:val="24"/>
        </w:rPr>
        <w:t xml:space="preserve">, </w:t>
      </w:r>
      <w:r w:rsidR="002C3878" w:rsidRPr="00CA130F">
        <w:rPr>
          <w:rFonts w:ascii="Palatino Linotype" w:hAnsi="Palatino Linotype" w:cs="Arial"/>
          <w:sz w:val="24"/>
          <w:szCs w:val="24"/>
        </w:rPr>
        <w:t xml:space="preserve">en </w:t>
      </w:r>
      <w:r w:rsidR="002C3878" w:rsidRPr="00CA130F">
        <w:rPr>
          <w:rFonts w:ascii="Palatino Linotype" w:hAnsi="Palatino Linotype" w:cs="Arial"/>
          <w:b/>
          <w:sz w:val="24"/>
          <w:szCs w:val="24"/>
        </w:rPr>
        <w:t>versión pública</w:t>
      </w:r>
      <w:r w:rsidR="002C3878" w:rsidRPr="00CA130F">
        <w:rPr>
          <w:rFonts w:ascii="Palatino Linotype" w:hAnsi="Palatino Linotype" w:cs="Arial"/>
          <w:sz w:val="24"/>
          <w:szCs w:val="24"/>
        </w:rPr>
        <w:t xml:space="preserve"> de ser procedente </w:t>
      </w:r>
      <w:r w:rsidRPr="00CA130F">
        <w:rPr>
          <w:rFonts w:ascii="Palatino Linotype" w:hAnsi="Palatino Linotype" w:cs="Arial"/>
          <w:sz w:val="24"/>
          <w:szCs w:val="24"/>
        </w:rPr>
        <w:t>de lo siguiente:</w:t>
      </w:r>
    </w:p>
    <w:p w14:paraId="7F239A85" w14:textId="2C114CCE" w:rsidR="002C3878" w:rsidRPr="00CA130F" w:rsidRDefault="00435682" w:rsidP="002C3878">
      <w:pPr>
        <w:ind w:left="851" w:right="899"/>
        <w:jc w:val="both"/>
        <w:rPr>
          <w:rFonts w:ascii="Palatino Linotype" w:hAnsi="Palatino Linotype" w:cs="Tahoma"/>
          <w:bCs/>
          <w:i/>
        </w:rPr>
      </w:pPr>
      <w:r w:rsidRPr="00CA130F">
        <w:rPr>
          <w:rFonts w:ascii="Palatino Linotype" w:hAnsi="Palatino Linotype" w:cs="Tahoma"/>
          <w:bCs/>
          <w:i/>
        </w:rPr>
        <w:t>“</w:t>
      </w:r>
      <w:r w:rsidR="002C3878" w:rsidRPr="00CA130F">
        <w:rPr>
          <w:rFonts w:ascii="Palatino Linotype" w:hAnsi="Palatino Linotype" w:cs="Tahoma"/>
          <w:bCs/>
          <w:i/>
        </w:rPr>
        <w:t>Los documentos en donde conste al segundo semestre del año 2020, la información que</w:t>
      </w:r>
      <w:r w:rsidR="00E72CB6" w:rsidRPr="00CA130F">
        <w:rPr>
          <w:rFonts w:ascii="Palatino Linotype" w:hAnsi="Palatino Linotype" w:cs="Tahoma"/>
          <w:bCs/>
          <w:i/>
        </w:rPr>
        <w:t xml:space="preserve"> dé cuenta de aquella que </w:t>
      </w:r>
      <w:r w:rsidR="002C3878" w:rsidRPr="00CA130F">
        <w:rPr>
          <w:rFonts w:ascii="Palatino Linotype" w:hAnsi="Palatino Linotype" w:cs="Tahoma"/>
          <w:bCs/>
          <w:i/>
        </w:rPr>
        <w:t>debería encontrarse publicada en el portal de IPOMEX en relación a las LII fracciones del artículo 92 de la Ley de Transparencia y Acceso a la Información Pública del Estado de México y Municipios.</w:t>
      </w:r>
    </w:p>
    <w:p w14:paraId="13EBEF82" w14:textId="77777777" w:rsidR="002C3878" w:rsidRPr="00CA130F" w:rsidRDefault="002C3878" w:rsidP="002C3878">
      <w:pPr>
        <w:ind w:left="851" w:right="899"/>
        <w:jc w:val="both"/>
        <w:rPr>
          <w:rFonts w:ascii="Palatino Linotype" w:hAnsi="Palatino Linotype"/>
          <w:i/>
          <w:iCs/>
          <w:lang w:eastAsia="es-MX"/>
        </w:rPr>
      </w:pPr>
      <w:r w:rsidRPr="00CA130F">
        <w:rPr>
          <w:rFonts w:ascii="Palatino Linotype" w:hAnsi="Palatino Linotype" w:cs="Tahoma"/>
          <w:bCs/>
          <w:i/>
        </w:rPr>
        <w:t xml:space="preserve">Debiendo notificar al </w:t>
      </w:r>
      <w:r w:rsidRPr="00CA130F">
        <w:rPr>
          <w:rFonts w:ascii="Palatino Linotype" w:hAnsi="Palatino Linotype" w:cs="Tahoma"/>
          <w:b/>
          <w:bCs/>
          <w:i/>
        </w:rPr>
        <w:t>RECURRENTE</w:t>
      </w:r>
      <w:r w:rsidRPr="00CA130F">
        <w:rPr>
          <w:rFonts w:ascii="Palatino Linotype" w:hAnsi="Palatino Linotype" w:cs="Tahoma"/>
          <w:bCs/>
          <w:i/>
        </w:rPr>
        <w:t xml:space="preserve"> el Acuerdo de Clasificación de la información que apruebe su Comité de Transparencia con motivo de la versión pública que se genere.”</w:t>
      </w:r>
    </w:p>
    <w:p w14:paraId="5D500632" w14:textId="77777777" w:rsidR="00435682" w:rsidRPr="00CA130F" w:rsidRDefault="00435682" w:rsidP="00435682">
      <w:pPr>
        <w:widowControl w:val="0"/>
        <w:tabs>
          <w:tab w:val="left" w:pos="1701"/>
        </w:tabs>
        <w:autoSpaceDE w:val="0"/>
        <w:autoSpaceDN w:val="0"/>
        <w:adjustRightInd w:val="0"/>
        <w:spacing w:before="240" w:after="100" w:afterAutospacing="1" w:line="360" w:lineRule="auto"/>
        <w:jc w:val="both"/>
        <w:rPr>
          <w:rFonts w:ascii="Palatino Linotype" w:hAnsi="Palatino Linotype"/>
          <w:color w:val="000000" w:themeColor="text1"/>
          <w:sz w:val="24"/>
          <w:szCs w:val="24"/>
          <w:lang w:eastAsia="es-ES_tradnl"/>
        </w:rPr>
      </w:pPr>
      <w:r w:rsidRPr="00CA130F">
        <w:rPr>
          <w:rFonts w:ascii="Palatino Linotype" w:hAnsi="Palatino Linotype" w:cs="Arial"/>
          <w:b/>
          <w:bCs/>
          <w:color w:val="000000" w:themeColor="text1"/>
          <w:sz w:val="28"/>
          <w:lang w:eastAsia="es-MX"/>
        </w:rPr>
        <w:t>TERCERO</w:t>
      </w:r>
      <w:r w:rsidRPr="00CA130F">
        <w:rPr>
          <w:rFonts w:ascii="Palatino Linotype" w:eastAsia="Calibri" w:hAnsi="Palatino Linotype" w:cs="Arial"/>
          <w:b/>
          <w:bCs/>
          <w:color w:val="000000" w:themeColor="text1"/>
        </w:rPr>
        <w:t xml:space="preserve">. </w:t>
      </w:r>
      <w:r w:rsidRPr="00CA130F">
        <w:rPr>
          <w:rFonts w:ascii="Palatino Linotype" w:hAnsi="Palatino Linotype"/>
          <w:b/>
          <w:color w:val="000000" w:themeColor="text1"/>
          <w:sz w:val="24"/>
          <w:szCs w:val="24"/>
          <w:lang w:eastAsia="es-ES_tradnl"/>
        </w:rPr>
        <w:t>Notifíquese</w:t>
      </w:r>
      <w:r w:rsidRPr="00CA130F">
        <w:rPr>
          <w:rFonts w:ascii="Palatino Linotype" w:hAnsi="Palatino Linotype"/>
          <w:color w:val="000000" w:themeColor="text1"/>
          <w:sz w:val="24"/>
          <w:szCs w:val="24"/>
          <w:lang w:eastAsia="es-ES_tradnl"/>
        </w:rPr>
        <w:t xml:space="preserve"> al Titular de la Unidad de Transparencia del </w:t>
      </w:r>
      <w:r w:rsidRPr="00CA130F">
        <w:rPr>
          <w:rFonts w:ascii="Palatino Linotype" w:hAnsi="Palatino Linotype"/>
          <w:b/>
          <w:color w:val="000000" w:themeColor="text1"/>
          <w:sz w:val="24"/>
          <w:szCs w:val="24"/>
          <w:lang w:eastAsia="es-ES_tradnl"/>
        </w:rPr>
        <w:t>SUJETO OBLIGADO</w:t>
      </w:r>
      <w:r w:rsidRPr="00CA130F">
        <w:rPr>
          <w:rFonts w:ascii="Palatino Linotype" w:hAnsi="Palatino Linotype"/>
          <w:color w:val="000000" w:themeColor="text1"/>
          <w:sz w:val="24"/>
          <w:szCs w:val="24"/>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Pr="00CA130F">
        <w:rPr>
          <w:rFonts w:ascii="Palatino Linotype" w:hAnsi="Palatino Linotype"/>
          <w:b/>
          <w:color w:val="000000" w:themeColor="text1"/>
          <w:sz w:val="24"/>
          <w:szCs w:val="24"/>
          <w:lang w:eastAsia="es-ES_tradnl"/>
        </w:rPr>
        <w:t>diez días</w:t>
      </w:r>
      <w:r w:rsidRPr="00CA130F">
        <w:rPr>
          <w:rFonts w:ascii="Palatino Linotype" w:hAnsi="Palatino Linotype"/>
          <w:color w:val="000000" w:themeColor="text1"/>
          <w:sz w:val="24"/>
          <w:szCs w:val="24"/>
          <w:lang w:eastAsia="es-ES_tradnl"/>
        </w:rPr>
        <w:t xml:space="preserve"> </w:t>
      </w:r>
      <w:r w:rsidRPr="00CA130F">
        <w:rPr>
          <w:rFonts w:ascii="Palatino Linotype" w:hAnsi="Palatino Linotype"/>
          <w:color w:val="000000" w:themeColor="text1"/>
          <w:sz w:val="24"/>
          <w:szCs w:val="24"/>
          <w:lang w:eastAsia="es-ES_tradnl"/>
        </w:rPr>
        <w:lastRenderedPageBreak/>
        <w:t>hábiles, debiendo informar a este Instituto en un plazo de tres días hábiles siguientes sobre el cumplimiento dado a la resolución.</w:t>
      </w:r>
    </w:p>
    <w:p w14:paraId="620AA04D" w14:textId="77777777" w:rsidR="00435682" w:rsidRPr="00CA130F" w:rsidRDefault="00435682" w:rsidP="00435682">
      <w:pPr>
        <w:widowControl w:val="0"/>
        <w:tabs>
          <w:tab w:val="left" w:pos="1701"/>
        </w:tabs>
        <w:autoSpaceDE w:val="0"/>
        <w:autoSpaceDN w:val="0"/>
        <w:adjustRightInd w:val="0"/>
        <w:spacing w:before="240" w:after="240" w:line="360" w:lineRule="auto"/>
        <w:jc w:val="both"/>
        <w:rPr>
          <w:rFonts w:ascii="Palatino Linotype" w:hAnsi="Palatino Linotype"/>
          <w:color w:val="000000" w:themeColor="text1"/>
          <w:sz w:val="24"/>
          <w:szCs w:val="24"/>
          <w:lang w:eastAsia="es-ES_tradnl"/>
        </w:rPr>
      </w:pPr>
      <w:r w:rsidRPr="00CA130F">
        <w:rPr>
          <w:rFonts w:ascii="Palatino Linotype" w:hAnsi="Palatino Linotype" w:cs="Arial"/>
          <w:b/>
          <w:bCs/>
          <w:color w:val="000000" w:themeColor="text1"/>
          <w:sz w:val="28"/>
          <w:lang w:eastAsia="es-MX"/>
        </w:rPr>
        <w:t>CUARTO.</w:t>
      </w:r>
      <w:r w:rsidRPr="00CA130F">
        <w:rPr>
          <w:rFonts w:ascii="Palatino Linotype" w:hAnsi="Palatino Linotype"/>
          <w:b/>
          <w:color w:val="000000" w:themeColor="text1"/>
          <w:szCs w:val="17"/>
          <w:lang w:eastAsia="es-ES_tradnl"/>
        </w:rPr>
        <w:t xml:space="preserve"> </w:t>
      </w:r>
      <w:r w:rsidRPr="00CA130F">
        <w:rPr>
          <w:rFonts w:ascii="Palatino Linotype" w:hAnsi="Palatino Linotype"/>
          <w:color w:val="000000" w:themeColor="text1"/>
          <w:sz w:val="24"/>
          <w:szCs w:val="24"/>
          <w:lang w:eastAsia="es-ES_tradnl"/>
        </w:rPr>
        <w:t xml:space="preserve">Con fundamento en el artículo 198 de la Ley de Transparencia y Acceso a la Información Pública del Estado de México y Municipios, se apercibe al </w:t>
      </w:r>
      <w:r w:rsidRPr="00CA130F">
        <w:rPr>
          <w:rFonts w:ascii="Palatino Linotype" w:hAnsi="Palatino Linotype"/>
          <w:b/>
          <w:color w:val="000000" w:themeColor="text1"/>
          <w:sz w:val="24"/>
          <w:szCs w:val="24"/>
          <w:lang w:eastAsia="es-ES_tradnl"/>
        </w:rPr>
        <w:t>SUJETO OBLIGADO</w:t>
      </w:r>
      <w:r w:rsidRPr="00CA130F">
        <w:rPr>
          <w:rFonts w:ascii="Palatino Linotype" w:hAnsi="Palatino Linotype"/>
          <w:color w:val="000000" w:themeColor="text1"/>
          <w:sz w:val="24"/>
          <w:szCs w:val="24"/>
          <w:lang w:eastAsia="es-ES_tradnl"/>
        </w:rPr>
        <w:t xml:space="preserve"> que, en caso de negarse a cumplir la presente resolución o hacerlo de manera parcial se actuará de conformidad con lo previsto en los artículos 213, 214, 216 y 217 de dicha Ley.</w:t>
      </w:r>
    </w:p>
    <w:p w14:paraId="4CB498A4" w14:textId="77777777" w:rsidR="00435682" w:rsidRPr="00CA130F" w:rsidRDefault="00435682" w:rsidP="00435682">
      <w:pPr>
        <w:widowControl w:val="0"/>
        <w:tabs>
          <w:tab w:val="left" w:pos="1560"/>
        </w:tabs>
        <w:autoSpaceDE w:val="0"/>
        <w:autoSpaceDN w:val="0"/>
        <w:adjustRightInd w:val="0"/>
        <w:spacing w:before="240" w:after="240" w:line="360" w:lineRule="auto"/>
        <w:jc w:val="both"/>
        <w:rPr>
          <w:rFonts w:ascii="Palatino Linotype" w:hAnsi="Palatino Linotype"/>
          <w:color w:val="000000" w:themeColor="text1"/>
          <w:sz w:val="24"/>
          <w:szCs w:val="24"/>
          <w:lang w:eastAsia="es-ES_tradnl"/>
        </w:rPr>
      </w:pPr>
      <w:r w:rsidRPr="00CA130F">
        <w:rPr>
          <w:rFonts w:ascii="Palatino Linotype" w:hAnsi="Palatino Linotype" w:cs="Arial"/>
          <w:b/>
          <w:bCs/>
          <w:color w:val="000000" w:themeColor="text1"/>
          <w:sz w:val="28"/>
          <w:lang w:eastAsia="es-MX"/>
        </w:rPr>
        <w:t>QUINTO.</w:t>
      </w:r>
      <w:r w:rsidRPr="00CA130F">
        <w:rPr>
          <w:rFonts w:ascii="Palatino Linotype" w:hAnsi="Palatino Linotype"/>
          <w:color w:val="000000" w:themeColor="text1"/>
          <w:szCs w:val="17"/>
          <w:lang w:eastAsia="es-ES_tradnl"/>
        </w:rPr>
        <w:t xml:space="preserve"> </w:t>
      </w:r>
      <w:r w:rsidRPr="00CA130F">
        <w:rPr>
          <w:rFonts w:ascii="Palatino Linotype" w:hAnsi="Palatino Linotype"/>
          <w:b/>
          <w:color w:val="000000" w:themeColor="text1"/>
          <w:sz w:val="24"/>
          <w:szCs w:val="24"/>
          <w:lang w:eastAsia="es-ES_tradnl"/>
        </w:rPr>
        <w:t>Notifíquese</w:t>
      </w:r>
      <w:r w:rsidRPr="00CA130F">
        <w:rPr>
          <w:rFonts w:ascii="Palatino Linotype" w:hAnsi="Palatino Linotype"/>
          <w:color w:val="000000" w:themeColor="text1"/>
          <w:sz w:val="24"/>
          <w:szCs w:val="24"/>
          <w:lang w:eastAsia="es-ES_tradnl"/>
        </w:rPr>
        <w:t xml:space="preserve"> al </w:t>
      </w:r>
      <w:r w:rsidRPr="00CA130F">
        <w:rPr>
          <w:rFonts w:ascii="Palatino Linotype" w:hAnsi="Palatino Linotype"/>
          <w:b/>
          <w:color w:val="000000" w:themeColor="text1"/>
          <w:sz w:val="24"/>
          <w:szCs w:val="24"/>
        </w:rPr>
        <w:t>RECURRENTE</w:t>
      </w:r>
      <w:r w:rsidRPr="00CA130F">
        <w:rPr>
          <w:rFonts w:ascii="Palatino Linotype" w:hAnsi="Palatino Linotype"/>
          <w:color w:val="000000" w:themeColor="text1"/>
          <w:sz w:val="24"/>
          <w:szCs w:val="24"/>
          <w:lang w:eastAsia="es-ES_tradnl"/>
        </w:rPr>
        <w:t xml:space="preserve"> la presente resolución vía Sistema de Acceso a la Información Pública Mexiquense (SAIMEX).</w:t>
      </w:r>
    </w:p>
    <w:p w14:paraId="4750B048" w14:textId="77777777" w:rsidR="002C3878" w:rsidRPr="00CA130F" w:rsidRDefault="00435682" w:rsidP="002C3878">
      <w:pPr>
        <w:spacing w:before="100" w:beforeAutospacing="1" w:after="100" w:afterAutospacing="1" w:line="360" w:lineRule="auto"/>
        <w:jc w:val="both"/>
        <w:rPr>
          <w:rFonts w:ascii="Palatino Linotype" w:hAnsi="Palatino Linotype"/>
          <w:sz w:val="24"/>
          <w:szCs w:val="24"/>
          <w:lang w:eastAsia="es-ES_tradnl"/>
        </w:rPr>
      </w:pPr>
      <w:r w:rsidRPr="00CA130F">
        <w:rPr>
          <w:rFonts w:ascii="Palatino Linotype" w:hAnsi="Palatino Linotype" w:cs="Arial"/>
          <w:b/>
          <w:bCs/>
          <w:color w:val="000000" w:themeColor="text1"/>
          <w:sz w:val="28"/>
          <w:lang w:eastAsia="es-MX"/>
        </w:rPr>
        <w:t>SEXTO.</w:t>
      </w:r>
      <w:r w:rsidR="002C3878" w:rsidRPr="00CA130F">
        <w:rPr>
          <w:rFonts w:ascii="Palatino Linotype" w:hAnsi="Palatino Linotype"/>
          <w:szCs w:val="17"/>
          <w:lang w:eastAsia="es-ES_tradnl"/>
        </w:rPr>
        <w:t xml:space="preserve"> </w:t>
      </w:r>
      <w:r w:rsidR="002C3878" w:rsidRPr="00CA130F">
        <w:rPr>
          <w:rFonts w:ascii="Palatino Linotype" w:hAnsi="Palatino Linotype"/>
          <w:sz w:val="24"/>
          <w:szCs w:val="24"/>
          <w:lang w:eastAsia="es-ES_tradnl"/>
        </w:rPr>
        <w:t xml:space="preserve">De conformidad con el artículo 198 de la Ley de Transparencia y Acceso a la Información Pública del Estado de México y Municipios, de considerarlo procedente, </w:t>
      </w:r>
      <w:r w:rsidR="002C3878" w:rsidRPr="00CA130F">
        <w:rPr>
          <w:rFonts w:ascii="Palatino Linotype" w:hAnsi="Palatino Linotype"/>
          <w:b/>
          <w:bCs/>
          <w:sz w:val="24"/>
          <w:szCs w:val="24"/>
          <w:lang w:eastAsia="es-ES_tradnl"/>
        </w:rPr>
        <w:t>EL SUJETO OBLIGADO</w:t>
      </w:r>
      <w:r w:rsidR="002C3878" w:rsidRPr="00CA130F">
        <w:rPr>
          <w:rFonts w:ascii="Palatino Linotype" w:hAnsi="Palatino Linotype"/>
          <w:sz w:val="24"/>
          <w:szCs w:val="24"/>
          <w:lang w:eastAsia="es-ES_tradnl"/>
        </w:rPr>
        <w:t xml:space="preserve"> de manera fundada y motivada, podrá solicitar una ampliación de plazo para el cumplimiento de la presente resolución.</w:t>
      </w:r>
    </w:p>
    <w:p w14:paraId="7D8798CA" w14:textId="77777777" w:rsidR="00435682" w:rsidRPr="00CA130F" w:rsidRDefault="002C3878" w:rsidP="00435682">
      <w:pPr>
        <w:widowControl w:val="0"/>
        <w:tabs>
          <w:tab w:val="left" w:pos="1276"/>
        </w:tabs>
        <w:autoSpaceDE w:val="0"/>
        <w:autoSpaceDN w:val="0"/>
        <w:adjustRightInd w:val="0"/>
        <w:spacing w:before="240" w:after="240" w:line="360" w:lineRule="auto"/>
        <w:ind w:right="49"/>
        <w:jc w:val="both"/>
        <w:rPr>
          <w:rFonts w:ascii="Palatino Linotype" w:hAnsi="Palatino Linotype"/>
          <w:color w:val="000000" w:themeColor="text1"/>
          <w:sz w:val="24"/>
          <w:szCs w:val="24"/>
          <w:lang w:eastAsia="es-ES_tradnl"/>
        </w:rPr>
      </w:pPr>
      <w:r w:rsidRPr="00CA130F">
        <w:rPr>
          <w:rFonts w:ascii="Palatino Linotype" w:hAnsi="Palatino Linotype"/>
          <w:b/>
          <w:color w:val="000000" w:themeColor="text1"/>
          <w:sz w:val="28"/>
          <w:szCs w:val="28"/>
          <w:lang w:eastAsia="es-ES_tradnl"/>
        </w:rPr>
        <w:t>SÉTIMO</w:t>
      </w:r>
      <w:r w:rsidRPr="00CA130F">
        <w:rPr>
          <w:rFonts w:ascii="Palatino Linotype" w:hAnsi="Palatino Linotype"/>
          <w:b/>
          <w:color w:val="000000" w:themeColor="text1"/>
          <w:szCs w:val="17"/>
          <w:lang w:eastAsia="es-ES_tradnl"/>
        </w:rPr>
        <w:t xml:space="preserve">. </w:t>
      </w:r>
      <w:r w:rsidR="00435682" w:rsidRPr="00CA130F">
        <w:rPr>
          <w:rFonts w:ascii="Palatino Linotype" w:hAnsi="Palatino Linotype"/>
          <w:b/>
          <w:color w:val="000000" w:themeColor="text1"/>
          <w:sz w:val="24"/>
          <w:szCs w:val="24"/>
          <w:lang w:eastAsia="es-ES_tradnl"/>
        </w:rPr>
        <w:t>Hágase</w:t>
      </w:r>
      <w:r w:rsidR="00435682" w:rsidRPr="00CA130F">
        <w:rPr>
          <w:rFonts w:ascii="Palatino Linotype" w:hAnsi="Palatino Linotype"/>
          <w:color w:val="000000" w:themeColor="text1"/>
          <w:sz w:val="24"/>
          <w:szCs w:val="24"/>
          <w:lang w:eastAsia="es-ES_tradnl"/>
        </w:rPr>
        <w:t xml:space="preserve"> </w:t>
      </w:r>
      <w:r w:rsidR="00435682" w:rsidRPr="00CA130F">
        <w:rPr>
          <w:rFonts w:ascii="Palatino Linotype" w:hAnsi="Palatino Linotype"/>
          <w:b/>
          <w:color w:val="000000" w:themeColor="text1"/>
          <w:sz w:val="24"/>
          <w:szCs w:val="24"/>
          <w:lang w:eastAsia="es-ES_tradnl"/>
        </w:rPr>
        <w:t>del conocimiento</w:t>
      </w:r>
      <w:r w:rsidR="00435682" w:rsidRPr="00CA130F">
        <w:rPr>
          <w:rFonts w:ascii="Palatino Linotype" w:hAnsi="Palatino Linotype"/>
          <w:color w:val="000000" w:themeColor="text1"/>
          <w:sz w:val="24"/>
          <w:szCs w:val="24"/>
          <w:lang w:eastAsia="es-ES_tradnl"/>
        </w:rPr>
        <w:t xml:space="preserve"> </w:t>
      </w:r>
      <w:r w:rsidR="00435682" w:rsidRPr="00CA130F">
        <w:rPr>
          <w:rFonts w:ascii="Palatino Linotype" w:hAnsi="Palatino Linotype"/>
          <w:color w:val="000000" w:themeColor="text1"/>
          <w:sz w:val="24"/>
          <w:szCs w:val="24"/>
        </w:rPr>
        <w:t>del</w:t>
      </w:r>
      <w:r w:rsidR="00435682" w:rsidRPr="00CA130F">
        <w:rPr>
          <w:rFonts w:ascii="Palatino Linotype" w:hAnsi="Palatino Linotype"/>
          <w:b/>
          <w:color w:val="000000" w:themeColor="text1"/>
          <w:sz w:val="24"/>
          <w:szCs w:val="24"/>
        </w:rPr>
        <w:t xml:space="preserve"> RECURRENTE</w:t>
      </w:r>
      <w:r w:rsidR="00435682" w:rsidRPr="00CA130F">
        <w:rPr>
          <w:rFonts w:ascii="Palatino Linotype" w:hAnsi="Palatino Linotype"/>
          <w:color w:val="000000" w:themeColor="text1"/>
          <w:sz w:val="24"/>
          <w:szCs w:val="24"/>
        </w:rPr>
        <w:t xml:space="preserve"> </w:t>
      </w:r>
      <w:r w:rsidR="00435682" w:rsidRPr="00CA130F">
        <w:rPr>
          <w:rFonts w:ascii="Palatino Linotype" w:hAnsi="Palatino Linotype"/>
          <w:color w:val="000000" w:themeColor="text1"/>
          <w:sz w:val="24"/>
          <w:szCs w:val="24"/>
          <w:lang w:eastAsia="es-ES_tradnl"/>
        </w:rPr>
        <w:t xml:space="preserve">que, de conformidad </w:t>
      </w:r>
      <w:r w:rsidR="00435682" w:rsidRPr="00CA130F">
        <w:rPr>
          <w:rFonts w:ascii="Palatino Linotype" w:hAnsi="Palatino Linotype" w:cs="Arial"/>
          <w:color w:val="000000" w:themeColor="text1"/>
          <w:sz w:val="24"/>
          <w:szCs w:val="24"/>
        </w:rPr>
        <w:t>con</w:t>
      </w:r>
      <w:r w:rsidR="00435682" w:rsidRPr="00CA130F">
        <w:rPr>
          <w:rFonts w:ascii="Palatino Linotype" w:hAnsi="Palatino Linotype"/>
          <w:color w:val="000000" w:themeColor="text1"/>
          <w:sz w:val="24"/>
          <w:szCs w:val="24"/>
          <w:lang w:eastAsia="es-ES_tradnl"/>
        </w:rPr>
        <w:t xml:space="preserve"> lo </w:t>
      </w:r>
      <w:r w:rsidR="00435682" w:rsidRPr="00CA130F">
        <w:rPr>
          <w:rFonts w:ascii="Palatino Linotype" w:hAnsi="Palatino Linotype" w:cs="Arial"/>
          <w:color w:val="000000" w:themeColor="text1"/>
          <w:sz w:val="24"/>
          <w:szCs w:val="24"/>
        </w:rPr>
        <w:t>establecido</w:t>
      </w:r>
      <w:r w:rsidR="00435682" w:rsidRPr="00CA130F">
        <w:rPr>
          <w:rFonts w:ascii="Palatino Linotype" w:hAnsi="Palatino Linotype"/>
          <w:color w:val="000000" w:themeColor="text1"/>
          <w:sz w:val="24"/>
          <w:szCs w:val="24"/>
          <w:lang w:eastAsia="es-ES_tradnl"/>
        </w:rPr>
        <w:t xml:space="preserve"> en el artículo 196 de la Ley de </w:t>
      </w:r>
      <w:r w:rsidR="00435682" w:rsidRPr="00CA130F">
        <w:rPr>
          <w:rFonts w:ascii="Palatino Linotype" w:hAnsi="Palatino Linotype" w:cs="Arial"/>
          <w:color w:val="000000" w:themeColor="text1"/>
          <w:sz w:val="24"/>
          <w:szCs w:val="24"/>
        </w:rPr>
        <w:t>Transparencia</w:t>
      </w:r>
      <w:r w:rsidR="00435682" w:rsidRPr="00CA130F">
        <w:rPr>
          <w:rFonts w:ascii="Palatino Linotype" w:hAnsi="Palatino Linotype"/>
          <w:color w:val="000000" w:themeColor="text1"/>
          <w:sz w:val="24"/>
          <w:szCs w:val="24"/>
          <w:lang w:eastAsia="es-ES_tradnl"/>
        </w:rPr>
        <w:t xml:space="preserve"> y </w:t>
      </w:r>
      <w:r w:rsidR="00435682" w:rsidRPr="00CA130F">
        <w:rPr>
          <w:rFonts w:ascii="Palatino Linotype" w:hAnsi="Palatino Linotype" w:cs="Arial"/>
          <w:color w:val="000000" w:themeColor="text1"/>
          <w:sz w:val="24"/>
          <w:szCs w:val="24"/>
        </w:rPr>
        <w:t>Acceso</w:t>
      </w:r>
      <w:r w:rsidR="00435682" w:rsidRPr="00CA130F">
        <w:rPr>
          <w:rFonts w:ascii="Palatino Linotype" w:hAnsi="Palatino Linotype"/>
          <w:color w:val="000000" w:themeColor="text1"/>
          <w:sz w:val="24"/>
          <w:szCs w:val="24"/>
          <w:lang w:eastAsia="es-ES_tradnl"/>
        </w:rPr>
        <w:t xml:space="preserve"> a la Información Pública del Estado de México y Municipios, podrá impugnarla vía Juicio de Amparo en los términos de las leyes aplicables.</w:t>
      </w:r>
    </w:p>
    <w:p w14:paraId="55FD6708" w14:textId="3C057ABE" w:rsidR="00435682" w:rsidRPr="00CA130F" w:rsidRDefault="00435682" w:rsidP="00435682">
      <w:pPr>
        <w:spacing w:line="360" w:lineRule="auto"/>
        <w:jc w:val="both"/>
        <w:rPr>
          <w:rFonts w:ascii="Palatino Linotype" w:hAnsi="Palatino Linotype"/>
        </w:rPr>
      </w:pPr>
      <w:r w:rsidRPr="00CA130F">
        <w:rPr>
          <w:rFonts w:ascii="Palatino Linotype" w:hAnsi="Palatino Linotype"/>
        </w:rPr>
        <w:t xml:space="preserve">ASÍ LO RESUELVE, POR </w:t>
      </w:r>
      <w:r w:rsidR="00A32C69" w:rsidRPr="00CA130F">
        <w:rPr>
          <w:rFonts w:ascii="Palatino Linotype" w:hAnsi="Palatino Linotype"/>
        </w:rPr>
        <w:t>UNANIMIDAD</w:t>
      </w:r>
      <w:r w:rsidRPr="00CA130F">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CA130F">
        <w:rPr>
          <w:rFonts w:ascii="Palatino Linotype" w:hAnsi="Palatino Linotype"/>
        </w:rPr>
        <w:lastRenderedPageBreak/>
        <w:t>S</w:t>
      </w:r>
      <w:r w:rsidR="00AC116D" w:rsidRPr="00CA130F">
        <w:rPr>
          <w:rFonts w:ascii="Palatino Linotype" w:hAnsi="Palatino Linotype"/>
        </w:rPr>
        <w:t>HARON CRISTINA MORALES MARTÍNEZ (AUSENCIA JUSTIFICADA);</w:t>
      </w:r>
      <w:r w:rsidRPr="00CA130F">
        <w:rPr>
          <w:rFonts w:ascii="Palatino Linotype" w:hAnsi="Palatino Linotype"/>
        </w:rPr>
        <w:t xml:space="preserve"> LUIS GUSTAVO PARRA NORIEGA Y GUADALUPE RAMÍREZ PEÑA; EN LA </w:t>
      </w:r>
      <w:r w:rsidR="00AC116D" w:rsidRPr="00CA130F">
        <w:rPr>
          <w:rFonts w:ascii="Palatino Linotype" w:hAnsi="Palatino Linotype"/>
        </w:rPr>
        <w:t>QUINTA</w:t>
      </w:r>
      <w:r w:rsidRPr="00CA130F">
        <w:rPr>
          <w:rFonts w:ascii="Palatino Linotype" w:hAnsi="Palatino Linotype"/>
        </w:rPr>
        <w:t xml:space="preserve"> SESIÓN ORDINARIA CELEBRADA EL </w:t>
      </w:r>
      <w:r w:rsidR="00AC116D" w:rsidRPr="00CA130F">
        <w:rPr>
          <w:rFonts w:ascii="Palatino Linotype" w:hAnsi="Palatino Linotype"/>
        </w:rPr>
        <w:t>DIEZ DE FEBRERO DE DOS MIL VEINTIDÓS</w:t>
      </w:r>
      <w:r w:rsidRPr="00CA130F">
        <w:rPr>
          <w:rFonts w:ascii="Palatino Linotype" w:hAnsi="Palatino Linotype"/>
        </w:rPr>
        <w:t>, ANTE EL SECRETARIO TÉCNICO DEL PLENO, ALEXIS TAPIA RAMÍREZ.</w:t>
      </w:r>
    </w:p>
    <w:p w14:paraId="75667C3D" w14:textId="77777777" w:rsidR="00435682" w:rsidRDefault="00AC116D" w:rsidP="00435682">
      <w:pPr>
        <w:spacing w:after="0" w:line="240" w:lineRule="auto"/>
        <w:jc w:val="both"/>
        <w:rPr>
          <w:rFonts w:ascii="Palatino Linotype" w:hAnsi="Palatino Linotype"/>
          <w:sz w:val="14"/>
          <w:szCs w:val="14"/>
        </w:rPr>
      </w:pPr>
      <w:r w:rsidRPr="00CA130F">
        <w:rPr>
          <w:rFonts w:ascii="Palatino Linotype" w:hAnsi="Palatino Linotype"/>
          <w:sz w:val="14"/>
          <w:szCs w:val="14"/>
        </w:rPr>
        <w:t>JMV/CCR/</w:t>
      </w:r>
      <w:r w:rsidR="00435682" w:rsidRPr="00CA130F">
        <w:rPr>
          <w:rFonts w:ascii="Palatino Linotype" w:hAnsi="Palatino Linotype"/>
          <w:sz w:val="14"/>
          <w:szCs w:val="14"/>
        </w:rPr>
        <w:t>/BLA/DEMF/AMV</w:t>
      </w:r>
    </w:p>
    <w:p w14:paraId="77B9244C" w14:textId="77777777" w:rsidR="00435682" w:rsidRDefault="00435682" w:rsidP="00435682">
      <w:pPr>
        <w:spacing w:after="0" w:line="240" w:lineRule="auto"/>
        <w:rPr>
          <w:rFonts w:ascii="Palatino Linotype" w:hAnsi="Palatino Linotype" w:cs="Arial"/>
          <w:sz w:val="16"/>
          <w:szCs w:val="16"/>
          <w:lang w:val="es-ES"/>
        </w:rPr>
      </w:pPr>
      <w:r>
        <w:rPr>
          <w:rFonts w:ascii="Palatino Linotype" w:hAnsi="Palatino Linotype" w:cs="Arial"/>
          <w:sz w:val="16"/>
          <w:szCs w:val="16"/>
          <w:lang w:val="es-ES"/>
        </w:rPr>
        <w:br w:type="page"/>
      </w:r>
    </w:p>
    <w:p w14:paraId="14B2666E" w14:textId="77777777" w:rsidR="00435682" w:rsidRPr="00BA7E71" w:rsidRDefault="00435682" w:rsidP="00435682">
      <w:pPr>
        <w:jc w:val="both"/>
        <w:rPr>
          <w:sz w:val="16"/>
          <w:szCs w:val="16"/>
        </w:rPr>
      </w:pPr>
    </w:p>
    <w:p w14:paraId="1B105651" w14:textId="77777777" w:rsidR="00435682" w:rsidRDefault="00435682" w:rsidP="00435682"/>
    <w:p w14:paraId="5CCC186C" w14:textId="77777777" w:rsidR="00435682" w:rsidRDefault="00435682" w:rsidP="00435682"/>
    <w:p w14:paraId="1CD1CD84" w14:textId="77777777" w:rsidR="00435682" w:rsidRDefault="00435682" w:rsidP="00435682"/>
    <w:p w14:paraId="37C5F21B" w14:textId="77777777" w:rsidR="0007650C" w:rsidRDefault="0007650C"/>
    <w:sectPr w:rsidR="0007650C" w:rsidSect="002F515B">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ABAF9" w14:textId="77777777" w:rsidR="001D4883" w:rsidRDefault="001D4883" w:rsidP="00435682">
      <w:pPr>
        <w:spacing w:after="0" w:line="240" w:lineRule="auto"/>
      </w:pPr>
      <w:r>
        <w:separator/>
      </w:r>
    </w:p>
  </w:endnote>
  <w:endnote w:type="continuationSeparator" w:id="0">
    <w:p w14:paraId="7B8E8242" w14:textId="77777777" w:rsidR="001D4883" w:rsidRDefault="001D4883" w:rsidP="00435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F05D9" w14:textId="77777777" w:rsidR="00872548" w:rsidRPr="0010196A" w:rsidRDefault="00872548" w:rsidP="002F515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93654">
      <w:rPr>
        <w:rFonts w:ascii="Palatino Linotype" w:hAnsi="Palatino Linotype" w:cs="Arial"/>
        <w:bCs/>
        <w:noProof/>
        <w:sz w:val="22"/>
        <w:szCs w:val="22"/>
      </w:rPr>
      <w:t>44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93654">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2D4B8" w14:textId="77777777" w:rsidR="00872548" w:rsidRPr="0010196A" w:rsidRDefault="00872548" w:rsidP="002F515B">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9365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93654">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9BCF4" w14:textId="77777777" w:rsidR="001D4883" w:rsidRDefault="001D4883" w:rsidP="00435682">
      <w:pPr>
        <w:spacing w:after="0" w:line="240" w:lineRule="auto"/>
      </w:pPr>
      <w:r>
        <w:separator/>
      </w:r>
    </w:p>
  </w:footnote>
  <w:footnote w:type="continuationSeparator" w:id="0">
    <w:p w14:paraId="75B7A2B1" w14:textId="77777777" w:rsidR="001D4883" w:rsidRDefault="001D4883" w:rsidP="00435682">
      <w:pPr>
        <w:spacing w:after="0" w:line="240" w:lineRule="auto"/>
      </w:pPr>
      <w:r>
        <w:continuationSeparator/>
      </w:r>
    </w:p>
  </w:footnote>
  <w:footnote w:id="1">
    <w:p w14:paraId="2752F067" w14:textId="77777777" w:rsidR="00872548" w:rsidRPr="00787784" w:rsidRDefault="00872548" w:rsidP="000D63CF">
      <w:pPr>
        <w:pStyle w:val="Textonotapie"/>
        <w:rPr>
          <w:rFonts w:ascii="Palatino Linotype" w:hAnsi="Palatino Linotype"/>
          <w:sz w:val="16"/>
          <w:szCs w:val="16"/>
        </w:rPr>
      </w:pPr>
      <w:r>
        <w:rPr>
          <w:rStyle w:val="Refdenotaalpie"/>
        </w:rPr>
        <w:footnoteRef/>
      </w:r>
      <w:r>
        <w:t xml:space="preserve"> </w:t>
      </w:r>
      <w:r w:rsidRPr="00787784">
        <w:rPr>
          <w:rFonts w:ascii="Palatino Linotype" w:hAnsi="Palatino Linotype"/>
          <w:sz w:val="16"/>
          <w:szCs w:val="16"/>
        </w:rPr>
        <w:t>Consultable en: https://www.ipomex.org.mx/ipo3/lgt/indice/TEZOYUCA/art_93_i/1.web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2F970" w14:textId="77777777" w:rsidR="00872548" w:rsidRDefault="00F93654">
    <w:pPr>
      <w:pStyle w:val="Encabezado"/>
    </w:pPr>
    <w:r>
      <w:rPr>
        <w:noProof/>
        <w:lang w:val="es-MX" w:eastAsia="es-MX"/>
      </w:rPr>
      <w:pict w14:anchorId="6ACE8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C0533" w14:textId="77777777" w:rsidR="00872548" w:rsidRPr="0010196A" w:rsidRDefault="00F93654" w:rsidP="002F515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055B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872548" w:rsidRPr="008F2CCC" w14:paraId="12CF4A52" w14:textId="77777777" w:rsidTr="002F515B">
      <w:tc>
        <w:tcPr>
          <w:tcW w:w="2977" w:type="dxa"/>
          <w:vMerge w:val="restart"/>
        </w:tcPr>
        <w:p w14:paraId="669061CC" w14:textId="77777777" w:rsidR="00872548" w:rsidRPr="008F2CCC" w:rsidRDefault="00872548" w:rsidP="002F515B">
          <w:pPr>
            <w:spacing w:after="0" w:line="240" w:lineRule="auto"/>
            <w:rPr>
              <w:rFonts w:ascii="Palatino Linotype" w:hAnsi="Palatino Linotype"/>
              <w:b/>
              <w:lang w:val="es-ES_tradnl"/>
            </w:rPr>
          </w:pPr>
          <w:r>
            <w:rPr>
              <w:rFonts w:ascii="Palatino Linotype" w:hAnsi="Palatino Linotype"/>
              <w:noProof/>
              <w:sz w:val="28"/>
              <w:szCs w:val="28"/>
              <w:lang w:eastAsia="es-MX"/>
            </w:rPr>
            <w:drawing>
              <wp:inline distT="0" distB="0" distL="0" distR="0" wp14:anchorId="441E3C4A" wp14:editId="56FBAC9C">
                <wp:extent cx="1531121" cy="771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569783" cy="791007"/>
                        </a:xfrm>
                        <a:prstGeom prst="rect">
                          <a:avLst/>
                        </a:prstGeom>
                      </pic:spPr>
                    </pic:pic>
                  </a:graphicData>
                </a:graphic>
              </wp:inline>
            </w:drawing>
          </w:r>
        </w:p>
      </w:tc>
      <w:tc>
        <w:tcPr>
          <w:tcW w:w="2551" w:type="dxa"/>
          <w:shd w:val="clear" w:color="auto" w:fill="auto"/>
        </w:tcPr>
        <w:p w14:paraId="4C04BB01" w14:textId="77777777" w:rsidR="00872548" w:rsidRPr="00664658" w:rsidRDefault="00872548" w:rsidP="002F515B">
          <w:pPr>
            <w:spacing w:after="0" w:line="240" w:lineRule="auto"/>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722" w:type="dxa"/>
          <w:shd w:val="clear" w:color="auto" w:fill="auto"/>
          <w:vAlign w:val="center"/>
        </w:tcPr>
        <w:p w14:paraId="6C8704C7" w14:textId="77777777" w:rsidR="00872548" w:rsidRPr="00E71E49" w:rsidRDefault="00872548" w:rsidP="00134153">
          <w:pPr>
            <w:spacing w:after="0" w:line="240" w:lineRule="auto"/>
            <w:jc w:val="both"/>
            <w:rPr>
              <w:lang w:eastAsia="es-MX"/>
            </w:rPr>
          </w:pPr>
          <w:r>
            <w:rPr>
              <w:rFonts w:ascii="Palatino Linotype" w:hAnsi="Palatino Linotype"/>
              <w:b/>
            </w:rPr>
            <w:t>05922/INFOEM/ICR-57</w:t>
          </w:r>
          <w:r w:rsidRPr="00E71E49">
            <w:rPr>
              <w:rFonts w:ascii="Palatino Linotype" w:hAnsi="Palatino Linotype"/>
              <w:b/>
            </w:rPr>
            <w:t>/IP/RR/202</w:t>
          </w:r>
          <w:r>
            <w:rPr>
              <w:rFonts w:ascii="Palatino Linotype" w:hAnsi="Palatino Linotype"/>
              <w:b/>
            </w:rPr>
            <w:t>0</w:t>
          </w:r>
        </w:p>
      </w:tc>
    </w:tr>
    <w:tr w:rsidR="00872548" w:rsidRPr="008F2CCC" w14:paraId="30ED7D9B" w14:textId="77777777" w:rsidTr="002F515B">
      <w:tc>
        <w:tcPr>
          <w:tcW w:w="2977" w:type="dxa"/>
          <w:vMerge/>
        </w:tcPr>
        <w:p w14:paraId="3562E15D" w14:textId="77777777" w:rsidR="00872548" w:rsidRPr="008F2CCC" w:rsidRDefault="00872548" w:rsidP="002F515B">
          <w:pPr>
            <w:spacing w:after="0" w:line="240" w:lineRule="auto"/>
            <w:rPr>
              <w:rFonts w:ascii="Palatino Linotype" w:hAnsi="Palatino Linotype"/>
              <w:b/>
              <w:lang w:val="es-ES_tradnl"/>
            </w:rPr>
          </w:pPr>
        </w:p>
      </w:tc>
      <w:tc>
        <w:tcPr>
          <w:tcW w:w="2551" w:type="dxa"/>
          <w:shd w:val="clear" w:color="auto" w:fill="auto"/>
        </w:tcPr>
        <w:p w14:paraId="2D6C81C1" w14:textId="77777777" w:rsidR="00872548" w:rsidRPr="00664658" w:rsidRDefault="00872548" w:rsidP="002F515B">
          <w:pPr>
            <w:spacing w:after="0" w:line="240" w:lineRule="auto"/>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722" w:type="dxa"/>
          <w:shd w:val="clear" w:color="auto" w:fill="auto"/>
          <w:vAlign w:val="center"/>
        </w:tcPr>
        <w:p w14:paraId="36BAA234" w14:textId="77777777" w:rsidR="00872548" w:rsidRPr="00D41D47" w:rsidRDefault="00872548" w:rsidP="00134153">
          <w:pPr>
            <w:spacing w:after="0" w:line="240" w:lineRule="auto"/>
            <w:jc w:val="both"/>
            <w:rPr>
              <w:rFonts w:ascii="Palatino Linotype" w:hAnsi="Palatino Linotype"/>
              <w:b/>
              <w:lang w:val="es-ES_tradnl"/>
            </w:rPr>
          </w:pPr>
          <w:r w:rsidRPr="00B36BE0">
            <w:rPr>
              <w:rFonts w:ascii="Palatino Linotype" w:hAnsi="Palatino Linotype"/>
              <w:b/>
              <w:lang w:val="es-ES_tradnl"/>
            </w:rPr>
            <w:t xml:space="preserve">Ayuntamiento de </w:t>
          </w:r>
          <w:r>
            <w:rPr>
              <w:rFonts w:ascii="Palatino Linotype" w:hAnsi="Palatino Linotype"/>
              <w:b/>
              <w:lang w:val="es-ES_tradnl"/>
            </w:rPr>
            <w:t>Tezoyuca</w:t>
          </w:r>
        </w:p>
      </w:tc>
    </w:tr>
    <w:tr w:rsidR="00872548" w:rsidRPr="008F2CCC" w14:paraId="79A963D4" w14:textId="77777777" w:rsidTr="002F515B">
      <w:trPr>
        <w:trHeight w:val="228"/>
      </w:trPr>
      <w:tc>
        <w:tcPr>
          <w:tcW w:w="2977" w:type="dxa"/>
          <w:vMerge/>
        </w:tcPr>
        <w:p w14:paraId="21F87F8C" w14:textId="77777777" w:rsidR="00872548" w:rsidRPr="008F2CCC" w:rsidRDefault="00872548" w:rsidP="002F515B">
          <w:pPr>
            <w:spacing w:after="0" w:line="240" w:lineRule="auto"/>
            <w:rPr>
              <w:rFonts w:ascii="Palatino Linotype" w:hAnsi="Palatino Linotype"/>
              <w:b/>
              <w:lang w:val="es-ES_tradnl"/>
            </w:rPr>
          </w:pPr>
        </w:p>
      </w:tc>
      <w:tc>
        <w:tcPr>
          <w:tcW w:w="2551" w:type="dxa"/>
          <w:shd w:val="clear" w:color="auto" w:fill="auto"/>
        </w:tcPr>
        <w:p w14:paraId="5541E856" w14:textId="77777777" w:rsidR="00872548" w:rsidRPr="00664658" w:rsidRDefault="00872548" w:rsidP="00134153">
          <w:pPr>
            <w:spacing w:after="0" w:line="240" w:lineRule="auto"/>
            <w:rPr>
              <w:rFonts w:ascii="Palatino Linotype" w:hAnsi="Palatino Linotype"/>
              <w:b/>
              <w:lang w:val="es-ES_tradnl"/>
            </w:rPr>
          </w:pPr>
          <w:r>
            <w:rPr>
              <w:rFonts w:ascii="Palatino Linotype" w:hAnsi="Palatino Linotype"/>
              <w:b/>
              <w:lang w:val="es-ES_tradnl"/>
            </w:rPr>
            <w:t>Comisionado Ponente:</w:t>
          </w:r>
        </w:p>
      </w:tc>
      <w:tc>
        <w:tcPr>
          <w:tcW w:w="3722" w:type="dxa"/>
          <w:shd w:val="clear" w:color="auto" w:fill="auto"/>
        </w:tcPr>
        <w:p w14:paraId="5C7B1A36" w14:textId="77777777" w:rsidR="00872548" w:rsidRPr="00664658" w:rsidRDefault="00872548" w:rsidP="002F515B">
          <w:pPr>
            <w:spacing w:after="0" w:line="240" w:lineRule="auto"/>
            <w:jc w:val="both"/>
            <w:rPr>
              <w:rFonts w:ascii="Palatino Linotype" w:hAnsi="Palatino Linotype"/>
              <w:b/>
              <w:lang w:val="es-ES_tradnl"/>
            </w:rPr>
          </w:pPr>
          <w:r>
            <w:rPr>
              <w:rFonts w:ascii="Palatino Linotype" w:hAnsi="Palatino Linotype"/>
              <w:b/>
              <w:lang w:val="es-ES_tradnl"/>
            </w:rPr>
            <w:t>José Martínez Vilchis</w:t>
          </w:r>
        </w:p>
      </w:tc>
    </w:tr>
  </w:tbl>
  <w:p w14:paraId="7267B087" w14:textId="77777777" w:rsidR="00872548" w:rsidRPr="0010196A" w:rsidRDefault="00872548" w:rsidP="002F515B">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EFCF3" w14:textId="77777777" w:rsidR="00872548" w:rsidRPr="0010196A" w:rsidRDefault="00F93654">
    <w:pPr>
      <w:rPr>
        <w:rFonts w:ascii="Palatino Linotype" w:hAnsi="Palatino Linotype"/>
        <w:sz w:val="28"/>
        <w:szCs w:val="28"/>
      </w:rPr>
    </w:pPr>
    <w:r>
      <w:rPr>
        <w:rFonts w:ascii="Palatino Linotype" w:hAnsi="Palatino Linotype"/>
        <w:noProof/>
        <w:sz w:val="28"/>
        <w:szCs w:val="28"/>
        <w:lang w:eastAsia="es-MX"/>
      </w:rPr>
      <w:pict w14:anchorId="1019D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639" w:type="dxa"/>
      <w:tblInd w:w="-284" w:type="dxa"/>
      <w:tblLayout w:type="fixed"/>
      <w:tblLook w:val="04A0" w:firstRow="1" w:lastRow="0" w:firstColumn="1" w:lastColumn="0" w:noHBand="0" w:noVBand="1"/>
    </w:tblPr>
    <w:tblGrid>
      <w:gridCol w:w="3261"/>
      <w:gridCol w:w="2552"/>
      <w:gridCol w:w="3826"/>
    </w:tblGrid>
    <w:tr w:rsidR="00872548" w:rsidRPr="008F2CCC" w14:paraId="0D17C843" w14:textId="77777777" w:rsidTr="002F515B">
      <w:tc>
        <w:tcPr>
          <w:tcW w:w="3261" w:type="dxa"/>
          <w:vMerge w:val="restart"/>
          <w:shd w:val="clear" w:color="auto" w:fill="auto"/>
        </w:tcPr>
        <w:p w14:paraId="074AB705" w14:textId="77777777" w:rsidR="00872548" w:rsidRPr="008F2CCC" w:rsidRDefault="00872548" w:rsidP="002F515B">
          <w:pPr>
            <w:spacing w:after="0" w:line="240" w:lineRule="auto"/>
            <w:rPr>
              <w:rFonts w:ascii="Palatino Linotype" w:hAnsi="Palatino Linotype"/>
              <w:b/>
              <w:lang w:val="es-ES_tradnl"/>
            </w:rPr>
          </w:pPr>
          <w:r>
            <w:rPr>
              <w:rFonts w:ascii="Palatino Linotype" w:hAnsi="Palatino Linotype"/>
              <w:noProof/>
              <w:sz w:val="28"/>
              <w:szCs w:val="28"/>
              <w:lang w:eastAsia="es-MX"/>
            </w:rPr>
            <w:drawing>
              <wp:inline distT="0" distB="0" distL="0" distR="0" wp14:anchorId="49B460A3" wp14:editId="27EC179F">
                <wp:extent cx="1512218" cy="762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546443" cy="779246"/>
                        </a:xfrm>
                        <a:prstGeom prst="rect">
                          <a:avLst/>
                        </a:prstGeom>
                      </pic:spPr>
                    </pic:pic>
                  </a:graphicData>
                </a:graphic>
              </wp:inline>
            </w:drawing>
          </w:r>
        </w:p>
      </w:tc>
      <w:tc>
        <w:tcPr>
          <w:tcW w:w="2552" w:type="dxa"/>
          <w:shd w:val="clear" w:color="auto" w:fill="auto"/>
        </w:tcPr>
        <w:p w14:paraId="585BEBE5" w14:textId="77777777" w:rsidR="00872548" w:rsidRPr="008F2CCC" w:rsidRDefault="00872548" w:rsidP="002F515B">
          <w:pPr>
            <w:spacing w:after="0" w:line="240" w:lineRule="auto"/>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826" w:type="dxa"/>
          <w:shd w:val="clear" w:color="auto" w:fill="auto"/>
          <w:vAlign w:val="center"/>
        </w:tcPr>
        <w:p w14:paraId="5975890E" w14:textId="77777777" w:rsidR="00872548" w:rsidRPr="00E71E49" w:rsidRDefault="00872548" w:rsidP="00134153">
          <w:pPr>
            <w:spacing w:after="0" w:line="240" w:lineRule="auto"/>
            <w:jc w:val="both"/>
            <w:rPr>
              <w:lang w:eastAsia="es-MX"/>
            </w:rPr>
          </w:pPr>
          <w:r>
            <w:rPr>
              <w:rFonts w:ascii="Palatino Linotype" w:hAnsi="Palatino Linotype"/>
              <w:b/>
            </w:rPr>
            <w:t>05922/INFOEM/ICR-57/IP/RR/2020</w:t>
          </w:r>
        </w:p>
      </w:tc>
    </w:tr>
    <w:tr w:rsidR="00872548" w:rsidRPr="008F2CCC" w14:paraId="2CC938A1" w14:textId="77777777" w:rsidTr="002F515B">
      <w:tc>
        <w:tcPr>
          <w:tcW w:w="3261" w:type="dxa"/>
          <w:vMerge/>
          <w:shd w:val="clear" w:color="auto" w:fill="auto"/>
        </w:tcPr>
        <w:p w14:paraId="646A7493" w14:textId="77777777" w:rsidR="00872548" w:rsidRPr="008F2CCC" w:rsidRDefault="00872548" w:rsidP="002F515B">
          <w:pPr>
            <w:spacing w:after="0" w:line="240" w:lineRule="auto"/>
            <w:rPr>
              <w:rFonts w:ascii="Palatino Linotype" w:hAnsi="Palatino Linotype"/>
              <w:b/>
              <w:lang w:val="es-ES_tradnl"/>
            </w:rPr>
          </w:pPr>
        </w:p>
      </w:tc>
      <w:tc>
        <w:tcPr>
          <w:tcW w:w="2552" w:type="dxa"/>
          <w:shd w:val="clear" w:color="auto" w:fill="auto"/>
        </w:tcPr>
        <w:p w14:paraId="63071B1E" w14:textId="77777777" w:rsidR="00872548" w:rsidRPr="008F2CCC" w:rsidRDefault="00872548" w:rsidP="002F515B">
          <w:pPr>
            <w:spacing w:after="0" w:line="240" w:lineRule="auto"/>
            <w:rPr>
              <w:rFonts w:ascii="Palatino Linotype" w:hAnsi="Palatino Linotype"/>
              <w:b/>
              <w:lang w:val="es-ES_tradnl"/>
            </w:rPr>
          </w:pPr>
          <w:r w:rsidRPr="008F2CCC">
            <w:rPr>
              <w:rFonts w:ascii="Palatino Linotype" w:hAnsi="Palatino Linotype"/>
              <w:b/>
              <w:lang w:val="es-ES_tradnl"/>
            </w:rPr>
            <w:t>Recurrente:</w:t>
          </w:r>
        </w:p>
      </w:tc>
      <w:tc>
        <w:tcPr>
          <w:tcW w:w="3826" w:type="dxa"/>
          <w:shd w:val="clear" w:color="auto" w:fill="auto"/>
          <w:vAlign w:val="center"/>
        </w:tcPr>
        <w:p w14:paraId="22A8476F" w14:textId="793882AB" w:rsidR="00872548" w:rsidRPr="008F2CCC" w:rsidRDefault="00F93654" w:rsidP="002F515B">
          <w:pPr>
            <w:spacing w:after="0" w:line="240" w:lineRule="auto"/>
            <w:jc w:val="both"/>
            <w:rPr>
              <w:rFonts w:ascii="Palatino Linotype" w:hAnsi="Palatino Linotype"/>
              <w:b/>
              <w:lang w:val="es-ES_tradnl"/>
            </w:rPr>
          </w:pPr>
          <w:proofErr w:type="spellStart"/>
          <w:r>
            <w:rPr>
              <w:rFonts w:ascii="Palatino Linotype" w:hAnsi="Palatino Linotype"/>
              <w:b/>
              <w:lang w:val="es-ES_tradnl"/>
            </w:rPr>
            <w:t>xxxx</w:t>
          </w:r>
          <w:proofErr w:type="spellEnd"/>
        </w:p>
      </w:tc>
    </w:tr>
    <w:tr w:rsidR="00872548" w:rsidRPr="008F2CCC" w14:paraId="10A6188E" w14:textId="77777777" w:rsidTr="002F515B">
      <w:trPr>
        <w:trHeight w:val="228"/>
      </w:trPr>
      <w:tc>
        <w:tcPr>
          <w:tcW w:w="3261" w:type="dxa"/>
          <w:vMerge/>
          <w:shd w:val="clear" w:color="auto" w:fill="auto"/>
        </w:tcPr>
        <w:p w14:paraId="3E8E4105" w14:textId="77777777" w:rsidR="00872548" w:rsidRPr="008F2CCC" w:rsidRDefault="00872548" w:rsidP="002F515B">
          <w:pPr>
            <w:spacing w:after="0" w:line="240" w:lineRule="auto"/>
            <w:rPr>
              <w:rFonts w:ascii="Palatino Linotype" w:hAnsi="Palatino Linotype"/>
              <w:b/>
              <w:lang w:val="es-ES_tradnl"/>
            </w:rPr>
          </w:pPr>
        </w:p>
      </w:tc>
      <w:tc>
        <w:tcPr>
          <w:tcW w:w="2552" w:type="dxa"/>
          <w:shd w:val="clear" w:color="auto" w:fill="auto"/>
        </w:tcPr>
        <w:p w14:paraId="7261300F" w14:textId="77777777" w:rsidR="00872548" w:rsidRPr="008F2CCC" w:rsidRDefault="00872548" w:rsidP="002F515B">
          <w:pPr>
            <w:spacing w:after="0" w:line="240" w:lineRule="auto"/>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826" w:type="dxa"/>
          <w:shd w:val="clear" w:color="auto" w:fill="auto"/>
          <w:vAlign w:val="center"/>
        </w:tcPr>
        <w:p w14:paraId="157DA816" w14:textId="77777777" w:rsidR="00872548" w:rsidRPr="00DC41C8" w:rsidRDefault="00872548" w:rsidP="00134153">
          <w:pPr>
            <w:spacing w:after="0" w:line="240" w:lineRule="auto"/>
            <w:jc w:val="both"/>
            <w:rPr>
              <w:rFonts w:ascii="Palatino Linotype" w:hAnsi="Palatino Linotype"/>
              <w:b/>
            </w:rPr>
          </w:pPr>
          <w:r w:rsidRPr="00B36BE0">
            <w:rPr>
              <w:rFonts w:ascii="Palatino Linotype" w:hAnsi="Palatino Linotype"/>
              <w:b/>
              <w:lang w:val="es-ES_tradnl"/>
            </w:rPr>
            <w:t xml:space="preserve">Ayuntamiento de </w:t>
          </w:r>
          <w:r>
            <w:rPr>
              <w:rFonts w:ascii="Palatino Linotype" w:hAnsi="Palatino Linotype"/>
              <w:b/>
              <w:lang w:val="es-ES_tradnl"/>
            </w:rPr>
            <w:t>Tezoyuca</w:t>
          </w:r>
        </w:p>
      </w:tc>
    </w:tr>
    <w:tr w:rsidR="00872548" w:rsidRPr="008F2CCC" w14:paraId="57217FCC" w14:textId="77777777" w:rsidTr="002F515B">
      <w:tc>
        <w:tcPr>
          <w:tcW w:w="3261" w:type="dxa"/>
          <w:vMerge/>
          <w:shd w:val="clear" w:color="auto" w:fill="auto"/>
        </w:tcPr>
        <w:p w14:paraId="4F08BAC7" w14:textId="77777777" w:rsidR="00872548" w:rsidRPr="008F2CCC" w:rsidRDefault="00872548" w:rsidP="002F515B">
          <w:pPr>
            <w:spacing w:after="0" w:line="240" w:lineRule="auto"/>
            <w:rPr>
              <w:rFonts w:ascii="Palatino Linotype" w:hAnsi="Palatino Linotype"/>
              <w:b/>
              <w:lang w:val="es-ES_tradnl"/>
            </w:rPr>
          </w:pPr>
        </w:p>
      </w:tc>
      <w:tc>
        <w:tcPr>
          <w:tcW w:w="2552" w:type="dxa"/>
          <w:shd w:val="clear" w:color="auto" w:fill="auto"/>
        </w:tcPr>
        <w:p w14:paraId="1CF2512B" w14:textId="77777777" w:rsidR="00872548" w:rsidRPr="008F2CCC" w:rsidRDefault="00872548" w:rsidP="00134153">
          <w:pPr>
            <w:spacing w:after="0" w:line="240" w:lineRule="auto"/>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o Ponente:</w:t>
          </w:r>
        </w:p>
      </w:tc>
      <w:tc>
        <w:tcPr>
          <w:tcW w:w="3826" w:type="dxa"/>
          <w:shd w:val="clear" w:color="auto" w:fill="auto"/>
        </w:tcPr>
        <w:p w14:paraId="17208F2D" w14:textId="77777777" w:rsidR="00872548" w:rsidRPr="008F2CCC" w:rsidRDefault="00872548" w:rsidP="002F515B">
          <w:pPr>
            <w:spacing w:after="0" w:line="240" w:lineRule="auto"/>
            <w:jc w:val="both"/>
            <w:rPr>
              <w:rFonts w:ascii="Palatino Linotype" w:hAnsi="Palatino Linotype"/>
              <w:b/>
              <w:lang w:val="es-ES_tradnl"/>
            </w:rPr>
          </w:pPr>
          <w:r>
            <w:rPr>
              <w:rFonts w:ascii="Palatino Linotype" w:hAnsi="Palatino Linotype"/>
              <w:b/>
              <w:lang w:val="es-ES_tradnl"/>
            </w:rPr>
            <w:t>José Martínez Vilchis</w:t>
          </w:r>
        </w:p>
      </w:tc>
    </w:tr>
  </w:tbl>
  <w:p w14:paraId="3B3095C4" w14:textId="77777777" w:rsidR="00872548" w:rsidRPr="0010196A" w:rsidRDefault="00872548" w:rsidP="002F515B">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17490"/>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682"/>
    <w:rsid w:val="00036F97"/>
    <w:rsid w:val="0007650C"/>
    <w:rsid w:val="00090B22"/>
    <w:rsid w:val="000A645F"/>
    <w:rsid w:val="000D63CF"/>
    <w:rsid w:val="00134153"/>
    <w:rsid w:val="00137E59"/>
    <w:rsid w:val="001D4883"/>
    <w:rsid w:val="002339DB"/>
    <w:rsid w:val="00260B16"/>
    <w:rsid w:val="002B0586"/>
    <w:rsid w:val="002C3878"/>
    <w:rsid w:val="002F515B"/>
    <w:rsid w:val="00330593"/>
    <w:rsid w:val="00341AF6"/>
    <w:rsid w:val="00380D10"/>
    <w:rsid w:val="003B730F"/>
    <w:rsid w:val="00415F17"/>
    <w:rsid w:val="00435682"/>
    <w:rsid w:val="004B1875"/>
    <w:rsid w:val="004D39EE"/>
    <w:rsid w:val="00505E9B"/>
    <w:rsid w:val="00512034"/>
    <w:rsid w:val="005660B4"/>
    <w:rsid w:val="005B18A9"/>
    <w:rsid w:val="005F4176"/>
    <w:rsid w:val="006848B4"/>
    <w:rsid w:val="006A0BEE"/>
    <w:rsid w:val="006F1EB4"/>
    <w:rsid w:val="00741A8F"/>
    <w:rsid w:val="007538BF"/>
    <w:rsid w:val="00787784"/>
    <w:rsid w:val="00792761"/>
    <w:rsid w:val="00816CC7"/>
    <w:rsid w:val="00872548"/>
    <w:rsid w:val="008A323E"/>
    <w:rsid w:val="008D79B7"/>
    <w:rsid w:val="009F5142"/>
    <w:rsid w:val="00A32C69"/>
    <w:rsid w:val="00AC116D"/>
    <w:rsid w:val="00AE59F5"/>
    <w:rsid w:val="00AF402D"/>
    <w:rsid w:val="00B555AB"/>
    <w:rsid w:val="00C40F17"/>
    <w:rsid w:val="00C9116F"/>
    <w:rsid w:val="00CA130F"/>
    <w:rsid w:val="00D3077A"/>
    <w:rsid w:val="00D30FA9"/>
    <w:rsid w:val="00D47107"/>
    <w:rsid w:val="00D80C8F"/>
    <w:rsid w:val="00DC15A4"/>
    <w:rsid w:val="00E25AA8"/>
    <w:rsid w:val="00E331E9"/>
    <w:rsid w:val="00E72CB6"/>
    <w:rsid w:val="00EC4131"/>
    <w:rsid w:val="00F7534A"/>
    <w:rsid w:val="00F842F8"/>
    <w:rsid w:val="00F85C6C"/>
    <w:rsid w:val="00F936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29851E"/>
  <w15:chartTrackingRefBased/>
  <w15:docId w15:val="{8384FC70-6957-4E37-B680-74CFC975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68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5682"/>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35682"/>
    <w:rPr>
      <w:rFonts w:eastAsiaTheme="minorEastAsia"/>
      <w:sz w:val="24"/>
      <w:szCs w:val="24"/>
      <w:lang w:val="es-ES_tradnl" w:eastAsia="es-ES"/>
    </w:rPr>
  </w:style>
  <w:style w:type="paragraph" w:styleId="Piedepgina">
    <w:name w:val="footer"/>
    <w:basedOn w:val="Normal"/>
    <w:link w:val="PiedepginaCar"/>
    <w:uiPriority w:val="99"/>
    <w:unhideWhenUsed/>
    <w:rsid w:val="00435682"/>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3568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35682"/>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35682"/>
    <w:rPr>
      <w:rFonts w:ascii="Times New Roman" w:eastAsia="Times New Roman" w:hAnsi="Times New Roman" w:cs="Times New Roman"/>
      <w:sz w:val="24"/>
      <w:szCs w:val="24"/>
      <w:lang w:eastAsia="es-ES"/>
    </w:rPr>
  </w:style>
  <w:style w:type="character" w:customStyle="1" w:styleId="Ninguno">
    <w:name w:val="Ninguno"/>
    <w:rsid w:val="00435682"/>
    <w:rPr>
      <w:lang w:val="es-ES_tradnl"/>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3568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3568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35682"/>
    <w:rPr>
      <w:vertAlign w:val="superscript"/>
    </w:rPr>
  </w:style>
  <w:style w:type="character" w:customStyle="1" w:styleId="apple-style-span">
    <w:name w:val="apple-style-span"/>
    <w:rsid w:val="00435682"/>
  </w:style>
  <w:style w:type="character" w:styleId="Hipervnculo">
    <w:name w:val="Hyperlink"/>
    <w:basedOn w:val="Fuentedeprrafopredeter"/>
    <w:uiPriority w:val="99"/>
    <w:unhideWhenUsed/>
    <w:rsid w:val="00D307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46</Pages>
  <Words>11459</Words>
  <Characters>63026</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7</cp:revision>
  <dcterms:created xsi:type="dcterms:W3CDTF">2022-01-30T21:15:00Z</dcterms:created>
  <dcterms:modified xsi:type="dcterms:W3CDTF">2022-03-04T19:10:00Z</dcterms:modified>
</cp:coreProperties>
</file>